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header5.xml" ContentType="application/vnd.openxmlformats-officedocument.wordprocessingml.header+xml"/>
  <Override PartName="/word/footer11.xml" ContentType="application/vnd.openxmlformats-officedocument.wordprocessingml.footer+xml"/>
  <Override PartName="/word/header6.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7.xml" ContentType="application/vnd.openxmlformats-officedocument.wordprocessingml.header+xml"/>
  <Override PartName="/word/footer14.xml" ContentType="application/vnd.openxmlformats-officedocument.wordprocessingml.footer+xml"/>
  <Override PartName="/word/header8.xml" ContentType="application/vnd.openxmlformats-officedocument.wordprocessingml.header+xml"/>
  <Override PartName="/word/footer15.xml" ContentType="application/vnd.openxmlformats-officedocument.wordprocessingml.footer+xml"/>
  <Override PartName="/word/header9.xml" ContentType="application/vnd.openxmlformats-officedocument.wordprocessingml.header+xml"/>
  <Override PartName="/word/footer16.xml" ContentType="application/vnd.openxmlformats-officedocument.wordprocessingml.footer+xml"/>
  <Override PartName="/word/header10.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header11.xml" ContentType="application/vnd.openxmlformats-officedocument.wordprocessingml.header+xml"/>
  <Override PartName="/word/footer24.xml" ContentType="application/vnd.openxmlformats-officedocument.wordprocessingml.footer+xml"/>
  <Override PartName="/word/header12.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header17.xml" ContentType="application/vnd.openxmlformats-officedocument.wordprocessingml.header+xml"/>
  <Override PartName="/word/footer62.xml" ContentType="application/vnd.openxmlformats-officedocument.wordprocessingml.footer+xml"/>
  <Override PartName="/word/header18.xml" ContentType="application/vnd.openxmlformats-officedocument.wordprocessingml.head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header19.xml" ContentType="application/vnd.openxmlformats-officedocument.wordprocessingml.head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header20.xml" ContentType="application/vnd.openxmlformats-officedocument.wordprocessingml.header+xml"/>
  <Override PartName="/word/footer79.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oter80.xml" ContentType="application/vnd.openxmlformats-officedocument.wordprocessingml.footer+xml"/>
  <Override PartName="/word/header23.xml" ContentType="application/vnd.openxmlformats-officedocument.wordprocessingml.header+xml"/>
  <Override PartName="/word/footer81.xml" ContentType="application/vnd.openxmlformats-officedocument.wordprocessingml.footer+xml"/>
  <Override PartName="/word/header24.xml" ContentType="application/vnd.openxmlformats-officedocument.wordprocessingml.header+xml"/>
  <Override PartName="/word/footer8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5"/>
        <w:rPr>
          <w:rFonts w:ascii="Times New Roman"/>
          <w:sz w:val="19"/>
        </w:rPr>
      </w:pPr>
    </w:p>
    <w:p>
      <w:pPr>
        <w:spacing w:line="357" w:lineRule="auto" w:before="0"/>
        <w:ind w:left="1905" w:right="1732" w:firstLine="0"/>
        <w:jc w:val="center"/>
        <w:rPr>
          <w:sz w:val="24"/>
        </w:rPr>
      </w:pPr>
      <w:r>
        <w:rPr/>
        <w:drawing>
          <wp:anchor distT="0" distB="0" distL="0" distR="0" allowOverlap="1" layoutInCell="1" locked="0" behindDoc="0" simplePos="0" relativeHeight="1072">
            <wp:simplePos x="0" y="0"/>
            <wp:positionH relativeFrom="page">
              <wp:posOffset>6082410</wp:posOffset>
            </wp:positionH>
            <wp:positionV relativeFrom="paragraph">
              <wp:posOffset>-107645</wp:posOffset>
            </wp:positionV>
            <wp:extent cx="682625" cy="914398"/>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82625" cy="914398"/>
                    </a:xfrm>
                    <a:prstGeom prst="rect">
                      <a:avLst/>
                    </a:prstGeom>
                  </pic:spPr>
                </pic:pic>
              </a:graphicData>
            </a:graphic>
          </wp:anchor>
        </w:drawing>
      </w:r>
      <w:r>
        <w:rPr/>
        <w:drawing>
          <wp:anchor distT="0" distB="0" distL="0" distR="0" allowOverlap="1" layoutInCell="1" locked="0" behindDoc="0" simplePos="0" relativeHeight="1096">
            <wp:simplePos x="0" y="0"/>
            <wp:positionH relativeFrom="page">
              <wp:posOffset>1244980</wp:posOffset>
            </wp:positionH>
            <wp:positionV relativeFrom="paragraph">
              <wp:posOffset>2842</wp:posOffset>
            </wp:positionV>
            <wp:extent cx="924520" cy="81280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924520" cy="812800"/>
                    </a:xfrm>
                    <a:prstGeom prst="rect">
                      <a:avLst/>
                    </a:prstGeom>
                  </pic:spPr>
                </pic:pic>
              </a:graphicData>
            </a:graphic>
          </wp:anchor>
        </w:drawing>
      </w:r>
      <w:r>
        <w:rPr>
          <w:b/>
          <w:sz w:val="26"/>
        </w:rPr>
        <w:t>Universidad Autónoma del Estado de México </w:t>
      </w:r>
      <w:r>
        <w:rPr>
          <w:b/>
          <w:sz w:val="24"/>
        </w:rPr>
        <w:t>Facultad de Planeación Urbana y Regional </w:t>
      </w:r>
      <w:r>
        <w:rPr>
          <w:sz w:val="24"/>
        </w:rPr>
        <w:t>Programa de Doctorado en Urbanismo</w:t>
      </w:r>
    </w:p>
    <w:p>
      <w:pPr>
        <w:pStyle w:val="BodyText"/>
        <w:rPr>
          <w:sz w:val="20"/>
        </w:rPr>
      </w:pPr>
    </w:p>
    <w:p>
      <w:pPr>
        <w:pStyle w:val="BodyText"/>
        <w:rPr>
          <w:sz w:val="20"/>
        </w:rPr>
      </w:pPr>
    </w:p>
    <w:p>
      <w:pPr>
        <w:pStyle w:val="BodyText"/>
        <w:rPr>
          <w:sz w:val="20"/>
        </w:rPr>
      </w:pPr>
    </w:p>
    <w:p>
      <w:pPr>
        <w:pStyle w:val="BodyText"/>
        <w:spacing w:before="6"/>
        <w:rPr>
          <w:sz w:val="27"/>
        </w:rPr>
      </w:pPr>
    </w:p>
    <w:p>
      <w:pPr>
        <w:pStyle w:val="Heading4"/>
        <w:spacing w:line="463" w:lineRule="auto"/>
        <w:ind w:left="419" w:right="242"/>
        <w:jc w:val="center"/>
      </w:pPr>
      <w:r>
        <w:rPr/>
        <w:t>Sustentabilidad del territorio: la participación del Estado, iniciativa privada y sociedad en la producción de vivienda formal</w:t>
      </w:r>
    </w:p>
    <w:p>
      <w:pPr>
        <w:pStyle w:val="BodyText"/>
        <w:rPr>
          <w:b/>
        </w:rPr>
      </w:pPr>
    </w:p>
    <w:p>
      <w:pPr>
        <w:pStyle w:val="BodyText"/>
        <w:spacing w:before="4"/>
        <w:rPr>
          <w:b/>
          <w:sz w:val="23"/>
        </w:rPr>
      </w:pPr>
    </w:p>
    <w:p>
      <w:pPr>
        <w:spacing w:before="0"/>
        <w:ind w:left="1905" w:right="1731" w:firstLine="0"/>
        <w:jc w:val="center"/>
        <w:rPr>
          <w:b/>
          <w:sz w:val="24"/>
        </w:rPr>
      </w:pPr>
      <w:r>
        <w:rPr>
          <w:b/>
          <w:sz w:val="24"/>
        </w:rPr>
        <w:t>Tesis</w:t>
      </w:r>
    </w:p>
    <w:p>
      <w:pPr>
        <w:pStyle w:val="BodyText"/>
        <w:spacing w:before="3"/>
        <w:rPr>
          <w:b/>
          <w:sz w:val="22"/>
        </w:rPr>
      </w:pPr>
    </w:p>
    <w:p>
      <w:pPr>
        <w:spacing w:line="463" w:lineRule="auto" w:before="1"/>
        <w:ind w:left="3020" w:right="2843" w:firstLine="0"/>
        <w:jc w:val="center"/>
        <w:rPr>
          <w:b/>
          <w:sz w:val="24"/>
        </w:rPr>
      </w:pPr>
      <w:r>
        <w:rPr>
          <w:b/>
          <w:sz w:val="24"/>
        </w:rPr>
        <w:t>Que para obtener el grado de Doctor en Urbanismo</w:t>
      </w:r>
    </w:p>
    <w:p>
      <w:pPr>
        <w:pStyle w:val="BodyText"/>
        <w:rPr>
          <w:b/>
        </w:rPr>
      </w:pPr>
    </w:p>
    <w:p>
      <w:pPr>
        <w:pStyle w:val="BodyText"/>
        <w:spacing w:before="4"/>
        <w:rPr>
          <w:b/>
          <w:sz w:val="23"/>
        </w:rPr>
      </w:pPr>
    </w:p>
    <w:p>
      <w:pPr>
        <w:spacing w:before="0"/>
        <w:ind w:left="1905" w:right="1731" w:firstLine="0"/>
        <w:jc w:val="center"/>
        <w:rPr>
          <w:b/>
          <w:sz w:val="24"/>
        </w:rPr>
      </w:pPr>
      <w:r>
        <w:rPr>
          <w:b/>
          <w:sz w:val="24"/>
        </w:rPr>
        <w:t>Presenta</w:t>
      </w:r>
    </w:p>
    <w:p>
      <w:pPr>
        <w:pStyle w:val="BodyText"/>
        <w:spacing w:before="137"/>
        <w:ind w:left="1905" w:right="1731"/>
        <w:jc w:val="center"/>
      </w:pPr>
      <w:r>
        <w:rPr/>
        <w:t>Alan Noe Jim Carrillo Arteaga</w:t>
      </w:r>
    </w:p>
    <w:p>
      <w:pPr>
        <w:pStyle w:val="BodyText"/>
      </w:pPr>
    </w:p>
    <w:p>
      <w:pPr>
        <w:pStyle w:val="BodyText"/>
        <w:spacing w:before="9"/>
        <w:rPr>
          <w:sz w:val="23"/>
        </w:rPr>
      </w:pPr>
    </w:p>
    <w:p>
      <w:pPr>
        <w:pStyle w:val="Heading4"/>
        <w:spacing w:before="0"/>
        <w:ind w:left="1905" w:right="1731"/>
        <w:jc w:val="center"/>
      </w:pPr>
      <w:r>
        <w:rPr/>
        <w:t>Director de Tesis</w:t>
      </w:r>
    </w:p>
    <w:p>
      <w:pPr>
        <w:pStyle w:val="BodyText"/>
        <w:spacing w:before="141"/>
        <w:ind w:left="1905" w:right="1731"/>
        <w:jc w:val="center"/>
      </w:pPr>
      <w:r>
        <w:rPr/>
        <w:t>Dr. Pedro Leobardo Jiménez Sánchez</w:t>
      </w:r>
    </w:p>
    <w:p>
      <w:pPr>
        <w:pStyle w:val="BodyText"/>
      </w:pPr>
    </w:p>
    <w:p>
      <w:pPr>
        <w:pStyle w:val="BodyText"/>
        <w:spacing w:before="9"/>
        <w:rPr>
          <w:sz w:val="23"/>
        </w:rPr>
      </w:pPr>
    </w:p>
    <w:p>
      <w:pPr>
        <w:pStyle w:val="Heading4"/>
        <w:spacing w:before="0"/>
        <w:ind w:left="1905" w:right="1731"/>
        <w:jc w:val="center"/>
      </w:pPr>
      <w:r>
        <w:rPr/>
        <w:t>Codirectores</w:t>
      </w:r>
    </w:p>
    <w:p>
      <w:pPr>
        <w:pStyle w:val="BodyText"/>
        <w:spacing w:line="362" w:lineRule="auto" w:before="137"/>
        <w:ind w:left="2806" w:right="2619" w:firstLine="287"/>
      </w:pPr>
      <w:r>
        <w:rPr/>
        <w:t>Dr. Fermín Carreño Meléndez Dr. Luis Miguel Valenzuela Montes</w:t>
      </w:r>
    </w:p>
    <w:p>
      <w:pPr>
        <w:pStyle w:val="BodyText"/>
      </w:pPr>
    </w:p>
    <w:p>
      <w:pPr>
        <w:pStyle w:val="BodyText"/>
      </w:pPr>
    </w:p>
    <w:p>
      <w:pPr>
        <w:pStyle w:val="BodyText"/>
        <w:spacing w:before="9"/>
        <w:rPr>
          <w:sz w:val="23"/>
        </w:rPr>
      </w:pPr>
    </w:p>
    <w:p>
      <w:pPr>
        <w:pStyle w:val="Heading4"/>
        <w:spacing w:before="0"/>
        <w:ind w:left="1905" w:right="1731"/>
        <w:jc w:val="center"/>
      </w:pPr>
      <w:r>
        <w:rPr/>
        <w:drawing>
          <wp:anchor distT="0" distB="0" distL="0" distR="0" allowOverlap="1" layoutInCell="1" locked="0" behindDoc="0" simplePos="0" relativeHeight="0">
            <wp:simplePos x="0" y="0"/>
            <wp:positionH relativeFrom="page">
              <wp:posOffset>1297050</wp:posOffset>
            </wp:positionH>
            <wp:positionV relativeFrom="paragraph">
              <wp:posOffset>226515</wp:posOffset>
            </wp:positionV>
            <wp:extent cx="1239763" cy="794575"/>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1239763" cy="794575"/>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4813680</wp:posOffset>
            </wp:positionH>
            <wp:positionV relativeFrom="paragraph">
              <wp:posOffset>357960</wp:posOffset>
            </wp:positionV>
            <wp:extent cx="2061351" cy="670560"/>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2061351" cy="670560"/>
                    </a:xfrm>
                    <a:prstGeom prst="rect">
                      <a:avLst/>
                    </a:prstGeom>
                  </pic:spPr>
                </pic:pic>
              </a:graphicData>
            </a:graphic>
          </wp:anchor>
        </w:drawing>
      </w:r>
      <w:r>
        <w:rPr/>
        <w:t>Toluca, México. Noviembre, 2016</w:t>
      </w:r>
    </w:p>
    <w:p>
      <w:pPr>
        <w:spacing w:after="0"/>
        <w:jc w:val="center"/>
        <w:sectPr>
          <w:type w:val="continuous"/>
          <w:pgSz w:w="12240" w:h="15840"/>
          <w:pgMar w:top="1500" w:bottom="280" w:left="1720" w:right="13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20"/>
        </w:rPr>
      </w:pPr>
    </w:p>
    <w:p>
      <w:pPr>
        <w:tabs>
          <w:tab w:pos="1993" w:val="left" w:leader="none"/>
          <w:tab w:pos="4284" w:val="left" w:leader="none"/>
          <w:tab w:pos="5808" w:val="left" w:leader="none"/>
        </w:tabs>
        <w:spacing w:line="240" w:lineRule="auto"/>
        <w:ind w:left="250" w:right="0" w:firstLine="0"/>
        <w:rPr>
          <w:sz w:val="20"/>
        </w:rPr>
      </w:pPr>
      <w:r>
        <w:rPr>
          <w:sz w:val="20"/>
        </w:rPr>
        <w:drawing>
          <wp:inline distT="0" distB="0" distL="0" distR="0">
            <wp:extent cx="922248" cy="810768"/>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9" cstate="print"/>
                    <a:stretch>
                      <a:fillRect/>
                    </a:stretch>
                  </pic:blipFill>
                  <pic:spPr>
                    <a:xfrm>
                      <a:off x="0" y="0"/>
                      <a:ext cx="922248" cy="810768"/>
                    </a:xfrm>
                    <a:prstGeom prst="rect">
                      <a:avLst/>
                    </a:prstGeom>
                  </pic:spPr>
                </pic:pic>
              </a:graphicData>
            </a:graphic>
          </wp:inline>
        </w:drawing>
      </w:r>
      <w:r>
        <w:rPr>
          <w:sz w:val="20"/>
        </w:rPr>
      </w:r>
      <w:r>
        <w:rPr>
          <w:sz w:val="20"/>
        </w:rPr>
        <w:tab/>
      </w:r>
      <w:r>
        <w:rPr>
          <w:sz w:val="20"/>
        </w:rPr>
        <w:drawing>
          <wp:inline distT="0" distB="0" distL="0" distR="0">
            <wp:extent cx="1268594" cy="813053"/>
            <wp:effectExtent l="0" t="0" r="0" b="0"/>
            <wp:docPr id="11" name="image3.png" descr=""/>
            <wp:cNvGraphicFramePr>
              <a:graphicFrameLocks noChangeAspect="1"/>
            </wp:cNvGraphicFramePr>
            <a:graphic>
              <a:graphicData uri="http://schemas.openxmlformats.org/drawingml/2006/picture">
                <pic:pic>
                  <pic:nvPicPr>
                    <pic:cNvPr id="12" name="image3.png"/>
                    <pic:cNvPicPr/>
                  </pic:nvPicPr>
                  <pic:blipFill>
                    <a:blip r:embed="rId7" cstate="print"/>
                    <a:stretch>
                      <a:fillRect/>
                    </a:stretch>
                  </pic:blipFill>
                  <pic:spPr>
                    <a:xfrm>
                      <a:off x="0" y="0"/>
                      <a:ext cx="1268594" cy="813053"/>
                    </a:xfrm>
                    <a:prstGeom prst="rect">
                      <a:avLst/>
                    </a:prstGeom>
                  </pic:spPr>
                </pic:pic>
              </a:graphicData>
            </a:graphic>
          </wp:inline>
        </w:drawing>
      </w:r>
      <w:r>
        <w:rPr>
          <w:sz w:val="20"/>
        </w:rPr>
      </w:r>
      <w:r>
        <w:rPr>
          <w:sz w:val="20"/>
        </w:rPr>
        <w:tab/>
      </w:r>
      <w:r>
        <w:rPr>
          <w:sz w:val="20"/>
        </w:rPr>
        <w:drawing>
          <wp:inline distT="0" distB="0" distL="0" distR="0">
            <wp:extent cx="682625" cy="914400"/>
            <wp:effectExtent l="0" t="0" r="0" b="0"/>
            <wp:docPr id="13" name="image1.jpeg" descr=""/>
            <wp:cNvGraphicFramePr>
              <a:graphicFrameLocks noChangeAspect="1"/>
            </wp:cNvGraphicFramePr>
            <a:graphic>
              <a:graphicData uri="http://schemas.openxmlformats.org/drawingml/2006/picture">
                <pic:pic>
                  <pic:nvPicPr>
                    <pic:cNvPr id="14" name="image1.jpeg"/>
                    <pic:cNvPicPr/>
                  </pic:nvPicPr>
                  <pic:blipFill>
                    <a:blip r:embed="rId5" cstate="print"/>
                    <a:stretch>
                      <a:fillRect/>
                    </a:stretch>
                  </pic:blipFill>
                  <pic:spPr>
                    <a:xfrm>
                      <a:off x="0" y="0"/>
                      <a:ext cx="682625" cy="914400"/>
                    </a:xfrm>
                    <a:prstGeom prst="rect">
                      <a:avLst/>
                    </a:prstGeom>
                  </pic:spPr>
                </pic:pic>
              </a:graphicData>
            </a:graphic>
          </wp:inline>
        </w:drawing>
      </w:r>
      <w:r>
        <w:rPr>
          <w:sz w:val="20"/>
        </w:rPr>
      </w:r>
      <w:r>
        <w:rPr>
          <w:sz w:val="20"/>
        </w:rPr>
        <w:tab/>
      </w:r>
      <w:r>
        <w:rPr>
          <w:position w:val="10"/>
          <w:sz w:val="20"/>
        </w:rPr>
        <w:drawing>
          <wp:inline distT="0" distB="0" distL="0" distR="0">
            <wp:extent cx="2061351" cy="670560"/>
            <wp:effectExtent l="0" t="0" r="0" b="0"/>
            <wp:docPr id="15" name="image4.jpeg" descr=""/>
            <wp:cNvGraphicFramePr>
              <a:graphicFrameLocks noChangeAspect="1"/>
            </wp:cNvGraphicFramePr>
            <a:graphic>
              <a:graphicData uri="http://schemas.openxmlformats.org/drawingml/2006/picture">
                <pic:pic>
                  <pic:nvPicPr>
                    <pic:cNvPr id="16" name="image4.jpeg"/>
                    <pic:cNvPicPr/>
                  </pic:nvPicPr>
                  <pic:blipFill>
                    <a:blip r:embed="rId8" cstate="print"/>
                    <a:stretch>
                      <a:fillRect/>
                    </a:stretch>
                  </pic:blipFill>
                  <pic:spPr>
                    <a:xfrm>
                      <a:off x="0" y="0"/>
                      <a:ext cx="2061351" cy="670560"/>
                    </a:xfrm>
                    <a:prstGeom prst="rect">
                      <a:avLst/>
                    </a:prstGeom>
                  </pic:spPr>
                </pic:pic>
              </a:graphicData>
            </a:graphic>
          </wp:inline>
        </w:drawing>
      </w:r>
      <w:r>
        <w:rPr>
          <w:position w:val="10"/>
          <w:sz w:val="20"/>
        </w:rPr>
      </w:r>
    </w:p>
    <w:p>
      <w:pPr>
        <w:pStyle w:val="BodyText"/>
        <w:spacing w:before="4"/>
        <w:rPr>
          <w:b/>
        </w:rPr>
      </w:pPr>
    </w:p>
    <w:p>
      <w:pPr>
        <w:pStyle w:val="BodyText"/>
        <w:spacing w:line="360" w:lineRule="auto" w:before="70"/>
        <w:ind w:left="268" w:right="111"/>
        <w:jc w:val="both"/>
      </w:pPr>
      <w:r>
        <w:rPr/>
        <w:t>El Doctorado en Urbanismo está inscrito en el Programa Nacional de Posgrados  de Calidad (PNPC) del Consejo Nacional de Ciencia y Tecnología (CONACYT). El desarrollo de esta investigación fue posible gracias a la beca otorgada por el CONACYT para la realización de Estudios de Doctorado.</w:t>
      </w:r>
    </w:p>
    <w:p>
      <w:pPr>
        <w:spacing w:after="0" w:line="360" w:lineRule="auto"/>
        <w:jc w:val="both"/>
        <w:sectPr>
          <w:pgSz w:w="12240" w:h="15840"/>
          <w:pgMar w:top="1500" w:bottom="280" w:left="1720" w:right="1300"/>
        </w:sectPr>
      </w:pPr>
    </w:p>
    <w:p>
      <w:pPr>
        <w:pStyle w:val="BodyText"/>
        <w:rPr>
          <w:sz w:val="20"/>
        </w:rPr>
      </w:pPr>
    </w:p>
    <w:p>
      <w:pPr>
        <w:pStyle w:val="BodyText"/>
        <w:rPr>
          <w:sz w:val="20"/>
        </w:rPr>
      </w:pPr>
    </w:p>
    <w:p>
      <w:pPr>
        <w:pStyle w:val="BodyText"/>
        <w:rPr>
          <w:sz w:val="20"/>
        </w:rPr>
      </w:pPr>
    </w:p>
    <w:p>
      <w:pPr>
        <w:pStyle w:val="BodyText"/>
        <w:spacing w:before="6"/>
        <w:rPr>
          <w:sz w:val="18"/>
        </w:rPr>
      </w:pPr>
    </w:p>
    <w:p>
      <w:pPr>
        <w:pStyle w:val="BodyText"/>
        <w:spacing w:line="360" w:lineRule="auto" w:before="69"/>
        <w:ind w:left="6571" w:right="112" w:firstLine="1561"/>
        <w:jc w:val="right"/>
      </w:pPr>
      <w:r>
        <w:rPr>
          <w:b/>
        </w:rPr>
        <w:t>A ti Dios </w:t>
      </w:r>
      <w:r>
        <w:rPr/>
        <w:t>Por nunca dejarme solo y quererme tanto.</w:t>
      </w:r>
    </w:p>
    <w:p>
      <w:pPr>
        <w:pStyle w:val="BodyText"/>
      </w:pPr>
    </w:p>
    <w:p>
      <w:pPr>
        <w:pStyle w:val="BodyText"/>
      </w:pPr>
    </w:p>
    <w:p>
      <w:pPr>
        <w:pStyle w:val="BodyText"/>
      </w:pPr>
    </w:p>
    <w:p>
      <w:pPr>
        <w:pStyle w:val="BodyText"/>
      </w:pPr>
    </w:p>
    <w:p>
      <w:pPr>
        <w:pStyle w:val="Heading4"/>
        <w:spacing w:before="142"/>
        <w:ind w:left="0" w:right="113"/>
        <w:jc w:val="right"/>
      </w:pPr>
      <w:r>
        <w:rPr/>
        <w:t>A mi esposa Daniela</w:t>
      </w:r>
    </w:p>
    <w:p>
      <w:pPr>
        <w:pStyle w:val="BodyText"/>
        <w:spacing w:line="360" w:lineRule="auto" w:before="137"/>
        <w:ind w:left="5877" w:right="112" w:firstLine="827"/>
        <w:jc w:val="right"/>
      </w:pPr>
      <w:r>
        <w:rPr/>
        <w:t>Su amor y compresión son las alas que me impulsan.</w:t>
      </w:r>
    </w:p>
    <w:p>
      <w:pPr>
        <w:pStyle w:val="BodyText"/>
      </w:pPr>
    </w:p>
    <w:p>
      <w:pPr>
        <w:pStyle w:val="BodyText"/>
      </w:pPr>
    </w:p>
    <w:p>
      <w:pPr>
        <w:pStyle w:val="BodyText"/>
      </w:pPr>
    </w:p>
    <w:p>
      <w:pPr>
        <w:pStyle w:val="BodyText"/>
      </w:pPr>
    </w:p>
    <w:p>
      <w:pPr>
        <w:pStyle w:val="Heading4"/>
        <w:spacing w:before="142"/>
        <w:ind w:left="0" w:right="112"/>
        <w:jc w:val="right"/>
      </w:pPr>
      <w:r>
        <w:rPr/>
        <w:t>Mamá, Papá y Hermanos</w:t>
      </w:r>
    </w:p>
    <w:p>
      <w:pPr>
        <w:pStyle w:val="BodyText"/>
        <w:spacing w:before="137"/>
        <w:ind w:right="111"/>
        <w:jc w:val="right"/>
      </w:pPr>
      <w:r>
        <w:rPr/>
        <w:t>Por su amor, tiempo, consejos y apoyo.</w:t>
      </w:r>
    </w:p>
    <w:p>
      <w:pPr>
        <w:spacing w:after="0"/>
        <w:jc w:val="right"/>
        <w:sectPr>
          <w:headerReference w:type="default" r:id="rId10"/>
          <w:pgSz w:w="12240" w:h="15840"/>
          <w:pgMar w:header="1442" w:footer="0" w:top="1680" w:bottom="280" w:left="1720" w:right="1300"/>
        </w:sectPr>
      </w:pPr>
    </w:p>
    <w:p>
      <w:pPr>
        <w:pStyle w:val="BodyText"/>
        <w:rPr>
          <w:sz w:val="20"/>
        </w:rPr>
      </w:pPr>
    </w:p>
    <w:p>
      <w:pPr>
        <w:pStyle w:val="BodyText"/>
        <w:spacing w:before="7"/>
        <w:rPr>
          <w:sz w:val="22"/>
        </w:rPr>
      </w:pPr>
    </w:p>
    <w:p>
      <w:pPr>
        <w:pStyle w:val="BodyText"/>
        <w:spacing w:line="360" w:lineRule="auto" w:before="69"/>
        <w:ind w:left="4379" w:right="111"/>
        <w:jc w:val="both"/>
      </w:pPr>
      <w:r>
        <w:rPr/>
        <w:t>A Dios por darme una vida sin limitaciones, al contar con todos mis sentidos y una vida llena de amor.</w:t>
      </w:r>
    </w:p>
    <w:p>
      <w:pPr>
        <w:pStyle w:val="BodyText"/>
        <w:spacing w:before="6"/>
        <w:rPr>
          <w:sz w:val="21"/>
        </w:rPr>
      </w:pPr>
    </w:p>
    <w:p>
      <w:pPr>
        <w:pStyle w:val="BodyText"/>
        <w:spacing w:line="360" w:lineRule="auto"/>
        <w:ind w:left="4379" w:right="111"/>
        <w:jc w:val="both"/>
      </w:pPr>
      <w:r>
        <w:rPr/>
        <w:t>A mi alma mater, la Universidad Autónoma del Estado de México y a la Facultad de Planeación Urbana y Regional, por el honor de ser orgullosamente universitario.</w:t>
      </w:r>
    </w:p>
    <w:p>
      <w:pPr>
        <w:pStyle w:val="BodyText"/>
        <w:spacing w:before="1"/>
        <w:rPr>
          <w:sz w:val="21"/>
        </w:rPr>
      </w:pPr>
    </w:p>
    <w:p>
      <w:pPr>
        <w:pStyle w:val="BodyText"/>
        <w:spacing w:line="360" w:lineRule="auto"/>
        <w:ind w:left="4379" w:right="112"/>
        <w:jc w:val="both"/>
      </w:pPr>
      <w:r>
        <w:rPr/>
        <w:t>Al Dr. Pedro Leobardo Jiménez Sánchez, por su confianza, tutoría y apoyo en los estudios de Doctorado y en el inicio de éste grato camino.</w:t>
      </w:r>
    </w:p>
    <w:p>
      <w:pPr>
        <w:pStyle w:val="BodyText"/>
        <w:spacing w:before="1"/>
        <w:rPr>
          <w:sz w:val="21"/>
        </w:rPr>
      </w:pPr>
    </w:p>
    <w:p>
      <w:pPr>
        <w:spacing w:line="360" w:lineRule="auto" w:before="0"/>
        <w:ind w:left="4379" w:right="112" w:firstLine="0"/>
        <w:jc w:val="both"/>
        <w:rPr>
          <w:i/>
          <w:sz w:val="24"/>
        </w:rPr>
      </w:pPr>
      <w:r>
        <w:rPr>
          <w:sz w:val="24"/>
        </w:rPr>
        <w:t>Al Dr. Fermín Carreño Meléndez, su incansable espíritu fortalece el ímpetu de lograr </w:t>
      </w:r>
      <w:r>
        <w:rPr>
          <w:i/>
          <w:sz w:val="24"/>
        </w:rPr>
        <w:t>“Patria, Ciencia y Trabajo”.</w:t>
      </w:r>
    </w:p>
    <w:p>
      <w:pPr>
        <w:pStyle w:val="BodyText"/>
        <w:spacing w:before="6"/>
        <w:rPr>
          <w:i/>
          <w:sz w:val="21"/>
        </w:rPr>
      </w:pPr>
    </w:p>
    <w:p>
      <w:pPr>
        <w:pStyle w:val="BodyText"/>
        <w:spacing w:line="360" w:lineRule="auto"/>
        <w:ind w:left="4379" w:right="112"/>
        <w:jc w:val="both"/>
      </w:pPr>
      <w:r>
        <w:rPr/>
        <w:t>Al Dr. Luis Miguel Valenzuela Montes, por su compromiso, responsabilidad y orientación, así como las enseñanzas y experiencias.</w:t>
      </w:r>
    </w:p>
    <w:p>
      <w:pPr>
        <w:pStyle w:val="BodyText"/>
        <w:spacing w:before="6"/>
        <w:rPr>
          <w:sz w:val="21"/>
        </w:rPr>
      </w:pPr>
    </w:p>
    <w:p>
      <w:pPr>
        <w:pStyle w:val="BodyText"/>
        <w:spacing w:line="360" w:lineRule="auto"/>
        <w:ind w:left="4379" w:right="112"/>
        <w:jc w:val="both"/>
      </w:pPr>
      <w:r>
        <w:rPr/>
        <w:t>Al Dr. Francisco Javier Rosas Ferrusca y la Dra. Teresa Becerril Sánchez, por su asertividad y valiosas contribuciones.</w:t>
      </w:r>
    </w:p>
    <w:p>
      <w:pPr>
        <w:pStyle w:val="BodyText"/>
        <w:spacing w:before="6"/>
        <w:rPr>
          <w:sz w:val="21"/>
        </w:rPr>
      </w:pPr>
    </w:p>
    <w:p>
      <w:pPr>
        <w:pStyle w:val="BodyText"/>
        <w:spacing w:line="360" w:lineRule="auto"/>
        <w:ind w:left="4379" w:right="112"/>
        <w:jc w:val="both"/>
      </w:pPr>
      <w:r>
        <w:rPr/>
        <w:t>A todas esas buenas personas; mis profesores que de manera directa o indirecta forman parte del esfuerzo realizado.</w:t>
      </w:r>
    </w:p>
    <w:p>
      <w:pPr>
        <w:spacing w:after="0" w:line="360" w:lineRule="auto"/>
        <w:jc w:val="both"/>
        <w:sectPr>
          <w:headerReference w:type="default" r:id="rId11"/>
          <w:pgSz w:w="12240" w:h="15840"/>
          <w:pgMar w:header="1442" w:footer="0" w:top="1680" w:bottom="280" w:left="1720" w:right="1300"/>
        </w:sectPr>
      </w:pPr>
    </w:p>
    <w:p>
      <w:pPr>
        <w:pStyle w:val="BodyText"/>
        <w:spacing w:line="20" w:lineRule="exact"/>
        <w:ind w:left="139"/>
        <w:rPr>
          <w:sz w:val="2"/>
        </w:rPr>
      </w:pPr>
      <w:r>
        <w:rPr>
          <w:sz w:val="2"/>
        </w:rPr>
        <w:pict>
          <v:group style="width:454.1pt;height:.5pt;mso-position-horizontal-relative:char;mso-position-vertical-relative:line" coordorigin="0,0" coordsize="9082,10">
            <v:line style="position:absolute" from="5,5" to="9077,5" stroked="true" strokeweight=".479981pt" strokecolor="#000000"/>
          </v:group>
        </w:pict>
      </w:r>
      <w:r>
        <w:rPr>
          <w:sz w:val="2"/>
        </w:rPr>
      </w:r>
    </w:p>
    <w:p>
      <w:pPr>
        <w:pStyle w:val="BodyText"/>
        <w:rPr>
          <w:sz w:val="20"/>
        </w:rPr>
      </w:pPr>
    </w:p>
    <w:p>
      <w:pPr>
        <w:pStyle w:val="BodyText"/>
        <w:rPr>
          <w:sz w:val="20"/>
        </w:rPr>
      </w:pPr>
    </w:p>
    <w:p>
      <w:pPr>
        <w:pStyle w:val="BodyText"/>
        <w:rPr>
          <w:sz w:val="20"/>
        </w:rPr>
      </w:pPr>
    </w:p>
    <w:p>
      <w:pPr>
        <w:pStyle w:val="BodyText"/>
        <w:spacing w:before="3"/>
        <w:rPr>
          <w:sz w:val="18"/>
        </w:rPr>
      </w:pPr>
    </w:p>
    <w:p>
      <w:pPr>
        <w:pStyle w:val="BodyText"/>
        <w:spacing w:before="69"/>
        <w:ind w:left="268"/>
      </w:pPr>
      <w:r>
        <w:rPr/>
        <w:t>Índice</w:t>
      </w:r>
    </w:p>
    <w:p>
      <w:pPr>
        <w:pStyle w:val="BodyText"/>
        <w:tabs>
          <w:tab w:pos="9096" w:val="right" w:leader="dot"/>
        </w:tabs>
        <w:spacing w:before="516"/>
        <w:ind w:left="268"/>
      </w:pPr>
      <w:r>
        <w:rPr/>
        <w:t>Resumen</w:t>
        <w:tab/>
        <w:t>3</w:t>
      </w:r>
    </w:p>
    <w:p>
      <w:pPr>
        <w:pStyle w:val="BodyText"/>
        <w:tabs>
          <w:tab w:pos="9096" w:val="right" w:leader="dot"/>
        </w:tabs>
        <w:spacing w:before="117"/>
        <w:ind w:left="268"/>
      </w:pPr>
      <w:r>
        <w:rPr/>
        <w:t>Abstract</w:t>
        <w:tab/>
        <w:t>9</w:t>
      </w:r>
    </w:p>
    <w:p>
      <w:pPr>
        <w:pStyle w:val="BodyText"/>
        <w:tabs>
          <w:tab w:pos="9096" w:val="right" w:leader="dot"/>
        </w:tabs>
        <w:spacing w:before="122"/>
        <w:ind w:left="268"/>
      </w:pPr>
      <w:r>
        <w:rPr/>
        <w:t>Lista de siglas y acrónimos</w:t>
        <w:tab/>
        <w:t>15</w:t>
      </w:r>
    </w:p>
    <w:p>
      <w:pPr>
        <w:pStyle w:val="BodyText"/>
        <w:tabs>
          <w:tab w:pos="9096" w:val="right" w:leader="dot"/>
        </w:tabs>
        <w:spacing w:before="117"/>
        <w:ind w:left="268"/>
      </w:pPr>
      <w:r>
        <w:rPr/>
        <w:t>Contenido</w:t>
      </w:r>
      <w:r>
        <w:rPr>
          <w:spacing w:val="-1"/>
        </w:rPr>
        <w:t> </w:t>
      </w:r>
      <w:r>
        <w:rPr/>
        <w:t>de</w:t>
      </w:r>
      <w:r>
        <w:rPr>
          <w:spacing w:val="-1"/>
        </w:rPr>
        <w:t> </w:t>
      </w:r>
      <w:r>
        <w:rPr/>
        <w:t>tablas</w:t>
        <w:tab/>
        <w:t>17</w:t>
      </w:r>
    </w:p>
    <w:p>
      <w:pPr>
        <w:pStyle w:val="BodyText"/>
        <w:tabs>
          <w:tab w:pos="9096" w:val="right" w:leader="dot"/>
        </w:tabs>
        <w:spacing w:before="122"/>
        <w:ind w:left="268"/>
      </w:pPr>
      <w:r>
        <w:rPr/>
        <w:t>Contenido de figuras</w:t>
        <w:tab/>
        <w:t>18</w:t>
      </w:r>
    </w:p>
    <w:p>
      <w:pPr>
        <w:pStyle w:val="BodyText"/>
        <w:tabs>
          <w:tab w:pos="9096" w:val="right" w:leader="dot"/>
        </w:tabs>
        <w:spacing w:before="117"/>
        <w:ind w:left="268"/>
      </w:pPr>
      <w:r>
        <w:rPr/>
        <w:t>Contenido de gráficas</w:t>
        <w:tab/>
        <w:t>19</w:t>
      </w:r>
    </w:p>
    <w:p>
      <w:pPr>
        <w:pStyle w:val="BodyText"/>
        <w:tabs>
          <w:tab w:pos="9096" w:val="right" w:leader="dot"/>
        </w:tabs>
        <w:spacing w:before="122"/>
        <w:ind w:left="268"/>
      </w:pPr>
      <w:r>
        <w:rPr/>
        <w:t>Contenido</w:t>
      </w:r>
      <w:r>
        <w:rPr>
          <w:spacing w:val="-1"/>
        </w:rPr>
        <w:t> </w:t>
      </w:r>
      <w:r>
        <w:rPr/>
        <w:t>de</w:t>
      </w:r>
      <w:r>
        <w:rPr>
          <w:spacing w:val="-1"/>
        </w:rPr>
        <w:t> </w:t>
      </w:r>
      <w:r>
        <w:rPr/>
        <w:t>mapas</w:t>
        <w:tab/>
        <w:t>19</w:t>
      </w:r>
    </w:p>
    <w:p>
      <w:pPr>
        <w:pStyle w:val="BodyText"/>
        <w:tabs>
          <w:tab w:pos="9096" w:val="right" w:leader="dot"/>
        </w:tabs>
        <w:spacing w:before="117"/>
        <w:ind w:left="268"/>
      </w:pPr>
      <w:r>
        <w:rPr/>
        <w:t>Contenido de fotografías</w:t>
        <w:tab/>
        <w:t>20</w:t>
      </w:r>
    </w:p>
    <w:p>
      <w:pPr>
        <w:pStyle w:val="BodyText"/>
        <w:tabs>
          <w:tab w:pos="9096" w:val="right" w:leader="dot"/>
        </w:tabs>
        <w:spacing w:before="396"/>
        <w:ind w:left="268"/>
      </w:pPr>
      <w:r>
        <w:rPr/>
        <w:t>Introducción</w:t>
        <w:tab/>
        <w:t>22</w:t>
      </w:r>
    </w:p>
    <w:p>
      <w:pPr>
        <w:pStyle w:val="BodyText"/>
        <w:tabs>
          <w:tab w:pos="9096" w:val="right" w:leader="dot"/>
        </w:tabs>
        <w:spacing w:line="242" w:lineRule="auto" w:before="276"/>
        <w:ind w:left="1469" w:right="241" w:hanging="1201"/>
      </w:pPr>
      <w:r>
        <w:rPr/>
        <w:t>Capítulo 1. Fundamento teórico y conceptual de la producción de la vivienda formal y la sustentabilidad</w:t>
        <w:tab/>
        <w:t>37</w:t>
      </w:r>
    </w:p>
    <w:p>
      <w:pPr>
        <w:pStyle w:val="ListParagraph"/>
        <w:numPr>
          <w:ilvl w:val="1"/>
          <w:numId w:val="1"/>
        </w:numPr>
        <w:tabs>
          <w:tab w:pos="976" w:val="left" w:leader="none"/>
          <w:tab w:pos="9095" w:val="right" w:leader="dot"/>
        </w:tabs>
        <w:spacing w:line="275" w:lineRule="exact" w:before="273" w:after="0"/>
        <w:ind w:left="975" w:right="0" w:hanging="467"/>
        <w:jc w:val="left"/>
        <w:rPr>
          <w:sz w:val="24"/>
        </w:rPr>
      </w:pPr>
      <w:r>
        <w:rPr>
          <w:sz w:val="24"/>
        </w:rPr>
        <w:t>La triada disfuncional de la promoción habitacional</w:t>
        <w:tab/>
        <w:t>37</w:t>
      </w:r>
    </w:p>
    <w:p>
      <w:pPr>
        <w:pStyle w:val="ListParagraph"/>
        <w:numPr>
          <w:ilvl w:val="2"/>
          <w:numId w:val="1"/>
        </w:numPr>
        <w:tabs>
          <w:tab w:pos="1416" w:val="left" w:leader="none"/>
          <w:tab w:pos="9095" w:val="right" w:leader="dot"/>
        </w:tabs>
        <w:spacing w:line="275" w:lineRule="exact" w:before="0" w:after="0"/>
        <w:ind w:left="1415" w:right="0" w:hanging="667"/>
        <w:jc w:val="left"/>
        <w:rPr>
          <w:sz w:val="24"/>
        </w:rPr>
      </w:pPr>
      <w:r>
        <w:rPr>
          <w:sz w:val="24"/>
        </w:rPr>
        <w:t>La participación del Estado</w:t>
        <w:tab/>
        <w:t>37</w:t>
      </w:r>
    </w:p>
    <w:p>
      <w:pPr>
        <w:pStyle w:val="ListParagraph"/>
        <w:numPr>
          <w:ilvl w:val="2"/>
          <w:numId w:val="1"/>
        </w:numPr>
        <w:tabs>
          <w:tab w:pos="1416" w:val="left" w:leader="none"/>
          <w:tab w:pos="9095" w:val="right" w:leader="dot"/>
        </w:tabs>
        <w:spacing w:line="275" w:lineRule="exact" w:before="2" w:after="0"/>
        <w:ind w:left="1415" w:right="0" w:hanging="667"/>
        <w:jc w:val="left"/>
        <w:rPr>
          <w:sz w:val="24"/>
        </w:rPr>
      </w:pPr>
      <w:r>
        <w:rPr>
          <w:sz w:val="24"/>
        </w:rPr>
        <w:t>Planteamientos en torno a la promoción inmobiliaria</w:t>
        <w:tab/>
        <w:t>41</w:t>
      </w:r>
    </w:p>
    <w:p>
      <w:pPr>
        <w:pStyle w:val="ListParagraph"/>
        <w:numPr>
          <w:ilvl w:val="2"/>
          <w:numId w:val="1"/>
        </w:numPr>
        <w:tabs>
          <w:tab w:pos="1416" w:val="left" w:leader="none"/>
          <w:tab w:pos="9095" w:val="right" w:leader="dot"/>
        </w:tabs>
        <w:spacing w:line="275" w:lineRule="exact" w:before="0" w:after="0"/>
        <w:ind w:left="1415" w:right="0" w:hanging="667"/>
        <w:jc w:val="left"/>
        <w:rPr>
          <w:sz w:val="24"/>
        </w:rPr>
      </w:pPr>
      <w:r>
        <w:rPr>
          <w:sz w:val="24"/>
        </w:rPr>
        <w:t>El desarrollo de la sociedad</w:t>
        <w:tab/>
        <w:t>49</w:t>
      </w:r>
    </w:p>
    <w:p>
      <w:pPr>
        <w:pStyle w:val="ListParagraph"/>
        <w:numPr>
          <w:ilvl w:val="1"/>
          <w:numId w:val="1"/>
        </w:numPr>
        <w:tabs>
          <w:tab w:pos="976" w:val="left" w:leader="none"/>
          <w:tab w:pos="9095" w:val="right" w:leader="dot"/>
        </w:tabs>
        <w:spacing w:line="275" w:lineRule="exact" w:before="2" w:after="0"/>
        <w:ind w:left="975" w:right="0" w:hanging="467"/>
        <w:jc w:val="left"/>
        <w:rPr>
          <w:sz w:val="24"/>
        </w:rPr>
      </w:pPr>
      <w:r>
        <w:rPr>
          <w:sz w:val="24"/>
        </w:rPr>
        <w:t>Análisis de las variables conceptuales</w:t>
        <w:tab/>
        <w:t>51</w:t>
      </w:r>
    </w:p>
    <w:p>
      <w:pPr>
        <w:pStyle w:val="ListParagraph"/>
        <w:numPr>
          <w:ilvl w:val="2"/>
          <w:numId w:val="1"/>
        </w:numPr>
        <w:tabs>
          <w:tab w:pos="1416" w:val="left" w:leader="none"/>
          <w:tab w:pos="9095" w:val="right" w:leader="dot"/>
        </w:tabs>
        <w:spacing w:line="275" w:lineRule="exact" w:before="0" w:after="0"/>
        <w:ind w:left="1415" w:right="0" w:hanging="667"/>
        <w:jc w:val="left"/>
        <w:rPr>
          <w:sz w:val="24"/>
        </w:rPr>
      </w:pPr>
      <w:r>
        <w:rPr>
          <w:sz w:val="24"/>
        </w:rPr>
        <w:t>Territorio</w:t>
        <w:tab/>
        <w:t>51</w:t>
      </w:r>
    </w:p>
    <w:p>
      <w:pPr>
        <w:pStyle w:val="ListParagraph"/>
        <w:numPr>
          <w:ilvl w:val="2"/>
          <w:numId w:val="1"/>
        </w:numPr>
        <w:tabs>
          <w:tab w:pos="1416" w:val="left" w:leader="none"/>
          <w:tab w:pos="9095" w:val="right" w:leader="dot"/>
        </w:tabs>
        <w:spacing w:line="275" w:lineRule="exact" w:before="2" w:after="0"/>
        <w:ind w:left="1415" w:right="0" w:hanging="667"/>
        <w:jc w:val="left"/>
        <w:rPr>
          <w:sz w:val="24"/>
        </w:rPr>
      </w:pPr>
      <w:r>
        <w:rPr>
          <w:sz w:val="24"/>
        </w:rPr>
        <w:t>Vivienda</w:t>
        <w:tab/>
        <w:t>53</w:t>
      </w:r>
    </w:p>
    <w:p>
      <w:pPr>
        <w:pStyle w:val="ListParagraph"/>
        <w:numPr>
          <w:ilvl w:val="2"/>
          <w:numId w:val="1"/>
        </w:numPr>
        <w:tabs>
          <w:tab w:pos="1416" w:val="left" w:leader="none"/>
          <w:tab w:pos="9095" w:val="right" w:leader="dot"/>
        </w:tabs>
        <w:spacing w:line="275" w:lineRule="exact" w:before="0" w:after="0"/>
        <w:ind w:left="1415" w:right="0" w:hanging="667"/>
        <w:jc w:val="left"/>
        <w:rPr>
          <w:sz w:val="24"/>
        </w:rPr>
      </w:pPr>
      <w:r>
        <w:rPr>
          <w:sz w:val="24"/>
        </w:rPr>
        <w:t>Sustentabilidad</w:t>
        <w:tab/>
        <w:t>55</w:t>
      </w:r>
    </w:p>
    <w:p>
      <w:pPr>
        <w:pStyle w:val="ListParagraph"/>
        <w:numPr>
          <w:ilvl w:val="2"/>
          <w:numId w:val="1"/>
        </w:numPr>
        <w:tabs>
          <w:tab w:pos="1416" w:val="left" w:leader="none"/>
          <w:tab w:pos="9095" w:val="right" w:leader="dot"/>
        </w:tabs>
        <w:spacing w:line="240" w:lineRule="auto" w:before="2" w:after="0"/>
        <w:ind w:left="1415" w:right="0" w:hanging="667"/>
        <w:jc w:val="left"/>
        <w:rPr>
          <w:sz w:val="24"/>
        </w:rPr>
      </w:pPr>
      <w:r>
        <w:rPr>
          <w:sz w:val="24"/>
        </w:rPr>
        <w:t>Sustentabilidad del territorio</w:t>
        <w:tab/>
        <w:t>61</w:t>
      </w:r>
    </w:p>
    <w:p>
      <w:pPr>
        <w:pStyle w:val="BodyText"/>
        <w:spacing w:line="275" w:lineRule="exact" w:before="276"/>
        <w:ind w:left="268"/>
      </w:pPr>
      <w:r>
        <w:rPr/>
        <w:t>Capítulo 2. Modelo metodológico para el análisis de la sustentabilidad del</w:t>
      </w:r>
    </w:p>
    <w:p>
      <w:pPr>
        <w:pStyle w:val="BodyText"/>
        <w:tabs>
          <w:tab w:pos="9096" w:val="right" w:leader="dot"/>
        </w:tabs>
        <w:spacing w:line="275" w:lineRule="exact"/>
        <w:ind w:left="1535"/>
      </w:pPr>
      <w:r>
        <w:rPr/>
        <w:t>territorio y la producción de</w:t>
      </w:r>
      <w:r>
        <w:rPr>
          <w:spacing w:val="-1"/>
        </w:rPr>
        <w:t> </w:t>
      </w:r>
      <w:r>
        <w:rPr/>
        <w:t>vivienda formal</w:t>
        <w:tab/>
        <w:t>69</w:t>
      </w:r>
    </w:p>
    <w:p>
      <w:pPr>
        <w:pStyle w:val="ListParagraph"/>
        <w:numPr>
          <w:ilvl w:val="1"/>
          <w:numId w:val="2"/>
        </w:numPr>
        <w:tabs>
          <w:tab w:pos="976" w:val="left" w:leader="none"/>
          <w:tab w:pos="9095" w:val="right" w:leader="dot"/>
        </w:tabs>
        <w:spacing w:line="240" w:lineRule="auto" w:before="276" w:after="0"/>
        <w:ind w:left="975" w:right="0" w:hanging="467"/>
        <w:jc w:val="left"/>
        <w:rPr>
          <w:sz w:val="24"/>
        </w:rPr>
      </w:pPr>
      <w:r>
        <w:rPr>
          <w:sz w:val="24"/>
        </w:rPr>
        <w:t>Fundamentos teóricos de la metodología de la investigación</w:t>
        <w:tab/>
        <w:t>71</w:t>
      </w:r>
    </w:p>
    <w:p>
      <w:pPr>
        <w:pStyle w:val="ListParagraph"/>
        <w:numPr>
          <w:ilvl w:val="1"/>
          <w:numId w:val="2"/>
        </w:numPr>
        <w:tabs>
          <w:tab w:pos="976" w:val="left" w:leader="none"/>
          <w:tab w:pos="9095" w:val="right" w:leader="dot"/>
        </w:tabs>
        <w:spacing w:line="275" w:lineRule="exact" w:before="2" w:after="0"/>
        <w:ind w:left="975" w:right="0" w:hanging="467"/>
        <w:jc w:val="left"/>
        <w:rPr>
          <w:sz w:val="24"/>
        </w:rPr>
      </w:pPr>
      <w:r>
        <w:rPr>
          <w:sz w:val="24"/>
        </w:rPr>
        <w:t>Método de análisis de la sustentabilidad del territorio</w:t>
        <w:tab/>
        <w:t>77</w:t>
      </w:r>
    </w:p>
    <w:p>
      <w:pPr>
        <w:pStyle w:val="ListParagraph"/>
        <w:numPr>
          <w:ilvl w:val="1"/>
          <w:numId w:val="2"/>
        </w:numPr>
        <w:tabs>
          <w:tab w:pos="976" w:val="left" w:leader="none"/>
          <w:tab w:pos="9095" w:val="right" w:leader="dot"/>
        </w:tabs>
        <w:spacing w:line="275" w:lineRule="exact" w:before="0" w:after="0"/>
        <w:ind w:left="975" w:right="0" w:hanging="467"/>
        <w:jc w:val="left"/>
        <w:rPr>
          <w:sz w:val="24"/>
        </w:rPr>
      </w:pPr>
      <w:r>
        <w:rPr>
          <w:sz w:val="24"/>
        </w:rPr>
        <w:t>Aportes teóricos de indicadores</w:t>
      </w:r>
      <w:r>
        <w:rPr>
          <w:spacing w:val="-1"/>
          <w:sz w:val="24"/>
        </w:rPr>
        <w:t> </w:t>
      </w:r>
      <w:r>
        <w:rPr>
          <w:sz w:val="24"/>
        </w:rPr>
        <w:t>de</w:t>
      </w:r>
      <w:r>
        <w:rPr>
          <w:spacing w:val="-1"/>
          <w:sz w:val="24"/>
        </w:rPr>
        <w:t> </w:t>
      </w:r>
      <w:r>
        <w:rPr>
          <w:sz w:val="24"/>
        </w:rPr>
        <w:t>sustentabilidad</w:t>
        <w:tab/>
        <w:t>82</w:t>
      </w:r>
    </w:p>
    <w:p>
      <w:pPr>
        <w:pStyle w:val="ListParagraph"/>
        <w:numPr>
          <w:ilvl w:val="1"/>
          <w:numId w:val="2"/>
        </w:numPr>
        <w:tabs>
          <w:tab w:pos="976" w:val="left" w:leader="none"/>
        </w:tabs>
        <w:spacing w:line="275" w:lineRule="exact" w:before="2" w:after="0"/>
        <w:ind w:left="975" w:right="0" w:hanging="467"/>
        <w:jc w:val="left"/>
        <w:rPr>
          <w:sz w:val="24"/>
        </w:rPr>
      </w:pPr>
      <w:r>
        <w:rPr>
          <w:sz w:val="24"/>
        </w:rPr>
        <w:t>Aporte de indicadores para la sustentabilidad del territorio en</w:t>
      </w:r>
      <w:r>
        <w:rPr>
          <w:spacing w:val="-1"/>
          <w:sz w:val="24"/>
        </w:rPr>
        <w:t> </w:t>
      </w:r>
      <w:r>
        <w:rPr>
          <w:sz w:val="24"/>
        </w:rPr>
        <w:t>la</w:t>
      </w:r>
    </w:p>
    <w:p>
      <w:pPr>
        <w:pStyle w:val="BodyText"/>
        <w:tabs>
          <w:tab w:pos="9095" w:val="right" w:leader="dot"/>
        </w:tabs>
        <w:spacing w:line="275" w:lineRule="exact"/>
        <w:ind w:left="975"/>
      </w:pPr>
      <w:r>
        <w:rPr/>
        <w:t>producción de vivienda</w:t>
        <w:tab/>
        <w:t>97</w:t>
      </w:r>
    </w:p>
    <w:p>
      <w:pPr>
        <w:pStyle w:val="ListParagraph"/>
        <w:numPr>
          <w:ilvl w:val="1"/>
          <w:numId w:val="2"/>
        </w:numPr>
        <w:tabs>
          <w:tab w:pos="976" w:val="left" w:leader="none"/>
        </w:tabs>
        <w:spacing w:line="275" w:lineRule="exact" w:before="2" w:after="0"/>
        <w:ind w:left="975" w:right="0" w:hanging="467"/>
        <w:jc w:val="left"/>
        <w:rPr>
          <w:sz w:val="24"/>
        </w:rPr>
      </w:pPr>
      <w:r>
        <w:rPr>
          <w:sz w:val="24"/>
        </w:rPr>
        <w:t>Diseño del modelo metodológico de indicadores para la</w:t>
      </w:r>
      <w:r>
        <w:rPr>
          <w:spacing w:val="-1"/>
          <w:sz w:val="24"/>
        </w:rPr>
        <w:t> </w:t>
      </w:r>
      <w:r>
        <w:rPr>
          <w:sz w:val="24"/>
        </w:rPr>
        <w:t>obtención</w:t>
      </w:r>
    </w:p>
    <w:p>
      <w:pPr>
        <w:pStyle w:val="BodyText"/>
        <w:tabs>
          <w:tab w:pos="9095" w:val="right" w:leader="dot"/>
        </w:tabs>
        <w:spacing w:line="275" w:lineRule="exact"/>
        <w:ind w:left="975"/>
      </w:pPr>
      <w:r>
        <w:rPr/>
        <w:t>del índice de sustentabilidad de</w:t>
      </w:r>
      <w:r>
        <w:rPr>
          <w:spacing w:val="-1"/>
        </w:rPr>
        <w:t> </w:t>
      </w:r>
      <w:r>
        <w:rPr/>
        <w:t>conjuntos</w:t>
      </w:r>
      <w:r>
        <w:rPr>
          <w:spacing w:val="-1"/>
        </w:rPr>
        <w:t> </w:t>
      </w:r>
      <w:r>
        <w:rPr/>
        <w:t>urbanos</w:t>
        <w:tab/>
        <w:t>104</w:t>
      </w:r>
    </w:p>
    <w:p>
      <w:pPr>
        <w:spacing w:after="0" w:line="275" w:lineRule="exact"/>
        <w:sectPr>
          <w:headerReference w:type="default" r:id="rId12"/>
          <w:footerReference w:type="default" r:id="rId13"/>
          <w:pgSz w:w="12240" w:h="15840"/>
          <w:pgMar w:header="730" w:footer="1066" w:top="1140" w:bottom="1260" w:left="1720" w:right="1180"/>
          <w:pgNumType w:start="1"/>
        </w:sectPr>
      </w:pPr>
    </w:p>
    <w:p>
      <w:pPr>
        <w:pStyle w:val="BodyText"/>
      </w:pPr>
    </w:p>
    <w:p>
      <w:pPr>
        <w:pStyle w:val="BodyText"/>
      </w:pPr>
    </w:p>
    <w:p>
      <w:pPr>
        <w:pStyle w:val="BodyText"/>
      </w:pPr>
    </w:p>
    <w:p>
      <w:pPr>
        <w:pStyle w:val="BodyText"/>
        <w:spacing w:before="10"/>
        <w:rPr>
          <w:sz w:val="23"/>
        </w:rPr>
      </w:pPr>
    </w:p>
    <w:p>
      <w:pPr>
        <w:pStyle w:val="BodyText"/>
        <w:spacing w:before="1"/>
        <w:ind w:left="268"/>
      </w:pPr>
      <w:r>
        <w:rPr/>
        <w:pict>
          <v:line style="position:absolute;mso-position-horizontal-relative:page;mso-position-vertical-relative:paragraph;z-index:1144" from="93.199997pt,-64.294121pt" to="546.799997pt,-64.294121pt" stroked="true" strokeweight=".479981pt" strokecolor="#000000">
            <w10:wrap type="none"/>
          </v:line>
        </w:pict>
      </w:r>
      <w:r>
        <w:rPr/>
        <w:t>Capítulo 3. La sustentabilidad en el proceso de promoción, producción</w:t>
      </w:r>
    </w:p>
    <w:p>
      <w:pPr>
        <w:pStyle w:val="BodyText"/>
        <w:tabs>
          <w:tab w:pos="8696" w:val="left" w:leader="dot"/>
        </w:tabs>
        <w:spacing w:before="2"/>
        <w:ind w:left="1535"/>
      </w:pPr>
      <w:r>
        <w:rPr/>
        <w:t>y desarrollo habitacional en el Estado</w:t>
      </w:r>
      <w:r>
        <w:rPr>
          <w:spacing w:val="-1"/>
        </w:rPr>
        <w:t> </w:t>
      </w:r>
      <w:r>
        <w:rPr/>
        <w:t>de México</w:t>
        <w:tab/>
        <w:t>121</w:t>
      </w:r>
    </w:p>
    <w:p>
      <w:pPr>
        <w:pStyle w:val="ListParagraph"/>
        <w:numPr>
          <w:ilvl w:val="1"/>
          <w:numId w:val="3"/>
        </w:numPr>
        <w:tabs>
          <w:tab w:pos="976" w:val="left" w:leader="none"/>
          <w:tab w:pos="8695" w:val="left" w:leader="dot"/>
        </w:tabs>
        <w:spacing w:line="275" w:lineRule="exact" w:before="276" w:after="0"/>
        <w:ind w:left="975" w:right="0" w:hanging="467"/>
        <w:jc w:val="left"/>
        <w:rPr>
          <w:sz w:val="24"/>
        </w:rPr>
      </w:pPr>
      <w:r>
        <w:rPr>
          <w:sz w:val="24"/>
        </w:rPr>
        <w:t>La sustentabilidad en la autorización de</w:t>
      </w:r>
      <w:r>
        <w:rPr>
          <w:spacing w:val="-1"/>
          <w:sz w:val="24"/>
        </w:rPr>
        <w:t> </w:t>
      </w:r>
      <w:r>
        <w:rPr>
          <w:sz w:val="24"/>
        </w:rPr>
        <w:t>conjuntos</w:t>
      </w:r>
      <w:r>
        <w:rPr>
          <w:spacing w:val="-1"/>
          <w:sz w:val="24"/>
        </w:rPr>
        <w:t> </w:t>
      </w:r>
      <w:r>
        <w:rPr>
          <w:sz w:val="24"/>
        </w:rPr>
        <w:t>urbanos</w:t>
        <w:tab/>
        <w:t>123</w:t>
      </w:r>
    </w:p>
    <w:p>
      <w:pPr>
        <w:pStyle w:val="ListParagraph"/>
        <w:numPr>
          <w:ilvl w:val="2"/>
          <w:numId w:val="3"/>
        </w:numPr>
        <w:tabs>
          <w:tab w:pos="1416" w:val="left" w:leader="none"/>
          <w:tab w:pos="8695" w:val="left" w:leader="dot"/>
        </w:tabs>
        <w:spacing w:line="275" w:lineRule="exact" w:before="0" w:after="0"/>
        <w:ind w:left="1415" w:right="0" w:hanging="667"/>
        <w:jc w:val="left"/>
        <w:rPr>
          <w:sz w:val="24"/>
        </w:rPr>
      </w:pPr>
      <w:r>
        <w:rPr>
          <w:sz w:val="24"/>
        </w:rPr>
        <w:t>El proceso administrativo de autorización</w:t>
        <w:tab/>
        <w:t>124</w:t>
      </w:r>
    </w:p>
    <w:p>
      <w:pPr>
        <w:pStyle w:val="ListParagraph"/>
        <w:numPr>
          <w:ilvl w:val="2"/>
          <w:numId w:val="3"/>
        </w:numPr>
        <w:tabs>
          <w:tab w:pos="1416" w:val="left" w:leader="none"/>
          <w:tab w:pos="8695" w:val="left" w:leader="dot"/>
        </w:tabs>
        <w:spacing w:line="275" w:lineRule="exact" w:before="2" w:after="0"/>
        <w:ind w:left="1415" w:right="0" w:hanging="667"/>
        <w:jc w:val="left"/>
        <w:rPr>
          <w:sz w:val="24"/>
        </w:rPr>
      </w:pPr>
      <w:r>
        <w:rPr>
          <w:sz w:val="24"/>
        </w:rPr>
        <w:t>Sustentabilidad en la normatividad</w:t>
        <w:tab/>
        <w:t>126</w:t>
      </w:r>
    </w:p>
    <w:p>
      <w:pPr>
        <w:pStyle w:val="ListParagraph"/>
        <w:numPr>
          <w:ilvl w:val="2"/>
          <w:numId w:val="3"/>
        </w:numPr>
        <w:tabs>
          <w:tab w:pos="1416" w:val="left" w:leader="none"/>
          <w:tab w:pos="8695" w:val="left" w:leader="dot"/>
        </w:tabs>
        <w:spacing w:line="275" w:lineRule="exact" w:before="0" w:after="0"/>
        <w:ind w:left="1415" w:right="0" w:hanging="667"/>
        <w:jc w:val="left"/>
        <w:rPr>
          <w:sz w:val="24"/>
        </w:rPr>
      </w:pPr>
      <w:r>
        <w:rPr>
          <w:sz w:val="24"/>
        </w:rPr>
        <w:t>Autorizaciones para la sustentabilidad</w:t>
        <w:tab/>
        <w:t>136</w:t>
      </w:r>
    </w:p>
    <w:p>
      <w:pPr>
        <w:pStyle w:val="ListParagraph"/>
        <w:numPr>
          <w:ilvl w:val="1"/>
          <w:numId w:val="3"/>
        </w:numPr>
        <w:tabs>
          <w:tab w:pos="976" w:val="left" w:leader="none"/>
          <w:tab w:pos="8695" w:val="left" w:leader="dot"/>
        </w:tabs>
        <w:spacing w:line="275" w:lineRule="exact" w:before="2" w:after="0"/>
        <w:ind w:left="975" w:right="0" w:hanging="467"/>
        <w:jc w:val="left"/>
        <w:rPr>
          <w:sz w:val="24"/>
        </w:rPr>
      </w:pPr>
      <w:r>
        <w:rPr>
          <w:sz w:val="24"/>
        </w:rPr>
        <w:t>El proceso de</w:t>
      </w:r>
      <w:r>
        <w:rPr>
          <w:spacing w:val="-1"/>
          <w:sz w:val="24"/>
        </w:rPr>
        <w:t> </w:t>
      </w:r>
      <w:r>
        <w:rPr>
          <w:sz w:val="24"/>
        </w:rPr>
        <w:t>promoción habitacional</w:t>
        <w:tab/>
        <w:t>140</w:t>
      </w:r>
    </w:p>
    <w:p>
      <w:pPr>
        <w:pStyle w:val="ListParagraph"/>
        <w:numPr>
          <w:ilvl w:val="2"/>
          <w:numId w:val="3"/>
        </w:numPr>
        <w:tabs>
          <w:tab w:pos="1416" w:val="left" w:leader="none"/>
          <w:tab w:pos="8695" w:val="left" w:leader="dot"/>
        </w:tabs>
        <w:spacing w:line="275" w:lineRule="exact" w:before="0" w:after="0"/>
        <w:ind w:left="1415" w:right="0" w:hanging="667"/>
        <w:jc w:val="left"/>
        <w:rPr>
          <w:sz w:val="24"/>
        </w:rPr>
      </w:pPr>
      <w:r>
        <w:rPr>
          <w:sz w:val="24"/>
        </w:rPr>
        <w:t>Gestión y legalización de la tierra</w:t>
        <w:tab/>
        <w:t>140</w:t>
      </w:r>
    </w:p>
    <w:p>
      <w:pPr>
        <w:pStyle w:val="ListParagraph"/>
        <w:numPr>
          <w:ilvl w:val="2"/>
          <w:numId w:val="3"/>
        </w:numPr>
        <w:tabs>
          <w:tab w:pos="1416" w:val="left" w:leader="none"/>
          <w:tab w:pos="8695" w:val="left" w:leader="dot"/>
        </w:tabs>
        <w:spacing w:line="275" w:lineRule="exact" w:before="2" w:after="0"/>
        <w:ind w:left="1415" w:right="0" w:hanging="667"/>
        <w:jc w:val="left"/>
        <w:rPr>
          <w:sz w:val="24"/>
        </w:rPr>
      </w:pPr>
      <w:r>
        <w:rPr>
          <w:sz w:val="24"/>
        </w:rPr>
        <w:t>Pre factibilidad de la tierra y del proyecto de</w:t>
      </w:r>
      <w:r>
        <w:rPr>
          <w:spacing w:val="-1"/>
          <w:sz w:val="24"/>
        </w:rPr>
        <w:t> </w:t>
      </w:r>
      <w:r>
        <w:rPr>
          <w:sz w:val="24"/>
        </w:rPr>
        <w:t>conjunto</w:t>
      </w:r>
      <w:r>
        <w:rPr>
          <w:spacing w:val="-1"/>
          <w:sz w:val="24"/>
        </w:rPr>
        <w:t> </w:t>
      </w:r>
      <w:r>
        <w:rPr>
          <w:sz w:val="24"/>
        </w:rPr>
        <w:t>urbano</w:t>
        <w:tab/>
        <w:t>143</w:t>
      </w:r>
    </w:p>
    <w:p>
      <w:pPr>
        <w:pStyle w:val="ListParagraph"/>
        <w:numPr>
          <w:ilvl w:val="2"/>
          <w:numId w:val="3"/>
        </w:numPr>
        <w:tabs>
          <w:tab w:pos="1416" w:val="left" w:leader="none"/>
          <w:tab w:pos="8695" w:val="left" w:leader="dot"/>
        </w:tabs>
        <w:spacing w:line="275" w:lineRule="exact" w:before="0" w:after="0"/>
        <w:ind w:left="1415" w:right="0" w:hanging="667"/>
        <w:jc w:val="left"/>
        <w:rPr>
          <w:sz w:val="24"/>
        </w:rPr>
      </w:pPr>
      <w:r>
        <w:rPr>
          <w:sz w:val="24"/>
        </w:rPr>
        <w:t>Legalización y autorización del</w:t>
      </w:r>
      <w:r>
        <w:rPr>
          <w:spacing w:val="-2"/>
          <w:sz w:val="24"/>
        </w:rPr>
        <w:t> </w:t>
      </w:r>
      <w:r>
        <w:rPr>
          <w:sz w:val="24"/>
        </w:rPr>
        <w:t>conjunto</w:t>
      </w:r>
      <w:r>
        <w:rPr>
          <w:spacing w:val="-1"/>
          <w:sz w:val="24"/>
        </w:rPr>
        <w:t> </w:t>
      </w:r>
      <w:r>
        <w:rPr>
          <w:sz w:val="24"/>
        </w:rPr>
        <w:t>urbano</w:t>
        <w:tab/>
        <w:t>147</w:t>
      </w:r>
    </w:p>
    <w:p>
      <w:pPr>
        <w:pStyle w:val="ListParagraph"/>
        <w:numPr>
          <w:ilvl w:val="2"/>
          <w:numId w:val="3"/>
        </w:numPr>
        <w:tabs>
          <w:tab w:pos="1416" w:val="left" w:leader="none"/>
          <w:tab w:pos="8695" w:val="left" w:leader="dot"/>
        </w:tabs>
        <w:spacing w:line="275" w:lineRule="exact" w:before="2" w:after="0"/>
        <w:ind w:left="1415" w:right="0" w:hanging="667"/>
        <w:jc w:val="left"/>
        <w:rPr>
          <w:sz w:val="24"/>
        </w:rPr>
      </w:pPr>
      <w:r>
        <w:rPr>
          <w:sz w:val="24"/>
        </w:rPr>
        <w:t>Urbanización y edificación: derechos y obligaciones</w:t>
        <w:tab/>
        <w:t>149</w:t>
      </w:r>
    </w:p>
    <w:p>
      <w:pPr>
        <w:pStyle w:val="ListParagraph"/>
        <w:numPr>
          <w:ilvl w:val="2"/>
          <w:numId w:val="3"/>
        </w:numPr>
        <w:tabs>
          <w:tab w:pos="1416" w:val="left" w:leader="none"/>
          <w:tab w:pos="8695" w:val="left" w:leader="dot"/>
        </w:tabs>
        <w:spacing w:line="274" w:lineRule="exact" w:before="0" w:after="0"/>
        <w:ind w:left="1415" w:right="0" w:hanging="667"/>
        <w:jc w:val="left"/>
        <w:rPr>
          <w:sz w:val="24"/>
        </w:rPr>
      </w:pPr>
      <w:r>
        <w:rPr>
          <w:sz w:val="24"/>
        </w:rPr>
        <w:t>Escrituración y habitabilidad</w:t>
        <w:tab/>
        <w:t>155</w:t>
      </w:r>
    </w:p>
    <w:p>
      <w:pPr>
        <w:pStyle w:val="ListParagraph"/>
        <w:numPr>
          <w:ilvl w:val="2"/>
          <w:numId w:val="3"/>
        </w:numPr>
        <w:tabs>
          <w:tab w:pos="1416" w:val="left" w:leader="none"/>
          <w:tab w:pos="8695" w:val="left" w:leader="dot"/>
        </w:tabs>
        <w:spacing w:line="275" w:lineRule="exact" w:before="0" w:after="0"/>
        <w:ind w:left="1415" w:right="0" w:hanging="667"/>
        <w:jc w:val="left"/>
        <w:rPr>
          <w:sz w:val="24"/>
        </w:rPr>
      </w:pPr>
      <w:r>
        <w:rPr>
          <w:sz w:val="24"/>
        </w:rPr>
        <w:t>Municipalización y entrega del</w:t>
      </w:r>
      <w:r>
        <w:rPr>
          <w:spacing w:val="-1"/>
          <w:sz w:val="24"/>
        </w:rPr>
        <w:t> </w:t>
      </w:r>
      <w:r>
        <w:rPr>
          <w:sz w:val="24"/>
        </w:rPr>
        <w:t>conjunto</w:t>
      </w:r>
      <w:r>
        <w:rPr>
          <w:spacing w:val="-1"/>
          <w:sz w:val="24"/>
        </w:rPr>
        <w:t> </w:t>
      </w:r>
      <w:r>
        <w:rPr>
          <w:sz w:val="24"/>
        </w:rPr>
        <w:t>urbano</w:t>
        <w:tab/>
        <w:t>157</w:t>
      </w:r>
    </w:p>
    <w:p>
      <w:pPr>
        <w:pStyle w:val="BodyText"/>
        <w:tabs>
          <w:tab w:pos="8696" w:val="left" w:leader="dot"/>
        </w:tabs>
        <w:spacing w:line="242" w:lineRule="auto" w:before="276"/>
        <w:ind w:left="1469" w:right="241" w:hanging="1201"/>
      </w:pPr>
      <w:r>
        <w:rPr/>
        <w:t>Capítulo 4. Aplicación del modelo metodológico en conjuntos urbanos del municipio de Calimaya, Estado de México</w:t>
        <w:tab/>
        <w:t>162</w:t>
      </w:r>
    </w:p>
    <w:p>
      <w:pPr>
        <w:pStyle w:val="ListParagraph"/>
        <w:numPr>
          <w:ilvl w:val="1"/>
          <w:numId w:val="4"/>
        </w:numPr>
        <w:tabs>
          <w:tab w:pos="976" w:val="left" w:leader="none"/>
          <w:tab w:pos="8695" w:val="left" w:leader="dot"/>
        </w:tabs>
        <w:spacing w:line="275" w:lineRule="exact" w:before="273" w:after="0"/>
        <w:ind w:left="975" w:right="0" w:hanging="467"/>
        <w:jc w:val="left"/>
        <w:rPr>
          <w:sz w:val="24"/>
        </w:rPr>
      </w:pPr>
      <w:r>
        <w:rPr>
          <w:sz w:val="24"/>
        </w:rPr>
        <w:t>Selección y descripción del estudio</w:t>
        <w:tab/>
        <w:t>162</w:t>
      </w:r>
    </w:p>
    <w:p>
      <w:pPr>
        <w:pStyle w:val="ListParagraph"/>
        <w:numPr>
          <w:ilvl w:val="1"/>
          <w:numId w:val="4"/>
        </w:numPr>
        <w:tabs>
          <w:tab w:pos="976" w:val="left" w:leader="none"/>
          <w:tab w:pos="8695" w:val="left" w:leader="dot"/>
        </w:tabs>
        <w:spacing w:line="275" w:lineRule="exact" w:before="0" w:after="0"/>
        <w:ind w:left="975" w:right="0" w:hanging="467"/>
        <w:jc w:val="left"/>
        <w:rPr>
          <w:sz w:val="24"/>
        </w:rPr>
      </w:pPr>
      <w:r>
        <w:rPr>
          <w:sz w:val="24"/>
        </w:rPr>
        <w:t>La evaluación y análisis</w:t>
        <w:tab/>
        <w:t>172</w:t>
      </w:r>
    </w:p>
    <w:p>
      <w:pPr>
        <w:pStyle w:val="ListParagraph"/>
        <w:numPr>
          <w:ilvl w:val="1"/>
          <w:numId w:val="4"/>
        </w:numPr>
        <w:tabs>
          <w:tab w:pos="976" w:val="left" w:leader="none"/>
          <w:tab w:pos="8695" w:val="left" w:leader="dot"/>
        </w:tabs>
        <w:spacing w:line="275" w:lineRule="exact" w:before="2" w:after="0"/>
        <w:ind w:left="975" w:right="0" w:hanging="467"/>
        <w:jc w:val="left"/>
        <w:rPr>
          <w:sz w:val="24"/>
        </w:rPr>
      </w:pPr>
      <w:r>
        <w:rPr>
          <w:sz w:val="24"/>
        </w:rPr>
        <w:t>Resultados del análisis</w:t>
        <w:tab/>
        <w:t>176</w:t>
      </w:r>
    </w:p>
    <w:p>
      <w:pPr>
        <w:pStyle w:val="ListParagraph"/>
        <w:numPr>
          <w:ilvl w:val="2"/>
          <w:numId w:val="4"/>
        </w:numPr>
        <w:tabs>
          <w:tab w:pos="1416" w:val="left" w:leader="none"/>
          <w:tab w:pos="8695" w:val="left" w:leader="dot"/>
        </w:tabs>
        <w:spacing w:line="275" w:lineRule="exact" w:before="0" w:after="0"/>
        <w:ind w:left="1415" w:right="0" w:hanging="667"/>
        <w:jc w:val="left"/>
        <w:rPr>
          <w:sz w:val="24"/>
        </w:rPr>
      </w:pPr>
      <w:r>
        <w:rPr>
          <w:sz w:val="24"/>
        </w:rPr>
        <w:t>Resultados de los</w:t>
      </w:r>
      <w:r>
        <w:rPr>
          <w:spacing w:val="-1"/>
          <w:sz w:val="24"/>
        </w:rPr>
        <w:t> </w:t>
      </w:r>
      <w:r>
        <w:rPr>
          <w:sz w:val="24"/>
        </w:rPr>
        <w:t>conjuntos</w:t>
      </w:r>
      <w:r>
        <w:rPr>
          <w:spacing w:val="-1"/>
          <w:sz w:val="24"/>
        </w:rPr>
        <w:t> </w:t>
      </w:r>
      <w:r>
        <w:rPr>
          <w:sz w:val="24"/>
        </w:rPr>
        <w:t>urbanos</w:t>
        <w:tab/>
        <w:t>176</w:t>
      </w:r>
    </w:p>
    <w:p>
      <w:pPr>
        <w:pStyle w:val="ListParagraph"/>
        <w:numPr>
          <w:ilvl w:val="2"/>
          <w:numId w:val="4"/>
        </w:numPr>
        <w:tabs>
          <w:tab w:pos="1416" w:val="left" w:leader="none"/>
          <w:tab w:pos="8695" w:val="left" w:leader="dot"/>
        </w:tabs>
        <w:spacing w:line="275" w:lineRule="exact" w:before="2" w:after="0"/>
        <w:ind w:left="1415" w:right="0" w:hanging="667"/>
        <w:jc w:val="left"/>
        <w:rPr>
          <w:sz w:val="24"/>
        </w:rPr>
      </w:pPr>
      <w:r>
        <w:rPr>
          <w:sz w:val="24"/>
        </w:rPr>
        <w:t>Resultados por indicadores</w:t>
        <w:tab/>
        <w:t>214</w:t>
      </w:r>
    </w:p>
    <w:p>
      <w:pPr>
        <w:pStyle w:val="ListParagraph"/>
        <w:numPr>
          <w:ilvl w:val="1"/>
          <w:numId w:val="4"/>
        </w:numPr>
        <w:tabs>
          <w:tab w:pos="976" w:val="left" w:leader="none"/>
          <w:tab w:pos="8695" w:val="left" w:leader="dot"/>
        </w:tabs>
        <w:spacing w:line="275" w:lineRule="exact" w:before="0" w:after="0"/>
        <w:ind w:left="975" w:right="0" w:hanging="467"/>
        <w:jc w:val="left"/>
        <w:rPr>
          <w:sz w:val="24"/>
        </w:rPr>
      </w:pPr>
      <w:r>
        <w:rPr>
          <w:sz w:val="24"/>
        </w:rPr>
        <w:t>Análisis de resultados</w:t>
        <w:tab/>
        <w:t>218</w:t>
      </w:r>
    </w:p>
    <w:p>
      <w:pPr>
        <w:pStyle w:val="ListParagraph"/>
        <w:numPr>
          <w:ilvl w:val="1"/>
          <w:numId w:val="4"/>
        </w:numPr>
        <w:tabs>
          <w:tab w:pos="976" w:val="left" w:leader="none"/>
          <w:tab w:pos="8695" w:val="left" w:leader="dot"/>
        </w:tabs>
        <w:spacing w:line="240" w:lineRule="auto" w:before="2" w:after="0"/>
        <w:ind w:left="975" w:right="0" w:hanging="467"/>
        <w:jc w:val="left"/>
        <w:rPr>
          <w:sz w:val="24"/>
        </w:rPr>
      </w:pPr>
      <w:r>
        <w:rPr>
          <w:sz w:val="24"/>
        </w:rPr>
        <w:t>Contribución de la metodología</w:t>
        <w:tab/>
        <w:t>229</w:t>
      </w:r>
    </w:p>
    <w:p>
      <w:pPr>
        <w:pStyle w:val="BodyText"/>
        <w:tabs>
          <w:tab w:pos="8696" w:val="left" w:leader="dot"/>
        </w:tabs>
        <w:spacing w:before="396"/>
        <w:ind w:left="268"/>
      </w:pPr>
      <w:r>
        <w:rPr/>
        <w:t>Conclusiones</w:t>
        <w:tab/>
        <w:t>232</w:t>
      </w:r>
    </w:p>
    <w:p>
      <w:pPr>
        <w:pStyle w:val="BodyText"/>
        <w:tabs>
          <w:tab w:pos="8696" w:val="left" w:leader="dot"/>
        </w:tabs>
        <w:spacing w:before="117"/>
        <w:ind w:left="268"/>
      </w:pPr>
      <w:r>
        <w:rPr/>
        <w:t>Bibliografía</w:t>
        <w:tab/>
        <w:t>246</w:t>
      </w:r>
    </w:p>
    <w:p>
      <w:pPr>
        <w:pStyle w:val="BodyText"/>
        <w:tabs>
          <w:tab w:pos="8696" w:val="left" w:leader="dot"/>
        </w:tabs>
        <w:spacing w:line="275" w:lineRule="exact" w:before="122"/>
        <w:ind w:left="268"/>
      </w:pPr>
      <w:r>
        <w:rPr/>
        <w:t>Anexos</w:t>
        <w:tab/>
        <w:t>260</w:t>
      </w:r>
    </w:p>
    <w:p>
      <w:pPr>
        <w:pStyle w:val="BodyText"/>
        <w:tabs>
          <w:tab w:pos="8695" w:val="left" w:leader="dot"/>
        </w:tabs>
        <w:spacing w:line="275" w:lineRule="exact"/>
        <w:ind w:left="508"/>
      </w:pPr>
      <w:r>
        <w:rPr/>
        <w:t>Aspectos normativos</w:t>
        <w:tab/>
        <w:t>261</w:t>
      </w:r>
    </w:p>
    <w:p>
      <w:pPr>
        <w:pStyle w:val="BodyText"/>
        <w:tabs>
          <w:tab w:pos="8695" w:val="left" w:leader="dot"/>
        </w:tabs>
        <w:spacing w:line="275" w:lineRule="exact" w:before="2"/>
        <w:ind w:left="508"/>
      </w:pPr>
      <w:r>
        <w:rPr/>
        <w:t>Caracterización de los</w:t>
      </w:r>
      <w:r>
        <w:rPr>
          <w:spacing w:val="-1"/>
        </w:rPr>
        <w:t> </w:t>
      </w:r>
      <w:r>
        <w:rPr/>
        <w:t>conjuntos</w:t>
      </w:r>
      <w:r>
        <w:rPr>
          <w:spacing w:val="-1"/>
        </w:rPr>
        <w:t> </w:t>
      </w:r>
      <w:r>
        <w:rPr/>
        <w:t>urbanos.</w:t>
        <w:tab/>
        <w:t>264</w:t>
      </w:r>
    </w:p>
    <w:p>
      <w:pPr>
        <w:pStyle w:val="BodyText"/>
        <w:tabs>
          <w:tab w:pos="8695" w:val="left" w:leader="dot"/>
        </w:tabs>
        <w:spacing w:line="275" w:lineRule="exact"/>
        <w:ind w:left="508"/>
      </w:pPr>
      <w:r>
        <w:rPr/>
        <w:t>Reporte fotográfico de los</w:t>
      </w:r>
      <w:r>
        <w:rPr>
          <w:spacing w:val="-1"/>
        </w:rPr>
        <w:t> </w:t>
      </w:r>
      <w:r>
        <w:rPr/>
        <w:t>conjuntos</w:t>
      </w:r>
      <w:r>
        <w:rPr>
          <w:spacing w:val="-1"/>
        </w:rPr>
        <w:t> </w:t>
      </w:r>
      <w:r>
        <w:rPr/>
        <w:t>urbanos</w:t>
        <w:tab/>
        <w:t>288</w:t>
      </w:r>
    </w:p>
    <w:p>
      <w:pPr>
        <w:pStyle w:val="BodyText"/>
        <w:tabs>
          <w:tab w:pos="8695" w:val="left" w:leader="dot"/>
        </w:tabs>
        <w:spacing w:line="275" w:lineRule="exact" w:before="2"/>
        <w:ind w:left="508"/>
      </w:pPr>
      <w:r>
        <w:rPr/>
        <w:t>Formatos para evaluación de datos en trabajo de campo</w:t>
      </w:r>
      <w:r>
        <w:rPr>
          <w:spacing w:val="-1"/>
        </w:rPr>
        <w:t> </w:t>
      </w:r>
      <w:r>
        <w:rPr/>
        <w:t>y</w:t>
      </w:r>
      <w:r>
        <w:rPr>
          <w:spacing w:val="-1"/>
        </w:rPr>
        <w:t> </w:t>
      </w:r>
      <w:r>
        <w:rPr/>
        <w:t>gabinete</w:t>
        <w:tab/>
        <w:t>296</w:t>
      </w:r>
    </w:p>
    <w:p>
      <w:pPr>
        <w:pStyle w:val="BodyText"/>
        <w:tabs>
          <w:tab w:pos="8695" w:val="left" w:leader="dot"/>
        </w:tabs>
        <w:spacing w:line="275" w:lineRule="exact"/>
        <w:ind w:left="508"/>
      </w:pPr>
      <w:r>
        <w:rPr/>
        <w:t>Productos de</w:t>
      </w:r>
      <w:r>
        <w:rPr>
          <w:spacing w:val="-1"/>
        </w:rPr>
        <w:t> </w:t>
      </w:r>
      <w:r>
        <w:rPr/>
        <w:t>la</w:t>
      </w:r>
      <w:r>
        <w:rPr>
          <w:spacing w:val="-1"/>
        </w:rPr>
        <w:t> </w:t>
      </w:r>
      <w:r>
        <w:rPr/>
        <w:t>investigación</w:t>
        <w:tab/>
        <w:t>300</w:t>
      </w:r>
    </w:p>
    <w:p>
      <w:pPr>
        <w:spacing w:after="0" w:line="275" w:lineRule="exact"/>
        <w:sectPr>
          <w:pgSz w:w="12240" w:h="15840"/>
          <w:pgMar w:header="730" w:footer="1066" w:top="1320" w:bottom="1260" w:left="1720" w:right="1180"/>
        </w:sectPr>
      </w:pPr>
    </w:p>
    <w:p>
      <w:pPr>
        <w:pStyle w:val="BodyText"/>
        <w:spacing w:before="1"/>
      </w:pPr>
    </w:p>
    <w:p>
      <w:pPr>
        <w:pStyle w:val="Heading4"/>
        <w:spacing w:before="0"/>
      </w:pPr>
      <w:r>
        <w:rPr/>
        <w:pict>
          <v:line style="position:absolute;mso-position-horizontal-relative:page;mso-position-vertical-relative:paragraph;z-index:1168" from="93.199997pt,-23.064156pt" to="546.799997pt,-23.064156pt" stroked="true" strokeweight=".479981pt" strokecolor="#000000">
            <w10:wrap type="none"/>
          </v:line>
        </w:pict>
      </w:r>
      <w:r>
        <w:rPr/>
        <w:t>Resumen</w:t>
      </w:r>
    </w:p>
    <w:p>
      <w:pPr>
        <w:pStyle w:val="BodyText"/>
        <w:rPr>
          <w:b/>
        </w:rPr>
      </w:pPr>
    </w:p>
    <w:p>
      <w:pPr>
        <w:pStyle w:val="BodyText"/>
        <w:spacing w:line="360" w:lineRule="auto" w:before="158"/>
        <w:ind w:left="268" w:right="231"/>
        <w:jc w:val="both"/>
      </w:pPr>
      <w:r>
        <w:rPr/>
        <w:t>El trabajo de investigación que se desarrolló para la tesis de doctorado en urbanismo que se registró con el nombre </w:t>
      </w:r>
      <w:r>
        <w:rPr>
          <w:i/>
        </w:rPr>
        <w:t>“Sustentabilidad del territorio: la </w:t>
      </w:r>
      <w:r>
        <w:rPr>
          <w:i/>
        </w:rPr>
        <w:t>participación del Estado, iniciativa privada y sociedad en la producción de vivienda formal” </w:t>
      </w:r>
      <w:r>
        <w:rPr/>
        <w:t>es el resultado del esfuerzo y aportaciones de un equipo de trabajo comenzando con mi comité tutorial, continuando con las lecciones, enseñanzas, aprendizajes, experiencias y conocimientos adquiridos en las diferentes etapas académicas y profesionales, así como del propio proceso de formación en el programa de doctorado, espacios en los que de manera directa e indirecta conté con la colaboración de investigadores, profesores, académicos, especialistas y expertos en el tema lo que contribuyó de manera significativa para la elaboración de la presente tesis.</w:t>
      </w:r>
    </w:p>
    <w:p>
      <w:pPr>
        <w:pStyle w:val="BodyText"/>
        <w:spacing w:line="360" w:lineRule="auto" w:before="122"/>
        <w:ind w:left="268" w:right="231"/>
        <w:jc w:val="both"/>
      </w:pPr>
      <w:r>
        <w:rPr/>
        <w:t>Cuando se habla de ciudades podemos situarnos en verlas como ámbitos espaciales que forman parte de los territorios habitables, en el que se desarrollan actividades locales o globales y cuyas características son variables, diversas, complejas, abstractas y dispersas, en la mayoría de los casos obedecen al territorio geográfico y/o político. La mayor parte de la población que habita en el mundo lo hace en ciudades. La ciudad puede ser analizada desde múltiples áreas por mencionar algunas éstas puede estudiarse desde las necesidades y características de la sociedad a través del tiempo, del espacio y su territorio.</w:t>
      </w:r>
    </w:p>
    <w:p>
      <w:pPr>
        <w:pStyle w:val="BodyText"/>
        <w:spacing w:line="360" w:lineRule="auto" w:before="122"/>
        <w:ind w:left="268" w:right="231"/>
        <w:jc w:val="both"/>
      </w:pPr>
      <w:r>
        <w:rPr/>
        <w:t>Los seres humanos han desarrollado sus actividades en sociedad, han logrado establecer y construir estructuras en un territorio para satisfacer las necesidades de la población, como es la seguridad, protección, salud, vivienda y orden público, entre otros, que constantemente cambian, se adaptan y crean. Para satisfacer las necesidades de la población de manera equilibrada, las ciudades deben ser administradas para cuidar de los recursos naturales con los que cuentan: el agua, las áreas verdes, la biodiversidad, el suelo, la energía eléctrica e incluso los recursos humanos. En la mayoría de los países la administración de las ciudades está  regulada  por  una  serie  de  leyes,  normas  y  reglamentos  que  permiten</w:t>
      </w:r>
      <w:r>
        <w:rPr>
          <w:spacing w:val="-18"/>
        </w:rPr>
        <w:t> </w:t>
      </w:r>
      <w:r>
        <w:rPr/>
        <w:t>al</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192" from="93.199997pt,-19.614155pt" to="546.799997pt,-19.614155pt" stroked="true" strokeweight=".479981pt" strokecolor="#000000">
            <w10:wrap type="none"/>
          </v:line>
        </w:pict>
      </w:r>
      <w:r>
        <w:rPr/>
        <w:t>Estado, a través de las instituciones y dependencias, implementar políticas públicas y acciones gubernamentales en beneficio de la sociedad.</w:t>
      </w:r>
    </w:p>
    <w:p>
      <w:pPr>
        <w:pStyle w:val="BodyText"/>
        <w:spacing w:line="360" w:lineRule="auto" w:before="122"/>
        <w:ind w:left="268" w:right="231"/>
        <w:jc w:val="both"/>
      </w:pPr>
      <w:r>
        <w:rPr/>
        <w:t>Un satisfactor de suma relevancia en el contexto mundial y nacional ha sido la vivienda y a su vez, ésta es artífice de la ciudad, al configurar espacios urbanizables internos o foráneos, tanto en la urbanización tipificada como ciudad y en la urbanización del campo, así como lo urbano-rural que sucede en el territorio de México y en sus Zonas Metropolitanas como en la Zona Metropolitana de Toluca (ZMT) y sus municipios en los que a partir del año 2002 se incremento el área de su territorio con uso urbano, entre los distintos factores que incidieron en éste incremento de tierra urbana son los proyectos habitacionales que se han desarrollado bajo la figura de conjunto urbano.</w:t>
      </w:r>
    </w:p>
    <w:p>
      <w:pPr>
        <w:pStyle w:val="BodyText"/>
        <w:spacing w:line="360" w:lineRule="auto" w:before="122"/>
        <w:ind w:left="268" w:right="231"/>
        <w:jc w:val="both"/>
      </w:pPr>
      <w:r>
        <w:rPr/>
        <w:t>Los conjuntos urbanos que promociona y regula el Estado a través de políticas, leyes, normas y reglamentos que administra con sus dependencias e instituciones, son ejecutados y producto de la intervención de iniciativa privada mediante las empresas inmobiliarias y constructoras en el ramo de la vivienda y finalmente los residentes de estos desarrollos habitacionales son quienes adquieren, viven y desarrollan sus actividades bajo éste esquema de hacer ciudad.</w:t>
      </w:r>
    </w:p>
    <w:p>
      <w:pPr>
        <w:pStyle w:val="BodyText"/>
        <w:spacing w:line="360" w:lineRule="auto" w:before="127"/>
        <w:ind w:left="268" w:right="231"/>
        <w:jc w:val="both"/>
      </w:pPr>
      <w:r>
        <w:rPr/>
        <w:t>En el Estado de México los conjuntos urbanos son una figura jurídica, normativa para la promoción, producción y desarrollo de vivienda formal en el territorio. La vivienda formal es la vivienda que promociona y autoriza el Estado, para ser producida por la iniciativa privada (desarrolladores inmobiliarios) mediante un proceso normativo. Los conjuntos urbanos que se autorizan y desarrollan en el territorio de Calimaya presentan problemas de integración y congruencia con los usos de suelo, la utilización de éste, las viviendas que se producen son divergentes a las autorizadas; los servicios públicos y el equipamiento no son administrados por el municipio, se utiliza y desarrolla infraestructura sin una adecuada planeación y administración.</w:t>
      </w:r>
    </w:p>
    <w:p>
      <w:pPr>
        <w:pStyle w:val="BodyText"/>
        <w:spacing w:line="360" w:lineRule="auto" w:before="122"/>
        <w:ind w:left="268" w:right="231"/>
        <w:jc w:val="both"/>
      </w:pPr>
      <w:r>
        <w:rPr/>
        <w:t>Existen diversos estudios relacionados con las acciones del Estado en torno a la vivienda: por un lado, aquellos que describen estadísticas y políticas desarrolladas en México en distintos periodos de tiempo Maycotte (2010), Cortés (2006),</w:t>
      </w:r>
      <w:r>
        <w:rPr>
          <w:spacing w:val="65"/>
        </w:rPr>
        <w:t> </w:t>
      </w:r>
      <w:r>
        <w:rPr/>
        <w:t>Puebla</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216" from="93.199997pt,-19.614155pt" to="546.799997pt,-19.614155pt" stroked="true" strokeweight=".479981pt" strokecolor="#000000">
            <w10:wrap type="none"/>
          </v:line>
        </w:pict>
      </w:r>
      <w:r>
        <w:rPr/>
        <w:t>(2001), Schteingart (1978), entre otros; por otro lado, estudios referentes a los aspectos sociales que se generan en materia de desarrollo de vivienda formal o informal, así como al espacio urbano, los impactos positivos o negativos de la producción de vivienda Jiménez (2015), González (2011), Soto (2003), finalmente, encontramos trabajos académicos referentes al sector de la banca Méndez (2012), Balbo (2003), Carrillo (2014), González (2011), Rojas </w:t>
      </w:r>
      <w:r>
        <w:rPr>
          <w:i/>
        </w:rPr>
        <w:t>et al. </w:t>
      </w:r>
      <w:r>
        <w:rPr/>
        <w:t>(2013), o bien firmas como (BBVA Research (2012), Ernst &amp; Young (2011), KPMG (2012), quienes abordan análisis respecto a los promotores inmobiliarios que representan la iniciativa privada; sin embargo, todos éstos no abordan de manera integral la participación y relación directa que tienen los agentes que intervienen en la producción de la vivienda: Estado, iniciativa privada y sociedad y mucho menos un estudio integral de la sustentabilidad de los proyectos habitacionales a través de la figura de conjunto urbano, motivo de estudio de la presente investigación.</w:t>
      </w:r>
    </w:p>
    <w:p>
      <w:pPr>
        <w:pStyle w:val="BodyText"/>
        <w:spacing w:line="360" w:lineRule="auto" w:before="127"/>
        <w:ind w:left="268" w:right="233"/>
        <w:jc w:val="both"/>
      </w:pPr>
      <w:r>
        <w:rPr/>
        <w:t>Conforme a lo anterior, la presente investigación partió de la necesidad de contar con un estudio integral que abordar la sustentabilidad del territorio mediante un modelo metodológico que permitiera el análisis, la evaluación y el impacto de la producción de vivienda formal mediante la construcción de un sistema de indicadores basándose en el método de agregación de éstos, para con ello medir  y evaluar la sustentabilidad de la vivienda formal que se promociona, produce y desarrolla. Los diversos estudios y metodologías para el análisis de la sustentabilidad, el territorio y la vivienda, son bastas y oportunas cada día continúan siendo enriquecidas con nuevas propuestas, perspectivas y</w:t>
      </w:r>
      <w:r>
        <w:rPr>
          <w:spacing w:val="-1"/>
        </w:rPr>
        <w:t> </w:t>
      </w:r>
      <w:r>
        <w:rPr/>
        <w:t>alcances.</w:t>
      </w:r>
    </w:p>
    <w:p>
      <w:pPr>
        <w:pStyle w:val="BodyText"/>
        <w:spacing w:line="360" w:lineRule="auto" w:before="122"/>
        <w:ind w:left="268" w:right="231"/>
        <w:jc w:val="both"/>
      </w:pPr>
      <w:r>
        <w:rPr/>
        <w:t>La sustentabilidad en la gran mayoría de los casos se estudia y aborda desde una perspectiva tradicional realizando trabajos de investigación desde los tres pilares básicos con los que se dio a conocer en el libro Nuestro futuro común, un informe desarrollado por la Organización de Naciones Unidas y publicado en 1986, los tres pilares son: el ambiental, el social y el económico, a través del tiempo y desde las diferentes área de estudio se han ido incorporando otros ejes de análisis o bien se hacen combinaciones como lo socioambiental o también lo socioeconómico por mencionar algunos.</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240" from="93.199997pt,-19.614155pt" to="546.799997pt,-19.614155pt" stroked="true" strokeweight=".479981pt" strokecolor="#000000">
            <w10:wrap type="none"/>
          </v:line>
        </w:pict>
      </w:r>
      <w:r>
        <w:rPr/>
        <w:t>Por lo anterior éste trabajo aborda la sustentabilidad considerando sus principales y tradicionales ejes de análisis; social, ambiental y económico adicionando un tercer eje para su estudio éste es el eje territorial considerando que las acciones del ser humano impactan en el territorio, sean estas de carácter político, administrativo, normativo, legislativo, económico o social como lo mencionan algunos  autores;  Pamplona  (2000),  Vega  (2001),  Tommasino  (2005), </w:t>
      </w:r>
      <w:r>
        <w:rPr>
          <w:spacing w:val="54"/>
        </w:rPr>
        <w:t> </w:t>
      </w:r>
      <w:r>
        <w:rPr/>
        <w:t>Gordillo</w:t>
      </w:r>
    </w:p>
    <w:p>
      <w:pPr>
        <w:pStyle w:val="BodyText"/>
        <w:spacing w:before="2"/>
        <w:ind w:left="268"/>
        <w:jc w:val="both"/>
      </w:pPr>
      <w:r>
        <w:rPr/>
        <w:t>(2005), Eibenshutz y Goya (2009), Valenzuela (2010), Mantovaneli y Cioce (2011),</w:t>
      </w:r>
    </w:p>
    <w:p>
      <w:pPr>
        <w:pStyle w:val="BodyText"/>
        <w:spacing w:before="137"/>
        <w:ind w:left="268"/>
        <w:jc w:val="both"/>
      </w:pPr>
      <w:r>
        <w:rPr/>
        <w:t>Delfín </w:t>
      </w:r>
      <w:r>
        <w:rPr>
          <w:i/>
        </w:rPr>
        <w:t>et al. </w:t>
      </w:r>
      <w:r>
        <w:rPr/>
        <w:t>(2011), Ahumada (2012), Méndez (2012), Martínez (2012), Carreño</w:t>
      </w:r>
    </w:p>
    <w:p>
      <w:pPr>
        <w:pStyle w:val="BodyText"/>
        <w:spacing w:before="141"/>
        <w:ind w:left="268"/>
        <w:jc w:val="both"/>
      </w:pPr>
      <w:r>
        <w:rPr/>
        <w:t>(2014), Carrillo (2014), Wang </w:t>
      </w:r>
      <w:r>
        <w:rPr>
          <w:i/>
        </w:rPr>
        <w:t>et al. </w:t>
      </w:r>
      <w:r>
        <w:rPr/>
        <w:t>(2014) y Vigo (2014).</w:t>
      </w:r>
    </w:p>
    <w:p>
      <w:pPr>
        <w:pStyle w:val="BodyText"/>
        <w:spacing w:before="3"/>
        <w:rPr>
          <w:sz w:val="22"/>
        </w:rPr>
      </w:pPr>
    </w:p>
    <w:p>
      <w:pPr>
        <w:pStyle w:val="BodyText"/>
        <w:spacing w:line="360" w:lineRule="auto" w:before="1"/>
        <w:ind w:left="268" w:right="231"/>
        <w:jc w:val="both"/>
      </w:pPr>
      <w:r>
        <w:rPr/>
        <w:t>Así pues, el presente trabajo muestra un estudio y análisis con el enfoque de la sustentabilidad sumando un cuarto eje al estudio tradicional de ésta y mediante un modelo metodológico para el análisis del índice de sustentabilidad para conjuntos urbanos autorizados en el Estado de México y como caso de estudio el municipio de Calimaya.</w:t>
      </w:r>
    </w:p>
    <w:p>
      <w:pPr>
        <w:pStyle w:val="BodyText"/>
        <w:spacing w:line="360" w:lineRule="auto" w:before="122"/>
        <w:ind w:left="268" w:right="231"/>
        <w:jc w:val="both"/>
      </w:pPr>
      <w:r>
        <w:rPr/>
        <w:t>Por lo que la hipótesis de la investigación plantea que las acciones de promoción, producción y desarrollo habitacional por parte del Estado y los desarrolladores inmobiliarios a través del conjunto urbano de tipo habitacional se rigen por criterios financieros y se descuidan los aspectos ambientales, sociales, económicos y territoriales, así como las necesidades reales de sus habitantes, contribuyendo al desarrollo de vivienda inadecuada carente de perspectiva de sustentabilidad.</w:t>
      </w:r>
    </w:p>
    <w:p>
      <w:pPr>
        <w:pStyle w:val="BodyText"/>
        <w:spacing w:line="360" w:lineRule="auto" w:before="122"/>
        <w:ind w:left="268" w:right="231"/>
        <w:jc w:val="both"/>
      </w:pPr>
      <w:r>
        <w:rPr/>
        <w:t>El objetivo general de la investigación consiste en evaluar los conjuntos urbanos autorizados en el municipio de Calimaya mediante la obtención del índice de sustentabilidad de conjuntos urbanos para el Estado de México, a través de la evaluación y medición por medio del sistema de indicadores que componen el índice de sustentabilidad.</w:t>
      </w:r>
    </w:p>
    <w:p>
      <w:pPr>
        <w:pStyle w:val="BodyText"/>
        <w:spacing w:line="360" w:lineRule="auto" w:before="127"/>
        <w:ind w:left="268" w:right="231"/>
        <w:jc w:val="both"/>
      </w:pPr>
      <w:r>
        <w:rPr/>
        <w:t>El municipio de Calimaya en comparación con otros municipios de la ZMT observa diversos factores como la continuidad del proceso de urbanización y conurbación al sur-oste de ésta en especial los municipios de Toluca y Metepec. El territorio urbano en el municipio de Calimaya se ha incrementado en los últimos 13 años dicho  aumento  de  territorio  urbanizado  se  debe  a  la  autorización  de  </w:t>
      </w:r>
      <w:r>
        <w:rPr>
          <w:spacing w:val="54"/>
        </w:rPr>
        <w:t> </w:t>
      </w:r>
      <w:r>
        <w:rPr/>
        <w:t>11,837</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264" from="93.199997pt,-19.614155pt" to="546.799997pt,-19.614155pt" stroked="true" strokeweight=".479981pt" strokecolor="#000000">
            <w10:wrap type="none"/>
          </v:line>
        </w:pict>
      </w:r>
      <w:r>
        <w:rPr/>
        <w:t>viviendas que continúan su desarrollo a través de la figura de conjunto urbano, estos proyectos habitacionales se encuentran vigentes tanto en su atutorización como en su proceso de construcción.</w:t>
      </w:r>
    </w:p>
    <w:p>
      <w:pPr>
        <w:pStyle w:val="BodyText"/>
        <w:spacing w:line="360" w:lineRule="auto" w:before="122"/>
        <w:ind w:left="268" w:right="231"/>
        <w:jc w:val="both"/>
      </w:pPr>
      <w:r>
        <w:rPr/>
        <w:t>En este sentido el modelo metodológico que compone el Índice de Sustentabilidad de Conjuntos Urbanos (ISCU) se forma de cuatro índices que evalúan un eje en específico (social, ambiental, económico y territorial), estos índices se basan en la medición de 24 subíndices los cuales se obtienen con la evaluación de 67 indicadores, estos últimos se consiguen mediante la adquisición y análisis de  datos cuantitativos y cualitativos que se obtuvieron del trabajo de campo, base de datos especializadas y el estudio de bases de datos realizadas para la investigación, lo cual proyectó datos precisos de cada indicador evaluado.</w:t>
      </w:r>
    </w:p>
    <w:p>
      <w:pPr>
        <w:pStyle w:val="BodyText"/>
        <w:spacing w:line="360" w:lineRule="auto" w:before="122"/>
        <w:ind w:left="268" w:right="231"/>
        <w:jc w:val="both"/>
      </w:pPr>
      <w:r>
        <w:rPr/>
        <w:t>El criterio para la selección de estos indicadores obedeció a una extensa revisión documental y trabajo de campo, para recopilar y discernir las aportaciones de administradores públicos de la Secretaría de Desarrollo Urbano y Metropolitano  del Gobierno del Estado de México, así como de algunos representantes de la Comisión Estatal de Desarrollo Urbano y Vivienda (expertos en el tema normativo, operativo y técnico de los conjuntos urbanos), así como de desarrolladores inmobiliarios y residentes del total de los conjuntos urbanos autorizados en el municipio de Calimaya, Estado de</w:t>
      </w:r>
      <w:r>
        <w:rPr>
          <w:spacing w:val="-1"/>
        </w:rPr>
        <w:t> </w:t>
      </w:r>
      <w:r>
        <w:rPr/>
        <w:t>México.</w:t>
      </w:r>
    </w:p>
    <w:p>
      <w:pPr>
        <w:pStyle w:val="BodyText"/>
        <w:spacing w:line="360" w:lineRule="auto" w:before="122"/>
        <w:ind w:left="268" w:right="231"/>
        <w:jc w:val="both"/>
      </w:pPr>
      <w:r>
        <w:rPr/>
        <w:t>Cada uno de los 67 indicadores fue medido y evaluado a través de una pregunta, cuya respuesta fue analizada con base en una calibración y comparación con datos de indicadores e índices similares que son utilizados en dependencias e instituciones del sector de la vivienda como los son los estudios de Instituto del Fondo Nacional de la Vivienda para los Trabajadores (INFONAVIT), Sociedad Hipotecaria Federal (SHF), Comisión Nacional de Vivienda (CONAVI), Secretaría de Desarrollo Agrario, Territorial y Urbano (SEDATU), al igual que con datos de los estudios metodológicos que se abordaron en el capítulo uno de la tesis, así como indicadores e índices de organizaciones como lo son la Organización para la Cooperación y el Desarrollo Económicos (OCDE), Organización Mundial de la Salud (OMS) y la Organización de las Naciones Unidas (ONU).</w:t>
      </w:r>
    </w:p>
    <w:p>
      <w:pPr>
        <w:spacing w:after="0" w:line="360" w:lineRule="auto"/>
        <w:jc w:val="both"/>
        <w:sectPr>
          <w:footerReference w:type="default" r:id="rId14"/>
          <w:pgSz w:w="12240" w:h="15840"/>
          <w:pgMar w:footer="1066" w:header="730" w:top="1320" w:bottom="1260" w:left="1720" w:right="1180"/>
          <w:pgNumType w:start="7"/>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288" from="93.199997pt,-19.614155pt" to="546.799997pt,-19.614155pt" stroked="true" strokeweight=".479981pt" strokecolor="#000000">
            <w10:wrap type="none"/>
          </v:line>
        </w:pict>
      </w:r>
      <w:r>
        <w:rPr/>
        <w:t>La correlación en el análisis de los datos obtenidos y el trabajo con los tableros de control del sistema de indicadores se basó en el conocimiento teórico y empírico, fortaleciendo el resultado de la evaluación desarrollada, ya que para llegar a este punto de análisis es necesario conocer y dominar aspectos normativos de manera teórica y operativa, así como la interpretación de la norma vigente y los criterios de la administración pública que regula los procesos referentes a los conjuntos urbanos.</w:t>
      </w:r>
    </w:p>
    <w:p>
      <w:pPr>
        <w:pStyle w:val="BodyText"/>
        <w:spacing w:line="360" w:lineRule="auto" w:before="122"/>
        <w:ind w:left="268" w:right="231"/>
        <w:jc w:val="both"/>
      </w:pPr>
      <w:r>
        <w:rPr/>
        <w:t>Con el análisis de datos cualitativos y cuantitativos obtenidos mediante la aplicación del modelo metodologíco del sistema de indicadores para la obtención del ISCU se demuestra que los conjuntos urbanos autorizados en el municipio de Calimaya, Estado de México, no son sustentables desde la perspectiva tradicional con la que se conceptualiza la sustentabilidad. Adicionalmente, el impacto generado en el territorio municipal de igual modo no es sustentable, esto de por sí, es preocupante, más aún, es alarmante que la normatividad que regula la promoción, producción y desarrollo de vivienda formal en el Estado de México, carece de elementos para garantizar la sustentabilidad del territorio, la vivienda y sus habitantes.</w:t>
      </w:r>
    </w:p>
    <w:p>
      <w:pPr>
        <w:pStyle w:val="BodyText"/>
        <w:spacing w:line="360" w:lineRule="auto" w:before="127"/>
        <w:ind w:left="268" w:right="231"/>
        <w:jc w:val="both"/>
      </w:pPr>
      <w:r>
        <w:rPr/>
        <w:t>Por lo que la hipótesis de la investigación, fue demostrada con los resultados que arrojaron el estudio y aplicación del modelo metodológico comprobando que las acciones de promoción, producción y desarrollo habitacional por parte del Estado  y los desarrolladores inmobiliarios a través del conjunto urbano de  tipo habitacional se rigen por criterios financieros y se descuidan los aspectos ambientales, sociales, económicos y territoriales, así como las necesidades reales de sus habitantes, contribuyendo al desarrollo de vivienda inadecuada carente de perspectiva de sustentabilidad.</w:t>
      </w:r>
    </w:p>
    <w:p>
      <w:pPr>
        <w:spacing w:after="0" w:line="360" w:lineRule="auto"/>
        <w:jc w:val="both"/>
        <w:sectPr>
          <w:pgSz w:w="12240" w:h="15840"/>
          <w:pgMar w:header="730" w:footer="1066" w:top="1320" w:bottom="1260" w:left="1720" w:right="1180"/>
        </w:sectPr>
      </w:pPr>
    </w:p>
    <w:p>
      <w:pPr>
        <w:pStyle w:val="BodyText"/>
        <w:rPr>
          <w:sz w:val="20"/>
        </w:rPr>
      </w:pPr>
    </w:p>
    <w:p>
      <w:pPr>
        <w:pStyle w:val="BodyText"/>
        <w:rPr>
          <w:sz w:val="20"/>
        </w:rPr>
      </w:pPr>
    </w:p>
    <w:p>
      <w:pPr>
        <w:pStyle w:val="BodyText"/>
        <w:spacing w:before="5"/>
      </w:pPr>
    </w:p>
    <w:p>
      <w:pPr>
        <w:pStyle w:val="Heading4"/>
      </w:pPr>
      <w:r>
        <w:rPr/>
        <w:pict>
          <v:line style="position:absolute;mso-position-horizontal-relative:page;mso-position-vertical-relative:paragraph;z-index:1312" from="93.199997pt,-46.254108pt" to="546.799997pt,-46.254108pt" stroked="true" strokeweight=".479981pt" strokecolor="#000000">
            <w10:wrap type="none"/>
          </v:line>
        </w:pict>
      </w:r>
      <w:r>
        <w:rPr/>
        <w:t>Abstract</w:t>
      </w:r>
    </w:p>
    <w:p>
      <w:pPr>
        <w:pStyle w:val="BodyText"/>
        <w:rPr>
          <w:b/>
        </w:rPr>
      </w:pPr>
    </w:p>
    <w:p>
      <w:pPr>
        <w:pStyle w:val="BodyText"/>
        <w:spacing w:before="11"/>
        <w:rPr>
          <w:b/>
          <w:sz w:val="32"/>
        </w:rPr>
      </w:pPr>
    </w:p>
    <w:p>
      <w:pPr>
        <w:pStyle w:val="BodyText"/>
        <w:spacing w:line="360" w:lineRule="auto"/>
        <w:ind w:left="268" w:right="231"/>
        <w:jc w:val="both"/>
      </w:pPr>
      <w:r>
        <w:rPr/>
        <w:t>The research that was developed for the doctoral thesis in urban planning that was registered under the name "Sustainability of the territory: the participation of the State, private sector and society in the production of formal housing" is the efforts and contributions of a team beginning with my tutorial committee, continuing with lessons, lessons, learning, experiences and knowledge acquired in the different academic and professional stages as well as the very process of training in the doctoral program, spaces in which directly and indirect I counted with the collaboration of researchers, teachers, academics, specialists and experts in the field which contributed significantly to the development of this thesis.</w:t>
      </w:r>
    </w:p>
    <w:p>
      <w:pPr>
        <w:pStyle w:val="BodyText"/>
        <w:spacing w:line="360" w:lineRule="auto" w:before="127"/>
        <w:ind w:left="268" w:right="231"/>
        <w:jc w:val="both"/>
      </w:pPr>
      <w:r>
        <w:rPr/>
        <w:t>When we talk about cities we can put ourselves in them as spatial areas that are part of inhabited territories in which local or global activities are developed and whose characteristics are variable, diverse, complex, abstract and scattered, in most cases obey the geographical territory and / or political. Most of the population living in the world does in cities. The city can be analyzed from multiple areas to name a few they can be studied from the needs and characteristics of society through time, space and territory.</w:t>
      </w:r>
    </w:p>
    <w:p>
      <w:pPr>
        <w:pStyle w:val="BodyText"/>
        <w:spacing w:line="360" w:lineRule="auto" w:before="122"/>
        <w:ind w:left="268" w:right="231"/>
        <w:jc w:val="both"/>
      </w:pPr>
      <w:r>
        <w:rPr/>
        <w:t>Humans have developed their activities in society have managed to establish and build structures in a territory to meet the needs of the population, such as safety, security, health, housing and public order, among others, which constantly change, adapt and believe. To meet the needs of the population in a balanced way, cities must be given to take care of natural resources that include: water, green areas, biodiversity, soil, electricity and even human resources. In most countries the administration of cities is regulated by a series of laws, rules and regulations that allow the State, through the institutions and agencies, implement public policies  and governmental actions for the benefit of society.</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336" from="93.199997pt,-19.614155pt" to="546.799997pt,-19.614155pt" stroked="true" strokeweight=".479981pt" strokecolor="#000000">
            <w10:wrap type="none"/>
          </v:line>
        </w:pict>
      </w:r>
      <w:r>
        <w:rPr/>
        <w:t>A satisfactory of utmost importance in the global and national context has been the housing and in turn, it is the architect of the city, setting internal developable spaces or foreign, both urbanization classified as a city and the urbanization of the countryside and urban-rural happens in the territory of Mexico and its metropolitan areas such as in the Metropolitan Area of Toluca (MAT) and municipals in which starting in 2002 will increase the area of its territory with urban use, between different factors influencing this increase in urban land are housing projects that have been developed under the guise of urban ensemble.</w:t>
      </w:r>
    </w:p>
    <w:p>
      <w:pPr>
        <w:pStyle w:val="BodyText"/>
        <w:spacing w:line="360" w:lineRule="auto" w:before="127"/>
        <w:ind w:left="268" w:right="231"/>
        <w:jc w:val="both"/>
      </w:pPr>
      <w:r>
        <w:rPr/>
        <w:t>Urban complexes that promotes and regulates the State through policies, laws, rules and regulations administered with agencies and institutions, are executed  and the result of the intervention of private initiative through real estate companies in the field of housing and finally the residents of these housing developments are those who acquire, live and develop their activities under this scheme to city.</w:t>
      </w:r>
    </w:p>
    <w:p>
      <w:pPr>
        <w:pStyle w:val="BodyText"/>
        <w:spacing w:line="360" w:lineRule="auto" w:before="127"/>
        <w:ind w:left="268" w:right="231"/>
        <w:jc w:val="both"/>
      </w:pPr>
      <w:r>
        <w:rPr/>
        <w:t>In the State of Mexico urban complexes are a legal structure, rules for promotion, production and development of formal housing in the territory. Formal housing is housing that promotes and authorizes the State to be produced by the private sector (real estate developers) through a regulatory process. Urban complexes that are licensed and developed in the territory of Calimaya present problems of integration and consistency with land use, the use of it, the houses that occur are divergent authorized; utilities and equipment are not administered by the municipality, is used and developed without adequate infrastructure planning and management.</w:t>
      </w:r>
    </w:p>
    <w:p>
      <w:pPr>
        <w:pStyle w:val="BodyText"/>
        <w:spacing w:line="360" w:lineRule="auto" w:before="122"/>
        <w:ind w:left="268" w:right="231"/>
        <w:jc w:val="both"/>
      </w:pPr>
      <w:r>
        <w:rPr/>
        <w:t>There are several related state actions around housing studies: on the one hand, those describing statistics and policies developed in Mexico in different time periods Maycotte (2010), Cortes (2006), Puebla (2001), Schteingart (1978), among others; on the other hand, studies on the social aspects that are generated in the development of formal or informal housing and urban space, positive or negative impacts of housing production Jimenez (2015), Gonzalez (2011), Soto (2003), finally, we find academic papers concerning the banking sector Mendez (2012), Balbo</w:t>
      </w:r>
      <w:r>
        <w:rPr>
          <w:spacing w:val="24"/>
        </w:rPr>
        <w:t> </w:t>
      </w:r>
      <w:r>
        <w:rPr/>
        <w:t>(2003),</w:t>
      </w:r>
      <w:r>
        <w:rPr>
          <w:spacing w:val="24"/>
        </w:rPr>
        <w:t> </w:t>
      </w:r>
      <w:r>
        <w:rPr/>
        <w:t>Carrillo</w:t>
      </w:r>
      <w:r>
        <w:rPr>
          <w:spacing w:val="24"/>
        </w:rPr>
        <w:t> </w:t>
      </w:r>
      <w:r>
        <w:rPr/>
        <w:t>(2014),</w:t>
      </w:r>
      <w:r>
        <w:rPr>
          <w:spacing w:val="24"/>
        </w:rPr>
        <w:t> </w:t>
      </w:r>
      <w:r>
        <w:rPr/>
        <w:t>Gonzalez</w:t>
      </w:r>
      <w:r>
        <w:rPr>
          <w:spacing w:val="24"/>
        </w:rPr>
        <w:t> </w:t>
      </w:r>
      <w:r>
        <w:rPr/>
        <w:t>(2011),</w:t>
      </w:r>
      <w:r>
        <w:rPr>
          <w:spacing w:val="24"/>
        </w:rPr>
        <w:t> </w:t>
      </w:r>
      <w:r>
        <w:rPr/>
        <w:t>Rojas</w:t>
      </w:r>
      <w:r>
        <w:rPr>
          <w:spacing w:val="23"/>
        </w:rPr>
        <w:t> </w:t>
      </w:r>
      <w:r>
        <w:rPr>
          <w:i/>
        </w:rPr>
        <w:t>et</w:t>
      </w:r>
      <w:r>
        <w:rPr>
          <w:i/>
          <w:spacing w:val="24"/>
        </w:rPr>
        <w:t> </w:t>
      </w:r>
      <w:r>
        <w:rPr>
          <w:i/>
        </w:rPr>
        <w:t>al.</w:t>
      </w:r>
      <w:r>
        <w:rPr>
          <w:i/>
          <w:spacing w:val="23"/>
        </w:rPr>
        <w:t> </w:t>
      </w:r>
      <w:r>
        <w:rPr/>
        <w:t>(2013),</w:t>
      </w:r>
      <w:r>
        <w:rPr>
          <w:spacing w:val="24"/>
        </w:rPr>
        <w:t> </w:t>
      </w:r>
      <w:r>
        <w:rPr/>
        <w:t>or</w:t>
      </w:r>
      <w:r>
        <w:rPr>
          <w:spacing w:val="24"/>
        </w:rPr>
        <w:t> </w:t>
      </w:r>
      <w:r>
        <w:rPr/>
        <w:t>firms</w:t>
      </w:r>
      <w:r>
        <w:rPr>
          <w:spacing w:val="24"/>
        </w:rPr>
        <w:t> </w:t>
      </w:r>
      <w:r>
        <w:rPr/>
        <w:t>such</w:t>
      </w:r>
    </w:p>
    <w:p>
      <w:pPr>
        <w:spacing w:after="0" w:line="360" w:lineRule="auto"/>
        <w:jc w:val="both"/>
        <w:sectPr>
          <w:footerReference w:type="default" r:id="rId15"/>
          <w:pgSz w:w="12240" w:h="15840"/>
          <w:pgMar w:footer="1066" w:header="730"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360" from="93.199997pt,-19.614155pt" to="546.799997pt,-19.614155pt" stroked="true" strokeweight=".479981pt" strokecolor="#000000">
            <w10:wrap type="none"/>
          </v:line>
        </w:pict>
      </w:r>
      <w:r>
        <w:rPr/>
        <w:t>as (BBVA Research (2012), Ernst &amp; Young (2011), KPMG (2012), who dealt analysis regarding property developers representing private initiative, but all these do not address so full participation and direct relationship with the agents involved in the production of housing: State, private initiative and society, much less a comprehensive study of the sustainability of housing projects through the figure of urban ensemble, under study of this investigation.</w:t>
      </w:r>
    </w:p>
    <w:p>
      <w:pPr>
        <w:pStyle w:val="BodyText"/>
        <w:spacing w:line="360" w:lineRule="auto" w:before="122"/>
        <w:ind w:left="268" w:right="231"/>
        <w:jc w:val="both"/>
      </w:pPr>
      <w:r>
        <w:rPr/>
        <w:t>According to the above, this research came from the need for a comprehensive study to address the sustainability of the territory through a methodological model that would allow the analysis, evaluation and impact of the production of formal housing by building a system indicators based on the aggregation method thereof to thereby measure and assess the sustainability of formal housing that promotes, produces and develops. The various studies and methodologies for analyzing sustainability, land and housing, are rough and timely every day continue to be enriched with new ideas, perspectives and scope.</w:t>
      </w:r>
    </w:p>
    <w:p>
      <w:pPr>
        <w:pStyle w:val="BodyText"/>
        <w:spacing w:line="360" w:lineRule="auto" w:before="122"/>
        <w:ind w:left="268" w:right="231"/>
        <w:jc w:val="both"/>
      </w:pPr>
      <w:r>
        <w:rPr/>
        <w:t>Sustainability in the vast majority of cases studied and approached from a traditional perspective conducting research from the three basic pillars which I  gave to know in the book Our Common Future, a report developed by the United Nations and published in 1986, the three pillars: environmental, social and economic, to troves time and from different areas of study have been incorporated into other areas of analysis or combinations as socioambiental are made or too socioeconomic by mention some.</w:t>
      </w:r>
    </w:p>
    <w:p>
      <w:pPr>
        <w:pStyle w:val="BodyText"/>
        <w:spacing w:line="360" w:lineRule="auto" w:before="127"/>
        <w:ind w:left="268" w:right="231"/>
        <w:jc w:val="both"/>
      </w:pPr>
      <w:r>
        <w:rPr/>
        <w:t>Therefore this paper addresses the sustainability considering its main and traditional lines of analysis; social, environmental and economic adding a third axis for study this is the territorial axis considering that human actions impact on the territory, be they political, administrative, regulatory, legislative, economic or social character as reported by some authors; Pamplona (2000), Vega (2001), Tommasino  (2005),  Gordillo  (2005),  Eibenshutz  and  Goya  (2009), </w:t>
      </w:r>
      <w:r>
        <w:rPr>
          <w:spacing w:val="55"/>
        </w:rPr>
        <w:t> </w:t>
      </w:r>
      <w:r>
        <w:rPr/>
        <w:t>Valenzuela</w:t>
      </w:r>
    </w:p>
    <w:p>
      <w:pPr>
        <w:pStyle w:val="BodyText"/>
        <w:spacing w:before="2"/>
        <w:ind w:left="268"/>
        <w:jc w:val="both"/>
      </w:pPr>
      <w:r>
        <w:rPr/>
        <w:t>(2010),</w:t>
      </w:r>
      <w:r>
        <w:rPr>
          <w:spacing w:val="51"/>
        </w:rPr>
        <w:t> </w:t>
      </w:r>
      <w:r>
        <w:rPr/>
        <w:t>Mantovaneli</w:t>
      </w:r>
      <w:r>
        <w:rPr>
          <w:spacing w:val="51"/>
        </w:rPr>
        <w:t> </w:t>
      </w:r>
      <w:r>
        <w:rPr/>
        <w:t>and</w:t>
      </w:r>
      <w:r>
        <w:rPr>
          <w:spacing w:val="51"/>
        </w:rPr>
        <w:t> </w:t>
      </w:r>
      <w:r>
        <w:rPr/>
        <w:t>Cioce</w:t>
      </w:r>
      <w:r>
        <w:rPr>
          <w:spacing w:val="51"/>
        </w:rPr>
        <w:t> </w:t>
      </w:r>
      <w:r>
        <w:rPr/>
        <w:t>(2011),</w:t>
      </w:r>
      <w:r>
        <w:rPr>
          <w:spacing w:val="51"/>
        </w:rPr>
        <w:t> </w:t>
      </w:r>
      <w:r>
        <w:rPr/>
        <w:t>Dolphin</w:t>
      </w:r>
      <w:r>
        <w:rPr>
          <w:spacing w:val="51"/>
        </w:rPr>
        <w:t> </w:t>
      </w:r>
      <w:r>
        <w:rPr>
          <w:i/>
        </w:rPr>
        <w:t>et</w:t>
      </w:r>
      <w:r>
        <w:rPr>
          <w:i/>
          <w:spacing w:val="51"/>
        </w:rPr>
        <w:t> </w:t>
      </w:r>
      <w:r>
        <w:rPr>
          <w:i/>
        </w:rPr>
        <w:t>al.</w:t>
      </w:r>
      <w:r>
        <w:rPr>
          <w:i/>
          <w:spacing w:val="51"/>
        </w:rPr>
        <w:t> </w:t>
      </w:r>
      <w:r>
        <w:rPr/>
        <w:t>(2011),</w:t>
      </w:r>
      <w:r>
        <w:rPr>
          <w:spacing w:val="51"/>
        </w:rPr>
        <w:t> </w:t>
      </w:r>
      <w:r>
        <w:rPr/>
        <w:t>Ahumada</w:t>
      </w:r>
      <w:r>
        <w:rPr>
          <w:spacing w:val="51"/>
        </w:rPr>
        <w:t> </w:t>
      </w:r>
      <w:r>
        <w:rPr/>
        <w:t>(2012),</w:t>
      </w:r>
    </w:p>
    <w:p>
      <w:pPr>
        <w:pStyle w:val="BodyText"/>
        <w:spacing w:before="137"/>
        <w:ind w:left="268"/>
        <w:jc w:val="both"/>
        <w:rPr>
          <w:i/>
        </w:rPr>
      </w:pPr>
      <w:r>
        <w:rPr/>
        <w:t>Mendez  (2012),  Martinez  (2012),  Carreño  (2014),  Carrillo  (2014),  Wang  </w:t>
      </w:r>
      <w:r>
        <w:rPr>
          <w:i/>
        </w:rPr>
        <w:t>et al.</w:t>
      </w:r>
    </w:p>
    <w:p>
      <w:pPr>
        <w:pStyle w:val="BodyText"/>
        <w:spacing w:before="141"/>
        <w:ind w:left="268"/>
        <w:jc w:val="both"/>
      </w:pPr>
      <w:r>
        <w:rPr/>
        <w:t>(2014) and Vigo (2014).</w:t>
      </w:r>
    </w:p>
    <w:p>
      <w:pPr>
        <w:spacing w:after="0"/>
        <w:jc w:val="both"/>
        <w:sectPr>
          <w:footerReference w:type="default" r:id="rId16"/>
          <w:pgSz w:w="12240" w:h="15840"/>
          <w:pgMar w:footer="1066" w:header="730" w:top="1320" w:bottom="1260" w:left="1720" w:right="1180"/>
          <w:pgNumType w:start="11"/>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384" from="93.199997pt,-19.614155pt" to="546.799997pt,-19.614155pt" stroked="true" strokeweight=".479981pt" strokecolor="#000000">
            <w10:wrap type="none"/>
          </v:line>
        </w:pict>
      </w:r>
      <w:r>
        <w:rPr/>
        <w:t>Thus, the present work shows a study and analysis with a focus on sustainability adding a fourth axis to traditional study of this and through a methodological model for analyzing sustainability index for urban complexes authorized in the State of Mexico and as case study the municipality of Calimaya.</w:t>
      </w:r>
    </w:p>
    <w:p>
      <w:pPr>
        <w:pStyle w:val="BodyText"/>
        <w:spacing w:line="360" w:lineRule="auto" w:before="127"/>
        <w:ind w:left="268" w:right="231"/>
        <w:jc w:val="both"/>
      </w:pPr>
      <w:r>
        <w:rPr/>
        <w:t>So the research hypothesis states that the promotion, production and housing development by the state and property developers through the urban complex of housing types are governed by financial criteria and environmental, social, economic aspects are neglected and territorial, as well as the real needs of its people, contributing to the development of inadequate housing lacking sustainability.</w:t>
      </w:r>
    </w:p>
    <w:p>
      <w:pPr>
        <w:pStyle w:val="BodyText"/>
        <w:spacing w:line="360" w:lineRule="auto" w:before="122"/>
        <w:ind w:left="268" w:right="231"/>
        <w:jc w:val="both"/>
      </w:pPr>
      <w:r>
        <w:rPr/>
        <w:t>The overall objective of the research is to evaluate urban complexes authorized in the municipality of Calimaya by obtaining the sustainability index of urban complexes for the State of Mexico, through the evaluation and measurement by  the system of indicators that make up the sustainability index.</w:t>
      </w:r>
    </w:p>
    <w:p>
      <w:pPr>
        <w:pStyle w:val="BodyText"/>
        <w:spacing w:line="360" w:lineRule="auto" w:before="122"/>
        <w:ind w:left="268" w:right="231"/>
        <w:jc w:val="both"/>
      </w:pPr>
      <w:r>
        <w:rPr/>
        <w:t>The municipality of Calimaya compared to other municipalities in the MAT  observed various factors such as the continuity of the process of urbanization and conurbation south-west of this especially the municipalities of Toluca and Metepec. The urban territory in the municipality of Calimaya has increased in the last 13 years the increase of urbanized territory is due to the release of 11,837 homes continue their development through the figure of urban together, these housing projects are in force within authorization and construction</w:t>
      </w:r>
      <w:r>
        <w:rPr>
          <w:spacing w:val="-1"/>
        </w:rPr>
        <w:t> </w:t>
      </w:r>
      <w:r>
        <w:rPr/>
        <w:t>process.</w:t>
      </w:r>
    </w:p>
    <w:p>
      <w:pPr>
        <w:pStyle w:val="BodyText"/>
        <w:spacing w:line="360" w:lineRule="auto" w:before="127"/>
        <w:ind w:left="268" w:right="231"/>
        <w:jc w:val="both"/>
      </w:pPr>
      <w:r>
        <w:rPr/>
        <w:t>In this sense, the methodological model Composing Sustainability Index Sets Urban (SISU) is formed of four indexes that evaluate an axis specific (social, environmental, economic and territorial), these indices are based on the measurement of 24 subindexes the which are obtained with the evaluation of 67 indicators, the latter are achieved through the acquisition and analysis of quantitative and qualitative data were obtained from field work, based specialized data and study of databases made for research, which accurate projected data for each evaluated</w:t>
      </w:r>
      <w:r>
        <w:rPr>
          <w:spacing w:val="-1"/>
        </w:rPr>
        <w:t> </w:t>
      </w:r>
      <w:r>
        <w:rPr/>
        <w:t>indicator.</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408" from="93.199997pt,-19.614155pt" to="546.799997pt,-19.614155pt" stroked="true" strokeweight=".479981pt" strokecolor="#000000">
            <w10:wrap type="none"/>
          </v:line>
        </w:pict>
      </w:r>
      <w:r>
        <w:rPr/>
        <w:t>The criteria for selection of these indicators was due to an extensive document review and field work to collect and discern the contributions of public administrators from the Ministry of Urban Development and Metropolitan State Government of Mexico, as well as some representatives of the State Committee for urban Development and Housing (experts in regulatory, operational and technical joint urban theme) as well as real estate developers and residents of all authorized urban complexes in the municipality of Calimaya, State of Mexico.</w:t>
      </w:r>
    </w:p>
    <w:p>
      <w:pPr>
        <w:pStyle w:val="BodyText"/>
        <w:spacing w:line="360" w:lineRule="auto" w:before="122"/>
        <w:ind w:left="268" w:right="231"/>
        <w:jc w:val="both"/>
      </w:pPr>
      <w:r>
        <w:rPr/>
        <w:t>Each of the 67 indicators was were measured and evaluated through a question whose answer was analyzed based on a calibration and comparison with data from indicators and similar indexes that are used in offices and institutions of housing as the sector are studies Institute of the National Housing Fund for Workers (INFONAVIT), Sociedad Hipotecaria Federal (SHF), National Housing Commission (CONAVI), Ministry of Agricultural, Territorial and Urban Development (SEDATU), as with data methodological studies discussed in chapter one of the thesis, as well as indicators and indexes of organizations such as the Organisation for Economic Co-operation and Development (OECD), World Health Organization (WHO) and  the United Nations Organization United</w:t>
      </w:r>
      <w:r>
        <w:rPr>
          <w:spacing w:val="-11"/>
        </w:rPr>
        <w:t> </w:t>
      </w:r>
      <w:r>
        <w:rPr/>
        <w:t>(UN).</w:t>
      </w:r>
    </w:p>
    <w:p>
      <w:pPr>
        <w:pStyle w:val="BodyText"/>
        <w:spacing w:line="360" w:lineRule="auto" w:before="127"/>
        <w:ind w:left="268" w:right="231"/>
        <w:jc w:val="both"/>
      </w:pPr>
      <w:r>
        <w:rPr/>
        <w:t>The correlation analysis of the data and work with dashboards of the indicator system was based on the theoretical and empirical knowledge, strengthening the result of the developed assessment as to reach this point of analysis it is  necessary to know and master regulatory aspects of theoretical and operational manner, and the interpretation of existing standards and criteria governing public administration processes concerning urban complexes.</w:t>
      </w:r>
    </w:p>
    <w:p>
      <w:pPr>
        <w:pStyle w:val="BodyText"/>
        <w:spacing w:line="360" w:lineRule="auto" w:before="122"/>
        <w:ind w:left="268" w:right="230"/>
        <w:jc w:val="both"/>
      </w:pPr>
      <w:r>
        <w:rPr/>
        <w:t>With the analysis of qualitative and quantitative data obtained by applying the methodological model of the indicator system for obtaining SISU it demonstrated that urban sets allowed in the municipality of Calimaya, State of Mexico, are not sustainable from the traditional perspective with that sustainability is conceptualized. Additionally, the impact generated in the municipal territory in the same way is not sustainable, this in itself is disturbing, even more, it is alarming  that  the  regulations  governing  the  promotion,  production  and  development  </w:t>
      </w:r>
      <w:r>
        <w:rPr>
          <w:spacing w:val="40"/>
        </w:rPr>
        <w:t> </w:t>
      </w:r>
      <w:r>
        <w:rPr/>
        <w:t>of</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1432" from="93.199997pt,-19.614155pt" to="546.799997pt,-19.614155pt" stroked="true" strokeweight=".479981pt" strokecolor="#000000">
            <w10:wrap type="none"/>
          </v:line>
        </w:pict>
      </w:r>
      <w:r>
        <w:rPr/>
        <w:t>formal housing in the State of Mexico, lacks elements to ensure the sustainability  of the territory, shelter and its inhabitants.</w:t>
      </w:r>
    </w:p>
    <w:p>
      <w:pPr>
        <w:pStyle w:val="BodyText"/>
        <w:spacing w:line="360" w:lineRule="auto" w:before="122"/>
        <w:ind w:left="268" w:right="231"/>
        <w:jc w:val="both"/>
      </w:pPr>
      <w:r>
        <w:rPr/>
        <w:t>So the research hypothesis was demonstrated by the results shown by the study and application of the methodological model checking that the promotion, production and housing development by the state and property developers through the urban complex of housing type are governed by financial criteria and environmental, social, economic and territorial aspects, as well as the real needs of its people, contributing to the development of inadequate housing lacking sustainability perspective neglected.</w:t>
      </w:r>
    </w:p>
    <w:p>
      <w:pPr>
        <w:spacing w:after="0" w:line="360" w:lineRule="auto"/>
        <w:jc w:val="both"/>
        <w:sectPr>
          <w:pgSz w:w="12240" w:h="15840"/>
          <w:pgMar w:header="730" w:footer="1066" w:top="1320" w:bottom="1260" w:left="1720" w:right="1180"/>
        </w:sectPr>
      </w:pPr>
    </w:p>
    <w:p>
      <w:pPr>
        <w:pStyle w:val="BodyText"/>
        <w:rPr>
          <w:sz w:val="20"/>
        </w:rPr>
      </w:pPr>
    </w:p>
    <w:p>
      <w:pPr>
        <w:pStyle w:val="BodyText"/>
        <w:rPr>
          <w:sz w:val="20"/>
        </w:rPr>
      </w:pPr>
    </w:p>
    <w:p>
      <w:pPr>
        <w:pStyle w:val="BodyText"/>
        <w:spacing w:before="1"/>
        <w:rPr>
          <w:sz w:val="16"/>
        </w:rPr>
      </w:pPr>
    </w:p>
    <w:p>
      <w:pPr>
        <w:pStyle w:val="Heading4"/>
        <w:jc w:val="left"/>
      </w:pPr>
      <w:r>
        <w:rPr/>
        <w:pict>
          <v:line style="position:absolute;mso-position-horizontal-relative:page;mso-position-vertical-relative:paragraph;z-index:1456" from="93.199997pt,-41.454121pt" to="546.799997pt,-41.454121pt" stroked="true" strokeweight=".479981pt" strokecolor="#000000">
            <w10:wrap type="none"/>
          </v:line>
        </w:pict>
      </w:r>
      <w:r>
        <w:rPr/>
        <w:t>Lista de siglas y acrónimos</w:t>
      </w:r>
    </w:p>
    <w:p>
      <w:pPr>
        <w:pStyle w:val="BodyText"/>
        <w:rPr>
          <w:b/>
        </w:rPr>
      </w:pPr>
    </w:p>
    <w:p>
      <w:pPr>
        <w:pStyle w:val="BodyText"/>
        <w:spacing w:before="3"/>
        <w:rPr>
          <w:b/>
          <w:sz w:val="28"/>
        </w:rPr>
      </w:pPr>
    </w:p>
    <w:p>
      <w:pPr>
        <w:tabs>
          <w:tab w:pos="1684" w:val="left" w:leader="none"/>
        </w:tabs>
        <w:spacing w:before="1"/>
        <w:ind w:left="268" w:right="0" w:firstLine="0"/>
        <w:jc w:val="left"/>
        <w:rPr>
          <w:sz w:val="21"/>
        </w:rPr>
      </w:pPr>
      <w:r>
        <w:rPr>
          <w:w w:val="105"/>
          <w:sz w:val="21"/>
        </w:rPr>
        <w:t>AGEB</w:t>
        <w:tab/>
        <w:t>Área Geodráfica</w:t>
      </w:r>
      <w:r>
        <w:rPr>
          <w:spacing w:val="-13"/>
          <w:w w:val="105"/>
          <w:sz w:val="21"/>
        </w:rPr>
        <w:t> </w:t>
      </w:r>
      <w:r>
        <w:rPr>
          <w:w w:val="105"/>
          <w:sz w:val="21"/>
        </w:rPr>
        <w:t>Básica</w:t>
      </w:r>
    </w:p>
    <w:p>
      <w:pPr>
        <w:tabs>
          <w:tab w:pos="1684" w:val="left" w:leader="none"/>
        </w:tabs>
        <w:spacing w:before="13"/>
        <w:ind w:left="268" w:right="0" w:firstLine="0"/>
        <w:jc w:val="left"/>
        <w:rPr>
          <w:sz w:val="21"/>
        </w:rPr>
      </w:pPr>
      <w:r>
        <w:rPr>
          <w:w w:val="105"/>
          <w:sz w:val="21"/>
        </w:rPr>
        <w:t>AHP</w:t>
        <w:tab/>
        <w:t>Analityc Hierarchy</w:t>
      </w:r>
      <w:r>
        <w:rPr>
          <w:spacing w:val="-18"/>
          <w:w w:val="105"/>
          <w:sz w:val="21"/>
        </w:rPr>
        <w:t> </w:t>
      </w:r>
      <w:r>
        <w:rPr>
          <w:w w:val="105"/>
          <w:sz w:val="21"/>
        </w:rPr>
        <w:t>Process</w:t>
      </w:r>
    </w:p>
    <w:p>
      <w:pPr>
        <w:tabs>
          <w:tab w:pos="1684" w:val="left" w:leader="none"/>
        </w:tabs>
        <w:spacing w:line="252" w:lineRule="auto" w:before="8"/>
        <w:ind w:left="268" w:right="645" w:firstLine="0"/>
        <w:jc w:val="left"/>
        <w:rPr>
          <w:sz w:val="21"/>
        </w:rPr>
      </w:pPr>
      <w:r>
        <w:rPr>
          <w:w w:val="105"/>
          <w:sz w:val="21"/>
        </w:rPr>
        <w:t>CANADEVI</w:t>
        <w:tab/>
        <w:t>Cámara Nacional de la Industria de Desarrollo y Promoción</w:t>
      </w:r>
      <w:r>
        <w:rPr>
          <w:spacing w:val="-40"/>
          <w:w w:val="105"/>
          <w:sz w:val="21"/>
        </w:rPr>
        <w:t> </w:t>
      </w:r>
      <w:r>
        <w:rPr>
          <w:w w:val="105"/>
          <w:sz w:val="21"/>
        </w:rPr>
        <w:t>de</w:t>
      </w:r>
      <w:r>
        <w:rPr>
          <w:spacing w:val="-5"/>
          <w:w w:val="105"/>
          <w:sz w:val="21"/>
        </w:rPr>
        <w:t> </w:t>
      </w:r>
      <w:r>
        <w:rPr>
          <w:w w:val="105"/>
          <w:sz w:val="21"/>
        </w:rPr>
        <w:t>Vivienda</w:t>
      </w:r>
      <w:r>
        <w:rPr>
          <w:spacing w:val="2"/>
          <w:w w:val="102"/>
          <w:sz w:val="21"/>
        </w:rPr>
        <w:t> </w:t>
      </w:r>
      <w:r>
        <w:rPr>
          <w:w w:val="105"/>
          <w:sz w:val="21"/>
        </w:rPr>
        <w:t>CDS</w:t>
        <w:tab/>
        <w:t>Comisión para el Desarrollo</w:t>
      </w:r>
      <w:r>
        <w:rPr>
          <w:spacing w:val="-27"/>
          <w:w w:val="105"/>
          <w:sz w:val="21"/>
        </w:rPr>
        <w:t> </w:t>
      </w:r>
      <w:r>
        <w:rPr>
          <w:w w:val="105"/>
          <w:sz w:val="21"/>
        </w:rPr>
        <w:t>Sostenible</w:t>
      </w:r>
    </w:p>
    <w:p>
      <w:pPr>
        <w:tabs>
          <w:tab w:pos="1684" w:val="left" w:leader="none"/>
        </w:tabs>
        <w:spacing w:line="247" w:lineRule="auto" w:before="1"/>
        <w:ind w:left="268" w:right="3644" w:firstLine="0"/>
        <w:jc w:val="left"/>
        <w:rPr>
          <w:sz w:val="21"/>
        </w:rPr>
      </w:pPr>
      <w:r>
        <w:rPr>
          <w:w w:val="105"/>
          <w:sz w:val="21"/>
        </w:rPr>
        <w:t>CAEM</w:t>
        <w:tab/>
        <w:t>Comisión del Agua del Estado</w:t>
      </w:r>
      <w:r>
        <w:rPr>
          <w:spacing w:val="-22"/>
          <w:w w:val="105"/>
          <w:sz w:val="21"/>
        </w:rPr>
        <w:t> </w:t>
      </w:r>
      <w:r>
        <w:rPr>
          <w:w w:val="105"/>
          <w:sz w:val="21"/>
        </w:rPr>
        <w:t>de</w:t>
      </w:r>
      <w:r>
        <w:rPr>
          <w:spacing w:val="-4"/>
          <w:w w:val="105"/>
          <w:sz w:val="21"/>
        </w:rPr>
        <w:t> </w:t>
      </w:r>
      <w:r>
        <w:rPr>
          <w:w w:val="105"/>
          <w:sz w:val="21"/>
        </w:rPr>
        <w:t>México</w:t>
      </w:r>
      <w:r>
        <w:rPr>
          <w:w w:val="102"/>
          <w:sz w:val="21"/>
        </w:rPr>
        <w:t> </w:t>
      </w:r>
      <w:r>
        <w:rPr>
          <w:w w:val="105"/>
          <w:sz w:val="21"/>
        </w:rPr>
        <w:t>CE</w:t>
        <w:tab/>
        <w:t>Comisión</w:t>
      </w:r>
      <w:r>
        <w:rPr>
          <w:spacing w:val="-13"/>
          <w:w w:val="105"/>
          <w:sz w:val="21"/>
        </w:rPr>
        <w:t> </w:t>
      </w:r>
      <w:r>
        <w:rPr>
          <w:w w:val="105"/>
          <w:sz w:val="21"/>
        </w:rPr>
        <w:t>Europea</w:t>
      </w:r>
    </w:p>
    <w:p>
      <w:pPr>
        <w:tabs>
          <w:tab w:pos="1684" w:val="left" w:leader="none"/>
        </w:tabs>
        <w:spacing w:before="6"/>
        <w:ind w:left="268" w:right="0" w:firstLine="0"/>
        <w:jc w:val="left"/>
        <w:rPr>
          <w:sz w:val="21"/>
        </w:rPr>
      </w:pPr>
      <w:r>
        <w:rPr>
          <w:w w:val="105"/>
          <w:sz w:val="21"/>
        </w:rPr>
        <w:t>CES</w:t>
        <w:tab/>
        <w:t>Ciudades Europeas</w:t>
      </w:r>
      <w:r>
        <w:rPr>
          <w:spacing w:val="-20"/>
          <w:w w:val="105"/>
          <w:sz w:val="21"/>
        </w:rPr>
        <w:t> </w:t>
      </w:r>
      <w:r>
        <w:rPr>
          <w:w w:val="105"/>
          <w:sz w:val="21"/>
        </w:rPr>
        <w:t>Sostenibles</w:t>
      </w:r>
    </w:p>
    <w:p>
      <w:pPr>
        <w:tabs>
          <w:tab w:pos="1684" w:val="left" w:leader="none"/>
        </w:tabs>
        <w:spacing w:line="247" w:lineRule="auto" w:before="13"/>
        <w:ind w:left="268" w:right="2776" w:firstLine="0"/>
        <w:jc w:val="left"/>
        <w:rPr>
          <w:sz w:val="21"/>
        </w:rPr>
      </w:pPr>
      <w:r>
        <w:rPr>
          <w:w w:val="105"/>
          <w:sz w:val="21"/>
        </w:rPr>
        <w:t>CEDUV</w:t>
        <w:tab/>
        <w:t>Comisión Estatal de Desarrollo Urbano</w:t>
      </w:r>
      <w:r>
        <w:rPr>
          <w:spacing w:val="-28"/>
          <w:w w:val="105"/>
          <w:sz w:val="21"/>
        </w:rPr>
        <w:t> </w:t>
      </w:r>
      <w:r>
        <w:rPr>
          <w:w w:val="105"/>
          <w:sz w:val="21"/>
        </w:rPr>
        <w:t>y</w:t>
      </w:r>
      <w:r>
        <w:rPr>
          <w:spacing w:val="-6"/>
          <w:w w:val="105"/>
          <w:sz w:val="21"/>
        </w:rPr>
        <w:t> </w:t>
      </w:r>
      <w:r>
        <w:rPr>
          <w:w w:val="105"/>
          <w:sz w:val="21"/>
        </w:rPr>
        <w:t>Vivienda</w:t>
      </w:r>
      <w:r>
        <w:rPr>
          <w:w w:val="102"/>
          <w:sz w:val="21"/>
        </w:rPr>
        <w:t> </w:t>
      </w:r>
      <w:r>
        <w:rPr>
          <w:w w:val="105"/>
          <w:sz w:val="21"/>
        </w:rPr>
        <w:t>CFE</w:t>
        <w:tab/>
        <w:t>Comisión Federal de</w:t>
      </w:r>
      <w:r>
        <w:rPr>
          <w:spacing w:val="-21"/>
          <w:w w:val="105"/>
          <w:sz w:val="21"/>
        </w:rPr>
        <w:t> </w:t>
      </w:r>
      <w:r>
        <w:rPr>
          <w:w w:val="105"/>
          <w:sz w:val="21"/>
        </w:rPr>
        <w:t>Electricidad</w:t>
      </w:r>
    </w:p>
    <w:p>
      <w:pPr>
        <w:tabs>
          <w:tab w:pos="1684" w:val="left" w:leader="none"/>
        </w:tabs>
        <w:spacing w:line="252" w:lineRule="auto" w:before="6"/>
        <w:ind w:left="268" w:right="2543" w:firstLine="0"/>
        <w:jc w:val="left"/>
        <w:rPr>
          <w:sz w:val="21"/>
        </w:rPr>
      </w:pPr>
      <w:r>
        <w:rPr>
          <w:w w:val="105"/>
          <w:sz w:val="21"/>
        </w:rPr>
        <w:t>CMIC</w:t>
        <w:tab/>
        <w:t>Cámara Mexicana de la Industria de</w:t>
      </w:r>
      <w:r>
        <w:rPr>
          <w:spacing w:val="-24"/>
          <w:w w:val="105"/>
          <w:sz w:val="21"/>
        </w:rPr>
        <w:t> </w:t>
      </w:r>
      <w:r>
        <w:rPr>
          <w:w w:val="105"/>
          <w:sz w:val="21"/>
        </w:rPr>
        <w:t>la</w:t>
      </w:r>
      <w:r>
        <w:rPr>
          <w:spacing w:val="-4"/>
          <w:w w:val="105"/>
          <w:sz w:val="21"/>
        </w:rPr>
        <w:t> </w:t>
      </w:r>
      <w:r>
        <w:rPr>
          <w:w w:val="105"/>
          <w:sz w:val="21"/>
        </w:rPr>
        <w:t>Construcción</w:t>
      </w:r>
      <w:r>
        <w:rPr>
          <w:w w:val="102"/>
          <w:sz w:val="21"/>
        </w:rPr>
        <w:t> </w:t>
      </w:r>
      <w:r>
        <w:rPr>
          <w:w w:val="105"/>
          <w:sz w:val="21"/>
        </w:rPr>
        <w:t>COESPO</w:t>
        <w:tab/>
        <w:t>Consejo Estatal de</w:t>
      </w:r>
      <w:r>
        <w:rPr>
          <w:spacing w:val="-19"/>
          <w:w w:val="105"/>
          <w:sz w:val="21"/>
        </w:rPr>
        <w:t> </w:t>
      </w:r>
      <w:r>
        <w:rPr>
          <w:w w:val="105"/>
          <w:sz w:val="21"/>
        </w:rPr>
        <w:t>Población</w:t>
      </w:r>
    </w:p>
    <w:p>
      <w:pPr>
        <w:tabs>
          <w:tab w:pos="1684" w:val="left" w:leader="none"/>
        </w:tabs>
        <w:spacing w:line="252" w:lineRule="auto" w:before="1"/>
        <w:ind w:left="268" w:right="4597" w:firstLine="0"/>
        <w:jc w:val="left"/>
        <w:rPr>
          <w:sz w:val="21"/>
        </w:rPr>
      </w:pPr>
      <w:r>
        <w:rPr>
          <w:w w:val="105"/>
          <w:sz w:val="21"/>
        </w:rPr>
        <w:t>CONAGUA</w:t>
        <w:tab/>
        <w:t>Comisión Nacional</w:t>
      </w:r>
      <w:r>
        <w:rPr>
          <w:spacing w:val="-13"/>
          <w:w w:val="105"/>
          <w:sz w:val="21"/>
        </w:rPr>
        <w:t> </w:t>
      </w:r>
      <w:r>
        <w:rPr>
          <w:w w:val="105"/>
          <w:sz w:val="21"/>
        </w:rPr>
        <w:t>del</w:t>
      </w:r>
      <w:r>
        <w:rPr>
          <w:spacing w:val="-7"/>
          <w:w w:val="105"/>
          <w:sz w:val="21"/>
        </w:rPr>
        <w:t> </w:t>
      </w:r>
      <w:r>
        <w:rPr>
          <w:w w:val="105"/>
          <w:sz w:val="21"/>
        </w:rPr>
        <w:t>Agua</w:t>
      </w:r>
      <w:r>
        <w:rPr>
          <w:w w:val="102"/>
          <w:sz w:val="21"/>
        </w:rPr>
        <w:t> </w:t>
      </w:r>
      <w:r>
        <w:rPr>
          <w:w w:val="105"/>
          <w:sz w:val="21"/>
        </w:rPr>
        <w:t>CONAPO</w:t>
        <w:tab/>
        <w:t>Consejo Nacional</w:t>
      </w:r>
      <w:r>
        <w:rPr>
          <w:spacing w:val="-15"/>
          <w:w w:val="105"/>
          <w:sz w:val="21"/>
        </w:rPr>
        <w:t> </w:t>
      </w:r>
      <w:r>
        <w:rPr>
          <w:w w:val="105"/>
          <w:sz w:val="21"/>
        </w:rPr>
        <w:t>de</w:t>
      </w:r>
      <w:r>
        <w:rPr>
          <w:spacing w:val="-7"/>
          <w:w w:val="105"/>
          <w:sz w:val="21"/>
        </w:rPr>
        <w:t> </w:t>
      </w:r>
      <w:r>
        <w:rPr>
          <w:w w:val="105"/>
          <w:sz w:val="21"/>
        </w:rPr>
        <w:t>Población</w:t>
      </w:r>
      <w:r>
        <w:rPr>
          <w:w w:val="102"/>
          <w:sz w:val="21"/>
        </w:rPr>
        <w:t> </w:t>
      </w:r>
      <w:r>
        <w:rPr>
          <w:w w:val="105"/>
          <w:sz w:val="21"/>
        </w:rPr>
        <w:t>CONAVI</w:t>
        <w:tab/>
        <w:t>Comisión Nacional</w:t>
      </w:r>
      <w:r>
        <w:rPr>
          <w:spacing w:val="-15"/>
          <w:w w:val="105"/>
          <w:sz w:val="21"/>
        </w:rPr>
        <w:t> </w:t>
      </w:r>
      <w:r>
        <w:rPr>
          <w:w w:val="105"/>
          <w:sz w:val="21"/>
        </w:rPr>
        <w:t>de</w:t>
      </w:r>
      <w:r>
        <w:rPr>
          <w:spacing w:val="-7"/>
          <w:w w:val="105"/>
          <w:sz w:val="21"/>
        </w:rPr>
        <w:t> </w:t>
      </w:r>
      <w:r>
        <w:rPr>
          <w:w w:val="105"/>
          <w:sz w:val="21"/>
        </w:rPr>
        <w:t>Vivienda</w:t>
      </w:r>
      <w:r>
        <w:rPr>
          <w:w w:val="102"/>
          <w:sz w:val="21"/>
        </w:rPr>
        <w:t> </w:t>
      </w:r>
      <w:r>
        <w:rPr>
          <w:w w:val="105"/>
          <w:sz w:val="21"/>
        </w:rPr>
        <w:t>CU</w:t>
        <w:tab/>
        <w:t>Conjunto</w:t>
      </w:r>
      <w:r>
        <w:rPr>
          <w:spacing w:val="-12"/>
          <w:w w:val="105"/>
          <w:sz w:val="21"/>
        </w:rPr>
        <w:t> </w:t>
      </w:r>
      <w:r>
        <w:rPr>
          <w:w w:val="105"/>
          <w:sz w:val="21"/>
        </w:rPr>
        <w:t>Urbano</w:t>
      </w:r>
    </w:p>
    <w:p>
      <w:pPr>
        <w:tabs>
          <w:tab w:pos="1684" w:val="left" w:leader="none"/>
        </w:tabs>
        <w:spacing w:line="252" w:lineRule="auto" w:before="0"/>
        <w:ind w:left="268" w:right="1133" w:firstLine="0"/>
        <w:jc w:val="left"/>
        <w:rPr>
          <w:sz w:val="21"/>
        </w:rPr>
      </w:pPr>
      <w:r>
        <w:rPr>
          <w:w w:val="105"/>
          <w:sz w:val="21"/>
        </w:rPr>
        <w:t>CONEVAL</w:t>
        <w:tab/>
        <w:t>Consejo Nacional de Evaluación de la Política de</w:t>
      </w:r>
      <w:r>
        <w:rPr>
          <w:spacing w:val="-37"/>
          <w:w w:val="105"/>
          <w:sz w:val="21"/>
        </w:rPr>
        <w:t> </w:t>
      </w:r>
      <w:r>
        <w:rPr>
          <w:w w:val="105"/>
          <w:sz w:val="21"/>
        </w:rPr>
        <w:t>Desarrollo</w:t>
      </w:r>
      <w:r>
        <w:rPr>
          <w:spacing w:val="-5"/>
          <w:w w:val="105"/>
          <w:sz w:val="21"/>
        </w:rPr>
        <w:t> </w:t>
      </w:r>
      <w:r>
        <w:rPr>
          <w:w w:val="105"/>
          <w:sz w:val="21"/>
        </w:rPr>
        <w:t>Social</w:t>
      </w:r>
      <w:r>
        <w:rPr>
          <w:spacing w:val="2"/>
          <w:w w:val="102"/>
          <w:sz w:val="21"/>
        </w:rPr>
        <w:t> </w:t>
      </w:r>
      <w:r>
        <w:rPr>
          <w:w w:val="105"/>
          <w:sz w:val="21"/>
        </w:rPr>
        <w:t>DENUE</w:t>
        <w:tab/>
        <w:t>Directorio Estadístico de Unidades</w:t>
      </w:r>
      <w:r>
        <w:rPr>
          <w:spacing w:val="-28"/>
          <w:w w:val="105"/>
          <w:sz w:val="21"/>
        </w:rPr>
        <w:t> </w:t>
      </w:r>
      <w:r>
        <w:rPr>
          <w:w w:val="105"/>
          <w:sz w:val="21"/>
        </w:rPr>
        <w:t>Económicas</w:t>
      </w:r>
    </w:p>
    <w:p>
      <w:pPr>
        <w:tabs>
          <w:tab w:pos="1684" w:val="left" w:leader="none"/>
        </w:tabs>
        <w:spacing w:line="249" w:lineRule="auto" w:before="1"/>
        <w:ind w:left="268" w:right="3730" w:firstLine="0"/>
        <w:jc w:val="left"/>
        <w:rPr>
          <w:sz w:val="21"/>
        </w:rPr>
      </w:pPr>
      <w:r>
        <w:rPr>
          <w:w w:val="105"/>
          <w:sz w:val="21"/>
        </w:rPr>
        <w:t>DGCU</w:t>
        <w:tab/>
        <w:t>Dirección General de</w:t>
      </w:r>
      <w:r>
        <w:rPr>
          <w:spacing w:val="-15"/>
          <w:w w:val="105"/>
          <w:sz w:val="21"/>
        </w:rPr>
        <w:t> </w:t>
      </w:r>
      <w:r>
        <w:rPr>
          <w:w w:val="105"/>
          <w:sz w:val="21"/>
        </w:rPr>
        <w:t>Control</w:t>
      </w:r>
      <w:r>
        <w:rPr>
          <w:spacing w:val="-7"/>
          <w:w w:val="105"/>
          <w:sz w:val="21"/>
        </w:rPr>
        <w:t> </w:t>
      </w:r>
      <w:r>
        <w:rPr>
          <w:w w:val="105"/>
          <w:sz w:val="21"/>
        </w:rPr>
        <w:t>Urbano</w:t>
      </w:r>
      <w:r>
        <w:rPr>
          <w:w w:val="102"/>
          <w:sz w:val="21"/>
        </w:rPr>
        <w:t> </w:t>
      </w:r>
      <w:r>
        <w:rPr>
          <w:w w:val="105"/>
          <w:sz w:val="21"/>
        </w:rPr>
        <w:t>DGOU</w:t>
        <w:tab/>
        <w:t>Dirección General de</w:t>
      </w:r>
      <w:r>
        <w:rPr>
          <w:spacing w:val="-18"/>
          <w:w w:val="105"/>
          <w:sz w:val="21"/>
        </w:rPr>
        <w:t> </w:t>
      </w:r>
      <w:r>
        <w:rPr>
          <w:w w:val="105"/>
          <w:sz w:val="21"/>
        </w:rPr>
        <w:t>Operación</w:t>
      </w:r>
      <w:r>
        <w:rPr>
          <w:spacing w:val="-6"/>
          <w:w w:val="105"/>
          <w:sz w:val="21"/>
        </w:rPr>
        <w:t> </w:t>
      </w:r>
      <w:r>
        <w:rPr>
          <w:w w:val="105"/>
          <w:sz w:val="21"/>
        </w:rPr>
        <w:t>Urbana</w:t>
      </w:r>
      <w:r>
        <w:rPr>
          <w:w w:val="102"/>
          <w:sz w:val="21"/>
        </w:rPr>
        <w:t> </w:t>
      </w:r>
      <w:r>
        <w:rPr>
          <w:w w:val="105"/>
          <w:sz w:val="21"/>
        </w:rPr>
        <w:t>DTU</w:t>
        <w:tab/>
        <w:t>Dictamne Técnico</w:t>
      </w:r>
      <w:r>
        <w:rPr>
          <w:spacing w:val="-17"/>
          <w:w w:val="105"/>
          <w:sz w:val="21"/>
        </w:rPr>
        <w:t> </w:t>
      </w:r>
      <w:r>
        <w:rPr>
          <w:w w:val="105"/>
          <w:sz w:val="21"/>
        </w:rPr>
        <w:t>Único</w:t>
      </w:r>
    </w:p>
    <w:p>
      <w:pPr>
        <w:pStyle w:val="BodyText"/>
        <w:tabs>
          <w:tab w:pos="1684" w:val="left" w:leader="none"/>
        </w:tabs>
        <w:spacing w:line="271" w:lineRule="exact"/>
        <w:ind w:left="268"/>
      </w:pPr>
      <w:r>
        <w:rPr>
          <w:sz w:val="21"/>
        </w:rPr>
        <w:t>EPA</w:t>
        <w:tab/>
      </w:r>
      <w:r>
        <w:rPr/>
        <w:t>Agencia de Protección Ambiental, siglas en</w:t>
      </w:r>
      <w:r>
        <w:rPr>
          <w:spacing w:val="-1"/>
        </w:rPr>
        <w:t> </w:t>
      </w:r>
      <w:r>
        <w:rPr/>
        <w:t>ingles</w:t>
      </w:r>
    </w:p>
    <w:p>
      <w:pPr>
        <w:spacing w:line="252" w:lineRule="auto" w:before="6"/>
        <w:ind w:left="1678" w:right="0" w:hanging="1410"/>
        <w:jc w:val="left"/>
        <w:rPr>
          <w:sz w:val="21"/>
        </w:rPr>
      </w:pPr>
      <w:r>
        <w:rPr>
          <w:w w:val="105"/>
          <w:sz w:val="21"/>
        </w:rPr>
        <w:t>FOVISSSTE Fondo de la Vivienda del Instituto de Seguridad y Servicios Sociales de los Trabajadores del Estado</w:t>
      </w:r>
    </w:p>
    <w:p>
      <w:pPr>
        <w:tabs>
          <w:tab w:pos="1684" w:val="left" w:leader="none"/>
        </w:tabs>
        <w:spacing w:line="247" w:lineRule="auto" w:before="1"/>
        <w:ind w:left="268" w:right="1406" w:firstLine="0"/>
        <w:jc w:val="left"/>
        <w:rPr>
          <w:sz w:val="21"/>
        </w:rPr>
      </w:pPr>
      <w:r>
        <w:rPr>
          <w:w w:val="105"/>
          <w:sz w:val="21"/>
        </w:rPr>
        <w:t>FUCEMA</w:t>
        <w:tab/>
        <w:t>Fundación para la Conservación de Especies y</w:t>
      </w:r>
      <w:r>
        <w:rPr>
          <w:spacing w:val="-30"/>
          <w:w w:val="105"/>
          <w:sz w:val="21"/>
        </w:rPr>
        <w:t> </w:t>
      </w:r>
      <w:r>
        <w:rPr>
          <w:w w:val="105"/>
          <w:sz w:val="21"/>
        </w:rPr>
        <w:t>Medio</w:t>
      </w:r>
      <w:r>
        <w:rPr>
          <w:spacing w:val="-5"/>
          <w:w w:val="105"/>
          <w:sz w:val="21"/>
        </w:rPr>
        <w:t> </w:t>
      </w:r>
      <w:r>
        <w:rPr>
          <w:w w:val="105"/>
          <w:sz w:val="21"/>
        </w:rPr>
        <w:t>Ambiente</w:t>
      </w:r>
      <w:r>
        <w:rPr>
          <w:w w:val="102"/>
          <w:sz w:val="21"/>
        </w:rPr>
        <w:t> </w:t>
      </w:r>
      <w:r>
        <w:rPr>
          <w:w w:val="105"/>
          <w:sz w:val="21"/>
        </w:rPr>
        <w:t>GEM</w:t>
        <w:tab/>
        <w:t>Gobierno del Estado de</w:t>
      </w:r>
      <w:r>
        <w:rPr>
          <w:spacing w:val="-18"/>
          <w:w w:val="105"/>
          <w:sz w:val="21"/>
        </w:rPr>
        <w:t> </w:t>
      </w:r>
      <w:r>
        <w:rPr>
          <w:w w:val="105"/>
          <w:sz w:val="21"/>
        </w:rPr>
        <w:t>México</w:t>
      </w:r>
    </w:p>
    <w:p>
      <w:pPr>
        <w:tabs>
          <w:tab w:pos="1684" w:val="left" w:leader="none"/>
        </w:tabs>
        <w:spacing w:before="6"/>
        <w:ind w:left="268" w:right="0" w:firstLine="0"/>
        <w:jc w:val="left"/>
        <w:rPr>
          <w:sz w:val="21"/>
        </w:rPr>
      </w:pPr>
      <w:r>
        <w:rPr>
          <w:w w:val="105"/>
          <w:sz w:val="21"/>
        </w:rPr>
        <w:t>GUO</w:t>
        <w:tab/>
        <w:t>Global Urban</w:t>
      </w:r>
      <w:r>
        <w:rPr>
          <w:spacing w:val="-14"/>
          <w:w w:val="105"/>
          <w:sz w:val="21"/>
        </w:rPr>
        <w:t> </w:t>
      </w:r>
      <w:r>
        <w:rPr>
          <w:w w:val="105"/>
          <w:sz w:val="21"/>
        </w:rPr>
        <w:t>Observatory</w:t>
      </w:r>
    </w:p>
    <w:p>
      <w:pPr>
        <w:tabs>
          <w:tab w:pos="1678" w:val="left" w:leader="none"/>
        </w:tabs>
        <w:spacing w:before="13"/>
        <w:ind w:left="268" w:right="0" w:firstLine="0"/>
        <w:jc w:val="left"/>
        <w:rPr>
          <w:sz w:val="21"/>
        </w:rPr>
      </w:pPr>
      <w:r>
        <w:rPr>
          <w:w w:val="105"/>
          <w:sz w:val="21"/>
        </w:rPr>
        <w:t>IA</w:t>
        <w:tab/>
        <w:t>Indicadores</w:t>
      </w:r>
      <w:r>
        <w:rPr>
          <w:spacing w:val="-17"/>
          <w:w w:val="105"/>
          <w:sz w:val="21"/>
        </w:rPr>
        <w:t> </w:t>
      </w:r>
      <w:r>
        <w:rPr>
          <w:w w:val="105"/>
          <w:sz w:val="21"/>
        </w:rPr>
        <w:t>Ambientales</w:t>
      </w:r>
    </w:p>
    <w:p>
      <w:pPr>
        <w:tabs>
          <w:tab w:pos="1684" w:val="left" w:leader="none"/>
        </w:tabs>
        <w:spacing w:line="247" w:lineRule="auto" w:before="13"/>
        <w:ind w:left="1678" w:right="233" w:hanging="1410"/>
        <w:jc w:val="left"/>
        <w:rPr>
          <w:sz w:val="21"/>
        </w:rPr>
      </w:pPr>
      <w:r>
        <w:rPr>
          <w:w w:val="105"/>
          <w:sz w:val="21"/>
        </w:rPr>
        <w:t>ICLEI</w:t>
        <w:tab/>
        <w:tab/>
        <w:t>Consejo  Internacional para  las Iniciativas Ambientales Locales,  </w:t>
      </w:r>
      <w:r>
        <w:rPr>
          <w:spacing w:val="10"/>
          <w:w w:val="105"/>
          <w:sz w:val="21"/>
        </w:rPr>
        <w:t> </w:t>
      </w:r>
      <w:r>
        <w:rPr>
          <w:w w:val="105"/>
          <w:sz w:val="21"/>
        </w:rPr>
        <w:t>siglas</w:t>
      </w:r>
      <w:r>
        <w:rPr>
          <w:spacing w:val="36"/>
          <w:w w:val="105"/>
          <w:sz w:val="21"/>
        </w:rPr>
        <w:t> </w:t>
      </w:r>
      <w:r>
        <w:rPr>
          <w:w w:val="105"/>
          <w:sz w:val="21"/>
        </w:rPr>
        <w:t>en</w:t>
      </w:r>
      <w:r>
        <w:rPr>
          <w:w w:val="102"/>
          <w:sz w:val="21"/>
        </w:rPr>
        <w:t> </w:t>
      </w:r>
      <w:r>
        <w:rPr>
          <w:w w:val="105"/>
          <w:sz w:val="21"/>
        </w:rPr>
        <w:t>ingles</w:t>
      </w:r>
    </w:p>
    <w:p>
      <w:pPr>
        <w:tabs>
          <w:tab w:pos="1678" w:val="left" w:leader="none"/>
        </w:tabs>
        <w:spacing w:before="6"/>
        <w:ind w:left="268" w:right="0" w:firstLine="0"/>
        <w:jc w:val="left"/>
        <w:rPr>
          <w:sz w:val="21"/>
        </w:rPr>
      </w:pPr>
      <w:r>
        <w:rPr>
          <w:w w:val="105"/>
          <w:sz w:val="21"/>
        </w:rPr>
        <w:t>IDS</w:t>
        <w:tab/>
        <w:t>Indicadores de Desarrollo</w:t>
      </w:r>
      <w:r>
        <w:rPr>
          <w:spacing w:val="-25"/>
          <w:w w:val="105"/>
          <w:sz w:val="21"/>
        </w:rPr>
        <w:t> </w:t>
      </w:r>
      <w:r>
        <w:rPr>
          <w:w w:val="105"/>
          <w:sz w:val="21"/>
        </w:rPr>
        <w:t>Sostenible</w:t>
      </w:r>
    </w:p>
    <w:p>
      <w:pPr>
        <w:tabs>
          <w:tab w:pos="1678" w:val="left" w:leader="none"/>
        </w:tabs>
        <w:spacing w:before="13"/>
        <w:ind w:left="268" w:right="0" w:firstLine="0"/>
        <w:jc w:val="left"/>
        <w:rPr>
          <w:sz w:val="21"/>
        </w:rPr>
      </w:pPr>
      <w:r>
        <w:rPr>
          <w:w w:val="105"/>
          <w:sz w:val="21"/>
        </w:rPr>
        <w:t>IFREM</w:t>
        <w:tab/>
        <w:t>Instituto de la Función Registral del Estado de</w:t>
      </w:r>
      <w:r>
        <w:rPr>
          <w:spacing w:val="-32"/>
          <w:w w:val="105"/>
          <w:sz w:val="21"/>
        </w:rPr>
        <w:t> </w:t>
      </w:r>
      <w:r>
        <w:rPr>
          <w:w w:val="105"/>
          <w:sz w:val="21"/>
        </w:rPr>
        <w:t>México</w:t>
      </w:r>
    </w:p>
    <w:p>
      <w:pPr>
        <w:tabs>
          <w:tab w:pos="1678" w:val="left" w:leader="none"/>
        </w:tabs>
        <w:spacing w:line="252" w:lineRule="auto" w:before="8"/>
        <w:ind w:left="1678" w:right="233" w:hanging="1410"/>
        <w:jc w:val="left"/>
        <w:rPr>
          <w:sz w:val="21"/>
        </w:rPr>
      </w:pPr>
      <w:r>
        <w:rPr>
          <w:w w:val="105"/>
          <w:sz w:val="21"/>
        </w:rPr>
        <w:t>IGECEM</w:t>
        <w:tab/>
        <w:t>Instituto de Información e Investigación Geográfica, Estadística </w:t>
      </w:r>
      <w:r>
        <w:rPr>
          <w:spacing w:val="43"/>
          <w:w w:val="105"/>
          <w:sz w:val="21"/>
        </w:rPr>
        <w:t> </w:t>
      </w:r>
      <w:r>
        <w:rPr>
          <w:w w:val="105"/>
          <w:sz w:val="21"/>
        </w:rPr>
        <w:t>y</w:t>
      </w:r>
      <w:r>
        <w:rPr>
          <w:spacing w:val="13"/>
          <w:w w:val="105"/>
          <w:sz w:val="21"/>
        </w:rPr>
        <w:t> </w:t>
      </w:r>
      <w:r>
        <w:rPr>
          <w:w w:val="105"/>
          <w:sz w:val="21"/>
        </w:rPr>
        <w:t>Catastral</w:t>
      </w:r>
      <w:r>
        <w:rPr>
          <w:w w:val="102"/>
          <w:sz w:val="21"/>
        </w:rPr>
        <w:t> </w:t>
      </w:r>
      <w:r>
        <w:rPr>
          <w:w w:val="105"/>
          <w:sz w:val="21"/>
        </w:rPr>
        <w:t>del Estado de</w:t>
      </w:r>
      <w:r>
        <w:rPr>
          <w:spacing w:val="-14"/>
          <w:w w:val="105"/>
          <w:sz w:val="21"/>
        </w:rPr>
        <w:t> </w:t>
      </w:r>
      <w:r>
        <w:rPr>
          <w:w w:val="105"/>
          <w:sz w:val="21"/>
        </w:rPr>
        <w:t>México</w:t>
      </w:r>
    </w:p>
    <w:p>
      <w:pPr>
        <w:tabs>
          <w:tab w:pos="1678" w:val="left" w:leader="none"/>
        </w:tabs>
        <w:spacing w:line="249" w:lineRule="auto" w:before="1"/>
        <w:ind w:left="268" w:right="2950" w:firstLine="0"/>
        <w:jc w:val="left"/>
        <w:rPr>
          <w:sz w:val="21"/>
        </w:rPr>
      </w:pPr>
      <w:r>
        <w:rPr>
          <w:w w:val="105"/>
          <w:sz w:val="21"/>
        </w:rPr>
        <w:t>INEGI</w:t>
        <w:tab/>
        <w:t>Instituto Nacional de Estadística</w:t>
      </w:r>
      <w:r>
        <w:rPr>
          <w:spacing w:val="-21"/>
          <w:w w:val="105"/>
          <w:sz w:val="21"/>
        </w:rPr>
        <w:t> </w:t>
      </w:r>
      <w:r>
        <w:rPr>
          <w:w w:val="105"/>
          <w:sz w:val="21"/>
        </w:rPr>
        <w:t>y</w:t>
      </w:r>
      <w:r>
        <w:rPr>
          <w:spacing w:val="-6"/>
          <w:w w:val="105"/>
          <w:sz w:val="21"/>
        </w:rPr>
        <w:t> </w:t>
      </w:r>
      <w:r>
        <w:rPr>
          <w:w w:val="105"/>
          <w:sz w:val="21"/>
        </w:rPr>
        <w:t>Geográfia</w:t>
      </w:r>
      <w:r>
        <w:rPr>
          <w:w w:val="102"/>
          <w:sz w:val="21"/>
        </w:rPr>
        <w:t> </w:t>
      </w:r>
      <w:r>
        <w:rPr>
          <w:w w:val="105"/>
          <w:sz w:val="21"/>
        </w:rPr>
        <w:t>ISCU</w:t>
        <w:tab/>
        <w:t>Índice de Sustentabilidad de</w:t>
      </w:r>
      <w:r>
        <w:rPr>
          <w:spacing w:val="-23"/>
          <w:w w:val="105"/>
          <w:sz w:val="21"/>
        </w:rPr>
        <w:t> </w:t>
      </w:r>
      <w:r>
        <w:rPr>
          <w:w w:val="105"/>
          <w:sz w:val="21"/>
        </w:rPr>
        <w:t>Conjuntos</w:t>
      </w:r>
      <w:r>
        <w:rPr>
          <w:spacing w:val="-7"/>
          <w:w w:val="105"/>
          <w:sz w:val="21"/>
        </w:rPr>
        <w:t> </w:t>
      </w:r>
      <w:r>
        <w:rPr>
          <w:w w:val="105"/>
          <w:sz w:val="21"/>
        </w:rPr>
        <w:t>Urbanos</w:t>
      </w:r>
      <w:r>
        <w:rPr>
          <w:spacing w:val="2"/>
          <w:w w:val="102"/>
          <w:sz w:val="21"/>
        </w:rPr>
        <w:t> </w:t>
      </w:r>
      <w:r>
        <w:rPr>
          <w:w w:val="105"/>
          <w:sz w:val="21"/>
        </w:rPr>
        <w:t>ISA</w:t>
        <w:tab/>
        <w:t>Índice de Satisfacción al</w:t>
      </w:r>
      <w:r>
        <w:rPr>
          <w:spacing w:val="-22"/>
          <w:w w:val="105"/>
          <w:sz w:val="21"/>
        </w:rPr>
        <w:t> </w:t>
      </w:r>
      <w:r>
        <w:rPr>
          <w:w w:val="105"/>
          <w:sz w:val="21"/>
        </w:rPr>
        <w:t>Acreditado</w:t>
      </w:r>
    </w:p>
    <w:p>
      <w:pPr>
        <w:tabs>
          <w:tab w:pos="1678" w:val="left" w:leader="none"/>
        </w:tabs>
        <w:spacing w:before="3"/>
        <w:ind w:left="268" w:right="0" w:firstLine="0"/>
        <w:jc w:val="left"/>
        <w:rPr>
          <w:sz w:val="21"/>
        </w:rPr>
      </w:pPr>
      <w:r>
        <w:rPr>
          <w:w w:val="105"/>
          <w:sz w:val="21"/>
        </w:rPr>
        <w:t>ISA</w:t>
        <w:tab/>
        <w:t>Índice de Sustentabilidad</w:t>
      </w:r>
      <w:r>
        <w:rPr>
          <w:spacing w:val="-19"/>
          <w:w w:val="105"/>
          <w:sz w:val="21"/>
        </w:rPr>
        <w:t> </w:t>
      </w:r>
      <w:r>
        <w:rPr>
          <w:w w:val="105"/>
          <w:sz w:val="21"/>
        </w:rPr>
        <w:t>Ambiental</w:t>
      </w:r>
    </w:p>
    <w:p>
      <w:pPr>
        <w:tabs>
          <w:tab w:pos="1678" w:val="left" w:leader="none"/>
        </w:tabs>
        <w:spacing w:before="13"/>
        <w:ind w:left="268" w:right="0" w:firstLine="0"/>
        <w:jc w:val="left"/>
        <w:rPr>
          <w:sz w:val="21"/>
        </w:rPr>
      </w:pPr>
      <w:r>
        <w:rPr>
          <w:w w:val="105"/>
          <w:sz w:val="21"/>
        </w:rPr>
        <w:t>ISS</w:t>
        <w:tab/>
        <w:t>Índice de Sustentabilidad</w:t>
      </w:r>
      <w:r>
        <w:rPr>
          <w:spacing w:val="-18"/>
          <w:w w:val="105"/>
          <w:sz w:val="21"/>
        </w:rPr>
        <w:t> </w:t>
      </w:r>
      <w:r>
        <w:rPr>
          <w:w w:val="105"/>
          <w:sz w:val="21"/>
        </w:rPr>
        <w:t>Social</w:t>
      </w:r>
    </w:p>
    <w:p>
      <w:pPr>
        <w:tabs>
          <w:tab w:pos="1678" w:val="left" w:leader="none"/>
        </w:tabs>
        <w:spacing w:before="8"/>
        <w:ind w:left="268" w:right="0" w:firstLine="0"/>
        <w:jc w:val="left"/>
        <w:rPr>
          <w:sz w:val="21"/>
        </w:rPr>
      </w:pPr>
      <w:r>
        <w:rPr>
          <w:w w:val="105"/>
          <w:sz w:val="21"/>
        </w:rPr>
        <w:t>ISE</w:t>
        <w:tab/>
        <w:t>Índice de Sustentabilidad</w:t>
      </w:r>
      <w:r>
        <w:rPr>
          <w:spacing w:val="-18"/>
          <w:w w:val="105"/>
          <w:sz w:val="21"/>
        </w:rPr>
        <w:t> </w:t>
      </w:r>
      <w:r>
        <w:rPr>
          <w:w w:val="105"/>
          <w:sz w:val="21"/>
        </w:rPr>
        <w:t>Económico</w:t>
      </w:r>
    </w:p>
    <w:p>
      <w:pPr>
        <w:tabs>
          <w:tab w:pos="1678" w:val="left" w:leader="none"/>
        </w:tabs>
        <w:spacing w:line="252" w:lineRule="auto" w:before="13"/>
        <w:ind w:left="268" w:right="4209" w:firstLine="0"/>
        <w:jc w:val="left"/>
        <w:rPr>
          <w:sz w:val="21"/>
        </w:rPr>
      </w:pPr>
      <w:r>
        <w:rPr>
          <w:w w:val="105"/>
          <w:sz w:val="21"/>
        </w:rPr>
        <w:t>IST</w:t>
        <w:tab/>
        <w:t>Índice de</w:t>
      </w:r>
      <w:r>
        <w:rPr>
          <w:spacing w:val="-15"/>
          <w:w w:val="105"/>
          <w:sz w:val="21"/>
        </w:rPr>
        <w:t> </w:t>
      </w:r>
      <w:r>
        <w:rPr>
          <w:w w:val="105"/>
          <w:sz w:val="21"/>
        </w:rPr>
        <w:t>Sustentabilidad</w:t>
      </w:r>
      <w:r>
        <w:rPr>
          <w:spacing w:val="-8"/>
          <w:w w:val="105"/>
          <w:sz w:val="21"/>
        </w:rPr>
        <w:t> </w:t>
      </w:r>
      <w:r>
        <w:rPr>
          <w:w w:val="105"/>
          <w:sz w:val="21"/>
        </w:rPr>
        <w:t>Territorial</w:t>
      </w:r>
      <w:r>
        <w:rPr>
          <w:spacing w:val="2"/>
          <w:w w:val="102"/>
          <w:sz w:val="21"/>
        </w:rPr>
        <w:t> </w:t>
      </w:r>
      <w:r>
        <w:rPr>
          <w:w w:val="105"/>
          <w:sz w:val="21"/>
        </w:rPr>
        <w:t>INEX</w:t>
        <w:tab/>
        <w:t>Índice de excelencia en el</w:t>
      </w:r>
      <w:r>
        <w:rPr>
          <w:spacing w:val="-18"/>
          <w:w w:val="105"/>
          <w:sz w:val="21"/>
        </w:rPr>
        <w:t> </w:t>
      </w:r>
      <w:r>
        <w:rPr>
          <w:w w:val="105"/>
          <w:sz w:val="21"/>
        </w:rPr>
        <w:t>servicio</w:t>
      </w:r>
    </w:p>
    <w:p>
      <w:pPr>
        <w:tabs>
          <w:tab w:pos="1678" w:val="left" w:leader="none"/>
        </w:tabs>
        <w:spacing w:line="252" w:lineRule="auto" w:before="0"/>
        <w:ind w:left="268" w:right="1283" w:firstLine="0"/>
        <w:jc w:val="left"/>
        <w:rPr>
          <w:sz w:val="21"/>
        </w:rPr>
      </w:pPr>
      <w:r>
        <w:rPr>
          <w:w w:val="105"/>
          <w:sz w:val="21"/>
        </w:rPr>
        <w:t>INFONAVIT</w:t>
        <w:tab/>
        <w:t>Instituto del Fondo Nacional de la Vivienda para</w:t>
      </w:r>
      <w:r>
        <w:rPr>
          <w:spacing w:val="-34"/>
          <w:w w:val="105"/>
          <w:sz w:val="21"/>
        </w:rPr>
        <w:t> </w:t>
      </w:r>
      <w:r>
        <w:rPr>
          <w:w w:val="105"/>
          <w:sz w:val="21"/>
        </w:rPr>
        <w:t>los</w:t>
      </w:r>
      <w:r>
        <w:rPr>
          <w:spacing w:val="-5"/>
          <w:w w:val="105"/>
          <w:sz w:val="21"/>
        </w:rPr>
        <w:t> </w:t>
      </w:r>
      <w:r>
        <w:rPr>
          <w:w w:val="105"/>
          <w:sz w:val="21"/>
        </w:rPr>
        <w:t>Trabajadores</w:t>
      </w:r>
      <w:r>
        <w:rPr>
          <w:w w:val="102"/>
          <w:sz w:val="21"/>
        </w:rPr>
        <w:t> </w:t>
      </w:r>
      <w:r>
        <w:rPr>
          <w:w w:val="105"/>
          <w:sz w:val="21"/>
        </w:rPr>
        <w:t>MCA</w:t>
        <w:tab/>
        <w:t>Análisis Multi-criterio, siglas en</w:t>
      </w:r>
      <w:r>
        <w:rPr>
          <w:spacing w:val="-27"/>
          <w:w w:val="105"/>
          <w:sz w:val="21"/>
        </w:rPr>
        <w:t> </w:t>
      </w:r>
      <w:r>
        <w:rPr>
          <w:w w:val="105"/>
          <w:sz w:val="21"/>
        </w:rPr>
        <w:t>ingles</w:t>
      </w:r>
    </w:p>
    <w:p>
      <w:pPr>
        <w:tabs>
          <w:tab w:pos="1678" w:val="left" w:leader="none"/>
        </w:tabs>
        <w:spacing w:line="252" w:lineRule="auto" w:before="1"/>
        <w:ind w:left="1678" w:right="234" w:hanging="1410"/>
        <w:jc w:val="left"/>
        <w:rPr>
          <w:sz w:val="21"/>
        </w:rPr>
      </w:pPr>
      <w:r>
        <w:rPr>
          <w:w w:val="105"/>
          <w:sz w:val="21"/>
        </w:rPr>
        <w:t>MEMIS</w:t>
        <w:tab/>
        <w:t>Marco para la evaluación de sistemas de manejo</w:t>
      </w:r>
      <w:r>
        <w:rPr>
          <w:spacing w:val="60"/>
          <w:w w:val="105"/>
          <w:sz w:val="21"/>
        </w:rPr>
        <w:t> </w:t>
      </w:r>
      <w:r>
        <w:rPr>
          <w:w w:val="105"/>
          <w:sz w:val="21"/>
        </w:rPr>
        <w:t>incorporando</w:t>
      </w:r>
      <w:r>
        <w:rPr>
          <w:spacing w:val="5"/>
          <w:w w:val="105"/>
          <w:sz w:val="21"/>
        </w:rPr>
        <w:t> </w:t>
      </w:r>
      <w:r>
        <w:rPr>
          <w:w w:val="105"/>
          <w:sz w:val="21"/>
        </w:rPr>
        <w:t>indicadores</w:t>
      </w:r>
      <w:r>
        <w:rPr>
          <w:w w:val="102"/>
          <w:sz w:val="21"/>
        </w:rPr>
        <w:t> </w:t>
      </w:r>
      <w:r>
        <w:rPr>
          <w:w w:val="105"/>
          <w:sz w:val="21"/>
        </w:rPr>
        <w:t>de</w:t>
      </w:r>
      <w:r>
        <w:rPr>
          <w:spacing w:val="-11"/>
          <w:w w:val="105"/>
          <w:sz w:val="21"/>
        </w:rPr>
        <w:t> </w:t>
      </w:r>
      <w:r>
        <w:rPr>
          <w:w w:val="105"/>
          <w:sz w:val="21"/>
        </w:rPr>
        <w:t>sustentabilidad</w:t>
      </w:r>
    </w:p>
    <w:p>
      <w:pPr>
        <w:spacing w:after="0" w:line="252" w:lineRule="auto"/>
        <w:jc w:val="left"/>
        <w:rPr>
          <w:sz w:val="21"/>
        </w:rPr>
        <w:sectPr>
          <w:pgSz w:w="12240" w:h="15840"/>
          <w:pgMar w:header="730" w:footer="1066" w:top="1320" w:bottom="1260" w:left="1720" w:right="1180"/>
        </w:sectPr>
      </w:pPr>
    </w:p>
    <w:p>
      <w:pPr>
        <w:pStyle w:val="BodyText"/>
        <w:spacing w:before="1"/>
        <w:rPr>
          <w:sz w:val="18"/>
        </w:rPr>
      </w:pPr>
    </w:p>
    <w:p>
      <w:pPr>
        <w:tabs>
          <w:tab w:pos="1678" w:val="left" w:leader="none"/>
        </w:tabs>
        <w:spacing w:before="78"/>
        <w:ind w:left="268" w:right="0" w:firstLine="0"/>
        <w:jc w:val="left"/>
        <w:rPr>
          <w:sz w:val="21"/>
        </w:rPr>
      </w:pPr>
      <w:r>
        <w:rPr/>
        <w:pict>
          <v:line style="position:absolute;mso-position-horizontal-relative:page;mso-position-vertical-relative:paragraph;z-index:1480" from="93.199997pt,-19.611116pt" to="546.799997pt,-19.611116pt" stroked="true" strokeweight=".479981pt" strokecolor="#000000">
            <w10:wrap type="none"/>
          </v:line>
        </w:pict>
      </w:r>
      <w:r>
        <w:rPr>
          <w:w w:val="105"/>
          <w:sz w:val="21"/>
        </w:rPr>
        <w:t>MIA</w:t>
        <w:tab/>
        <w:t>Manifestación de Impacto</w:t>
      </w:r>
      <w:r>
        <w:rPr>
          <w:spacing w:val="-21"/>
          <w:w w:val="105"/>
          <w:sz w:val="21"/>
        </w:rPr>
        <w:t> </w:t>
      </w:r>
      <w:r>
        <w:rPr>
          <w:w w:val="105"/>
          <w:sz w:val="21"/>
        </w:rPr>
        <w:t>Ambiental</w:t>
      </w:r>
    </w:p>
    <w:p>
      <w:pPr>
        <w:tabs>
          <w:tab w:pos="1678" w:val="left" w:leader="none"/>
        </w:tabs>
        <w:spacing w:line="252" w:lineRule="auto" w:before="8"/>
        <w:ind w:left="268" w:right="1705" w:firstLine="0"/>
        <w:jc w:val="left"/>
        <w:rPr>
          <w:sz w:val="21"/>
        </w:rPr>
      </w:pPr>
      <w:r>
        <w:rPr>
          <w:w w:val="105"/>
          <w:sz w:val="21"/>
        </w:rPr>
        <w:t>OCDE</w:t>
        <w:tab/>
        <w:t>Organización para la Cooperación y el</w:t>
      </w:r>
      <w:r>
        <w:rPr>
          <w:spacing w:val="-29"/>
          <w:w w:val="105"/>
          <w:sz w:val="21"/>
        </w:rPr>
        <w:t> </w:t>
      </w:r>
      <w:r>
        <w:rPr>
          <w:w w:val="105"/>
          <w:sz w:val="21"/>
        </w:rPr>
        <w:t>Desarrollo</w:t>
      </w:r>
      <w:r>
        <w:rPr>
          <w:spacing w:val="-6"/>
          <w:w w:val="105"/>
          <w:sz w:val="21"/>
        </w:rPr>
        <w:t> </w:t>
      </w:r>
      <w:r>
        <w:rPr>
          <w:w w:val="105"/>
          <w:sz w:val="21"/>
        </w:rPr>
        <w:t>Económico</w:t>
      </w:r>
      <w:r>
        <w:rPr>
          <w:w w:val="102"/>
          <w:sz w:val="21"/>
        </w:rPr>
        <w:t> </w:t>
      </w:r>
      <w:r>
        <w:rPr>
          <w:w w:val="105"/>
          <w:sz w:val="21"/>
        </w:rPr>
        <w:t>ONAVI</w:t>
        <w:tab/>
        <w:t>Organismos Nacionales de</w:t>
      </w:r>
      <w:r>
        <w:rPr>
          <w:spacing w:val="-21"/>
          <w:w w:val="105"/>
          <w:sz w:val="21"/>
        </w:rPr>
        <w:t> </w:t>
      </w:r>
      <w:r>
        <w:rPr>
          <w:w w:val="105"/>
          <w:sz w:val="21"/>
        </w:rPr>
        <w:t>Vivienda</w:t>
      </w:r>
    </w:p>
    <w:p>
      <w:pPr>
        <w:tabs>
          <w:tab w:pos="1684" w:val="left" w:leader="none"/>
        </w:tabs>
        <w:spacing w:line="247" w:lineRule="auto" w:before="1"/>
        <w:ind w:left="268" w:right="3984" w:firstLine="0"/>
        <w:jc w:val="left"/>
        <w:rPr>
          <w:sz w:val="21"/>
        </w:rPr>
      </w:pPr>
      <w:r>
        <w:rPr>
          <w:w w:val="105"/>
          <w:sz w:val="21"/>
        </w:rPr>
        <w:t>ONU</w:t>
        <w:tab/>
        <w:t>Organización de las</w:t>
      </w:r>
      <w:r>
        <w:rPr>
          <w:spacing w:val="-17"/>
          <w:w w:val="105"/>
          <w:sz w:val="21"/>
        </w:rPr>
        <w:t> </w:t>
      </w:r>
      <w:r>
        <w:rPr>
          <w:w w:val="105"/>
          <w:sz w:val="21"/>
        </w:rPr>
        <w:t>Naciones</w:t>
      </w:r>
      <w:r>
        <w:rPr>
          <w:spacing w:val="-6"/>
          <w:w w:val="105"/>
          <w:sz w:val="21"/>
        </w:rPr>
        <w:t> </w:t>
      </w:r>
      <w:r>
        <w:rPr>
          <w:w w:val="105"/>
          <w:sz w:val="21"/>
        </w:rPr>
        <w:t>Unidas</w:t>
      </w:r>
      <w:r>
        <w:rPr>
          <w:spacing w:val="2"/>
          <w:w w:val="102"/>
          <w:sz w:val="21"/>
        </w:rPr>
        <w:t> </w:t>
      </w:r>
      <w:r>
        <w:rPr>
          <w:w w:val="105"/>
          <w:sz w:val="21"/>
        </w:rPr>
        <w:t>OMS</w:t>
        <w:tab/>
        <w:t>Organización Mundial de la</w:t>
      </w:r>
      <w:r>
        <w:rPr>
          <w:spacing w:val="-20"/>
          <w:w w:val="105"/>
          <w:sz w:val="21"/>
        </w:rPr>
        <w:t> </w:t>
      </w:r>
      <w:r>
        <w:rPr>
          <w:w w:val="105"/>
          <w:sz w:val="21"/>
        </w:rPr>
        <w:t>Salud</w:t>
      </w:r>
    </w:p>
    <w:p>
      <w:pPr>
        <w:tabs>
          <w:tab w:pos="1684" w:val="left" w:leader="none"/>
        </w:tabs>
        <w:spacing w:line="252" w:lineRule="auto" w:before="6"/>
        <w:ind w:left="268" w:right="3311" w:firstLine="0"/>
        <w:jc w:val="left"/>
        <w:rPr>
          <w:sz w:val="21"/>
        </w:rPr>
      </w:pPr>
      <w:r>
        <w:rPr>
          <w:w w:val="105"/>
          <w:sz w:val="21"/>
        </w:rPr>
        <w:t>OSE</w:t>
        <w:tab/>
        <w:t>Observatorio de la Sostenibilidad</w:t>
      </w:r>
      <w:r>
        <w:rPr>
          <w:spacing w:val="-30"/>
          <w:w w:val="105"/>
          <w:sz w:val="21"/>
        </w:rPr>
        <w:t> </w:t>
      </w:r>
      <w:r>
        <w:rPr>
          <w:w w:val="105"/>
          <w:sz w:val="21"/>
        </w:rPr>
        <w:t>en</w:t>
      </w:r>
      <w:r>
        <w:rPr>
          <w:spacing w:val="-8"/>
          <w:w w:val="105"/>
          <w:sz w:val="21"/>
        </w:rPr>
        <w:t> </w:t>
      </w:r>
      <w:r>
        <w:rPr>
          <w:spacing w:val="2"/>
          <w:w w:val="105"/>
          <w:sz w:val="21"/>
        </w:rPr>
        <w:t>España</w:t>
      </w:r>
      <w:r>
        <w:rPr>
          <w:spacing w:val="2"/>
          <w:w w:val="102"/>
          <w:sz w:val="21"/>
        </w:rPr>
        <w:t> </w:t>
      </w:r>
      <w:r>
        <w:rPr>
          <w:w w:val="105"/>
          <w:sz w:val="21"/>
        </w:rPr>
        <w:t>PEMEX</w:t>
        <w:tab/>
        <w:t>Petróleos</w:t>
      </w:r>
      <w:r>
        <w:rPr>
          <w:spacing w:val="-13"/>
          <w:w w:val="105"/>
          <w:sz w:val="21"/>
        </w:rPr>
        <w:t> </w:t>
      </w:r>
      <w:r>
        <w:rPr>
          <w:w w:val="105"/>
          <w:sz w:val="21"/>
        </w:rPr>
        <w:t>Méxicanos</w:t>
      </w:r>
    </w:p>
    <w:p>
      <w:pPr>
        <w:tabs>
          <w:tab w:pos="1684" w:val="left" w:leader="none"/>
        </w:tabs>
        <w:spacing w:before="1"/>
        <w:ind w:left="268" w:right="0" w:firstLine="0"/>
        <w:jc w:val="left"/>
        <w:rPr>
          <w:sz w:val="21"/>
        </w:rPr>
      </w:pPr>
      <w:r>
        <w:rPr>
          <w:w w:val="105"/>
          <w:sz w:val="21"/>
        </w:rPr>
        <w:t>PER</w:t>
        <w:tab/>
        <w:t>Presión Estado</w:t>
      </w:r>
      <w:r>
        <w:rPr>
          <w:spacing w:val="-14"/>
          <w:w w:val="105"/>
          <w:sz w:val="21"/>
        </w:rPr>
        <w:t> </w:t>
      </w:r>
      <w:r>
        <w:rPr>
          <w:w w:val="105"/>
          <w:sz w:val="21"/>
        </w:rPr>
        <w:t>Respuesta</w:t>
      </w:r>
    </w:p>
    <w:p>
      <w:pPr>
        <w:tabs>
          <w:tab w:pos="1684" w:val="left" w:leader="none"/>
        </w:tabs>
        <w:spacing w:before="8"/>
        <w:ind w:left="268" w:right="0" w:firstLine="0"/>
        <w:jc w:val="left"/>
        <w:rPr>
          <w:sz w:val="21"/>
        </w:rPr>
      </w:pPr>
      <w:r>
        <w:rPr>
          <w:w w:val="105"/>
          <w:sz w:val="21"/>
        </w:rPr>
        <w:t>PFV</w:t>
        <w:tab/>
        <w:t>Programa Financiero de</w:t>
      </w:r>
      <w:r>
        <w:rPr>
          <w:spacing w:val="-20"/>
          <w:w w:val="105"/>
          <w:sz w:val="21"/>
        </w:rPr>
        <w:t> </w:t>
      </w:r>
      <w:r>
        <w:rPr>
          <w:w w:val="105"/>
          <w:sz w:val="21"/>
        </w:rPr>
        <w:t>Vivienda</w:t>
      </w:r>
    </w:p>
    <w:p>
      <w:pPr>
        <w:tabs>
          <w:tab w:pos="1684" w:val="left" w:leader="none"/>
        </w:tabs>
        <w:spacing w:line="252" w:lineRule="auto" w:before="13"/>
        <w:ind w:left="268" w:right="3863" w:firstLine="0"/>
        <w:jc w:val="left"/>
        <w:rPr>
          <w:sz w:val="21"/>
        </w:rPr>
      </w:pPr>
      <w:r>
        <w:rPr>
          <w:w w:val="105"/>
          <w:sz w:val="21"/>
        </w:rPr>
        <w:t>PJA</w:t>
        <w:tab/>
        <w:t>Proceso de</w:t>
      </w:r>
      <w:r>
        <w:rPr>
          <w:spacing w:val="-11"/>
          <w:w w:val="105"/>
          <w:sz w:val="21"/>
        </w:rPr>
        <w:t> </w:t>
      </w:r>
      <w:r>
        <w:rPr>
          <w:w w:val="105"/>
          <w:sz w:val="21"/>
        </w:rPr>
        <w:t>Jerarquía</w:t>
      </w:r>
      <w:r>
        <w:rPr>
          <w:spacing w:val="-6"/>
          <w:w w:val="105"/>
          <w:sz w:val="21"/>
        </w:rPr>
        <w:t> </w:t>
      </w:r>
      <w:r>
        <w:rPr>
          <w:w w:val="105"/>
          <w:sz w:val="21"/>
        </w:rPr>
        <w:t>Analítica</w:t>
      </w:r>
      <w:r>
        <w:rPr>
          <w:w w:val="102"/>
          <w:sz w:val="21"/>
        </w:rPr>
        <w:t> </w:t>
      </w:r>
      <w:r>
        <w:rPr>
          <w:w w:val="105"/>
          <w:sz w:val="21"/>
        </w:rPr>
        <w:t>PROVIVAC</w:t>
        <w:tab/>
        <w:t>Promotores Industriales</w:t>
      </w:r>
      <w:r>
        <w:rPr>
          <w:spacing w:val="-14"/>
          <w:w w:val="105"/>
          <w:sz w:val="21"/>
        </w:rPr>
        <w:t> </w:t>
      </w:r>
      <w:r>
        <w:rPr>
          <w:w w:val="105"/>
          <w:sz w:val="21"/>
        </w:rPr>
        <w:t>de</w:t>
      </w:r>
      <w:r>
        <w:rPr>
          <w:spacing w:val="-7"/>
          <w:w w:val="105"/>
          <w:sz w:val="21"/>
        </w:rPr>
        <w:t> </w:t>
      </w:r>
      <w:r>
        <w:rPr>
          <w:w w:val="105"/>
          <w:sz w:val="21"/>
        </w:rPr>
        <w:t>Vivienda</w:t>
      </w:r>
      <w:r>
        <w:rPr>
          <w:spacing w:val="2"/>
          <w:w w:val="102"/>
          <w:sz w:val="21"/>
        </w:rPr>
        <w:t> </w:t>
      </w:r>
      <w:r>
        <w:rPr>
          <w:w w:val="105"/>
          <w:sz w:val="21"/>
        </w:rPr>
        <w:t>REPDA</w:t>
        <w:tab/>
        <w:t>Registro Público de Derechos</w:t>
      </w:r>
      <w:r>
        <w:rPr>
          <w:spacing w:val="-19"/>
          <w:w w:val="105"/>
          <w:sz w:val="21"/>
        </w:rPr>
        <w:t> </w:t>
      </w:r>
      <w:r>
        <w:rPr>
          <w:w w:val="105"/>
          <w:sz w:val="21"/>
        </w:rPr>
        <w:t>de</w:t>
      </w:r>
      <w:r>
        <w:rPr>
          <w:spacing w:val="-5"/>
          <w:w w:val="105"/>
          <w:sz w:val="21"/>
        </w:rPr>
        <w:t> </w:t>
      </w:r>
      <w:r>
        <w:rPr>
          <w:w w:val="105"/>
          <w:sz w:val="21"/>
        </w:rPr>
        <w:t>Agua</w:t>
      </w:r>
      <w:r>
        <w:rPr>
          <w:w w:val="102"/>
          <w:sz w:val="21"/>
        </w:rPr>
        <w:t> </w:t>
      </w:r>
      <w:r>
        <w:rPr>
          <w:w w:val="105"/>
          <w:sz w:val="21"/>
        </w:rPr>
        <w:t>RUV</w:t>
        <w:tab/>
        <w:t>Registro Único de la</w:t>
      </w:r>
      <w:r>
        <w:rPr>
          <w:spacing w:val="-20"/>
          <w:w w:val="105"/>
          <w:sz w:val="21"/>
        </w:rPr>
        <w:t> </w:t>
      </w:r>
      <w:r>
        <w:rPr>
          <w:w w:val="105"/>
          <w:sz w:val="21"/>
        </w:rPr>
        <w:t>Vivienda</w:t>
      </w:r>
    </w:p>
    <w:p>
      <w:pPr>
        <w:tabs>
          <w:tab w:pos="1684" w:val="left" w:leader="none"/>
        </w:tabs>
        <w:spacing w:before="1"/>
        <w:ind w:left="268" w:right="0" w:firstLine="0"/>
        <w:jc w:val="left"/>
        <w:rPr>
          <w:sz w:val="21"/>
        </w:rPr>
      </w:pPr>
      <w:r>
        <w:rPr>
          <w:w w:val="105"/>
          <w:sz w:val="21"/>
        </w:rPr>
        <w:t>SE</w:t>
        <w:tab/>
        <w:t>Secretaría de</w:t>
      </w:r>
      <w:r>
        <w:rPr>
          <w:spacing w:val="-13"/>
          <w:w w:val="105"/>
          <w:sz w:val="21"/>
        </w:rPr>
        <w:t> </w:t>
      </w:r>
      <w:r>
        <w:rPr>
          <w:w w:val="105"/>
          <w:sz w:val="21"/>
        </w:rPr>
        <w:t>Ecología</w:t>
      </w:r>
    </w:p>
    <w:p>
      <w:pPr>
        <w:tabs>
          <w:tab w:pos="1684" w:val="left" w:leader="none"/>
        </w:tabs>
        <w:spacing w:line="252" w:lineRule="auto" w:before="8"/>
        <w:ind w:left="268" w:right="2495" w:firstLine="0"/>
        <w:jc w:val="left"/>
        <w:rPr>
          <w:sz w:val="21"/>
        </w:rPr>
      </w:pPr>
      <w:r>
        <w:rPr>
          <w:w w:val="105"/>
          <w:sz w:val="21"/>
        </w:rPr>
        <w:t>SEDATU</w:t>
        <w:tab/>
        <w:t>Secretaría de Desarrollo Agrario, Territorial</w:t>
      </w:r>
      <w:r>
        <w:rPr>
          <w:spacing w:val="-28"/>
          <w:w w:val="105"/>
          <w:sz w:val="21"/>
        </w:rPr>
        <w:t> </w:t>
      </w:r>
      <w:r>
        <w:rPr>
          <w:w w:val="105"/>
          <w:sz w:val="21"/>
        </w:rPr>
        <w:t>y</w:t>
      </w:r>
      <w:r>
        <w:rPr>
          <w:spacing w:val="-5"/>
          <w:w w:val="105"/>
          <w:sz w:val="21"/>
        </w:rPr>
        <w:t> </w:t>
      </w:r>
      <w:r>
        <w:rPr>
          <w:w w:val="105"/>
          <w:sz w:val="21"/>
        </w:rPr>
        <w:t>Urbano</w:t>
      </w:r>
      <w:r>
        <w:rPr>
          <w:w w:val="102"/>
          <w:sz w:val="21"/>
        </w:rPr>
        <w:t> </w:t>
      </w:r>
      <w:r>
        <w:rPr>
          <w:w w:val="105"/>
          <w:sz w:val="21"/>
        </w:rPr>
        <w:t>SEDUE</w:t>
        <w:tab/>
        <w:t>Secretaría de Desarrollo Urbano y</w:t>
      </w:r>
      <w:r>
        <w:rPr>
          <w:spacing w:val="-27"/>
          <w:w w:val="105"/>
          <w:sz w:val="21"/>
        </w:rPr>
        <w:t> </w:t>
      </w:r>
      <w:r>
        <w:rPr>
          <w:w w:val="105"/>
          <w:sz w:val="21"/>
        </w:rPr>
        <w:t>Ecología</w:t>
      </w:r>
    </w:p>
    <w:p>
      <w:pPr>
        <w:tabs>
          <w:tab w:pos="1684" w:val="left" w:leader="none"/>
        </w:tabs>
        <w:spacing w:line="252" w:lineRule="auto" w:before="1"/>
        <w:ind w:left="268" w:right="2922" w:firstLine="0"/>
        <w:jc w:val="left"/>
        <w:rPr>
          <w:sz w:val="21"/>
        </w:rPr>
      </w:pPr>
      <w:r>
        <w:rPr>
          <w:w w:val="105"/>
          <w:sz w:val="21"/>
        </w:rPr>
        <w:t>SEDUM</w:t>
        <w:tab/>
        <w:t>Secretaría de Desarrollo Urbano</w:t>
      </w:r>
      <w:r>
        <w:rPr>
          <w:spacing w:val="-21"/>
          <w:w w:val="105"/>
          <w:sz w:val="21"/>
        </w:rPr>
        <w:t> </w:t>
      </w:r>
      <w:r>
        <w:rPr>
          <w:w w:val="105"/>
          <w:sz w:val="21"/>
        </w:rPr>
        <w:t>y</w:t>
      </w:r>
      <w:r>
        <w:rPr>
          <w:spacing w:val="-6"/>
          <w:w w:val="105"/>
          <w:sz w:val="21"/>
        </w:rPr>
        <w:t> </w:t>
      </w:r>
      <w:r>
        <w:rPr>
          <w:w w:val="105"/>
          <w:sz w:val="21"/>
        </w:rPr>
        <w:t>Metropolitano</w:t>
      </w:r>
      <w:r>
        <w:rPr>
          <w:w w:val="102"/>
          <w:sz w:val="21"/>
        </w:rPr>
        <w:t> </w:t>
      </w:r>
      <w:r>
        <w:rPr>
          <w:w w:val="105"/>
          <w:sz w:val="21"/>
        </w:rPr>
        <w:t>SMA</w:t>
        <w:tab/>
        <w:t>Secretaría del Medio</w:t>
      </w:r>
      <w:r>
        <w:rPr>
          <w:spacing w:val="-17"/>
          <w:w w:val="105"/>
          <w:sz w:val="21"/>
        </w:rPr>
        <w:t> </w:t>
      </w:r>
      <w:r>
        <w:rPr>
          <w:w w:val="105"/>
          <w:sz w:val="21"/>
        </w:rPr>
        <w:t>Ambiente</w:t>
      </w:r>
    </w:p>
    <w:p>
      <w:pPr>
        <w:tabs>
          <w:tab w:pos="1684" w:val="left" w:leader="none"/>
        </w:tabs>
        <w:spacing w:line="252" w:lineRule="auto" w:before="0"/>
        <w:ind w:left="268" w:right="1785" w:firstLine="0"/>
        <w:jc w:val="left"/>
        <w:rPr>
          <w:sz w:val="21"/>
        </w:rPr>
      </w:pPr>
      <w:r>
        <w:rPr>
          <w:w w:val="105"/>
          <w:sz w:val="21"/>
        </w:rPr>
        <w:t>SEMARNAT Secretaría de Medio Ambiente y Recursos Naturales SEMARNAP Secretaría de Medio Ambiente, Recursos Naturales y Pesca SHF</w:t>
        <w:tab/>
        <w:t>Sociedad Hipotecaria</w:t>
      </w:r>
      <w:r>
        <w:rPr>
          <w:spacing w:val="-16"/>
          <w:w w:val="105"/>
          <w:sz w:val="21"/>
        </w:rPr>
        <w:t> </w:t>
      </w:r>
      <w:r>
        <w:rPr>
          <w:w w:val="105"/>
          <w:sz w:val="21"/>
        </w:rPr>
        <w:t>Federal</w:t>
      </w:r>
    </w:p>
    <w:p>
      <w:pPr>
        <w:tabs>
          <w:tab w:pos="1684" w:val="left" w:leader="none"/>
        </w:tabs>
        <w:spacing w:line="238" w:lineRule="exact" w:before="0"/>
        <w:ind w:left="268" w:right="0" w:firstLine="0"/>
        <w:jc w:val="left"/>
        <w:rPr>
          <w:sz w:val="21"/>
        </w:rPr>
      </w:pPr>
      <w:r>
        <w:rPr>
          <w:w w:val="105"/>
          <w:sz w:val="21"/>
        </w:rPr>
        <w:t>SIV</w:t>
        <w:tab/>
        <w:t>Sistema Institucional de</w:t>
      </w:r>
      <w:r>
        <w:rPr>
          <w:spacing w:val="-20"/>
          <w:w w:val="105"/>
          <w:sz w:val="21"/>
        </w:rPr>
        <w:t> </w:t>
      </w:r>
      <w:r>
        <w:rPr>
          <w:w w:val="105"/>
          <w:sz w:val="21"/>
        </w:rPr>
        <w:t>Vivienda</w:t>
      </w:r>
    </w:p>
    <w:p>
      <w:pPr>
        <w:tabs>
          <w:tab w:pos="1684" w:val="left" w:leader="none"/>
        </w:tabs>
        <w:spacing w:before="13"/>
        <w:ind w:left="268" w:right="0" w:firstLine="0"/>
        <w:jc w:val="left"/>
        <w:rPr>
          <w:sz w:val="21"/>
        </w:rPr>
      </w:pPr>
      <w:r>
        <w:rPr>
          <w:w w:val="105"/>
          <w:sz w:val="21"/>
        </w:rPr>
        <w:t>UE</w:t>
        <w:tab/>
        <w:t>Unión</w:t>
      </w:r>
      <w:r>
        <w:rPr>
          <w:spacing w:val="-11"/>
          <w:w w:val="105"/>
          <w:sz w:val="21"/>
        </w:rPr>
        <w:t> </w:t>
      </w:r>
      <w:r>
        <w:rPr>
          <w:w w:val="105"/>
          <w:sz w:val="21"/>
        </w:rPr>
        <w:t>Europea</w:t>
      </w:r>
    </w:p>
    <w:p>
      <w:pPr>
        <w:tabs>
          <w:tab w:pos="1684" w:val="left" w:leader="none"/>
        </w:tabs>
        <w:spacing w:before="13"/>
        <w:ind w:left="268" w:right="0" w:firstLine="0"/>
        <w:jc w:val="left"/>
        <w:rPr>
          <w:sz w:val="21"/>
        </w:rPr>
      </w:pPr>
      <w:r>
        <w:rPr>
          <w:w w:val="105"/>
          <w:sz w:val="21"/>
        </w:rPr>
        <w:t>UIA</w:t>
        <w:tab/>
        <w:t>Unión Internacional de</w:t>
      </w:r>
      <w:r>
        <w:rPr>
          <w:spacing w:val="-20"/>
          <w:w w:val="105"/>
          <w:sz w:val="21"/>
        </w:rPr>
        <w:t> </w:t>
      </w:r>
      <w:r>
        <w:rPr>
          <w:w w:val="105"/>
          <w:sz w:val="21"/>
        </w:rPr>
        <w:t>Arquitectos</w:t>
      </w:r>
    </w:p>
    <w:p>
      <w:pPr>
        <w:tabs>
          <w:tab w:pos="1678" w:val="left" w:leader="none"/>
        </w:tabs>
        <w:spacing w:line="252" w:lineRule="auto" w:before="8"/>
        <w:ind w:left="1678" w:right="233" w:hanging="1410"/>
        <w:jc w:val="left"/>
        <w:rPr>
          <w:sz w:val="21"/>
        </w:rPr>
      </w:pPr>
      <w:r>
        <w:rPr>
          <w:w w:val="105"/>
          <w:sz w:val="21"/>
        </w:rPr>
        <w:t>UNCED</w:t>
        <w:tab/>
        <w:t>Conferencia de las Naciones Unidad sobre Medio Ambiente   </w:t>
      </w:r>
      <w:r>
        <w:rPr>
          <w:spacing w:val="40"/>
          <w:w w:val="105"/>
          <w:sz w:val="21"/>
        </w:rPr>
        <w:t> </w:t>
      </w:r>
      <w:r>
        <w:rPr>
          <w:w w:val="105"/>
          <w:sz w:val="21"/>
        </w:rPr>
        <w:t>y</w:t>
      </w:r>
      <w:r>
        <w:rPr>
          <w:spacing w:val="28"/>
          <w:w w:val="105"/>
          <w:sz w:val="21"/>
        </w:rPr>
        <w:t> </w:t>
      </w:r>
      <w:r>
        <w:rPr>
          <w:w w:val="105"/>
          <w:sz w:val="21"/>
        </w:rPr>
        <w:t>Desarrollo,</w:t>
      </w:r>
      <w:r>
        <w:rPr>
          <w:w w:val="102"/>
          <w:sz w:val="21"/>
        </w:rPr>
        <w:t> </w:t>
      </w:r>
      <w:r>
        <w:rPr>
          <w:w w:val="105"/>
          <w:sz w:val="21"/>
        </w:rPr>
        <w:t>siglas en</w:t>
      </w:r>
      <w:r>
        <w:rPr>
          <w:spacing w:val="-12"/>
          <w:w w:val="105"/>
          <w:sz w:val="21"/>
        </w:rPr>
        <w:t> </w:t>
      </w:r>
      <w:r>
        <w:rPr>
          <w:w w:val="105"/>
          <w:sz w:val="21"/>
        </w:rPr>
        <w:t>ingles</w:t>
      </w:r>
    </w:p>
    <w:p>
      <w:pPr>
        <w:tabs>
          <w:tab w:pos="1684" w:val="left" w:leader="none"/>
        </w:tabs>
        <w:spacing w:line="252" w:lineRule="auto" w:before="1"/>
        <w:ind w:left="268" w:right="3789" w:firstLine="0"/>
        <w:jc w:val="left"/>
        <w:rPr>
          <w:sz w:val="21"/>
        </w:rPr>
      </w:pPr>
      <w:r>
        <w:rPr>
          <w:w w:val="105"/>
          <w:sz w:val="21"/>
        </w:rPr>
        <w:t>ZMVM</w:t>
        <w:tab/>
        <w:t>Zona Metropolitana del Valle</w:t>
      </w:r>
      <w:r>
        <w:rPr>
          <w:spacing w:val="-19"/>
          <w:w w:val="105"/>
          <w:sz w:val="21"/>
        </w:rPr>
        <w:t> </w:t>
      </w:r>
      <w:r>
        <w:rPr>
          <w:w w:val="105"/>
          <w:sz w:val="21"/>
        </w:rPr>
        <w:t>de</w:t>
      </w:r>
      <w:r>
        <w:rPr>
          <w:spacing w:val="-5"/>
          <w:w w:val="105"/>
          <w:sz w:val="21"/>
        </w:rPr>
        <w:t> </w:t>
      </w:r>
      <w:r>
        <w:rPr>
          <w:w w:val="105"/>
          <w:sz w:val="21"/>
        </w:rPr>
        <w:t>México</w:t>
      </w:r>
      <w:r>
        <w:rPr>
          <w:w w:val="102"/>
          <w:sz w:val="21"/>
        </w:rPr>
        <w:t> </w:t>
      </w:r>
      <w:r>
        <w:rPr>
          <w:w w:val="105"/>
          <w:sz w:val="21"/>
        </w:rPr>
        <w:t>ZMT</w:t>
        <w:tab/>
        <w:t>Zona Metropolitana de</w:t>
      </w:r>
      <w:r>
        <w:rPr>
          <w:spacing w:val="-16"/>
          <w:w w:val="105"/>
          <w:sz w:val="21"/>
        </w:rPr>
        <w:t> </w:t>
      </w:r>
      <w:r>
        <w:rPr>
          <w:w w:val="105"/>
          <w:sz w:val="21"/>
        </w:rPr>
        <w:t>Toluca</w:t>
      </w:r>
    </w:p>
    <w:p>
      <w:pPr>
        <w:spacing w:after="0" w:line="252" w:lineRule="auto"/>
        <w:jc w:val="left"/>
        <w:rPr>
          <w:sz w:val="21"/>
        </w:rPr>
        <w:sectPr>
          <w:pgSz w:w="12240" w:h="15840"/>
          <w:pgMar w:header="730" w:footer="1066" w:top="1320" w:bottom="1260" w:left="1720" w:right="1180"/>
        </w:sectPr>
      </w:pPr>
    </w:p>
    <w:p>
      <w:pPr>
        <w:pStyle w:val="BodyText"/>
        <w:rPr>
          <w:sz w:val="20"/>
        </w:rPr>
      </w:pPr>
    </w:p>
    <w:p>
      <w:pPr>
        <w:pStyle w:val="BodyText"/>
        <w:rPr>
          <w:sz w:val="20"/>
        </w:rPr>
      </w:pPr>
    </w:p>
    <w:p>
      <w:pPr>
        <w:pStyle w:val="Heading4"/>
        <w:spacing w:before="211"/>
        <w:jc w:val="left"/>
      </w:pPr>
      <w:r>
        <w:rPr/>
        <w:pict>
          <v:line style="position:absolute;mso-position-horizontal-relative:page;mso-position-vertical-relative:paragraph;z-index:1504" from="93.199997pt,-32.194149pt" to="546.799997pt,-32.194149pt" stroked="true" strokeweight=".479981pt" strokecolor="#000000">
            <w10:wrap type="none"/>
          </v:line>
        </w:pict>
      </w:r>
      <w:r>
        <w:rPr/>
        <w:t>Contenido de tablas</w:t>
      </w:r>
    </w:p>
    <w:p>
      <w:pPr>
        <w:tabs>
          <w:tab w:pos="9095" w:val="right" w:leader="dot"/>
        </w:tabs>
        <w:spacing w:line="247" w:lineRule="auto" w:before="328"/>
        <w:ind w:left="1124" w:right="242" w:hanging="856"/>
        <w:jc w:val="left"/>
        <w:rPr>
          <w:sz w:val="21"/>
        </w:rPr>
      </w:pPr>
      <w:r>
        <w:rPr>
          <w:w w:val="105"/>
          <w:sz w:val="21"/>
        </w:rPr>
        <w:t>Tabla 1. Algunas propuestas y hechos que dieron origen a la conceptualización de sustentabilidad</w:t>
        <w:tab/>
        <w:t>57</w:t>
      </w:r>
    </w:p>
    <w:p>
      <w:pPr>
        <w:spacing w:before="6"/>
        <w:ind w:left="268" w:right="0" w:firstLine="0"/>
        <w:jc w:val="left"/>
        <w:rPr>
          <w:sz w:val="21"/>
        </w:rPr>
      </w:pPr>
      <w:r>
        <w:rPr>
          <w:w w:val="105"/>
          <w:sz w:val="21"/>
        </w:rPr>
        <w:t>Tabla 2. Fundamentos teóricos sobre la sustentabilidad del territorio y la vivienda;</w:t>
      </w:r>
    </w:p>
    <w:p>
      <w:pPr>
        <w:tabs>
          <w:tab w:pos="9095" w:val="right" w:leader="dot"/>
        </w:tabs>
        <w:spacing w:before="13"/>
        <w:ind w:left="1124" w:right="0" w:firstLine="0"/>
        <w:jc w:val="left"/>
        <w:rPr>
          <w:sz w:val="21"/>
        </w:rPr>
      </w:pPr>
      <w:r>
        <w:rPr>
          <w:w w:val="105"/>
          <w:sz w:val="21"/>
        </w:rPr>
        <w:t>sus tres actores: Estado, iniciativa privada</w:t>
      </w:r>
      <w:r>
        <w:rPr>
          <w:spacing w:val="3"/>
          <w:w w:val="105"/>
          <w:sz w:val="21"/>
        </w:rPr>
        <w:t> </w:t>
      </w:r>
      <w:r>
        <w:rPr>
          <w:w w:val="105"/>
          <w:sz w:val="21"/>
        </w:rPr>
        <w:t>y</w:t>
      </w:r>
      <w:r>
        <w:rPr>
          <w:spacing w:val="1"/>
          <w:w w:val="105"/>
          <w:sz w:val="21"/>
        </w:rPr>
        <w:t> </w:t>
      </w:r>
      <w:r>
        <w:rPr>
          <w:w w:val="105"/>
          <w:sz w:val="21"/>
        </w:rPr>
        <w:t>sociedad</w:t>
        <w:tab/>
        <w:t>74</w:t>
      </w:r>
    </w:p>
    <w:p>
      <w:pPr>
        <w:tabs>
          <w:tab w:pos="9095" w:val="right" w:leader="dot"/>
        </w:tabs>
        <w:spacing w:before="13"/>
        <w:ind w:left="268" w:right="0" w:firstLine="0"/>
        <w:jc w:val="left"/>
        <w:rPr>
          <w:sz w:val="21"/>
        </w:rPr>
      </w:pPr>
      <w:r>
        <w:rPr>
          <w:w w:val="105"/>
          <w:sz w:val="21"/>
        </w:rPr>
        <w:t>Tabla 3. Categorías y conceptualización de</w:t>
      </w:r>
      <w:r>
        <w:rPr>
          <w:spacing w:val="5"/>
          <w:w w:val="105"/>
          <w:sz w:val="21"/>
        </w:rPr>
        <w:t> </w:t>
      </w:r>
      <w:r>
        <w:rPr>
          <w:w w:val="105"/>
          <w:sz w:val="21"/>
        </w:rPr>
        <w:t>las variables</w:t>
        <w:tab/>
        <w:t>75</w:t>
      </w:r>
    </w:p>
    <w:p>
      <w:pPr>
        <w:tabs>
          <w:tab w:pos="9095" w:val="right" w:leader="dot"/>
        </w:tabs>
        <w:spacing w:before="8"/>
        <w:ind w:left="268" w:right="0" w:firstLine="0"/>
        <w:jc w:val="left"/>
        <w:rPr>
          <w:sz w:val="21"/>
        </w:rPr>
      </w:pPr>
      <w:r>
        <w:rPr>
          <w:w w:val="105"/>
          <w:sz w:val="21"/>
        </w:rPr>
        <w:t>Tabla 4. Indicadores administrativos para</w:t>
      </w:r>
      <w:r>
        <w:rPr>
          <w:spacing w:val="3"/>
          <w:w w:val="105"/>
          <w:sz w:val="21"/>
        </w:rPr>
        <w:t> </w:t>
      </w:r>
      <w:r>
        <w:rPr>
          <w:w w:val="105"/>
          <w:sz w:val="21"/>
        </w:rPr>
        <w:t>conjuntos urbanos</w:t>
        <w:tab/>
        <w:t>76</w:t>
      </w:r>
    </w:p>
    <w:p>
      <w:pPr>
        <w:tabs>
          <w:tab w:pos="9095" w:val="right" w:leader="dot"/>
        </w:tabs>
        <w:spacing w:before="13"/>
        <w:ind w:left="268" w:right="0" w:firstLine="0"/>
        <w:jc w:val="left"/>
        <w:rPr>
          <w:sz w:val="21"/>
        </w:rPr>
      </w:pPr>
      <w:r>
        <w:rPr>
          <w:w w:val="105"/>
          <w:sz w:val="21"/>
        </w:rPr>
        <w:t>Tabla 5. Estructura del índice de</w:t>
      </w:r>
      <w:r>
        <w:rPr>
          <w:spacing w:val="4"/>
          <w:w w:val="105"/>
          <w:sz w:val="21"/>
        </w:rPr>
        <w:t> </w:t>
      </w:r>
      <w:r>
        <w:rPr>
          <w:w w:val="105"/>
          <w:sz w:val="21"/>
        </w:rPr>
        <w:t>sustentabilidad</w:t>
      </w:r>
      <w:r>
        <w:rPr>
          <w:spacing w:val="1"/>
          <w:w w:val="105"/>
          <w:sz w:val="21"/>
        </w:rPr>
        <w:t> </w:t>
      </w:r>
      <w:r>
        <w:rPr>
          <w:w w:val="105"/>
          <w:sz w:val="21"/>
        </w:rPr>
        <w:t>social</w:t>
        <w:tab/>
      </w:r>
      <w:r>
        <w:rPr>
          <w:spacing w:val="2"/>
          <w:w w:val="105"/>
          <w:sz w:val="21"/>
        </w:rPr>
        <w:t>108</w:t>
      </w:r>
    </w:p>
    <w:p>
      <w:pPr>
        <w:tabs>
          <w:tab w:pos="9095" w:val="right" w:leader="dot"/>
        </w:tabs>
        <w:spacing w:before="13"/>
        <w:ind w:left="268" w:right="0" w:firstLine="0"/>
        <w:jc w:val="left"/>
        <w:rPr>
          <w:sz w:val="21"/>
        </w:rPr>
      </w:pPr>
      <w:r>
        <w:rPr>
          <w:w w:val="105"/>
          <w:sz w:val="21"/>
        </w:rPr>
        <w:t>Tabla 6. Estructura del índice de</w:t>
      </w:r>
      <w:r>
        <w:rPr>
          <w:spacing w:val="3"/>
          <w:w w:val="105"/>
          <w:sz w:val="21"/>
        </w:rPr>
        <w:t> </w:t>
      </w:r>
      <w:r>
        <w:rPr>
          <w:w w:val="105"/>
          <w:sz w:val="21"/>
        </w:rPr>
        <w:t>sustentabilidad</w:t>
      </w:r>
      <w:r>
        <w:rPr>
          <w:spacing w:val="1"/>
          <w:w w:val="105"/>
          <w:sz w:val="21"/>
        </w:rPr>
        <w:t> </w:t>
      </w:r>
      <w:r>
        <w:rPr>
          <w:w w:val="105"/>
          <w:sz w:val="21"/>
        </w:rPr>
        <w:t>ambiental</w:t>
        <w:tab/>
      </w:r>
      <w:r>
        <w:rPr>
          <w:spacing w:val="2"/>
          <w:w w:val="105"/>
          <w:sz w:val="21"/>
        </w:rPr>
        <w:t>111</w:t>
      </w:r>
    </w:p>
    <w:p>
      <w:pPr>
        <w:tabs>
          <w:tab w:pos="9095" w:val="right" w:leader="dot"/>
        </w:tabs>
        <w:spacing w:before="8"/>
        <w:ind w:left="268" w:right="0" w:firstLine="0"/>
        <w:jc w:val="left"/>
        <w:rPr>
          <w:sz w:val="21"/>
        </w:rPr>
      </w:pPr>
      <w:r>
        <w:rPr>
          <w:w w:val="105"/>
          <w:sz w:val="21"/>
        </w:rPr>
        <w:t>Tabla 7. Estructura del índice de</w:t>
      </w:r>
      <w:r>
        <w:rPr>
          <w:spacing w:val="3"/>
          <w:w w:val="105"/>
          <w:sz w:val="21"/>
        </w:rPr>
        <w:t> </w:t>
      </w:r>
      <w:r>
        <w:rPr>
          <w:w w:val="105"/>
          <w:sz w:val="21"/>
        </w:rPr>
        <w:t>sustentabilidad</w:t>
      </w:r>
      <w:r>
        <w:rPr>
          <w:spacing w:val="1"/>
          <w:w w:val="105"/>
          <w:sz w:val="21"/>
        </w:rPr>
        <w:t> </w:t>
      </w:r>
      <w:r>
        <w:rPr>
          <w:w w:val="105"/>
          <w:sz w:val="21"/>
        </w:rPr>
        <w:t>económica</w:t>
        <w:tab/>
      </w:r>
      <w:r>
        <w:rPr>
          <w:spacing w:val="2"/>
          <w:w w:val="105"/>
          <w:sz w:val="21"/>
        </w:rPr>
        <w:t>113</w:t>
      </w:r>
    </w:p>
    <w:p>
      <w:pPr>
        <w:tabs>
          <w:tab w:pos="9095" w:val="right" w:leader="dot"/>
        </w:tabs>
        <w:spacing w:before="13"/>
        <w:ind w:left="268" w:right="0" w:firstLine="0"/>
        <w:jc w:val="left"/>
        <w:rPr>
          <w:sz w:val="21"/>
        </w:rPr>
      </w:pPr>
      <w:r>
        <w:rPr>
          <w:w w:val="105"/>
          <w:sz w:val="21"/>
        </w:rPr>
        <w:t>Tabla 8. Estructura del índice de</w:t>
      </w:r>
      <w:r>
        <w:rPr>
          <w:spacing w:val="4"/>
          <w:w w:val="105"/>
          <w:sz w:val="21"/>
        </w:rPr>
        <w:t> </w:t>
      </w:r>
      <w:r>
        <w:rPr>
          <w:w w:val="105"/>
          <w:sz w:val="21"/>
        </w:rPr>
        <w:t>sustentabilidad</w:t>
      </w:r>
      <w:r>
        <w:rPr>
          <w:spacing w:val="1"/>
          <w:w w:val="105"/>
          <w:sz w:val="21"/>
        </w:rPr>
        <w:t> </w:t>
      </w:r>
      <w:r>
        <w:rPr>
          <w:w w:val="105"/>
          <w:sz w:val="21"/>
        </w:rPr>
        <w:t>territorial</w:t>
        <w:tab/>
      </w:r>
      <w:r>
        <w:rPr>
          <w:spacing w:val="2"/>
          <w:w w:val="105"/>
          <w:sz w:val="21"/>
        </w:rPr>
        <w:t>115</w:t>
      </w:r>
    </w:p>
    <w:p>
      <w:pPr>
        <w:tabs>
          <w:tab w:pos="9095" w:val="right" w:leader="dot"/>
        </w:tabs>
        <w:spacing w:before="13"/>
        <w:ind w:left="268" w:right="0" w:firstLine="0"/>
        <w:jc w:val="left"/>
        <w:rPr>
          <w:sz w:val="21"/>
        </w:rPr>
      </w:pPr>
      <w:r>
        <w:rPr>
          <w:w w:val="105"/>
          <w:sz w:val="21"/>
        </w:rPr>
        <w:t>Tabla 9. Estructura del índice de sustentabilidad de conjuntos</w:t>
      </w:r>
      <w:r>
        <w:rPr>
          <w:spacing w:val="-1"/>
          <w:w w:val="105"/>
          <w:sz w:val="21"/>
        </w:rPr>
        <w:t> </w:t>
      </w:r>
      <w:r>
        <w:rPr>
          <w:w w:val="105"/>
          <w:sz w:val="21"/>
        </w:rPr>
        <w:t>urbanos</w:t>
        <w:tab/>
      </w:r>
      <w:r>
        <w:rPr>
          <w:spacing w:val="2"/>
          <w:w w:val="105"/>
          <w:sz w:val="21"/>
        </w:rPr>
        <w:t>117</w:t>
      </w:r>
    </w:p>
    <w:p>
      <w:pPr>
        <w:tabs>
          <w:tab w:pos="9095" w:val="right" w:leader="dot"/>
        </w:tabs>
        <w:spacing w:before="8"/>
        <w:ind w:left="268" w:right="0" w:firstLine="0"/>
        <w:jc w:val="left"/>
        <w:rPr>
          <w:sz w:val="21"/>
        </w:rPr>
      </w:pPr>
      <w:r>
        <w:rPr>
          <w:w w:val="105"/>
          <w:sz w:val="21"/>
        </w:rPr>
        <w:t>Tabla 10. Comisión Estatal de Desarrollo Urbano</w:t>
      </w:r>
      <w:r>
        <w:rPr>
          <w:spacing w:val="4"/>
          <w:w w:val="105"/>
          <w:sz w:val="21"/>
        </w:rPr>
        <w:t> </w:t>
      </w:r>
      <w:r>
        <w:rPr>
          <w:w w:val="105"/>
          <w:sz w:val="21"/>
        </w:rPr>
        <w:t>y</w:t>
      </w:r>
      <w:r>
        <w:rPr>
          <w:spacing w:val="1"/>
          <w:w w:val="105"/>
          <w:sz w:val="21"/>
        </w:rPr>
        <w:t> </w:t>
      </w:r>
      <w:r>
        <w:rPr>
          <w:w w:val="105"/>
          <w:sz w:val="21"/>
        </w:rPr>
        <w:t>Vivienda</w:t>
        <w:tab/>
      </w:r>
      <w:r>
        <w:rPr>
          <w:spacing w:val="2"/>
          <w:w w:val="105"/>
          <w:sz w:val="21"/>
        </w:rPr>
        <w:t>127</w:t>
      </w:r>
    </w:p>
    <w:p>
      <w:pPr>
        <w:tabs>
          <w:tab w:pos="9095" w:val="right" w:leader="dot"/>
        </w:tabs>
        <w:spacing w:before="13"/>
        <w:ind w:left="268" w:right="0" w:firstLine="0"/>
        <w:jc w:val="left"/>
        <w:rPr>
          <w:sz w:val="21"/>
        </w:rPr>
      </w:pPr>
      <w:r>
        <w:rPr>
          <w:w w:val="105"/>
          <w:sz w:val="21"/>
        </w:rPr>
        <w:t>Tabla 11. Marco normativo para conjuntos urbanos en el Estado</w:t>
      </w:r>
      <w:r>
        <w:rPr>
          <w:spacing w:val="-5"/>
          <w:w w:val="105"/>
          <w:sz w:val="21"/>
        </w:rPr>
        <w:t> </w:t>
      </w:r>
      <w:r>
        <w:rPr>
          <w:w w:val="105"/>
          <w:sz w:val="21"/>
        </w:rPr>
        <w:t>de México</w:t>
        <w:tab/>
      </w:r>
      <w:r>
        <w:rPr>
          <w:spacing w:val="2"/>
          <w:w w:val="105"/>
          <w:sz w:val="21"/>
        </w:rPr>
        <w:t>129</w:t>
      </w:r>
    </w:p>
    <w:p>
      <w:pPr>
        <w:tabs>
          <w:tab w:pos="9095" w:val="right" w:leader="dot"/>
        </w:tabs>
        <w:spacing w:before="13"/>
        <w:ind w:left="268" w:right="0" w:firstLine="0"/>
        <w:jc w:val="left"/>
        <w:rPr>
          <w:sz w:val="21"/>
        </w:rPr>
      </w:pPr>
      <w:r>
        <w:rPr>
          <w:w w:val="105"/>
          <w:sz w:val="21"/>
        </w:rPr>
        <w:t>Tabla 12. Derechos y obligaciones por la autorización de un</w:t>
      </w:r>
      <w:r>
        <w:rPr>
          <w:spacing w:val="-11"/>
          <w:w w:val="105"/>
          <w:sz w:val="21"/>
        </w:rPr>
        <w:t> </w:t>
      </w:r>
      <w:r>
        <w:rPr>
          <w:w w:val="105"/>
          <w:sz w:val="21"/>
        </w:rPr>
        <w:t>conjunto</w:t>
      </w:r>
      <w:r>
        <w:rPr>
          <w:spacing w:val="-2"/>
          <w:w w:val="105"/>
          <w:sz w:val="21"/>
        </w:rPr>
        <w:t> </w:t>
      </w:r>
      <w:r>
        <w:rPr>
          <w:w w:val="105"/>
          <w:sz w:val="21"/>
        </w:rPr>
        <w:t>urbano.</w:t>
        <w:tab/>
      </w:r>
      <w:r>
        <w:rPr>
          <w:spacing w:val="2"/>
          <w:w w:val="105"/>
          <w:sz w:val="21"/>
        </w:rPr>
        <w:t>152</w:t>
      </w:r>
    </w:p>
    <w:p>
      <w:pPr>
        <w:tabs>
          <w:tab w:pos="9095" w:val="right" w:leader="dot"/>
        </w:tabs>
        <w:spacing w:before="13"/>
        <w:ind w:left="268" w:right="0" w:firstLine="0"/>
        <w:jc w:val="left"/>
        <w:rPr>
          <w:sz w:val="21"/>
        </w:rPr>
      </w:pPr>
      <w:r>
        <w:rPr>
          <w:w w:val="105"/>
          <w:sz w:val="21"/>
        </w:rPr>
        <w:t>Tabla 13. Impuestos por la autorización de</w:t>
      </w:r>
      <w:r>
        <w:rPr>
          <w:spacing w:val="4"/>
          <w:w w:val="105"/>
          <w:sz w:val="21"/>
        </w:rPr>
        <w:t> </w:t>
      </w:r>
      <w:r>
        <w:rPr>
          <w:w w:val="105"/>
          <w:sz w:val="21"/>
        </w:rPr>
        <w:t>conjunto</w:t>
      </w:r>
      <w:r>
        <w:rPr>
          <w:spacing w:val="1"/>
          <w:w w:val="105"/>
          <w:sz w:val="21"/>
        </w:rPr>
        <w:t> </w:t>
      </w:r>
      <w:r>
        <w:rPr>
          <w:w w:val="105"/>
          <w:sz w:val="21"/>
        </w:rPr>
        <w:t>urbano</w:t>
        <w:tab/>
      </w:r>
      <w:r>
        <w:rPr>
          <w:spacing w:val="2"/>
          <w:w w:val="105"/>
          <w:sz w:val="21"/>
        </w:rPr>
        <w:t>153</w:t>
      </w:r>
    </w:p>
    <w:p>
      <w:pPr>
        <w:tabs>
          <w:tab w:pos="9095" w:val="right" w:leader="dot"/>
        </w:tabs>
        <w:spacing w:before="8"/>
        <w:ind w:left="268" w:right="0" w:firstLine="0"/>
        <w:jc w:val="left"/>
        <w:rPr>
          <w:sz w:val="21"/>
        </w:rPr>
      </w:pPr>
      <w:r>
        <w:rPr>
          <w:w w:val="105"/>
          <w:sz w:val="21"/>
        </w:rPr>
        <w:t>Tabla 14. Documentos para</w:t>
      </w:r>
      <w:r>
        <w:rPr>
          <w:spacing w:val="4"/>
          <w:w w:val="105"/>
          <w:sz w:val="21"/>
        </w:rPr>
        <w:t> </w:t>
      </w:r>
      <w:r>
        <w:rPr>
          <w:w w:val="105"/>
          <w:sz w:val="21"/>
        </w:rPr>
        <w:t>la</w:t>
      </w:r>
      <w:r>
        <w:rPr>
          <w:spacing w:val="1"/>
          <w:w w:val="105"/>
          <w:sz w:val="21"/>
        </w:rPr>
        <w:t> </w:t>
      </w:r>
      <w:r>
        <w:rPr>
          <w:w w:val="105"/>
          <w:sz w:val="21"/>
        </w:rPr>
        <w:t>escrituración</w:t>
        <w:tab/>
      </w:r>
      <w:r>
        <w:rPr>
          <w:spacing w:val="2"/>
          <w:w w:val="105"/>
          <w:sz w:val="21"/>
        </w:rPr>
        <w:t>156</w:t>
      </w:r>
    </w:p>
    <w:p>
      <w:pPr>
        <w:tabs>
          <w:tab w:pos="9095" w:val="right" w:leader="dot"/>
        </w:tabs>
        <w:spacing w:before="13"/>
        <w:ind w:left="268" w:right="0" w:firstLine="0"/>
        <w:jc w:val="left"/>
        <w:rPr>
          <w:sz w:val="21"/>
        </w:rPr>
      </w:pPr>
      <w:r>
        <w:rPr>
          <w:w w:val="105"/>
          <w:sz w:val="21"/>
        </w:rPr>
        <w:t>Tabla 15. Documentos y norma para entrega</w:t>
      </w:r>
      <w:r>
        <w:rPr>
          <w:spacing w:val="6"/>
          <w:w w:val="105"/>
          <w:sz w:val="21"/>
        </w:rPr>
        <w:t> </w:t>
      </w:r>
      <w:r>
        <w:rPr>
          <w:w w:val="105"/>
          <w:sz w:val="21"/>
        </w:rPr>
        <w:t>y</w:t>
      </w:r>
      <w:r>
        <w:rPr>
          <w:spacing w:val="1"/>
          <w:w w:val="105"/>
          <w:sz w:val="21"/>
        </w:rPr>
        <w:t> </w:t>
      </w:r>
      <w:r>
        <w:rPr>
          <w:w w:val="105"/>
          <w:sz w:val="21"/>
        </w:rPr>
        <w:t>recepción</w:t>
        <w:tab/>
      </w:r>
      <w:r>
        <w:rPr>
          <w:spacing w:val="2"/>
          <w:w w:val="105"/>
          <w:sz w:val="21"/>
        </w:rPr>
        <w:t>159</w:t>
      </w:r>
    </w:p>
    <w:p>
      <w:pPr>
        <w:tabs>
          <w:tab w:pos="9095" w:val="right" w:leader="dot"/>
        </w:tabs>
        <w:spacing w:before="13"/>
        <w:ind w:left="268" w:right="0" w:firstLine="0"/>
        <w:jc w:val="left"/>
        <w:rPr>
          <w:sz w:val="21"/>
        </w:rPr>
      </w:pPr>
      <w:r>
        <w:rPr>
          <w:w w:val="105"/>
          <w:sz w:val="21"/>
        </w:rPr>
        <w:t>Tabla 16. Municipios que conforman la zona metropolitana de</w:t>
      </w:r>
      <w:r>
        <w:rPr>
          <w:spacing w:val="-1"/>
          <w:w w:val="105"/>
          <w:sz w:val="21"/>
        </w:rPr>
        <w:t> </w:t>
      </w:r>
      <w:r>
        <w:rPr>
          <w:w w:val="105"/>
          <w:sz w:val="21"/>
        </w:rPr>
        <w:t>Toluca.</w:t>
        <w:tab/>
      </w:r>
      <w:r>
        <w:rPr>
          <w:spacing w:val="2"/>
          <w:w w:val="105"/>
          <w:sz w:val="21"/>
        </w:rPr>
        <w:t>165</w:t>
      </w:r>
    </w:p>
    <w:p>
      <w:pPr>
        <w:tabs>
          <w:tab w:pos="9095" w:val="right" w:leader="dot"/>
        </w:tabs>
        <w:spacing w:before="8"/>
        <w:ind w:left="268" w:right="0" w:firstLine="0"/>
        <w:jc w:val="left"/>
        <w:rPr>
          <w:sz w:val="21"/>
        </w:rPr>
      </w:pPr>
      <w:r>
        <w:rPr>
          <w:w w:val="105"/>
          <w:sz w:val="21"/>
        </w:rPr>
        <w:t>Tabla 17. Datos del territorio urbano en los municipios de</w:t>
      </w:r>
      <w:r>
        <w:rPr>
          <w:spacing w:val="-1"/>
          <w:w w:val="105"/>
          <w:sz w:val="21"/>
        </w:rPr>
        <w:t> </w:t>
      </w:r>
      <w:r>
        <w:rPr>
          <w:w w:val="105"/>
          <w:sz w:val="21"/>
        </w:rPr>
        <w:t>la </w:t>
      </w:r>
      <w:r>
        <w:rPr>
          <w:spacing w:val="2"/>
          <w:w w:val="105"/>
          <w:sz w:val="21"/>
        </w:rPr>
        <w:t>ZMT.</w:t>
        <w:tab/>
        <w:t>167</w:t>
      </w:r>
    </w:p>
    <w:p>
      <w:pPr>
        <w:tabs>
          <w:tab w:pos="9095" w:val="right" w:leader="dot"/>
        </w:tabs>
        <w:spacing w:before="13"/>
        <w:ind w:left="268" w:right="0" w:firstLine="0"/>
        <w:jc w:val="left"/>
        <w:rPr>
          <w:sz w:val="21"/>
        </w:rPr>
      </w:pPr>
      <w:r>
        <w:rPr>
          <w:w w:val="105"/>
          <w:sz w:val="21"/>
        </w:rPr>
        <w:t>Tabla 18. Conjuntos Urbanos en el territorio</w:t>
      </w:r>
      <w:r>
        <w:rPr>
          <w:spacing w:val="2"/>
          <w:w w:val="105"/>
          <w:sz w:val="21"/>
        </w:rPr>
        <w:t> </w:t>
      </w:r>
      <w:r>
        <w:rPr>
          <w:w w:val="105"/>
          <w:sz w:val="21"/>
        </w:rPr>
        <w:t>de</w:t>
      </w:r>
      <w:r>
        <w:rPr>
          <w:spacing w:val="1"/>
          <w:w w:val="105"/>
          <w:sz w:val="21"/>
        </w:rPr>
        <w:t> </w:t>
      </w:r>
      <w:r>
        <w:rPr>
          <w:w w:val="105"/>
          <w:sz w:val="21"/>
        </w:rPr>
        <w:t>Calimaya</w:t>
        <w:tab/>
      </w:r>
      <w:r>
        <w:rPr>
          <w:spacing w:val="2"/>
          <w:w w:val="105"/>
          <w:sz w:val="21"/>
        </w:rPr>
        <w:t>172</w:t>
      </w:r>
    </w:p>
    <w:p>
      <w:pPr>
        <w:tabs>
          <w:tab w:pos="9095" w:val="right" w:leader="dot"/>
        </w:tabs>
        <w:spacing w:before="13"/>
        <w:ind w:left="268" w:right="0" w:firstLine="0"/>
        <w:jc w:val="left"/>
        <w:rPr>
          <w:sz w:val="21"/>
        </w:rPr>
      </w:pPr>
      <w:r>
        <w:rPr>
          <w:w w:val="105"/>
          <w:sz w:val="21"/>
        </w:rPr>
        <w:t>Tabla 19. Datos del CU: Villas</w:t>
      </w:r>
      <w:r>
        <w:rPr>
          <w:spacing w:val="3"/>
          <w:w w:val="105"/>
          <w:sz w:val="21"/>
        </w:rPr>
        <w:t> </w:t>
      </w:r>
      <w:r>
        <w:rPr>
          <w:w w:val="105"/>
          <w:sz w:val="21"/>
        </w:rPr>
        <w:t>del</w:t>
      </w:r>
      <w:r>
        <w:rPr>
          <w:spacing w:val="-1"/>
          <w:w w:val="105"/>
          <w:sz w:val="21"/>
        </w:rPr>
        <w:t> </w:t>
      </w:r>
      <w:r>
        <w:rPr>
          <w:w w:val="105"/>
          <w:sz w:val="21"/>
        </w:rPr>
        <w:t>Campo</w:t>
        <w:tab/>
      </w:r>
      <w:r>
        <w:rPr>
          <w:spacing w:val="2"/>
          <w:w w:val="105"/>
          <w:sz w:val="21"/>
        </w:rPr>
        <w:t>176</w:t>
      </w:r>
    </w:p>
    <w:p>
      <w:pPr>
        <w:tabs>
          <w:tab w:pos="9095" w:val="right" w:leader="dot"/>
        </w:tabs>
        <w:spacing w:before="8"/>
        <w:ind w:left="268" w:right="0" w:firstLine="0"/>
        <w:jc w:val="left"/>
        <w:rPr>
          <w:sz w:val="21"/>
        </w:rPr>
      </w:pPr>
      <w:r>
        <w:rPr>
          <w:w w:val="105"/>
          <w:sz w:val="21"/>
        </w:rPr>
        <w:t>Tabla 20. Villas del Campo; Índice de</w:t>
      </w:r>
      <w:r>
        <w:rPr>
          <w:spacing w:val="2"/>
          <w:w w:val="105"/>
          <w:sz w:val="21"/>
        </w:rPr>
        <w:t> </w:t>
      </w:r>
      <w:r>
        <w:rPr>
          <w:w w:val="105"/>
          <w:sz w:val="21"/>
        </w:rPr>
        <w:t>Sustentabilidad Social</w:t>
        <w:tab/>
      </w:r>
      <w:r>
        <w:rPr>
          <w:spacing w:val="2"/>
          <w:w w:val="105"/>
          <w:sz w:val="21"/>
        </w:rPr>
        <w:t>178</w:t>
      </w:r>
    </w:p>
    <w:p>
      <w:pPr>
        <w:tabs>
          <w:tab w:pos="9095" w:val="right" w:leader="dot"/>
        </w:tabs>
        <w:spacing w:before="13"/>
        <w:ind w:left="268" w:right="0" w:firstLine="0"/>
        <w:jc w:val="left"/>
        <w:rPr>
          <w:sz w:val="21"/>
        </w:rPr>
      </w:pPr>
      <w:r>
        <w:rPr>
          <w:w w:val="105"/>
          <w:sz w:val="21"/>
        </w:rPr>
        <w:t>Tabla 21. Villas del Campo; Índice de Sustentabilidad Ambiental</w:t>
        <w:tab/>
      </w:r>
      <w:r>
        <w:rPr>
          <w:spacing w:val="2"/>
          <w:w w:val="105"/>
          <w:sz w:val="21"/>
        </w:rPr>
        <w:t>179</w:t>
      </w:r>
    </w:p>
    <w:p>
      <w:pPr>
        <w:tabs>
          <w:tab w:pos="9095" w:val="right" w:leader="dot"/>
        </w:tabs>
        <w:spacing w:before="13"/>
        <w:ind w:left="268" w:right="0" w:firstLine="0"/>
        <w:jc w:val="left"/>
        <w:rPr>
          <w:sz w:val="21"/>
        </w:rPr>
      </w:pPr>
      <w:r>
        <w:rPr>
          <w:w w:val="105"/>
          <w:sz w:val="21"/>
        </w:rPr>
        <w:t>Tabla 22. Villas del Campo; Índice de Sustentabilidad Económica</w:t>
        <w:tab/>
      </w:r>
      <w:r>
        <w:rPr>
          <w:spacing w:val="2"/>
          <w:w w:val="105"/>
          <w:sz w:val="21"/>
        </w:rPr>
        <w:t>181</w:t>
      </w:r>
    </w:p>
    <w:p>
      <w:pPr>
        <w:tabs>
          <w:tab w:pos="9095" w:val="right" w:leader="dot"/>
        </w:tabs>
        <w:spacing w:before="13"/>
        <w:ind w:left="268" w:right="0" w:firstLine="0"/>
        <w:jc w:val="left"/>
        <w:rPr>
          <w:sz w:val="21"/>
        </w:rPr>
      </w:pPr>
      <w:r>
        <w:rPr>
          <w:w w:val="105"/>
          <w:sz w:val="21"/>
        </w:rPr>
        <w:t>Tabla 23. Villas del Campo; Índice de Sustentabilidad Territorial</w:t>
        <w:tab/>
      </w:r>
      <w:r>
        <w:rPr>
          <w:spacing w:val="2"/>
          <w:w w:val="105"/>
          <w:sz w:val="21"/>
        </w:rPr>
        <w:t>182</w:t>
      </w:r>
    </w:p>
    <w:p>
      <w:pPr>
        <w:tabs>
          <w:tab w:pos="9095" w:val="right" w:leader="dot"/>
        </w:tabs>
        <w:spacing w:before="8"/>
        <w:ind w:left="268" w:right="0" w:firstLine="0"/>
        <w:jc w:val="left"/>
        <w:rPr>
          <w:sz w:val="21"/>
        </w:rPr>
      </w:pPr>
      <w:r>
        <w:rPr>
          <w:w w:val="105"/>
          <w:sz w:val="21"/>
        </w:rPr>
        <w:t>Tabla 24. Resultado de índices de sustentabilidad Villas</w:t>
      </w:r>
      <w:r>
        <w:rPr>
          <w:spacing w:val="1"/>
          <w:w w:val="105"/>
          <w:sz w:val="21"/>
        </w:rPr>
        <w:t> </w:t>
      </w:r>
      <w:r>
        <w:rPr>
          <w:w w:val="105"/>
          <w:sz w:val="21"/>
        </w:rPr>
        <w:t>del</w:t>
      </w:r>
      <w:r>
        <w:rPr>
          <w:spacing w:val="-2"/>
          <w:w w:val="105"/>
          <w:sz w:val="21"/>
        </w:rPr>
        <w:t> </w:t>
      </w:r>
      <w:r>
        <w:rPr>
          <w:w w:val="105"/>
          <w:sz w:val="21"/>
        </w:rPr>
        <w:t>Campo</w:t>
        <w:tab/>
      </w:r>
      <w:r>
        <w:rPr>
          <w:spacing w:val="2"/>
          <w:w w:val="105"/>
          <w:sz w:val="21"/>
        </w:rPr>
        <w:t>183</w:t>
      </w:r>
    </w:p>
    <w:p>
      <w:pPr>
        <w:tabs>
          <w:tab w:pos="9095" w:val="right" w:leader="dot"/>
        </w:tabs>
        <w:spacing w:before="13"/>
        <w:ind w:left="268" w:right="0" w:firstLine="0"/>
        <w:jc w:val="left"/>
        <w:rPr>
          <w:sz w:val="21"/>
        </w:rPr>
      </w:pPr>
      <w:r>
        <w:rPr>
          <w:w w:val="105"/>
          <w:sz w:val="21"/>
        </w:rPr>
        <w:t>Tabla 25. Resultado de índices de sustentabilidad</w:t>
      </w:r>
      <w:r>
        <w:rPr>
          <w:spacing w:val="4"/>
          <w:w w:val="105"/>
          <w:sz w:val="21"/>
        </w:rPr>
        <w:t> </w:t>
      </w:r>
      <w:r>
        <w:rPr>
          <w:w w:val="105"/>
          <w:sz w:val="21"/>
        </w:rPr>
        <w:t>San Andrés</w:t>
        <w:tab/>
      </w:r>
      <w:r>
        <w:rPr>
          <w:spacing w:val="2"/>
          <w:w w:val="105"/>
          <w:sz w:val="21"/>
        </w:rPr>
        <w:t>189</w:t>
      </w:r>
    </w:p>
    <w:p>
      <w:pPr>
        <w:tabs>
          <w:tab w:pos="9095" w:val="right" w:leader="dot"/>
        </w:tabs>
        <w:spacing w:before="13"/>
        <w:ind w:left="268" w:right="0" w:firstLine="0"/>
        <w:jc w:val="left"/>
        <w:rPr>
          <w:sz w:val="21"/>
        </w:rPr>
      </w:pPr>
      <w:r>
        <w:rPr>
          <w:w w:val="105"/>
          <w:sz w:val="21"/>
        </w:rPr>
        <w:t>Tabla 26. Resultado de índices de sustentabilidad Villas del</w:t>
      </w:r>
      <w:r>
        <w:rPr>
          <w:spacing w:val="-1"/>
          <w:w w:val="105"/>
          <w:sz w:val="21"/>
        </w:rPr>
        <w:t> </w:t>
      </w:r>
      <w:r>
        <w:rPr>
          <w:w w:val="105"/>
          <w:sz w:val="21"/>
        </w:rPr>
        <w:t>Campo II</w:t>
        <w:tab/>
      </w:r>
      <w:r>
        <w:rPr>
          <w:spacing w:val="2"/>
          <w:w w:val="105"/>
          <w:sz w:val="21"/>
        </w:rPr>
        <w:t>194</w:t>
      </w:r>
    </w:p>
    <w:p>
      <w:pPr>
        <w:tabs>
          <w:tab w:pos="9095" w:val="right" w:leader="dot"/>
        </w:tabs>
        <w:spacing w:before="8"/>
        <w:ind w:left="268" w:right="0" w:firstLine="0"/>
        <w:jc w:val="left"/>
        <w:rPr>
          <w:sz w:val="21"/>
        </w:rPr>
      </w:pPr>
      <w:r>
        <w:rPr>
          <w:w w:val="105"/>
          <w:sz w:val="21"/>
        </w:rPr>
        <w:t>Tabla 27. Resultado de índices de sustentabilidad Valle</w:t>
      </w:r>
      <w:r>
        <w:rPr>
          <w:spacing w:val="3"/>
          <w:w w:val="105"/>
          <w:sz w:val="21"/>
        </w:rPr>
        <w:t> </w:t>
      </w:r>
      <w:r>
        <w:rPr>
          <w:w w:val="105"/>
          <w:sz w:val="21"/>
        </w:rPr>
        <w:t>del</w:t>
      </w:r>
      <w:r>
        <w:rPr>
          <w:spacing w:val="-2"/>
          <w:w w:val="105"/>
          <w:sz w:val="21"/>
        </w:rPr>
        <w:t> </w:t>
      </w:r>
      <w:r>
        <w:rPr>
          <w:w w:val="105"/>
          <w:sz w:val="21"/>
        </w:rPr>
        <w:t>Nevado</w:t>
        <w:tab/>
      </w:r>
      <w:r>
        <w:rPr>
          <w:spacing w:val="2"/>
          <w:w w:val="105"/>
          <w:sz w:val="21"/>
        </w:rPr>
        <w:t>197</w:t>
      </w:r>
    </w:p>
    <w:p>
      <w:pPr>
        <w:tabs>
          <w:tab w:pos="9095" w:val="right" w:leader="dot"/>
        </w:tabs>
        <w:spacing w:before="13"/>
        <w:ind w:left="268" w:right="0" w:firstLine="0"/>
        <w:jc w:val="left"/>
        <w:rPr>
          <w:sz w:val="21"/>
        </w:rPr>
      </w:pPr>
      <w:r>
        <w:rPr>
          <w:w w:val="105"/>
          <w:sz w:val="21"/>
        </w:rPr>
        <w:t>Tabla 28. Resultado de índices de sustentabilidad Rancho</w:t>
      </w:r>
      <w:r>
        <w:rPr>
          <w:spacing w:val="-5"/>
          <w:w w:val="105"/>
          <w:sz w:val="21"/>
        </w:rPr>
        <w:t> </w:t>
      </w:r>
      <w:r>
        <w:rPr>
          <w:w w:val="105"/>
          <w:sz w:val="21"/>
        </w:rPr>
        <w:t>la</w:t>
      </w:r>
      <w:r>
        <w:rPr>
          <w:spacing w:val="-1"/>
          <w:w w:val="105"/>
          <w:sz w:val="21"/>
        </w:rPr>
        <w:t> </w:t>
      </w:r>
      <w:r>
        <w:rPr>
          <w:w w:val="105"/>
          <w:sz w:val="21"/>
        </w:rPr>
        <w:t>Providencia.</w:t>
        <w:tab/>
      </w:r>
      <w:r>
        <w:rPr>
          <w:spacing w:val="2"/>
          <w:w w:val="105"/>
          <w:sz w:val="21"/>
        </w:rPr>
        <w:t>200</w:t>
      </w:r>
    </w:p>
    <w:p>
      <w:pPr>
        <w:tabs>
          <w:tab w:pos="9095" w:val="right" w:leader="dot"/>
        </w:tabs>
        <w:spacing w:before="13"/>
        <w:ind w:left="268" w:right="0" w:firstLine="0"/>
        <w:jc w:val="left"/>
        <w:rPr>
          <w:sz w:val="21"/>
        </w:rPr>
      </w:pPr>
      <w:r>
        <w:rPr>
          <w:w w:val="105"/>
          <w:sz w:val="21"/>
        </w:rPr>
        <w:t>Tabla 29. Resultado de índices de sustentabilidad Urbi</w:t>
      </w:r>
      <w:r>
        <w:rPr>
          <w:spacing w:val="-3"/>
          <w:w w:val="105"/>
          <w:sz w:val="21"/>
        </w:rPr>
        <w:t> </w:t>
      </w:r>
      <w:r>
        <w:rPr>
          <w:w w:val="105"/>
          <w:sz w:val="21"/>
        </w:rPr>
        <w:t>Hacienda Lomas</w:t>
        <w:tab/>
      </w:r>
      <w:r>
        <w:rPr>
          <w:spacing w:val="2"/>
          <w:w w:val="105"/>
          <w:sz w:val="21"/>
        </w:rPr>
        <w:t>203</w:t>
      </w:r>
    </w:p>
    <w:p>
      <w:pPr>
        <w:tabs>
          <w:tab w:pos="9095" w:val="right" w:leader="dot"/>
        </w:tabs>
        <w:spacing w:before="13"/>
        <w:ind w:left="268" w:right="0" w:firstLine="0"/>
        <w:jc w:val="left"/>
        <w:rPr>
          <w:sz w:val="21"/>
        </w:rPr>
      </w:pPr>
      <w:r>
        <w:rPr>
          <w:w w:val="105"/>
          <w:sz w:val="21"/>
        </w:rPr>
        <w:t>Tabla 30. Resultado de índices de sustentabilidad Bosque de</w:t>
      </w:r>
      <w:r>
        <w:rPr>
          <w:spacing w:val="-2"/>
          <w:w w:val="105"/>
          <w:sz w:val="21"/>
        </w:rPr>
        <w:t> </w:t>
      </w:r>
      <w:r>
        <w:rPr>
          <w:w w:val="105"/>
          <w:sz w:val="21"/>
        </w:rPr>
        <w:t>las</w:t>
      </w:r>
      <w:r>
        <w:rPr>
          <w:spacing w:val="-1"/>
          <w:w w:val="105"/>
          <w:sz w:val="21"/>
        </w:rPr>
        <w:t> </w:t>
      </w:r>
      <w:r>
        <w:rPr>
          <w:w w:val="105"/>
          <w:sz w:val="21"/>
        </w:rPr>
        <w:t>Fuentes</w:t>
        <w:tab/>
      </w:r>
      <w:r>
        <w:rPr>
          <w:spacing w:val="2"/>
          <w:w w:val="105"/>
          <w:sz w:val="21"/>
        </w:rPr>
        <w:t>206</w:t>
      </w:r>
    </w:p>
    <w:p>
      <w:pPr>
        <w:tabs>
          <w:tab w:pos="9095" w:val="right" w:leader="dot"/>
        </w:tabs>
        <w:spacing w:before="8"/>
        <w:ind w:left="268" w:right="0" w:firstLine="0"/>
        <w:jc w:val="left"/>
        <w:rPr>
          <w:sz w:val="21"/>
        </w:rPr>
      </w:pPr>
      <w:r>
        <w:rPr>
          <w:w w:val="105"/>
          <w:sz w:val="21"/>
        </w:rPr>
        <w:t>Tabla 31. Resultado de índices de sustentabilidad Hacienda de</w:t>
      </w:r>
      <w:r>
        <w:rPr>
          <w:spacing w:val="-8"/>
          <w:w w:val="105"/>
          <w:sz w:val="21"/>
        </w:rPr>
        <w:t> </w:t>
      </w:r>
      <w:r>
        <w:rPr>
          <w:w w:val="105"/>
          <w:sz w:val="21"/>
        </w:rPr>
        <w:t>las</w:t>
      </w:r>
      <w:r>
        <w:rPr>
          <w:spacing w:val="-2"/>
          <w:w w:val="105"/>
          <w:sz w:val="21"/>
        </w:rPr>
        <w:t> </w:t>
      </w:r>
      <w:r>
        <w:rPr>
          <w:w w:val="105"/>
          <w:sz w:val="21"/>
        </w:rPr>
        <w:t>Fuentes</w:t>
        <w:tab/>
      </w:r>
      <w:r>
        <w:rPr>
          <w:spacing w:val="2"/>
          <w:w w:val="105"/>
          <w:sz w:val="21"/>
        </w:rPr>
        <w:t>209</w:t>
      </w:r>
    </w:p>
    <w:p>
      <w:pPr>
        <w:tabs>
          <w:tab w:pos="9095" w:val="right" w:leader="dot"/>
        </w:tabs>
        <w:spacing w:before="13"/>
        <w:ind w:left="268" w:right="0" w:firstLine="0"/>
        <w:jc w:val="left"/>
        <w:rPr>
          <w:sz w:val="21"/>
        </w:rPr>
      </w:pPr>
      <w:r>
        <w:rPr>
          <w:w w:val="105"/>
          <w:sz w:val="21"/>
        </w:rPr>
        <w:t>Tabla 32. Resultado de índices de sustentabilidad Valle de las</w:t>
      </w:r>
      <w:r>
        <w:rPr>
          <w:spacing w:val="-1"/>
          <w:w w:val="105"/>
          <w:sz w:val="21"/>
        </w:rPr>
        <w:t> </w:t>
      </w:r>
      <w:r>
        <w:rPr>
          <w:w w:val="105"/>
          <w:sz w:val="21"/>
        </w:rPr>
        <w:t>Fuentes</w:t>
        <w:tab/>
      </w:r>
      <w:r>
        <w:rPr>
          <w:spacing w:val="2"/>
          <w:w w:val="105"/>
          <w:sz w:val="21"/>
        </w:rPr>
        <w:t>212</w:t>
      </w:r>
    </w:p>
    <w:p>
      <w:pPr>
        <w:tabs>
          <w:tab w:pos="9095" w:val="right" w:leader="dot"/>
        </w:tabs>
        <w:spacing w:before="13"/>
        <w:ind w:left="268" w:right="0" w:firstLine="0"/>
        <w:jc w:val="left"/>
        <w:rPr>
          <w:sz w:val="21"/>
        </w:rPr>
      </w:pPr>
      <w:r>
        <w:rPr>
          <w:w w:val="105"/>
          <w:sz w:val="21"/>
        </w:rPr>
        <w:t>Tabla 33.</w:t>
      </w:r>
      <w:r>
        <w:rPr>
          <w:spacing w:val="2"/>
          <w:w w:val="105"/>
          <w:sz w:val="21"/>
        </w:rPr>
        <w:t> </w:t>
      </w:r>
      <w:r>
        <w:rPr>
          <w:w w:val="105"/>
          <w:sz w:val="21"/>
        </w:rPr>
        <w:t>Indicadores sociales</w:t>
        <w:tab/>
      </w:r>
      <w:r>
        <w:rPr>
          <w:spacing w:val="2"/>
          <w:w w:val="105"/>
          <w:sz w:val="21"/>
        </w:rPr>
        <w:t>214</w:t>
      </w:r>
    </w:p>
    <w:p>
      <w:pPr>
        <w:tabs>
          <w:tab w:pos="9095" w:val="right" w:leader="dot"/>
        </w:tabs>
        <w:spacing w:before="8"/>
        <w:ind w:left="268" w:right="0" w:firstLine="0"/>
        <w:jc w:val="left"/>
        <w:rPr>
          <w:sz w:val="21"/>
        </w:rPr>
      </w:pPr>
      <w:r>
        <w:rPr>
          <w:w w:val="105"/>
          <w:sz w:val="21"/>
        </w:rPr>
        <w:t>Tabla 34.</w:t>
      </w:r>
      <w:r>
        <w:rPr>
          <w:spacing w:val="2"/>
          <w:w w:val="105"/>
          <w:sz w:val="21"/>
        </w:rPr>
        <w:t> </w:t>
      </w:r>
      <w:r>
        <w:rPr>
          <w:w w:val="105"/>
          <w:sz w:val="21"/>
        </w:rPr>
        <w:t>Indicadores ambientales</w:t>
        <w:tab/>
      </w:r>
      <w:r>
        <w:rPr>
          <w:spacing w:val="2"/>
          <w:w w:val="105"/>
          <w:sz w:val="21"/>
        </w:rPr>
        <w:t>215</w:t>
      </w:r>
    </w:p>
    <w:p>
      <w:pPr>
        <w:tabs>
          <w:tab w:pos="9095" w:val="right" w:leader="dot"/>
        </w:tabs>
        <w:spacing w:before="13"/>
        <w:ind w:left="268" w:right="0" w:firstLine="0"/>
        <w:jc w:val="left"/>
        <w:rPr>
          <w:sz w:val="21"/>
        </w:rPr>
      </w:pPr>
      <w:r>
        <w:rPr>
          <w:w w:val="105"/>
          <w:sz w:val="21"/>
        </w:rPr>
        <w:t>Tabla 35.</w:t>
      </w:r>
      <w:r>
        <w:rPr>
          <w:spacing w:val="2"/>
          <w:w w:val="105"/>
          <w:sz w:val="21"/>
        </w:rPr>
        <w:t> </w:t>
      </w:r>
      <w:r>
        <w:rPr>
          <w:w w:val="105"/>
          <w:sz w:val="21"/>
        </w:rPr>
        <w:t>Indicadores económicos</w:t>
        <w:tab/>
      </w:r>
      <w:r>
        <w:rPr>
          <w:spacing w:val="2"/>
          <w:w w:val="105"/>
          <w:sz w:val="21"/>
        </w:rPr>
        <w:t>216</w:t>
      </w:r>
    </w:p>
    <w:p>
      <w:pPr>
        <w:tabs>
          <w:tab w:pos="9095" w:val="right" w:leader="dot"/>
        </w:tabs>
        <w:spacing w:before="13"/>
        <w:ind w:left="268" w:right="0" w:firstLine="0"/>
        <w:jc w:val="left"/>
        <w:rPr>
          <w:sz w:val="21"/>
        </w:rPr>
      </w:pPr>
      <w:r>
        <w:rPr>
          <w:w w:val="105"/>
          <w:sz w:val="21"/>
        </w:rPr>
        <w:t>Tabla 36.</w:t>
      </w:r>
      <w:r>
        <w:rPr>
          <w:spacing w:val="2"/>
          <w:w w:val="105"/>
          <w:sz w:val="21"/>
        </w:rPr>
        <w:t> </w:t>
      </w:r>
      <w:r>
        <w:rPr>
          <w:w w:val="105"/>
          <w:sz w:val="21"/>
        </w:rPr>
        <w:t>Indicadores territoriales</w:t>
        <w:tab/>
      </w:r>
      <w:r>
        <w:rPr>
          <w:spacing w:val="2"/>
          <w:w w:val="105"/>
          <w:sz w:val="21"/>
        </w:rPr>
        <w:t>217</w:t>
      </w:r>
    </w:p>
    <w:p>
      <w:pPr>
        <w:tabs>
          <w:tab w:pos="9095" w:val="right" w:leader="dot"/>
        </w:tabs>
        <w:spacing w:before="8"/>
        <w:ind w:left="268" w:right="0" w:firstLine="0"/>
        <w:jc w:val="left"/>
        <w:rPr>
          <w:sz w:val="21"/>
        </w:rPr>
      </w:pPr>
      <w:r>
        <w:rPr>
          <w:w w:val="105"/>
          <w:sz w:val="21"/>
        </w:rPr>
        <w:t>Tabla 37. Análisis de aspectos teóricos en relación</w:t>
      </w:r>
      <w:r>
        <w:rPr>
          <w:spacing w:val="4"/>
          <w:w w:val="105"/>
          <w:sz w:val="21"/>
        </w:rPr>
        <w:t> </w:t>
      </w:r>
      <w:r>
        <w:rPr>
          <w:w w:val="105"/>
          <w:sz w:val="21"/>
        </w:rPr>
        <w:t>al</w:t>
      </w:r>
      <w:r>
        <w:rPr>
          <w:spacing w:val="-1"/>
          <w:w w:val="105"/>
          <w:sz w:val="21"/>
        </w:rPr>
        <w:t> </w:t>
      </w:r>
      <w:r>
        <w:rPr>
          <w:w w:val="105"/>
          <w:sz w:val="21"/>
        </w:rPr>
        <w:t>estudio.</w:t>
        <w:tab/>
      </w:r>
      <w:r>
        <w:rPr>
          <w:spacing w:val="2"/>
          <w:w w:val="105"/>
          <w:sz w:val="21"/>
        </w:rPr>
        <w:t>227</w:t>
      </w:r>
    </w:p>
    <w:p>
      <w:pPr>
        <w:tabs>
          <w:tab w:pos="9095" w:val="right" w:leader="dot"/>
        </w:tabs>
        <w:spacing w:before="13"/>
        <w:ind w:left="268" w:right="0" w:firstLine="0"/>
        <w:jc w:val="left"/>
        <w:rPr>
          <w:sz w:val="21"/>
        </w:rPr>
      </w:pPr>
      <w:r>
        <w:rPr>
          <w:w w:val="105"/>
          <w:sz w:val="21"/>
        </w:rPr>
        <w:t>Tabla 38. Actividades de</w:t>
      </w:r>
      <w:r>
        <w:rPr>
          <w:spacing w:val="4"/>
          <w:w w:val="105"/>
          <w:sz w:val="21"/>
        </w:rPr>
        <w:t> </w:t>
      </w:r>
      <w:r>
        <w:rPr>
          <w:w w:val="105"/>
          <w:sz w:val="21"/>
        </w:rPr>
        <w:t>la</w:t>
      </w:r>
      <w:r>
        <w:rPr>
          <w:spacing w:val="1"/>
          <w:w w:val="105"/>
          <w:sz w:val="21"/>
        </w:rPr>
        <w:t> </w:t>
      </w:r>
      <w:r>
        <w:rPr>
          <w:w w:val="105"/>
          <w:sz w:val="21"/>
        </w:rPr>
        <w:t>CEDUV</w:t>
        <w:tab/>
      </w:r>
      <w:r>
        <w:rPr>
          <w:spacing w:val="2"/>
          <w:w w:val="105"/>
          <w:sz w:val="21"/>
        </w:rPr>
        <w:t>261</w:t>
      </w:r>
    </w:p>
    <w:p>
      <w:pPr>
        <w:tabs>
          <w:tab w:pos="9095" w:val="right" w:leader="dot"/>
        </w:tabs>
        <w:spacing w:before="13"/>
        <w:ind w:left="268" w:right="0" w:firstLine="0"/>
        <w:jc w:val="left"/>
        <w:rPr>
          <w:sz w:val="21"/>
        </w:rPr>
      </w:pPr>
      <w:r>
        <w:rPr>
          <w:w w:val="105"/>
          <w:sz w:val="21"/>
        </w:rPr>
        <w:t>Tabla 39. Obras</w:t>
      </w:r>
      <w:r>
        <w:rPr>
          <w:spacing w:val="3"/>
          <w:w w:val="105"/>
          <w:sz w:val="21"/>
        </w:rPr>
        <w:t> </w:t>
      </w:r>
      <w:r>
        <w:rPr>
          <w:w w:val="105"/>
          <w:sz w:val="21"/>
        </w:rPr>
        <w:t>de urbanización</w:t>
        <w:tab/>
      </w:r>
      <w:r>
        <w:rPr>
          <w:spacing w:val="2"/>
          <w:w w:val="105"/>
          <w:sz w:val="21"/>
        </w:rPr>
        <w:t>262</w:t>
      </w:r>
    </w:p>
    <w:p>
      <w:pPr>
        <w:tabs>
          <w:tab w:pos="9095" w:val="right" w:leader="dot"/>
        </w:tabs>
        <w:spacing w:before="13"/>
        <w:ind w:left="268" w:right="0" w:firstLine="0"/>
        <w:jc w:val="left"/>
        <w:rPr>
          <w:sz w:val="21"/>
        </w:rPr>
      </w:pPr>
      <w:r>
        <w:rPr>
          <w:w w:val="105"/>
          <w:sz w:val="21"/>
        </w:rPr>
        <w:t>Tabla 40. Autorización inicio</w:t>
      </w:r>
      <w:r>
        <w:rPr>
          <w:spacing w:val="5"/>
          <w:w w:val="105"/>
          <w:sz w:val="21"/>
        </w:rPr>
        <w:t> </w:t>
      </w:r>
      <w:r>
        <w:rPr>
          <w:w w:val="105"/>
          <w:sz w:val="21"/>
        </w:rPr>
        <w:t>de</w:t>
      </w:r>
      <w:r>
        <w:rPr>
          <w:spacing w:val="1"/>
          <w:w w:val="105"/>
          <w:sz w:val="21"/>
        </w:rPr>
        <w:t> </w:t>
      </w:r>
      <w:r>
        <w:rPr>
          <w:w w:val="105"/>
          <w:sz w:val="21"/>
        </w:rPr>
        <w:t>obras</w:t>
        <w:tab/>
      </w:r>
      <w:r>
        <w:rPr>
          <w:spacing w:val="2"/>
          <w:w w:val="105"/>
          <w:sz w:val="21"/>
        </w:rPr>
        <w:t>263</w:t>
      </w:r>
    </w:p>
    <w:p>
      <w:pPr>
        <w:tabs>
          <w:tab w:pos="9095" w:val="right" w:leader="dot"/>
        </w:tabs>
        <w:spacing w:before="8"/>
        <w:ind w:left="268" w:right="0" w:firstLine="0"/>
        <w:jc w:val="left"/>
        <w:rPr>
          <w:sz w:val="21"/>
        </w:rPr>
      </w:pPr>
      <w:r>
        <w:rPr>
          <w:w w:val="105"/>
          <w:sz w:val="21"/>
        </w:rPr>
        <w:t>Tabla 41. Documentos licencia</w:t>
      </w:r>
      <w:r>
        <w:rPr>
          <w:spacing w:val="2"/>
          <w:w w:val="105"/>
          <w:sz w:val="21"/>
        </w:rPr>
        <w:t> </w:t>
      </w:r>
      <w:r>
        <w:rPr>
          <w:w w:val="105"/>
          <w:sz w:val="21"/>
        </w:rPr>
        <w:t>de construcción</w:t>
        <w:tab/>
      </w:r>
      <w:r>
        <w:rPr>
          <w:spacing w:val="2"/>
          <w:w w:val="105"/>
          <w:sz w:val="21"/>
        </w:rPr>
        <w:t>263</w:t>
      </w:r>
    </w:p>
    <w:p>
      <w:pPr>
        <w:tabs>
          <w:tab w:pos="9095" w:val="right" w:leader="dot"/>
        </w:tabs>
        <w:spacing w:before="13"/>
        <w:ind w:left="268" w:right="0" w:firstLine="0"/>
        <w:jc w:val="left"/>
        <w:rPr>
          <w:sz w:val="21"/>
        </w:rPr>
      </w:pPr>
      <w:r>
        <w:rPr>
          <w:w w:val="105"/>
          <w:sz w:val="21"/>
        </w:rPr>
        <w:t>Tabla 42. Datos</w:t>
      </w:r>
      <w:r>
        <w:rPr>
          <w:spacing w:val="3"/>
          <w:w w:val="105"/>
          <w:sz w:val="21"/>
        </w:rPr>
        <w:t> </w:t>
      </w:r>
      <w:r>
        <w:rPr>
          <w:w w:val="105"/>
          <w:sz w:val="21"/>
        </w:rPr>
        <w:t>San</w:t>
      </w:r>
      <w:r>
        <w:rPr>
          <w:spacing w:val="1"/>
          <w:w w:val="105"/>
          <w:sz w:val="21"/>
        </w:rPr>
        <w:t> </w:t>
      </w:r>
      <w:r>
        <w:rPr>
          <w:w w:val="105"/>
          <w:sz w:val="21"/>
        </w:rPr>
        <w:t>Andrés</w:t>
        <w:tab/>
      </w:r>
      <w:r>
        <w:rPr>
          <w:spacing w:val="2"/>
          <w:w w:val="105"/>
          <w:sz w:val="21"/>
        </w:rPr>
        <w:t>264</w:t>
      </w:r>
    </w:p>
    <w:p>
      <w:pPr>
        <w:tabs>
          <w:tab w:pos="9095" w:val="right" w:leader="dot"/>
        </w:tabs>
        <w:spacing w:before="13"/>
        <w:ind w:left="268" w:right="0" w:firstLine="0"/>
        <w:jc w:val="left"/>
        <w:rPr>
          <w:sz w:val="21"/>
        </w:rPr>
      </w:pPr>
      <w:r>
        <w:rPr>
          <w:w w:val="105"/>
          <w:sz w:val="21"/>
        </w:rPr>
        <w:t>Tabla 43. ISS</w:t>
      </w:r>
      <w:r>
        <w:rPr>
          <w:spacing w:val="4"/>
          <w:w w:val="105"/>
          <w:sz w:val="21"/>
        </w:rPr>
        <w:t> </w:t>
      </w:r>
      <w:r>
        <w:rPr>
          <w:w w:val="105"/>
          <w:sz w:val="21"/>
        </w:rPr>
        <w:t>San</w:t>
      </w:r>
      <w:r>
        <w:rPr>
          <w:spacing w:val="1"/>
          <w:w w:val="105"/>
          <w:sz w:val="21"/>
        </w:rPr>
        <w:t> </w:t>
      </w:r>
      <w:r>
        <w:rPr>
          <w:w w:val="105"/>
          <w:sz w:val="21"/>
        </w:rPr>
        <w:t>Andrés</w:t>
        <w:tab/>
      </w:r>
      <w:r>
        <w:rPr>
          <w:spacing w:val="2"/>
          <w:w w:val="105"/>
          <w:sz w:val="21"/>
        </w:rPr>
        <w:t>264</w:t>
      </w:r>
    </w:p>
    <w:p>
      <w:pPr>
        <w:tabs>
          <w:tab w:pos="9095" w:val="right" w:leader="dot"/>
        </w:tabs>
        <w:spacing w:before="8"/>
        <w:ind w:left="268" w:right="0" w:firstLine="0"/>
        <w:jc w:val="left"/>
        <w:rPr>
          <w:sz w:val="21"/>
        </w:rPr>
      </w:pPr>
      <w:r>
        <w:rPr>
          <w:w w:val="105"/>
          <w:sz w:val="21"/>
        </w:rPr>
        <w:t>Tabla 44. ISA</w:t>
      </w:r>
      <w:r>
        <w:rPr>
          <w:spacing w:val="4"/>
          <w:w w:val="105"/>
          <w:sz w:val="21"/>
        </w:rPr>
        <w:t> </w:t>
      </w:r>
      <w:r>
        <w:rPr>
          <w:w w:val="105"/>
          <w:sz w:val="21"/>
        </w:rPr>
        <w:t>San</w:t>
      </w:r>
      <w:r>
        <w:rPr>
          <w:spacing w:val="1"/>
          <w:w w:val="105"/>
          <w:sz w:val="21"/>
        </w:rPr>
        <w:t> </w:t>
      </w:r>
      <w:r>
        <w:rPr>
          <w:w w:val="105"/>
          <w:sz w:val="21"/>
        </w:rPr>
        <w:t>Andrés</w:t>
        <w:tab/>
      </w:r>
      <w:r>
        <w:rPr>
          <w:spacing w:val="2"/>
          <w:w w:val="105"/>
          <w:sz w:val="21"/>
        </w:rPr>
        <w:t>265</w:t>
      </w:r>
    </w:p>
    <w:p>
      <w:pPr>
        <w:spacing w:after="0"/>
        <w:jc w:val="left"/>
        <w:rPr>
          <w:sz w:val="21"/>
        </w:rPr>
        <w:sectPr>
          <w:pgSz w:w="12240" w:h="15840"/>
          <w:pgMar w:header="730" w:footer="1066" w:top="1320" w:bottom="1260" w:left="1720" w:right="1180"/>
        </w:sectPr>
      </w:pPr>
    </w:p>
    <w:p>
      <w:pPr>
        <w:tabs>
          <w:tab w:pos="9095" w:val="right" w:leader="dot"/>
        </w:tabs>
        <w:spacing w:before="286"/>
        <w:ind w:left="268" w:right="0" w:firstLine="0"/>
        <w:jc w:val="left"/>
        <w:rPr>
          <w:sz w:val="21"/>
        </w:rPr>
      </w:pPr>
      <w:r>
        <w:rPr/>
        <w:pict>
          <v:line style="position:absolute;mso-position-horizontal-relative:page;mso-position-vertical-relative:paragraph;z-index:1528" from="93.199997pt,-9.211116pt" to="546.799997pt,-9.211116pt" stroked="true" strokeweight=".479981pt" strokecolor="#000000">
            <w10:wrap type="none"/>
          </v:line>
        </w:pict>
      </w:r>
      <w:r>
        <w:rPr>
          <w:w w:val="105"/>
          <w:sz w:val="21"/>
        </w:rPr>
        <w:t>Tabla 45. ISE</w:t>
      </w:r>
      <w:r>
        <w:rPr>
          <w:spacing w:val="4"/>
          <w:w w:val="105"/>
          <w:sz w:val="21"/>
        </w:rPr>
        <w:t> </w:t>
      </w:r>
      <w:r>
        <w:rPr>
          <w:w w:val="105"/>
          <w:sz w:val="21"/>
        </w:rPr>
        <w:t>San</w:t>
      </w:r>
      <w:r>
        <w:rPr>
          <w:spacing w:val="1"/>
          <w:w w:val="105"/>
          <w:sz w:val="21"/>
        </w:rPr>
        <w:t> </w:t>
      </w:r>
      <w:r>
        <w:rPr>
          <w:w w:val="105"/>
          <w:sz w:val="21"/>
        </w:rPr>
        <w:t>Andrés</w:t>
        <w:tab/>
      </w:r>
      <w:r>
        <w:rPr>
          <w:spacing w:val="2"/>
          <w:w w:val="105"/>
          <w:sz w:val="21"/>
        </w:rPr>
        <w:t>266</w:t>
      </w:r>
    </w:p>
    <w:p>
      <w:pPr>
        <w:tabs>
          <w:tab w:pos="9095" w:val="right" w:leader="dot"/>
        </w:tabs>
        <w:spacing w:before="8"/>
        <w:ind w:left="268" w:right="0" w:firstLine="0"/>
        <w:jc w:val="left"/>
        <w:rPr>
          <w:sz w:val="21"/>
        </w:rPr>
      </w:pPr>
      <w:r>
        <w:rPr>
          <w:w w:val="105"/>
          <w:sz w:val="21"/>
        </w:rPr>
        <w:t>Tabla 46. IST</w:t>
      </w:r>
      <w:r>
        <w:rPr>
          <w:spacing w:val="4"/>
          <w:w w:val="105"/>
          <w:sz w:val="21"/>
        </w:rPr>
        <w:t> </w:t>
      </w:r>
      <w:r>
        <w:rPr>
          <w:w w:val="105"/>
          <w:sz w:val="21"/>
        </w:rPr>
        <w:t>San</w:t>
      </w:r>
      <w:r>
        <w:rPr>
          <w:spacing w:val="1"/>
          <w:w w:val="105"/>
          <w:sz w:val="21"/>
        </w:rPr>
        <w:t> </w:t>
      </w:r>
      <w:r>
        <w:rPr>
          <w:w w:val="105"/>
          <w:sz w:val="21"/>
        </w:rPr>
        <w:t>Andrés</w:t>
        <w:tab/>
      </w:r>
      <w:r>
        <w:rPr>
          <w:spacing w:val="2"/>
          <w:w w:val="105"/>
          <w:sz w:val="21"/>
        </w:rPr>
        <w:t>266</w:t>
      </w:r>
    </w:p>
    <w:p>
      <w:pPr>
        <w:tabs>
          <w:tab w:pos="9095" w:val="right" w:leader="dot"/>
        </w:tabs>
        <w:spacing w:before="13"/>
        <w:ind w:left="268" w:right="0" w:firstLine="0"/>
        <w:jc w:val="left"/>
        <w:rPr>
          <w:sz w:val="21"/>
        </w:rPr>
      </w:pPr>
      <w:r>
        <w:rPr>
          <w:w w:val="105"/>
          <w:sz w:val="21"/>
        </w:rPr>
        <w:t>Tabla 47. Datos Villas del</w:t>
      </w:r>
      <w:r>
        <w:rPr>
          <w:spacing w:val="3"/>
          <w:w w:val="105"/>
          <w:sz w:val="21"/>
        </w:rPr>
        <w:t> </w:t>
      </w:r>
      <w:r>
        <w:rPr>
          <w:w w:val="105"/>
          <w:sz w:val="21"/>
        </w:rPr>
        <w:t>Campo</w:t>
      </w:r>
      <w:r>
        <w:rPr>
          <w:spacing w:val="1"/>
          <w:w w:val="105"/>
          <w:sz w:val="21"/>
        </w:rPr>
        <w:t> </w:t>
      </w:r>
      <w:r>
        <w:rPr>
          <w:w w:val="105"/>
          <w:sz w:val="21"/>
        </w:rPr>
        <w:t>II</w:t>
        <w:tab/>
      </w:r>
      <w:r>
        <w:rPr>
          <w:spacing w:val="2"/>
          <w:w w:val="105"/>
          <w:sz w:val="21"/>
        </w:rPr>
        <w:t>267</w:t>
      </w:r>
    </w:p>
    <w:p>
      <w:pPr>
        <w:tabs>
          <w:tab w:pos="9095" w:val="right" w:leader="dot"/>
        </w:tabs>
        <w:spacing w:before="13"/>
        <w:ind w:left="268" w:right="0" w:firstLine="0"/>
        <w:jc w:val="left"/>
        <w:rPr>
          <w:sz w:val="21"/>
        </w:rPr>
      </w:pPr>
      <w:r>
        <w:rPr>
          <w:w w:val="105"/>
          <w:sz w:val="21"/>
        </w:rPr>
        <w:t>Tabla 48. ISS Villas del</w:t>
      </w:r>
      <w:r>
        <w:rPr>
          <w:spacing w:val="4"/>
          <w:w w:val="105"/>
          <w:sz w:val="21"/>
        </w:rPr>
        <w:t> </w:t>
      </w:r>
      <w:r>
        <w:rPr>
          <w:w w:val="105"/>
          <w:sz w:val="21"/>
        </w:rPr>
        <w:t>Campo</w:t>
      </w:r>
      <w:r>
        <w:rPr>
          <w:spacing w:val="1"/>
          <w:w w:val="105"/>
          <w:sz w:val="21"/>
        </w:rPr>
        <w:t> </w:t>
      </w:r>
      <w:r>
        <w:rPr>
          <w:w w:val="105"/>
          <w:sz w:val="21"/>
        </w:rPr>
        <w:t>II</w:t>
        <w:tab/>
      </w:r>
      <w:r>
        <w:rPr>
          <w:spacing w:val="2"/>
          <w:w w:val="105"/>
          <w:sz w:val="21"/>
        </w:rPr>
        <w:t>267</w:t>
      </w:r>
    </w:p>
    <w:p>
      <w:pPr>
        <w:tabs>
          <w:tab w:pos="9095" w:val="right" w:leader="dot"/>
        </w:tabs>
        <w:spacing w:before="8"/>
        <w:ind w:left="268" w:right="0" w:firstLine="0"/>
        <w:jc w:val="left"/>
        <w:rPr>
          <w:sz w:val="21"/>
        </w:rPr>
      </w:pPr>
      <w:r>
        <w:rPr>
          <w:w w:val="105"/>
          <w:sz w:val="21"/>
        </w:rPr>
        <w:t>Tabla 49. ISA Villas del</w:t>
      </w:r>
      <w:r>
        <w:rPr>
          <w:spacing w:val="4"/>
          <w:w w:val="105"/>
          <w:sz w:val="21"/>
        </w:rPr>
        <w:t> </w:t>
      </w:r>
      <w:r>
        <w:rPr>
          <w:w w:val="105"/>
          <w:sz w:val="21"/>
        </w:rPr>
        <w:t>Campo</w:t>
      </w:r>
      <w:r>
        <w:rPr>
          <w:spacing w:val="1"/>
          <w:w w:val="105"/>
          <w:sz w:val="21"/>
        </w:rPr>
        <w:t> </w:t>
      </w:r>
      <w:r>
        <w:rPr>
          <w:w w:val="105"/>
          <w:sz w:val="21"/>
        </w:rPr>
        <w:t>II</w:t>
        <w:tab/>
      </w:r>
      <w:r>
        <w:rPr>
          <w:spacing w:val="2"/>
          <w:w w:val="105"/>
          <w:sz w:val="21"/>
        </w:rPr>
        <w:t>268</w:t>
      </w:r>
    </w:p>
    <w:p>
      <w:pPr>
        <w:tabs>
          <w:tab w:pos="9095" w:val="right" w:leader="dot"/>
        </w:tabs>
        <w:spacing w:before="13"/>
        <w:ind w:left="268" w:right="0" w:firstLine="0"/>
        <w:jc w:val="left"/>
        <w:rPr>
          <w:sz w:val="21"/>
        </w:rPr>
      </w:pPr>
      <w:r>
        <w:rPr>
          <w:w w:val="105"/>
          <w:sz w:val="21"/>
        </w:rPr>
        <w:t>Tabla 50. ISE Villas del</w:t>
      </w:r>
      <w:r>
        <w:rPr>
          <w:spacing w:val="4"/>
          <w:w w:val="105"/>
          <w:sz w:val="21"/>
        </w:rPr>
        <w:t> </w:t>
      </w:r>
      <w:r>
        <w:rPr>
          <w:w w:val="105"/>
          <w:sz w:val="21"/>
        </w:rPr>
        <w:t>Campo</w:t>
      </w:r>
      <w:r>
        <w:rPr>
          <w:spacing w:val="1"/>
          <w:w w:val="105"/>
          <w:sz w:val="21"/>
        </w:rPr>
        <w:t> </w:t>
      </w:r>
      <w:r>
        <w:rPr>
          <w:w w:val="105"/>
          <w:sz w:val="21"/>
        </w:rPr>
        <w:t>II</w:t>
        <w:tab/>
      </w:r>
      <w:r>
        <w:rPr>
          <w:spacing w:val="2"/>
          <w:w w:val="105"/>
          <w:sz w:val="21"/>
        </w:rPr>
        <w:t>269</w:t>
      </w:r>
    </w:p>
    <w:p>
      <w:pPr>
        <w:tabs>
          <w:tab w:pos="9095" w:val="right" w:leader="dot"/>
        </w:tabs>
        <w:spacing w:before="13"/>
        <w:ind w:left="268" w:right="0" w:firstLine="0"/>
        <w:jc w:val="left"/>
        <w:rPr>
          <w:sz w:val="21"/>
        </w:rPr>
      </w:pPr>
      <w:r>
        <w:rPr>
          <w:w w:val="105"/>
          <w:sz w:val="21"/>
        </w:rPr>
        <w:t>Tabla 51. IST Villas del</w:t>
      </w:r>
      <w:r>
        <w:rPr>
          <w:spacing w:val="4"/>
          <w:w w:val="105"/>
          <w:sz w:val="21"/>
        </w:rPr>
        <w:t> </w:t>
      </w:r>
      <w:r>
        <w:rPr>
          <w:w w:val="105"/>
          <w:sz w:val="21"/>
        </w:rPr>
        <w:t>Campo</w:t>
      </w:r>
      <w:r>
        <w:rPr>
          <w:spacing w:val="1"/>
          <w:w w:val="105"/>
          <w:sz w:val="21"/>
        </w:rPr>
        <w:t> </w:t>
      </w:r>
      <w:r>
        <w:rPr>
          <w:w w:val="105"/>
          <w:sz w:val="21"/>
        </w:rPr>
        <w:t>II</w:t>
        <w:tab/>
      </w:r>
      <w:r>
        <w:rPr>
          <w:spacing w:val="2"/>
          <w:w w:val="105"/>
          <w:sz w:val="21"/>
        </w:rPr>
        <w:t>269</w:t>
      </w:r>
    </w:p>
    <w:p>
      <w:pPr>
        <w:tabs>
          <w:tab w:pos="9095" w:val="right" w:leader="dot"/>
        </w:tabs>
        <w:spacing w:before="13"/>
        <w:ind w:left="268" w:right="0" w:firstLine="0"/>
        <w:jc w:val="left"/>
        <w:rPr>
          <w:sz w:val="21"/>
        </w:rPr>
      </w:pPr>
      <w:r>
        <w:rPr>
          <w:w w:val="105"/>
          <w:sz w:val="21"/>
        </w:rPr>
        <w:t>Tabla 52. Datos Valle</w:t>
      </w:r>
      <w:r>
        <w:rPr>
          <w:spacing w:val="4"/>
          <w:w w:val="105"/>
          <w:sz w:val="21"/>
        </w:rPr>
        <w:t> </w:t>
      </w:r>
      <w:r>
        <w:rPr>
          <w:w w:val="105"/>
          <w:sz w:val="21"/>
        </w:rPr>
        <w:t>del</w:t>
      </w:r>
      <w:r>
        <w:rPr>
          <w:spacing w:val="-1"/>
          <w:w w:val="105"/>
          <w:sz w:val="21"/>
        </w:rPr>
        <w:t> </w:t>
      </w:r>
      <w:r>
        <w:rPr>
          <w:w w:val="105"/>
          <w:sz w:val="21"/>
        </w:rPr>
        <w:t>Nevado</w:t>
        <w:tab/>
      </w:r>
      <w:r>
        <w:rPr>
          <w:spacing w:val="2"/>
          <w:w w:val="105"/>
          <w:sz w:val="21"/>
        </w:rPr>
        <w:t>270</w:t>
      </w:r>
    </w:p>
    <w:p>
      <w:pPr>
        <w:tabs>
          <w:tab w:pos="9095" w:val="right" w:leader="dot"/>
        </w:tabs>
        <w:spacing w:before="8"/>
        <w:ind w:left="268" w:right="0" w:firstLine="0"/>
        <w:jc w:val="left"/>
        <w:rPr>
          <w:sz w:val="21"/>
        </w:rPr>
      </w:pPr>
      <w:r>
        <w:rPr>
          <w:w w:val="105"/>
          <w:sz w:val="21"/>
        </w:rPr>
        <w:t>Tabla 53. ISS Valle</w:t>
      </w:r>
      <w:r>
        <w:rPr>
          <w:spacing w:val="5"/>
          <w:w w:val="105"/>
          <w:sz w:val="21"/>
        </w:rPr>
        <w:t> </w:t>
      </w:r>
      <w:r>
        <w:rPr>
          <w:w w:val="105"/>
          <w:sz w:val="21"/>
        </w:rPr>
        <w:t>del</w:t>
      </w:r>
      <w:r>
        <w:rPr>
          <w:spacing w:val="-1"/>
          <w:w w:val="105"/>
          <w:sz w:val="21"/>
        </w:rPr>
        <w:t> </w:t>
      </w:r>
      <w:r>
        <w:rPr>
          <w:w w:val="105"/>
          <w:sz w:val="21"/>
        </w:rPr>
        <w:t>Nevado</w:t>
        <w:tab/>
      </w:r>
      <w:r>
        <w:rPr>
          <w:spacing w:val="2"/>
          <w:w w:val="105"/>
          <w:sz w:val="21"/>
        </w:rPr>
        <w:t>270</w:t>
      </w:r>
    </w:p>
    <w:p>
      <w:pPr>
        <w:tabs>
          <w:tab w:pos="9095" w:val="right" w:leader="dot"/>
        </w:tabs>
        <w:spacing w:before="13"/>
        <w:ind w:left="268" w:right="0" w:firstLine="0"/>
        <w:jc w:val="left"/>
        <w:rPr>
          <w:sz w:val="21"/>
        </w:rPr>
      </w:pPr>
      <w:r>
        <w:rPr>
          <w:w w:val="105"/>
          <w:sz w:val="21"/>
        </w:rPr>
        <w:t>Tabla 54. ISA Valle</w:t>
      </w:r>
      <w:r>
        <w:rPr>
          <w:spacing w:val="5"/>
          <w:w w:val="105"/>
          <w:sz w:val="21"/>
        </w:rPr>
        <w:t> </w:t>
      </w:r>
      <w:r>
        <w:rPr>
          <w:w w:val="105"/>
          <w:sz w:val="21"/>
        </w:rPr>
        <w:t>del</w:t>
      </w:r>
      <w:r>
        <w:rPr>
          <w:spacing w:val="-1"/>
          <w:w w:val="105"/>
          <w:sz w:val="21"/>
        </w:rPr>
        <w:t> </w:t>
      </w:r>
      <w:r>
        <w:rPr>
          <w:w w:val="105"/>
          <w:sz w:val="21"/>
        </w:rPr>
        <w:t>Nevado</w:t>
        <w:tab/>
      </w:r>
      <w:r>
        <w:rPr>
          <w:spacing w:val="2"/>
          <w:w w:val="105"/>
          <w:sz w:val="21"/>
        </w:rPr>
        <w:t>271</w:t>
      </w:r>
    </w:p>
    <w:p>
      <w:pPr>
        <w:tabs>
          <w:tab w:pos="9095" w:val="right" w:leader="dot"/>
        </w:tabs>
        <w:spacing w:before="13"/>
        <w:ind w:left="268" w:right="0" w:firstLine="0"/>
        <w:jc w:val="left"/>
        <w:rPr>
          <w:sz w:val="21"/>
        </w:rPr>
      </w:pPr>
      <w:r>
        <w:rPr>
          <w:w w:val="105"/>
          <w:sz w:val="21"/>
        </w:rPr>
        <w:t>Tabla 55. ISE Valle</w:t>
      </w:r>
      <w:r>
        <w:rPr>
          <w:spacing w:val="5"/>
          <w:w w:val="105"/>
          <w:sz w:val="21"/>
        </w:rPr>
        <w:t> </w:t>
      </w:r>
      <w:r>
        <w:rPr>
          <w:w w:val="105"/>
          <w:sz w:val="21"/>
        </w:rPr>
        <w:t>del</w:t>
      </w:r>
      <w:r>
        <w:rPr>
          <w:spacing w:val="-1"/>
          <w:w w:val="105"/>
          <w:sz w:val="21"/>
        </w:rPr>
        <w:t> </w:t>
      </w:r>
      <w:r>
        <w:rPr>
          <w:w w:val="105"/>
          <w:sz w:val="21"/>
        </w:rPr>
        <w:t>Nevado</w:t>
        <w:tab/>
      </w:r>
      <w:r>
        <w:rPr>
          <w:spacing w:val="2"/>
          <w:w w:val="105"/>
          <w:sz w:val="21"/>
        </w:rPr>
        <w:t>272</w:t>
      </w:r>
    </w:p>
    <w:p>
      <w:pPr>
        <w:tabs>
          <w:tab w:pos="9095" w:val="right" w:leader="dot"/>
        </w:tabs>
        <w:spacing w:before="8"/>
        <w:ind w:left="268" w:right="0" w:firstLine="0"/>
        <w:jc w:val="left"/>
        <w:rPr>
          <w:sz w:val="21"/>
        </w:rPr>
      </w:pPr>
      <w:r>
        <w:rPr>
          <w:w w:val="105"/>
          <w:sz w:val="21"/>
        </w:rPr>
        <w:t>Tabla 56. IST Valle</w:t>
      </w:r>
      <w:r>
        <w:rPr>
          <w:spacing w:val="5"/>
          <w:w w:val="105"/>
          <w:sz w:val="21"/>
        </w:rPr>
        <w:t> </w:t>
      </w:r>
      <w:r>
        <w:rPr>
          <w:w w:val="105"/>
          <w:sz w:val="21"/>
        </w:rPr>
        <w:t>del</w:t>
      </w:r>
      <w:r>
        <w:rPr>
          <w:spacing w:val="-1"/>
          <w:w w:val="105"/>
          <w:sz w:val="21"/>
        </w:rPr>
        <w:t> </w:t>
      </w:r>
      <w:r>
        <w:rPr>
          <w:w w:val="105"/>
          <w:sz w:val="21"/>
        </w:rPr>
        <w:t>Nevado</w:t>
        <w:tab/>
      </w:r>
      <w:r>
        <w:rPr>
          <w:spacing w:val="2"/>
          <w:w w:val="105"/>
          <w:sz w:val="21"/>
        </w:rPr>
        <w:t>272</w:t>
      </w:r>
    </w:p>
    <w:p>
      <w:pPr>
        <w:tabs>
          <w:tab w:pos="9095" w:val="right" w:leader="dot"/>
        </w:tabs>
        <w:spacing w:before="13"/>
        <w:ind w:left="268" w:right="0" w:firstLine="0"/>
        <w:jc w:val="left"/>
        <w:rPr>
          <w:sz w:val="21"/>
        </w:rPr>
      </w:pPr>
      <w:r>
        <w:rPr>
          <w:w w:val="105"/>
          <w:sz w:val="21"/>
        </w:rPr>
        <w:t>Tabla 57. Datos Rancho</w:t>
      </w:r>
      <w:r>
        <w:rPr>
          <w:spacing w:val="4"/>
          <w:w w:val="105"/>
          <w:sz w:val="21"/>
        </w:rPr>
        <w:t> </w:t>
      </w:r>
      <w:r>
        <w:rPr>
          <w:w w:val="105"/>
          <w:sz w:val="21"/>
        </w:rPr>
        <w:t>la</w:t>
      </w:r>
      <w:r>
        <w:rPr>
          <w:spacing w:val="1"/>
          <w:w w:val="105"/>
          <w:sz w:val="21"/>
        </w:rPr>
        <w:t> </w:t>
      </w:r>
      <w:r>
        <w:rPr>
          <w:w w:val="105"/>
          <w:sz w:val="21"/>
        </w:rPr>
        <w:t>Providencia</w:t>
        <w:tab/>
      </w:r>
      <w:r>
        <w:rPr>
          <w:spacing w:val="2"/>
          <w:w w:val="105"/>
          <w:sz w:val="21"/>
        </w:rPr>
        <w:t>273</w:t>
      </w:r>
    </w:p>
    <w:p>
      <w:pPr>
        <w:tabs>
          <w:tab w:pos="9095" w:val="right" w:leader="dot"/>
        </w:tabs>
        <w:spacing w:before="13"/>
        <w:ind w:left="268" w:right="0" w:firstLine="0"/>
        <w:jc w:val="left"/>
        <w:rPr>
          <w:sz w:val="21"/>
        </w:rPr>
      </w:pPr>
      <w:r>
        <w:rPr>
          <w:w w:val="105"/>
          <w:sz w:val="21"/>
        </w:rPr>
        <w:t>Tabla 58. ISA Rancho</w:t>
      </w:r>
      <w:r>
        <w:rPr>
          <w:spacing w:val="5"/>
          <w:w w:val="105"/>
          <w:sz w:val="21"/>
        </w:rPr>
        <w:t> </w:t>
      </w:r>
      <w:r>
        <w:rPr>
          <w:w w:val="105"/>
          <w:sz w:val="21"/>
        </w:rPr>
        <w:t>la</w:t>
      </w:r>
      <w:r>
        <w:rPr>
          <w:spacing w:val="1"/>
          <w:w w:val="105"/>
          <w:sz w:val="21"/>
        </w:rPr>
        <w:t> </w:t>
      </w:r>
      <w:r>
        <w:rPr>
          <w:w w:val="105"/>
          <w:sz w:val="21"/>
        </w:rPr>
        <w:t>Providencia</w:t>
        <w:tab/>
      </w:r>
      <w:r>
        <w:rPr>
          <w:spacing w:val="2"/>
          <w:w w:val="105"/>
          <w:sz w:val="21"/>
        </w:rPr>
        <w:t>273</w:t>
      </w:r>
    </w:p>
    <w:p>
      <w:pPr>
        <w:tabs>
          <w:tab w:pos="9095" w:val="right" w:leader="dot"/>
        </w:tabs>
        <w:spacing w:before="8"/>
        <w:ind w:left="268" w:right="0" w:firstLine="0"/>
        <w:jc w:val="left"/>
        <w:rPr>
          <w:sz w:val="21"/>
        </w:rPr>
      </w:pPr>
      <w:r>
        <w:rPr>
          <w:w w:val="105"/>
          <w:sz w:val="21"/>
        </w:rPr>
        <w:t>Tabla 59. ISA Rancho</w:t>
      </w:r>
      <w:r>
        <w:rPr>
          <w:spacing w:val="4"/>
          <w:w w:val="105"/>
          <w:sz w:val="21"/>
        </w:rPr>
        <w:t> </w:t>
      </w:r>
      <w:r>
        <w:rPr>
          <w:w w:val="105"/>
          <w:sz w:val="21"/>
        </w:rPr>
        <w:t>la Providencia</w:t>
        <w:tab/>
      </w:r>
      <w:r>
        <w:rPr>
          <w:spacing w:val="2"/>
          <w:w w:val="105"/>
          <w:sz w:val="21"/>
        </w:rPr>
        <w:t>274</w:t>
      </w:r>
    </w:p>
    <w:p>
      <w:pPr>
        <w:tabs>
          <w:tab w:pos="9095" w:val="right" w:leader="dot"/>
        </w:tabs>
        <w:spacing w:before="13"/>
        <w:ind w:left="268" w:right="0" w:firstLine="0"/>
        <w:jc w:val="left"/>
        <w:rPr>
          <w:sz w:val="21"/>
        </w:rPr>
      </w:pPr>
      <w:r>
        <w:rPr>
          <w:w w:val="105"/>
          <w:sz w:val="21"/>
        </w:rPr>
        <w:t>Tabla 60. ISE Rancho</w:t>
      </w:r>
      <w:r>
        <w:rPr>
          <w:spacing w:val="5"/>
          <w:w w:val="105"/>
          <w:sz w:val="21"/>
        </w:rPr>
        <w:t> </w:t>
      </w:r>
      <w:r>
        <w:rPr>
          <w:w w:val="105"/>
          <w:sz w:val="21"/>
        </w:rPr>
        <w:t>la</w:t>
      </w:r>
      <w:r>
        <w:rPr>
          <w:spacing w:val="1"/>
          <w:w w:val="105"/>
          <w:sz w:val="21"/>
        </w:rPr>
        <w:t> </w:t>
      </w:r>
      <w:r>
        <w:rPr>
          <w:w w:val="105"/>
          <w:sz w:val="21"/>
        </w:rPr>
        <w:t>Providencia</w:t>
        <w:tab/>
      </w:r>
      <w:r>
        <w:rPr>
          <w:spacing w:val="2"/>
          <w:w w:val="105"/>
          <w:sz w:val="21"/>
        </w:rPr>
        <w:t>275</w:t>
      </w:r>
    </w:p>
    <w:p>
      <w:pPr>
        <w:tabs>
          <w:tab w:pos="9095" w:val="right" w:leader="dot"/>
        </w:tabs>
        <w:spacing w:before="13"/>
        <w:ind w:left="268" w:right="0" w:firstLine="0"/>
        <w:jc w:val="left"/>
        <w:rPr>
          <w:sz w:val="21"/>
        </w:rPr>
      </w:pPr>
      <w:r>
        <w:rPr>
          <w:w w:val="105"/>
          <w:sz w:val="21"/>
        </w:rPr>
        <w:t>Tabla 61. IST Rancho</w:t>
      </w:r>
      <w:r>
        <w:rPr>
          <w:spacing w:val="5"/>
          <w:w w:val="105"/>
          <w:sz w:val="21"/>
        </w:rPr>
        <w:t> </w:t>
      </w:r>
      <w:r>
        <w:rPr>
          <w:w w:val="105"/>
          <w:sz w:val="21"/>
        </w:rPr>
        <w:t>la</w:t>
      </w:r>
      <w:r>
        <w:rPr>
          <w:spacing w:val="1"/>
          <w:w w:val="105"/>
          <w:sz w:val="21"/>
        </w:rPr>
        <w:t> </w:t>
      </w:r>
      <w:r>
        <w:rPr>
          <w:w w:val="105"/>
          <w:sz w:val="21"/>
        </w:rPr>
        <w:t>Providencia</w:t>
        <w:tab/>
      </w:r>
      <w:r>
        <w:rPr>
          <w:spacing w:val="2"/>
          <w:w w:val="105"/>
          <w:sz w:val="21"/>
        </w:rPr>
        <w:t>275</w:t>
      </w:r>
    </w:p>
    <w:p>
      <w:pPr>
        <w:tabs>
          <w:tab w:pos="9095" w:val="right" w:leader="dot"/>
        </w:tabs>
        <w:spacing w:before="13"/>
        <w:ind w:left="268" w:right="0" w:firstLine="0"/>
        <w:jc w:val="left"/>
        <w:rPr>
          <w:sz w:val="21"/>
        </w:rPr>
      </w:pPr>
      <w:r>
        <w:rPr>
          <w:w w:val="105"/>
          <w:sz w:val="21"/>
        </w:rPr>
        <w:t>Tabla 62. Datos URBI</w:t>
      </w:r>
      <w:r>
        <w:rPr>
          <w:spacing w:val="3"/>
          <w:w w:val="105"/>
          <w:sz w:val="21"/>
        </w:rPr>
        <w:t> </w:t>
      </w:r>
      <w:r>
        <w:rPr>
          <w:w w:val="105"/>
          <w:sz w:val="21"/>
        </w:rPr>
        <w:t>Hacienda</w:t>
      </w:r>
      <w:r>
        <w:rPr>
          <w:spacing w:val="1"/>
          <w:w w:val="105"/>
          <w:sz w:val="21"/>
        </w:rPr>
        <w:t> </w:t>
      </w:r>
      <w:r>
        <w:rPr>
          <w:w w:val="105"/>
          <w:sz w:val="21"/>
        </w:rPr>
        <w:t>Lomas</w:t>
        <w:tab/>
      </w:r>
      <w:r>
        <w:rPr>
          <w:spacing w:val="2"/>
          <w:w w:val="105"/>
          <w:sz w:val="21"/>
        </w:rPr>
        <w:t>276</w:t>
      </w:r>
    </w:p>
    <w:p>
      <w:pPr>
        <w:tabs>
          <w:tab w:pos="9093" w:val="right" w:leader="dot"/>
        </w:tabs>
        <w:spacing w:before="8"/>
        <w:ind w:left="268" w:right="0" w:firstLine="0"/>
        <w:jc w:val="left"/>
        <w:rPr>
          <w:sz w:val="21"/>
        </w:rPr>
      </w:pPr>
      <w:r>
        <w:rPr>
          <w:w w:val="105"/>
          <w:sz w:val="21"/>
        </w:rPr>
        <w:t>Tabla 63. ISS URBI</w:t>
      </w:r>
      <w:r>
        <w:rPr>
          <w:spacing w:val="4"/>
          <w:w w:val="105"/>
          <w:sz w:val="21"/>
        </w:rPr>
        <w:t> </w:t>
      </w:r>
      <w:r>
        <w:rPr>
          <w:w w:val="105"/>
          <w:sz w:val="21"/>
        </w:rPr>
        <w:t>Hacienda</w:t>
      </w:r>
      <w:r>
        <w:rPr>
          <w:spacing w:val="1"/>
          <w:w w:val="105"/>
          <w:sz w:val="21"/>
        </w:rPr>
        <w:t> </w:t>
      </w:r>
      <w:r>
        <w:rPr>
          <w:w w:val="105"/>
          <w:sz w:val="21"/>
        </w:rPr>
        <w:t>Lomas</w:t>
        <w:tab/>
        <w:t>276</w:t>
      </w:r>
    </w:p>
    <w:p>
      <w:pPr>
        <w:tabs>
          <w:tab w:pos="9095" w:val="right" w:leader="dot"/>
        </w:tabs>
        <w:spacing w:before="13"/>
        <w:ind w:left="268" w:right="0" w:firstLine="0"/>
        <w:jc w:val="left"/>
        <w:rPr>
          <w:sz w:val="21"/>
        </w:rPr>
      </w:pPr>
      <w:r>
        <w:rPr>
          <w:w w:val="105"/>
          <w:sz w:val="21"/>
        </w:rPr>
        <w:t>Tabla 64. ISA URBI</w:t>
      </w:r>
      <w:r>
        <w:rPr>
          <w:spacing w:val="4"/>
          <w:w w:val="105"/>
          <w:sz w:val="21"/>
        </w:rPr>
        <w:t> </w:t>
      </w:r>
      <w:r>
        <w:rPr>
          <w:w w:val="105"/>
          <w:sz w:val="21"/>
        </w:rPr>
        <w:t>Hacienda</w:t>
      </w:r>
      <w:r>
        <w:rPr>
          <w:spacing w:val="1"/>
          <w:w w:val="105"/>
          <w:sz w:val="21"/>
        </w:rPr>
        <w:t> </w:t>
      </w:r>
      <w:r>
        <w:rPr>
          <w:w w:val="105"/>
          <w:sz w:val="21"/>
        </w:rPr>
        <w:t>Lomas</w:t>
        <w:tab/>
      </w:r>
      <w:r>
        <w:rPr>
          <w:spacing w:val="2"/>
          <w:w w:val="105"/>
          <w:sz w:val="21"/>
        </w:rPr>
        <w:t>277</w:t>
      </w:r>
    </w:p>
    <w:p>
      <w:pPr>
        <w:tabs>
          <w:tab w:pos="9095" w:val="right" w:leader="dot"/>
        </w:tabs>
        <w:spacing w:before="13"/>
        <w:ind w:left="268" w:right="0" w:firstLine="0"/>
        <w:jc w:val="left"/>
        <w:rPr>
          <w:sz w:val="21"/>
        </w:rPr>
      </w:pPr>
      <w:r>
        <w:rPr>
          <w:w w:val="105"/>
          <w:sz w:val="21"/>
        </w:rPr>
        <w:t>Tabla 65. ISE URBI</w:t>
      </w:r>
      <w:r>
        <w:rPr>
          <w:spacing w:val="4"/>
          <w:w w:val="105"/>
          <w:sz w:val="21"/>
        </w:rPr>
        <w:t> </w:t>
      </w:r>
      <w:r>
        <w:rPr>
          <w:w w:val="105"/>
          <w:sz w:val="21"/>
        </w:rPr>
        <w:t>Hacienda</w:t>
      </w:r>
      <w:r>
        <w:rPr>
          <w:spacing w:val="1"/>
          <w:w w:val="105"/>
          <w:sz w:val="21"/>
        </w:rPr>
        <w:t> </w:t>
      </w:r>
      <w:r>
        <w:rPr>
          <w:w w:val="105"/>
          <w:sz w:val="21"/>
        </w:rPr>
        <w:t>Lomas</w:t>
        <w:tab/>
      </w:r>
      <w:r>
        <w:rPr>
          <w:spacing w:val="2"/>
          <w:w w:val="105"/>
          <w:sz w:val="21"/>
        </w:rPr>
        <w:t>278</w:t>
      </w:r>
    </w:p>
    <w:p>
      <w:pPr>
        <w:tabs>
          <w:tab w:pos="9095" w:val="right" w:leader="dot"/>
        </w:tabs>
        <w:spacing w:before="8"/>
        <w:ind w:left="268" w:right="0" w:firstLine="0"/>
        <w:jc w:val="left"/>
        <w:rPr>
          <w:sz w:val="21"/>
        </w:rPr>
      </w:pPr>
      <w:r>
        <w:rPr>
          <w:w w:val="105"/>
          <w:sz w:val="21"/>
        </w:rPr>
        <w:t>Tabla 66. IST URBI</w:t>
      </w:r>
      <w:r>
        <w:rPr>
          <w:spacing w:val="4"/>
          <w:w w:val="105"/>
          <w:sz w:val="21"/>
        </w:rPr>
        <w:t> </w:t>
      </w:r>
      <w:r>
        <w:rPr>
          <w:w w:val="105"/>
          <w:sz w:val="21"/>
        </w:rPr>
        <w:t>Hacienda</w:t>
      </w:r>
      <w:r>
        <w:rPr>
          <w:spacing w:val="1"/>
          <w:w w:val="105"/>
          <w:sz w:val="21"/>
        </w:rPr>
        <w:t> </w:t>
      </w:r>
      <w:r>
        <w:rPr>
          <w:w w:val="105"/>
          <w:sz w:val="21"/>
        </w:rPr>
        <w:t>Lomas</w:t>
        <w:tab/>
      </w:r>
      <w:r>
        <w:rPr>
          <w:spacing w:val="2"/>
          <w:w w:val="105"/>
          <w:sz w:val="21"/>
        </w:rPr>
        <w:t>278</w:t>
      </w:r>
    </w:p>
    <w:p>
      <w:pPr>
        <w:tabs>
          <w:tab w:pos="9095" w:val="right" w:leader="dot"/>
        </w:tabs>
        <w:spacing w:before="13"/>
        <w:ind w:left="268" w:right="0" w:firstLine="0"/>
        <w:jc w:val="left"/>
        <w:rPr>
          <w:sz w:val="21"/>
        </w:rPr>
      </w:pPr>
      <w:r>
        <w:rPr>
          <w:w w:val="105"/>
          <w:sz w:val="21"/>
        </w:rPr>
        <w:t>Tabla 67. Datos Bisque de</w:t>
      </w:r>
      <w:r>
        <w:rPr>
          <w:spacing w:val="6"/>
          <w:w w:val="105"/>
          <w:sz w:val="21"/>
        </w:rPr>
        <w:t> </w:t>
      </w:r>
      <w:r>
        <w:rPr>
          <w:w w:val="105"/>
          <w:sz w:val="21"/>
        </w:rPr>
        <w:t>las Fuentes</w:t>
        <w:tab/>
      </w:r>
      <w:r>
        <w:rPr>
          <w:spacing w:val="2"/>
          <w:w w:val="105"/>
          <w:sz w:val="21"/>
        </w:rPr>
        <w:t>279</w:t>
      </w:r>
    </w:p>
    <w:p>
      <w:pPr>
        <w:tabs>
          <w:tab w:pos="9095" w:val="right" w:leader="dot"/>
        </w:tabs>
        <w:spacing w:before="13"/>
        <w:ind w:left="268" w:right="0" w:firstLine="0"/>
        <w:jc w:val="left"/>
        <w:rPr>
          <w:sz w:val="21"/>
        </w:rPr>
      </w:pPr>
      <w:r>
        <w:rPr>
          <w:w w:val="105"/>
          <w:sz w:val="21"/>
        </w:rPr>
        <w:t>Tabla 68. ISS Bosque de</w:t>
      </w:r>
      <w:r>
        <w:rPr>
          <w:spacing w:val="7"/>
          <w:w w:val="105"/>
          <w:sz w:val="21"/>
        </w:rPr>
        <w:t> </w:t>
      </w:r>
      <w:r>
        <w:rPr>
          <w:w w:val="105"/>
          <w:sz w:val="21"/>
        </w:rPr>
        <w:t>las Fuentes</w:t>
        <w:tab/>
      </w:r>
      <w:r>
        <w:rPr>
          <w:spacing w:val="2"/>
          <w:w w:val="105"/>
          <w:sz w:val="21"/>
        </w:rPr>
        <w:t>279</w:t>
      </w:r>
    </w:p>
    <w:p>
      <w:pPr>
        <w:tabs>
          <w:tab w:pos="9095" w:val="right" w:leader="dot"/>
        </w:tabs>
        <w:spacing w:before="8"/>
        <w:ind w:left="268" w:right="0" w:firstLine="0"/>
        <w:jc w:val="left"/>
        <w:rPr>
          <w:sz w:val="21"/>
        </w:rPr>
      </w:pPr>
      <w:r>
        <w:rPr>
          <w:w w:val="105"/>
          <w:sz w:val="21"/>
        </w:rPr>
        <w:t>Tabla 69. ISA Bosque de</w:t>
      </w:r>
      <w:r>
        <w:rPr>
          <w:spacing w:val="7"/>
          <w:w w:val="105"/>
          <w:sz w:val="21"/>
        </w:rPr>
        <w:t> </w:t>
      </w:r>
      <w:r>
        <w:rPr>
          <w:w w:val="105"/>
          <w:sz w:val="21"/>
        </w:rPr>
        <w:t>las Fuentes</w:t>
        <w:tab/>
      </w:r>
      <w:r>
        <w:rPr>
          <w:spacing w:val="2"/>
          <w:w w:val="105"/>
          <w:sz w:val="21"/>
        </w:rPr>
        <w:t>280</w:t>
      </w:r>
    </w:p>
    <w:p>
      <w:pPr>
        <w:tabs>
          <w:tab w:pos="9095" w:val="right" w:leader="dot"/>
        </w:tabs>
        <w:spacing w:before="13"/>
        <w:ind w:left="268" w:right="0" w:firstLine="0"/>
        <w:jc w:val="left"/>
        <w:rPr>
          <w:sz w:val="21"/>
        </w:rPr>
      </w:pPr>
      <w:r>
        <w:rPr>
          <w:w w:val="105"/>
          <w:sz w:val="21"/>
        </w:rPr>
        <w:t>Tabla 70. ISE Bosque de</w:t>
      </w:r>
      <w:r>
        <w:rPr>
          <w:spacing w:val="7"/>
          <w:w w:val="105"/>
          <w:sz w:val="21"/>
        </w:rPr>
        <w:t> </w:t>
      </w:r>
      <w:r>
        <w:rPr>
          <w:w w:val="105"/>
          <w:sz w:val="21"/>
        </w:rPr>
        <w:t>las Fuentes</w:t>
        <w:tab/>
      </w:r>
      <w:r>
        <w:rPr>
          <w:spacing w:val="2"/>
          <w:w w:val="105"/>
          <w:sz w:val="21"/>
        </w:rPr>
        <w:t>281</w:t>
      </w:r>
    </w:p>
    <w:p>
      <w:pPr>
        <w:tabs>
          <w:tab w:pos="9095" w:val="right" w:leader="dot"/>
        </w:tabs>
        <w:spacing w:before="13"/>
        <w:ind w:left="268" w:right="0" w:firstLine="0"/>
        <w:jc w:val="left"/>
        <w:rPr>
          <w:sz w:val="21"/>
        </w:rPr>
      </w:pPr>
      <w:r>
        <w:rPr>
          <w:w w:val="105"/>
          <w:sz w:val="21"/>
        </w:rPr>
        <w:t>Tabla 71. IST Bosque de</w:t>
      </w:r>
      <w:r>
        <w:rPr>
          <w:spacing w:val="7"/>
          <w:w w:val="105"/>
          <w:sz w:val="21"/>
        </w:rPr>
        <w:t> </w:t>
      </w:r>
      <w:r>
        <w:rPr>
          <w:w w:val="105"/>
          <w:sz w:val="21"/>
        </w:rPr>
        <w:t>las Fuentes</w:t>
        <w:tab/>
      </w:r>
      <w:r>
        <w:rPr>
          <w:spacing w:val="2"/>
          <w:w w:val="105"/>
          <w:sz w:val="21"/>
        </w:rPr>
        <w:t>281</w:t>
      </w:r>
    </w:p>
    <w:p>
      <w:pPr>
        <w:tabs>
          <w:tab w:pos="9095" w:val="right" w:leader="dot"/>
        </w:tabs>
        <w:spacing w:before="13"/>
        <w:ind w:left="268" w:right="0" w:firstLine="0"/>
        <w:jc w:val="left"/>
        <w:rPr>
          <w:sz w:val="21"/>
        </w:rPr>
      </w:pPr>
      <w:r>
        <w:rPr>
          <w:w w:val="105"/>
          <w:sz w:val="21"/>
        </w:rPr>
        <w:t>Tabla 72. Datos Hacienda de</w:t>
      </w:r>
      <w:r>
        <w:rPr>
          <w:spacing w:val="5"/>
          <w:w w:val="105"/>
          <w:sz w:val="21"/>
        </w:rPr>
        <w:t> </w:t>
      </w:r>
      <w:r>
        <w:rPr>
          <w:w w:val="105"/>
          <w:sz w:val="21"/>
        </w:rPr>
        <w:t>las Fuentes</w:t>
        <w:tab/>
      </w:r>
      <w:r>
        <w:rPr>
          <w:spacing w:val="2"/>
          <w:w w:val="105"/>
          <w:sz w:val="21"/>
        </w:rPr>
        <w:t>282</w:t>
      </w:r>
    </w:p>
    <w:p>
      <w:pPr>
        <w:tabs>
          <w:tab w:pos="9095" w:val="right" w:leader="dot"/>
        </w:tabs>
        <w:spacing w:before="8"/>
        <w:ind w:left="268" w:right="0" w:firstLine="0"/>
        <w:jc w:val="left"/>
        <w:rPr>
          <w:sz w:val="21"/>
        </w:rPr>
      </w:pPr>
      <w:r>
        <w:rPr>
          <w:w w:val="105"/>
          <w:sz w:val="21"/>
        </w:rPr>
        <w:t>Tabla 73. ISS Hacienda de</w:t>
      </w:r>
      <w:r>
        <w:rPr>
          <w:spacing w:val="6"/>
          <w:w w:val="105"/>
          <w:sz w:val="21"/>
        </w:rPr>
        <w:t> </w:t>
      </w:r>
      <w:r>
        <w:rPr>
          <w:w w:val="105"/>
          <w:sz w:val="21"/>
        </w:rPr>
        <w:t>las Fuentes</w:t>
        <w:tab/>
      </w:r>
      <w:r>
        <w:rPr>
          <w:spacing w:val="2"/>
          <w:w w:val="105"/>
          <w:sz w:val="21"/>
        </w:rPr>
        <w:t>282</w:t>
      </w:r>
    </w:p>
    <w:p>
      <w:pPr>
        <w:tabs>
          <w:tab w:pos="9095" w:val="right" w:leader="dot"/>
        </w:tabs>
        <w:spacing w:before="13"/>
        <w:ind w:left="268" w:right="0" w:firstLine="0"/>
        <w:jc w:val="left"/>
        <w:rPr>
          <w:sz w:val="21"/>
        </w:rPr>
      </w:pPr>
      <w:r>
        <w:rPr>
          <w:w w:val="105"/>
          <w:sz w:val="21"/>
        </w:rPr>
        <w:t>Tabla 74. ISA Hacienda de</w:t>
      </w:r>
      <w:r>
        <w:rPr>
          <w:spacing w:val="6"/>
          <w:w w:val="105"/>
          <w:sz w:val="21"/>
        </w:rPr>
        <w:t> </w:t>
      </w:r>
      <w:r>
        <w:rPr>
          <w:w w:val="105"/>
          <w:sz w:val="21"/>
        </w:rPr>
        <w:t>las Fuentes</w:t>
        <w:tab/>
      </w:r>
      <w:r>
        <w:rPr>
          <w:spacing w:val="2"/>
          <w:w w:val="105"/>
          <w:sz w:val="21"/>
        </w:rPr>
        <w:t>283</w:t>
      </w:r>
    </w:p>
    <w:p>
      <w:pPr>
        <w:tabs>
          <w:tab w:pos="9095" w:val="right" w:leader="dot"/>
        </w:tabs>
        <w:spacing w:before="13"/>
        <w:ind w:left="268" w:right="0" w:firstLine="0"/>
        <w:jc w:val="left"/>
        <w:rPr>
          <w:sz w:val="21"/>
        </w:rPr>
      </w:pPr>
      <w:r>
        <w:rPr>
          <w:w w:val="105"/>
          <w:sz w:val="21"/>
        </w:rPr>
        <w:t>Tabla 75. ISE Hacienda de</w:t>
      </w:r>
      <w:r>
        <w:rPr>
          <w:spacing w:val="6"/>
          <w:w w:val="105"/>
          <w:sz w:val="21"/>
        </w:rPr>
        <w:t> </w:t>
      </w:r>
      <w:r>
        <w:rPr>
          <w:w w:val="105"/>
          <w:sz w:val="21"/>
        </w:rPr>
        <w:t>las Fuentes</w:t>
        <w:tab/>
      </w:r>
      <w:r>
        <w:rPr>
          <w:spacing w:val="2"/>
          <w:w w:val="105"/>
          <w:sz w:val="21"/>
        </w:rPr>
        <w:t>284</w:t>
      </w:r>
    </w:p>
    <w:p>
      <w:pPr>
        <w:tabs>
          <w:tab w:pos="9095" w:val="right" w:leader="dot"/>
        </w:tabs>
        <w:spacing w:before="8"/>
        <w:ind w:left="268" w:right="0" w:firstLine="0"/>
        <w:jc w:val="left"/>
        <w:rPr>
          <w:sz w:val="21"/>
        </w:rPr>
      </w:pPr>
      <w:r>
        <w:rPr>
          <w:w w:val="105"/>
          <w:sz w:val="21"/>
        </w:rPr>
        <w:t>Tabla 76. IST Hacienda de</w:t>
      </w:r>
      <w:r>
        <w:rPr>
          <w:spacing w:val="7"/>
          <w:w w:val="105"/>
          <w:sz w:val="21"/>
        </w:rPr>
        <w:t> </w:t>
      </w:r>
      <w:r>
        <w:rPr>
          <w:w w:val="105"/>
          <w:sz w:val="21"/>
        </w:rPr>
        <w:t>las Fuentes</w:t>
        <w:tab/>
      </w:r>
      <w:r>
        <w:rPr>
          <w:spacing w:val="2"/>
          <w:w w:val="105"/>
          <w:sz w:val="21"/>
        </w:rPr>
        <w:t>284</w:t>
      </w:r>
    </w:p>
    <w:p>
      <w:pPr>
        <w:tabs>
          <w:tab w:pos="9095" w:val="right" w:leader="dot"/>
        </w:tabs>
        <w:spacing w:before="13"/>
        <w:ind w:left="268" w:right="0" w:firstLine="0"/>
        <w:jc w:val="left"/>
        <w:rPr>
          <w:sz w:val="21"/>
        </w:rPr>
      </w:pPr>
      <w:r>
        <w:rPr>
          <w:w w:val="105"/>
          <w:sz w:val="21"/>
        </w:rPr>
        <w:t>Tabla 77. Datos Valle de</w:t>
      </w:r>
      <w:r>
        <w:rPr>
          <w:spacing w:val="6"/>
          <w:w w:val="105"/>
          <w:sz w:val="21"/>
        </w:rPr>
        <w:t> </w:t>
      </w:r>
      <w:r>
        <w:rPr>
          <w:w w:val="105"/>
          <w:sz w:val="21"/>
        </w:rPr>
        <w:t>las Fuentes</w:t>
        <w:tab/>
      </w:r>
      <w:r>
        <w:rPr>
          <w:spacing w:val="2"/>
          <w:w w:val="105"/>
          <w:sz w:val="21"/>
        </w:rPr>
        <w:t>285</w:t>
      </w:r>
    </w:p>
    <w:p>
      <w:pPr>
        <w:tabs>
          <w:tab w:pos="9095" w:val="right" w:leader="dot"/>
        </w:tabs>
        <w:spacing w:before="13"/>
        <w:ind w:left="268" w:right="0" w:firstLine="0"/>
        <w:jc w:val="left"/>
        <w:rPr>
          <w:sz w:val="21"/>
        </w:rPr>
      </w:pPr>
      <w:r>
        <w:rPr>
          <w:w w:val="105"/>
          <w:sz w:val="21"/>
        </w:rPr>
        <w:t>Tabla 78. ISS Vlle de</w:t>
      </w:r>
      <w:r>
        <w:rPr>
          <w:spacing w:val="7"/>
          <w:w w:val="105"/>
          <w:sz w:val="21"/>
        </w:rPr>
        <w:t> </w:t>
      </w:r>
      <w:r>
        <w:rPr>
          <w:w w:val="105"/>
          <w:sz w:val="21"/>
        </w:rPr>
        <w:t>las Fuentes</w:t>
        <w:tab/>
      </w:r>
      <w:r>
        <w:rPr>
          <w:spacing w:val="2"/>
          <w:w w:val="105"/>
          <w:sz w:val="21"/>
        </w:rPr>
        <w:t>285</w:t>
      </w:r>
    </w:p>
    <w:p>
      <w:pPr>
        <w:tabs>
          <w:tab w:pos="9095" w:val="right" w:leader="dot"/>
        </w:tabs>
        <w:spacing w:before="13"/>
        <w:ind w:left="268" w:right="0" w:firstLine="0"/>
        <w:jc w:val="left"/>
        <w:rPr>
          <w:sz w:val="21"/>
        </w:rPr>
      </w:pPr>
      <w:r>
        <w:rPr>
          <w:w w:val="105"/>
          <w:sz w:val="21"/>
        </w:rPr>
        <w:t>Tabla 79. ISA Valle de</w:t>
      </w:r>
      <w:r>
        <w:rPr>
          <w:spacing w:val="7"/>
          <w:w w:val="105"/>
          <w:sz w:val="21"/>
        </w:rPr>
        <w:t> </w:t>
      </w:r>
      <w:r>
        <w:rPr>
          <w:w w:val="105"/>
          <w:sz w:val="21"/>
        </w:rPr>
        <w:t>las Fuentes</w:t>
        <w:tab/>
      </w:r>
      <w:r>
        <w:rPr>
          <w:spacing w:val="2"/>
          <w:w w:val="105"/>
          <w:sz w:val="21"/>
        </w:rPr>
        <w:t>286</w:t>
      </w:r>
    </w:p>
    <w:p>
      <w:pPr>
        <w:tabs>
          <w:tab w:pos="9095" w:val="right" w:leader="dot"/>
        </w:tabs>
        <w:spacing w:before="8"/>
        <w:ind w:left="268" w:right="0" w:firstLine="0"/>
        <w:jc w:val="left"/>
        <w:rPr>
          <w:sz w:val="21"/>
        </w:rPr>
      </w:pPr>
      <w:r>
        <w:rPr>
          <w:w w:val="105"/>
          <w:sz w:val="21"/>
        </w:rPr>
        <w:t>Tabla 80. ISE Valle de</w:t>
      </w:r>
      <w:r>
        <w:rPr>
          <w:spacing w:val="7"/>
          <w:w w:val="105"/>
          <w:sz w:val="21"/>
        </w:rPr>
        <w:t> </w:t>
      </w:r>
      <w:r>
        <w:rPr>
          <w:w w:val="105"/>
          <w:sz w:val="21"/>
        </w:rPr>
        <w:t>las Fuentes</w:t>
        <w:tab/>
      </w:r>
      <w:r>
        <w:rPr>
          <w:spacing w:val="2"/>
          <w:w w:val="105"/>
          <w:sz w:val="21"/>
        </w:rPr>
        <w:t>287</w:t>
      </w:r>
    </w:p>
    <w:p>
      <w:pPr>
        <w:tabs>
          <w:tab w:pos="9095" w:val="right" w:leader="dot"/>
        </w:tabs>
        <w:spacing w:before="13"/>
        <w:ind w:left="268" w:right="0" w:firstLine="0"/>
        <w:jc w:val="left"/>
        <w:rPr>
          <w:sz w:val="21"/>
        </w:rPr>
      </w:pPr>
      <w:r>
        <w:rPr>
          <w:w w:val="105"/>
          <w:sz w:val="21"/>
        </w:rPr>
        <w:t>Tabla 81. IST Valle de</w:t>
      </w:r>
      <w:r>
        <w:rPr>
          <w:spacing w:val="7"/>
          <w:w w:val="105"/>
          <w:sz w:val="21"/>
        </w:rPr>
        <w:t> </w:t>
      </w:r>
      <w:r>
        <w:rPr>
          <w:w w:val="105"/>
          <w:sz w:val="21"/>
        </w:rPr>
        <w:t>las Fuentes</w:t>
        <w:tab/>
      </w:r>
      <w:r>
        <w:rPr>
          <w:spacing w:val="2"/>
          <w:w w:val="105"/>
          <w:sz w:val="21"/>
        </w:rPr>
        <w:t>287</w:t>
      </w:r>
    </w:p>
    <w:p>
      <w:pPr>
        <w:tabs>
          <w:tab w:pos="9095" w:val="right" w:leader="dot"/>
        </w:tabs>
        <w:spacing w:before="13"/>
        <w:ind w:left="268" w:right="0" w:firstLine="0"/>
        <w:jc w:val="left"/>
        <w:rPr>
          <w:sz w:val="21"/>
        </w:rPr>
      </w:pPr>
      <w:r>
        <w:rPr>
          <w:w w:val="105"/>
          <w:sz w:val="21"/>
        </w:rPr>
        <w:t>Tabla 82. Formato de trabajo y evaluación de</w:t>
      </w:r>
      <w:r>
        <w:rPr>
          <w:spacing w:val="4"/>
          <w:w w:val="105"/>
          <w:sz w:val="21"/>
        </w:rPr>
        <w:t> </w:t>
      </w:r>
      <w:r>
        <w:rPr>
          <w:w w:val="105"/>
          <w:sz w:val="21"/>
        </w:rPr>
        <w:t>indicadores</w:t>
      </w:r>
      <w:r>
        <w:rPr>
          <w:spacing w:val="-1"/>
          <w:w w:val="105"/>
          <w:sz w:val="21"/>
        </w:rPr>
        <w:t> </w:t>
      </w:r>
      <w:r>
        <w:rPr>
          <w:w w:val="105"/>
          <w:sz w:val="21"/>
        </w:rPr>
        <w:t>sociales.</w:t>
        <w:tab/>
      </w:r>
      <w:r>
        <w:rPr>
          <w:spacing w:val="2"/>
          <w:w w:val="105"/>
          <w:sz w:val="21"/>
        </w:rPr>
        <w:t>296</w:t>
      </w:r>
    </w:p>
    <w:p>
      <w:pPr>
        <w:tabs>
          <w:tab w:pos="9095" w:val="right" w:leader="dot"/>
        </w:tabs>
        <w:spacing w:before="8"/>
        <w:ind w:left="268" w:right="0" w:firstLine="0"/>
        <w:jc w:val="left"/>
        <w:rPr>
          <w:sz w:val="21"/>
        </w:rPr>
      </w:pPr>
      <w:r>
        <w:rPr>
          <w:w w:val="105"/>
          <w:sz w:val="21"/>
        </w:rPr>
        <w:t>Tabla 83. Formato de trabajo y evaluación de</w:t>
      </w:r>
      <w:r>
        <w:rPr>
          <w:spacing w:val="2"/>
          <w:w w:val="105"/>
          <w:sz w:val="21"/>
        </w:rPr>
        <w:t> </w:t>
      </w:r>
      <w:r>
        <w:rPr>
          <w:w w:val="105"/>
          <w:sz w:val="21"/>
        </w:rPr>
        <w:t>indicadores</w:t>
      </w:r>
      <w:r>
        <w:rPr>
          <w:spacing w:val="-1"/>
          <w:w w:val="105"/>
          <w:sz w:val="21"/>
        </w:rPr>
        <w:t> </w:t>
      </w:r>
      <w:r>
        <w:rPr>
          <w:w w:val="105"/>
          <w:sz w:val="21"/>
        </w:rPr>
        <w:t>ambientales</w:t>
        <w:tab/>
      </w:r>
      <w:r>
        <w:rPr>
          <w:spacing w:val="2"/>
          <w:w w:val="105"/>
          <w:sz w:val="21"/>
        </w:rPr>
        <w:t>297</w:t>
      </w:r>
    </w:p>
    <w:p>
      <w:pPr>
        <w:tabs>
          <w:tab w:pos="9095" w:val="right" w:leader="dot"/>
        </w:tabs>
        <w:spacing w:before="13"/>
        <w:ind w:left="268" w:right="0" w:firstLine="0"/>
        <w:jc w:val="left"/>
        <w:rPr>
          <w:sz w:val="21"/>
        </w:rPr>
      </w:pPr>
      <w:r>
        <w:rPr>
          <w:w w:val="105"/>
          <w:sz w:val="21"/>
        </w:rPr>
        <w:t>Tabla 84. Formato de trabajo y evaluación de</w:t>
      </w:r>
      <w:r>
        <w:rPr>
          <w:spacing w:val="2"/>
          <w:w w:val="105"/>
          <w:sz w:val="21"/>
        </w:rPr>
        <w:t> </w:t>
      </w:r>
      <w:r>
        <w:rPr>
          <w:w w:val="105"/>
          <w:sz w:val="21"/>
        </w:rPr>
        <w:t>indicadores</w:t>
      </w:r>
      <w:r>
        <w:rPr>
          <w:spacing w:val="-1"/>
          <w:w w:val="105"/>
          <w:sz w:val="21"/>
        </w:rPr>
        <w:t> </w:t>
      </w:r>
      <w:r>
        <w:rPr>
          <w:w w:val="105"/>
          <w:sz w:val="21"/>
        </w:rPr>
        <w:t>económicos</w:t>
        <w:tab/>
      </w:r>
      <w:r>
        <w:rPr>
          <w:spacing w:val="2"/>
          <w:w w:val="105"/>
          <w:sz w:val="21"/>
        </w:rPr>
        <w:t>298</w:t>
      </w:r>
    </w:p>
    <w:p>
      <w:pPr>
        <w:tabs>
          <w:tab w:pos="9095" w:val="right" w:leader="dot"/>
        </w:tabs>
        <w:spacing w:before="13"/>
        <w:ind w:left="268" w:right="0" w:firstLine="0"/>
        <w:jc w:val="left"/>
        <w:rPr>
          <w:sz w:val="21"/>
        </w:rPr>
      </w:pPr>
      <w:r>
        <w:rPr>
          <w:w w:val="105"/>
          <w:sz w:val="21"/>
        </w:rPr>
        <w:t>Tabla 85. Formato de trabajo y evaluación de</w:t>
      </w:r>
      <w:r>
        <w:rPr>
          <w:spacing w:val="2"/>
          <w:w w:val="105"/>
          <w:sz w:val="21"/>
        </w:rPr>
        <w:t> </w:t>
      </w:r>
      <w:r>
        <w:rPr>
          <w:w w:val="105"/>
          <w:sz w:val="21"/>
        </w:rPr>
        <w:t>indicadores</w:t>
      </w:r>
      <w:r>
        <w:rPr>
          <w:spacing w:val="-1"/>
          <w:w w:val="105"/>
          <w:sz w:val="21"/>
        </w:rPr>
        <w:t> </w:t>
      </w:r>
      <w:r>
        <w:rPr>
          <w:w w:val="105"/>
          <w:sz w:val="21"/>
        </w:rPr>
        <w:t>territoriales</w:t>
        <w:tab/>
      </w:r>
      <w:r>
        <w:rPr>
          <w:spacing w:val="2"/>
          <w:w w:val="105"/>
          <w:sz w:val="21"/>
        </w:rPr>
        <w:t>299</w:t>
      </w:r>
    </w:p>
    <w:p>
      <w:pPr>
        <w:pStyle w:val="BodyText"/>
        <w:rPr>
          <w:sz w:val="22"/>
        </w:rPr>
      </w:pPr>
    </w:p>
    <w:p>
      <w:pPr>
        <w:pStyle w:val="BodyText"/>
        <w:spacing w:before="1"/>
        <w:rPr>
          <w:sz w:val="20"/>
        </w:rPr>
      </w:pPr>
    </w:p>
    <w:p>
      <w:pPr>
        <w:spacing w:before="0"/>
        <w:ind w:left="268" w:right="0" w:firstLine="0"/>
        <w:jc w:val="left"/>
        <w:rPr>
          <w:b/>
          <w:sz w:val="24"/>
        </w:rPr>
      </w:pPr>
      <w:r>
        <w:rPr>
          <w:b/>
          <w:sz w:val="24"/>
        </w:rPr>
        <w:t>Contenido de figuras</w:t>
      </w:r>
    </w:p>
    <w:p>
      <w:pPr>
        <w:pStyle w:val="BodyText"/>
        <w:spacing w:before="6"/>
        <w:rPr>
          <w:b/>
          <w:sz w:val="28"/>
        </w:rPr>
      </w:pPr>
    </w:p>
    <w:p>
      <w:pPr>
        <w:tabs>
          <w:tab w:pos="8728" w:val="left" w:leader="dot"/>
        </w:tabs>
        <w:spacing w:before="0"/>
        <w:ind w:left="268" w:right="0" w:firstLine="0"/>
        <w:jc w:val="left"/>
        <w:rPr>
          <w:sz w:val="21"/>
        </w:rPr>
      </w:pPr>
      <w:r>
        <w:rPr>
          <w:w w:val="105"/>
          <w:sz w:val="21"/>
        </w:rPr>
        <w:t>Figura 1. Modelo del concepto al índice</w:t>
      </w:r>
      <w:r>
        <w:rPr>
          <w:spacing w:val="-17"/>
          <w:w w:val="105"/>
          <w:sz w:val="21"/>
        </w:rPr>
        <w:t> </w:t>
      </w:r>
      <w:r>
        <w:rPr>
          <w:w w:val="105"/>
          <w:sz w:val="21"/>
        </w:rPr>
        <w:t>de</w:t>
      </w:r>
      <w:r>
        <w:rPr>
          <w:spacing w:val="-2"/>
          <w:w w:val="105"/>
          <w:sz w:val="21"/>
        </w:rPr>
        <w:t> </w:t>
      </w:r>
      <w:r>
        <w:rPr>
          <w:w w:val="105"/>
          <w:sz w:val="21"/>
        </w:rPr>
        <w:t>Boulanger</w:t>
        <w:tab/>
      </w:r>
      <w:r>
        <w:rPr>
          <w:spacing w:val="2"/>
          <w:w w:val="105"/>
          <w:sz w:val="21"/>
        </w:rPr>
        <w:t>103</w:t>
      </w:r>
    </w:p>
    <w:p>
      <w:pPr>
        <w:spacing w:before="13"/>
        <w:ind w:left="268" w:right="0" w:firstLine="0"/>
        <w:jc w:val="left"/>
        <w:rPr>
          <w:sz w:val="21"/>
        </w:rPr>
      </w:pPr>
      <w:r>
        <w:rPr>
          <w:w w:val="105"/>
          <w:sz w:val="21"/>
        </w:rPr>
        <w:t>Figura 2. Modelos para la inclusión de indicadores y organización de un</w:t>
      </w:r>
    </w:p>
    <w:p>
      <w:pPr>
        <w:tabs>
          <w:tab w:pos="8728" w:val="left" w:leader="dot"/>
        </w:tabs>
        <w:spacing w:before="8"/>
        <w:ind w:left="1185" w:right="0" w:firstLine="0"/>
        <w:jc w:val="left"/>
        <w:rPr>
          <w:sz w:val="21"/>
        </w:rPr>
      </w:pPr>
      <w:r>
        <w:rPr>
          <w:w w:val="105"/>
          <w:sz w:val="21"/>
        </w:rPr>
        <w:t>sistema</w:t>
      </w:r>
      <w:r>
        <w:rPr>
          <w:spacing w:val="-1"/>
          <w:w w:val="105"/>
          <w:sz w:val="21"/>
        </w:rPr>
        <w:t> </w:t>
      </w:r>
      <w:r>
        <w:rPr>
          <w:w w:val="105"/>
          <w:sz w:val="21"/>
        </w:rPr>
        <w:t>de</w:t>
      </w:r>
      <w:r>
        <w:rPr>
          <w:spacing w:val="-1"/>
          <w:w w:val="105"/>
          <w:sz w:val="21"/>
        </w:rPr>
        <w:t> </w:t>
      </w:r>
      <w:r>
        <w:rPr>
          <w:w w:val="105"/>
          <w:sz w:val="21"/>
        </w:rPr>
        <w:t>índices.</w:t>
        <w:tab/>
      </w:r>
      <w:r>
        <w:rPr>
          <w:spacing w:val="2"/>
          <w:w w:val="105"/>
          <w:sz w:val="21"/>
        </w:rPr>
        <w:t>104</w:t>
      </w:r>
    </w:p>
    <w:p>
      <w:pPr>
        <w:spacing w:before="13"/>
        <w:ind w:left="268" w:right="0" w:firstLine="0"/>
        <w:jc w:val="left"/>
        <w:rPr>
          <w:sz w:val="21"/>
        </w:rPr>
      </w:pPr>
      <w:r>
        <w:rPr>
          <w:w w:val="105"/>
          <w:sz w:val="21"/>
        </w:rPr>
        <w:t>Figura 3. Modelo de inclusión para índices, subíncides e indicadores para el análisis</w:t>
      </w:r>
    </w:p>
    <w:p>
      <w:pPr>
        <w:spacing w:before="13"/>
        <w:ind w:left="1185" w:right="0" w:firstLine="0"/>
        <w:jc w:val="left"/>
        <w:rPr>
          <w:sz w:val="21"/>
        </w:rPr>
      </w:pPr>
      <w:r>
        <w:rPr>
          <w:w w:val="105"/>
          <w:sz w:val="21"/>
        </w:rPr>
        <w:t>de la sustentabilidad del territorio mediante la producción de vivienda formal. 106</w:t>
      </w:r>
    </w:p>
    <w:p>
      <w:pPr>
        <w:spacing w:after="0"/>
        <w:jc w:val="left"/>
        <w:rPr>
          <w:sz w:val="21"/>
        </w:rPr>
        <w:sectPr>
          <w:pgSz w:w="12240" w:h="15840"/>
          <w:pgMar w:header="730" w:footer="1066" w:top="1320" w:bottom="1260" w:left="1720" w:right="1180"/>
        </w:sectPr>
      </w:pPr>
    </w:p>
    <w:p>
      <w:pPr>
        <w:pStyle w:val="BodyText"/>
        <w:rPr>
          <w:sz w:val="20"/>
        </w:rPr>
      </w:pPr>
    </w:p>
    <w:p>
      <w:pPr>
        <w:pStyle w:val="BodyText"/>
        <w:rPr>
          <w:sz w:val="20"/>
        </w:rPr>
      </w:pPr>
    </w:p>
    <w:p>
      <w:pPr>
        <w:pStyle w:val="BodyText"/>
        <w:spacing w:before="7"/>
        <w:rPr>
          <w:sz w:val="19"/>
        </w:rPr>
      </w:pPr>
    </w:p>
    <w:p>
      <w:pPr>
        <w:pStyle w:val="Heading4"/>
        <w:spacing w:before="0"/>
        <w:jc w:val="left"/>
      </w:pPr>
      <w:r>
        <w:rPr/>
        <w:pict>
          <v:line style="position:absolute;mso-position-horizontal-relative:page;mso-position-vertical-relative:paragraph;z-index:1552" from="93.199997pt,-43.464119pt" to="546.799997pt,-43.464119pt" stroked="true" strokeweight=".479981pt" strokecolor="#000000">
            <w10:wrap type="none"/>
          </v:line>
        </w:pict>
      </w:r>
      <w:r>
        <w:rPr/>
        <w:t>Contenido de gráficas</w:t>
      </w:r>
    </w:p>
    <w:p>
      <w:pPr>
        <w:tabs>
          <w:tab w:pos="9095" w:val="right" w:leader="dot"/>
        </w:tabs>
        <w:spacing w:before="486"/>
        <w:ind w:left="268" w:right="0" w:firstLine="0"/>
        <w:jc w:val="left"/>
        <w:rPr>
          <w:sz w:val="21"/>
        </w:rPr>
      </w:pPr>
      <w:r>
        <w:rPr>
          <w:w w:val="105"/>
          <w:sz w:val="21"/>
        </w:rPr>
        <w:t>Gráfica 1. Índice de sustentabilidad para conjuntos</w:t>
      </w:r>
      <w:r>
        <w:rPr>
          <w:spacing w:val="-1"/>
          <w:w w:val="105"/>
          <w:sz w:val="21"/>
        </w:rPr>
        <w:t> </w:t>
      </w:r>
      <w:r>
        <w:rPr>
          <w:w w:val="105"/>
          <w:sz w:val="21"/>
        </w:rPr>
        <w:t>urbanos</w:t>
      </w:r>
      <w:r>
        <w:rPr>
          <w:spacing w:val="-1"/>
          <w:w w:val="105"/>
          <w:sz w:val="21"/>
        </w:rPr>
        <w:t> </w:t>
      </w:r>
      <w:r>
        <w:rPr>
          <w:w w:val="105"/>
          <w:sz w:val="21"/>
        </w:rPr>
        <w:t>sustentables</w:t>
        <w:tab/>
      </w:r>
      <w:r>
        <w:rPr>
          <w:spacing w:val="2"/>
          <w:w w:val="105"/>
          <w:sz w:val="21"/>
        </w:rPr>
        <w:t>118</w:t>
      </w:r>
    </w:p>
    <w:p>
      <w:pPr>
        <w:tabs>
          <w:tab w:pos="9095" w:val="right" w:leader="dot"/>
        </w:tabs>
        <w:spacing w:before="13"/>
        <w:ind w:left="268" w:right="0" w:firstLine="0"/>
        <w:jc w:val="left"/>
        <w:rPr>
          <w:sz w:val="21"/>
        </w:rPr>
      </w:pPr>
      <w:r>
        <w:rPr>
          <w:w w:val="105"/>
          <w:sz w:val="21"/>
        </w:rPr>
        <w:t>Gráfica 2. Indicadores por Índices</w:t>
      </w:r>
      <w:r>
        <w:rPr>
          <w:spacing w:val="2"/>
          <w:w w:val="105"/>
          <w:sz w:val="21"/>
        </w:rPr>
        <w:t> </w:t>
      </w:r>
      <w:r>
        <w:rPr>
          <w:w w:val="105"/>
          <w:sz w:val="21"/>
        </w:rPr>
        <w:t>de</w:t>
      </w:r>
      <w:r>
        <w:rPr>
          <w:spacing w:val="1"/>
          <w:w w:val="105"/>
          <w:sz w:val="21"/>
        </w:rPr>
        <w:t> </w:t>
      </w:r>
      <w:r>
        <w:rPr>
          <w:w w:val="105"/>
          <w:sz w:val="21"/>
        </w:rPr>
        <w:t>Sustentabilidad</w:t>
        <w:tab/>
      </w:r>
      <w:r>
        <w:rPr>
          <w:spacing w:val="2"/>
          <w:w w:val="105"/>
          <w:sz w:val="21"/>
        </w:rPr>
        <w:t>183</w:t>
      </w:r>
    </w:p>
    <w:p>
      <w:pPr>
        <w:tabs>
          <w:tab w:pos="9095" w:val="right" w:leader="dot"/>
        </w:tabs>
        <w:spacing w:before="13"/>
        <w:ind w:left="268" w:right="0" w:firstLine="0"/>
        <w:jc w:val="left"/>
        <w:rPr>
          <w:sz w:val="21"/>
        </w:rPr>
      </w:pPr>
      <w:r>
        <w:rPr>
          <w:w w:val="105"/>
          <w:sz w:val="21"/>
        </w:rPr>
        <w:t>Gráfica 3. Resultados de escenarios</w:t>
      </w:r>
      <w:r>
        <w:rPr>
          <w:spacing w:val="4"/>
          <w:w w:val="105"/>
          <w:sz w:val="21"/>
        </w:rPr>
        <w:t> </w:t>
      </w:r>
      <w:r>
        <w:rPr>
          <w:w w:val="105"/>
          <w:sz w:val="21"/>
        </w:rPr>
        <w:t>de</w:t>
      </w:r>
      <w:r>
        <w:rPr>
          <w:spacing w:val="1"/>
          <w:w w:val="105"/>
          <w:sz w:val="21"/>
        </w:rPr>
        <w:t> </w:t>
      </w:r>
      <w:r>
        <w:rPr>
          <w:w w:val="105"/>
          <w:sz w:val="21"/>
        </w:rPr>
        <w:t>índices</w:t>
        <w:tab/>
      </w:r>
      <w:r>
        <w:rPr>
          <w:spacing w:val="2"/>
          <w:w w:val="105"/>
          <w:sz w:val="21"/>
        </w:rPr>
        <w:t>185</w:t>
      </w:r>
    </w:p>
    <w:p>
      <w:pPr>
        <w:tabs>
          <w:tab w:pos="9095" w:val="right" w:leader="dot"/>
        </w:tabs>
        <w:spacing w:before="13"/>
        <w:ind w:left="268" w:right="0" w:firstLine="0"/>
        <w:jc w:val="left"/>
        <w:rPr>
          <w:sz w:val="21"/>
        </w:rPr>
      </w:pPr>
      <w:r>
        <w:rPr>
          <w:w w:val="105"/>
          <w:sz w:val="21"/>
        </w:rPr>
        <w:t>Gráfica 4. Indicadores por índices</w:t>
      </w:r>
      <w:r>
        <w:rPr>
          <w:spacing w:val="2"/>
          <w:w w:val="105"/>
          <w:sz w:val="21"/>
        </w:rPr>
        <w:t> </w:t>
      </w:r>
      <w:r>
        <w:rPr>
          <w:w w:val="105"/>
          <w:sz w:val="21"/>
        </w:rPr>
        <w:t>de</w:t>
      </w:r>
      <w:r>
        <w:rPr>
          <w:spacing w:val="1"/>
          <w:w w:val="105"/>
          <w:sz w:val="21"/>
        </w:rPr>
        <w:t> </w:t>
      </w:r>
      <w:r>
        <w:rPr>
          <w:w w:val="105"/>
          <w:sz w:val="21"/>
        </w:rPr>
        <w:t>sustentabilidad.</w:t>
        <w:tab/>
      </w:r>
      <w:r>
        <w:rPr>
          <w:spacing w:val="2"/>
          <w:w w:val="105"/>
          <w:sz w:val="21"/>
        </w:rPr>
        <w:t>188</w:t>
      </w:r>
    </w:p>
    <w:p>
      <w:pPr>
        <w:tabs>
          <w:tab w:pos="9095" w:val="right" w:leader="dot"/>
        </w:tabs>
        <w:spacing w:before="8"/>
        <w:ind w:left="268" w:right="0" w:firstLine="0"/>
        <w:jc w:val="left"/>
        <w:rPr>
          <w:sz w:val="21"/>
        </w:rPr>
      </w:pPr>
      <w:r>
        <w:rPr>
          <w:w w:val="105"/>
          <w:sz w:val="21"/>
        </w:rPr>
        <w:t>Gráfica 5. Escenario de resultados</w:t>
      </w:r>
      <w:r>
        <w:rPr>
          <w:spacing w:val="5"/>
          <w:w w:val="105"/>
          <w:sz w:val="21"/>
        </w:rPr>
        <w:t> </w:t>
      </w:r>
      <w:r>
        <w:rPr>
          <w:w w:val="105"/>
          <w:sz w:val="21"/>
        </w:rPr>
        <w:t>por índices</w:t>
        <w:tab/>
      </w:r>
      <w:r>
        <w:rPr>
          <w:spacing w:val="2"/>
          <w:w w:val="105"/>
          <w:sz w:val="21"/>
        </w:rPr>
        <w:t>190</w:t>
      </w:r>
    </w:p>
    <w:p>
      <w:pPr>
        <w:tabs>
          <w:tab w:pos="9095" w:val="right" w:leader="dot"/>
        </w:tabs>
        <w:spacing w:before="13"/>
        <w:ind w:left="268" w:right="0" w:firstLine="0"/>
        <w:jc w:val="left"/>
        <w:rPr>
          <w:sz w:val="21"/>
        </w:rPr>
      </w:pPr>
      <w:r>
        <w:rPr>
          <w:w w:val="105"/>
          <w:sz w:val="21"/>
        </w:rPr>
        <w:t>Gráfica 6. Escenario de resultados</w:t>
      </w:r>
      <w:r>
        <w:rPr>
          <w:spacing w:val="5"/>
          <w:w w:val="105"/>
          <w:sz w:val="21"/>
        </w:rPr>
        <w:t> </w:t>
      </w:r>
      <w:r>
        <w:rPr>
          <w:w w:val="105"/>
          <w:sz w:val="21"/>
        </w:rPr>
        <w:t>por índices</w:t>
        <w:tab/>
      </w:r>
      <w:r>
        <w:rPr>
          <w:spacing w:val="2"/>
          <w:w w:val="105"/>
          <w:sz w:val="21"/>
        </w:rPr>
        <w:t>194</w:t>
      </w:r>
    </w:p>
    <w:p>
      <w:pPr>
        <w:tabs>
          <w:tab w:pos="9095" w:val="right" w:leader="dot"/>
        </w:tabs>
        <w:spacing w:before="13"/>
        <w:ind w:left="268" w:right="0" w:firstLine="0"/>
        <w:jc w:val="left"/>
        <w:rPr>
          <w:sz w:val="21"/>
        </w:rPr>
      </w:pPr>
      <w:r>
        <w:rPr>
          <w:w w:val="105"/>
          <w:sz w:val="21"/>
        </w:rPr>
        <w:t>Gráfica 7. Escenario de resultados</w:t>
      </w:r>
      <w:r>
        <w:rPr>
          <w:spacing w:val="5"/>
          <w:w w:val="105"/>
          <w:sz w:val="21"/>
        </w:rPr>
        <w:t> </w:t>
      </w:r>
      <w:r>
        <w:rPr>
          <w:w w:val="105"/>
          <w:sz w:val="21"/>
        </w:rPr>
        <w:t>por índices</w:t>
        <w:tab/>
      </w:r>
      <w:r>
        <w:rPr>
          <w:spacing w:val="2"/>
          <w:w w:val="105"/>
          <w:sz w:val="21"/>
        </w:rPr>
        <w:t>195</w:t>
      </w:r>
    </w:p>
    <w:p>
      <w:pPr>
        <w:tabs>
          <w:tab w:pos="9095" w:val="right" w:leader="dot"/>
        </w:tabs>
        <w:spacing w:before="8"/>
        <w:ind w:left="268" w:right="0" w:firstLine="0"/>
        <w:jc w:val="left"/>
        <w:rPr>
          <w:sz w:val="21"/>
        </w:rPr>
      </w:pPr>
      <w:r>
        <w:rPr>
          <w:w w:val="105"/>
          <w:sz w:val="21"/>
        </w:rPr>
        <w:t>Gráfica 8. Escenario de resultados</w:t>
      </w:r>
      <w:r>
        <w:rPr>
          <w:spacing w:val="5"/>
          <w:w w:val="105"/>
          <w:sz w:val="21"/>
        </w:rPr>
        <w:t> </w:t>
      </w:r>
      <w:r>
        <w:rPr>
          <w:w w:val="105"/>
          <w:sz w:val="21"/>
        </w:rPr>
        <w:t>por índices</w:t>
        <w:tab/>
      </w:r>
      <w:r>
        <w:rPr>
          <w:spacing w:val="2"/>
          <w:w w:val="105"/>
          <w:sz w:val="21"/>
        </w:rPr>
        <w:t>197</w:t>
      </w:r>
    </w:p>
    <w:p>
      <w:pPr>
        <w:tabs>
          <w:tab w:pos="9095" w:val="right" w:leader="dot"/>
        </w:tabs>
        <w:spacing w:before="13"/>
        <w:ind w:left="268" w:right="0" w:firstLine="0"/>
        <w:jc w:val="left"/>
        <w:rPr>
          <w:sz w:val="21"/>
        </w:rPr>
      </w:pPr>
      <w:r>
        <w:rPr>
          <w:w w:val="105"/>
          <w:sz w:val="21"/>
        </w:rPr>
        <w:t>Gráfica 9. Escenario de resultados</w:t>
      </w:r>
      <w:r>
        <w:rPr>
          <w:spacing w:val="5"/>
          <w:w w:val="105"/>
          <w:sz w:val="21"/>
        </w:rPr>
        <w:t> </w:t>
      </w:r>
      <w:r>
        <w:rPr>
          <w:w w:val="105"/>
          <w:sz w:val="21"/>
        </w:rPr>
        <w:t>por índices</w:t>
        <w:tab/>
      </w:r>
      <w:r>
        <w:rPr>
          <w:spacing w:val="2"/>
          <w:w w:val="105"/>
          <w:sz w:val="21"/>
        </w:rPr>
        <w:t>198</w:t>
      </w:r>
    </w:p>
    <w:p>
      <w:pPr>
        <w:tabs>
          <w:tab w:pos="9095" w:val="right" w:leader="dot"/>
        </w:tabs>
        <w:spacing w:before="13"/>
        <w:ind w:left="268" w:right="0" w:firstLine="0"/>
        <w:jc w:val="left"/>
        <w:rPr>
          <w:sz w:val="21"/>
        </w:rPr>
      </w:pPr>
      <w:r>
        <w:rPr>
          <w:w w:val="105"/>
          <w:sz w:val="21"/>
        </w:rPr>
        <w:t>Gráfica 10. Escenario de resultados</w:t>
      </w:r>
      <w:r>
        <w:rPr>
          <w:spacing w:val="5"/>
          <w:w w:val="105"/>
          <w:sz w:val="21"/>
        </w:rPr>
        <w:t> </w:t>
      </w:r>
      <w:r>
        <w:rPr>
          <w:w w:val="105"/>
          <w:sz w:val="21"/>
        </w:rPr>
        <w:t>por índices</w:t>
        <w:tab/>
      </w:r>
      <w:r>
        <w:rPr>
          <w:spacing w:val="2"/>
          <w:w w:val="105"/>
          <w:sz w:val="21"/>
        </w:rPr>
        <w:t>200</w:t>
      </w:r>
    </w:p>
    <w:p>
      <w:pPr>
        <w:tabs>
          <w:tab w:pos="9095" w:val="right" w:leader="dot"/>
        </w:tabs>
        <w:spacing w:before="8"/>
        <w:ind w:left="268" w:right="0" w:firstLine="0"/>
        <w:jc w:val="left"/>
        <w:rPr>
          <w:sz w:val="21"/>
        </w:rPr>
      </w:pPr>
      <w:r>
        <w:rPr>
          <w:w w:val="105"/>
          <w:sz w:val="21"/>
        </w:rPr>
        <w:t>Gráfica 11. Escenario de resultados</w:t>
      </w:r>
      <w:r>
        <w:rPr>
          <w:spacing w:val="5"/>
          <w:w w:val="105"/>
          <w:sz w:val="21"/>
        </w:rPr>
        <w:t> </w:t>
      </w:r>
      <w:r>
        <w:rPr>
          <w:w w:val="105"/>
          <w:sz w:val="21"/>
        </w:rPr>
        <w:t>por índices</w:t>
        <w:tab/>
      </w:r>
      <w:r>
        <w:rPr>
          <w:spacing w:val="2"/>
          <w:w w:val="105"/>
          <w:sz w:val="21"/>
        </w:rPr>
        <w:t>201</w:t>
      </w:r>
    </w:p>
    <w:p>
      <w:pPr>
        <w:tabs>
          <w:tab w:pos="9095" w:val="right" w:leader="dot"/>
        </w:tabs>
        <w:spacing w:before="13"/>
        <w:ind w:left="268" w:right="0" w:firstLine="0"/>
        <w:jc w:val="left"/>
        <w:rPr>
          <w:sz w:val="21"/>
        </w:rPr>
      </w:pPr>
      <w:r>
        <w:rPr>
          <w:w w:val="105"/>
          <w:sz w:val="21"/>
        </w:rPr>
        <w:t>Gráfica 12. Escenario de resultados</w:t>
      </w:r>
      <w:r>
        <w:rPr>
          <w:spacing w:val="5"/>
          <w:w w:val="105"/>
          <w:sz w:val="21"/>
        </w:rPr>
        <w:t> </w:t>
      </w:r>
      <w:r>
        <w:rPr>
          <w:w w:val="105"/>
          <w:sz w:val="21"/>
        </w:rPr>
        <w:t>por índices</w:t>
        <w:tab/>
      </w:r>
      <w:r>
        <w:rPr>
          <w:spacing w:val="2"/>
          <w:w w:val="105"/>
          <w:sz w:val="21"/>
        </w:rPr>
        <w:t>203</w:t>
      </w:r>
    </w:p>
    <w:p>
      <w:pPr>
        <w:tabs>
          <w:tab w:pos="9095" w:val="right" w:leader="dot"/>
        </w:tabs>
        <w:spacing w:before="13"/>
        <w:ind w:left="268" w:right="0" w:firstLine="0"/>
        <w:jc w:val="left"/>
        <w:rPr>
          <w:sz w:val="21"/>
        </w:rPr>
      </w:pPr>
      <w:r>
        <w:rPr>
          <w:w w:val="105"/>
          <w:sz w:val="21"/>
        </w:rPr>
        <w:t>Gráfica 13. Escenario de resultados</w:t>
      </w:r>
      <w:r>
        <w:rPr>
          <w:spacing w:val="5"/>
          <w:w w:val="105"/>
          <w:sz w:val="21"/>
        </w:rPr>
        <w:t> </w:t>
      </w:r>
      <w:r>
        <w:rPr>
          <w:w w:val="105"/>
          <w:sz w:val="21"/>
        </w:rPr>
        <w:t>por índices</w:t>
        <w:tab/>
      </w:r>
      <w:r>
        <w:rPr>
          <w:spacing w:val="2"/>
          <w:w w:val="105"/>
          <w:sz w:val="21"/>
        </w:rPr>
        <w:t>204</w:t>
      </w:r>
    </w:p>
    <w:p>
      <w:pPr>
        <w:tabs>
          <w:tab w:pos="9095" w:val="right" w:leader="dot"/>
        </w:tabs>
        <w:spacing w:before="13"/>
        <w:ind w:left="268" w:right="0" w:firstLine="0"/>
        <w:jc w:val="left"/>
        <w:rPr>
          <w:sz w:val="21"/>
        </w:rPr>
      </w:pPr>
      <w:r>
        <w:rPr>
          <w:w w:val="105"/>
          <w:sz w:val="21"/>
        </w:rPr>
        <w:t>Gráfica 14. Escenario de resultados</w:t>
      </w:r>
      <w:r>
        <w:rPr>
          <w:spacing w:val="2"/>
          <w:w w:val="105"/>
          <w:sz w:val="21"/>
        </w:rPr>
        <w:t> </w:t>
      </w:r>
      <w:r>
        <w:rPr>
          <w:w w:val="105"/>
          <w:sz w:val="21"/>
        </w:rPr>
        <w:t>por índices</w:t>
        <w:tab/>
      </w:r>
      <w:r>
        <w:rPr>
          <w:spacing w:val="2"/>
          <w:w w:val="105"/>
          <w:sz w:val="21"/>
        </w:rPr>
        <w:t>206</w:t>
      </w:r>
    </w:p>
    <w:p>
      <w:pPr>
        <w:tabs>
          <w:tab w:pos="9095" w:val="right" w:leader="dot"/>
        </w:tabs>
        <w:spacing w:before="8"/>
        <w:ind w:left="268" w:right="0" w:firstLine="0"/>
        <w:jc w:val="left"/>
        <w:rPr>
          <w:sz w:val="21"/>
        </w:rPr>
      </w:pPr>
      <w:r>
        <w:rPr>
          <w:w w:val="105"/>
          <w:sz w:val="21"/>
        </w:rPr>
        <w:t>Gráfica 15. Escenario de resultados</w:t>
      </w:r>
      <w:r>
        <w:rPr>
          <w:spacing w:val="5"/>
          <w:w w:val="105"/>
          <w:sz w:val="21"/>
        </w:rPr>
        <w:t> </w:t>
      </w:r>
      <w:r>
        <w:rPr>
          <w:w w:val="105"/>
          <w:sz w:val="21"/>
        </w:rPr>
        <w:t>por índices</w:t>
        <w:tab/>
      </w:r>
      <w:r>
        <w:rPr>
          <w:spacing w:val="2"/>
          <w:w w:val="105"/>
          <w:sz w:val="21"/>
        </w:rPr>
        <w:t>207</w:t>
      </w:r>
    </w:p>
    <w:p>
      <w:pPr>
        <w:tabs>
          <w:tab w:pos="9095" w:val="right" w:leader="dot"/>
        </w:tabs>
        <w:spacing w:before="13"/>
        <w:ind w:left="268" w:right="0" w:firstLine="0"/>
        <w:jc w:val="left"/>
        <w:rPr>
          <w:sz w:val="21"/>
        </w:rPr>
      </w:pPr>
      <w:r>
        <w:rPr>
          <w:w w:val="105"/>
          <w:sz w:val="21"/>
        </w:rPr>
        <w:t>Gráfica 16. Escenario de resultados</w:t>
      </w:r>
      <w:r>
        <w:rPr>
          <w:spacing w:val="5"/>
          <w:w w:val="105"/>
          <w:sz w:val="21"/>
        </w:rPr>
        <w:t> </w:t>
      </w:r>
      <w:r>
        <w:rPr>
          <w:w w:val="105"/>
          <w:sz w:val="21"/>
        </w:rPr>
        <w:t>por índices</w:t>
        <w:tab/>
      </w:r>
      <w:r>
        <w:rPr>
          <w:spacing w:val="2"/>
          <w:w w:val="105"/>
          <w:sz w:val="21"/>
        </w:rPr>
        <w:t>209</w:t>
      </w:r>
    </w:p>
    <w:p>
      <w:pPr>
        <w:tabs>
          <w:tab w:pos="9095" w:val="right" w:leader="dot"/>
        </w:tabs>
        <w:spacing w:before="13"/>
        <w:ind w:left="268" w:right="0" w:firstLine="0"/>
        <w:jc w:val="left"/>
        <w:rPr>
          <w:sz w:val="21"/>
        </w:rPr>
      </w:pPr>
      <w:r>
        <w:rPr>
          <w:w w:val="105"/>
          <w:sz w:val="21"/>
        </w:rPr>
        <w:t>Gráfica 17. Escenario de resultados</w:t>
      </w:r>
      <w:r>
        <w:rPr>
          <w:spacing w:val="5"/>
          <w:w w:val="105"/>
          <w:sz w:val="21"/>
        </w:rPr>
        <w:t> </w:t>
      </w:r>
      <w:r>
        <w:rPr>
          <w:w w:val="105"/>
          <w:sz w:val="21"/>
        </w:rPr>
        <w:t>por índices</w:t>
        <w:tab/>
      </w:r>
      <w:r>
        <w:rPr>
          <w:spacing w:val="2"/>
          <w:w w:val="105"/>
          <w:sz w:val="21"/>
        </w:rPr>
        <w:t>210</w:t>
      </w:r>
    </w:p>
    <w:p>
      <w:pPr>
        <w:tabs>
          <w:tab w:pos="9095" w:val="right" w:leader="dot"/>
        </w:tabs>
        <w:spacing w:before="8"/>
        <w:ind w:left="268" w:right="0" w:firstLine="0"/>
        <w:jc w:val="left"/>
        <w:rPr>
          <w:sz w:val="21"/>
        </w:rPr>
      </w:pPr>
      <w:r>
        <w:rPr>
          <w:w w:val="105"/>
          <w:sz w:val="21"/>
        </w:rPr>
        <w:t>Gráfica 18. Escenario de resultados</w:t>
      </w:r>
      <w:r>
        <w:rPr>
          <w:spacing w:val="5"/>
          <w:w w:val="105"/>
          <w:sz w:val="21"/>
        </w:rPr>
        <w:t> </w:t>
      </w:r>
      <w:r>
        <w:rPr>
          <w:w w:val="105"/>
          <w:sz w:val="21"/>
        </w:rPr>
        <w:t>por índices</w:t>
        <w:tab/>
      </w:r>
      <w:r>
        <w:rPr>
          <w:spacing w:val="2"/>
          <w:w w:val="105"/>
          <w:sz w:val="21"/>
        </w:rPr>
        <w:t>212</w:t>
      </w:r>
    </w:p>
    <w:p>
      <w:pPr>
        <w:tabs>
          <w:tab w:pos="9095" w:val="right" w:leader="dot"/>
        </w:tabs>
        <w:spacing w:before="13"/>
        <w:ind w:left="268" w:right="0" w:firstLine="0"/>
        <w:jc w:val="left"/>
        <w:rPr>
          <w:sz w:val="21"/>
        </w:rPr>
      </w:pPr>
      <w:r>
        <w:rPr>
          <w:w w:val="105"/>
          <w:sz w:val="21"/>
        </w:rPr>
        <w:t>Gráfica 19. Escenario de resultados</w:t>
      </w:r>
      <w:r>
        <w:rPr>
          <w:spacing w:val="5"/>
          <w:w w:val="105"/>
          <w:sz w:val="21"/>
        </w:rPr>
        <w:t> </w:t>
      </w:r>
      <w:r>
        <w:rPr>
          <w:w w:val="105"/>
          <w:sz w:val="21"/>
        </w:rPr>
        <w:t>por índices</w:t>
        <w:tab/>
      </w:r>
      <w:r>
        <w:rPr>
          <w:spacing w:val="2"/>
          <w:w w:val="105"/>
          <w:sz w:val="21"/>
        </w:rPr>
        <w:t>213</w:t>
      </w:r>
    </w:p>
    <w:p>
      <w:pPr>
        <w:tabs>
          <w:tab w:pos="9095" w:val="right" w:leader="dot"/>
        </w:tabs>
        <w:spacing w:before="13"/>
        <w:ind w:left="268" w:right="0" w:firstLine="0"/>
        <w:jc w:val="left"/>
        <w:rPr>
          <w:sz w:val="21"/>
        </w:rPr>
      </w:pPr>
      <w:r>
        <w:rPr>
          <w:w w:val="105"/>
          <w:sz w:val="21"/>
        </w:rPr>
        <w:t>Gráfica 20. Índices: económico</w:t>
      </w:r>
      <w:r>
        <w:rPr>
          <w:spacing w:val="4"/>
          <w:w w:val="105"/>
          <w:sz w:val="21"/>
        </w:rPr>
        <w:t> </w:t>
      </w:r>
      <w:r>
        <w:rPr>
          <w:w w:val="105"/>
          <w:sz w:val="21"/>
        </w:rPr>
        <w:t>y</w:t>
      </w:r>
      <w:r>
        <w:rPr>
          <w:spacing w:val="1"/>
          <w:w w:val="105"/>
          <w:sz w:val="21"/>
        </w:rPr>
        <w:t> </w:t>
      </w:r>
      <w:r>
        <w:rPr>
          <w:w w:val="105"/>
          <w:sz w:val="21"/>
        </w:rPr>
        <w:t>territorial</w:t>
        <w:tab/>
      </w:r>
      <w:r>
        <w:rPr>
          <w:spacing w:val="2"/>
          <w:w w:val="105"/>
          <w:sz w:val="21"/>
        </w:rPr>
        <w:t>219</w:t>
      </w:r>
    </w:p>
    <w:p>
      <w:pPr>
        <w:tabs>
          <w:tab w:pos="9095" w:val="right" w:leader="dot"/>
        </w:tabs>
        <w:spacing w:before="13"/>
        <w:ind w:left="268" w:right="0" w:firstLine="0"/>
        <w:jc w:val="left"/>
        <w:rPr>
          <w:sz w:val="21"/>
        </w:rPr>
      </w:pPr>
      <w:r>
        <w:rPr>
          <w:w w:val="105"/>
          <w:sz w:val="21"/>
        </w:rPr>
        <w:t>Gráfica 21. Índices: ambiental</w:t>
      </w:r>
      <w:r>
        <w:rPr>
          <w:spacing w:val="2"/>
          <w:w w:val="105"/>
          <w:sz w:val="21"/>
        </w:rPr>
        <w:t> </w:t>
      </w:r>
      <w:r>
        <w:rPr>
          <w:w w:val="105"/>
          <w:sz w:val="21"/>
        </w:rPr>
        <w:t>y</w:t>
      </w:r>
      <w:r>
        <w:rPr>
          <w:spacing w:val="1"/>
          <w:w w:val="105"/>
          <w:sz w:val="21"/>
        </w:rPr>
        <w:t> </w:t>
      </w:r>
      <w:r>
        <w:rPr>
          <w:w w:val="105"/>
          <w:sz w:val="21"/>
        </w:rPr>
        <w:t>territorial</w:t>
        <w:tab/>
      </w:r>
      <w:r>
        <w:rPr>
          <w:spacing w:val="2"/>
          <w:w w:val="105"/>
          <w:sz w:val="21"/>
        </w:rPr>
        <w:t>220</w:t>
      </w:r>
    </w:p>
    <w:p>
      <w:pPr>
        <w:tabs>
          <w:tab w:pos="9095" w:val="right" w:leader="dot"/>
        </w:tabs>
        <w:spacing w:before="8"/>
        <w:ind w:left="268" w:right="0" w:firstLine="0"/>
        <w:jc w:val="left"/>
        <w:rPr>
          <w:sz w:val="21"/>
        </w:rPr>
      </w:pPr>
      <w:r>
        <w:rPr>
          <w:w w:val="105"/>
          <w:sz w:val="21"/>
        </w:rPr>
        <w:t>Gráfica 22. ISC vs Área verde de CU´s</w:t>
      </w:r>
      <w:r>
        <w:rPr>
          <w:spacing w:val="7"/>
          <w:w w:val="105"/>
          <w:sz w:val="21"/>
        </w:rPr>
        <w:t> </w:t>
      </w:r>
      <w:r>
        <w:rPr>
          <w:w w:val="105"/>
          <w:sz w:val="21"/>
        </w:rPr>
        <w:t>por habitante</w:t>
        <w:tab/>
      </w:r>
      <w:r>
        <w:rPr>
          <w:spacing w:val="2"/>
          <w:w w:val="105"/>
          <w:sz w:val="21"/>
        </w:rPr>
        <w:t>221</w:t>
      </w:r>
    </w:p>
    <w:p>
      <w:pPr>
        <w:tabs>
          <w:tab w:pos="9095" w:val="right" w:leader="dot"/>
        </w:tabs>
        <w:spacing w:before="13"/>
        <w:ind w:left="268" w:right="0" w:firstLine="0"/>
        <w:jc w:val="left"/>
        <w:rPr>
          <w:sz w:val="21"/>
        </w:rPr>
      </w:pPr>
      <w:r>
        <w:rPr>
          <w:w w:val="105"/>
          <w:sz w:val="21"/>
        </w:rPr>
        <w:t>Gráfica 23. Sistema</w:t>
      </w:r>
      <w:r>
        <w:rPr>
          <w:spacing w:val="4"/>
          <w:w w:val="105"/>
          <w:sz w:val="21"/>
        </w:rPr>
        <w:t> </w:t>
      </w:r>
      <w:r>
        <w:rPr>
          <w:w w:val="105"/>
          <w:sz w:val="21"/>
        </w:rPr>
        <w:t>del</w:t>
      </w:r>
      <w:r>
        <w:rPr>
          <w:spacing w:val="-1"/>
          <w:w w:val="105"/>
          <w:sz w:val="21"/>
        </w:rPr>
        <w:t> </w:t>
      </w:r>
      <w:r>
        <w:rPr>
          <w:w w:val="105"/>
          <w:sz w:val="21"/>
        </w:rPr>
        <w:t>ISCU</w:t>
        <w:tab/>
      </w:r>
      <w:r>
        <w:rPr>
          <w:spacing w:val="2"/>
          <w:w w:val="105"/>
          <w:sz w:val="21"/>
        </w:rPr>
        <w:t>226</w:t>
      </w:r>
    </w:p>
    <w:p>
      <w:pPr>
        <w:pStyle w:val="Heading4"/>
        <w:spacing w:before="493"/>
        <w:jc w:val="left"/>
      </w:pPr>
      <w:r>
        <w:rPr/>
        <w:t>Contenido de mapas</w:t>
      </w:r>
    </w:p>
    <w:p>
      <w:pPr>
        <w:tabs>
          <w:tab w:pos="9095" w:val="right" w:leader="dot"/>
        </w:tabs>
        <w:spacing w:before="328"/>
        <w:ind w:left="268" w:right="0" w:firstLine="0"/>
        <w:jc w:val="left"/>
        <w:rPr>
          <w:sz w:val="21"/>
        </w:rPr>
      </w:pPr>
      <w:r>
        <w:rPr>
          <w:w w:val="105"/>
          <w:sz w:val="21"/>
        </w:rPr>
        <w:t>Mapa 1. Ubicación del Estado</w:t>
      </w:r>
      <w:r>
        <w:rPr>
          <w:spacing w:val="2"/>
          <w:w w:val="105"/>
          <w:sz w:val="21"/>
        </w:rPr>
        <w:t> </w:t>
      </w:r>
      <w:r>
        <w:rPr>
          <w:w w:val="105"/>
          <w:sz w:val="21"/>
        </w:rPr>
        <w:t>de México.</w:t>
        <w:tab/>
      </w:r>
      <w:r>
        <w:rPr>
          <w:spacing w:val="2"/>
          <w:w w:val="105"/>
          <w:sz w:val="21"/>
        </w:rPr>
        <w:t>164</w:t>
      </w:r>
    </w:p>
    <w:p>
      <w:pPr>
        <w:tabs>
          <w:tab w:pos="9095" w:val="right" w:leader="dot"/>
        </w:tabs>
        <w:spacing w:before="13"/>
        <w:ind w:left="268" w:right="0" w:firstLine="0"/>
        <w:jc w:val="left"/>
        <w:rPr>
          <w:sz w:val="21"/>
        </w:rPr>
      </w:pPr>
      <w:r>
        <w:rPr>
          <w:w w:val="105"/>
          <w:sz w:val="21"/>
        </w:rPr>
        <w:t>Mapa 2. Usos de suelo de la</w:t>
      </w:r>
      <w:r>
        <w:rPr>
          <w:spacing w:val="7"/>
          <w:w w:val="105"/>
          <w:sz w:val="21"/>
        </w:rPr>
        <w:t> </w:t>
      </w:r>
      <w:r>
        <w:rPr>
          <w:w w:val="105"/>
          <w:sz w:val="21"/>
        </w:rPr>
        <w:t>ZMT</w:t>
      </w:r>
      <w:r>
        <w:rPr>
          <w:spacing w:val="1"/>
          <w:w w:val="105"/>
          <w:sz w:val="21"/>
        </w:rPr>
        <w:t> </w:t>
      </w:r>
      <w:r>
        <w:rPr>
          <w:w w:val="105"/>
          <w:sz w:val="21"/>
        </w:rPr>
        <w:t>2016</w:t>
        <w:tab/>
      </w:r>
      <w:r>
        <w:rPr>
          <w:spacing w:val="2"/>
          <w:w w:val="105"/>
          <w:sz w:val="21"/>
        </w:rPr>
        <w:t>166</w:t>
      </w:r>
    </w:p>
    <w:p>
      <w:pPr>
        <w:tabs>
          <w:tab w:pos="9095" w:val="right" w:leader="dot"/>
        </w:tabs>
        <w:spacing w:before="8"/>
        <w:ind w:left="268" w:right="0" w:firstLine="0"/>
        <w:jc w:val="left"/>
        <w:rPr>
          <w:sz w:val="21"/>
        </w:rPr>
      </w:pPr>
      <w:r>
        <w:rPr>
          <w:w w:val="105"/>
          <w:sz w:val="21"/>
        </w:rPr>
        <w:t>Mapa 3. Ubicación de la Zona Metropolitana de Toluca.</w:t>
        <w:tab/>
      </w:r>
      <w:r>
        <w:rPr>
          <w:spacing w:val="2"/>
          <w:w w:val="105"/>
          <w:sz w:val="21"/>
        </w:rPr>
        <w:t>169</w:t>
      </w:r>
    </w:p>
    <w:p>
      <w:pPr>
        <w:tabs>
          <w:tab w:pos="9095" w:val="right" w:leader="dot"/>
        </w:tabs>
        <w:spacing w:before="13"/>
        <w:ind w:left="268" w:right="0" w:firstLine="0"/>
        <w:jc w:val="left"/>
        <w:rPr>
          <w:sz w:val="21"/>
        </w:rPr>
      </w:pPr>
      <w:r>
        <w:rPr>
          <w:w w:val="105"/>
          <w:sz w:val="21"/>
        </w:rPr>
        <w:t>Mapa 4. Ubicación del municipio</w:t>
      </w:r>
      <w:r>
        <w:rPr>
          <w:spacing w:val="3"/>
          <w:w w:val="105"/>
          <w:sz w:val="21"/>
        </w:rPr>
        <w:t> </w:t>
      </w:r>
      <w:r>
        <w:rPr>
          <w:w w:val="105"/>
          <w:sz w:val="21"/>
        </w:rPr>
        <w:t>de</w:t>
      </w:r>
      <w:r>
        <w:rPr>
          <w:spacing w:val="1"/>
          <w:w w:val="105"/>
          <w:sz w:val="21"/>
        </w:rPr>
        <w:t> </w:t>
      </w:r>
      <w:r>
        <w:rPr>
          <w:w w:val="105"/>
          <w:sz w:val="21"/>
        </w:rPr>
        <w:t>Calimaya</w:t>
        <w:tab/>
      </w:r>
      <w:r>
        <w:rPr>
          <w:spacing w:val="2"/>
          <w:w w:val="105"/>
          <w:sz w:val="21"/>
        </w:rPr>
        <w:t>170</w:t>
      </w:r>
    </w:p>
    <w:p>
      <w:pPr>
        <w:tabs>
          <w:tab w:pos="9095" w:val="right" w:leader="dot"/>
        </w:tabs>
        <w:spacing w:before="13"/>
        <w:ind w:left="268" w:right="0" w:firstLine="0"/>
        <w:jc w:val="left"/>
        <w:rPr>
          <w:sz w:val="21"/>
        </w:rPr>
      </w:pPr>
      <w:r>
        <w:rPr>
          <w:w w:val="105"/>
          <w:sz w:val="21"/>
        </w:rPr>
        <w:t>Mapa 5. Ubicación de Conjuntos Urbanos en Calimaya.</w:t>
        <w:tab/>
      </w:r>
      <w:r>
        <w:rPr>
          <w:spacing w:val="2"/>
          <w:w w:val="105"/>
          <w:sz w:val="21"/>
        </w:rPr>
        <w:t>174</w:t>
      </w:r>
    </w:p>
    <w:p>
      <w:pPr>
        <w:tabs>
          <w:tab w:pos="9095" w:val="right" w:leader="dot"/>
        </w:tabs>
        <w:spacing w:before="8"/>
        <w:ind w:left="268" w:right="0" w:firstLine="0"/>
        <w:jc w:val="left"/>
        <w:rPr>
          <w:sz w:val="21"/>
        </w:rPr>
      </w:pPr>
      <w:r>
        <w:rPr>
          <w:w w:val="105"/>
          <w:sz w:val="21"/>
        </w:rPr>
        <w:t>Mapa 6. Conjunto urbano: Villas del Campo I</w:t>
      </w:r>
      <w:r>
        <w:rPr>
          <w:spacing w:val="2"/>
          <w:w w:val="105"/>
          <w:sz w:val="21"/>
        </w:rPr>
        <w:t> </w:t>
      </w:r>
      <w:r>
        <w:rPr>
          <w:w w:val="105"/>
          <w:sz w:val="21"/>
        </w:rPr>
        <w:t>y II</w:t>
        <w:tab/>
      </w:r>
      <w:r>
        <w:rPr>
          <w:spacing w:val="2"/>
          <w:w w:val="105"/>
          <w:sz w:val="21"/>
        </w:rPr>
        <w:t>177</w:t>
      </w:r>
    </w:p>
    <w:p>
      <w:pPr>
        <w:tabs>
          <w:tab w:pos="9095" w:val="right" w:leader="dot"/>
        </w:tabs>
        <w:spacing w:before="13"/>
        <w:ind w:left="268" w:right="0" w:firstLine="0"/>
        <w:jc w:val="left"/>
        <w:rPr>
          <w:sz w:val="21"/>
        </w:rPr>
      </w:pPr>
      <w:r>
        <w:rPr>
          <w:w w:val="105"/>
          <w:sz w:val="21"/>
        </w:rPr>
        <w:t>Mapa 7. Conjunto urbano:</w:t>
      </w:r>
      <w:r>
        <w:rPr>
          <w:spacing w:val="2"/>
          <w:w w:val="105"/>
          <w:sz w:val="21"/>
        </w:rPr>
        <w:t> </w:t>
      </w:r>
      <w:r>
        <w:rPr>
          <w:w w:val="105"/>
          <w:sz w:val="21"/>
        </w:rPr>
        <w:t>San</w:t>
      </w:r>
      <w:r>
        <w:rPr>
          <w:spacing w:val="1"/>
          <w:w w:val="105"/>
          <w:sz w:val="21"/>
        </w:rPr>
        <w:t> </w:t>
      </w:r>
      <w:r>
        <w:rPr>
          <w:w w:val="105"/>
          <w:sz w:val="21"/>
        </w:rPr>
        <w:t>Andrés</w:t>
        <w:tab/>
      </w:r>
      <w:r>
        <w:rPr>
          <w:spacing w:val="2"/>
          <w:w w:val="105"/>
          <w:sz w:val="21"/>
        </w:rPr>
        <w:t>186</w:t>
      </w:r>
    </w:p>
    <w:p>
      <w:pPr>
        <w:tabs>
          <w:tab w:pos="9095" w:val="right" w:leader="dot"/>
        </w:tabs>
        <w:spacing w:before="13"/>
        <w:ind w:left="268" w:right="0" w:firstLine="0"/>
        <w:jc w:val="left"/>
        <w:rPr>
          <w:sz w:val="21"/>
        </w:rPr>
      </w:pPr>
      <w:r>
        <w:rPr>
          <w:w w:val="105"/>
          <w:sz w:val="21"/>
        </w:rPr>
        <w:t>Mapa 8. CU Villas</w:t>
      </w:r>
      <w:r>
        <w:rPr>
          <w:spacing w:val="3"/>
          <w:w w:val="105"/>
          <w:sz w:val="21"/>
        </w:rPr>
        <w:t> </w:t>
      </w:r>
      <w:r>
        <w:rPr>
          <w:w w:val="105"/>
          <w:sz w:val="21"/>
        </w:rPr>
        <w:t>del</w:t>
      </w:r>
      <w:r>
        <w:rPr>
          <w:spacing w:val="-1"/>
          <w:w w:val="105"/>
          <w:sz w:val="21"/>
        </w:rPr>
        <w:t> </w:t>
      </w:r>
      <w:r>
        <w:rPr>
          <w:w w:val="105"/>
          <w:sz w:val="21"/>
        </w:rPr>
        <w:t>Campo</w:t>
        <w:tab/>
      </w:r>
      <w:r>
        <w:rPr>
          <w:spacing w:val="2"/>
          <w:w w:val="105"/>
          <w:sz w:val="21"/>
        </w:rPr>
        <w:t>191</w:t>
      </w:r>
    </w:p>
    <w:p>
      <w:pPr>
        <w:tabs>
          <w:tab w:pos="9095" w:val="right" w:leader="dot"/>
        </w:tabs>
        <w:spacing w:before="13"/>
        <w:ind w:left="268" w:right="0" w:firstLine="0"/>
        <w:jc w:val="left"/>
        <w:rPr>
          <w:sz w:val="21"/>
        </w:rPr>
      </w:pPr>
      <w:r>
        <w:rPr>
          <w:w w:val="105"/>
          <w:sz w:val="21"/>
        </w:rPr>
        <w:t>Mapa 9. CU Valle</w:t>
      </w:r>
      <w:r>
        <w:rPr>
          <w:spacing w:val="4"/>
          <w:w w:val="105"/>
          <w:sz w:val="21"/>
        </w:rPr>
        <w:t> </w:t>
      </w:r>
      <w:r>
        <w:rPr>
          <w:w w:val="105"/>
          <w:sz w:val="21"/>
        </w:rPr>
        <w:t>del</w:t>
      </w:r>
      <w:r>
        <w:rPr>
          <w:spacing w:val="-1"/>
          <w:w w:val="105"/>
          <w:sz w:val="21"/>
        </w:rPr>
        <w:t> </w:t>
      </w:r>
      <w:r>
        <w:rPr>
          <w:w w:val="105"/>
          <w:sz w:val="21"/>
        </w:rPr>
        <w:t>Nevado</w:t>
        <w:tab/>
      </w:r>
      <w:r>
        <w:rPr>
          <w:spacing w:val="2"/>
          <w:w w:val="105"/>
          <w:sz w:val="21"/>
        </w:rPr>
        <w:t>196</w:t>
      </w:r>
    </w:p>
    <w:p>
      <w:pPr>
        <w:tabs>
          <w:tab w:pos="9095" w:val="right" w:leader="dot"/>
        </w:tabs>
        <w:spacing w:before="8"/>
        <w:ind w:left="268" w:right="0" w:firstLine="0"/>
        <w:jc w:val="left"/>
        <w:rPr>
          <w:sz w:val="21"/>
        </w:rPr>
      </w:pPr>
      <w:r>
        <w:rPr>
          <w:w w:val="105"/>
          <w:sz w:val="21"/>
        </w:rPr>
        <w:t>Mapa 10. CU La</w:t>
      </w:r>
      <w:r>
        <w:rPr>
          <w:spacing w:val="4"/>
          <w:w w:val="105"/>
          <w:sz w:val="21"/>
        </w:rPr>
        <w:t> </w:t>
      </w:r>
      <w:r>
        <w:rPr>
          <w:w w:val="105"/>
          <w:sz w:val="21"/>
        </w:rPr>
        <w:t>Providencia</w:t>
      </w:r>
      <w:r>
        <w:rPr>
          <w:spacing w:val="1"/>
          <w:w w:val="105"/>
          <w:sz w:val="21"/>
        </w:rPr>
        <w:t> </w:t>
      </w:r>
      <w:r>
        <w:rPr>
          <w:w w:val="105"/>
          <w:sz w:val="21"/>
        </w:rPr>
        <w:t>1</w:t>
        <w:tab/>
      </w:r>
      <w:r>
        <w:rPr>
          <w:spacing w:val="2"/>
          <w:w w:val="105"/>
          <w:sz w:val="21"/>
        </w:rPr>
        <w:t>199</w:t>
      </w:r>
    </w:p>
    <w:p>
      <w:pPr>
        <w:tabs>
          <w:tab w:pos="9095" w:val="right" w:leader="dot"/>
        </w:tabs>
        <w:spacing w:before="13"/>
        <w:ind w:left="268" w:right="0" w:firstLine="0"/>
        <w:jc w:val="left"/>
        <w:rPr>
          <w:sz w:val="21"/>
        </w:rPr>
      </w:pPr>
      <w:r>
        <w:rPr>
          <w:w w:val="105"/>
          <w:sz w:val="21"/>
        </w:rPr>
        <w:t>Mapa 11. CU Urbi:</w:t>
      </w:r>
      <w:r>
        <w:rPr>
          <w:spacing w:val="2"/>
          <w:w w:val="105"/>
          <w:sz w:val="21"/>
        </w:rPr>
        <w:t> </w:t>
      </w:r>
      <w:r>
        <w:rPr>
          <w:w w:val="105"/>
          <w:sz w:val="21"/>
        </w:rPr>
        <w:t>Hacienda</w:t>
      </w:r>
      <w:r>
        <w:rPr>
          <w:spacing w:val="1"/>
          <w:w w:val="105"/>
          <w:sz w:val="21"/>
        </w:rPr>
        <w:t> </w:t>
      </w:r>
      <w:r>
        <w:rPr>
          <w:w w:val="105"/>
          <w:sz w:val="21"/>
        </w:rPr>
        <w:t>Lomas</w:t>
        <w:tab/>
      </w:r>
      <w:r>
        <w:rPr>
          <w:spacing w:val="2"/>
          <w:w w:val="105"/>
          <w:sz w:val="21"/>
        </w:rPr>
        <w:t>202</w:t>
      </w:r>
    </w:p>
    <w:p>
      <w:pPr>
        <w:tabs>
          <w:tab w:pos="9095" w:val="right" w:leader="dot"/>
        </w:tabs>
        <w:spacing w:before="13"/>
        <w:ind w:left="268" w:right="0" w:firstLine="0"/>
        <w:jc w:val="left"/>
        <w:rPr>
          <w:sz w:val="21"/>
        </w:rPr>
      </w:pPr>
      <w:r>
        <w:rPr>
          <w:w w:val="105"/>
          <w:sz w:val="21"/>
        </w:rPr>
        <w:t>Mapa 12. CU Bosque de</w:t>
      </w:r>
      <w:r>
        <w:rPr>
          <w:spacing w:val="6"/>
          <w:w w:val="105"/>
          <w:sz w:val="21"/>
        </w:rPr>
        <w:t> </w:t>
      </w:r>
      <w:r>
        <w:rPr>
          <w:w w:val="105"/>
          <w:sz w:val="21"/>
        </w:rPr>
        <w:t>las Fuentes</w:t>
        <w:tab/>
      </w:r>
      <w:r>
        <w:rPr>
          <w:spacing w:val="2"/>
          <w:w w:val="105"/>
          <w:sz w:val="21"/>
        </w:rPr>
        <w:t>205</w:t>
      </w:r>
    </w:p>
    <w:p>
      <w:pPr>
        <w:tabs>
          <w:tab w:pos="9095" w:val="right" w:leader="dot"/>
        </w:tabs>
        <w:spacing w:before="8"/>
        <w:ind w:left="268" w:right="0" w:firstLine="0"/>
        <w:jc w:val="left"/>
        <w:rPr>
          <w:sz w:val="21"/>
        </w:rPr>
      </w:pPr>
      <w:r>
        <w:rPr>
          <w:w w:val="105"/>
          <w:sz w:val="21"/>
        </w:rPr>
        <w:t>Mapa 13. CU Hacienda de</w:t>
      </w:r>
      <w:r>
        <w:rPr>
          <w:spacing w:val="6"/>
          <w:w w:val="105"/>
          <w:sz w:val="21"/>
        </w:rPr>
        <w:t> </w:t>
      </w:r>
      <w:r>
        <w:rPr>
          <w:w w:val="105"/>
          <w:sz w:val="21"/>
        </w:rPr>
        <w:t>las Fuentes</w:t>
        <w:tab/>
      </w:r>
      <w:r>
        <w:rPr>
          <w:spacing w:val="2"/>
          <w:w w:val="105"/>
          <w:sz w:val="21"/>
        </w:rPr>
        <w:t>208</w:t>
      </w:r>
    </w:p>
    <w:p>
      <w:pPr>
        <w:tabs>
          <w:tab w:pos="9095" w:val="right" w:leader="dot"/>
        </w:tabs>
        <w:spacing w:before="13"/>
        <w:ind w:left="268" w:right="0" w:firstLine="0"/>
        <w:jc w:val="left"/>
        <w:rPr>
          <w:sz w:val="21"/>
        </w:rPr>
      </w:pPr>
      <w:r>
        <w:rPr>
          <w:w w:val="105"/>
          <w:sz w:val="21"/>
        </w:rPr>
        <w:t>Mapa 14. CU Valle de</w:t>
      </w:r>
      <w:r>
        <w:rPr>
          <w:spacing w:val="6"/>
          <w:w w:val="105"/>
          <w:sz w:val="21"/>
        </w:rPr>
        <w:t> </w:t>
      </w:r>
      <w:r>
        <w:rPr>
          <w:w w:val="105"/>
          <w:sz w:val="21"/>
        </w:rPr>
        <w:t>las Fuentes</w:t>
        <w:tab/>
      </w:r>
      <w:r>
        <w:rPr>
          <w:spacing w:val="2"/>
          <w:w w:val="105"/>
          <w:sz w:val="21"/>
        </w:rPr>
        <w:t>211</w:t>
      </w:r>
    </w:p>
    <w:p>
      <w:pPr>
        <w:tabs>
          <w:tab w:pos="9095" w:val="right" w:leader="dot"/>
        </w:tabs>
        <w:spacing w:before="13"/>
        <w:ind w:left="268" w:right="0" w:firstLine="0"/>
        <w:jc w:val="left"/>
        <w:rPr>
          <w:sz w:val="21"/>
        </w:rPr>
      </w:pPr>
      <w:r>
        <w:rPr>
          <w:w w:val="105"/>
          <w:sz w:val="21"/>
        </w:rPr>
        <w:t>Mapa 15. Distancias de CU a perimetros de contención urbana</w:t>
      </w:r>
      <w:r>
        <w:rPr>
          <w:spacing w:val="-8"/>
          <w:w w:val="105"/>
          <w:sz w:val="21"/>
        </w:rPr>
        <w:t> </w:t>
      </w:r>
      <w:r>
        <w:rPr>
          <w:w w:val="105"/>
          <w:sz w:val="21"/>
        </w:rPr>
        <w:t>en</w:t>
      </w:r>
      <w:r>
        <w:rPr>
          <w:spacing w:val="-1"/>
          <w:w w:val="105"/>
          <w:sz w:val="21"/>
        </w:rPr>
        <w:t> </w:t>
      </w:r>
      <w:r>
        <w:rPr>
          <w:w w:val="105"/>
          <w:sz w:val="21"/>
        </w:rPr>
        <w:t>Calimaya</w:t>
        <w:tab/>
      </w:r>
      <w:r>
        <w:rPr>
          <w:spacing w:val="2"/>
          <w:w w:val="105"/>
          <w:sz w:val="21"/>
        </w:rPr>
        <w:t>223</w:t>
      </w:r>
    </w:p>
    <w:p>
      <w:pPr>
        <w:tabs>
          <w:tab w:pos="9095" w:val="right" w:leader="dot"/>
        </w:tabs>
        <w:spacing w:before="8"/>
        <w:ind w:left="268" w:right="0" w:firstLine="0"/>
        <w:jc w:val="left"/>
        <w:rPr>
          <w:sz w:val="21"/>
        </w:rPr>
      </w:pPr>
      <w:r>
        <w:rPr>
          <w:w w:val="105"/>
          <w:sz w:val="21"/>
        </w:rPr>
        <w:t>Mapa 16. Perímetros de contención urbana</w:t>
      </w:r>
      <w:r>
        <w:rPr>
          <w:spacing w:val="4"/>
          <w:w w:val="105"/>
          <w:sz w:val="21"/>
        </w:rPr>
        <w:t> </w:t>
      </w:r>
      <w:r>
        <w:rPr>
          <w:w w:val="105"/>
          <w:sz w:val="21"/>
        </w:rPr>
        <w:t>en</w:t>
      </w:r>
      <w:r>
        <w:rPr>
          <w:spacing w:val="1"/>
          <w:w w:val="105"/>
          <w:sz w:val="21"/>
        </w:rPr>
        <w:t> </w:t>
      </w:r>
      <w:r>
        <w:rPr>
          <w:w w:val="105"/>
          <w:sz w:val="21"/>
        </w:rPr>
        <w:t>Calimaya</w:t>
        <w:tab/>
      </w:r>
      <w:r>
        <w:rPr>
          <w:spacing w:val="2"/>
          <w:w w:val="105"/>
          <w:sz w:val="21"/>
        </w:rPr>
        <w:t>225</w:t>
      </w:r>
    </w:p>
    <w:p>
      <w:pPr>
        <w:spacing w:after="0"/>
        <w:jc w:val="left"/>
        <w:rPr>
          <w:sz w:val="21"/>
        </w:rPr>
        <w:sectPr>
          <w:pgSz w:w="12240" w:h="15840"/>
          <w:pgMar w:header="730" w:footer="1066" w:top="1320" w:bottom="1260" w:left="1720" w:right="1180"/>
        </w:sectPr>
      </w:pPr>
    </w:p>
    <w:p>
      <w:pPr>
        <w:pStyle w:val="Heading4"/>
        <w:spacing w:before="671"/>
        <w:jc w:val="left"/>
      </w:pPr>
      <w:r>
        <w:rPr/>
        <w:pict>
          <v:line style="position:absolute;mso-position-horizontal-relative:page;mso-position-vertical-relative:paragraph;z-index:1576" from="93.199997pt,-9.194148pt" to="546.799997pt,-9.194148pt" stroked="true" strokeweight=".479981pt" strokecolor="#000000">
            <w10:wrap type="none"/>
          </v:line>
        </w:pict>
      </w:r>
      <w:r>
        <w:rPr/>
        <w:t>Contenido de fotografías</w:t>
      </w:r>
    </w:p>
    <w:p>
      <w:pPr>
        <w:tabs>
          <w:tab w:pos="8728" w:val="left" w:leader="dot"/>
        </w:tabs>
        <w:spacing w:before="448"/>
        <w:ind w:left="268" w:right="0" w:firstLine="0"/>
        <w:jc w:val="left"/>
        <w:rPr>
          <w:sz w:val="21"/>
        </w:rPr>
      </w:pPr>
      <w:r>
        <w:rPr>
          <w:w w:val="105"/>
          <w:sz w:val="21"/>
        </w:rPr>
        <w:t>Fotografías 1. Villas del Campo I</w:t>
      </w:r>
      <w:r>
        <w:rPr>
          <w:spacing w:val="-13"/>
          <w:w w:val="105"/>
          <w:sz w:val="21"/>
        </w:rPr>
        <w:t> </w:t>
      </w:r>
      <w:r>
        <w:rPr>
          <w:w w:val="105"/>
          <w:sz w:val="21"/>
        </w:rPr>
        <w:t>y</w:t>
      </w:r>
      <w:r>
        <w:rPr>
          <w:spacing w:val="-2"/>
          <w:w w:val="105"/>
          <w:sz w:val="21"/>
        </w:rPr>
        <w:t> </w:t>
      </w:r>
      <w:r>
        <w:rPr>
          <w:w w:val="105"/>
          <w:sz w:val="21"/>
        </w:rPr>
        <w:t>II</w:t>
        <w:tab/>
      </w:r>
      <w:r>
        <w:rPr>
          <w:spacing w:val="2"/>
          <w:w w:val="105"/>
          <w:sz w:val="21"/>
        </w:rPr>
        <w:t>288</w:t>
      </w:r>
    </w:p>
    <w:p>
      <w:pPr>
        <w:tabs>
          <w:tab w:pos="8728" w:val="left" w:leader="dot"/>
        </w:tabs>
        <w:spacing w:before="8"/>
        <w:ind w:left="268" w:right="0" w:firstLine="0"/>
        <w:jc w:val="left"/>
        <w:rPr>
          <w:sz w:val="21"/>
        </w:rPr>
      </w:pPr>
      <w:r>
        <w:rPr>
          <w:w w:val="105"/>
          <w:sz w:val="21"/>
        </w:rPr>
        <w:t>Fotografías 2.</w:t>
      </w:r>
      <w:r>
        <w:rPr>
          <w:spacing w:val="-6"/>
          <w:w w:val="105"/>
          <w:sz w:val="21"/>
        </w:rPr>
        <w:t> </w:t>
      </w:r>
      <w:r>
        <w:rPr>
          <w:w w:val="105"/>
          <w:sz w:val="21"/>
        </w:rPr>
        <w:t>San</w:t>
      </w:r>
      <w:r>
        <w:rPr>
          <w:spacing w:val="-2"/>
          <w:w w:val="105"/>
          <w:sz w:val="21"/>
        </w:rPr>
        <w:t> </w:t>
      </w:r>
      <w:r>
        <w:rPr>
          <w:w w:val="105"/>
          <w:sz w:val="21"/>
        </w:rPr>
        <w:t>Andrés</w:t>
        <w:tab/>
      </w:r>
      <w:r>
        <w:rPr>
          <w:spacing w:val="2"/>
          <w:w w:val="105"/>
          <w:sz w:val="21"/>
        </w:rPr>
        <w:t>289</w:t>
      </w:r>
    </w:p>
    <w:p>
      <w:pPr>
        <w:tabs>
          <w:tab w:pos="8728" w:val="left" w:leader="dot"/>
        </w:tabs>
        <w:spacing w:before="13"/>
        <w:ind w:left="268" w:right="0" w:firstLine="0"/>
        <w:jc w:val="left"/>
        <w:rPr>
          <w:sz w:val="21"/>
        </w:rPr>
      </w:pPr>
      <w:r>
        <w:rPr>
          <w:w w:val="105"/>
          <w:sz w:val="21"/>
        </w:rPr>
        <w:t>Fotografías 3. Valle</w:t>
      </w:r>
      <w:r>
        <w:rPr>
          <w:spacing w:val="-8"/>
          <w:w w:val="105"/>
          <w:sz w:val="21"/>
        </w:rPr>
        <w:t> </w:t>
      </w:r>
      <w:r>
        <w:rPr>
          <w:w w:val="105"/>
          <w:sz w:val="21"/>
        </w:rPr>
        <w:t>del</w:t>
      </w:r>
      <w:r>
        <w:rPr>
          <w:spacing w:val="-4"/>
          <w:w w:val="105"/>
          <w:sz w:val="21"/>
        </w:rPr>
        <w:t> </w:t>
      </w:r>
      <w:r>
        <w:rPr>
          <w:w w:val="105"/>
          <w:sz w:val="21"/>
        </w:rPr>
        <w:t>Nevado</w:t>
        <w:tab/>
      </w:r>
      <w:r>
        <w:rPr>
          <w:spacing w:val="2"/>
          <w:w w:val="105"/>
          <w:sz w:val="21"/>
        </w:rPr>
        <w:t>290</w:t>
      </w:r>
    </w:p>
    <w:p>
      <w:pPr>
        <w:tabs>
          <w:tab w:pos="8728" w:val="left" w:leader="dot"/>
        </w:tabs>
        <w:spacing w:before="13"/>
        <w:ind w:left="268" w:right="0" w:firstLine="0"/>
        <w:jc w:val="left"/>
        <w:rPr>
          <w:sz w:val="21"/>
        </w:rPr>
      </w:pPr>
      <w:r>
        <w:rPr>
          <w:w w:val="105"/>
          <w:sz w:val="21"/>
        </w:rPr>
        <w:t>Fotografías 5. Urbi</w:t>
      </w:r>
      <w:r>
        <w:rPr>
          <w:spacing w:val="-10"/>
          <w:w w:val="105"/>
          <w:sz w:val="21"/>
        </w:rPr>
        <w:t> </w:t>
      </w:r>
      <w:r>
        <w:rPr>
          <w:w w:val="105"/>
          <w:sz w:val="21"/>
        </w:rPr>
        <w:t>Hacienda</w:t>
      </w:r>
      <w:r>
        <w:rPr>
          <w:spacing w:val="-2"/>
          <w:w w:val="105"/>
          <w:sz w:val="21"/>
        </w:rPr>
        <w:t> </w:t>
      </w:r>
      <w:r>
        <w:rPr>
          <w:w w:val="105"/>
          <w:sz w:val="21"/>
        </w:rPr>
        <w:t>Lomas</w:t>
        <w:tab/>
      </w:r>
      <w:r>
        <w:rPr>
          <w:spacing w:val="2"/>
          <w:w w:val="105"/>
          <w:sz w:val="21"/>
        </w:rPr>
        <w:t>292</w:t>
      </w:r>
    </w:p>
    <w:p>
      <w:pPr>
        <w:tabs>
          <w:tab w:pos="8728" w:val="left" w:leader="dot"/>
        </w:tabs>
        <w:spacing w:before="13"/>
        <w:ind w:left="268" w:right="0" w:firstLine="0"/>
        <w:jc w:val="left"/>
        <w:rPr>
          <w:sz w:val="21"/>
        </w:rPr>
      </w:pPr>
      <w:r>
        <w:rPr>
          <w:w w:val="105"/>
          <w:sz w:val="21"/>
        </w:rPr>
        <w:t>Fotografías 6. Bosque de</w:t>
      </w:r>
      <w:r>
        <w:rPr>
          <w:spacing w:val="-9"/>
          <w:w w:val="105"/>
          <w:sz w:val="21"/>
        </w:rPr>
        <w:t> </w:t>
      </w:r>
      <w:r>
        <w:rPr>
          <w:w w:val="105"/>
          <w:sz w:val="21"/>
        </w:rPr>
        <w:t>las</w:t>
      </w:r>
      <w:r>
        <w:rPr>
          <w:spacing w:val="-3"/>
          <w:w w:val="105"/>
          <w:sz w:val="21"/>
        </w:rPr>
        <w:t> </w:t>
      </w:r>
      <w:r>
        <w:rPr>
          <w:w w:val="105"/>
          <w:sz w:val="21"/>
        </w:rPr>
        <w:t>Fuentes</w:t>
        <w:tab/>
      </w:r>
      <w:r>
        <w:rPr>
          <w:spacing w:val="2"/>
          <w:w w:val="105"/>
          <w:sz w:val="21"/>
        </w:rPr>
        <w:t>293</w:t>
      </w:r>
    </w:p>
    <w:p>
      <w:pPr>
        <w:tabs>
          <w:tab w:pos="8728" w:val="left" w:leader="dot"/>
        </w:tabs>
        <w:spacing w:before="8"/>
        <w:ind w:left="268" w:right="0" w:firstLine="0"/>
        <w:jc w:val="left"/>
        <w:rPr>
          <w:sz w:val="21"/>
        </w:rPr>
      </w:pPr>
      <w:r>
        <w:rPr>
          <w:w w:val="105"/>
          <w:sz w:val="21"/>
        </w:rPr>
        <w:t>Fotografías 7. Hacienda de</w:t>
      </w:r>
      <w:r>
        <w:rPr>
          <w:spacing w:val="-10"/>
          <w:w w:val="105"/>
          <w:sz w:val="21"/>
        </w:rPr>
        <w:t> </w:t>
      </w:r>
      <w:r>
        <w:rPr>
          <w:w w:val="105"/>
          <w:sz w:val="21"/>
        </w:rPr>
        <w:t>las</w:t>
      </w:r>
      <w:r>
        <w:rPr>
          <w:spacing w:val="-3"/>
          <w:w w:val="105"/>
          <w:sz w:val="21"/>
        </w:rPr>
        <w:t> </w:t>
      </w:r>
      <w:r>
        <w:rPr>
          <w:w w:val="105"/>
          <w:sz w:val="21"/>
        </w:rPr>
        <w:t>Fuentes</w:t>
        <w:tab/>
      </w:r>
      <w:r>
        <w:rPr>
          <w:spacing w:val="2"/>
          <w:w w:val="105"/>
          <w:sz w:val="21"/>
        </w:rPr>
        <w:t>294</w:t>
      </w:r>
    </w:p>
    <w:p>
      <w:pPr>
        <w:tabs>
          <w:tab w:pos="8728" w:val="left" w:leader="dot"/>
        </w:tabs>
        <w:spacing w:before="13"/>
        <w:ind w:left="268" w:right="0" w:firstLine="0"/>
        <w:jc w:val="left"/>
        <w:rPr>
          <w:sz w:val="21"/>
        </w:rPr>
      </w:pPr>
      <w:r>
        <w:rPr>
          <w:w w:val="105"/>
          <w:sz w:val="21"/>
        </w:rPr>
        <w:t>Fotografías 8. Valle de</w:t>
      </w:r>
      <w:r>
        <w:rPr>
          <w:spacing w:val="-9"/>
          <w:w w:val="105"/>
          <w:sz w:val="21"/>
        </w:rPr>
        <w:t> </w:t>
      </w:r>
      <w:r>
        <w:rPr>
          <w:w w:val="105"/>
          <w:sz w:val="21"/>
        </w:rPr>
        <w:t>las</w:t>
      </w:r>
      <w:r>
        <w:rPr>
          <w:spacing w:val="-3"/>
          <w:w w:val="105"/>
          <w:sz w:val="21"/>
        </w:rPr>
        <w:t> </w:t>
      </w:r>
      <w:r>
        <w:rPr>
          <w:w w:val="105"/>
          <w:sz w:val="21"/>
        </w:rPr>
        <w:t>Fuentes</w:t>
        <w:tab/>
      </w:r>
      <w:r>
        <w:rPr>
          <w:spacing w:val="2"/>
          <w:w w:val="105"/>
          <w:sz w:val="21"/>
        </w:rPr>
        <w:t>295</w:t>
      </w:r>
    </w:p>
    <w:p>
      <w:pPr>
        <w:spacing w:after="0"/>
        <w:jc w:val="left"/>
        <w:rPr>
          <w:sz w:val="21"/>
        </w:rPr>
        <w:sectPr>
          <w:footerReference w:type="default" r:id="rId17"/>
          <w:pgSz w:w="12240" w:h="15840"/>
          <w:pgMar w:footer="1066" w:header="730" w:top="1320" w:bottom="1260" w:left="1720" w:right="1180"/>
        </w:sectPr>
      </w:pPr>
    </w:p>
    <w:p>
      <w:pPr>
        <w:pStyle w:val="BodyText"/>
        <w:rPr>
          <w:rFonts w:ascii="Times New Roman"/>
          <w:sz w:val="20"/>
        </w:rPr>
      </w:pPr>
      <w:r>
        <w:rPr/>
        <w:pict>
          <v:line style="position:absolute;mso-position-horizontal-relative:page;mso-position-vertical-relative:page;z-index:1648" from="93.199997pt,57.080009pt" to="546.799997pt,57.080009pt" stroked="true" strokeweight=".479981pt" strokecolor="#000000">
            <w10:wrap type="none"/>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11"/>
        </w:rPr>
      </w:pPr>
    </w:p>
    <w:p>
      <w:pPr>
        <w:pStyle w:val="BodyText"/>
        <w:ind w:left="101"/>
        <w:rPr>
          <w:rFonts w:ascii="Times New Roman"/>
          <w:sz w:val="20"/>
        </w:rPr>
      </w:pPr>
      <w:r>
        <w:rPr>
          <w:rFonts w:ascii="Times New Roman"/>
          <w:sz w:val="20"/>
        </w:rPr>
        <w:pict>
          <v:group style="width:579.950pt;height:396.5pt;mso-position-horizontal-relative:char;mso-position-vertical-relative:line" coordorigin="0,0" coordsize="11599,7930">
            <v:shape style="position:absolute;left:0;top:0;width:11597;height:7930" type="#_x0000_t75" stroked="false">
              <v:imagedata r:id="rId19" o:title=""/>
            </v:shape>
            <v:shape style="position:absolute;left:0;top:3007;width:11598;height:2340" type="#_x0000_t75" stroked="false">
              <v:imagedata r:id="rId20" o:title=""/>
            </v:shape>
            <v:shape style="position:absolute;left:5213;top:4152;width:1453;height:240" type="#_x0000_t202" filled="false" stroked="false">
              <v:textbox inset="0,0,0,0">
                <w:txbxContent>
                  <w:p>
                    <w:pPr>
                      <w:spacing w:line="240" w:lineRule="exact" w:before="0"/>
                      <w:ind w:left="0" w:right="-9" w:firstLine="0"/>
                      <w:jc w:val="left"/>
                      <w:rPr>
                        <w:b/>
                        <w:sz w:val="24"/>
                      </w:rPr>
                    </w:pPr>
                    <w:r>
                      <w:rPr>
                        <w:b/>
                        <w:spacing w:val="-1"/>
                        <w:sz w:val="24"/>
                      </w:rPr>
                      <w:t>Introducción</w:t>
                    </w:r>
                  </w:p>
                </w:txbxContent>
              </v:textbox>
              <w10:wrap type="none"/>
            </v:shape>
          </v:group>
        </w:pict>
      </w:r>
      <w:r>
        <w:rPr>
          <w:rFonts w:ascii="Times New Roman"/>
          <w:sz w:val="20"/>
        </w:rPr>
      </w:r>
    </w:p>
    <w:p>
      <w:pPr>
        <w:spacing w:after="0"/>
        <w:rPr>
          <w:rFonts w:ascii="Times New Roman"/>
          <w:sz w:val="20"/>
        </w:rPr>
        <w:sectPr>
          <w:footerReference w:type="default" r:id="rId18"/>
          <w:pgSz w:w="12240" w:h="15840"/>
          <w:pgMar w:footer="1066" w:header="730" w:top="1320" w:bottom="1260" w:left="260" w:right="180"/>
          <w:pgNumType w:start="21"/>
        </w:sectPr>
      </w:pPr>
    </w:p>
    <w:p>
      <w:pPr>
        <w:pStyle w:val="BodyText"/>
        <w:rPr>
          <w:rFonts w:ascii="Times New Roman"/>
          <w:sz w:val="20"/>
        </w:rPr>
      </w:pPr>
    </w:p>
    <w:p>
      <w:pPr>
        <w:pStyle w:val="BodyText"/>
        <w:rPr>
          <w:rFonts w:ascii="Times New Roman"/>
          <w:sz w:val="20"/>
        </w:rPr>
      </w:pPr>
    </w:p>
    <w:p>
      <w:pPr>
        <w:pStyle w:val="BodyText"/>
        <w:spacing w:before="1"/>
        <w:rPr>
          <w:rFonts w:ascii="Times New Roman"/>
          <w:sz w:val="16"/>
        </w:rPr>
      </w:pPr>
    </w:p>
    <w:p>
      <w:pPr>
        <w:pStyle w:val="Heading4"/>
      </w:pPr>
      <w:r>
        <w:rPr/>
        <w:pict>
          <v:line style="position:absolute;mso-position-horizontal-relative:page;mso-position-vertical-relative:paragraph;z-index:1672" from="93.199997pt,-41.454121pt" to="546.799997pt,-41.454121pt" stroked="true" strokeweight=".479981pt" strokecolor="#000000">
            <w10:wrap type="none"/>
          </v:line>
        </w:pict>
      </w:r>
      <w:r>
        <w:rPr/>
        <w:t>Introducción</w:t>
      </w:r>
    </w:p>
    <w:p>
      <w:pPr>
        <w:pStyle w:val="BodyText"/>
        <w:rPr>
          <w:b/>
        </w:rPr>
      </w:pPr>
    </w:p>
    <w:p>
      <w:pPr>
        <w:pStyle w:val="BodyText"/>
        <w:spacing w:line="360" w:lineRule="auto" w:before="158"/>
        <w:ind w:left="268" w:right="231"/>
        <w:jc w:val="both"/>
      </w:pPr>
      <w:r>
        <w:rPr/>
        <w:t>Las ciudades son ámbitos espaciales que forman parte de los territorios habitables, en el que se desarrollan actividades locales o globales y cuyas características son variables, diversas, complejas, abstractas y dispersas, en la mayoría de los casos obedecen al territorio geográfico y/o político. La mayor parte de la población que habita en el mundo lo hace en ciudades, por lo cual es donde encontramos problemas específicos, de acuerdo al fenómeno que estudiamos, pero también debemos encontrar su solución en un contexto local que evidentemente trastoca o trasciende en el nivel nacional y</w:t>
      </w:r>
      <w:r>
        <w:rPr>
          <w:spacing w:val="-1"/>
        </w:rPr>
        <w:t> </w:t>
      </w:r>
      <w:r>
        <w:rPr/>
        <w:t>global.</w:t>
      </w:r>
    </w:p>
    <w:p>
      <w:pPr>
        <w:pStyle w:val="BodyText"/>
        <w:spacing w:line="360" w:lineRule="auto" w:before="122"/>
        <w:ind w:left="268" w:right="231"/>
        <w:jc w:val="both"/>
      </w:pPr>
      <w:r>
        <w:rPr/>
        <w:t>El desarrollo de la ciudad puede ser analizada desde múltiples áreas por mencionar algunas ésta puede estudiarse desde las necesidades y características de la sociedad a través del tiempo, del espacio y su territorio. Puesto que los seres humanos han desarrollado sus actividades en sociedad, se han logrado establecer y construir estructuras en un territorio para satisfacer las necesidades de la población, como es la seguridad, protección, salud, vivienda y orden público, entre otros, que constantemente cambian, se adaptan y crean.</w:t>
      </w:r>
    </w:p>
    <w:p>
      <w:pPr>
        <w:pStyle w:val="BodyText"/>
        <w:spacing w:line="360" w:lineRule="auto" w:before="122"/>
        <w:ind w:left="268" w:right="231"/>
        <w:jc w:val="both"/>
      </w:pPr>
      <w:r>
        <w:rPr/>
        <w:t>Para satisfacer las necesidades de la población de manera equilibrada, las ciudades deben ser administradas para cuidar de los recursos naturales con los que cuentan: el agua, las áreas verdes, la biodiversidad, el suelo, la energía eléctrica e incluso los recursos humanos. En la mayoría de los países la administración de las ciudades está regulada por una serie de leyes, normas y reglamentos que permiten al Estado, a través de las instituciones y dependencias, implementar políticas públicas y acciones gubernamentales en beneficio de la sociedad.</w:t>
      </w:r>
    </w:p>
    <w:p>
      <w:pPr>
        <w:pStyle w:val="BodyText"/>
        <w:spacing w:line="360" w:lineRule="auto" w:before="122"/>
        <w:ind w:left="268" w:right="231"/>
        <w:jc w:val="both"/>
      </w:pPr>
      <w:r>
        <w:rPr/>
        <w:t>Un satisfactor de suma relevancia en el contexto mundial ha sido la vivienda y, a su vez, es artífice de la ciudad misma, al configurar los espacios urbanizables internos o foráneos, tanto en la urbanización tipificada como ciudad y en la urbanización del campo.   En 1872 el célebre ideólogo Engels escribió su  </w:t>
      </w:r>
      <w:r>
        <w:rPr>
          <w:spacing w:val="63"/>
        </w:rPr>
        <w:t> </w:t>
      </w:r>
      <w:r>
        <w:rPr/>
        <w:t>ensayo</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696" from="93.199997pt,-19.614155pt" to="546.799997pt,-19.614155pt" stroked="true" strokeweight=".479981pt" strokecolor="#000000">
            <w10:wrap type="none"/>
          </v:line>
        </w:pict>
      </w:r>
      <w:r>
        <w:rPr/>
        <w:t>crítico sobre “La cuestión de la vivienda” (Barragán, 1994). La primera medida aparecida poco después de 1890 de manera casi simultánea en varios países consistió en una serie de iniciativas legislativas de carácter higienista referentes a los fraccionamientos y a la construcción de viviendas, las cuales incluían la incorporación de servicios de agua potable, el drenaje sanitario en las ciudades importantes, normas sobre el número máximo de habitantes por vivienda, la altura mínima de las habitaciones, los metros cuadrados de ventana que deberían de tener, etcétera. Los Estados europeos se adelantaron a su tiempo y empezaron a finales del siglo XIX a decretar las primeras medidas para atacar los problemas relacionados con la vivienda, en México se comenzó poco más de medio siglo después.</w:t>
      </w:r>
    </w:p>
    <w:p>
      <w:pPr>
        <w:pStyle w:val="BodyText"/>
        <w:spacing w:line="360" w:lineRule="auto" w:before="122"/>
        <w:ind w:left="268" w:right="231"/>
        <w:jc w:val="both"/>
      </w:pPr>
      <w:r>
        <w:rPr/>
        <w:t>Estos fenómenos y problemas han sido expuestos en diversos foros, así como en los medios de comunicación, por lo que cada día se desarrollan nuevas líneas de investigación que buscan abordar este tema para el análisis, entendimiento y contribución de propuestas que permitan solucionar lo antes expuesto. Aunque la vivienda como conceptualización de relevancia para las ciudades a nivel mundial y en un inicio en Europa y Estados Unidos, tomó un papel importante a mediados  del siglo XIX, con los primeros tratados acerca de su importancia específicamente en el tema de la</w:t>
      </w:r>
      <w:r>
        <w:rPr>
          <w:spacing w:val="-2"/>
        </w:rPr>
        <w:t> </w:t>
      </w:r>
      <w:r>
        <w:rPr/>
        <w:t>salud.</w:t>
      </w:r>
    </w:p>
    <w:p>
      <w:pPr>
        <w:pStyle w:val="BodyText"/>
        <w:spacing w:line="360" w:lineRule="auto" w:before="122"/>
        <w:ind w:left="268" w:right="231"/>
        <w:jc w:val="both"/>
      </w:pPr>
      <w:r>
        <w:rPr/>
        <w:t>Durante el siglo XX, en los años veinte, amparado bajo el concepto de urbanismo de Le Corbusier y Walter Gropius, se edificaron los primeros conjuntos habitacionales en las principales ciudades; paralelamente, surgieron la sociología urbana y los intentos por la industrialización de la vivienda (Barragán, 1994).</w:t>
      </w:r>
    </w:p>
    <w:p>
      <w:pPr>
        <w:pStyle w:val="BodyText"/>
        <w:spacing w:line="360" w:lineRule="auto" w:before="122"/>
        <w:ind w:left="268" w:right="231"/>
        <w:jc w:val="both"/>
      </w:pPr>
      <w:r>
        <w:rPr/>
        <w:t>Para Barragán (1994:8) “Los primeros tratadistas interesados en la cuestión se aproximaban a ella a partir de otras áreas del pensamiento: primero los médicos higienistas, preocupados desde principios de siglo por los efectos del  hacinamiento sobre la propagación de las epidemias; en seguida los ideólogos moralistas, quienes veían en la integración de la familia a su vivienda una solución a las tensiones sociales que empezaron a afectar al mundo hacia fines de la década  de  los  cuarenta;  una  preocupación  similar  motivó  a  los  </w:t>
      </w:r>
      <w:r>
        <w:rPr>
          <w:spacing w:val="62"/>
        </w:rPr>
        <w:t> </w:t>
      </w:r>
      <w:r>
        <w:rPr/>
        <w:t>empresarios</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156312" from="93.199997pt,-19.614155pt" to="546.799997pt,-19.614155pt" stroked="true" strokeweight=".479981pt" strokecolor="#000000">
            <w10:wrap type="none"/>
          </v:line>
        </w:pict>
      </w:r>
      <w:r>
        <w:rPr/>
        <w:t>utopistas, quienes creían que una organización de tipo industrial de la sociedad resolvería todos sus problemas”.</w:t>
      </w:r>
    </w:p>
    <w:p>
      <w:pPr>
        <w:pStyle w:val="BodyText"/>
        <w:spacing w:line="360" w:lineRule="auto" w:before="122"/>
        <w:ind w:left="268" w:right="231"/>
        <w:jc w:val="both"/>
      </w:pPr>
      <w:r>
        <w:rPr/>
        <w:t>En la aurora del siglo XX, apareció una segunda serie de medidas de carácter financiero, encaminadas a permitir a los empleados y trabajadores alojarse en mejores condiciones, gracias a subvenciones de las tasas de interés para el acceso a la vivienda o a la construcción de alojamientos en renta por parte de las autoridades (Barragán, 1994). Fue entonces cuando la cuestión de la vivienda empezó a preocupar a ingenieros y arquitectos. Así surgieron los primeros  tratados de urbanismo dirigidos a resolver de forma integral el hábitat humano: entre ellos, el célebre tratado de Howard sobre la “Ciudad Jardín”, los proyectos  de Charles Garnier respecto a la “Ciudad Obrera”, los escritos tradicionalistas relacionados con el regreso al campo y a la vivienda tradicional, y los proyectos para casas con huertos familiares promocionados por la Iglesia</w:t>
      </w:r>
      <w:r>
        <w:rPr>
          <w:spacing w:val="-1"/>
        </w:rPr>
        <w:t> </w:t>
      </w:r>
      <w:r>
        <w:rPr/>
        <w:t>Católica.</w:t>
      </w:r>
    </w:p>
    <w:p>
      <w:pPr>
        <w:pStyle w:val="BodyText"/>
        <w:spacing w:line="360" w:lineRule="auto" w:before="127"/>
        <w:ind w:left="268" w:right="231"/>
        <w:jc w:val="both"/>
      </w:pPr>
      <w:r>
        <w:rPr/>
        <w:t>A mediados del siglo XX la vivienda en México se convirtió en tema importante en el debate social y económico (Barragán, 1994) Diversos autores y estudiosos del tema coinciden en exponer desde diferentes enfoques que el Desarrollo Inmobiliario de Vivienda en México ha sido fundamental en la conformación del territorio urbanizable y urbano, divergente en su conceptualización entre los Estados de la república mexicana así como en sus municipios, obedeciendo más un modelo económico capitalista basado en la urgencia y necesidad de dotar de vivienda a la explosión demográfica que rebasó al Estado como proveedor de la misma y que hoy en día continua sobrepasando la capacidad del binomio Estado como autoridad regulatoria y a la iniciativa privada a través de los desarrolladores inmobiliarios.</w:t>
      </w:r>
    </w:p>
    <w:p>
      <w:pPr>
        <w:pStyle w:val="BodyText"/>
        <w:spacing w:line="360" w:lineRule="auto" w:before="122"/>
        <w:ind w:left="268" w:right="231"/>
        <w:jc w:val="both"/>
      </w:pPr>
      <w:r>
        <w:rPr/>
        <w:t>Vega (2001) sintetiza que en México las prioridades del Estado hasta el periodo de 1982 a 1987 fueron entre otras, la renegociación de la deuda externa, el combate  a la hiperinflación, la apertura comercial y la privatización económica, que evidentemente obedecían más a un enfoque capitalista y de crecimiento del país. Sin embargo, en este periodo se crea la Secretaría de Desarrollo Urbano y Ecología (SEDUE), expresando la respuesta tardía del Estado ante la gravedad</w:t>
      </w:r>
      <w:r>
        <w:rPr>
          <w:spacing w:val="9"/>
        </w:rPr>
        <w:t> </w:t>
      </w:r>
      <w:r>
        <w:rPr/>
        <w:t>de</w:t>
      </w:r>
    </w:p>
    <w:p>
      <w:pPr>
        <w:pStyle w:val="BodyText"/>
        <w:spacing w:before="166"/>
        <w:ind w:right="232"/>
        <w:jc w:val="right"/>
      </w:pPr>
      <w:r>
        <w:rPr/>
        <w:t>24</w:t>
      </w:r>
    </w:p>
    <w:p>
      <w:pPr>
        <w:spacing w:after="0"/>
        <w:jc w:val="right"/>
        <w:sectPr>
          <w:headerReference w:type="default" r:id="rId21"/>
          <w:footerReference w:type="default" r:id="rId22"/>
          <w:pgSz w:w="12240" w:h="15840"/>
          <w:pgMar w:header="730" w:footer="0" w:top="1320" w:bottom="280" w:left="1720" w:right="1180"/>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1744" from="93.199997pt,-19.614155pt" to="546.799997pt,-19.614155pt" stroked="true" strokeweight=".479981pt" strokecolor="#000000">
            <w10:wrap type="none"/>
          </v:line>
        </w:pict>
      </w:r>
      <w:r>
        <w:rPr/>
        <w:t>la contaminación ambiental urbana y la degradación ecológica que comenzó y acumuló el país.</w:t>
      </w:r>
    </w:p>
    <w:p>
      <w:pPr>
        <w:pStyle w:val="BodyText"/>
        <w:spacing w:line="360" w:lineRule="auto" w:before="122"/>
        <w:ind w:left="268" w:right="231"/>
        <w:jc w:val="both"/>
      </w:pPr>
      <w:r>
        <w:rPr/>
        <w:t>La actividad inmobiliaria en México ha estado vinculada a las políticas y a los programas habitacionales que el Estado ha generado. A comienzos de los años sesenta surgió el Programa Financiero de Vivienda (PFV) que, con el apoyo del Estado, permitió canalizar la producción de vivienda dirigida a los estratos medios de la población urbana.</w:t>
      </w:r>
    </w:p>
    <w:p>
      <w:pPr>
        <w:pStyle w:val="BodyText"/>
        <w:spacing w:line="360" w:lineRule="auto" w:before="122"/>
        <w:ind w:left="268" w:right="231"/>
        <w:jc w:val="both"/>
      </w:pPr>
      <w:r>
        <w:rPr/>
        <w:t>Un aspecto fundamental en el proceso de producción de la vivienda, ha sido la intervención del Estado mexicano, que ha intensificado la participación del sector inmobiliario en la producción de vivienda, a través de políticas y programas que favorecen un sistema de mercado capitalista respaldado con financiamiento estatal. La promoción privada habitacional y sus modos de producción se ha reflejado en el desarrollo de grandes conjuntos habitacionales que, por su tamaño y densidad, equivalen a la conformación territorial de una ciudad.</w:t>
      </w:r>
    </w:p>
    <w:p>
      <w:pPr>
        <w:pStyle w:val="BodyText"/>
        <w:spacing w:line="360" w:lineRule="auto" w:before="122"/>
        <w:ind w:left="268" w:right="231"/>
        <w:jc w:val="both"/>
      </w:pPr>
      <w:r>
        <w:rPr/>
        <w:t>La vivienda más que un bien de consumo emplazado para otorgar una vida digna  a sus propietarios, es una variable financiera indexada que simboliza un motor de activación económica para el país. Como tal, prolifera en localidades que justifican el retorno de la inversión, desdeñando la importancia de su planificación como un recurso estratégico en el desarrollo económico sostenible del mercado interno y determinante en el crecimiento urbano ordenado dentro del territorio mexicano (Maya,</w:t>
      </w:r>
      <w:r>
        <w:rPr>
          <w:spacing w:val="-2"/>
        </w:rPr>
        <w:t> </w:t>
      </w:r>
      <w:r>
        <w:rPr/>
        <w:t>2008).</w:t>
      </w:r>
    </w:p>
    <w:p>
      <w:pPr>
        <w:pStyle w:val="BodyText"/>
        <w:spacing w:line="360" w:lineRule="auto" w:before="127"/>
        <w:ind w:left="268" w:right="231"/>
        <w:jc w:val="both"/>
      </w:pPr>
      <w:r>
        <w:rPr/>
        <w:t>Los problemas crecientes en el modelo urbano desarrollado parecen ser desmedidos y complacientes de los intereses económicos del binomio: Estado e iniciativa privada, como agentes capitalistas que sugieren la pérdida  de conciencia, el desarrollo sano, coherente, planeado, productivo y humanitario de la sociedad, por lo que han contribuido a generar nuevos fenómenos sociales transgresores, grupos y sectores coercitivos, el crecimiento desmedido de la mancha urbana, la carencia de usos de suelo, la especulación excesiva en los precios de la tierra; cualquiera que sea su tenencia, la explotación de los mantos acuíferos, la destrucción ambiental, entre otros. (Maya, 2008).</w:t>
      </w:r>
    </w:p>
    <w:p>
      <w:pPr>
        <w:spacing w:after="0" w:line="360" w:lineRule="auto"/>
        <w:jc w:val="both"/>
        <w:sectPr>
          <w:footerReference w:type="default" r:id="rId23"/>
          <w:pgSz w:w="12240" w:h="15840"/>
          <w:pgMar w:footer="1066" w:header="730" w:top="1320" w:bottom="1260" w:left="1720" w:right="1180"/>
          <w:pgNumType w:start="25"/>
        </w:sectPr>
      </w:pPr>
    </w:p>
    <w:p>
      <w:pPr>
        <w:pStyle w:val="BodyText"/>
        <w:rPr>
          <w:sz w:val="20"/>
        </w:rPr>
      </w:pPr>
    </w:p>
    <w:p>
      <w:pPr>
        <w:pStyle w:val="BodyText"/>
        <w:rPr>
          <w:sz w:val="20"/>
        </w:rPr>
      </w:pPr>
    </w:p>
    <w:p>
      <w:pPr>
        <w:pStyle w:val="BodyText"/>
        <w:spacing w:before="5"/>
      </w:pPr>
    </w:p>
    <w:p>
      <w:pPr>
        <w:pStyle w:val="BodyText"/>
        <w:spacing w:line="360" w:lineRule="auto" w:before="69"/>
        <w:ind w:left="268" w:right="231"/>
        <w:jc w:val="both"/>
      </w:pPr>
      <w:r>
        <w:rPr/>
        <w:pict>
          <v:line style="position:absolute;mso-position-horizontal-relative:page;mso-position-vertical-relative:paragraph;z-index:1792" from="93.199997pt,-46.254108pt" to="546.799997pt,-46.254108pt" stroked="true" strokeweight=".479981pt" strokecolor="#000000">
            <w10:wrap type="none"/>
          </v:line>
        </w:pict>
      </w:r>
      <w:r>
        <w:rPr/>
        <w:t>La vivienda sigue siendo uno de los principales bienes de consumo fundamentalmente para numerosos sectores de la población que carece de una vivienda adecuada a sus necesidades. Se trata de sectores de población de bajos recursos económicos, quienes han tenido que recurrir a procesos informales de producción de vivienda dentro de lo que se ha denominado como la “autoconstrucción”. Así mismo, y dentro de un proceso formal de producción de vivienda, han participado otros sectores, destacando la relevancia que ha tenido el Estado mexicano y la empresa privada, representada por el sector inmobiliario.</w:t>
      </w:r>
    </w:p>
    <w:p>
      <w:pPr>
        <w:pStyle w:val="BodyText"/>
        <w:spacing w:line="360" w:lineRule="auto" w:before="122"/>
        <w:ind w:left="268" w:right="231"/>
        <w:jc w:val="both"/>
      </w:pPr>
      <w:r>
        <w:rPr/>
        <w:t>En México, el sector de la construcción, vinculado con la producción de vivienda  de interés social, popular, medio y residencial, ha requerido permanentemente de financiamiento público que le permita producir vivienda, particularmente aquella dirigida a los sectores de medios y de bajos recursos económicos. Financiamiento mediante el cual, cubren las diferentes etapas ligadas con la producción de vivienda, que van desde la adquisición del terreno y su urbanización hasta la construcción y comercialización de las viviendas. En la actualidad este sector se  ha definido como un importante agente en la producción de</w:t>
      </w:r>
      <w:r>
        <w:rPr>
          <w:spacing w:val="-1"/>
        </w:rPr>
        <w:t> </w:t>
      </w:r>
      <w:r>
        <w:rPr/>
        <w:t>vivienda.</w:t>
      </w:r>
    </w:p>
    <w:p>
      <w:pPr>
        <w:pStyle w:val="BodyText"/>
        <w:spacing w:line="360" w:lineRule="auto" w:before="92"/>
        <w:ind w:left="268" w:right="231"/>
        <w:jc w:val="both"/>
      </w:pPr>
      <w:r>
        <w:rPr/>
        <w:t>El crecimiento demográfico</w:t>
      </w:r>
      <w:r>
        <w:rPr>
          <w:position w:val="11"/>
          <w:sz w:val="16"/>
        </w:rPr>
        <w:t>1 </w:t>
      </w:r>
      <w:r>
        <w:rPr/>
        <w:t>que experimenta México ha ampliado la demanda de vivienda, provocando el interés del promotor inmobiliario para participar en la generación de un bien necesario para el conjunto de la sociedad. El tipo de vivienda producida fue determinante en el crecimiento urbano de las ciudades dentro del territorio mexicano (especialmente al interior de la zona metropolitana  de la ciudad de México), por la gran cantidad de fraccionamientos que aceleradamente se han ido desarrollando sobre todo en las periferias de la urbe (Maya</w:t>
      </w:r>
      <w:r>
        <w:rPr>
          <w:spacing w:val="-1"/>
        </w:rPr>
        <w:t> </w:t>
      </w:r>
      <w:r>
        <w:rPr/>
        <w:t>2008).</w:t>
      </w:r>
    </w:p>
    <w:p>
      <w:pPr>
        <w:pStyle w:val="BodyText"/>
        <w:rPr>
          <w:sz w:val="20"/>
        </w:rPr>
      </w:pPr>
    </w:p>
    <w:p>
      <w:pPr>
        <w:pStyle w:val="BodyText"/>
        <w:spacing w:before="5"/>
        <w:rPr>
          <w:sz w:val="26"/>
        </w:rPr>
      </w:pPr>
      <w:r>
        <w:rPr/>
        <w:pict>
          <v:line style="position:absolute;mso-position-horizontal-relative:page;mso-position-vertical-relative:paragraph;z-index:1768;mso-wrap-distance-left:0;mso-wrap-distance-right:0" from="99.440002pt,17.414879pt" to="243.440002pt,17.414879pt" stroked="true" strokeweight=".479996pt" strokecolor="#000000">
            <w10:wrap type="topAndBottom"/>
          </v:line>
        </w:pict>
      </w:r>
    </w:p>
    <w:p>
      <w:pPr>
        <w:pStyle w:val="BodyText"/>
        <w:spacing w:before="1"/>
      </w:pPr>
    </w:p>
    <w:p>
      <w:pPr>
        <w:spacing w:line="252" w:lineRule="auto" w:before="82"/>
        <w:ind w:left="268" w:right="229" w:firstLine="0"/>
        <w:jc w:val="both"/>
        <w:rPr>
          <w:sz w:val="19"/>
        </w:rPr>
      </w:pPr>
      <w:r>
        <w:rPr>
          <w:w w:val="105"/>
          <w:sz w:val="16"/>
        </w:rPr>
        <w:t>1 </w:t>
      </w:r>
      <w:r>
        <w:rPr>
          <w:w w:val="105"/>
          <w:sz w:val="19"/>
        </w:rPr>
        <w:t>La encuesta intercensal 2015, realizada por el INEGI presenta 119 millones 530 mil 753  habitantes en México, por lo que se encuentra dentro de los 11 países más poblados del mundo.</w:t>
      </w:r>
      <w:r>
        <w:rPr>
          <w:spacing w:val="55"/>
          <w:w w:val="105"/>
          <w:sz w:val="19"/>
        </w:rPr>
        <w:t> </w:t>
      </w:r>
      <w:r>
        <w:rPr>
          <w:w w:val="105"/>
          <w:sz w:val="19"/>
        </w:rPr>
        <w:t>En los últimos 65 años la población ha crecido poco más de cuatro veces, en 1950 había 25.8 millones de personas. Para el año 2010 el 78% de la población se concentro en zonas urbanas. (www.cuentame.inegi.org.mx)</w:t>
      </w:r>
    </w:p>
    <w:p>
      <w:pPr>
        <w:spacing w:after="0" w:line="252" w:lineRule="auto"/>
        <w:jc w:val="both"/>
        <w:rPr>
          <w:sz w:val="19"/>
        </w:rPr>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816" from="93.199997pt,-19.614155pt" to="546.799997pt,-19.614155pt" stroked="true" strokeweight=".479981pt" strokecolor="#000000">
            <w10:wrap type="none"/>
          </v:line>
        </w:pict>
      </w:r>
      <w:r>
        <w:rPr/>
        <w:t>A finales del siglo XX y principios del XXI, gran parte de las ciudades mexicanas han sido construidas por los desarrolladores inmobiliarios, quienes han tenido una dinámica económica y financiera trascendental y han sido coautores del modelo urbano actual para ocupar el territorio y han dado una respuesta parcial a la necesidad de vivienda demandada por la población; sin embargo, este modelo urbano no ha logrado satisfacer el 100% de la vivienda requerida.</w:t>
      </w:r>
    </w:p>
    <w:p>
      <w:pPr>
        <w:pStyle w:val="BodyText"/>
        <w:spacing w:line="360" w:lineRule="auto" w:before="122"/>
        <w:ind w:left="268" w:right="231"/>
        <w:jc w:val="both"/>
      </w:pPr>
      <w:r>
        <w:rPr/>
        <w:t>Maya señala (2008) que, en México, como en muchos países de América Latina, los mega desarrollos habitacionales siguen siendo el camino para solucionar la enorme demanda de vivienda por parte de los sectores de población de medianos y bajos recursos económicos. Su diseño y planeación se rigen por criterios financieros y se descuidan los aspectos sociales y culturales, así como las necesidades reales de estos residentes, olvidando la importancia que tienen los espacios exteriores para el establecimiento de lazos sociales. Este esquema y estrategia de desarrollo el modelo urbano está esclavizado al desarrollo económico del país, dejando de lado la importancia de la calidad de vida de los habitantes. La urbanización del territorio continúa obedeciendo a capitales sin interés en la competitividad, sustentabilidad, sostenibilidad y calidad de vida de  sus habitantes. El resultado es un Estado incapaz de poder contar con un modelo urbano, que considere al ser humano como primer actor para el</w:t>
      </w:r>
      <w:r>
        <w:rPr>
          <w:spacing w:val="-1"/>
        </w:rPr>
        <w:t> </w:t>
      </w:r>
      <w:r>
        <w:rPr/>
        <w:t>desarrollo.</w:t>
      </w:r>
    </w:p>
    <w:p>
      <w:pPr>
        <w:pStyle w:val="BodyText"/>
        <w:spacing w:line="360" w:lineRule="auto" w:before="122"/>
        <w:ind w:left="268" w:right="231"/>
        <w:jc w:val="both"/>
      </w:pPr>
      <w:r>
        <w:rPr/>
        <w:t>Maya (2008) destaca que la problemática que existe, es la producción de grandes conjuntos habitacionales, que, por su tamaño y densidad, equivalen a la conformación territorial de una ciudad, sin los usos y servicios propios de ésta. Por tanto, su desarrollo no propicia un crecimiento urbano ordenado y un desarrollo económico sostenible en el corto y mediano plazo, heredando a sus ocupantes problemas que van desde la falta de áreas comerciales y equipamiento, hasta la ausencia de centros de cultura y recreación, o en su caso, fuentes de empleo. Desde otro punto de vista, Maes (2012) expone que los conjuntos habitacionales a gran escala en México han sido una manera creativa e inspiradora de lidiar con el déficit de vivienda y con la degradación del medio ambiente.</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840" from="93.199997pt,-19.614155pt" to="546.799997pt,-19.614155pt" stroked="true" strokeweight=".479981pt" strokecolor="#000000">
            <w10:wrap type="none"/>
          </v:line>
        </w:pict>
      </w:r>
      <w:r>
        <w:rPr/>
        <w:t>La realidad presenta un escenario incongruente con los lineamientos de carácter normativo, la vivienda formal que se promociona, produce y desarrolla a través de la figura de conjunto urbano genera un impacto negativo y poco sustentable en el territorio. Las acciones del Estado como agente normativo, administrativo, promotor y regulador de las gestiones realizadas por la iniciativa privada a través de los desarrolladores inmobiliarios como agentes que producen y comercializan  la vivienda que construyen, distan de generar vivienda y territorio sustentables.</w:t>
      </w:r>
    </w:p>
    <w:p>
      <w:pPr>
        <w:pStyle w:val="BodyText"/>
        <w:spacing w:line="360" w:lineRule="auto" w:before="122"/>
        <w:ind w:left="268" w:right="231"/>
        <w:jc w:val="both"/>
      </w:pPr>
      <w:r>
        <w:rPr/>
        <w:t>En lo que respecta al estudio de la sustentabilidad, éste se hace de manera multidisciplinaria y transversal lo que ha permitido la inclusión de diversas disciplinas para el análisis de un fenómeno o problema a resolver. En la administración urbana la sustentabilidad ha sido un concepto nuevo a ser incluido también desde un carácter normativo, legislativo, político y de gobernación. (Carrillo, 2014).</w:t>
      </w:r>
    </w:p>
    <w:p>
      <w:pPr>
        <w:pStyle w:val="BodyText"/>
        <w:spacing w:line="360" w:lineRule="auto" w:before="127"/>
        <w:ind w:left="268" w:right="231"/>
        <w:jc w:val="both"/>
      </w:pPr>
      <w:r>
        <w:rPr/>
        <w:t>Vigo (2014) menciona que la sustentabilidad se ha convertido en un tema central de los gobiernos y académicos de la mayoría de los países desde la década de 1970, generado por el surgimiento de conflictos violentos, asiduos y complejos interrelaciónales entre lo económico y lo socioambiental, mismos que dependen  de la explotación de recursos, que en un afán descontrolado por las ganancias financieras generan importantes impactos negativos.</w:t>
      </w:r>
    </w:p>
    <w:p>
      <w:pPr>
        <w:pStyle w:val="BodyText"/>
        <w:spacing w:line="360" w:lineRule="auto" w:before="122"/>
        <w:ind w:left="268" w:right="231"/>
        <w:jc w:val="both"/>
      </w:pPr>
      <w:r>
        <w:rPr/>
        <w:t>Para Carreño (2014) entre los problemas a los que se enfrenta la humanidad en el nuevo siglo, se encuentra la propagación de lo urbano, con su complejidad y ambivalencia por sus aspectos sociales, ambientales, económicos y políticos.</w:t>
      </w:r>
    </w:p>
    <w:p>
      <w:pPr>
        <w:pStyle w:val="BodyText"/>
        <w:spacing w:line="360" w:lineRule="auto" w:before="122"/>
        <w:ind w:left="268" w:right="231"/>
        <w:jc w:val="both"/>
      </w:pPr>
      <w:r>
        <w:rPr/>
        <w:t>Los problemas ambientales y urbanos se evidencian en los numerosos encuentros científicos-políticos, cumbres mundiales, declaraciones y creación de instituciones, en la trayectoria de varias décadas a mediados de 1980 inicio discursivamente el paradigma del desarrollo urbano sustentable continuando con su discusión en búsqueda de integrar la relación hombre, naturaleza con una respuesta multicultural. (Vigo, 2014).</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864" from="93.199997pt,-19.614155pt" to="546.799997pt,-19.614155pt" stroked="true" strokeweight=".479981pt" strokecolor="#000000">
            <w10:wrap type="none"/>
          </v:line>
        </w:pict>
      </w:r>
      <w:r>
        <w:rPr/>
        <w:t>Para Mantovaneli y Cioce (2011) el planteamiento de la sustentabilidad en el discurso, se refiere a la parte política y administrativa de las instituciones y la necesidad de definir temas ambientales y económicos de la sociedad, para poder disminuir el marco normativo que regule las actividades de una sociedad conforme a sus características “demarcativas” específicas.</w:t>
      </w:r>
    </w:p>
    <w:p>
      <w:pPr>
        <w:pStyle w:val="BodyText"/>
        <w:spacing w:line="360" w:lineRule="auto" w:before="122"/>
        <w:ind w:left="268" w:right="231"/>
        <w:jc w:val="both"/>
      </w:pPr>
      <w:r>
        <w:rPr/>
        <w:t>Vigo (2014) refiere que según el Banco Mundial (2014) el déficit en la planificación de ciudades implica una inseguridad que constituye una amenaza, ya que los avances socio-económicos no son acompañados de una mejor planificación de las grandes ciudades, que lo demuestra el caótico transporte, la rápida urbanización sin respeto a los códigos de construcción, así como la deficiente provisión de servicios públicos.</w:t>
      </w:r>
    </w:p>
    <w:p>
      <w:pPr>
        <w:pStyle w:val="BodyText"/>
        <w:spacing w:line="360" w:lineRule="auto" w:before="122"/>
        <w:ind w:left="268" w:right="231"/>
        <w:jc w:val="both"/>
      </w:pPr>
      <w:r>
        <w:rPr/>
        <w:t>Por lo anterior Vigo (2014) destaca que la sustentabilidad urbana es cada vez más interdependiente de la global, por lo que requiere un estudio multiescalar que incorpore los distintos espacio urbanos y rurales. En esta reflexión de ideas surgen diferentes cuestionamientos en relación a las acciones en materia de normatividad e institucionalización respecto a la sustentabilidad, pero quizá la interrogante central que engloba otra serie de preguntas podría ser: ¿Esta conceptualización  de sustentabilidad se puede fundamentar y motivar en la normatividad existente? Responder esta pregunta seguramente generaría diferentes debates en relación a los diversos enfoques que se pueden estudiar y que la misma legislación</w:t>
      </w:r>
      <w:r>
        <w:rPr>
          <w:spacing w:val="-1"/>
        </w:rPr>
        <w:t> </w:t>
      </w:r>
      <w:r>
        <w:rPr/>
        <w:t>aborda.</w:t>
      </w:r>
    </w:p>
    <w:p>
      <w:pPr>
        <w:pStyle w:val="BodyText"/>
        <w:spacing w:line="360" w:lineRule="auto" w:before="122"/>
        <w:ind w:left="268" w:right="231"/>
        <w:jc w:val="both"/>
      </w:pPr>
      <w:r>
        <w:rPr/>
        <w:t>Una de las reflexiones es que el Estado norma la producción de vivienda como autoridad dejando en manos de la iniciativa privada el desarrollo de vivienda  formal y la oferta de ésta, mediante diversos mecanismos financieros en los que  de igual modo intervienen tanto la iniciativa privada como el Estado. Pero, ¿Qué hay de la sociedad?, acaso es solo un espectador en el desarrollo del territorio y  un consumidor de esta mercancía ofertada, pareciera obvio que el binomio Estado e iniciativa privada han logrado sus objetivos a costa de la sociedad que los sostiene. Esto sugiere la existencia de un trinomio disfuncional para la participación en la integración de un territorio en beneficio de la sociedad.</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888" from="93.199997pt,-19.614155pt" to="546.799997pt,-19.614155pt" stroked="true" strokeweight=".479981pt" strokecolor="#000000">
            <w10:wrap type="none"/>
          </v:line>
        </w:pict>
      </w:r>
      <w:r>
        <w:rPr/>
        <w:t>Con este esquema y estrategia de desarrollo, el modelo urbano está subyugado al desarrollo económico del país dejando de lado la importancia de la calidad de vida de los habitantes y la urbanización del territorio para el crecimiento de las ciudades, continúa obedeciendo capitales sin denotar interés en la competitividad, sustentabilidad, sostenibilidad y calidad de vida de sus habitantes. Ya que cada vez surgen nuevos fenómenos urbanos que deben ser atacados a manera de emergencia por un Estado incapaz hasta el momento de contar con un modelo urbano, que considere al ser humano como primer actor para el desarrollo.</w:t>
      </w:r>
    </w:p>
    <w:p>
      <w:pPr>
        <w:pStyle w:val="BodyText"/>
        <w:spacing w:line="360" w:lineRule="auto" w:before="127"/>
        <w:ind w:left="268" w:right="231"/>
        <w:jc w:val="both"/>
      </w:pPr>
      <w:r>
        <w:rPr/>
        <w:t>Debemos aspirar a una “producción formal y social” a una “producción socio- formal” considerando la participación de la sociedad, dentro del marco normativo y del sistema financiero, generando institutos u organizaciones que permitan evaluar y ser partícipes en la planeación del territorio en uno de sus principales temas como lo es el desarrollo de vivienda.</w:t>
      </w:r>
    </w:p>
    <w:p>
      <w:pPr>
        <w:pStyle w:val="BodyText"/>
        <w:spacing w:line="360" w:lineRule="auto" w:before="127"/>
        <w:ind w:left="268" w:right="231"/>
        <w:jc w:val="both"/>
      </w:pPr>
      <w:r>
        <w:rPr/>
        <w:t>El problema se puede apreciar y analizar con elementos cuantitativos y cualitativos, el estudio y análisis que presenta la investigación constata las interacciones y acciones de un trinomio disfuncional que ha convertido a la vivienda formal en un elemento clave del desarrollo económico del país, desempeñando un papel importante dentro del sistema financiero, pero que, por otro lado, le ha costado a la sociedad la sustentabilidad del territorio, una configuración en caos, asentamientos disgregados, con problemas de toda índole, sociales, económicos, de seguridad, movilidad, entre</w:t>
      </w:r>
      <w:r>
        <w:rPr>
          <w:spacing w:val="-2"/>
        </w:rPr>
        <w:t> </w:t>
      </w:r>
      <w:r>
        <w:rPr/>
        <w:t>otros.</w:t>
      </w:r>
    </w:p>
    <w:p>
      <w:pPr>
        <w:pStyle w:val="BodyText"/>
        <w:spacing w:line="360" w:lineRule="auto" w:before="127"/>
        <w:ind w:left="268" w:right="231"/>
        <w:jc w:val="both"/>
      </w:pPr>
      <w:r>
        <w:rPr/>
        <w:t>Conforme a lo anterior, la presente investigación parte de la necesidad de contar con un estudio integral que permita abordar la sustentabilidad del territorio mediante la promoción, producción y desarrollo de vivienda formal analizando de manera teórica y empírica la participación de tres agentes: Estado; como instancia normativa, iniciativa privada, como constructores, desarrolladores y ejecutores de programas de vivienda, y sociedad, como usuario y sustento de las buenas o malas prácticas emprendidas por los dos primeros agentes. Por ello, resulta importante aportar al conocimiento una metodología para analizar la sustentabilidad del territorio, teniendo como objeto de estudio la vivienda formal</w:t>
      </w:r>
    </w:p>
    <w:p>
      <w:pPr>
        <w:spacing w:after="0" w:line="360" w:lineRule="auto"/>
        <w:jc w:val="both"/>
        <w:sectPr>
          <w:footerReference w:type="default" r:id="rId24"/>
          <w:pgSz w:w="12240" w:h="15840"/>
          <w:pgMar w:footer="1066" w:header="730"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912" from="93.199997pt,-19.614155pt" to="546.799997pt,-19.614155pt" stroked="true" strokeweight=".479981pt" strokecolor="#000000">
            <w10:wrap type="none"/>
          </v:line>
        </w:pict>
      </w:r>
      <w:r>
        <w:rPr/>
        <w:t>que se promociona, produce y desarrolla mediante la figura de conjunto urbano, ésta es la nueva forma de producir y hacer ciudad en el territorio.</w:t>
      </w:r>
    </w:p>
    <w:p>
      <w:pPr>
        <w:pStyle w:val="BodyText"/>
        <w:spacing w:line="360" w:lineRule="auto" w:before="122"/>
        <w:ind w:left="268" w:right="231"/>
        <w:jc w:val="both"/>
      </w:pPr>
      <w:r>
        <w:rPr/>
        <w:t>Existen diversos estudios relacionados con las acciones del Estado en torno a la vivienda: por un lado, aquellos que describen estadísticas y políticas desarrolladas en México en distintos periodos de tiempo Maycotte (2010), Cortés (2006), Puebla (2001), Schteingart (1978), entre otros; por otro lado, estudios referentes a los aspectos sociales que se generan en materia de desarrollo de vivienda formal o informal, así como al espacio urbano, los impactos positivos o negativos de la producción de vivienda Jiménez (2015), González (2011), Soto (2003), finalmente, encontramos trabajos académicos referentes al sector de la banca Méndez (2012), Balbo (2003), Carrillo (2014), González (2011), Rojas </w:t>
      </w:r>
      <w:r>
        <w:rPr>
          <w:i/>
        </w:rPr>
        <w:t>et. al. </w:t>
      </w:r>
      <w:r>
        <w:rPr/>
        <w:t>(2013), o bien firmas como (BBVA Research (2012), Ernst &amp; Young (2011), KPMG (2012), quienes abordan análisis respecto a los promotores inmobiliarios que representan la iniciativa privada; sin embargo, todos éstos no abordan de manera integral la participación y relación directa que tienen los agentes que intervienen en la producción de la vivienda: Estado, iniciativa privada y sociedad y mucho menos un estudio integral de la sustentabilidad de los proyectos habitacionales a través de la figura de conjunto urbano, motivo de estudio de la presente investigación.</w:t>
      </w:r>
    </w:p>
    <w:p>
      <w:pPr>
        <w:pStyle w:val="BodyText"/>
        <w:spacing w:line="360" w:lineRule="auto" w:before="122"/>
        <w:ind w:left="268" w:right="231"/>
        <w:jc w:val="both"/>
      </w:pPr>
      <w:r>
        <w:rPr/>
        <w:t>Con el análisis metodológico de la sustentabilidad del territorio: Estado, iniciativa privada y sociedad, se pretende identificar los procesos e incompatibilidades que existen en la promoción, producción y desarrollo de vivienda a fin de contar con una evaluación de los impactos que generan estos tres actores en el territorio, visualizándolo en cuatro ejes: ambiental, social, económico y territorial.</w:t>
      </w:r>
    </w:p>
    <w:p>
      <w:pPr>
        <w:pStyle w:val="BodyText"/>
        <w:spacing w:line="360" w:lineRule="auto" w:before="122"/>
        <w:ind w:left="268" w:right="231"/>
        <w:jc w:val="both"/>
      </w:pPr>
      <w:r>
        <w:rPr/>
        <w:t>Por lo que la hipótesis de la investigación plantea que las acciones de promoción, producción y desarrollo habitacional por parte del Estado y los desarrolladores inmobiliarios a través del conjunto urbano de tipo habitacional se rigen por criterios financieros y se descuidan los aspectos ambientales, sociales, económicos y territoriales, así como las necesidades reales de sus habitantes, contribuyendo al desarrollo de vivienda inadecuada carente de perspectiva de sustentabilidad.</w:t>
      </w:r>
    </w:p>
    <w:p>
      <w:pPr>
        <w:spacing w:after="0" w:line="360" w:lineRule="auto"/>
        <w:jc w:val="both"/>
        <w:sectPr>
          <w:footerReference w:type="default" r:id="rId25"/>
          <w:pgSz w:w="12240" w:h="15840"/>
          <w:pgMar w:footer="1066" w:header="730" w:top="1320" w:bottom="1260" w:left="1720" w:right="1180"/>
          <w:pgNumType w:start="31"/>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936" from="93.199997pt,-19.614155pt" to="546.799997pt,-19.614155pt" stroked="true" strokeweight=".479981pt" strokecolor="#000000">
            <w10:wrap type="none"/>
          </v:line>
        </w:pict>
      </w:r>
      <w:r>
        <w:rPr/>
        <w:t>El objetivo general de la investigación consiste en evaluar los conjuntos urbanos autorizados en el municipio de Calimaya mediante la obtención del índice de sustentabilidad de conjuntos urbanos para el Estado de México.</w:t>
      </w:r>
    </w:p>
    <w:p>
      <w:pPr>
        <w:pStyle w:val="BodyText"/>
        <w:spacing w:before="122"/>
        <w:ind w:left="268"/>
        <w:jc w:val="both"/>
      </w:pPr>
      <w:r>
        <w:rPr/>
        <w:t>Para tal efecto, los objetivos específicos considerados son los siguientes:</w:t>
      </w:r>
    </w:p>
    <w:p>
      <w:pPr>
        <w:pStyle w:val="BodyText"/>
        <w:spacing w:before="6"/>
        <w:rPr>
          <w:sz w:val="22"/>
        </w:rPr>
      </w:pPr>
    </w:p>
    <w:p>
      <w:pPr>
        <w:pStyle w:val="ListParagraph"/>
        <w:numPr>
          <w:ilvl w:val="0"/>
          <w:numId w:val="5"/>
        </w:numPr>
        <w:tabs>
          <w:tab w:pos="989" w:val="left" w:leader="none"/>
        </w:tabs>
        <w:spacing w:line="355" w:lineRule="auto" w:before="1" w:after="0"/>
        <w:ind w:left="988" w:right="231" w:hanging="360"/>
        <w:jc w:val="both"/>
        <w:rPr>
          <w:sz w:val="24"/>
        </w:rPr>
      </w:pPr>
      <w:r>
        <w:rPr>
          <w:sz w:val="24"/>
        </w:rPr>
        <w:t>Integrar el marco de referencia teórico, conceptual y metodológico de la investigación, tomando como variables de estudio la vivienda, el territorio y la sustentabilidad.</w:t>
      </w:r>
    </w:p>
    <w:p>
      <w:pPr>
        <w:pStyle w:val="ListParagraph"/>
        <w:numPr>
          <w:ilvl w:val="0"/>
          <w:numId w:val="5"/>
        </w:numPr>
        <w:tabs>
          <w:tab w:pos="989" w:val="left" w:leader="none"/>
        </w:tabs>
        <w:spacing w:line="357" w:lineRule="auto" w:before="11" w:after="0"/>
        <w:ind w:left="988" w:right="231" w:hanging="360"/>
        <w:jc w:val="both"/>
        <w:rPr>
          <w:sz w:val="24"/>
        </w:rPr>
      </w:pPr>
      <w:r>
        <w:rPr>
          <w:sz w:val="24"/>
        </w:rPr>
        <w:t>Formular un modelo metodológico para el análisis de la sustentabilidad del territorio y la producción de vivienda formal mediante la construcción de un sistema de indicadores para medir y evaluar la sustentabilidad de la vivienda formal que se promociona, produce y</w:t>
      </w:r>
      <w:r>
        <w:rPr>
          <w:spacing w:val="-1"/>
          <w:sz w:val="24"/>
        </w:rPr>
        <w:t> </w:t>
      </w:r>
      <w:r>
        <w:rPr>
          <w:sz w:val="24"/>
        </w:rPr>
        <w:t>desarrolla.</w:t>
      </w:r>
    </w:p>
    <w:p>
      <w:pPr>
        <w:pStyle w:val="ListParagraph"/>
        <w:numPr>
          <w:ilvl w:val="0"/>
          <w:numId w:val="5"/>
        </w:numPr>
        <w:tabs>
          <w:tab w:pos="989" w:val="left" w:leader="none"/>
        </w:tabs>
        <w:spacing w:line="357" w:lineRule="auto" w:before="3" w:after="0"/>
        <w:ind w:left="988" w:right="231" w:hanging="360"/>
        <w:jc w:val="both"/>
        <w:rPr>
          <w:sz w:val="24"/>
        </w:rPr>
      </w:pPr>
      <w:r>
        <w:rPr>
          <w:sz w:val="24"/>
        </w:rPr>
        <w:t>Analizar la conceptualización y aplicación de la sustentabilidad en el proceso de promoción, producción y desarrollo de vivienda formal mediante la figura de conjunto urbano habitacional en el Estado de México y como caso de estudio el municipio de</w:t>
      </w:r>
      <w:r>
        <w:rPr>
          <w:spacing w:val="-3"/>
          <w:sz w:val="24"/>
        </w:rPr>
        <w:t> </w:t>
      </w:r>
      <w:r>
        <w:rPr>
          <w:sz w:val="24"/>
        </w:rPr>
        <w:t>Calimaya.</w:t>
      </w:r>
    </w:p>
    <w:p>
      <w:pPr>
        <w:pStyle w:val="ListParagraph"/>
        <w:numPr>
          <w:ilvl w:val="0"/>
          <w:numId w:val="5"/>
        </w:numPr>
        <w:tabs>
          <w:tab w:pos="989" w:val="left" w:leader="none"/>
        </w:tabs>
        <w:spacing w:line="357" w:lineRule="auto" w:before="3" w:after="0"/>
        <w:ind w:left="988" w:right="233" w:hanging="360"/>
        <w:jc w:val="both"/>
        <w:rPr>
          <w:sz w:val="24"/>
        </w:rPr>
      </w:pPr>
      <w:r>
        <w:rPr>
          <w:sz w:val="24"/>
        </w:rPr>
        <w:t>Aplicar el modelo metodológico de sistema de indicadores para la medición y evaluación de la sustentabilidad del territorio y la producción de vivienda formal que se realiza a través de los conjuntos urbanos habitacionales desarrollados en el municipio de Calimaya, Estado de México, para determinar si estos son sustentables.</w:t>
      </w:r>
    </w:p>
    <w:p>
      <w:pPr>
        <w:pStyle w:val="BodyText"/>
        <w:spacing w:line="360" w:lineRule="auto" w:before="125"/>
        <w:ind w:left="268" w:right="231"/>
        <w:jc w:val="both"/>
      </w:pPr>
      <w:r>
        <w:rPr/>
        <w:t>El municipio de Calimaya en comparación con otros municipios de la Zona Metropolitana de Toluca (ZMT) observa diversos factores como la continuidad del proceso de urbanización y conurbación al sur-oste de la ZMT en especial los municipios de Toluca y Metepec.</w:t>
      </w:r>
    </w:p>
    <w:p>
      <w:pPr>
        <w:pStyle w:val="BodyText"/>
        <w:spacing w:before="122"/>
        <w:ind w:left="268"/>
        <w:jc w:val="both"/>
      </w:pPr>
      <w:r>
        <w:rPr/>
        <w:t>El territorio urbano en el municipio de Calimaya se ha incrementado en los  últimos</w:t>
      </w:r>
    </w:p>
    <w:p>
      <w:pPr>
        <w:pStyle w:val="BodyText"/>
        <w:spacing w:line="360" w:lineRule="auto" w:before="137"/>
        <w:ind w:left="268" w:right="231"/>
        <w:jc w:val="both"/>
      </w:pPr>
      <w:r>
        <w:rPr/>
        <w:t>13 años dicho aumento de territorio urbanizado se debe a la autorización de 11,837 viviendas que continúan su desarrollo a través de la figura de conjunto urbano, estos proyectos habitacionales se encuentran vigentes tanto en su atutorización como en su proceso de construcción.</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960" from="93.199997pt,-19.614155pt" to="546.799997pt,-19.614155pt" stroked="true" strokeweight=".479981pt" strokecolor="#000000">
            <w10:wrap type="none"/>
          </v:line>
        </w:pict>
      </w:r>
      <w:r>
        <w:rPr/>
        <w:t>Otro factor relevante de Calimaya es que ocupa el cuarto lugar de los 15 municipios que conforman la ZMT con mayor porcentaje de territorio incorporado  al uso de suelo urbano, adicionalmente existe una conexión y continuidad con los municipios de Toluca y Mepetec a través de una vialidad regional.</w:t>
      </w:r>
    </w:p>
    <w:p>
      <w:pPr>
        <w:pStyle w:val="BodyText"/>
        <w:spacing w:line="360" w:lineRule="auto" w:before="127"/>
        <w:ind w:left="268" w:right="231"/>
        <w:jc w:val="both"/>
      </w:pPr>
      <w:r>
        <w:rPr/>
        <w:t>El método que se desarrolló para la investigación abordó una serie de técnicas de investigación universalmente aceptados para la obtención del aporte al conocimiento científico dentro del área del urbanismo. Con esta óptica se aplicó el método hipotético-deductivo, atendiendo las fases de observación, planteamiento de hipótesis y deducción de conclusiones, partiendo de conocimientos previos y la verificación los datos obtenidos y su análisis que permitieron generar respuestas.</w:t>
      </w:r>
    </w:p>
    <w:p>
      <w:pPr>
        <w:pStyle w:val="BodyText"/>
        <w:spacing w:line="360" w:lineRule="auto" w:before="122"/>
        <w:ind w:left="268" w:right="231"/>
        <w:jc w:val="both"/>
      </w:pPr>
      <w:r>
        <w:rPr/>
        <w:t>Asimismo, se consideró importante utilizar el método empírico-analítico, buscando realizar reflexiones analíticas respecto al conocimiento empírico en el estudio de la vivienda, la sustentabilidad y el territorio, mediante la correlación de los datos obtenidos en gabinete y campo, con el objetivo de construir el aporte de la metodología.</w:t>
      </w:r>
    </w:p>
    <w:p>
      <w:pPr>
        <w:pStyle w:val="BodyText"/>
        <w:spacing w:line="360" w:lineRule="auto" w:before="122"/>
        <w:ind w:left="268" w:right="231"/>
        <w:jc w:val="both"/>
      </w:pPr>
      <w:r>
        <w:rPr/>
        <w:t>En el ámbito territorial el estudio contempla el análisis de los datos respecto a tres órdenes de gobierno que son el federal, estatal y municipal, para ello se delimitó la investigación al Estado de México y como caso de estudio el municipio de Calimaya, considerando los elementos necesarios en un carácter federal, pero asimilando las generalidades del mismo en el caso de estudio.</w:t>
      </w:r>
    </w:p>
    <w:p>
      <w:pPr>
        <w:pStyle w:val="BodyText"/>
        <w:spacing w:line="360" w:lineRule="auto" w:before="122"/>
        <w:ind w:left="268" w:right="231"/>
        <w:jc w:val="both"/>
      </w:pPr>
      <w:r>
        <w:rPr/>
        <w:t>La temporalidad de la investigación comprende el periodo 2002 – 2015, de igual modo se consideraron los sucesos que acontecieron en el proceso de la investigación. Este periodo de 13 años obedece a la normatividad vigente y operativa que regula las acciones de los desarrolladores inmobiliarios y los procesos administrativos y de control de las dependencias del Gobierno del Estado de México, ya que en el año 2002 entró en vigor el Código Administrativo del Estado de México y el Libro Quinto: del Ordenamiento Territorial de los Asentamientos Humanos y del Desarrollo Urbano de los centros de población, así como su reglamento, con esta normatividad se crea la figura de Conjunto Urbano tema de interés de esta</w:t>
      </w:r>
      <w:r>
        <w:rPr>
          <w:spacing w:val="-5"/>
        </w:rPr>
        <w:t> </w:t>
      </w:r>
      <w:r>
        <w:rPr/>
        <w:t>investigación.</w:t>
      </w:r>
    </w:p>
    <w:p>
      <w:pPr>
        <w:spacing w:after="0" w:line="360" w:lineRule="auto"/>
        <w:jc w:val="both"/>
        <w:sectPr>
          <w:pgSz w:w="12240" w:h="15840"/>
          <w:pgMar w:header="730" w:footer="1066" w:top="1320" w:bottom="1260" w:left="1720" w:right="1180"/>
        </w:sectPr>
      </w:pPr>
    </w:p>
    <w:p>
      <w:pPr>
        <w:pStyle w:val="BodyText"/>
        <w:rPr>
          <w:sz w:val="20"/>
        </w:rPr>
      </w:pPr>
    </w:p>
    <w:p>
      <w:pPr>
        <w:pStyle w:val="BodyText"/>
        <w:rPr>
          <w:sz w:val="20"/>
        </w:rPr>
      </w:pPr>
    </w:p>
    <w:p>
      <w:pPr>
        <w:pStyle w:val="BodyText"/>
        <w:spacing w:before="5"/>
      </w:pPr>
    </w:p>
    <w:p>
      <w:pPr>
        <w:pStyle w:val="BodyText"/>
        <w:spacing w:line="360" w:lineRule="auto" w:before="69"/>
        <w:ind w:left="268" w:right="231"/>
        <w:jc w:val="both"/>
      </w:pPr>
      <w:r>
        <w:rPr/>
        <w:pict>
          <v:line style="position:absolute;mso-position-horizontal-relative:page;mso-position-vertical-relative:paragraph;z-index:2008" from="93.199997pt,-46.254108pt" to="546.799997pt,-46.254108pt" stroked="true" strokeweight=".479981pt" strokecolor="#000000">
            <w10:wrap type="none"/>
          </v:line>
        </w:pict>
      </w:r>
      <w:r>
        <w:rPr/>
        <w:t>La investigación se considera de tipo mixta ya que se desarrolla desde dos vertientes: una teórica y una empírica con valor agregado de experiencia en el sector a investigar, así como estudios previos, y en el uso, aplicación de los estudios y conocimientos adquiridos en el campo del urbanismo.</w:t>
      </w:r>
    </w:p>
    <w:p>
      <w:pPr>
        <w:pStyle w:val="BodyText"/>
        <w:spacing w:line="352" w:lineRule="auto" w:before="122"/>
        <w:ind w:left="268" w:right="230"/>
        <w:jc w:val="both"/>
      </w:pPr>
      <w:r>
        <w:rPr/>
        <w:t>La investigación es de tipo mixto, que incluye lo cuantitativo, cualitativo y de  diseño no experimental.</w:t>
      </w:r>
      <w:r>
        <w:rPr>
          <w:position w:val="11"/>
          <w:sz w:val="16"/>
        </w:rPr>
        <w:t>2 </w:t>
      </w:r>
      <w:r>
        <w:rPr/>
        <w:t>Cuantitativa porque utiliza datos de la población beneficiada de acuerdo al tamaño de la población y muestra dentro del municipio. Cualitativa porque incluye entrevistas y encuestas aplicadas para la obtención de datos de la población muestra dentro del caso de estudio. No experimental</w:t>
      </w:r>
      <w:r>
        <w:rPr>
          <w:position w:val="11"/>
          <w:sz w:val="16"/>
        </w:rPr>
        <w:t>3  </w:t>
      </w:r>
      <w:r>
        <w:rPr/>
        <w:t>porque no se manipulan deliberadamente las variables, se observan y analizan los resultados tal y como se dieron en su contexto, para después valorarlos. No se tiene control directo sobre dichas variables, ni puede influir sobre ellas, porque ya sucedieron, al igual que sus efectos.</w:t>
      </w:r>
    </w:p>
    <w:p>
      <w:pPr>
        <w:pStyle w:val="BodyText"/>
        <w:spacing w:line="360" w:lineRule="auto" w:before="131"/>
        <w:ind w:left="268" w:right="233"/>
        <w:jc w:val="both"/>
      </w:pPr>
      <w:r>
        <w:rPr/>
        <w:t>La investigación comprendió cinco fases en las que se utilizaron distintas técnicas de investigación que se describen en el capítulo 2 de la tesis, el desarrollo de etapas permitió alcanzar los objetivos planteados, a continuación, se describe brevemente cada una de ellas.</w:t>
      </w:r>
    </w:p>
    <w:p>
      <w:pPr>
        <w:pStyle w:val="BodyText"/>
        <w:spacing w:line="360" w:lineRule="auto" w:before="122"/>
        <w:ind w:left="268" w:right="231"/>
        <w:jc w:val="both"/>
      </w:pPr>
      <w:r>
        <w:rPr/>
        <w:pict>
          <v:line style="position:absolute;mso-position-horizontal-relative:page;mso-position-vertical-relative:paragraph;z-index:1984;mso-wrap-distance-left:0;mso-wrap-distance-right:0" from="99.440002pt,173.595856pt" to="243.440002pt,173.595856pt" stroked="true" strokeweight=".479996pt" strokecolor="#000000">
            <w10:wrap type="topAndBottom"/>
          </v:line>
        </w:pict>
      </w:r>
      <w:r>
        <w:rPr/>
        <w:t>La fase 1. (Teórica) Marco de referencia teórico, variables teóricas y modelo metodológico, comprendió la formulación del protocolo de investigación y consistió en la revisión y análisis de la literatura especializada, a través de la recolección de bibliografía, antecedentes del tema, estado de arte, permitiendo guiar la investigación, buscando integrar y estructurar el marco de referencia teórico y la metodología que lo sustenta a partir de autores como: Schteingart  y  Patiño (2006), Connolly (2006), Castro, Coulomb, León y Puebla (2006), Maya (2008), Eibenshutz y Goya (2009) y de instituciones tales como la Secretaría de Desarrollo</w:t>
      </w:r>
    </w:p>
    <w:p>
      <w:pPr>
        <w:pStyle w:val="BodyText"/>
        <w:spacing w:before="1"/>
        <w:rPr>
          <w:sz w:val="20"/>
        </w:rPr>
      </w:pPr>
    </w:p>
    <w:p>
      <w:pPr>
        <w:spacing w:line="252" w:lineRule="auto" w:before="84"/>
        <w:ind w:left="268" w:right="0" w:firstLine="0"/>
        <w:jc w:val="left"/>
        <w:rPr>
          <w:sz w:val="19"/>
        </w:rPr>
      </w:pPr>
      <w:r>
        <w:rPr>
          <w:w w:val="105"/>
          <w:position w:val="10"/>
          <w:sz w:val="13"/>
        </w:rPr>
        <w:t>2 </w:t>
      </w:r>
      <w:r>
        <w:rPr>
          <w:w w:val="105"/>
          <w:sz w:val="19"/>
        </w:rPr>
        <w:t>Conceptos de Hernández-Sampieri (2010) para definir la investigación de tipo cuantitativa, la no experimental y el de longitudinal de tendencia.</w:t>
      </w:r>
    </w:p>
    <w:p>
      <w:pPr>
        <w:spacing w:line="220" w:lineRule="exact" w:before="0"/>
        <w:ind w:left="268" w:right="0" w:firstLine="0"/>
        <w:jc w:val="left"/>
        <w:rPr>
          <w:sz w:val="19"/>
        </w:rPr>
      </w:pPr>
      <w:r>
        <w:rPr>
          <w:w w:val="105"/>
          <w:position w:val="10"/>
          <w:sz w:val="13"/>
        </w:rPr>
        <w:t>3  </w:t>
      </w:r>
      <w:r>
        <w:rPr>
          <w:w w:val="105"/>
          <w:sz w:val="19"/>
        </w:rPr>
        <w:t>En la investigación no experimental se estará más cerca de las variables hipotetizadas como</w:t>
      </w:r>
    </w:p>
    <w:p>
      <w:pPr>
        <w:spacing w:line="252" w:lineRule="auto" w:before="12"/>
        <w:ind w:left="268" w:right="241" w:firstLine="0"/>
        <w:jc w:val="left"/>
        <w:rPr>
          <w:sz w:val="19"/>
        </w:rPr>
      </w:pPr>
      <w:r>
        <w:rPr>
          <w:w w:val="105"/>
          <w:sz w:val="19"/>
        </w:rPr>
        <w:t>"reales" y, en consecuencia, se tendrá mayor validez externa (posibilidad de generalizar los resultados a otros individuos y situaciones cotidianas). (Hernández-Sampieri, 2010)</w:t>
      </w:r>
    </w:p>
    <w:p>
      <w:pPr>
        <w:spacing w:after="0" w:line="252" w:lineRule="auto"/>
        <w:jc w:val="left"/>
        <w:rPr>
          <w:sz w:val="19"/>
        </w:rPr>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2032" from="93.199997pt,-19.614155pt" to="546.799997pt,-19.614155pt" stroked="true" strokeweight=".479981pt" strokecolor="#000000">
            <w10:wrap type="none"/>
          </v:line>
        </w:pict>
      </w:r>
      <w:r>
        <w:rPr/>
        <w:t>Urbano y Ecología (SEDUE), la Secretaría de Medio Ambiente, Recursos Naturales y Pesca (SEMARNAP), la Secretaría de Desarrollo Agrario, Territorial y Urbano (SEDATU) y el Instituto del Fondo Nacional de la Vivienda para los Trabajadores</w:t>
      </w:r>
      <w:r>
        <w:rPr>
          <w:spacing w:val="-1"/>
        </w:rPr>
        <w:t> </w:t>
      </w:r>
      <w:r>
        <w:rPr/>
        <w:t>(INFONAVIT).</w:t>
      </w:r>
    </w:p>
    <w:p>
      <w:pPr>
        <w:pStyle w:val="BodyText"/>
        <w:spacing w:line="360" w:lineRule="auto" w:before="127"/>
        <w:ind w:left="268" w:right="231"/>
        <w:jc w:val="both"/>
      </w:pPr>
      <w:r>
        <w:rPr/>
        <w:t>En la fase 2 y 3 (datos estadísticos) se realizó el análisis de las acciones y fenómenos de las variables a estudiar, se partió de la recolección, organización, estructuración y análisis de los datos obtenidos para realizar el contraste metodológico de la teoría y el empirismo, a través del proceso de los datos obtenidos, construyendo el método para evaluar la sustentabilidad por medio de índices de sustentabilidad, generando con esto la aportación de la metodología.</w:t>
      </w:r>
    </w:p>
    <w:p>
      <w:pPr>
        <w:pStyle w:val="BodyText"/>
        <w:spacing w:line="360" w:lineRule="auto" w:before="122"/>
        <w:ind w:left="268" w:right="231"/>
        <w:jc w:val="both"/>
      </w:pPr>
      <w:r>
        <w:rPr/>
        <w:t>La fase 4 (Social = trabajo de campo) considera el trabajo de campo; en una primera etapa se aplicó una prueba piloto para la obtención de datos cualitativos y cuantitativos, a través de entrevistas aleatorias no planeadas lo que permitió estructurar un sistema de tablero de indicadores para el manejo y homologación  de la información en el universo estudiado.</w:t>
      </w:r>
    </w:p>
    <w:p>
      <w:pPr>
        <w:pStyle w:val="BodyText"/>
        <w:spacing w:line="360" w:lineRule="auto" w:before="122"/>
        <w:ind w:left="268" w:right="231"/>
        <w:jc w:val="both"/>
      </w:pPr>
      <w:r>
        <w:rPr/>
        <w:t>Finalmente, la fase 5 de la investigación comprendió el análisis e interpretación de los resultados obtenidos a partir de ejercicios de corte estadístico para mostrar de una manera sencilla y específica de manera gráfica los datos obtenidos.  Se trabajó con Excel y ArcGis para elaboración de los gráficos y mapas.</w:t>
      </w:r>
    </w:p>
    <w:p>
      <w:pPr>
        <w:spacing w:after="0" w:line="360" w:lineRule="auto"/>
        <w:jc w:val="both"/>
        <w:sectPr>
          <w:pgSz w:w="12240" w:h="15840"/>
          <w:pgMar w:header="730" w:footer="1066" w:top="1320" w:bottom="1260" w:left="1720" w:right="1180"/>
        </w:sectPr>
      </w:pPr>
    </w:p>
    <w:p>
      <w:pPr>
        <w:pStyle w:val="BodyText"/>
        <w:rPr>
          <w:rFonts w:ascii="Times New Roman"/>
          <w:sz w:val="20"/>
        </w:rPr>
      </w:pPr>
      <w:r>
        <w:rPr/>
        <w:pict>
          <v:line style="position:absolute;mso-position-horizontal-relative:page;mso-position-vertical-relative:page;z-index:2104" from="93.199997pt,57.080009pt" to="546.799997pt,57.080009pt" stroked="true" strokeweight=".479981pt" strokecolor="#000000">
            <w10:wrap type="none"/>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7"/>
        </w:rPr>
      </w:pPr>
    </w:p>
    <w:p>
      <w:pPr>
        <w:pStyle w:val="BodyText"/>
        <w:ind w:left="100"/>
        <w:rPr>
          <w:rFonts w:ascii="Times New Roman"/>
          <w:sz w:val="20"/>
        </w:rPr>
      </w:pPr>
      <w:r>
        <w:rPr>
          <w:rFonts w:ascii="Times New Roman"/>
          <w:sz w:val="20"/>
        </w:rPr>
        <w:pict>
          <v:group style="width:584pt;height:387.4pt;mso-position-horizontal-relative:char;mso-position-vertical-relative:line" coordorigin="0,0" coordsize="11680,7748">
            <v:shape style="position:absolute;left:82;top:0;width:11597;height:7747" type="#_x0000_t75" stroked="false">
              <v:imagedata r:id="rId26" o:title=""/>
            </v:shape>
            <v:shape style="position:absolute;left:0;top:2045;width:11680;height:3720" type="#_x0000_t75" stroked="false">
              <v:imagedata r:id="rId27" o:title=""/>
            </v:shape>
            <v:shape style="position:absolute;left:0;top:0;width:11680;height:7748" type="#_x0000_t202" filled="false" stroked="false">
              <v:textbox inset="0,0,0,0">
                <w:txbxContent>
                  <w:p>
                    <w:pPr>
                      <w:spacing w:line="240" w:lineRule="auto" w:before="0"/>
                      <w:rPr>
                        <w:rFonts w:ascii="Times New Roman"/>
                        <w:sz w:val="24"/>
                      </w:rPr>
                    </w:pPr>
                  </w:p>
                  <w:p>
                    <w:pPr>
                      <w:spacing w:line="240" w:lineRule="auto" w:before="0"/>
                      <w:rPr>
                        <w:rFonts w:ascii="Times New Roman"/>
                        <w:sz w:val="24"/>
                      </w:rPr>
                    </w:pPr>
                  </w:p>
                  <w:p>
                    <w:pPr>
                      <w:spacing w:line="240" w:lineRule="auto" w:before="0"/>
                      <w:rPr>
                        <w:rFonts w:ascii="Times New Roman"/>
                        <w:sz w:val="24"/>
                      </w:rPr>
                    </w:pPr>
                  </w:p>
                  <w:p>
                    <w:pPr>
                      <w:spacing w:line="240" w:lineRule="auto" w:before="0"/>
                      <w:rPr>
                        <w:rFonts w:ascii="Times New Roman"/>
                        <w:sz w:val="24"/>
                      </w:rPr>
                    </w:pPr>
                  </w:p>
                  <w:p>
                    <w:pPr>
                      <w:spacing w:line="240" w:lineRule="auto" w:before="0"/>
                      <w:rPr>
                        <w:rFonts w:ascii="Times New Roman"/>
                        <w:sz w:val="24"/>
                      </w:rPr>
                    </w:pPr>
                  </w:p>
                  <w:p>
                    <w:pPr>
                      <w:spacing w:line="240" w:lineRule="auto" w:before="0"/>
                      <w:rPr>
                        <w:rFonts w:ascii="Times New Roman"/>
                        <w:sz w:val="24"/>
                      </w:rPr>
                    </w:pPr>
                  </w:p>
                  <w:p>
                    <w:pPr>
                      <w:spacing w:line="240" w:lineRule="auto" w:before="0"/>
                      <w:rPr>
                        <w:rFonts w:ascii="Times New Roman"/>
                        <w:sz w:val="24"/>
                      </w:rPr>
                    </w:pPr>
                  </w:p>
                  <w:p>
                    <w:pPr>
                      <w:spacing w:line="240" w:lineRule="auto" w:before="0"/>
                      <w:rPr>
                        <w:rFonts w:ascii="Times New Roman"/>
                        <w:sz w:val="24"/>
                      </w:rPr>
                    </w:pPr>
                  </w:p>
                  <w:p>
                    <w:pPr>
                      <w:spacing w:line="240" w:lineRule="auto" w:before="0"/>
                      <w:rPr>
                        <w:rFonts w:ascii="Times New Roman"/>
                        <w:sz w:val="24"/>
                      </w:rPr>
                    </w:pPr>
                  </w:p>
                  <w:p>
                    <w:pPr>
                      <w:spacing w:line="240" w:lineRule="auto" w:before="0"/>
                      <w:rPr>
                        <w:rFonts w:ascii="Times New Roman"/>
                        <w:sz w:val="24"/>
                      </w:rPr>
                    </w:pPr>
                  </w:p>
                  <w:p>
                    <w:pPr>
                      <w:spacing w:line="240" w:lineRule="auto" w:before="1"/>
                      <w:rPr>
                        <w:rFonts w:ascii="Times New Roman"/>
                        <w:sz w:val="35"/>
                      </w:rPr>
                    </w:pPr>
                  </w:p>
                  <w:p>
                    <w:pPr>
                      <w:spacing w:before="0"/>
                      <w:ind w:left="1748" w:right="1650" w:firstLine="0"/>
                      <w:jc w:val="center"/>
                      <w:rPr>
                        <w:b/>
                        <w:sz w:val="24"/>
                      </w:rPr>
                    </w:pPr>
                    <w:r>
                      <w:rPr>
                        <w:b/>
                        <w:sz w:val="24"/>
                      </w:rPr>
                      <w:t>Capítulo 1</w:t>
                    </w:r>
                  </w:p>
                  <w:p>
                    <w:pPr>
                      <w:spacing w:line="240" w:lineRule="auto" w:before="3"/>
                      <w:rPr>
                        <w:rFonts w:ascii="Times New Roman"/>
                        <w:sz w:val="22"/>
                      </w:rPr>
                    </w:pPr>
                  </w:p>
                  <w:p>
                    <w:pPr>
                      <w:spacing w:line="463" w:lineRule="auto" w:before="1"/>
                      <w:ind w:left="1756" w:right="1650" w:firstLine="0"/>
                      <w:jc w:val="center"/>
                      <w:rPr>
                        <w:b/>
                        <w:sz w:val="24"/>
                      </w:rPr>
                    </w:pPr>
                    <w:r>
                      <w:rPr>
                        <w:b/>
                        <w:sz w:val="24"/>
                      </w:rPr>
                      <w:t>Fundamento teórico y conceptual de la producción de la vivienda formal y la sustentabilidad</w:t>
                    </w:r>
                  </w:p>
                </w:txbxContent>
              </v:textbox>
              <w10:wrap type="none"/>
            </v:shape>
          </v:group>
        </w:pict>
      </w:r>
      <w:r>
        <w:rPr>
          <w:rFonts w:ascii="Times New Roman"/>
          <w:sz w:val="20"/>
        </w:rPr>
      </w:r>
    </w:p>
    <w:p>
      <w:pPr>
        <w:spacing w:after="0"/>
        <w:rPr>
          <w:rFonts w:ascii="Times New Roman"/>
          <w:sz w:val="20"/>
        </w:rPr>
        <w:sectPr>
          <w:pgSz w:w="12240" w:h="15840"/>
          <w:pgMar w:header="730" w:footer="1066" w:top="1320" w:bottom="1260" w:left="180" w:right="180"/>
        </w:sectPr>
      </w:pPr>
    </w:p>
    <w:p>
      <w:pPr>
        <w:pStyle w:val="BodyText"/>
        <w:spacing w:before="1"/>
        <w:rPr>
          <w:rFonts w:ascii="Times New Roman"/>
          <w:sz w:val="18"/>
        </w:rPr>
      </w:pPr>
    </w:p>
    <w:p>
      <w:pPr>
        <w:pStyle w:val="Heading4"/>
        <w:spacing w:line="276" w:lineRule="auto"/>
        <w:ind w:right="306"/>
      </w:pPr>
      <w:r>
        <w:rPr/>
        <w:pict>
          <v:line style="position:absolute;mso-position-horizontal-relative:page;mso-position-vertical-relative:paragraph;z-index:2128" from="93.199997pt,-19.614155pt" to="546.799997pt,-19.614155pt" stroked="true" strokeweight=".479981pt" strokecolor="#000000">
            <w10:wrap type="none"/>
          </v:line>
        </w:pict>
      </w:r>
      <w:r>
        <w:rPr/>
        <w:t>Capítulo 1. Fundamento teórico y conceptual de la producción de la vivienda formal y la sustentabilidad</w:t>
      </w:r>
    </w:p>
    <w:p>
      <w:pPr>
        <w:pStyle w:val="BodyText"/>
        <w:rPr>
          <w:b/>
        </w:rPr>
      </w:pPr>
    </w:p>
    <w:p>
      <w:pPr>
        <w:pStyle w:val="BodyText"/>
        <w:spacing w:line="360" w:lineRule="auto" w:before="204"/>
        <w:ind w:left="268" w:right="231"/>
        <w:jc w:val="both"/>
      </w:pPr>
      <w:r>
        <w:rPr/>
        <w:t>El objetivo del presente capítulo es integrar el marco de referencia teórico, conceptual y metodológico de la investigación, tomando como variables de estudio la vivienda, el territorio y la sustentabilidad, así como estudiar y retomar los enfoques teóricos relacionados con la promoción, producción y desarrollo de la vivienda formal y la sustentabilidad analizados por estudiosos que han abordado estas variables considerando la participación del Estado; entendiendo éste como agente normativo-administrativo y delimitando el estudio del mismo, a las instancias, dependencias y normas, relacionados con el territorio y la vivienda. La iniciativa privada; comprende la organización y forma de trabajo de las empresas desarrolladoras de vivienda, así como los gremios que la conforman para analizar la relación que existe con el Estado y finalmente, la sociedad; considerando la población que reside en un determinado territorio.</w:t>
      </w:r>
    </w:p>
    <w:p>
      <w:pPr>
        <w:pStyle w:val="BodyText"/>
      </w:pPr>
    </w:p>
    <w:p>
      <w:pPr>
        <w:pStyle w:val="BodyText"/>
      </w:pPr>
    </w:p>
    <w:p>
      <w:pPr>
        <w:pStyle w:val="Heading4"/>
        <w:numPr>
          <w:ilvl w:val="1"/>
          <w:numId w:val="6"/>
        </w:numPr>
        <w:tabs>
          <w:tab w:pos="803" w:val="left" w:leader="none"/>
        </w:tabs>
        <w:spacing w:line="240" w:lineRule="auto" w:before="185" w:after="0"/>
        <w:ind w:left="802" w:right="0" w:hanging="467"/>
        <w:jc w:val="both"/>
      </w:pPr>
      <w:r>
        <w:rPr/>
        <w:t>La triada disfuncional de la promoción habitacional</w:t>
      </w:r>
    </w:p>
    <w:p>
      <w:pPr>
        <w:pStyle w:val="BodyText"/>
        <w:rPr>
          <w:b/>
        </w:rPr>
      </w:pPr>
    </w:p>
    <w:p>
      <w:pPr>
        <w:pStyle w:val="BodyText"/>
        <w:spacing w:before="2"/>
        <w:rPr>
          <w:b/>
          <w:sz w:val="34"/>
        </w:rPr>
      </w:pPr>
    </w:p>
    <w:p>
      <w:pPr>
        <w:pStyle w:val="Heading5"/>
        <w:numPr>
          <w:ilvl w:val="2"/>
          <w:numId w:val="6"/>
        </w:numPr>
        <w:tabs>
          <w:tab w:pos="936" w:val="left" w:leader="none"/>
        </w:tabs>
        <w:spacing w:line="240" w:lineRule="auto" w:before="0" w:after="0"/>
        <w:ind w:left="935" w:right="0" w:hanging="667"/>
        <w:jc w:val="both"/>
        <w:rPr>
          <w:i/>
        </w:rPr>
      </w:pPr>
      <w:r>
        <w:rPr>
          <w:i/>
        </w:rPr>
        <w:t>La participación del</w:t>
      </w:r>
      <w:r>
        <w:rPr>
          <w:i/>
          <w:spacing w:val="-2"/>
        </w:rPr>
        <w:t> </w:t>
      </w:r>
      <w:r>
        <w:rPr>
          <w:i/>
        </w:rPr>
        <w:t>Estado</w:t>
      </w:r>
    </w:p>
    <w:p>
      <w:pPr>
        <w:pStyle w:val="BodyText"/>
        <w:rPr>
          <w:b/>
          <w:i/>
        </w:rPr>
      </w:pPr>
    </w:p>
    <w:p>
      <w:pPr>
        <w:pStyle w:val="BodyText"/>
        <w:rPr>
          <w:b/>
          <w:i/>
        </w:rPr>
      </w:pPr>
    </w:p>
    <w:p>
      <w:pPr>
        <w:pStyle w:val="BodyText"/>
        <w:rPr>
          <w:b/>
          <w:i/>
          <w:sz w:val="29"/>
        </w:rPr>
      </w:pPr>
    </w:p>
    <w:p>
      <w:pPr>
        <w:pStyle w:val="BodyText"/>
        <w:spacing w:line="360" w:lineRule="auto"/>
        <w:ind w:left="268" w:right="231"/>
        <w:jc w:val="both"/>
      </w:pPr>
      <w:r>
        <w:rPr/>
        <w:t>El Estado como autoridad, se encarga de regular la promoción, producción y oferta de vivienda formal, refiriendo las aportaciones de Schteingart y Patiño (2006), éste lo hace mediante programas habitacionales a través de un marco legislativo programático e institucional. En tal sentido, el Estado juega un papel primordial en la configuración territorial, como autoridad normativa y reguladora; de las acciones tanto de instituciones que administran y ejecutan la norma, como de la iniciativa privada y de la sociedad.</w:t>
      </w:r>
    </w:p>
    <w:p>
      <w:pPr>
        <w:pStyle w:val="BodyText"/>
        <w:spacing w:line="360" w:lineRule="auto" w:before="127"/>
        <w:ind w:left="268" w:right="231"/>
        <w:jc w:val="both"/>
      </w:pPr>
      <w:r>
        <w:rPr/>
        <w:t>De este modo, y mediante la promoción de políticas habitacionales, programas y planes de desarrollo, bajo un marco normativo en materia de vivienda, se logra</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155880" from="93.199997pt,-19.614155pt" to="546.799997pt,-19.614155pt" stroked="true" strokeweight=".479981pt" strokecolor="#000000">
            <w10:wrap type="none"/>
          </v:line>
        </w:pict>
      </w:r>
      <w:r>
        <w:rPr/>
        <w:t>que la iniciativa privada participe en la promoción y producción de vivienda, a través de instrumentos y mecanismos acotados por las instituciones que regulan la autorización de proyectos habitacionales en el territorio mexicano.</w:t>
      </w:r>
    </w:p>
    <w:p>
      <w:pPr>
        <w:pStyle w:val="BodyText"/>
        <w:spacing w:line="360" w:lineRule="auto" w:before="122"/>
        <w:ind w:left="268" w:right="231"/>
        <w:jc w:val="both"/>
      </w:pPr>
      <w:r>
        <w:rPr/>
        <w:t>Estas instituciones que ejecutan los planes, políticas y programas de desarrollo en materia habitacional, en su mayoría, trabajan con instrumentos obsoletos y modelos aplicados en otros países que en el mejor de los casos se aplican en México de manera tardía; asimismo, debemos tener en cuenta que el Estado trabaja con tres órdenes de gobierno (federal, estatal y municipal) y esto trae consigo la dificultad en la implementación de las políticas de un nivel a otro, en este proceso de permeabilidad pueden pasar cuando menos otro par de años.</w:t>
      </w:r>
    </w:p>
    <w:p>
      <w:pPr>
        <w:pStyle w:val="BodyText"/>
        <w:spacing w:line="360" w:lineRule="auto" w:before="122"/>
        <w:ind w:left="268" w:right="231"/>
        <w:jc w:val="both"/>
      </w:pPr>
      <w:r>
        <w:rPr/>
        <w:t>En todo el proceso normativo que regula el Estado para desarrollo de la participación de la sociedad ha sido mínima o nula o bien, es tomada en cuenta de manera simbólica pero no práctica efectiva y real, al grado de que las acciones habitacionales no satisfacen las necesidades reales de la población. En este punto se puede denotar la existencia de una disfuncionalidad, entre la participación y satisfacción de las necesidades de la sociedad y las medidas implementadas por el Estado que no contemplan la participación activa de la sociedad desde un inicio, en la implementación de la normatividad y las políticas, sino que, “se toma en cuenta a la sociedad” cuando el problema ya está desbordado. Diversos sucesos y hechos sustentan esta problemática, unos de los ejemplos más claros y del dominio público, expuesto en el Vigésimo Quinto Encuentro Nacional de Vivienda, realizado en marzo de 2011 son los cinco millones de viviendas abandonadas a nivel nacional, según datos del Censo de Población y Vivienda 2010 elaborado por el INEGI.</w:t>
      </w:r>
    </w:p>
    <w:p>
      <w:pPr>
        <w:pStyle w:val="BodyText"/>
        <w:spacing w:line="360" w:lineRule="auto" w:before="122"/>
        <w:ind w:left="268" w:right="231"/>
        <w:jc w:val="both"/>
      </w:pPr>
      <w:r>
        <w:rPr/>
        <w:t>Los problemas y crisis generados en torno a la vivienda son propuestos y  resueltos por el binomio (Estado e iniciativa privada), sin considerar las causas reales de los problemas de la sociedad, las necesidades existentes y los problemas que atañen a ésta. Solo se busca generar una política tras otra, en el tema de la vivienda. Que en primer lugar satisfaga las necesidades económicas del</w:t>
      </w:r>
      <w:r>
        <w:rPr>
          <w:spacing w:val="14"/>
        </w:rPr>
        <w:t> </w:t>
      </w:r>
      <w:r>
        <w:rPr/>
        <w:t>Estado,</w:t>
      </w:r>
      <w:r>
        <w:rPr>
          <w:spacing w:val="14"/>
        </w:rPr>
        <w:t> </w:t>
      </w:r>
      <w:r>
        <w:rPr/>
        <w:t>y;</w:t>
      </w:r>
      <w:r>
        <w:rPr>
          <w:spacing w:val="14"/>
        </w:rPr>
        <w:t> </w:t>
      </w:r>
      <w:r>
        <w:rPr/>
        <w:t>en</w:t>
      </w:r>
      <w:r>
        <w:rPr>
          <w:spacing w:val="14"/>
        </w:rPr>
        <w:t> </w:t>
      </w:r>
      <w:r>
        <w:rPr/>
        <w:t>segundo</w:t>
      </w:r>
      <w:r>
        <w:rPr>
          <w:spacing w:val="14"/>
        </w:rPr>
        <w:t> </w:t>
      </w:r>
      <w:r>
        <w:rPr/>
        <w:t>lugar,</w:t>
      </w:r>
      <w:r>
        <w:rPr>
          <w:spacing w:val="14"/>
        </w:rPr>
        <w:t> </w:t>
      </w:r>
      <w:r>
        <w:rPr/>
        <w:t>el</w:t>
      </w:r>
      <w:r>
        <w:rPr>
          <w:spacing w:val="14"/>
        </w:rPr>
        <w:t> </w:t>
      </w:r>
      <w:r>
        <w:rPr/>
        <w:t>bienestar</w:t>
      </w:r>
      <w:r>
        <w:rPr>
          <w:spacing w:val="14"/>
        </w:rPr>
        <w:t> </w:t>
      </w:r>
      <w:r>
        <w:rPr/>
        <w:t>de</w:t>
      </w:r>
      <w:r>
        <w:rPr>
          <w:spacing w:val="14"/>
        </w:rPr>
        <w:t> </w:t>
      </w:r>
      <w:r>
        <w:rPr/>
        <w:t>la</w:t>
      </w:r>
      <w:r>
        <w:rPr>
          <w:spacing w:val="14"/>
        </w:rPr>
        <w:t> </w:t>
      </w:r>
      <w:r>
        <w:rPr/>
        <w:t>élite</w:t>
      </w:r>
      <w:r>
        <w:rPr>
          <w:spacing w:val="14"/>
        </w:rPr>
        <w:t> </w:t>
      </w:r>
      <w:r>
        <w:rPr/>
        <w:t>de</w:t>
      </w:r>
      <w:r>
        <w:rPr>
          <w:spacing w:val="14"/>
        </w:rPr>
        <w:t> </w:t>
      </w:r>
      <w:r>
        <w:rPr/>
        <w:t>la</w:t>
      </w:r>
      <w:r>
        <w:rPr>
          <w:spacing w:val="14"/>
        </w:rPr>
        <w:t> </w:t>
      </w:r>
      <w:r>
        <w:rPr/>
        <w:t>iniciativa</w:t>
      </w:r>
      <w:r>
        <w:rPr>
          <w:spacing w:val="14"/>
        </w:rPr>
        <w:t> </w:t>
      </w:r>
      <w:r>
        <w:rPr/>
        <w:t>privada</w:t>
      </w:r>
      <w:r>
        <w:rPr>
          <w:spacing w:val="14"/>
        </w:rPr>
        <w:t> </w:t>
      </w:r>
      <w:r>
        <w:rPr/>
        <w:t>en</w:t>
      </w:r>
    </w:p>
    <w:p>
      <w:pPr>
        <w:pStyle w:val="BodyText"/>
        <w:spacing w:before="166"/>
        <w:ind w:right="232"/>
        <w:jc w:val="right"/>
      </w:pPr>
      <w:r>
        <w:rPr/>
        <w:t>38</w:t>
      </w:r>
    </w:p>
    <w:p>
      <w:pPr>
        <w:spacing w:after="0"/>
        <w:jc w:val="right"/>
        <w:sectPr>
          <w:headerReference w:type="default" r:id="rId28"/>
          <w:footerReference w:type="default" r:id="rId29"/>
          <w:pgSz w:w="12240" w:h="15840"/>
          <w:pgMar w:header="730" w:footer="0" w:top="1320" w:bottom="28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155856" from="93.199997pt,-19.614155pt" to="546.799997pt,-19.614155pt" stroked="true" strokeweight=".479981pt" strokecolor="#000000">
            <w10:wrap type="none"/>
          </v:line>
        </w:pict>
      </w:r>
      <w:r>
        <w:rPr/>
        <w:t>la que se encuentran los “desarrolladores” inmobiliarios de vivienda y la banca, dejando de lado las necesidades de la sociedad.</w:t>
      </w:r>
    </w:p>
    <w:p>
      <w:pPr>
        <w:pStyle w:val="BodyText"/>
        <w:spacing w:line="360" w:lineRule="auto" w:before="122"/>
        <w:ind w:left="268" w:right="231"/>
        <w:jc w:val="both"/>
      </w:pPr>
      <w:r>
        <w:rPr/>
        <w:t>Un aspecto fundamental en el proceso de producción de la vivienda, ha sido la intervención del Estado Mexicano, que ha intensificado la participación del sector inmobiliario en la producción de vivienda, a través de programas y políticas que favorecen un sistema de mercado capitalista respaldado con financiamiento estatal. La promoción privada habitacional y sus modos de producción ha  resultado en grandes conjuntos habitacionales que, por su tamaño y densidad, equivalen a la conformación territorial de una ciudad, aunque son planeados como fraccionamientos. La vivienda más que un bien de consumo emplazado para otorgar una vida digna a sus propietarios, es una variable financiera indexada que simboliza un motor de activación económica para el país. Como tal, prolifera en localidades que justifican el retorno de la inversión, desdeñando la importancia de su planificación como un recurso estratégico en el desarrollo económico sostenible del mercado interno, y determinante en el crecimiento urbano ordenado dentro del territorio mexicano. (Maya 2008)</w:t>
      </w:r>
    </w:p>
    <w:p>
      <w:pPr>
        <w:pStyle w:val="BodyText"/>
        <w:spacing w:line="360" w:lineRule="auto" w:before="122"/>
        <w:ind w:left="268" w:right="231"/>
        <w:jc w:val="both"/>
      </w:pPr>
      <w:r>
        <w:rPr/>
        <w:t>Las problemáticas crecientes en este modelo urbano desmedido y complaciente  de los intereses económicos del binomio: Estado e Iniciativa privada, como capitalistas, han borrado de la conciencia el desarrollo sano, coherente, planeado, productivo y humanitario de la sociedad, y han contribuido a generar, nuevos fenómenos sociales transgresores, grupos y sectores coercitivos, el crecimiento desmedido de la mancha urbana, la carencia de usos de suelo, la especulación excesiva en los precios de la tierra y de la vivienda; cualquiera que sea su tenencia, la explotación de los mantos acuíferos, la destrucción ambiental, por mencionar algunos.</w:t>
      </w:r>
    </w:p>
    <w:p>
      <w:pPr>
        <w:pStyle w:val="BodyText"/>
        <w:spacing w:line="360" w:lineRule="auto" w:before="127"/>
        <w:ind w:left="268" w:right="231"/>
        <w:jc w:val="both"/>
      </w:pPr>
      <w:r>
        <w:rPr/>
        <w:t>Eibenschutz y Goya (2009) hace referencia a la planeación y modalidades de los proyectos habitacionales como un reflejo de una gestión pública del territorio deficiente, alejada de lógica de planeación y de los criterios emergentes de sustentabilidad ambiental, donde predominan otros principios como los del mercado  de  suelo.  Con  esta  óptica  la  dinámica  urbana  generada  a  partir  de</w:t>
      </w:r>
    </w:p>
    <w:p>
      <w:pPr>
        <w:pStyle w:val="BodyText"/>
        <w:spacing w:before="166"/>
        <w:ind w:right="232"/>
        <w:jc w:val="right"/>
      </w:pPr>
      <w:r>
        <w:rPr/>
        <w:t>39</w:t>
      </w:r>
    </w:p>
    <w:p>
      <w:pPr>
        <w:spacing w:after="0"/>
        <w:jc w:val="right"/>
        <w:sectPr>
          <w:headerReference w:type="default" r:id="rId30"/>
          <w:footerReference w:type="default" r:id="rId31"/>
          <w:pgSz w:w="12240" w:h="15840"/>
          <w:pgMar w:header="730" w:footer="0" w:top="1320" w:bottom="28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2200" from="93.199997pt,-19.614155pt" to="546.799997pt,-19.614155pt" stroked="true" strokeweight=".479981pt" strokecolor="#000000">
            <w10:wrap type="none"/>
          </v:line>
        </w:pict>
      </w:r>
      <w:r>
        <w:rPr/>
        <w:t>conjuntos urbanos evidencia las debilidades institucionales que aún existen en los tres órdenes de gobierno (federal, estatal y municipal) para realizar planeación urbana para alcanzar ciudades ordenadas y sustentables.</w:t>
      </w:r>
    </w:p>
    <w:p>
      <w:pPr>
        <w:pStyle w:val="BodyText"/>
        <w:spacing w:line="360" w:lineRule="auto" w:before="122"/>
        <w:ind w:left="268" w:right="231"/>
        <w:jc w:val="both"/>
      </w:pPr>
      <w:r>
        <w:rPr/>
        <w:t>En todo el proceso normativo que regula el Estado para el desarrollo de vivienda en México, la participación de la sociedad es mínima o nula o bien, es tomada en cuenta de manera simbólica pero no práctica, al grado de que las acciones habitacionales no satisfacen las necesidades reales de la población. Es en este punto donde se aprecia el problema entre la participación y satisfacción de las necesidades de la sociedad y las medidas implementadas por el Estado que no contemplan la participación activa de la sociedad desde el inicio en la implementación de la normatividad, “se toma en cuenta a la sociedad” cuando el problema rebasa la realidad. El sector privado especializado en la vivienda gestiona y construye sus proyectos habitacionales, buscando siempre un beneficio económico, puesto que implica un negocio y no una acción de altruismo para la sociedad y la sustentabilidad del territorio.</w:t>
      </w:r>
    </w:p>
    <w:p>
      <w:pPr>
        <w:pStyle w:val="BodyText"/>
        <w:spacing w:line="360" w:lineRule="auto" w:before="122"/>
        <w:ind w:left="268" w:right="231"/>
        <w:jc w:val="both"/>
      </w:pPr>
      <w:r>
        <w:rPr/>
        <w:t>Como menciona Eibenshutz y Goya (2009), las autorizaciones de usos de suelo  se hacen sin justificación en los instrumentos de planeación correspondiente por lo que lejos de coadyuvar al desarrollo integral de la ciudad y sus habitantes, privilegian un modelo fragmentado donde el gran beneficiario es el agente desarrollador y no la población.</w:t>
      </w:r>
    </w:p>
    <w:p>
      <w:pPr>
        <w:pStyle w:val="BodyText"/>
        <w:spacing w:line="360" w:lineRule="auto" w:before="122"/>
        <w:ind w:left="268" w:right="231"/>
        <w:jc w:val="both"/>
      </w:pPr>
      <w:r>
        <w:rPr/>
        <w:t>En este sentido, los promotores de vivienda buscan generar la mayor ganancia y rentabilidad financiera en sus proyectos, buscando cumplir con lo mínimo y, de ser posible, encontrar los huecos normativos que el Estado ha impuesto con respecto a la autorización de proyectos habitacionales, tratando de satisfacer en lo mínimo las demandas del mercado al que está dirigido su producto.</w:t>
      </w:r>
    </w:p>
    <w:p>
      <w:pPr>
        <w:pStyle w:val="BodyText"/>
        <w:spacing w:line="360" w:lineRule="auto" w:before="127"/>
        <w:ind w:left="268" w:right="231"/>
        <w:jc w:val="both"/>
      </w:pPr>
      <w:r>
        <w:rPr/>
        <w:t>La producción de vivienda está ligada a una serie de fenómenos en torno a un sistema del Estado capitalista que rige el precio de la vivienda, cada vez más alejado de la realidad social. Parece ser que la vivienda se encuentra sujeta a un marco normativo y a un sistema capitalista que ha logrado beneficiar a las empresas inmobiliarias de vivienda dejando grandes dividendos financieros para el</w:t>
      </w:r>
    </w:p>
    <w:p>
      <w:pPr>
        <w:spacing w:after="0" w:line="360" w:lineRule="auto"/>
        <w:jc w:val="both"/>
        <w:sectPr>
          <w:footerReference w:type="default" r:id="rId32"/>
          <w:pgSz w:w="12240" w:h="15840"/>
          <w:pgMar w:footer="1066" w:header="730" w:top="1320" w:bottom="1260" w:left="1720" w:right="1180"/>
          <w:pgNumType w:start="4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2224" from="93.199997pt,-19.614155pt" to="546.799997pt,-19.614155pt" stroked="true" strokeweight=".479981pt" strokecolor="#000000">
            <w10:wrap type="none"/>
          </v:line>
        </w:pict>
      </w:r>
      <w:r>
        <w:rPr/>
        <w:t>Estado y la iniciativa privada y una sociedad con problemas de rezago en materia habitacional, cumplimiento de obligaciones de carácter social, incremento del precio de la vivienda, mala calidad en la construcción, viviendas cada vez más pequeñas e inadecuadas, descentralización de la ciudad, expansión de la mancha urbana, problemas de movilidad e inseguridad, entre otros, que atañen a la sociedad como usuario final.</w:t>
      </w:r>
    </w:p>
    <w:p>
      <w:pPr>
        <w:pStyle w:val="BodyText"/>
      </w:pPr>
    </w:p>
    <w:p>
      <w:pPr>
        <w:pStyle w:val="Heading5"/>
        <w:numPr>
          <w:ilvl w:val="2"/>
          <w:numId w:val="6"/>
        </w:numPr>
        <w:tabs>
          <w:tab w:pos="989" w:val="left" w:leader="none"/>
        </w:tabs>
        <w:spacing w:line="240" w:lineRule="auto" w:before="211" w:after="0"/>
        <w:ind w:left="988" w:right="0" w:hanging="720"/>
        <w:jc w:val="both"/>
        <w:rPr>
          <w:i/>
        </w:rPr>
      </w:pPr>
      <w:r>
        <w:rPr>
          <w:i/>
        </w:rPr>
        <w:t>Planteamientos en torno a la promoción</w:t>
      </w:r>
      <w:r>
        <w:rPr>
          <w:i/>
          <w:spacing w:val="-2"/>
        </w:rPr>
        <w:t> </w:t>
      </w:r>
      <w:r>
        <w:rPr>
          <w:i/>
        </w:rPr>
        <w:t>inmobiliaria</w:t>
      </w:r>
    </w:p>
    <w:p>
      <w:pPr>
        <w:pStyle w:val="BodyText"/>
        <w:rPr>
          <w:b/>
          <w:i/>
        </w:rPr>
      </w:pPr>
    </w:p>
    <w:p>
      <w:pPr>
        <w:pStyle w:val="BodyText"/>
        <w:spacing w:before="8"/>
        <w:rPr>
          <w:b/>
          <w:i/>
          <w:sz w:val="21"/>
        </w:rPr>
      </w:pPr>
    </w:p>
    <w:p>
      <w:pPr>
        <w:pStyle w:val="BodyText"/>
        <w:spacing w:line="360" w:lineRule="auto"/>
        <w:ind w:left="268" w:right="231"/>
        <w:jc w:val="both"/>
      </w:pPr>
      <w:r>
        <w:rPr/>
        <w:t>Desde el punto de vista teórico el estudio de la vivienda se ha realizado desde diversos enfoques, a fin de conocer el status questionis o estado de la cuestión (o del arte), en torno a la producción de vivienda. Engels (1872), en su libro “El problema de la vivienda y las grandes ciudades”, desarrolló la conceptualización y estructuró el análisis de un problema en la economía capitalista a finales del siglo XIX, que refiere al problema de la vivienda en un sistema capitalista, como un medio de explotación del obrero, puesto que la vivienda comienza a ser un valor  de cambio.</w:t>
      </w:r>
    </w:p>
    <w:p>
      <w:pPr>
        <w:pStyle w:val="BodyText"/>
        <w:spacing w:line="360" w:lineRule="auto" w:before="127"/>
        <w:ind w:left="268" w:right="231"/>
        <w:jc w:val="both"/>
      </w:pPr>
      <w:r>
        <w:rPr/>
        <w:t>Montaner </w:t>
      </w:r>
      <w:r>
        <w:rPr>
          <w:i/>
        </w:rPr>
        <w:t>et al. </w:t>
      </w:r>
      <w:r>
        <w:rPr/>
        <w:t>(2011), retoma los pensamientos de Engels (1872), describen que ni la filantropía, ni el higienismo, ni el socialismo utópico iban a resolver el problema de la vivienda, éste solo podría resolverse con una revolución social, ya que el problema de la vivienda es estructural al sistema económico del  capitalismo, el cual se basa en la propiedad privada del suelo y en la explotación de la fuerza de trabajo. El contexto del capitalismo donde el valor del cambio de la vivienda es un elemento clave del dominio, explotación y esclavitud, dado que no importa si el obrero (hoy en día empleado), tenga que buscar la residencia por su cuenta, o bien sea el empresario o industrial quien la facilite cerca del lugar de trabajo.</w:t>
      </w:r>
    </w:p>
    <w:p>
      <w:pPr>
        <w:pStyle w:val="BodyText"/>
        <w:spacing w:line="360" w:lineRule="auto" w:before="122"/>
        <w:ind w:left="268" w:right="231"/>
        <w:jc w:val="both"/>
      </w:pPr>
      <w:r>
        <w:rPr/>
        <w:t>En este sentido, Montaner </w:t>
      </w:r>
      <w:r>
        <w:rPr>
          <w:i/>
        </w:rPr>
        <w:t>et al. </w:t>
      </w:r>
      <w:r>
        <w:rPr/>
        <w:t>(2011) en su aportación denominada “Neofeudalismo inmobiliario: el problema de la vivienda y las casas vacías”, plantean</w:t>
      </w:r>
      <w:r>
        <w:rPr>
          <w:spacing w:val="53"/>
        </w:rPr>
        <w:t> </w:t>
      </w:r>
      <w:r>
        <w:rPr/>
        <w:t>un</w:t>
      </w:r>
      <w:r>
        <w:rPr>
          <w:spacing w:val="53"/>
        </w:rPr>
        <w:t> </w:t>
      </w:r>
      <w:r>
        <w:rPr/>
        <w:t>problema</w:t>
      </w:r>
      <w:r>
        <w:rPr>
          <w:spacing w:val="53"/>
        </w:rPr>
        <w:t> </w:t>
      </w:r>
      <w:r>
        <w:rPr/>
        <w:t>que</w:t>
      </w:r>
      <w:r>
        <w:rPr>
          <w:spacing w:val="53"/>
        </w:rPr>
        <w:t> </w:t>
      </w:r>
      <w:r>
        <w:rPr/>
        <w:t>se</w:t>
      </w:r>
      <w:r>
        <w:rPr>
          <w:spacing w:val="53"/>
        </w:rPr>
        <w:t> </w:t>
      </w:r>
      <w:r>
        <w:rPr/>
        <w:t>aborda</w:t>
      </w:r>
      <w:r>
        <w:rPr>
          <w:spacing w:val="53"/>
        </w:rPr>
        <w:t> </w:t>
      </w:r>
      <w:r>
        <w:rPr/>
        <w:t>desde</w:t>
      </w:r>
      <w:r>
        <w:rPr>
          <w:spacing w:val="53"/>
        </w:rPr>
        <w:t> </w:t>
      </w:r>
      <w:r>
        <w:rPr/>
        <w:t>una</w:t>
      </w:r>
      <w:r>
        <w:rPr>
          <w:spacing w:val="53"/>
        </w:rPr>
        <w:t> </w:t>
      </w:r>
      <w:r>
        <w:rPr/>
        <w:t>perspectiva</w:t>
      </w:r>
      <w:r>
        <w:rPr>
          <w:spacing w:val="53"/>
        </w:rPr>
        <w:t> </w:t>
      </w:r>
      <w:r>
        <w:rPr/>
        <w:t>de</w:t>
      </w:r>
      <w:r>
        <w:rPr>
          <w:spacing w:val="53"/>
        </w:rPr>
        <w:t> </w:t>
      </w:r>
      <w:r>
        <w:rPr/>
        <w:t>análisis</w:t>
      </w:r>
      <w:r>
        <w:rPr>
          <w:spacing w:val="53"/>
        </w:rPr>
        <w:t> </w:t>
      </w:r>
      <w:r>
        <w:rPr/>
        <w:t>en</w:t>
      </w:r>
      <w:r>
        <w:rPr>
          <w:spacing w:val="53"/>
        </w:rPr>
        <w:t> </w:t>
      </w:r>
      <w:r>
        <w:rPr/>
        <w:t>el</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2248" from="93.199997pt,-19.614155pt" to="546.799997pt,-19.614155pt" stroked="true" strokeweight=".479981pt" strokecolor="#000000">
            <w10:wrap type="none"/>
          </v:line>
        </w:pict>
      </w:r>
      <w:r>
        <w:rPr/>
        <w:t>contexto del continente europeo, en donde el neofundalismo inmobiliario es la analogía perfecta para ejemplificar que en la edad media los señores feudales se apropiaron de las tierras de los campesinos y en la medida en que existía crisis de recolección, incrementaron su ejército de siervos de la plebe, del pueblo. Hoy no sólo en el continente europeo sucede lo que los autores describen con esta analogía transportando esta idea al día de hoy, en la segunda década del siglo XXI, podemos ver la existencia de un sistema financiero que ha logrado elaborar un proceso sofisticado para concentrar el poder y el dinero, para producir vivienda formal, que adquieren miles de empleados a través de hipotecas, generando con ello siervos de la banca.</w:t>
      </w:r>
    </w:p>
    <w:p>
      <w:pPr>
        <w:pStyle w:val="BodyText"/>
        <w:spacing w:line="360" w:lineRule="auto" w:before="122"/>
        <w:ind w:left="268" w:right="231"/>
        <w:jc w:val="both"/>
      </w:pPr>
      <w:r>
        <w:rPr/>
        <w:t>En el caso de México se realizan programas, políticas y proyectos de vivienda con estrategias que en algunos contextos se encuentran a la vanguardia incluso por encima de propuestas generadas en Europa o Estados Unidos, pero en la mayoría de los casos se practica un urbanismo para el desarrollo del territorio, tardío y caduco no sólo en relación a lo que se está desarrollando en otros países sino al mismo contexto de nuestras ciudades y del propio desarrollo de vivienda. En México el tema habitacional no es la excepción y ha sido un tema abordado por diversos autores que ha logrado abrir un sin fin de aristas de cómo abordar la complejidad del mismo. Al inicio de la administración de Vicente Fox (2000-2006) y la continuidad de Felipe Calderón (2006-2012), se dio un gran auge al sector inmobiliario en el país, la política de vivienda desarrollada durante estos sexenios permitió dotar de vivienda a gran parte de la población.</w:t>
      </w:r>
    </w:p>
    <w:p>
      <w:pPr>
        <w:pStyle w:val="BodyText"/>
        <w:spacing w:line="360" w:lineRule="auto" w:before="122"/>
        <w:ind w:left="268" w:right="231"/>
        <w:jc w:val="both"/>
      </w:pPr>
      <w:r>
        <w:rPr/>
        <w:t>En relación a la sustentabilidad, en 1973 en el Seminario Internacional de Medio Ambiente y Desarrollo, en 1974 la Conferencia de Cocoyoc y en 1976 en el Simposio de Ecodesarrollo, se iniciaron en paralelo los estudios y avances de la sustentabilidad en México, estos eventos acontecieron a la par de los sucesos que se comenzaron a gestar a nivel mundial; sin embargo en el país aún no se contemplaba la sustentabilidad en el marco normativo y por lo mismo no existían instituciones encomendadas a la protección del medio ambiente.</w:t>
      </w:r>
    </w:p>
    <w:p>
      <w:pPr>
        <w:spacing w:after="0" w:line="360" w:lineRule="auto"/>
        <w:jc w:val="both"/>
        <w:sectPr>
          <w:pgSz w:w="12240" w:h="15840"/>
          <w:pgMar w:header="730" w:footer="1066" w:top="1320" w:bottom="1260" w:left="1720" w:right="1180"/>
        </w:sectPr>
      </w:pPr>
    </w:p>
    <w:p>
      <w:pPr>
        <w:pStyle w:val="BodyText"/>
        <w:rPr>
          <w:sz w:val="20"/>
        </w:rPr>
      </w:pPr>
    </w:p>
    <w:p>
      <w:pPr>
        <w:pStyle w:val="BodyText"/>
        <w:rPr>
          <w:sz w:val="20"/>
        </w:rPr>
      </w:pPr>
    </w:p>
    <w:p>
      <w:pPr>
        <w:pStyle w:val="BodyText"/>
        <w:spacing w:before="5"/>
      </w:pPr>
    </w:p>
    <w:p>
      <w:pPr>
        <w:pStyle w:val="BodyText"/>
        <w:spacing w:line="360" w:lineRule="auto" w:before="69"/>
        <w:ind w:left="268" w:right="231"/>
        <w:jc w:val="both"/>
      </w:pPr>
      <w:r>
        <w:rPr/>
        <w:pict>
          <v:line style="position:absolute;mso-position-horizontal-relative:page;mso-position-vertical-relative:paragraph;z-index:2272" from="93.199997pt,-46.254108pt" to="546.799997pt,-46.254108pt" stroked="true" strokeweight=".479981pt" strokecolor="#000000">
            <w10:wrap type="none"/>
          </v:line>
        </w:pict>
      </w:r>
      <w:r>
        <w:rPr/>
        <w:t>Si bien en México se dieron los primeros pasos en materia de ecología y medio ambiente en un primer acercamiento con los eventos realizados a la par de los acontecimientos internacionales y en un segundo proceso con la creación de una institución como la Secretaría de Desarrollo Urbano y Ecología (SEDUE) que medianamente buscaba aminorar los efectos colaterales del crecimiento económico del país y la expansión urbana que sufrían las principales ciudades, sin considerar la protección al medio ambiente. Aún faltaba mucho para que el marco legislativo y normativo pudiera articular una serie de acciones en el tema de la sustentabilidad y del mismo desarrollo sustentable del país que no solo refiere al tema medioambiental, sino al propio equilibrio del sistema económico.</w:t>
      </w:r>
    </w:p>
    <w:p>
      <w:pPr>
        <w:pStyle w:val="BodyText"/>
        <w:spacing w:line="360" w:lineRule="auto" w:before="122"/>
        <w:ind w:left="268" w:right="231"/>
        <w:jc w:val="both"/>
      </w:pPr>
      <w:r>
        <w:rPr/>
        <w:t>En el proceso del crecimiento del país y con base en diversos actores sociales, así como a la presión de éstos al Estado por la evidencia irrefutable de los acontecimientos medioambientales que se presentaron en el país, surgieron diferentes respuestas para solucionar algunos problemas. Una de estas respuestas como describe Moreno (2014) es el desarrollo de indicadores para el estudio de la sustentabilidad urbana, que, si bien tienen sus esbozos y origen desde 1972, en México surgieron a partir de la creación de la Secretaría de Medio Ambiente, Recursos Naturales y Pesca (SEMARNAP) en 1994, la cual trabajó en el desarrollo sustentable y la línea ambiental considerando un enfoque metodológico de Presión-Estado-Respuesta (PER). Continúa refiriendo que el análisis y medición de la sustentabilidad a través de indicadores se ha estado realizando por diferentes países en un marco ordenado y estructurado en estas tres (PER) categorías de información.</w:t>
      </w:r>
    </w:p>
    <w:p>
      <w:pPr>
        <w:pStyle w:val="BodyText"/>
        <w:spacing w:line="360" w:lineRule="auto" w:before="122"/>
        <w:ind w:left="268" w:right="231"/>
        <w:jc w:val="both"/>
      </w:pPr>
      <w:r>
        <w:rPr/>
        <w:t>Ahumada </w:t>
      </w:r>
      <w:r>
        <w:rPr>
          <w:i/>
        </w:rPr>
        <w:t>et al. </w:t>
      </w:r>
      <w:r>
        <w:rPr/>
        <w:t>(2012) señala que en México la sustentabilidad ambiental se abordó en el Plan Nacional de Desarrollo 2007-2012, como la administración racional de los recursos naturales para mejorar el bienestar de la población y consideró que uno de los principales retos que enfrenta el país es el incluir el medio ambiente como un elemento de competitividad y de desarrollo económico y social para lograr el desarrollo sustentable, ya que aún es tiempo de poner en</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1155736" from="93.199997pt,-19.614155pt" to="546.799997pt,-19.614155pt" stroked="true" strokeweight=".479981pt" strokecolor="#000000">
            <w10:wrap type="none"/>
          </v:line>
        </w:pict>
      </w:r>
      <w:r>
        <w:rPr/>
        <w:t>práctica las acciones que permitan la protección del ambiente, sobre todo en la infraestructura y el sector productivo.</w:t>
      </w:r>
    </w:p>
    <w:p>
      <w:pPr>
        <w:pStyle w:val="BodyText"/>
        <w:spacing w:line="360" w:lineRule="auto" w:before="122"/>
        <w:ind w:left="268" w:right="231"/>
        <w:jc w:val="both"/>
      </w:pPr>
      <w:r>
        <w:rPr/>
        <w:t>Es innegable la existencia de una gran discusión acerca de la sustentabilidad en territorios urbanos como menciona Moreno (2014), ello obtiene otra relación y significado en las diferentes zonas metropolitanas donde se ubican los territorios y jurisdicciones político-administrativas de diferente índole en donde las políticas públicas y las acciones gubernamentales están escasamente coordinadas y los resultados que ofrecen son pobres en materia urbano-ambiental para los ciudadanos. En este sentido es posible señalar que la sustentabilidad urbana ha estado buscando los satisfactores de la población donde en términos generales se analizan las dimensiones de sociedad, economía y el ambiente en sus distintas interrelaciones.</w:t>
      </w:r>
    </w:p>
    <w:p>
      <w:pPr>
        <w:pStyle w:val="BodyText"/>
        <w:spacing w:line="360" w:lineRule="auto" w:before="122"/>
        <w:ind w:left="268" w:right="231"/>
        <w:jc w:val="both"/>
      </w:pPr>
      <w:r>
        <w:rPr/>
        <w:t>Vega (2001), desde la perspectiva económica, refirió que “mientras las políticas social y ambiental sean marginales y exclusivamente compensatorias de las externalidades derivadas de la política económica será muy difícil alcanzar la sustentabilidad. A escala internacional ya se alzaban voces de especialistas que llamaban la atención acerca de los costos del desarrollo económico, específicamente de los ambientales: Hotelling (1931), Coase (1960), Boulding (1966),  Ridker  (1967),  Hardin  (1968),  Dales  (1968)  y  Mishan  (1969).”   (Vega,</w:t>
      </w:r>
    </w:p>
    <w:p>
      <w:pPr>
        <w:pStyle w:val="BodyText"/>
        <w:spacing w:before="2"/>
        <w:ind w:left="268"/>
        <w:jc w:val="both"/>
      </w:pPr>
      <w:r>
        <w:rPr/>
        <w:t>2001:44).</w:t>
      </w:r>
    </w:p>
    <w:p>
      <w:pPr>
        <w:pStyle w:val="BodyText"/>
        <w:spacing w:before="3"/>
        <w:rPr>
          <w:sz w:val="22"/>
        </w:rPr>
      </w:pPr>
    </w:p>
    <w:p>
      <w:pPr>
        <w:pStyle w:val="BodyText"/>
        <w:spacing w:line="360" w:lineRule="auto" w:before="1"/>
        <w:ind w:left="268" w:right="231"/>
        <w:jc w:val="both"/>
      </w:pPr>
      <w:r>
        <w:rPr/>
        <w:t>Como infiere Ahumada </w:t>
      </w:r>
      <w:r>
        <w:rPr>
          <w:i/>
        </w:rPr>
        <w:t>et al. </w:t>
      </w:r>
      <w:r>
        <w:rPr/>
        <w:t>(2012) el análisis de los vacíos normativos y de los procedimientos para incorporar formal y oportunamente la variable ambiental en la planeación del desarrollo de México, requiere la revisión del proceso la cual encuentra sustento en la Constitución Política de los Estados Unidos Mexicanos.</w:t>
      </w:r>
    </w:p>
    <w:p>
      <w:pPr>
        <w:pStyle w:val="BodyText"/>
        <w:spacing w:line="360" w:lineRule="auto" w:before="122"/>
        <w:ind w:left="268" w:right="231"/>
        <w:jc w:val="both"/>
      </w:pPr>
      <w:r>
        <w:rPr/>
        <w:t>En este orden de ideas, la práctica de la sustentabilidad en México va haciendo camino conforme a las decisiones que ejecuta el Estado y éste a su vez actúa con base en las demandas sociales; sin embargo, aún hay mucho por realizar y reforzar pareciera que no basta tener los mejores estudios, investigaciones y aportes científicos de diferentes disciplinas del conocimiento, así como las mejores y  más  recientes  políticas  ambientales  y  sociales,  es  necesario  estructurar    y</w:t>
      </w:r>
    </w:p>
    <w:p>
      <w:pPr>
        <w:pStyle w:val="BodyText"/>
        <w:spacing w:before="46"/>
        <w:ind w:right="232"/>
        <w:jc w:val="right"/>
      </w:pPr>
      <w:r>
        <w:rPr/>
        <w:t>44</w:t>
      </w:r>
    </w:p>
    <w:p>
      <w:pPr>
        <w:spacing w:after="0"/>
        <w:jc w:val="right"/>
        <w:sectPr>
          <w:headerReference w:type="default" r:id="rId33"/>
          <w:footerReference w:type="default" r:id="rId34"/>
          <w:pgSz w:w="12240" w:h="15840"/>
          <w:pgMar w:header="730" w:footer="0" w:top="1320" w:bottom="28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155712" from="93.199997pt,-19.614155pt" to="546.799997pt,-19.614155pt" stroked="true" strokeweight=".479981pt" strokecolor="#000000">
            <w10:wrap type="none"/>
          </v:line>
        </w:pict>
      </w:r>
      <w:r>
        <w:rPr/>
        <w:t>ordenar los actores que se involucran entre la sociedad, el conocimiento, la investigación, la administración pública y poner en la conciencia de la población el compromiso de la sustentabilidad en su país.</w:t>
      </w:r>
    </w:p>
    <w:p>
      <w:pPr>
        <w:pStyle w:val="BodyText"/>
        <w:spacing w:line="360" w:lineRule="auto" w:before="122"/>
        <w:ind w:left="268" w:right="231"/>
        <w:jc w:val="both"/>
      </w:pPr>
      <w:r>
        <w:rPr/>
        <w:t>Con base en la contextualización antes descrita, Castro, Coulomb, León y Puebla (2006) abordan el problema de la vivienda realizando un análisis a los desarrollos privados y la vivienda de interés social. El estudio se realiza en un momento oportuno en el desarrollo de vivienda en México, los autores enmarcan a los grandes desarrolladores privados y al Estado en un contexto de complicidad para el desarrollo de los programas, estrategias y políticas de vivienda en el país, lo  que permite reflexionar en el protagonismo de la iniciativa privada en el desarrollo de vivienda formal, pero en paralelo, los mismos desarrolladores de vivienda frente al desarrollo urbano.</w:t>
      </w:r>
    </w:p>
    <w:p>
      <w:pPr>
        <w:pStyle w:val="BodyText"/>
        <w:spacing w:line="360" w:lineRule="auto" w:before="122"/>
        <w:ind w:left="268" w:right="231"/>
        <w:jc w:val="both"/>
      </w:pPr>
      <w:r>
        <w:rPr/>
        <w:t>La perspectiva del análisis de Connolly (2006), aborda el tema de la demanda habitacional, estudiando la vivienda desde la arista de la vivienda digna y decorosa, la autora describe, analiza y cuestiona la clasificación y tipología que existe en torno a la definición de la vivienda dentro del marco normativo del país. En este ejercicio observa que la definición de “vivienda digna” o “adecuada” está considerada con elementos utilizados desde hace poco más de 40 años y señala que es necesario plantear una redefinición de la misma con nuevos y actuales términos, buscando el desarrollo de una vivienda digna, real y no continuando con esquemas de índole capitalista y de apoyo al desarrollo inmobiliario, buscando  sólo dar solución a una demanda de vivienda y por consiguiente el Estado y el sector inmobiliario de vivienda, satisfacen ésta a través de oferta de vivienda inadecuada a las capacidades económicas y prioridades de las aspiraciones habitacionales de la población demandante.</w:t>
      </w:r>
    </w:p>
    <w:p>
      <w:pPr>
        <w:pStyle w:val="BodyText"/>
        <w:spacing w:line="360" w:lineRule="auto" w:before="127"/>
        <w:ind w:left="268" w:right="231"/>
        <w:jc w:val="both"/>
      </w:pPr>
      <w:r>
        <w:rPr/>
        <w:t>Desde una perspectiva del marco legal que regula a la vivienda, resulta importante considerar las aportaciones realizadas por Schteingart y Patiño (2006), en su investigación “El marco legislativo, programático e institucional de los programas habitacionales”, quienes realizan un análisis de la normativa que regula la producción  de  vivienda  en  México  y  los  procesos  de  este  marco   legislativo,</w:t>
      </w:r>
    </w:p>
    <w:p>
      <w:pPr>
        <w:pStyle w:val="BodyText"/>
        <w:spacing w:before="166"/>
        <w:ind w:right="232"/>
        <w:jc w:val="right"/>
      </w:pPr>
      <w:r>
        <w:rPr/>
        <w:t>45</w:t>
      </w:r>
    </w:p>
    <w:p>
      <w:pPr>
        <w:spacing w:after="0"/>
        <w:jc w:val="right"/>
        <w:sectPr>
          <w:headerReference w:type="default" r:id="rId35"/>
          <w:footerReference w:type="default" r:id="rId36"/>
          <w:pgSz w:w="12240" w:h="15840"/>
          <w:pgMar w:header="730" w:footer="0" w:top="1320" w:bottom="28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155688" from="93.199997pt,-19.614155pt" to="546.799997pt,-19.614155pt" stroked="true" strokeweight=".479981pt" strokecolor="#000000">
            <w10:wrap type="none"/>
          </v:line>
        </w:pict>
      </w:r>
      <w:r>
        <w:rPr/>
        <w:t>resaltando las conclusiones en torno al objeto de estudio, en las que reflexionan que la vivienda va perdiendo su importancia en el papel social, así como su vinculación con el desarrollo urbano; mientras los aspectos económicos y financieros han adquirido mayor importancia y relevancia en la política habitacional tomada por el Estado.</w:t>
      </w:r>
    </w:p>
    <w:p>
      <w:pPr>
        <w:pStyle w:val="BodyText"/>
        <w:spacing w:line="360" w:lineRule="auto" w:before="122"/>
        <w:ind w:left="268" w:right="231"/>
        <w:jc w:val="both"/>
      </w:pPr>
      <w:r>
        <w:rPr/>
        <w:t>En el entender de la vivienda y su complejidad inherente a una necesidad del ser humano y buscando vislumbrar el aporte a las discusiones que están en auge en relación a la nueva política de desarrollo de vivienda en México, donde pareciera ser ya un cliché hablar del Estado e iniciativa privada, como agentes predominantes para la oferta y desarrollo de vivienda formal, resulta interesante profundizar en la reflexión e investigación de otros escenarios, es decir analizar el objeto de estudio con un nuevo enfoque, buscando realizar una transdisciplinariedad en el desarrollo de la investigación.</w:t>
      </w:r>
    </w:p>
    <w:p>
      <w:pPr>
        <w:pStyle w:val="BodyText"/>
        <w:spacing w:line="360" w:lineRule="auto" w:before="127"/>
        <w:ind w:left="268" w:right="231"/>
        <w:jc w:val="both"/>
      </w:pPr>
      <w:r>
        <w:rPr/>
        <w:t>Continuando con este orden de ideas respecto a la configuración del territorio y la práctica del urbanismo en esta actividad, Sánchez (2008), en su estudio de la ciudad y el urbanismo moderno, aborda la genealogía de éste y la praxis del mismo en el desarrollo de la ciudad, por lo que es importante considerar sus aportaciones resaltando que la autora se acerca a los hechos urbanos desde tres grandes ejes, tradiciones o aproximaciones epistemológicas, las cuales en su conjunto proporcionan una visión de la multidimensionalidad de la disciplina, como ella lo señala.</w:t>
      </w:r>
    </w:p>
    <w:p>
      <w:pPr>
        <w:pStyle w:val="BodyText"/>
        <w:spacing w:line="360" w:lineRule="auto" w:before="127"/>
        <w:ind w:left="268" w:right="231"/>
        <w:jc w:val="both"/>
      </w:pPr>
      <w:r>
        <w:rPr/>
        <w:t>Los estudios realizados en el tema son diversos y ricos en su particularidad, como lo son los aportes de Ingoroso (2011) en su análisis y descripción en torno al desarrollo de la ciudad, con una perspectiva de la ciudad en una economía global, en donde los aspectos económicos y financieros detonan la intervención del Estado y la iniciativa privada para el desarrollo y rehabilitación de la ciudad de Barcelona.</w:t>
      </w:r>
    </w:p>
    <w:p>
      <w:pPr>
        <w:pStyle w:val="BodyText"/>
        <w:spacing w:line="360" w:lineRule="auto" w:before="122"/>
        <w:ind w:left="268" w:right="231"/>
        <w:jc w:val="both"/>
      </w:pPr>
      <w:r>
        <w:rPr/>
        <w:t>El tema de la vivienda ha sido estudiado desde diversas ópticas, por lo que continúa y continuará siendo tema de investigación atrayente, puesto que la vivienda  constituye  un  elemento  primordial  en  el  desarrollo  del  territorio      </w:t>
      </w:r>
      <w:r>
        <w:rPr>
          <w:spacing w:val="52"/>
        </w:rPr>
        <w:t> </w:t>
      </w:r>
      <w:r>
        <w:rPr/>
        <w:t>e</w:t>
      </w:r>
    </w:p>
    <w:p>
      <w:pPr>
        <w:pStyle w:val="BodyText"/>
        <w:spacing w:before="46"/>
        <w:ind w:right="232"/>
        <w:jc w:val="right"/>
      </w:pPr>
      <w:r>
        <w:rPr/>
        <w:t>46</w:t>
      </w:r>
    </w:p>
    <w:p>
      <w:pPr>
        <w:spacing w:after="0"/>
        <w:jc w:val="right"/>
        <w:sectPr>
          <w:headerReference w:type="default" r:id="rId37"/>
          <w:footerReference w:type="default" r:id="rId38"/>
          <w:pgSz w:w="12240" w:h="15840"/>
          <w:pgMar w:header="730" w:footer="0" w:top="1320" w:bottom="28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155664" from="93.199997pt,-19.614155pt" to="546.799997pt,-19.614155pt" stroked="true" strokeweight=".479981pt" strokecolor="#000000">
            <w10:wrap type="none"/>
          </v:line>
        </w:pict>
      </w:r>
      <w:r>
        <w:rPr/>
        <w:t>inherente a la práctica del urbanismo y de los agentes que intervienen en esta área. De hecho, existen otros estudios que abordan el desarrollo inmobiliario y la vivienda desde otros contextos y puntos de vista.</w:t>
      </w:r>
    </w:p>
    <w:p>
      <w:pPr>
        <w:pStyle w:val="BodyText"/>
        <w:spacing w:line="360" w:lineRule="auto" w:before="122"/>
        <w:ind w:left="268" w:right="231"/>
        <w:jc w:val="both"/>
      </w:pPr>
      <w:r>
        <w:rPr/>
        <w:t>La actividad inmobiliaria en México, ha estado vinculada a las políticas y a los programas habitacionales que el Estado ha generado. Surgió a comienzos de los años sesenta junto con el Programa Financiero de Vivienda (PFV), que con el apoyo del Estado permitió canalizar la producción de vivienda fundamentalmente a los estratos medios de la población urbana. (Maya 2008)</w:t>
      </w:r>
    </w:p>
    <w:p>
      <w:pPr>
        <w:pStyle w:val="BodyText"/>
        <w:spacing w:line="360" w:lineRule="auto" w:before="127"/>
        <w:ind w:left="268" w:right="231"/>
        <w:jc w:val="both"/>
      </w:pPr>
      <w:r>
        <w:rPr/>
        <w:t>Investigadores como Maya (2008), señalan la problemática que existe en la producción de grandes conjuntos habitacionales, los cuales equivalen a la conformación territorial de una ciudad, sin los usos y servicios propios de ésta. Por tanto, su realización -planificada como un fraccionamiento- no propicia un crecimiento urbano ordenado y un desarrollo económico sostenible en el corto y mediano plazo, heredando a sus ocupantes problemas que van desde la falta de áreas comerciales y equipamiento, hasta la ausencia de centros de cultura y recreación o, en su caso, fuentes de empleo.</w:t>
      </w:r>
    </w:p>
    <w:p>
      <w:pPr>
        <w:pStyle w:val="BodyText"/>
        <w:spacing w:line="360" w:lineRule="auto" w:before="122"/>
        <w:ind w:left="268" w:right="231"/>
        <w:jc w:val="both"/>
      </w:pPr>
      <w:r>
        <w:rPr/>
        <w:t>Continuado con lo señalado por Maya (2008) en México, como en muchos países de América Latina, los mega desarrollos habitacionales siguen siendo el camino para solucionar la enorme demanda de vivienda por parte de los sectores de población de medianos y bajos recursos económicos. Su diseño y planeación se rigen por criterios financieros, y se descuidan los aspectos sociales y culturales, así como las necesidades reales de estos residentes. Se olvida la importancia que tienen los espacios exteriores para el establecimiento de lazos sociales que, finalmente, traen como efecto el adecuado mantenimiento y conservación del conjunto habitacional y por supuesto, una mejor convivencia entre los</w:t>
      </w:r>
      <w:r>
        <w:rPr>
          <w:spacing w:val="-2"/>
        </w:rPr>
        <w:t> </w:t>
      </w:r>
      <w:r>
        <w:rPr/>
        <w:t>vecinos.</w:t>
      </w:r>
    </w:p>
    <w:p>
      <w:pPr>
        <w:pStyle w:val="BodyText"/>
        <w:spacing w:line="360" w:lineRule="auto" w:before="127"/>
        <w:ind w:left="268" w:right="231"/>
        <w:jc w:val="both"/>
      </w:pPr>
      <w:r>
        <w:rPr/>
        <w:t>Desde otro punto de vista, Maes </w:t>
      </w:r>
      <w:r>
        <w:rPr>
          <w:i/>
        </w:rPr>
        <w:t>et al. </w:t>
      </w:r>
      <w:r>
        <w:rPr/>
        <w:t>(2012) expone que los conjuntos habitacionales sostenibles a gran escala en México han sido una manera creativa  e inspiradora de lidiar con el déficit de vivienda, con la degradación del medio ambiente y con la falta de crédito que impide el acceso de las clases de renta más baja a la vivienda</w:t>
      </w:r>
      <w:r>
        <w:rPr>
          <w:spacing w:val="-1"/>
        </w:rPr>
        <w:t> </w:t>
      </w:r>
      <w:r>
        <w:rPr/>
        <w:t>propia.</w:t>
      </w:r>
    </w:p>
    <w:p>
      <w:pPr>
        <w:pStyle w:val="BodyText"/>
        <w:spacing w:before="46"/>
        <w:ind w:right="232"/>
        <w:jc w:val="right"/>
      </w:pPr>
      <w:r>
        <w:rPr/>
        <w:t>47</w:t>
      </w:r>
    </w:p>
    <w:p>
      <w:pPr>
        <w:spacing w:after="0"/>
        <w:jc w:val="right"/>
        <w:sectPr>
          <w:headerReference w:type="default" r:id="rId39"/>
          <w:footerReference w:type="default" r:id="rId40"/>
          <w:pgSz w:w="12240" w:h="15840"/>
          <w:pgMar w:header="730" w:footer="0" w:top="1320" w:bottom="28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2392" from="93.199997pt,-19.614155pt" to="546.799997pt,-19.614155pt" stroked="true" strokeweight=".479981pt" strokecolor="#000000">
            <w10:wrap type="none"/>
          </v:line>
        </w:pict>
      </w:r>
      <w:r>
        <w:rPr/>
        <w:t>En este sentido, los promotores de vivienda buscan generar la mayor ganancia y rentabilidad financiera en sus proyectos, buscando cumplir con lo mínimo y, de ser posible, encontrar los huecos normativos que el Estado ha impuesto con respecto a la autorización de proyectos habitacionales, tratando de satisfacer en lo mínimo las demandas del mercado al que está dirigido su producto y las reglas normativas establecidas por el Estado. Puesto que inclusive las normas traen consigo impuestos y derechos que genera la autorización de un proyecto habitacional, mismos que dan pauta a los inmobiliarios para encarecer los costos de venta de la vivienda, estos costos son discutidos y debatidos cada año en los diferentes espacios, organizaciones e instituciones en las cuales están involucrados tanto las empresas inmobiliarias de la vivienda como las instituciones y organismos del Estado.</w:t>
      </w:r>
    </w:p>
    <w:p>
      <w:pPr>
        <w:pStyle w:val="BodyText"/>
        <w:spacing w:line="360" w:lineRule="auto" w:before="122"/>
        <w:ind w:left="268" w:right="231"/>
        <w:jc w:val="both"/>
      </w:pPr>
      <w:r>
        <w:rPr/>
        <w:t>Castro </w:t>
      </w:r>
      <w:r>
        <w:rPr>
          <w:i/>
        </w:rPr>
        <w:t>et al. </w:t>
      </w:r>
      <w:r>
        <w:rPr/>
        <w:t>(2006) refiere que a partir de 1986 un grupo de empresarios dedicados a la construcción de vivienda, presionados por las políticas de ajuste implantadas a principios de los años ochenta en la industria de la construcción comenzaron el nuevo protagonismo de los promotores y desarrolladores de vivienda y constituyeron Promotores Industriales de Vivienda (Provivac), aprovechando la relativa permanencia del Estado mexicano en materia de vivienda.</w:t>
      </w:r>
    </w:p>
    <w:p>
      <w:pPr>
        <w:pStyle w:val="BodyText"/>
        <w:spacing w:line="360" w:lineRule="auto" w:before="122"/>
        <w:ind w:left="268" w:right="231"/>
        <w:jc w:val="both"/>
      </w:pPr>
      <w:r>
        <w:rPr/>
        <w:t>La perspectiva de Castro </w:t>
      </w:r>
      <w:r>
        <w:rPr>
          <w:i/>
        </w:rPr>
        <w:t>et al. </w:t>
      </w:r>
      <w:r>
        <w:rPr/>
        <w:t>(2006) señala que los grandes desarrolladores se relacionan principalmente con los Organismos Nacionales de Vivienda (ONAVI) haciéndolo directamente o por sus asociaciones como la Cámara Nacional de la Industria de Desarrollo y Promoción de Vivienda (CANADEVI) quien forma parte del consejo de administración del Instituto del Fondo Nacional de la Vivienda para los Trabajadores (INFONAVIT), estas relaciones son de suma importancia pues  los organismos proporcionan información sobre la planeación en temas de vivienda como la programación de créditos y los recursos con los que</w:t>
      </w:r>
      <w:r>
        <w:rPr>
          <w:spacing w:val="-1"/>
        </w:rPr>
        <w:t> </w:t>
      </w:r>
      <w:r>
        <w:rPr/>
        <w:t>dispondrán.</w:t>
      </w:r>
    </w:p>
    <w:p>
      <w:pPr>
        <w:pStyle w:val="BodyText"/>
        <w:spacing w:line="360" w:lineRule="auto" w:before="122"/>
        <w:ind w:left="268" w:right="231"/>
        <w:jc w:val="both"/>
      </w:pPr>
      <w:r>
        <w:rPr/>
        <w:t>La producción de vivienda está ligada a una serie de fenómenos en torno a un sistema capitalista que rige el precio de la vivienda, cada vez más alejado de la realidad social. Es así que la producción de la vivienda está sujeta a un marco</w:t>
      </w:r>
    </w:p>
    <w:p>
      <w:pPr>
        <w:spacing w:after="0" w:line="360" w:lineRule="auto"/>
        <w:jc w:val="both"/>
        <w:sectPr>
          <w:footerReference w:type="default" r:id="rId41"/>
          <w:pgSz w:w="12240" w:h="15840"/>
          <w:pgMar w:footer="1066" w:header="730" w:top="1320" w:bottom="1260" w:left="1720" w:right="1180"/>
          <w:pgNumType w:start="48"/>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2416" from="93.199997pt,-19.614155pt" to="546.799997pt,-19.614155pt" stroked="true" strokeweight=".479981pt" strokecolor="#000000">
            <w10:wrap type="none"/>
          </v:line>
        </w:pict>
      </w:r>
      <w:r>
        <w:rPr/>
        <w:t>normativo y un sistema capitalista que ha logrado beneficiar a las empresas inmobiliarias de vivienda generando grandes dividendos financieros para el Estado y la iniciativa privada, y dejando a la sociedad con problemas de rezago en  materia habitacional, cumplimiento de obligaciones de carácter social, incremento del precio de la vivienda, mala calidad en la construcción, viviendas cada vez más alejadas, pequeñas e inadecuadas, descentralización de la ciudad, expansión de  la mancha urbana, problemas de movilidad e inseguridad, entre otros, que atañen a la sociedad como usuario final.</w:t>
      </w:r>
    </w:p>
    <w:p>
      <w:pPr>
        <w:pStyle w:val="BodyText"/>
        <w:spacing w:before="3"/>
        <w:rPr>
          <w:sz w:val="35"/>
        </w:rPr>
      </w:pPr>
    </w:p>
    <w:p>
      <w:pPr>
        <w:pStyle w:val="Heading5"/>
        <w:numPr>
          <w:ilvl w:val="2"/>
          <w:numId w:val="6"/>
        </w:numPr>
        <w:tabs>
          <w:tab w:pos="989" w:val="left" w:leader="none"/>
        </w:tabs>
        <w:spacing w:line="240" w:lineRule="auto" w:before="0" w:after="0"/>
        <w:ind w:left="988" w:right="0" w:hanging="720"/>
        <w:jc w:val="both"/>
        <w:rPr>
          <w:i/>
        </w:rPr>
      </w:pPr>
      <w:r>
        <w:rPr>
          <w:i/>
        </w:rPr>
        <w:t>El desarrollo de la</w:t>
      </w:r>
      <w:r>
        <w:rPr>
          <w:i/>
          <w:spacing w:val="-10"/>
        </w:rPr>
        <w:t> </w:t>
      </w:r>
      <w:r>
        <w:rPr>
          <w:i/>
        </w:rPr>
        <w:t>sociedad</w:t>
      </w:r>
    </w:p>
    <w:p>
      <w:pPr>
        <w:pStyle w:val="BodyText"/>
        <w:rPr>
          <w:b/>
          <w:i/>
        </w:rPr>
      </w:pPr>
    </w:p>
    <w:p>
      <w:pPr>
        <w:pStyle w:val="BodyText"/>
        <w:spacing w:before="3"/>
        <w:rPr>
          <w:b/>
          <w:i/>
          <w:sz w:val="21"/>
        </w:rPr>
      </w:pPr>
    </w:p>
    <w:p>
      <w:pPr>
        <w:pStyle w:val="BodyText"/>
        <w:spacing w:line="360" w:lineRule="auto"/>
        <w:ind w:left="268" w:right="231"/>
        <w:jc w:val="both"/>
      </w:pPr>
      <w:r>
        <w:rPr/>
        <w:t>Es evidente que la sociedad no es participe en el proceso de configuración del territorio mediante la producción de vivienda formal y tampoco se satisfacen sus necesidades.</w:t>
      </w:r>
    </w:p>
    <w:p>
      <w:pPr>
        <w:pStyle w:val="BodyText"/>
        <w:spacing w:line="360" w:lineRule="auto" w:before="122"/>
        <w:ind w:left="268" w:right="231"/>
        <w:jc w:val="both"/>
      </w:pPr>
      <w:r>
        <w:rPr/>
        <w:t>El supuesto se puede analizar con datos cuantitativos y cualitativos, realizando el estudio y análisis que constate las interacciones y acciones del trinomio (Estado, iniciativa privada y sociedad) el que ha convertido a la vivienda formal en un elemento clave del desarrollo económico del país, desempeñando un papel importante dentro del sistema capitalista, pero que, por otro lado, le ha costado a  la sociedad la configuración de un territorio en caos, disgregado, con problemas  de toda índole, sociales, económicos, de seguridad, movilidad, sustentabilidad, entre otros más.</w:t>
      </w:r>
    </w:p>
    <w:p>
      <w:pPr>
        <w:pStyle w:val="BodyText"/>
        <w:spacing w:line="360" w:lineRule="auto" w:before="122"/>
        <w:ind w:left="268" w:right="231"/>
        <w:jc w:val="both"/>
      </w:pPr>
      <w:r>
        <w:rPr/>
        <w:t>La vivienda sigue siendo uno de los principales bienes de consumo fundamentalmente para numerosos sectores de la población que en México aún carecen de una vivienda adecuada a sus necesidades. Se trata de los sectores de población de bajos recursos económicos, quienes han tenido que recurrir a procesos informales de producción de vivienda dentro de lo que se ha  denominado como la “autoconstrucción” o la “producción informal o social” en un determinado territorio que para este tipo de producción se invade a través de movimientos</w:t>
      </w:r>
      <w:r>
        <w:rPr>
          <w:spacing w:val="43"/>
        </w:rPr>
        <w:t> </w:t>
      </w:r>
      <w:r>
        <w:rPr/>
        <w:t>sociales.</w:t>
      </w:r>
      <w:r>
        <w:rPr>
          <w:spacing w:val="43"/>
        </w:rPr>
        <w:t> </w:t>
      </w:r>
      <w:r>
        <w:rPr/>
        <w:t>Es</w:t>
      </w:r>
      <w:r>
        <w:rPr>
          <w:spacing w:val="43"/>
        </w:rPr>
        <w:t> </w:t>
      </w:r>
      <w:r>
        <w:rPr/>
        <w:t>curioso</w:t>
      </w:r>
      <w:r>
        <w:rPr>
          <w:spacing w:val="43"/>
        </w:rPr>
        <w:t> </w:t>
      </w:r>
      <w:r>
        <w:rPr/>
        <w:t>reflexionar</w:t>
      </w:r>
      <w:r>
        <w:rPr>
          <w:spacing w:val="43"/>
        </w:rPr>
        <w:t> </w:t>
      </w:r>
      <w:r>
        <w:rPr/>
        <w:t>en</w:t>
      </w:r>
      <w:r>
        <w:rPr>
          <w:spacing w:val="43"/>
        </w:rPr>
        <w:t> </w:t>
      </w:r>
      <w:r>
        <w:rPr/>
        <w:t>la</w:t>
      </w:r>
      <w:r>
        <w:rPr>
          <w:spacing w:val="43"/>
        </w:rPr>
        <w:t> </w:t>
      </w:r>
      <w:r>
        <w:rPr/>
        <w:t>comparación</w:t>
      </w:r>
      <w:r>
        <w:rPr>
          <w:spacing w:val="43"/>
        </w:rPr>
        <w:t> </w:t>
      </w:r>
      <w:r>
        <w:rPr/>
        <w:t>de</w:t>
      </w:r>
      <w:r>
        <w:rPr>
          <w:spacing w:val="43"/>
        </w:rPr>
        <w:t> </w:t>
      </w:r>
      <w:r>
        <w:rPr/>
        <w:t>términos;</w:t>
      </w:r>
      <w:r>
        <w:rPr>
          <w:spacing w:val="43"/>
        </w:rPr>
        <w:t> </w:t>
      </w:r>
      <w:r>
        <w:rPr/>
        <w:t>la</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2440" from="93.199997pt,-19.614155pt" to="546.799997pt,-19.614155pt" stroked="true" strokeweight=".479981pt" strokecolor="#000000">
            <w10:wrap type="none"/>
          </v:line>
        </w:pict>
      </w:r>
      <w:r>
        <w:rPr/>
        <w:t>“producción informal o social” y “producción formal” ya que este último término automáticamente hace a un lado a la sociedad, por lo menos a un porcentaje de ésta, es decir, que la “producción social” no es “producción formal” y en consecuencia la “producción formal” no es “producción social”, ya que dejaría de ser una, si es otra.</w:t>
      </w:r>
    </w:p>
    <w:p>
      <w:pPr>
        <w:pStyle w:val="BodyText"/>
        <w:spacing w:line="360" w:lineRule="auto" w:before="122"/>
        <w:ind w:left="268" w:right="231"/>
        <w:jc w:val="both"/>
      </w:pPr>
      <w:r>
        <w:rPr/>
        <w:t>Así mismo, y dentro de un proceso formal de producción de vivienda, han participado otros sectores, destacando la relevancia que ha tenido el Estado mexicano y la empresa privada, representada por el sector inmobiliario y la banca especializada en el otorgamiento de créditos hipotecarios.</w:t>
      </w:r>
    </w:p>
    <w:p>
      <w:pPr>
        <w:pStyle w:val="BodyText"/>
        <w:spacing w:line="360" w:lineRule="auto" w:before="122"/>
        <w:ind w:left="268" w:right="231"/>
        <w:jc w:val="both"/>
      </w:pPr>
      <w:r>
        <w:rPr/>
        <w:t>Los constructores-promotores forman parte de estos agentes y, su interés radica en la creación de nuevos valores de uso (construyendo edificios y viviendas), con el propósito de conseguir valores de cambio que les procure rentabilidad y ganancias. Ubicados (los constructores-promotores) dentro de la esfera de la producción, intervienen en todo el proceso de desarrollo de las viviendas, desde la adquisición de la tierra, su construcción y venta, hasta en algunos casos en donde actúan como entes financieros.</w:t>
      </w:r>
    </w:p>
    <w:p>
      <w:pPr>
        <w:pStyle w:val="BodyText"/>
        <w:spacing w:line="360" w:lineRule="auto" w:before="122"/>
        <w:ind w:left="268" w:right="231"/>
        <w:jc w:val="both"/>
      </w:pPr>
      <w:r>
        <w:rPr/>
        <w:t>Aunado a lo anterior en México, el sector de la construcción vinculado con la producción de vivienda, ha requerido permanentemente de financiamiento público que le permita producir vivienda, particularmente la dirigida a los sectores medios  y de bajos recursos económicos. Financiamiento mediante el cual, cubren las diferentes etapas ligadas con la producción de vivienda, que van  justamente desde la adquisición del terreno y su urbanización hasta la construcción y comercialización de las</w:t>
      </w:r>
      <w:r>
        <w:rPr>
          <w:spacing w:val="-1"/>
        </w:rPr>
        <w:t> </w:t>
      </w:r>
      <w:r>
        <w:rPr/>
        <w:t>viviendas.</w:t>
      </w:r>
    </w:p>
    <w:p>
      <w:pPr>
        <w:pStyle w:val="BodyText"/>
        <w:spacing w:line="360" w:lineRule="auto" w:before="122"/>
        <w:ind w:left="268" w:right="231"/>
        <w:jc w:val="both"/>
      </w:pPr>
      <w:r>
        <w:rPr/>
        <w:t>Paradójicamente la sociedad queda al margen del proceso de producción de vivienda formal puesto que el marco normativo regulado por el Estado, coadyuva en gran medida a la iniciativa privada: inmobiliarias y la banca especializada en el otorgamiento de créditos para el financiamiento de proyectos e hipotecas para la venta de viviendas. Puesto que los planes, programas, políticas, leyes y reglamentos que son administrados por las instituciones que de manera operativa autorizan  los  proyectos  habitacionales  y  ejecutan  las  acciones  emitidas  por</w:t>
      </w:r>
      <w:r>
        <w:rPr>
          <w:spacing w:val="-15"/>
        </w:rPr>
        <w:t> </w:t>
      </w:r>
      <w:r>
        <w:rPr/>
        <w:t>el</w:t>
      </w:r>
    </w:p>
    <w:p>
      <w:pPr>
        <w:spacing w:after="0" w:line="360" w:lineRule="auto"/>
        <w:jc w:val="both"/>
        <w:sectPr>
          <w:footerReference w:type="default" r:id="rId42"/>
          <w:pgSz w:w="12240" w:h="15840"/>
          <w:pgMar w:footer="1066" w:header="730"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2464" from="93.199997pt,-19.614155pt" to="546.799997pt,-19.614155pt" stroked="true" strokeweight=".479981pt" strokecolor="#000000">
            <w10:wrap type="none"/>
          </v:line>
        </w:pict>
      </w:r>
      <w:r>
        <w:rPr/>
        <w:t>Estado, establecen requisitos fuera del alcance de un ciudadano que no pertenezca o cuente con una empresa especializada en la promoción y producción de vivienda.</w:t>
      </w:r>
    </w:p>
    <w:p>
      <w:pPr>
        <w:pStyle w:val="BodyText"/>
        <w:spacing w:before="3"/>
        <w:rPr>
          <w:sz w:val="35"/>
        </w:rPr>
      </w:pPr>
    </w:p>
    <w:p>
      <w:pPr>
        <w:pStyle w:val="Heading4"/>
        <w:numPr>
          <w:ilvl w:val="1"/>
          <w:numId w:val="7"/>
        </w:numPr>
        <w:tabs>
          <w:tab w:pos="736" w:val="left" w:leader="none"/>
        </w:tabs>
        <w:spacing w:line="240" w:lineRule="auto" w:before="0" w:after="0"/>
        <w:ind w:left="735" w:right="0" w:hanging="467"/>
        <w:jc w:val="both"/>
      </w:pPr>
      <w:r>
        <w:rPr/>
        <w:t>Análisis de las variables</w:t>
      </w:r>
      <w:r>
        <w:rPr>
          <w:spacing w:val="-18"/>
        </w:rPr>
        <w:t> </w:t>
      </w:r>
      <w:r>
        <w:rPr/>
        <w:t>conceptuales</w:t>
      </w:r>
    </w:p>
    <w:p>
      <w:pPr>
        <w:pStyle w:val="Heading5"/>
        <w:numPr>
          <w:ilvl w:val="2"/>
          <w:numId w:val="7"/>
        </w:numPr>
        <w:tabs>
          <w:tab w:pos="936" w:val="left" w:leader="none"/>
        </w:tabs>
        <w:spacing w:line="240" w:lineRule="auto" w:before="117" w:after="0"/>
        <w:ind w:left="935" w:right="0" w:hanging="667"/>
        <w:jc w:val="both"/>
        <w:rPr>
          <w:i/>
        </w:rPr>
      </w:pPr>
      <w:r>
        <w:rPr>
          <w:i/>
        </w:rPr>
        <w:t>Territorio</w:t>
      </w:r>
    </w:p>
    <w:p>
      <w:pPr>
        <w:pStyle w:val="BodyText"/>
        <w:rPr>
          <w:b/>
          <w:i/>
        </w:rPr>
      </w:pPr>
    </w:p>
    <w:p>
      <w:pPr>
        <w:pStyle w:val="BodyText"/>
        <w:spacing w:before="8"/>
        <w:rPr>
          <w:b/>
          <w:i/>
          <w:sz w:val="21"/>
        </w:rPr>
      </w:pPr>
    </w:p>
    <w:p>
      <w:pPr>
        <w:pStyle w:val="BodyText"/>
        <w:spacing w:line="360" w:lineRule="auto"/>
        <w:ind w:left="268" w:right="231"/>
        <w:jc w:val="both"/>
      </w:pPr>
      <w:r>
        <w:rPr/>
        <w:t>El concepto de territorio puede resultar complejo y abstracto considerando que a partir de los años ochenta, su estudio se ha abordado desde diferentes disciplinas. Para Martínez (2012), el concepto de territorio originalmente utilizado en la geografía ha comenzado a ser empleado con más frecuencia en el conjunto de las ciencias sociales (economía, antropología, sociología) y éste se ha venido convirtiendo en un concepto polisémico.</w:t>
      </w:r>
    </w:p>
    <w:p>
      <w:pPr>
        <w:pStyle w:val="BodyText"/>
        <w:spacing w:line="360" w:lineRule="auto" w:before="122"/>
        <w:ind w:left="268" w:right="231"/>
        <w:jc w:val="both"/>
      </w:pPr>
      <w:r>
        <w:rPr/>
        <w:t>Un concepto recuperado de las áreas sociales debe ser utilizado de manera multidisciplinaria y transdisciplinaria, seria obsoleto e inservible estudiarlo desde una sola disciplina la dimensión espacial de la geografía o la concepción incrementalista de la economía que sentaron las bases para su estudio y comprensión, ahora en la segunda década del siglo XXI el estudio del territorio considera su análisis desde áreas ambientales, organizativas y biofísicas.</w:t>
      </w:r>
    </w:p>
    <w:p>
      <w:pPr>
        <w:pStyle w:val="BodyText"/>
        <w:spacing w:line="360" w:lineRule="auto" w:before="127"/>
        <w:ind w:left="268" w:right="231"/>
        <w:jc w:val="both"/>
      </w:pPr>
      <w:r>
        <w:rPr/>
        <w:t>Pecqueur (2000, citado en Martínez, 2012) concibe al territorio como “entidades socio-económicas construidas”, lo que implica superar el punto de vista geográfico e incorporar una perspectiva de dinámica económica. En un trabajo más reciente señala el concepto como “La apropiación de los actores se convierte en el certificado de nacimiento del territorio” (Pecqueur, 2009).</w:t>
      </w:r>
    </w:p>
    <w:p>
      <w:pPr>
        <w:pStyle w:val="BodyText"/>
        <w:spacing w:line="360" w:lineRule="auto" w:before="122"/>
        <w:ind w:left="268" w:right="231"/>
        <w:jc w:val="both"/>
      </w:pPr>
      <w:r>
        <w:rPr/>
        <w:t>Linck (2006, citado en Martínez, 2012) lo define como un espacio apropiado por  los factores que facilitan su construcción colectiva y también “como un recurso productivo, manejado y valorado en forma colectiva”. De este modo Martínez (2012) detecta que existen tres modos recurrentes de comprender el territorio y éstos refieren a la construcción, cooperación y apropiación, lo que da lugar a su concepción</w:t>
      </w:r>
      <w:r>
        <w:rPr>
          <w:spacing w:val="27"/>
        </w:rPr>
        <w:t> </w:t>
      </w:r>
      <w:r>
        <w:rPr/>
        <w:t>particular</w:t>
      </w:r>
      <w:r>
        <w:rPr>
          <w:spacing w:val="27"/>
        </w:rPr>
        <w:t> </w:t>
      </w:r>
      <w:r>
        <w:rPr/>
        <w:t>y</w:t>
      </w:r>
      <w:r>
        <w:rPr>
          <w:spacing w:val="27"/>
        </w:rPr>
        <w:t> </w:t>
      </w:r>
      <w:r>
        <w:rPr/>
        <w:t>ésta</w:t>
      </w:r>
      <w:r>
        <w:rPr>
          <w:spacing w:val="27"/>
        </w:rPr>
        <w:t> </w:t>
      </w:r>
      <w:r>
        <w:rPr/>
        <w:t>es</w:t>
      </w:r>
      <w:r>
        <w:rPr>
          <w:spacing w:val="27"/>
        </w:rPr>
        <w:t> </w:t>
      </w:r>
      <w:r>
        <w:rPr/>
        <w:t>que</w:t>
      </w:r>
      <w:r>
        <w:rPr>
          <w:spacing w:val="27"/>
        </w:rPr>
        <w:t> </w:t>
      </w:r>
      <w:r>
        <w:rPr/>
        <w:t>los</w:t>
      </w:r>
      <w:r>
        <w:rPr>
          <w:spacing w:val="27"/>
        </w:rPr>
        <w:t> </w:t>
      </w:r>
      <w:r>
        <w:rPr/>
        <w:t>actores</w:t>
      </w:r>
      <w:r>
        <w:rPr>
          <w:spacing w:val="27"/>
        </w:rPr>
        <w:t> </w:t>
      </w:r>
      <w:r>
        <w:rPr/>
        <w:t>sociales</w:t>
      </w:r>
      <w:r>
        <w:rPr>
          <w:spacing w:val="27"/>
        </w:rPr>
        <w:t> </w:t>
      </w:r>
      <w:r>
        <w:rPr/>
        <w:t>son</w:t>
      </w:r>
      <w:r>
        <w:rPr>
          <w:spacing w:val="27"/>
        </w:rPr>
        <w:t> </w:t>
      </w:r>
      <w:r>
        <w:rPr/>
        <w:t>quienes</w:t>
      </w:r>
      <w:r>
        <w:rPr>
          <w:spacing w:val="27"/>
        </w:rPr>
        <w:t> </w:t>
      </w:r>
      <w:r>
        <w:rPr/>
        <w:t>construyen</w:t>
      </w:r>
    </w:p>
    <w:p>
      <w:pPr>
        <w:spacing w:after="0" w:line="360" w:lineRule="auto"/>
        <w:jc w:val="both"/>
        <w:sectPr>
          <w:footerReference w:type="default" r:id="rId43"/>
          <w:pgSz w:w="12240" w:h="15840"/>
          <w:pgMar w:footer="1066" w:header="730" w:top="1320" w:bottom="1260" w:left="1720" w:right="1180"/>
          <w:pgNumType w:start="51"/>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2488" from="93.199997pt,-19.614155pt" to="546.799997pt,-19.614155pt" stroked="true" strokeweight=".479981pt" strokecolor="#000000">
            <w10:wrap type="none"/>
          </v:line>
        </w:pict>
      </w:r>
      <w:r>
        <w:rPr/>
        <w:t>un territorio, para lo cual cooperan para implementar proyectos colectivos y utilizar los recursos naturales, culturales y sociales existentes en el espacio.</w:t>
      </w:r>
    </w:p>
    <w:p>
      <w:pPr>
        <w:pStyle w:val="BodyText"/>
        <w:spacing w:line="360" w:lineRule="auto" w:before="122"/>
        <w:ind w:left="268" w:right="231"/>
        <w:jc w:val="both"/>
      </w:pPr>
      <w:r>
        <w:rPr/>
        <w:t>La óptica y la forma de comprender el concepto para el estudio de diferentes problemas desde diversas disciplinas convergen en relacionar las actividades que desarrolla el ser humano en un espacio geográfico, político, cultural, económico y ambiental determinado, lo que da pauta a estudiar el territorio desde diferentes aristas y enfoques, ya que una variable ambiental de éste puede ser estudiada desde la biología con una concepción propia de esta disciplina y la misma variable ambiental puede ser estudiada por la antropología pero una percepción ligada a la misma disciplina.</w:t>
      </w:r>
    </w:p>
    <w:p>
      <w:pPr>
        <w:pStyle w:val="BodyText"/>
        <w:spacing w:line="360" w:lineRule="auto" w:before="122"/>
        <w:ind w:left="268" w:right="231"/>
        <w:jc w:val="both"/>
      </w:pPr>
      <w:r>
        <w:rPr/>
        <w:t>Resulta interesante la interpretación de cada disciplina sobre un mismo concepto, pero más aún la complejidad que refleja el estudio del mismo con una visión transdisciplinaria, como es posible apreciar en el pensamiento de Guzmán (2006), quien lo define como la construcción de un espacio, dotando de sentido al lugar que se habita, al cual pertenece y se extiende en relación a las prácticas  cotidianas que en él desarrolla un grupo social, consiguiendo reproducir su cultura y apropiarse de los recursos del medio</w:t>
      </w:r>
      <w:r>
        <w:rPr>
          <w:spacing w:val="-1"/>
        </w:rPr>
        <w:t> </w:t>
      </w:r>
      <w:r>
        <w:rPr/>
        <w:t>ambiente.</w:t>
      </w:r>
    </w:p>
    <w:p>
      <w:pPr>
        <w:pStyle w:val="BodyText"/>
        <w:spacing w:line="360" w:lineRule="auto" w:before="127"/>
        <w:ind w:left="268" w:right="231"/>
        <w:jc w:val="both"/>
      </w:pPr>
      <w:r>
        <w:rPr/>
        <w:t>Méndez (2012) señala que el territorio es un componente esencial para la configuración de identidad para una sociedad, ya que está lleno de simbolismos  de sus habitantes puesto que en él desarrollan su vida, no solo se trata de la superficie sino que posee en concepto abstracto que surge al incorporar la interpretación de los que lo habitan y los que no, de sus acciones, de las construcciones, sus calles y sus áreas verdes, con ello adquiere un valor  intangible generando valores de pertenencia y permiten identificarlo como una colectividad específica.</w:t>
      </w:r>
    </w:p>
    <w:p>
      <w:pPr>
        <w:pStyle w:val="BodyText"/>
        <w:spacing w:line="360" w:lineRule="auto" w:before="127"/>
        <w:ind w:left="268" w:right="231"/>
        <w:jc w:val="both"/>
      </w:pPr>
      <w:r>
        <w:rPr/>
        <w:t>Para Delgado (citado en Méndez, 2012), el concepto refiere un espacio de poder, de dominio y de gestión, un espacio geográfico, que es controlado, apropiado y usado por diversos actores sociales como individuos, grupos sociales, empresas, organizaciones, estados, naciones y organizaciones transnacionales.</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2512" from="93.199997pt,-19.614155pt" to="546.799997pt,-19.614155pt" stroked="true" strokeweight=".479981pt" strokecolor="#000000">
            <w10:wrap type="none"/>
          </v:line>
        </w:pict>
      </w:r>
      <w:r>
        <w:rPr/>
        <w:t>Por lo que para comprender el concepto de territorio es necesario considerar varios elementos que pueden conformarlo como; el espacio geográfico, los aspectos sociales y culturales, los componentes ambientales, económicos y políticos. Para Delgado (2009), éste tiene un ritmo que se marca conforme a la marcha de los cambios sociales, la dinámica de la política y la economía, así como las transformaciones culturales en diferentes escalas de orden espacio-temporales en un contexto local, regional, nacional e internacional y hasta de orden global.</w:t>
      </w:r>
    </w:p>
    <w:p>
      <w:pPr>
        <w:pStyle w:val="BodyText"/>
        <w:spacing w:before="3"/>
        <w:rPr>
          <w:sz w:val="35"/>
        </w:rPr>
      </w:pPr>
    </w:p>
    <w:p>
      <w:pPr>
        <w:pStyle w:val="Heading5"/>
        <w:numPr>
          <w:ilvl w:val="2"/>
          <w:numId w:val="7"/>
        </w:numPr>
        <w:tabs>
          <w:tab w:pos="936" w:val="left" w:leader="none"/>
        </w:tabs>
        <w:spacing w:line="240" w:lineRule="auto" w:before="0" w:after="0"/>
        <w:ind w:left="935" w:right="0" w:hanging="667"/>
        <w:jc w:val="both"/>
        <w:rPr>
          <w:i/>
        </w:rPr>
      </w:pPr>
      <w:r>
        <w:rPr>
          <w:i/>
        </w:rPr>
        <w:t>Vivienda</w:t>
      </w:r>
    </w:p>
    <w:p>
      <w:pPr>
        <w:pStyle w:val="BodyText"/>
        <w:rPr>
          <w:b/>
          <w:i/>
        </w:rPr>
      </w:pPr>
    </w:p>
    <w:p>
      <w:pPr>
        <w:pStyle w:val="BodyText"/>
        <w:spacing w:before="3"/>
        <w:rPr>
          <w:b/>
          <w:i/>
          <w:sz w:val="21"/>
        </w:rPr>
      </w:pPr>
    </w:p>
    <w:p>
      <w:pPr>
        <w:pStyle w:val="BodyText"/>
        <w:spacing w:line="360" w:lineRule="auto"/>
        <w:ind w:left="268" w:right="231"/>
        <w:jc w:val="both"/>
      </w:pPr>
      <w:r>
        <w:rPr/>
        <w:t>Ésta se considera un derecho universal adicionando los calificativos de digna y adecuada que aparece en la declaración universal de los derechos humanos en su artículo 25. La oficina del alto comisionado de las Naciones Unidas para los derechos humanos en su observación general no. 4 define a la vivienda digna, como aquella vivienda donde los ciudadanos o familias pueden vivir con  seguridad, paz y dignidad.</w:t>
      </w:r>
    </w:p>
    <w:p>
      <w:pPr>
        <w:pStyle w:val="BodyText"/>
        <w:spacing w:line="360" w:lineRule="auto" w:before="127"/>
        <w:ind w:left="268" w:right="231"/>
        <w:jc w:val="both"/>
      </w:pPr>
      <w:r>
        <w:rPr/>
        <w:t>El marco normativo de México hace referencia a la vivienda en diferentes categorizaciones y se especializa conforme al ámbito político, territorial e institucional y administrativo al que se haga referencia. Comenzando con la Constitución Política de los Estados Unidos Mexicanos, en la que la vivienda se considera en el artículo 4º el cual refiere que toda familia cuenta con el derecho de disfrutar de una vivienda digna y decorosa, para ello menciona que la Ley establecerá los apoyos e instrumentos que se requieran para su cumplimiento.</w:t>
      </w:r>
    </w:p>
    <w:p>
      <w:pPr>
        <w:pStyle w:val="BodyText"/>
        <w:spacing w:line="360" w:lineRule="auto" w:before="122"/>
        <w:ind w:left="268" w:right="231"/>
        <w:jc w:val="both"/>
      </w:pPr>
      <w:r>
        <w:rPr/>
        <w:t>En el artículo. 123 inciso a) se hace referencia al derecho de los trabajadores a contar con habitaciones cómodas e higiénicas y este derecho se atenderá con las aportaciones que los empleadores hagan a un fondo nacional de la vivienda. En ambas legislaciones se menciona la vivienda de manera breve, se incorpora a la misma como un derecho de todo habitante del territorio y se hace hincapié en lo calificativo a ser digna y decorosa.</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2536" from="93.199997pt,-19.614155pt" to="546.799997pt,-19.614155pt" stroked="true" strokeweight=".479981pt" strokecolor="#000000">
            <w10:wrap type="none"/>
          </v:line>
        </w:pict>
      </w:r>
      <w:r>
        <w:rPr/>
        <w:t>Pareciera que el concepto de vivienda estuviese relegado a un fenómeno poco comprendido y considerado de manera conjunta con otros elementos entorno a la ciudad como lo son los asentamientos humanos y/o los centros de población.</w:t>
      </w:r>
    </w:p>
    <w:p>
      <w:pPr>
        <w:pStyle w:val="BodyText"/>
        <w:spacing w:line="360" w:lineRule="auto" w:before="122"/>
        <w:ind w:left="268" w:right="231"/>
        <w:jc w:val="both"/>
      </w:pPr>
      <w:r>
        <w:rPr/>
        <w:t>Schteingar (2001) hace referencia a los primeros intentos en el Estado de México en tipificar una tipología de vivienda los cuales se clasificaban en la Ley de Asentamientos Humanos del Estado de México de 1983 y esta clasificación, más no descripción, se hace en un carácter de poder adquisitivo y estos eran: residencial, popular, residencial campestre y granjas, más tarde en las reformas realizadas a esta ley se contempla la vivienda de tipo social progresiva, la cual solo puede producir el Estado.</w:t>
      </w:r>
    </w:p>
    <w:p>
      <w:pPr>
        <w:pStyle w:val="BodyText"/>
        <w:spacing w:line="360" w:lineRule="auto" w:before="122"/>
        <w:ind w:left="268" w:right="231"/>
        <w:jc w:val="both"/>
      </w:pPr>
      <w:r>
        <w:rPr/>
        <w:t>Parece que para los años 80 la vivienda comienza a conceptualizarse más como un elemento de contribución al producto interno bruto que como se expresa en la Constitución Política de los Estados Unidos Mexicanos, un derecho constitucional de todo habitante, el cual carece de una descripción adecuada.</w:t>
      </w:r>
    </w:p>
    <w:p>
      <w:pPr>
        <w:pStyle w:val="BodyText"/>
        <w:spacing w:line="360" w:lineRule="auto" w:before="122"/>
        <w:ind w:left="268" w:right="231"/>
        <w:jc w:val="both"/>
      </w:pPr>
      <w:r>
        <w:rPr/>
        <w:t>En el 2006 la nueva Ley de Vivienda promulgada en la administración de Vicente Fox en su artículo 1 menciona que la vivienda es un área prioritaria para el desarrollo nacional, donde se continúa delegando al Estado como impulsor y promotor de actividades que norman y organizan al sector privado en la  producción de</w:t>
      </w:r>
      <w:r>
        <w:rPr>
          <w:spacing w:val="-1"/>
        </w:rPr>
        <w:t> </w:t>
      </w:r>
      <w:r>
        <w:rPr/>
        <w:t>ésta.</w:t>
      </w:r>
    </w:p>
    <w:p>
      <w:pPr>
        <w:pStyle w:val="BodyText"/>
        <w:spacing w:before="122"/>
        <w:ind w:left="268"/>
        <w:jc w:val="both"/>
      </w:pPr>
      <w:r>
        <w:rPr/>
        <w:t>El artículo 2 define a la vivienda como:</w:t>
      </w:r>
    </w:p>
    <w:p>
      <w:pPr>
        <w:pStyle w:val="BodyText"/>
        <w:spacing w:before="3"/>
        <w:rPr>
          <w:sz w:val="22"/>
        </w:rPr>
      </w:pPr>
    </w:p>
    <w:p>
      <w:pPr>
        <w:spacing w:line="290" w:lineRule="auto" w:before="1"/>
        <w:ind w:left="552" w:right="790" w:firstLine="66"/>
        <w:jc w:val="both"/>
        <w:rPr>
          <w:i/>
          <w:sz w:val="19"/>
        </w:rPr>
      </w:pPr>
      <w:r>
        <w:rPr>
          <w:w w:val="105"/>
          <w:sz w:val="24"/>
        </w:rPr>
        <w:t>“</w:t>
      </w:r>
      <w:r>
        <w:rPr>
          <w:i/>
          <w:w w:val="105"/>
          <w:sz w:val="19"/>
        </w:rPr>
        <w:t>ARTÍCULO 2.- Se considerará vivienda digna y decorosa la que cumpla con las </w:t>
      </w:r>
      <w:r>
        <w:rPr>
          <w:i/>
          <w:w w:val="105"/>
          <w:sz w:val="19"/>
        </w:rPr>
        <w:t>disposiciones jurídicas aplicables en materia de asentamientos humanos y construcción, habitabilidad, salubridad, cuente con los servicios básicos y brinde a sus ocupantes seguridad jurídica en cuanto a su propiedad o legítima posesión, y contemple criterios para la prevención de desastres y la protección física de sus ocupantes ante los elementos naturales potencialmente agresivos.” (Ley de Vivienda, última reforma 24-03- 2014)</w:t>
      </w:r>
    </w:p>
    <w:p>
      <w:pPr>
        <w:pStyle w:val="BodyText"/>
        <w:spacing w:before="9"/>
        <w:rPr>
          <w:i/>
          <w:sz w:val="19"/>
        </w:rPr>
      </w:pPr>
    </w:p>
    <w:p>
      <w:pPr>
        <w:pStyle w:val="BodyText"/>
        <w:spacing w:line="360" w:lineRule="auto"/>
        <w:ind w:left="268" w:right="231"/>
        <w:jc w:val="both"/>
      </w:pPr>
      <w:r>
        <w:rPr/>
        <w:t>La conceptualización que se estructura en el artículo 2 de la Ley de Vivienda permite contemplar elementos que hasta entonces no se habían considerado de manera jurídica y aunque intrínsecamente se contemplaban de un modo u otro, hasta  el  momento  se  habían  tomado  en  cuenta  elementos  de  un  corte  más</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2560" from="93.199997pt,-19.614155pt" to="546.799997pt,-19.614155pt" stroked="true" strokeweight=".479981pt" strokecolor="#000000">
            <w10:wrap type="none"/>
          </v:line>
        </w:pict>
      </w:r>
      <w:r>
        <w:rPr/>
        <w:t>capitalista, esto no quiere decir que se dejó de lado la visión de la vivienda como un bien de consumo, pero sí dio pauta para esgrimir directrices para conceptualizar a la vivienda como una necesidad.</w:t>
      </w:r>
    </w:p>
    <w:p>
      <w:pPr>
        <w:pStyle w:val="BodyText"/>
        <w:spacing w:line="360" w:lineRule="auto" w:before="122"/>
        <w:ind w:left="268" w:right="231"/>
        <w:jc w:val="both"/>
      </w:pPr>
      <w:r>
        <w:rPr/>
        <w:t>La ONU HÁBITAT en colaboración con la Comisión Nacional de Vivienda y la Universidad Nacional Autónoma de México, desarrolló en 2012 un perfil del sector de la vivienda en México, en el que refieren un Sistema Institucional de Vivienda (SIV), el cual considera tres etapas en relación al proceso de promoción,  desarrollo y producción de la vivienda. La primera etapa (1970-1989) refiere a la constitución y consolidación del sistema institucional de vivienda. En la segunda etapa (1980-2000) se adopta un enfoque facilitador. En la tercera etapa (2001- 2012) se generan estructuras institucionales y operacionales actuales.</w:t>
      </w:r>
    </w:p>
    <w:p>
      <w:pPr>
        <w:pStyle w:val="BodyText"/>
        <w:spacing w:line="360" w:lineRule="auto" w:before="122"/>
        <w:ind w:left="268" w:right="231"/>
        <w:jc w:val="both"/>
      </w:pPr>
      <w:r>
        <w:rPr/>
        <w:t>A finales de 2012 con el cambio de administración federal en México, surgen “nuevas” propuestas para la estructuración del “nuevo modelo” de desarrollo urbano en el cual está inmersa la vivienda. La política nacional urbana y de vivienda promulgada por la recién creada Secretaría de Desarrollo Agrario, Territorial y Urbano (SEDATU) se describe como una política de control y consolidación de las manchas urbanas, la cual busca reducir el rezago de vivienda y rehabilitar el parque habitacional existente. (Política Nacional de Vivienda, 2013).</w:t>
      </w:r>
    </w:p>
    <w:p>
      <w:pPr>
        <w:pStyle w:val="BodyText"/>
        <w:spacing w:line="360" w:lineRule="auto" w:before="122"/>
        <w:ind w:left="268" w:right="231"/>
        <w:jc w:val="both"/>
      </w:pPr>
      <w:r>
        <w:rPr/>
        <w:t>El camino recorrido en cuarenta y cuatro años ha marcado el tipo de vivienda que ha sido desarrollado conforme a la experiencia de practicar a prueba y error, buscando cumplir con el objetivo de vivienda digna y adecuada para los habitantes del territorio mexicano. Sin embargo, solo hace ocho años se dio una definición más aplicada al concepto de vivienda que concibiera características en relación a satisfacer las necesidades de quien la habita.</w:t>
      </w:r>
    </w:p>
    <w:p>
      <w:pPr>
        <w:pStyle w:val="BodyText"/>
      </w:pPr>
    </w:p>
    <w:p>
      <w:pPr>
        <w:pStyle w:val="Heading5"/>
        <w:numPr>
          <w:ilvl w:val="2"/>
          <w:numId w:val="7"/>
        </w:numPr>
        <w:tabs>
          <w:tab w:pos="936" w:val="left" w:leader="none"/>
        </w:tabs>
        <w:spacing w:line="240" w:lineRule="auto" w:before="154" w:after="0"/>
        <w:ind w:left="935" w:right="0" w:hanging="667"/>
        <w:jc w:val="both"/>
        <w:rPr>
          <w:i/>
        </w:rPr>
      </w:pPr>
      <w:r>
        <w:rPr>
          <w:i/>
        </w:rPr>
        <w:t>Sustentabilidad</w:t>
      </w:r>
    </w:p>
    <w:p>
      <w:pPr>
        <w:pStyle w:val="BodyText"/>
        <w:rPr>
          <w:b/>
          <w:i/>
        </w:rPr>
      </w:pPr>
    </w:p>
    <w:p>
      <w:pPr>
        <w:pStyle w:val="BodyText"/>
        <w:spacing w:before="3"/>
        <w:rPr>
          <w:b/>
          <w:i/>
          <w:sz w:val="21"/>
        </w:rPr>
      </w:pPr>
    </w:p>
    <w:p>
      <w:pPr>
        <w:pStyle w:val="BodyText"/>
        <w:spacing w:line="360" w:lineRule="auto"/>
        <w:ind w:left="268" w:right="231"/>
        <w:jc w:val="both"/>
      </w:pPr>
      <w:r>
        <w:rPr/>
        <w:t>Diversos autores han referido a la sustentabilidad con base en el concepto de desarrollo sustentable que se dio a conocer en el libro Nuestro futuro común, un informe desarrollado por la Organización de Naciones Unidas y publicado en 1986,</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2584" from="93.199997pt,-19.614155pt" to="546.799997pt,-19.614155pt" stroked="true" strokeweight=".479981pt" strokecolor="#000000">
            <w10:wrap type="none"/>
          </v:line>
        </w:pict>
      </w:r>
      <w:r>
        <w:rPr/>
        <w:t>en el que la definición versa así: “Desarrollo sustentable es aquel que satisface las necesidades del presente sin comprometer las posibilidades de las futuras generaciones de satisfacer sus propias necesidades” (WCED, 1987: 43).</w:t>
      </w:r>
    </w:p>
    <w:p>
      <w:pPr>
        <w:pStyle w:val="BodyText"/>
        <w:spacing w:line="360" w:lineRule="auto" w:before="122"/>
        <w:ind w:left="268" w:right="231"/>
        <w:jc w:val="both"/>
      </w:pPr>
      <w:r>
        <w:rPr/>
        <w:t>Si bien el concepto definido en 1986 contempla la satisfacción de necesidades de una generación presente y una futura argumentando la utilización de los recursos naturales de una manera adecuada y controlada, pero que garanticen la continuidad de un modelo capitalista. Incluso el termino de desarrollo sustentable para tal informe parte del área de la economía que contextualiza la sustentabilidad como un modelo de producción capitalista equilibrado.</w:t>
      </w:r>
    </w:p>
    <w:p>
      <w:pPr>
        <w:pStyle w:val="BodyText"/>
        <w:spacing w:line="360" w:lineRule="auto" w:before="122"/>
        <w:ind w:left="268" w:right="231"/>
        <w:jc w:val="both"/>
      </w:pPr>
      <w:r>
        <w:rPr/>
        <w:t>Lo anterior parte de una serie de discusiones y corrientes que surgieron como respuesta a la crisis ambiental generada por el sistema capitalista instaurado por las primeras potencias del mundo. Pierri (2005), menciona algunos hechos que evidencian esta crisis ambiental, como la catástrofe químico-ecológica en Seveso en 1976, la segunda crisis del petróleo en 1978, hasta la explosión del reactor nuclear de Chernobyl en 1986.</w:t>
      </w:r>
    </w:p>
    <w:p>
      <w:pPr>
        <w:pStyle w:val="BodyText"/>
        <w:spacing w:line="360" w:lineRule="auto" w:before="122"/>
        <w:ind w:left="268" w:right="231"/>
        <w:jc w:val="both"/>
      </w:pPr>
      <w:r>
        <w:rPr/>
        <w:t>Cabe resaltar la propuesta del ecodesarrollo que buscaban ser humanistas y críticas con límites, motivando la participación social para generar cambios y soluciones ante un mercado capitalista, incentivando regulaciones y acuerdos entre empresas, Estado y sociedad civil, para atender las prioridades ecológicas y las necesidades sociales.</w:t>
      </w:r>
    </w:p>
    <w:p>
      <w:pPr>
        <w:pStyle w:val="BodyText"/>
        <w:spacing w:line="360" w:lineRule="auto" w:before="122"/>
        <w:ind w:left="268" w:right="231"/>
        <w:jc w:val="both"/>
      </w:pPr>
      <w:r>
        <w:rPr/>
        <w:t>Por su parte Adams (1990), describe a la sustentabilidad como el concepto llave  ya que conservación y desarrollo son dos términos compatibles, desarrollo es la modificación de la biosfera, la aplicación de los recursos humanos y financieros, vivos y no, para satisfacer las necesidades y mejorar la calidad de vida. Mientras que conservación es la administración que el ser humano hace de la biosfera para rendir los mejores beneficios sustentables para satisfacer necesidades presentes y futuras.</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2608" from="93.199997pt,-19.614155pt" to="546.799997pt,-19.614155pt" stroked="true" strokeweight=".479981pt" strokecolor="#000000">
            <w10:wrap type="none"/>
          </v:line>
        </w:pict>
      </w:r>
      <w:r>
        <w:rPr/>
        <w:t>La Fundación para la Conservación de Especies y Medio Ambiente (FUCEMA) argumenta que el término sustentable hace una connotación a la actividad económica del ser humano y no a los recursos renovables, considerando que una propiedad de los recursos bióticos es la renovabilidad, y para ello la  sustentabilidad es una condición particular del control del uso de los recursos por la sociedad.</w:t>
      </w:r>
    </w:p>
    <w:p>
      <w:pPr>
        <w:pStyle w:val="BodyText"/>
        <w:spacing w:line="360" w:lineRule="auto" w:before="122"/>
        <w:ind w:left="268" w:right="231"/>
        <w:jc w:val="both"/>
      </w:pPr>
      <w:r>
        <w:rPr/>
        <w:t>El ser humano ha buscado administrar los recursos con los que cuenta, desde sus inicios en la época de la prehistoria, pasando por cada una de las etapas de su evolución hasta la conceptualización de Malthus en 1836 quien abordó los principios de la economía política dando comienzo al término de desarrollo sustentable. Poco más de un siglo transcurrió desde Malthus hasta la reunión de Estocolmo en 1972 cuando se celebró la primera reunión de medio ambiente, generada por la preocupación de su devastación y de incorporar los problemas del desarrollo humano en la agenda de la política internacional. En la tabla 1, se muestran algunas propuestas realizadas a nivel mundial y en México en relación al tema del medio ambiente, el ecodesarrollo, la sostenibilidad y la sustentabilidad.</w:t>
      </w:r>
    </w:p>
    <w:p>
      <w:pPr>
        <w:pStyle w:val="BodyText"/>
      </w:pPr>
    </w:p>
    <w:p>
      <w:pPr>
        <w:pStyle w:val="BodyText"/>
        <w:spacing w:before="10"/>
        <w:rPr>
          <w:sz w:val="18"/>
        </w:rPr>
      </w:pPr>
    </w:p>
    <w:p>
      <w:pPr>
        <w:pStyle w:val="BodyText"/>
        <w:spacing w:line="274" w:lineRule="exact" w:after="22"/>
        <w:ind w:left="268" w:right="289"/>
        <w:jc w:val="both"/>
      </w:pPr>
      <w:r>
        <w:rPr/>
        <w:t>Tabla 1. Algunas propuestas y hechos que dieron origen a la conceptualización de sustentabilidad.</w:t>
      </w:r>
    </w:p>
    <w:tbl>
      <w:tblPr>
        <w:tblCellSpacing w:w="11" w:type="dxa"/>
        <w:tblW w:w="0" w:type="auto"/>
        <w:jc w:val="left"/>
        <w:tblInd w:w="96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89"/>
        <w:gridCol w:w="2635"/>
        <w:gridCol w:w="4116"/>
      </w:tblGrid>
      <w:tr>
        <w:trPr>
          <w:trHeight w:val="981" w:hRule="exact"/>
        </w:trPr>
        <w:tc>
          <w:tcPr>
            <w:tcW w:w="7440" w:type="dxa"/>
            <w:gridSpan w:val="3"/>
            <w:tcBorders>
              <w:bottom w:val="nil"/>
            </w:tcBorders>
            <w:shd w:val="clear" w:color="auto" w:fill="000000"/>
          </w:tcPr>
          <w:p>
            <w:pPr>
              <w:pStyle w:val="TableParagraph"/>
              <w:jc w:val="left"/>
              <w:rPr>
                <w:sz w:val="16"/>
              </w:rPr>
            </w:pPr>
          </w:p>
          <w:p>
            <w:pPr>
              <w:pStyle w:val="TableParagraph"/>
              <w:spacing w:line="393" w:lineRule="auto" w:before="126"/>
              <w:ind w:left="2241" w:right="2008" w:hanging="218"/>
              <w:jc w:val="left"/>
              <w:rPr>
                <w:sz w:val="16"/>
              </w:rPr>
            </w:pPr>
            <w:r>
              <w:rPr>
                <w:color w:val="FFFFFF"/>
                <w:sz w:val="16"/>
              </w:rPr>
              <w:t>Algunas propuestas y hechos que dieron origen a la conceptualización de sustentabilidad.</w:t>
            </w:r>
          </w:p>
        </w:tc>
      </w:tr>
      <w:tr>
        <w:trPr>
          <w:trHeight w:val="299" w:hRule="exact"/>
        </w:trPr>
        <w:tc>
          <w:tcPr>
            <w:tcW w:w="689" w:type="dxa"/>
            <w:tcBorders>
              <w:top w:val="nil"/>
              <w:bottom w:val="nil"/>
              <w:right w:val="nil"/>
            </w:tcBorders>
            <w:shd w:val="clear" w:color="auto" w:fill="808080"/>
          </w:tcPr>
          <w:p>
            <w:pPr>
              <w:pStyle w:val="TableParagraph"/>
              <w:spacing w:before="118"/>
              <w:ind w:left="145" w:right="146"/>
              <w:rPr>
                <w:sz w:val="16"/>
              </w:rPr>
            </w:pPr>
            <w:r>
              <w:rPr>
                <w:color w:val="FFFFFF"/>
                <w:sz w:val="16"/>
              </w:rPr>
              <w:t>Año</w:t>
            </w:r>
          </w:p>
        </w:tc>
        <w:tc>
          <w:tcPr>
            <w:tcW w:w="2635" w:type="dxa"/>
            <w:tcBorders>
              <w:top w:val="nil"/>
              <w:left w:val="nil"/>
              <w:bottom w:val="nil"/>
              <w:right w:val="nil"/>
            </w:tcBorders>
            <w:shd w:val="clear" w:color="auto" w:fill="808080"/>
          </w:tcPr>
          <w:p>
            <w:pPr>
              <w:pStyle w:val="TableParagraph"/>
              <w:spacing w:before="118"/>
              <w:ind w:left="1105" w:right="1106"/>
              <w:rPr>
                <w:sz w:val="16"/>
              </w:rPr>
            </w:pPr>
            <w:r>
              <w:rPr>
                <w:color w:val="FFFFFF"/>
                <w:sz w:val="16"/>
              </w:rPr>
              <w:t>Autor</w:t>
            </w:r>
          </w:p>
        </w:tc>
        <w:tc>
          <w:tcPr>
            <w:tcW w:w="4116" w:type="dxa"/>
            <w:tcBorders>
              <w:top w:val="nil"/>
              <w:left w:val="nil"/>
              <w:bottom w:val="nil"/>
            </w:tcBorders>
            <w:shd w:val="clear" w:color="auto" w:fill="808080"/>
          </w:tcPr>
          <w:p>
            <w:pPr>
              <w:pStyle w:val="TableParagraph"/>
              <w:spacing w:before="118"/>
              <w:ind w:left="1672" w:right="1673"/>
              <w:rPr>
                <w:sz w:val="16"/>
              </w:rPr>
            </w:pPr>
            <w:r>
              <w:rPr>
                <w:color w:val="FFFFFF"/>
                <w:sz w:val="16"/>
              </w:rPr>
              <w:t>Propuesta</w:t>
            </w:r>
          </w:p>
        </w:tc>
      </w:tr>
      <w:tr>
        <w:trPr>
          <w:trHeight w:val="304" w:hRule="exact"/>
        </w:trPr>
        <w:tc>
          <w:tcPr>
            <w:tcW w:w="689" w:type="dxa"/>
            <w:tcBorders>
              <w:top w:val="nil"/>
              <w:bottom w:val="nil"/>
              <w:right w:val="nil"/>
            </w:tcBorders>
            <w:shd w:val="clear" w:color="auto" w:fill="F3F3F3"/>
          </w:tcPr>
          <w:p>
            <w:pPr>
              <w:pStyle w:val="TableParagraph"/>
              <w:spacing w:before="118"/>
              <w:ind w:left="146" w:right="146"/>
              <w:rPr>
                <w:sz w:val="16"/>
              </w:rPr>
            </w:pPr>
            <w:r>
              <w:rPr>
                <w:sz w:val="16"/>
              </w:rPr>
              <w:t>1836</w:t>
            </w:r>
          </w:p>
        </w:tc>
        <w:tc>
          <w:tcPr>
            <w:tcW w:w="2635" w:type="dxa"/>
            <w:tcBorders>
              <w:top w:val="nil"/>
              <w:left w:val="nil"/>
              <w:bottom w:val="nil"/>
              <w:right w:val="nil"/>
            </w:tcBorders>
            <w:shd w:val="clear" w:color="auto" w:fill="F3F3F3"/>
          </w:tcPr>
          <w:p>
            <w:pPr>
              <w:pStyle w:val="TableParagraph"/>
              <w:spacing w:before="118"/>
              <w:ind w:left="57"/>
              <w:jc w:val="left"/>
              <w:rPr>
                <w:sz w:val="16"/>
              </w:rPr>
            </w:pPr>
            <w:r>
              <w:rPr>
                <w:sz w:val="16"/>
              </w:rPr>
              <w:t>Malthus</w:t>
            </w:r>
          </w:p>
        </w:tc>
        <w:tc>
          <w:tcPr>
            <w:tcW w:w="4116" w:type="dxa"/>
            <w:tcBorders>
              <w:top w:val="nil"/>
              <w:left w:val="nil"/>
              <w:bottom w:val="nil"/>
            </w:tcBorders>
            <w:shd w:val="clear" w:color="auto" w:fill="F3F3F3"/>
          </w:tcPr>
          <w:p>
            <w:pPr>
              <w:pStyle w:val="TableParagraph"/>
              <w:spacing w:before="118"/>
              <w:ind w:left="57" w:right="606"/>
              <w:jc w:val="left"/>
              <w:rPr>
                <w:sz w:val="16"/>
              </w:rPr>
            </w:pPr>
            <w:r>
              <w:rPr>
                <w:sz w:val="16"/>
              </w:rPr>
              <w:t>Principios de economía política.</w:t>
            </w:r>
          </w:p>
        </w:tc>
      </w:tr>
      <w:tr>
        <w:trPr>
          <w:trHeight w:val="299" w:hRule="exact"/>
        </w:trPr>
        <w:tc>
          <w:tcPr>
            <w:tcW w:w="689" w:type="dxa"/>
            <w:tcBorders>
              <w:top w:val="nil"/>
              <w:bottom w:val="nil"/>
              <w:right w:val="nil"/>
            </w:tcBorders>
            <w:shd w:val="clear" w:color="auto" w:fill="E0E0E0"/>
          </w:tcPr>
          <w:p>
            <w:pPr>
              <w:pStyle w:val="TableParagraph"/>
              <w:spacing w:before="118"/>
              <w:ind w:left="146" w:right="146"/>
              <w:rPr>
                <w:sz w:val="16"/>
              </w:rPr>
            </w:pPr>
            <w:r>
              <w:rPr>
                <w:sz w:val="16"/>
              </w:rPr>
              <w:t>1972</w:t>
            </w:r>
          </w:p>
        </w:tc>
        <w:tc>
          <w:tcPr>
            <w:tcW w:w="2635" w:type="dxa"/>
            <w:tcBorders>
              <w:top w:val="nil"/>
              <w:left w:val="nil"/>
              <w:bottom w:val="nil"/>
              <w:right w:val="nil"/>
            </w:tcBorders>
            <w:shd w:val="clear" w:color="auto" w:fill="E0E0E0"/>
          </w:tcPr>
          <w:p>
            <w:pPr>
              <w:pStyle w:val="TableParagraph"/>
              <w:spacing w:before="118"/>
              <w:ind w:left="57"/>
              <w:jc w:val="left"/>
              <w:rPr>
                <w:sz w:val="16"/>
              </w:rPr>
            </w:pPr>
            <w:r>
              <w:rPr>
                <w:sz w:val="16"/>
              </w:rPr>
              <w:t>Estocolmo</w:t>
            </w:r>
          </w:p>
        </w:tc>
        <w:tc>
          <w:tcPr>
            <w:tcW w:w="4116" w:type="dxa"/>
            <w:tcBorders>
              <w:top w:val="nil"/>
              <w:left w:val="nil"/>
              <w:bottom w:val="nil"/>
            </w:tcBorders>
            <w:shd w:val="clear" w:color="auto" w:fill="E0E0E0"/>
          </w:tcPr>
          <w:p>
            <w:pPr>
              <w:pStyle w:val="TableParagraph"/>
              <w:spacing w:before="118"/>
              <w:ind w:left="57" w:right="606"/>
              <w:jc w:val="left"/>
              <w:rPr>
                <w:sz w:val="16"/>
              </w:rPr>
            </w:pPr>
            <w:r>
              <w:rPr>
                <w:sz w:val="16"/>
              </w:rPr>
              <w:t>1ra reunión mundial sobre el medio ambiente.</w:t>
            </w:r>
          </w:p>
        </w:tc>
      </w:tr>
      <w:tr>
        <w:trPr>
          <w:trHeight w:val="486" w:hRule="exact"/>
        </w:trPr>
        <w:tc>
          <w:tcPr>
            <w:tcW w:w="689" w:type="dxa"/>
            <w:tcBorders>
              <w:top w:val="nil"/>
              <w:bottom w:val="nil"/>
              <w:right w:val="nil"/>
            </w:tcBorders>
            <w:shd w:val="clear" w:color="auto" w:fill="F3F3F3"/>
          </w:tcPr>
          <w:p>
            <w:pPr>
              <w:pStyle w:val="TableParagraph"/>
              <w:spacing w:before="7"/>
              <w:jc w:val="left"/>
              <w:rPr>
                <w:sz w:val="18"/>
              </w:rPr>
            </w:pPr>
          </w:p>
          <w:p>
            <w:pPr>
              <w:pStyle w:val="TableParagraph"/>
              <w:ind w:left="146" w:right="146"/>
              <w:rPr>
                <w:sz w:val="16"/>
              </w:rPr>
            </w:pPr>
            <w:r>
              <w:rPr>
                <w:sz w:val="16"/>
              </w:rPr>
              <w:t>1973</w:t>
            </w:r>
          </w:p>
        </w:tc>
        <w:tc>
          <w:tcPr>
            <w:tcW w:w="2635" w:type="dxa"/>
            <w:tcBorders>
              <w:top w:val="nil"/>
              <w:left w:val="nil"/>
              <w:bottom w:val="nil"/>
              <w:right w:val="nil"/>
            </w:tcBorders>
            <w:shd w:val="clear" w:color="auto" w:fill="F3F3F3"/>
          </w:tcPr>
          <w:p>
            <w:pPr>
              <w:pStyle w:val="TableParagraph"/>
              <w:spacing w:before="7"/>
              <w:jc w:val="left"/>
              <w:rPr>
                <w:sz w:val="18"/>
              </w:rPr>
            </w:pPr>
          </w:p>
          <w:p>
            <w:pPr>
              <w:pStyle w:val="TableParagraph"/>
              <w:ind w:left="57"/>
              <w:jc w:val="left"/>
              <w:rPr>
                <w:sz w:val="16"/>
              </w:rPr>
            </w:pPr>
            <w:r>
              <w:rPr>
                <w:sz w:val="16"/>
              </w:rPr>
              <w:t>Instituto Politécnico Nacional</w:t>
            </w:r>
          </w:p>
        </w:tc>
        <w:tc>
          <w:tcPr>
            <w:tcW w:w="4116" w:type="dxa"/>
            <w:tcBorders>
              <w:top w:val="nil"/>
              <w:left w:val="nil"/>
              <w:bottom w:val="nil"/>
            </w:tcBorders>
            <w:shd w:val="clear" w:color="auto" w:fill="F3F3F3"/>
          </w:tcPr>
          <w:p>
            <w:pPr>
              <w:pStyle w:val="TableParagraph"/>
              <w:spacing w:line="244" w:lineRule="auto" w:before="118"/>
              <w:ind w:left="57" w:right="606"/>
              <w:jc w:val="left"/>
              <w:rPr>
                <w:sz w:val="16"/>
              </w:rPr>
            </w:pPr>
            <w:r>
              <w:rPr>
                <w:sz w:val="16"/>
              </w:rPr>
              <w:t>Seminario Internacional sobre medio ambiente y desarrollo.</w:t>
            </w:r>
          </w:p>
        </w:tc>
      </w:tr>
      <w:tr>
        <w:trPr>
          <w:trHeight w:val="625" w:hRule="exact"/>
        </w:trPr>
        <w:tc>
          <w:tcPr>
            <w:tcW w:w="7440" w:type="dxa"/>
            <w:gridSpan w:val="3"/>
            <w:tcBorders>
              <w:top w:val="nil"/>
              <w:bottom w:val="nil"/>
            </w:tcBorders>
            <w:shd w:val="clear" w:color="auto" w:fill="E0E0E0"/>
          </w:tcPr>
          <w:p>
            <w:pPr>
              <w:pStyle w:val="TableParagraph"/>
              <w:tabs>
                <w:tab w:pos="758" w:val="left" w:leader="none"/>
                <w:tab w:pos="3393" w:val="left" w:leader="none"/>
              </w:tabs>
              <w:spacing w:before="118"/>
              <w:ind w:left="159" w:right="2008"/>
              <w:jc w:val="left"/>
              <w:rPr>
                <w:sz w:val="16"/>
              </w:rPr>
            </w:pPr>
            <w:r>
              <w:rPr>
                <w:sz w:val="16"/>
              </w:rPr>
              <w:t>1974</w:t>
              <w:tab/>
            </w:r>
            <w:r>
              <w:rPr>
                <w:position w:val="-6"/>
                <w:sz w:val="16"/>
              </w:rPr>
              <w:t>Asociación</w:t>
            </w:r>
            <w:r>
              <w:rPr>
                <w:spacing w:val="-3"/>
                <w:position w:val="-6"/>
                <w:sz w:val="16"/>
              </w:rPr>
              <w:t> </w:t>
            </w:r>
            <w:r>
              <w:rPr>
                <w:position w:val="-6"/>
                <w:sz w:val="16"/>
              </w:rPr>
              <w:t>Mexicana</w:t>
            </w:r>
            <w:r>
              <w:rPr>
                <w:spacing w:val="-3"/>
                <w:position w:val="-6"/>
                <w:sz w:val="16"/>
              </w:rPr>
              <w:t> </w:t>
            </w:r>
            <w:r>
              <w:rPr>
                <w:position w:val="-6"/>
                <w:sz w:val="16"/>
              </w:rPr>
              <w:t>de</w:t>
              <w:tab/>
            </w:r>
            <w:r>
              <w:rPr>
                <w:sz w:val="16"/>
              </w:rPr>
              <w:t>Conferencia</w:t>
            </w:r>
            <w:r>
              <w:rPr>
                <w:spacing w:val="-13"/>
                <w:sz w:val="16"/>
              </w:rPr>
              <w:t> </w:t>
            </w:r>
            <w:r>
              <w:rPr>
                <w:sz w:val="16"/>
              </w:rPr>
              <w:t>Cocoyoc</w:t>
            </w:r>
          </w:p>
          <w:p>
            <w:pPr>
              <w:pStyle w:val="TableParagraph"/>
              <w:tabs>
                <w:tab w:pos="758" w:val="left" w:leader="none"/>
                <w:tab w:pos="3393" w:val="left" w:leader="none"/>
              </w:tabs>
              <w:spacing w:before="2"/>
              <w:ind w:left="159"/>
              <w:jc w:val="left"/>
              <w:rPr>
                <w:sz w:val="16"/>
              </w:rPr>
            </w:pPr>
            <w:r>
              <w:rPr>
                <w:sz w:val="16"/>
              </w:rPr>
              <w:t>1976</w:t>
              <w:tab/>
            </w:r>
            <w:r>
              <w:rPr>
                <w:position w:val="7"/>
                <w:sz w:val="16"/>
              </w:rPr>
              <w:t>Epistemología.</w:t>
              <w:tab/>
            </w:r>
            <w:r>
              <w:rPr>
                <w:sz w:val="16"/>
              </w:rPr>
              <w:t>Simposio sobre</w:t>
            </w:r>
            <w:r>
              <w:rPr>
                <w:spacing w:val="-19"/>
                <w:sz w:val="16"/>
              </w:rPr>
              <w:t> </w:t>
            </w:r>
            <w:r>
              <w:rPr>
                <w:sz w:val="16"/>
              </w:rPr>
              <w:t>ecodesarrollo</w:t>
            </w:r>
          </w:p>
        </w:tc>
      </w:tr>
      <w:tr>
        <w:trPr>
          <w:trHeight w:val="486" w:hRule="exact"/>
        </w:trPr>
        <w:tc>
          <w:tcPr>
            <w:tcW w:w="689" w:type="dxa"/>
            <w:tcBorders>
              <w:top w:val="nil"/>
              <w:bottom w:val="nil"/>
              <w:right w:val="nil"/>
            </w:tcBorders>
            <w:shd w:val="clear" w:color="auto" w:fill="F3F3F3"/>
          </w:tcPr>
          <w:p>
            <w:pPr>
              <w:pStyle w:val="TableParagraph"/>
              <w:spacing w:before="2"/>
              <w:jc w:val="left"/>
              <w:rPr>
                <w:sz w:val="18"/>
              </w:rPr>
            </w:pPr>
          </w:p>
          <w:p>
            <w:pPr>
              <w:pStyle w:val="TableParagraph"/>
              <w:spacing w:before="1"/>
              <w:ind w:left="146" w:right="146"/>
              <w:rPr>
                <w:sz w:val="16"/>
              </w:rPr>
            </w:pPr>
            <w:r>
              <w:rPr>
                <w:sz w:val="16"/>
              </w:rPr>
              <w:t>1980</w:t>
            </w:r>
          </w:p>
        </w:tc>
        <w:tc>
          <w:tcPr>
            <w:tcW w:w="2635" w:type="dxa"/>
            <w:tcBorders>
              <w:top w:val="nil"/>
              <w:left w:val="nil"/>
              <w:bottom w:val="nil"/>
              <w:right w:val="nil"/>
            </w:tcBorders>
            <w:shd w:val="clear" w:color="auto" w:fill="F3F3F3"/>
          </w:tcPr>
          <w:p>
            <w:pPr>
              <w:pStyle w:val="TableParagraph"/>
              <w:spacing w:line="244" w:lineRule="auto" w:before="118"/>
              <w:ind w:left="57"/>
              <w:jc w:val="left"/>
              <w:rPr>
                <w:sz w:val="16"/>
              </w:rPr>
            </w:pPr>
            <w:r>
              <w:rPr>
                <w:sz w:val="16"/>
              </w:rPr>
              <w:t>Unión Internacional para la Conservación de la Naturaleza</w:t>
            </w:r>
          </w:p>
        </w:tc>
        <w:tc>
          <w:tcPr>
            <w:tcW w:w="4116" w:type="dxa"/>
            <w:tcBorders>
              <w:top w:val="nil"/>
              <w:left w:val="nil"/>
              <w:bottom w:val="nil"/>
            </w:tcBorders>
            <w:shd w:val="clear" w:color="auto" w:fill="F3F3F3"/>
          </w:tcPr>
          <w:p>
            <w:pPr>
              <w:pStyle w:val="TableParagraph"/>
              <w:spacing w:before="2"/>
              <w:jc w:val="left"/>
              <w:rPr>
                <w:sz w:val="18"/>
              </w:rPr>
            </w:pPr>
          </w:p>
          <w:p>
            <w:pPr>
              <w:pStyle w:val="TableParagraph"/>
              <w:spacing w:before="1"/>
              <w:ind w:left="57" w:right="606"/>
              <w:jc w:val="left"/>
              <w:rPr>
                <w:sz w:val="16"/>
              </w:rPr>
            </w:pPr>
            <w:r>
              <w:rPr>
                <w:sz w:val="16"/>
              </w:rPr>
              <w:t>Concepto de sustentabilidad.</w:t>
            </w:r>
          </w:p>
        </w:tc>
      </w:tr>
      <w:tr>
        <w:trPr>
          <w:trHeight w:val="486" w:hRule="exact"/>
        </w:trPr>
        <w:tc>
          <w:tcPr>
            <w:tcW w:w="689" w:type="dxa"/>
            <w:tcBorders>
              <w:top w:val="nil"/>
              <w:bottom w:val="nil"/>
              <w:right w:val="nil"/>
            </w:tcBorders>
            <w:shd w:val="clear" w:color="auto" w:fill="E0E0E0"/>
          </w:tcPr>
          <w:p>
            <w:pPr>
              <w:pStyle w:val="TableParagraph"/>
              <w:spacing w:before="2"/>
              <w:jc w:val="left"/>
              <w:rPr>
                <w:sz w:val="18"/>
              </w:rPr>
            </w:pPr>
          </w:p>
          <w:p>
            <w:pPr>
              <w:pStyle w:val="TableParagraph"/>
              <w:spacing w:before="1"/>
              <w:ind w:left="146" w:right="146"/>
              <w:rPr>
                <w:sz w:val="16"/>
              </w:rPr>
            </w:pPr>
            <w:r>
              <w:rPr>
                <w:sz w:val="16"/>
              </w:rPr>
              <w:t>1983</w:t>
            </w:r>
          </w:p>
        </w:tc>
        <w:tc>
          <w:tcPr>
            <w:tcW w:w="2635" w:type="dxa"/>
            <w:tcBorders>
              <w:top w:val="nil"/>
              <w:left w:val="nil"/>
              <w:bottom w:val="nil"/>
              <w:right w:val="nil"/>
            </w:tcBorders>
            <w:shd w:val="clear" w:color="auto" w:fill="E0E0E0"/>
          </w:tcPr>
          <w:p>
            <w:pPr>
              <w:pStyle w:val="TableParagraph"/>
              <w:spacing w:before="118"/>
              <w:ind w:left="57"/>
              <w:jc w:val="left"/>
              <w:rPr>
                <w:sz w:val="16"/>
              </w:rPr>
            </w:pPr>
            <w:r>
              <w:rPr>
                <w:sz w:val="16"/>
              </w:rPr>
              <w:t>Organización de las Naciones Unidas</w:t>
            </w:r>
          </w:p>
        </w:tc>
        <w:tc>
          <w:tcPr>
            <w:tcW w:w="4116" w:type="dxa"/>
            <w:tcBorders>
              <w:top w:val="nil"/>
              <w:left w:val="nil"/>
              <w:bottom w:val="nil"/>
            </w:tcBorders>
            <w:shd w:val="clear" w:color="auto" w:fill="E0E0E0"/>
          </w:tcPr>
          <w:p>
            <w:pPr>
              <w:pStyle w:val="TableParagraph"/>
              <w:spacing w:before="2"/>
              <w:jc w:val="left"/>
              <w:rPr>
                <w:sz w:val="18"/>
              </w:rPr>
            </w:pPr>
          </w:p>
          <w:p>
            <w:pPr>
              <w:pStyle w:val="TableParagraph"/>
              <w:spacing w:before="1"/>
              <w:ind w:left="57"/>
              <w:jc w:val="left"/>
              <w:rPr>
                <w:sz w:val="16"/>
              </w:rPr>
            </w:pPr>
            <w:r>
              <w:rPr>
                <w:sz w:val="16"/>
              </w:rPr>
              <w:t>Crea comisión mundial del medio ambiente y desarrollo.</w:t>
            </w:r>
          </w:p>
        </w:tc>
      </w:tr>
      <w:tr>
        <w:trPr>
          <w:trHeight w:val="299" w:hRule="exact"/>
        </w:trPr>
        <w:tc>
          <w:tcPr>
            <w:tcW w:w="689" w:type="dxa"/>
            <w:tcBorders>
              <w:top w:val="nil"/>
              <w:bottom w:val="nil"/>
              <w:right w:val="nil"/>
            </w:tcBorders>
            <w:shd w:val="clear" w:color="auto" w:fill="F3F3F3"/>
          </w:tcPr>
          <w:p>
            <w:pPr>
              <w:pStyle w:val="TableParagraph"/>
              <w:spacing w:before="118"/>
              <w:ind w:left="146" w:right="146"/>
              <w:rPr>
                <w:sz w:val="16"/>
              </w:rPr>
            </w:pPr>
            <w:r>
              <w:rPr>
                <w:sz w:val="16"/>
              </w:rPr>
              <w:t>1985</w:t>
            </w:r>
          </w:p>
        </w:tc>
        <w:tc>
          <w:tcPr>
            <w:tcW w:w="2635" w:type="dxa"/>
            <w:tcBorders>
              <w:top w:val="nil"/>
              <w:left w:val="nil"/>
              <w:bottom w:val="nil"/>
              <w:right w:val="nil"/>
            </w:tcBorders>
            <w:shd w:val="clear" w:color="auto" w:fill="F3F3F3"/>
          </w:tcPr>
          <w:p>
            <w:pPr>
              <w:pStyle w:val="TableParagraph"/>
              <w:spacing w:before="118"/>
              <w:ind w:left="57"/>
              <w:jc w:val="left"/>
              <w:rPr>
                <w:sz w:val="16"/>
              </w:rPr>
            </w:pPr>
            <w:r>
              <w:rPr>
                <w:sz w:val="16"/>
              </w:rPr>
              <w:t>González</w:t>
            </w:r>
          </w:p>
        </w:tc>
        <w:tc>
          <w:tcPr>
            <w:tcW w:w="4116" w:type="dxa"/>
            <w:tcBorders>
              <w:top w:val="nil"/>
              <w:left w:val="nil"/>
              <w:bottom w:val="nil"/>
            </w:tcBorders>
            <w:shd w:val="clear" w:color="auto" w:fill="F3F3F3"/>
          </w:tcPr>
          <w:p>
            <w:pPr>
              <w:pStyle w:val="TableParagraph"/>
              <w:spacing w:before="118"/>
              <w:ind w:left="57" w:right="606"/>
              <w:jc w:val="left"/>
              <w:rPr>
                <w:sz w:val="16"/>
              </w:rPr>
            </w:pPr>
            <w:r>
              <w:rPr>
                <w:sz w:val="16"/>
              </w:rPr>
              <w:t>Medio ambiente y desarrollo en México.</w:t>
            </w:r>
          </w:p>
        </w:tc>
      </w:tr>
      <w:tr>
        <w:trPr>
          <w:trHeight w:val="477" w:hRule="exact"/>
        </w:trPr>
        <w:tc>
          <w:tcPr>
            <w:tcW w:w="689" w:type="dxa"/>
            <w:tcBorders>
              <w:top w:val="nil"/>
              <w:right w:val="nil"/>
            </w:tcBorders>
            <w:shd w:val="clear" w:color="auto" w:fill="E0E0E0"/>
          </w:tcPr>
          <w:p>
            <w:pPr>
              <w:pStyle w:val="TableParagraph"/>
              <w:spacing w:before="7"/>
              <w:jc w:val="left"/>
              <w:rPr>
                <w:sz w:val="18"/>
              </w:rPr>
            </w:pPr>
          </w:p>
          <w:p>
            <w:pPr>
              <w:pStyle w:val="TableParagraph"/>
              <w:ind w:left="146" w:right="146"/>
              <w:rPr>
                <w:sz w:val="16"/>
              </w:rPr>
            </w:pPr>
            <w:r>
              <w:rPr>
                <w:sz w:val="16"/>
              </w:rPr>
              <w:t>1987</w:t>
            </w:r>
          </w:p>
        </w:tc>
        <w:tc>
          <w:tcPr>
            <w:tcW w:w="2635" w:type="dxa"/>
            <w:tcBorders>
              <w:top w:val="nil"/>
              <w:left w:val="nil"/>
              <w:right w:val="nil"/>
            </w:tcBorders>
            <w:shd w:val="clear" w:color="auto" w:fill="E0E0E0"/>
          </w:tcPr>
          <w:p>
            <w:pPr>
              <w:pStyle w:val="TableParagraph"/>
              <w:spacing w:line="244" w:lineRule="auto" w:before="118"/>
              <w:ind w:left="57"/>
              <w:jc w:val="left"/>
              <w:rPr>
                <w:sz w:val="16"/>
              </w:rPr>
            </w:pPr>
            <w:r>
              <w:rPr>
                <w:sz w:val="16"/>
              </w:rPr>
              <w:t>Organización de las Naciones Unidas</w:t>
            </w:r>
          </w:p>
        </w:tc>
        <w:tc>
          <w:tcPr>
            <w:tcW w:w="4116" w:type="dxa"/>
            <w:tcBorders>
              <w:top w:val="nil"/>
              <w:left w:val="nil"/>
            </w:tcBorders>
            <w:shd w:val="clear" w:color="auto" w:fill="E0E0E0"/>
          </w:tcPr>
          <w:p>
            <w:pPr>
              <w:pStyle w:val="TableParagraph"/>
              <w:spacing w:before="7"/>
              <w:jc w:val="left"/>
              <w:rPr>
                <w:sz w:val="18"/>
              </w:rPr>
            </w:pPr>
          </w:p>
          <w:p>
            <w:pPr>
              <w:pStyle w:val="TableParagraph"/>
              <w:ind w:left="57" w:right="606"/>
              <w:jc w:val="left"/>
              <w:rPr>
                <w:sz w:val="16"/>
              </w:rPr>
            </w:pPr>
            <w:r>
              <w:rPr>
                <w:sz w:val="16"/>
              </w:rPr>
              <w:t>Reporte nuestro futuro común.</w:t>
            </w:r>
          </w:p>
        </w:tc>
      </w:tr>
    </w:tbl>
    <w:p>
      <w:pPr>
        <w:spacing w:after="0"/>
        <w:jc w:val="left"/>
        <w:rPr>
          <w:sz w:val="16"/>
        </w:rPr>
        <w:sectPr>
          <w:pgSz w:w="12240" w:h="15840"/>
          <w:pgMar w:header="730" w:footer="1066" w:top="1320" w:bottom="1260" w:left="1720" w:right="1180"/>
        </w:sectPr>
      </w:pPr>
    </w:p>
    <w:p>
      <w:pPr>
        <w:pStyle w:val="BodyText"/>
        <w:spacing w:before="2"/>
        <w:rPr>
          <w:sz w:val="26"/>
        </w:rPr>
      </w:pPr>
      <w:r>
        <w:rPr/>
        <w:pict>
          <v:line style="position:absolute;mso-position-horizontal-relative:page;mso-position-vertical-relative:page;z-index:2632" from="93.199997pt,57.080009pt" to="546.799997pt,57.080009pt" stroked="true" strokeweight=".479981pt" strokecolor="#000000">
            <w10:wrap type="none"/>
          </v:line>
        </w:pict>
      </w:r>
    </w:p>
    <w:tbl>
      <w:tblPr>
        <w:tblCellSpacing w:w="11" w:type="dxa"/>
        <w:tblW w:w="0" w:type="auto"/>
        <w:jc w:val="left"/>
        <w:tblInd w:w="96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89"/>
        <w:gridCol w:w="2635"/>
        <w:gridCol w:w="4116"/>
      </w:tblGrid>
      <w:tr>
        <w:trPr>
          <w:trHeight w:val="289" w:hRule="exact"/>
        </w:trPr>
        <w:tc>
          <w:tcPr>
            <w:tcW w:w="689" w:type="dxa"/>
            <w:tcBorders>
              <w:bottom w:val="nil"/>
              <w:right w:val="nil"/>
            </w:tcBorders>
            <w:shd w:val="clear" w:color="auto" w:fill="F3F3F3"/>
          </w:tcPr>
          <w:p>
            <w:pPr>
              <w:pStyle w:val="TableParagraph"/>
              <w:spacing w:before="118"/>
              <w:ind w:left="146" w:right="146"/>
              <w:rPr>
                <w:sz w:val="16"/>
              </w:rPr>
            </w:pPr>
            <w:r>
              <w:rPr>
                <w:sz w:val="16"/>
              </w:rPr>
              <w:t>1989</w:t>
            </w:r>
          </w:p>
        </w:tc>
        <w:tc>
          <w:tcPr>
            <w:tcW w:w="2635" w:type="dxa"/>
            <w:tcBorders>
              <w:left w:val="nil"/>
              <w:bottom w:val="nil"/>
              <w:right w:val="nil"/>
            </w:tcBorders>
            <w:shd w:val="clear" w:color="auto" w:fill="F3F3F3"/>
          </w:tcPr>
          <w:p>
            <w:pPr>
              <w:pStyle w:val="TableParagraph"/>
              <w:spacing w:before="118"/>
              <w:ind w:left="57"/>
              <w:jc w:val="left"/>
              <w:rPr>
                <w:sz w:val="16"/>
              </w:rPr>
            </w:pPr>
            <w:r>
              <w:rPr>
                <w:sz w:val="16"/>
              </w:rPr>
              <w:t>Lélé</w:t>
            </w:r>
          </w:p>
        </w:tc>
        <w:tc>
          <w:tcPr>
            <w:tcW w:w="4116" w:type="dxa"/>
            <w:tcBorders>
              <w:left w:val="nil"/>
              <w:bottom w:val="nil"/>
            </w:tcBorders>
            <w:shd w:val="clear" w:color="auto" w:fill="F3F3F3"/>
          </w:tcPr>
          <w:p>
            <w:pPr>
              <w:pStyle w:val="TableParagraph"/>
              <w:spacing w:before="118"/>
              <w:ind w:left="57" w:right="606"/>
              <w:jc w:val="left"/>
              <w:rPr>
                <w:sz w:val="16"/>
              </w:rPr>
            </w:pPr>
            <w:r>
              <w:rPr>
                <w:sz w:val="16"/>
              </w:rPr>
              <w:t>"Frase de moda no definida".</w:t>
            </w:r>
          </w:p>
        </w:tc>
      </w:tr>
      <w:tr>
        <w:trPr>
          <w:trHeight w:val="669" w:hRule="exact"/>
        </w:trPr>
        <w:tc>
          <w:tcPr>
            <w:tcW w:w="689" w:type="dxa"/>
            <w:tcBorders>
              <w:top w:val="nil"/>
              <w:bottom w:val="nil"/>
              <w:right w:val="nil"/>
            </w:tcBorders>
            <w:shd w:val="clear" w:color="auto" w:fill="E0E0E0"/>
          </w:tcPr>
          <w:p>
            <w:pPr>
              <w:pStyle w:val="TableParagraph"/>
              <w:jc w:val="left"/>
              <w:rPr>
                <w:sz w:val="16"/>
              </w:rPr>
            </w:pPr>
          </w:p>
          <w:p>
            <w:pPr>
              <w:pStyle w:val="TableParagraph"/>
              <w:spacing w:before="122"/>
              <w:ind w:left="146" w:right="146"/>
              <w:rPr>
                <w:sz w:val="16"/>
              </w:rPr>
            </w:pPr>
            <w:r>
              <w:rPr>
                <w:sz w:val="16"/>
              </w:rPr>
              <w:t>1992</w:t>
            </w:r>
          </w:p>
        </w:tc>
        <w:tc>
          <w:tcPr>
            <w:tcW w:w="2635" w:type="dxa"/>
            <w:tcBorders>
              <w:top w:val="nil"/>
              <w:left w:val="nil"/>
              <w:bottom w:val="nil"/>
              <w:right w:val="nil"/>
            </w:tcBorders>
            <w:shd w:val="clear" w:color="auto" w:fill="E0E0E0"/>
          </w:tcPr>
          <w:p>
            <w:pPr>
              <w:pStyle w:val="TableParagraph"/>
              <w:spacing w:before="118"/>
              <w:ind w:left="57"/>
              <w:jc w:val="left"/>
              <w:rPr>
                <w:sz w:val="16"/>
              </w:rPr>
            </w:pPr>
            <w:r>
              <w:rPr>
                <w:sz w:val="16"/>
              </w:rPr>
              <w:t>Conferencia ONU sobre medio ambiente y desarrollo, Río de Janeiro</w:t>
            </w:r>
          </w:p>
        </w:tc>
        <w:tc>
          <w:tcPr>
            <w:tcW w:w="4116" w:type="dxa"/>
            <w:tcBorders>
              <w:top w:val="nil"/>
              <w:left w:val="nil"/>
              <w:bottom w:val="nil"/>
            </w:tcBorders>
            <w:shd w:val="clear" w:color="auto" w:fill="E0E0E0"/>
          </w:tcPr>
          <w:p>
            <w:pPr>
              <w:pStyle w:val="TableParagraph"/>
              <w:jc w:val="left"/>
              <w:rPr>
                <w:sz w:val="16"/>
              </w:rPr>
            </w:pPr>
          </w:p>
          <w:p>
            <w:pPr>
              <w:pStyle w:val="TableParagraph"/>
              <w:spacing w:before="122"/>
              <w:ind w:left="57" w:right="606"/>
              <w:jc w:val="left"/>
              <w:rPr>
                <w:sz w:val="16"/>
              </w:rPr>
            </w:pPr>
            <w:r>
              <w:rPr>
                <w:sz w:val="16"/>
              </w:rPr>
              <w:t>Informe Brundtland. Desarrollo sustentable.</w:t>
            </w:r>
          </w:p>
        </w:tc>
      </w:tr>
      <w:tr>
        <w:trPr>
          <w:trHeight w:val="486" w:hRule="exact"/>
        </w:trPr>
        <w:tc>
          <w:tcPr>
            <w:tcW w:w="689" w:type="dxa"/>
            <w:tcBorders>
              <w:top w:val="nil"/>
              <w:bottom w:val="nil"/>
              <w:right w:val="nil"/>
            </w:tcBorders>
            <w:shd w:val="clear" w:color="auto" w:fill="F3F3F3"/>
          </w:tcPr>
          <w:p>
            <w:pPr>
              <w:pStyle w:val="TableParagraph"/>
              <w:spacing w:before="7"/>
              <w:jc w:val="left"/>
              <w:rPr>
                <w:sz w:val="18"/>
              </w:rPr>
            </w:pPr>
          </w:p>
          <w:p>
            <w:pPr>
              <w:pStyle w:val="TableParagraph"/>
              <w:ind w:left="146" w:right="146"/>
              <w:rPr>
                <w:sz w:val="16"/>
              </w:rPr>
            </w:pPr>
            <w:r>
              <w:rPr>
                <w:sz w:val="16"/>
              </w:rPr>
              <w:t>1994</w:t>
            </w:r>
          </w:p>
        </w:tc>
        <w:tc>
          <w:tcPr>
            <w:tcW w:w="2635" w:type="dxa"/>
            <w:tcBorders>
              <w:top w:val="nil"/>
              <w:left w:val="nil"/>
              <w:bottom w:val="nil"/>
              <w:right w:val="nil"/>
            </w:tcBorders>
            <w:shd w:val="clear" w:color="auto" w:fill="F3F3F3"/>
          </w:tcPr>
          <w:p>
            <w:pPr>
              <w:pStyle w:val="TableParagraph"/>
              <w:spacing w:line="244" w:lineRule="auto" w:before="118"/>
              <w:ind w:left="57"/>
              <w:jc w:val="left"/>
              <w:rPr>
                <w:sz w:val="16"/>
              </w:rPr>
            </w:pPr>
            <w:r>
              <w:rPr>
                <w:sz w:val="16"/>
              </w:rPr>
              <w:t>Organización de las Naciones Unidas</w:t>
            </w:r>
          </w:p>
        </w:tc>
        <w:tc>
          <w:tcPr>
            <w:tcW w:w="4116" w:type="dxa"/>
            <w:tcBorders>
              <w:top w:val="nil"/>
              <w:left w:val="nil"/>
              <w:bottom w:val="nil"/>
            </w:tcBorders>
            <w:shd w:val="clear" w:color="auto" w:fill="F3F3F3"/>
          </w:tcPr>
          <w:p>
            <w:pPr>
              <w:pStyle w:val="TableParagraph"/>
              <w:spacing w:line="244" w:lineRule="auto" w:before="118"/>
              <w:ind w:left="57" w:right="401"/>
              <w:jc w:val="left"/>
              <w:rPr>
                <w:sz w:val="16"/>
              </w:rPr>
            </w:pPr>
            <w:r>
              <w:rPr>
                <w:sz w:val="16"/>
              </w:rPr>
              <w:t>Marco de evaluación del manejo sustentable de las tierras.</w:t>
            </w:r>
          </w:p>
        </w:tc>
      </w:tr>
      <w:tr>
        <w:trPr>
          <w:trHeight w:val="304" w:hRule="exact"/>
        </w:trPr>
        <w:tc>
          <w:tcPr>
            <w:tcW w:w="689" w:type="dxa"/>
            <w:tcBorders>
              <w:top w:val="nil"/>
              <w:bottom w:val="nil"/>
              <w:right w:val="nil"/>
            </w:tcBorders>
            <w:shd w:val="clear" w:color="auto" w:fill="E0E0E0"/>
          </w:tcPr>
          <w:p>
            <w:pPr>
              <w:pStyle w:val="TableParagraph"/>
              <w:spacing w:before="118"/>
              <w:ind w:left="146" w:right="146"/>
              <w:rPr>
                <w:sz w:val="16"/>
              </w:rPr>
            </w:pPr>
            <w:r>
              <w:rPr>
                <w:sz w:val="16"/>
              </w:rPr>
              <w:t>1996</w:t>
            </w:r>
          </w:p>
        </w:tc>
        <w:tc>
          <w:tcPr>
            <w:tcW w:w="2635" w:type="dxa"/>
            <w:tcBorders>
              <w:top w:val="nil"/>
              <w:left w:val="nil"/>
              <w:bottom w:val="nil"/>
              <w:right w:val="nil"/>
            </w:tcBorders>
            <w:shd w:val="clear" w:color="auto" w:fill="E0E0E0"/>
          </w:tcPr>
          <w:p>
            <w:pPr>
              <w:pStyle w:val="TableParagraph"/>
              <w:spacing w:before="118"/>
              <w:ind w:left="57"/>
              <w:jc w:val="left"/>
              <w:rPr>
                <w:sz w:val="16"/>
              </w:rPr>
            </w:pPr>
            <w:r>
              <w:rPr>
                <w:sz w:val="16"/>
              </w:rPr>
              <w:t>Hansen</w:t>
            </w:r>
          </w:p>
        </w:tc>
        <w:tc>
          <w:tcPr>
            <w:tcW w:w="4116" w:type="dxa"/>
            <w:tcBorders>
              <w:top w:val="nil"/>
              <w:left w:val="nil"/>
              <w:bottom w:val="nil"/>
            </w:tcBorders>
            <w:shd w:val="clear" w:color="auto" w:fill="E0E0E0"/>
          </w:tcPr>
          <w:p>
            <w:pPr>
              <w:pStyle w:val="TableParagraph"/>
              <w:spacing w:before="118"/>
              <w:ind w:left="57" w:right="606"/>
              <w:jc w:val="left"/>
              <w:rPr>
                <w:sz w:val="16"/>
              </w:rPr>
            </w:pPr>
            <w:r>
              <w:rPr>
                <w:sz w:val="16"/>
              </w:rPr>
              <w:t>20 definiciones contexto agrícola.</w:t>
            </w:r>
          </w:p>
        </w:tc>
      </w:tr>
      <w:tr>
        <w:trPr>
          <w:trHeight w:val="484" w:hRule="exact"/>
        </w:trPr>
        <w:tc>
          <w:tcPr>
            <w:tcW w:w="689" w:type="dxa"/>
            <w:tcBorders>
              <w:top w:val="nil"/>
              <w:bottom w:val="nil"/>
              <w:right w:val="nil"/>
            </w:tcBorders>
            <w:shd w:val="clear" w:color="auto" w:fill="F3F3F3"/>
          </w:tcPr>
          <w:p>
            <w:pPr>
              <w:pStyle w:val="TableParagraph"/>
              <w:spacing w:before="2"/>
              <w:jc w:val="left"/>
              <w:rPr>
                <w:sz w:val="18"/>
              </w:rPr>
            </w:pPr>
          </w:p>
          <w:p>
            <w:pPr>
              <w:pStyle w:val="TableParagraph"/>
              <w:spacing w:before="1"/>
              <w:ind w:left="146" w:right="146"/>
              <w:rPr>
                <w:sz w:val="16"/>
              </w:rPr>
            </w:pPr>
            <w:r>
              <w:rPr>
                <w:sz w:val="16"/>
              </w:rPr>
              <w:t>1997</w:t>
            </w:r>
          </w:p>
        </w:tc>
        <w:tc>
          <w:tcPr>
            <w:tcW w:w="2635" w:type="dxa"/>
            <w:tcBorders>
              <w:top w:val="nil"/>
              <w:left w:val="nil"/>
              <w:bottom w:val="nil"/>
              <w:right w:val="nil"/>
            </w:tcBorders>
            <w:shd w:val="clear" w:color="auto" w:fill="F3F3F3"/>
          </w:tcPr>
          <w:p>
            <w:pPr>
              <w:pStyle w:val="TableParagraph"/>
              <w:spacing w:before="2"/>
              <w:jc w:val="left"/>
              <w:rPr>
                <w:sz w:val="18"/>
              </w:rPr>
            </w:pPr>
          </w:p>
          <w:p>
            <w:pPr>
              <w:pStyle w:val="TableParagraph"/>
              <w:spacing w:before="1"/>
              <w:ind w:left="57"/>
              <w:jc w:val="left"/>
              <w:rPr>
                <w:sz w:val="16"/>
              </w:rPr>
            </w:pPr>
            <w:r>
              <w:rPr>
                <w:sz w:val="16"/>
              </w:rPr>
              <w:t>MESMIS</w:t>
            </w:r>
          </w:p>
        </w:tc>
        <w:tc>
          <w:tcPr>
            <w:tcW w:w="4116" w:type="dxa"/>
            <w:tcBorders>
              <w:top w:val="nil"/>
              <w:left w:val="nil"/>
              <w:bottom w:val="nil"/>
            </w:tcBorders>
            <w:shd w:val="clear" w:color="auto" w:fill="F3F3F3"/>
          </w:tcPr>
          <w:p>
            <w:pPr>
              <w:pStyle w:val="TableParagraph"/>
              <w:spacing w:before="118"/>
              <w:ind w:left="57" w:right="561"/>
              <w:jc w:val="left"/>
              <w:rPr>
                <w:sz w:val="16"/>
              </w:rPr>
            </w:pPr>
            <w:r>
              <w:rPr>
                <w:sz w:val="16"/>
              </w:rPr>
              <w:t>Marco para la evaluación de sistemas de manejo incorporando indicadores de sustentabilidad.</w:t>
            </w:r>
          </w:p>
        </w:tc>
      </w:tr>
      <w:tr>
        <w:trPr>
          <w:trHeight w:val="484" w:hRule="exact"/>
        </w:trPr>
        <w:tc>
          <w:tcPr>
            <w:tcW w:w="689" w:type="dxa"/>
            <w:tcBorders>
              <w:top w:val="nil"/>
              <w:bottom w:val="nil"/>
              <w:right w:val="nil"/>
            </w:tcBorders>
            <w:shd w:val="clear" w:color="auto" w:fill="E0E0E0"/>
          </w:tcPr>
          <w:p>
            <w:pPr>
              <w:pStyle w:val="TableParagraph"/>
              <w:spacing w:before="2"/>
              <w:jc w:val="left"/>
              <w:rPr>
                <w:sz w:val="18"/>
              </w:rPr>
            </w:pPr>
          </w:p>
          <w:p>
            <w:pPr>
              <w:pStyle w:val="TableParagraph"/>
              <w:spacing w:before="1"/>
              <w:ind w:left="146" w:right="146"/>
              <w:rPr>
                <w:sz w:val="16"/>
              </w:rPr>
            </w:pPr>
            <w:r>
              <w:rPr>
                <w:sz w:val="16"/>
              </w:rPr>
              <w:t>2000</w:t>
            </w:r>
          </w:p>
        </w:tc>
        <w:tc>
          <w:tcPr>
            <w:tcW w:w="2635" w:type="dxa"/>
            <w:tcBorders>
              <w:top w:val="nil"/>
              <w:left w:val="nil"/>
              <w:bottom w:val="nil"/>
              <w:right w:val="nil"/>
            </w:tcBorders>
            <w:shd w:val="clear" w:color="auto" w:fill="E0E0E0"/>
          </w:tcPr>
          <w:p>
            <w:pPr>
              <w:pStyle w:val="TableParagraph"/>
              <w:spacing w:before="2"/>
              <w:jc w:val="left"/>
              <w:rPr>
                <w:sz w:val="18"/>
              </w:rPr>
            </w:pPr>
          </w:p>
          <w:p>
            <w:pPr>
              <w:pStyle w:val="TableParagraph"/>
              <w:spacing w:before="1"/>
              <w:ind w:left="57"/>
              <w:jc w:val="left"/>
              <w:rPr>
                <w:sz w:val="16"/>
              </w:rPr>
            </w:pPr>
            <w:r>
              <w:rPr>
                <w:sz w:val="16"/>
              </w:rPr>
              <w:t>Masera y colaboradores</w:t>
            </w:r>
          </w:p>
        </w:tc>
        <w:tc>
          <w:tcPr>
            <w:tcW w:w="4116" w:type="dxa"/>
            <w:tcBorders>
              <w:top w:val="nil"/>
              <w:left w:val="nil"/>
              <w:bottom w:val="nil"/>
            </w:tcBorders>
            <w:shd w:val="clear" w:color="auto" w:fill="E0E0E0"/>
          </w:tcPr>
          <w:p>
            <w:pPr>
              <w:pStyle w:val="TableParagraph"/>
              <w:spacing w:before="118"/>
              <w:ind w:left="57" w:right="1095"/>
              <w:jc w:val="left"/>
              <w:rPr>
                <w:sz w:val="16"/>
              </w:rPr>
            </w:pPr>
            <w:r>
              <w:rPr>
                <w:sz w:val="16"/>
              </w:rPr>
              <w:t>Aspectos sociales y económicos, sistema socioambiental.</w:t>
            </w:r>
          </w:p>
        </w:tc>
      </w:tr>
      <w:tr>
        <w:trPr>
          <w:trHeight w:val="486" w:hRule="exact"/>
        </w:trPr>
        <w:tc>
          <w:tcPr>
            <w:tcW w:w="689" w:type="dxa"/>
            <w:tcBorders>
              <w:top w:val="nil"/>
              <w:bottom w:val="nil"/>
              <w:right w:val="nil"/>
            </w:tcBorders>
            <w:shd w:val="clear" w:color="auto" w:fill="F3F3F3"/>
          </w:tcPr>
          <w:p>
            <w:pPr>
              <w:pStyle w:val="TableParagraph"/>
              <w:spacing w:before="7"/>
              <w:jc w:val="left"/>
              <w:rPr>
                <w:sz w:val="18"/>
              </w:rPr>
            </w:pPr>
          </w:p>
          <w:p>
            <w:pPr>
              <w:pStyle w:val="TableParagraph"/>
              <w:ind w:left="146" w:right="146"/>
              <w:rPr>
                <w:sz w:val="16"/>
              </w:rPr>
            </w:pPr>
            <w:r>
              <w:rPr>
                <w:sz w:val="16"/>
              </w:rPr>
              <w:t>2001</w:t>
            </w:r>
          </w:p>
        </w:tc>
        <w:tc>
          <w:tcPr>
            <w:tcW w:w="2635" w:type="dxa"/>
            <w:tcBorders>
              <w:top w:val="nil"/>
              <w:left w:val="nil"/>
              <w:bottom w:val="nil"/>
              <w:right w:val="nil"/>
            </w:tcBorders>
            <w:shd w:val="clear" w:color="auto" w:fill="F3F3F3"/>
          </w:tcPr>
          <w:p>
            <w:pPr>
              <w:pStyle w:val="TableParagraph"/>
              <w:spacing w:before="7"/>
              <w:jc w:val="left"/>
              <w:rPr>
                <w:sz w:val="18"/>
              </w:rPr>
            </w:pPr>
          </w:p>
          <w:p>
            <w:pPr>
              <w:pStyle w:val="TableParagraph"/>
              <w:ind w:left="57"/>
              <w:jc w:val="left"/>
              <w:rPr>
                <w:sz w:val="16"/>
              </w:rPr>
            </w:pPr>
            <w:r>
              <w:rPr>
                <w:sz w:val="16"/>
              </w:rPr>
              <w:t>López</w:t>
            </w:r>
          </w:p>
        </w:tc>
        <w:tc>
          <w:tcPr>
            <w:tcW w:w="4116" w:type="dxa"/>
            <w:tcBorders>
              <w:top w:val="nil"/>
              <w:left w:val="nil"/>
              <w:bottom w:val="nil"/>
            </w:tcBorders>
            <w:shd w:val="clear" w:color="auto" w:fill="F3F3F3"/>
          </w:tcPr>
          <w:p>
            <w:pPr>
              <w:pStyle w:val="TableParagraph"/>
              <w:spacing w:line="244" w:lineRule="auto" w:before="118"/>
              <w:ind w:left="57" w:right="695"/>
              <w:jc w:val="left"/>
              <w:rPr>
                <w:sz w:val="16"/>
              </w:rPr>
            </w:pPr>
            <w:r>
              <w:rPr>
                <w:sz w:val="16"/>
              </w:rPr>
              <w:t>Recursos naturales como un sistema: sociales, ambientales y económicos.</w:t>
            </w:r>
          </w:p>
        </w:tc>
      </w:tr>
      <w:tr>
        <w:trPr>
          <w:trHeight w:val="304" w:hRule="exact"/>
        </w:trPr>
        <w:tc>
          <w:tcPr>
            <w:tcW w:w="689" w:type="dxa"/>
            <w:tcBorders>
              <w:top w:val="nil"/>
              <w:bottom w:val="nil"/>
              <w:right w:val="nil"/>
            </w:tcBorders>
            <w:shd w:val="clear" w:color="auto" w:fill="E0E0E0"/>
          </w:tcPr>
          <w:p>
            <w:pPr>
              <w:pStyle w:val="TableParagraph"/>
              <w:spacing w:before="118"/>
              <w:ind w:left="146" w:right="146"/>
              <w:rPr>
                <w:sz w:val="16"/>
              </w:rPr>
            </w:pPr>
            <w:r>
              <w:rPr>
                <w:sz w:val="16"/>
              </w:rPr>
              <w:t>2009</w:t>
            </w:r>
          </w:p>
        </w:tc>
        <w:tc>
          <w:tcPr>
            <w:tcW w:w="2635" w:type="dxa"/>
            <w:tcBorders>
              <w:top w:val="nil"/>
              <w:left w:val="nil"/>
              <w:bottom w:val="nil"/>
              <w:right w:val="nil"/>
            </w:tcBorders>
            <w:shd w:val="clear" w:color="auto" w:fill="E0E0E0"/>
          </w:tcPr>
          <w:p>
            <w:pPr>
              <w:pStyle w:val="TableParagraph"/>
              <w:spacing w:before="118"/>
              <w:ind w:left="57"/>
              <w:jc w:val="left"/>
              <w:rPr>
                <w:sz w:val="16"/>
              </w:rPr>
            </w:pPr>
            <w:r>
              <w:rPr>
                <w:sz w:val="16"/>
              </w:rPr>
              <w:t>Negrete y Reygadas</w:t>
            </w:r>
          </w:p>
        </w:tc>
        <w:tc>
          <w:tcPr>
            <w:tcW w:w="4116" w:type="dxa"/>
            <w:tcBorders>
              <w:top w:val="nil"/>
              <w:left w:val="nil"/>
              <w:bottom w:val="nil"/>
            </w:tcBorders>
            <w:shd w:val="clear" w:color="auto" w:fill="E0E0E0"/>
          </w:tcPr>
          <w:p>
            <w:pPr>
              <w:pStyle w:val="TableParagraph"/>
              <w:spacing w:before="118"/>
              <w:ind w:left="57"/>
              <w:jc w:val="left"/>
              <w:rPr>
                <w:sz w:val="16"/>
              </w:rPr>
            </w:pPr>
            <w:r>
              <w:rPr>
                <w:sz w:val="16"/>
              </w:rPr>
              <w:t>Indicadores de ordenamiento ecológico-territorial.</w:t>
            </w:r>
          </w:p>
        </w:tc>
      </w:tr>
      <w:tr>
        <w:trPr>
          <w:trHeight w:val="299" w:hRule="exact"/>
        </w:trPr>
        <w:tc>
          <w:tcPr>
            <w:tcW w:w="689" w:type="dxa"/>
            <w:tcBorders>
              <w:top w:val="nil"/>
              <w:bottom w:val="nil"/>
              <w:right w:val="nil"/>
            </w:tcBorders>
            <w:shd w:val="clear" w:color="auto" w:fill="F3F3F3"/>
          </w:tcPr>
          <w:p>
            <w:pPr>
              <w:pStyle w:val="TableParagraph"/>
              <w:spacing w:before="118"/>
              <w:ind w:left="146" w:right="146"/>
              <w:rPr>
                <w:sz w:val="16"/>
              </w:rPr>
            </w:pPr>
            <w:r>
              <w:rPr>
                <w:sz w:val="16"/>
              </w:rPr>
              <w:t>2009</w:t>
            </w:r>
          </w:p>
        </w:tc>
        <w:tc>
          <w:tcPr>
            <w:tcW w:w="2635" w:type="dxa"/>
            <w:tcBorders>
              <w:top w:val="nil"/>
              <w:left w:val="nil"/>
              <w:bottom w:val="nil"/>
              <w:right w:val="nil"/>
            </w:tcBorders>
            <w:shd w:val="clear" w:color="auto" w:fill="F3F3F3"/>
          </w:tcPr>
          <w:p>
            <w:pPr>
              <w:pStyle w:val="TableParagraph"/>
              <w:spacing w:before="118"/>
              <w:ind w:left="57"/>
              <w:jc w:val="left"/>
              <w:rPr>
                <w:sz w:val="16"/>
              </w:rPr>
            </w:pPr>
            <w:r>
              <w:rPr>
                <w:sz w:val="16"/>
              </w:rPr>
              <w:t>Carreño</w:t>
            </w:r>
          </w:p>
        </w:tc>
        <w:tc>
          <w:tcPr>
            <w:tcW w:w="4116" w:type="dxa"/>
            <w:tcBorders>
              <w:top w:val="nil"/>
              <w:left w:val="nil"/>
              <w:bottom w:val="nil"/>
            </w:tcBorders>
            <w:shd w:val="clear" w:color="auto" w:fill="F3F3F3"/>
          </w:tcPr>
          <w:p>
            <w:pPr>
              <w:pStyle w:val="TableParagraph"/>
              <w:spacing w:before="118"/>
              <w:ind w:left="57"/>
              <w:jc w:val="left"/>
              <w:rPr>
                <w:sz w:val="16"/>
              </w:rPr>
            </w:pPr>
            <w:r>
              <w:rPr>
                <w:sz w:val="16"/>
              </w:rPr>
              <w:t>La sustentabilidad urbana en la metrópoli de Toluca.</w:t>
            </w:r>
          </w:p>
        </w:tc>
      </w:tr>
      <w:tr>
        <w:trPr>
          <w:trHeight w:val="304" w:hRule="exact"/>
        </w:trPr>
        <w:tc>
          <w:tcPr>
            <w:tcW w:w="689" w:type="dxa"/>
            <w:tcBorders>
              <w:top w:val="nil"/>
              <w:bottom w:val="nil"/>
              <w:right w:val="nil"/>
            </w:tcBorders>
            <w:shd w:val="clear" w:color="auto" w:fill="E0E0E0"/>
          </w:tcPr>
          <w:p>
            <w:pPr>
              <w:pStyle w:val="TableParagraph"/>
              <w:spacing w:before="118"/>
              <w:ind w:left="146" w:right="146"/>
              <w:rPr>
                <w:sz w:val="16"/>
              </w:rPr>
            </w:pPr>
            <w:r>
              <w:rPr>
                <w:sz w:val="16"/>
              </w:rPr>
              <w:t>2011</w:t>
            </w:r>
          </w:p>
        </w:tc>
        <w:tc>
          <w:tcPr>
            <w:tcW w:w="2635" w:type="dxa"/>
            <w:tcBorders>
              <w:top w:val="nil"/>
              <w:left w:val="nil"/>
              <w:bottom w:val="nil"/>
              <w:right w:val="nil"/>
            </w:tcBorders>
            <w:shd w:val="clear" w:color="auto" w:fill="E0E0E0"/>
          </w:tcPr>
          <w:p>
            <w:pPr>
              <w:pStyle w:val="TableParagraph"/>
              <w:spacing w:before="118"/>
              <w:ind w:left="57"/>
              <w:jc w:val="left"/>
              <w:rPr>
                <w:sz w:val="16"/>
              </w:rPr>
            </w:pPr>
            <w:r>
              <w:rPr>
                <w:sz w:val="16"/>
              </w:rPr>
              <w:t>Villasís</w:t>
            </w:r>
          </w:p>
        </w:tc>
        <w:tc>
          <w:tcPr>
            <w:tcW w:w="4116" w:type="dxa"/>
            <w:tcBorders>
              <w:top w:val="nil"/>
              <w:left w:val="nil"/>
              <w:bottom w:val="nil"/>
            </w:tcBorders>
            <w:shd w:val="clear" w:color="auto" w:fill="E0E0E0"/>
          </w:tcPr>
          <w:p>
            <w:pPr>
              <w:pStyle w:val="TableParagraph"/>
              <w:spacing w:before="118"/>
              <w:ind w:left="57" w:right="606"/>
              <w:jc w:val="left"/>
              <w:rPr>
                <w:sz w:val="16"/>
              </w:rPr>
            </w:pPr>
            <w:r>
              <w:rPr>
                <w:sz w:val="16"/>
              </w:rPr>
              <w:t>Indicadores de sustentabilidad urbana.</w:t>
            </w:r>
          </w:p>
        </w:tc>
      </w:tr>
      <w:tr>
        <w:trPr>
          <w:trHeight w:val="299" w:hRule="exact"/>
        </w:trPr>
        <w:tc>
          <w:tcPr>
            <w:tcW w:w="689" w:type="dxa"/>
            <w:tcBorders>
              <w:top w:val="nil"/>
              <w:bottom w:val="nil"/>
              <w:right w:val="nil"/>
            </w:tcBorders>
            <w:shd w:val="clear" w:color="auto" w:fill="F2F2F2"/>
          </w:tcPr>
          <w:p>
            <w:pPr>
              <w:pStyle w:val="TableParagraph"/>
              <w:spacing w:before="118"/>
              <w:ind w:left="146" w:right="146"/>
              <w:rPr>
                <w:sz w:val="16"/>
              </w:rPr>
            </w:pPr>
            <w:r>
              <w:rPr>
                <w:sz w:val="16"/>
              </w:rPr>
              <w:t>2012</w:t>
            </w:r>
          </w:p>
        </w:tc>
        <w:tc>
          <w:tcPr>
            <w:tcW w:w="2635" w:type="dxa"/>
            <w:tcBorders>
              <w:top w:val="nil"/>
              <w:left w:val="nil"/>
              <w:bottom w:val="nil"/>
              <w:right w:val="nil"/>
            </w:tcBorders>
            <w:shd w:val="clear" w:color="auto" w:fill="F2F2F2"/>
          </w:tcPr>
          <w:p>
            <w:pPr>
              <w:pStyle w:val="TableParagraph"/>
              <w:spacing w:before="118"/>
              <w:ind w:left="57"/>
              <w:jc w:val="left"/>
              <w:rPr>
                <w:sz w:val="16"/>
              </w:rPr>
            </w:pPr>
            <w:r>
              <w:rPr>
                <w:sz w:val="16"/>
              </w:rPr>
              <w:t>Centro Mario Molina</w:t>
            </w:r>
          </w:p>
        </w:tc>
        <w:tc>
          <w:tcPr>
            <w:tcW w:w="4116" w:type="dxa"/>
            <w:tcBorders>
              <w:top w:val="nil"/>
              <w:left w:val="nil"/>
              <w:bottom w:val="nil"/>
            </w:tcBorders>
            <w:shd w:val="clear" w:color="auto" w:fill="F2F2F2"/>
          </w:tcPr>
          <w:p>
            <w:pPr>
              <w:pStyle w:val="TableParagraph"/>
              <w:spacing w:before="118"/>
              <w:ind w:left="57" w:right="606"/>
              <w:jc w:val="left"/>
              <w:rPr>
                <w:sz w:val="16"/>
              </w:rPr>
            </w:pPr>
            <w:r>
              <w:rPr>
                <w:sz w:val="16"/>
              </w:rPr>
              <w:t>Índice de sustentabilidad de la vivienda.</w:t>
            </w:r>
          </w:p>
        </w:tc>
      </w:tr>
      <w:tr>
        <w:trPr>
          <w:trHeight w:val="304" w:hRule="exact"/>
        </w:trPr>
        <w:tc>
          <w:tcPr>
            <w:tcW w:w="689" w:type="dxa"/>
            <w:tcBorders>
              <w:top w:val="nil"/>
              <w:bottom w:val="nil"/>
              <w:right w:val="nil"/>
            </w:tcBorders>
            <w:shd w:val="clear" w:color="auto" w:fill="D9D9D9"/>
          </w:tcPr>
          <w:p>
            <w:pPr>
              <w:pStyle w:val="TableParagraph"/>
              <w:spacing w:before="118"/>
              <w:ind w:left="146" w:right="146"/>
              <w:rPr>
                <w:sz w:val="16"/>
              </w:rPr>
            </w:pPr>
            <w:r>
              <w:rPr>
                <w:sz w:val="16"/>
              </w:rPr>
              <w:t>2013</w:t>
            </w:r>
          </w:p>
        </w:tc>
        <w:tc>
          <w:tcPr>
            <w:tcW w:w="2635" w:type="dxa"/>
            <w:tcBorders>
              <w:top w:val="nil"/>
              <w:left w:val="nil"/>
              <w:bottom w:val="nil"/>
              <w:right w:val="nil"/>
            </w:tcBorders>
            <w:shd w:val="clear" w:color="auto" w:fill="D9D9D9"/>
          </w:tcPr>
          <w:p>
            <w:pPr>
              <w:pStyle w:val="TableParagraph"/>
              <w:spacing w:before="118"/>
              <w:ind w:left="57"/>
              <w:jc w:val="left"/>
              <w:rPr>
                <w:sz w:val="16"/>
              </w:rPr>
            </w:pPr>
            <w:r>
              <w:rPr>
                <w:sz w:val="16"/>
              </w:rPr>
              <w:t>Moreno</w:t>
            </w:r>
          </w:p>
        </w:tc>
        <w:tc>
          <w:tcPr>
            <w:tcW w:w="4116" w:type="dxa"/>
            <w:tcBorders>
              <w:top w:val="nil"/>
              <w:left w:val="nil"/>
              <w:bottom w:val="nil"/>
            </w:tcBorders>
            <w:shd w:val="clear" w:color="auto" w:fill="D9D9D9"/>
          </w:tcPr>
          <w:p>
            <w:pPr>
              <w:pStyle w:val="TableParagraph"/>
              <w:spacing w:before="118"/>
              <w:ind w:left="57" w:right="606"/>
              <w:jc w:val="left"/>
              <w:rPr>
                <w:sz w:val="16"/>
              </w:rPr>
            </w:pPr>
            <w:r>
              <w:rPr>
                <w:sz w:val="16"/>
              </w:rPr>
              <w:t>Indicadores sustentabilidad urbana.</w:t>
            </w:r>
          </w:p>
        </w:tc>
      </w:tr>
      <w:tr>
        <w:trPr>
          <w:trHeight w:val="299" w:hRule="exact"/>
        </w:trPr>
        <w:tc>
          <w:tcPr>
            <w:tcW w:w="689" w:type="dxa"/>
            <w:tcBorders>
              <w:top w:val="nil"/>
              <w:bottom w:val="nil"/>
              <w:right w:val="nil"/>
            </w:tcBorders>
            <w:shd w:val="clear" w:color="auto" w:fill="F2F2F2"/>
          </w:tcPr>
          <w:p>
            <w:pPr>
              <w:pStyle w:val="TableParagraph"/>
              <w:spacing w:before="118"/>
              <w:ind w:left="146" w:right="146"/>
              <w:rPr>
                <w:sz w:val="16"/>
              </w:rPr>
            </w:pPr>
            <w:r>
              <w:rPr>
                <w:sz w:val="16"/>
              </w:rPr>
              <w:t>2015</w:t>
            </w:r>
          </w:p>
        </w:tc>
        <w:tc>
          <w:tcPr>
            <w:tcW w:w="2635" w:type="dxa"/>
            <w:tcBorders>
              <w:top w:val="nil"/>
              <w:left w:val="nil"/>
              <w:bottom w:val="nil"/>
              <w:right w:val="nil"/>
            </w:tcBorders>
            <w:shd w:val="clear" w:color="auto" w:fill="F2F2F2"/>
          </w:tcPr>
          <w:p>
            <w:pPr>
              <w:pStyle w:val="TableParagraph"/>
              <w:spacing w:before="118"/>
              <w:ind w:left="57"/>
              <w:jc w:val="left"/>
              <w:rPr>
                <w:sz w:val="16"/>
              </w:rPr>
            </w:pPr>
            <w:r>
              <w:rPr>
                <w:sz w:val="16"/>
              </w:rPr>
              <w:t>Agenda 2030</w:t>
            </w:r>
          </w:p>
        </w:tc>
        <w:tc>
          <w:tcPr>
            <w:tcW w:w="4116" w:type="dxa"/>
            <w:tcBorders>
              <w:top w:val="nil"/>
              <w:left w:val="nil"/>
              <w:bottom w:val="nil"/>
            </w:tcBorders>
            <w:shd w:val="clear" w:color="auto" w:fill="F2F2F2"/>
          </w:tcPr>
          <w:p>
            <w:pPr>
              <w:pStyle w:val="TableParagraph"/>
              <w:spacing w:before="118"/>
              <w:ind w:left="57" w:right="606"/>
              <w:jc w:val="left"/>
              <w:rPr>
                <w:sz w:val="16"/>
              </w:rPr>
            </w:pPr>
            <w:r>
              <w:rPr>
                <w:sz w:val="16"/>
              </w:rPr>
              <w:t>Objetivos del desarrollo sostenible.</w:t>
            </w:r>
          </w:p>
        </w:tc>
      </w:tr>
      <w:tr>
        <w:trPr>
          <w:trHeight w:val="294" w:hRule="exact"/>
        </w:trPr>
        <w:tc>
          <w:tcPr>
            <w:tcW w:w="689" w:type="dxa"/>
            <w:tcBorders>
              <w:top w:val="nil"/>
              <w:right w:val="nil"/>
            </w:tcBorders>
            <w:shd w:val="clear" w:color="auto" w:fill="D9D9D9"/>
          </w:tcPr>
          <w:p>
            <w:pPr>
              <w:pStyle w:val="TableParagraph"/>
              <w:spacing w:before="118"/>
              <w:ind w:left="146" w:right="146"/>
              <w:rPr>
                <w:sz w:val="16"/>
              </w:rPr>
            </w:pPr>
            <w:r>
              <w:rPr>
                <w:sz w:val="16"/>
              </w:rPr>
              <w:t>2016</w:t>
            </w:r>
          </w:p>
        </w:tc>
        <w:tc>
          <w:tcPr>
            <w:tcW w:w="2635" w:type="dxa"/>
            <w:tcBorders>
              <w:top w:val="nil"/>
              <w:left w:val="nil"/>
              <w:right w:val="nil"/>
            </w:tcBorders>
            <w:shd w:val="clear" w:color="auto" w:fill="D9D9D9"/>
          </w:tcPr>
          <w:p>
            <w:pPr>
              <w:pStyle w:val="TableParagraph"/>
              <w:spacing w:before="118"/>
              <w:ind w:left="57"/>
              <w:jc w:val="left"/>
              <w:rPr>
                <w:sz w:val="16"/>
              </w:rPr>
            </w:pPr>
            <w:r>
              <w:rPr>
                <w:sz w:val="16"/>
              </w:rPr>
              <w:t>Carrillo</w:t>
            </w:r>
          </w:p>
        </w:tc>
        <w:tc>
          <w:tcPr>
            <w:tcW w:w="4116" w:type="dxa"/>
            <w:tcBorders>
              <w:top w:val="nil"/>
              <w:left w:val="nil"/>
            </w:tcBorders>
            <w:shd w:val="clear" w:color="auto" w:fill="D9D9D9"/>
          </w:tcPr>
          <w:p>
            <w:pPr>
              <w:pStyle w:val="TableParagraph"/>
              <w:spacing w:before="118"/>
              <w:ind w:left="57"/>
              <w:jc w:val="left"/>
              <w:rPr>
                <w:sz w:val="16"/>
              </w:rPr>
            </w:pPr>
            <w:r>
              <w:rPr>
                <w:sz w:val="16"/>
              </w:rPr>
              <w:t>Índice de sustentabilidad para conjuntos urbanos.</w:t>
            </w:r>
          </w:p>
        </w:tc>
      </w:tr>
    </w:tbl>
    <w:p>
      <w:pPr>
        <w:pStyle w:val="BodyText"/>
        <w:spacing w:before="1"/>
        <w:rPr>
          <w:sz w:val="6"/>
        </w:rPr>
      </w:pPr>
    </w:p>
    <w:p>
      <w:pPr>
        <w:spacing w:before="78"/>
        <w:ind w:left="1002" w:right="0" w:firstLine="0"/>
        <w:jc w:val="left"/>
        <w:rPr>
          <w:sz w:val="21"/>
        </w:rPr>
      </w:pPr>
      <w:r>
        <w:rPr>
          <w:w w:val="105"/>
          <w:sz w:val="21"/>
        </w:rPr>
        <w:t>Fuente: Elaboración propia con base en Pierri (2005) y Macías (2006).</w:t>
      </w:r>
    </w:p>
    <w:p>
      <w:pPr>
        <w:pStyle w:val="BodyText"/>
        <w:spacing w:before="2"/>
        <w:rPr>
          <w:sz w:val="21"/>
        </w:rPr>
      </w:pPr>
    </w:p>
    <w:p>
      <w:pPr>
        <w:pStyle w:val="BodyText"/>
        <w:spacing w:line="360" w:lineRule="auto"/>
        <w:ind w:left="268" w:right="231"/>
        <w:jc w:val="both"/>
      </w:pPr>
      <w:r>
        <w:rPr/>
        <w:t>En 1973 en el Seminario Internacional de Medio Ambiente y Desarrollo, en 1974 la conferencia de Cocoyoc y en 1976 en el simposio de ecodesarrollo, se iniciaron en paralelo los estudios y avances de la sustentabilidad en México, estos eventos acontecieron a la par de los sucesos que se comenzaron a gestar a nivel mundial; sin embargo en el país aún no se contemplaba la sustentabilidad en el marco normativo y por lo mismo no existían instituciones encomendadas a la protección del medio ambiente.</w:t>
      </w:r>
    </w:p>
    <w:p>
      <w:pPr>
        <w:pStyle w:val="BodyText"/>
        <w:spacing w:line="360" w:lineRule="auto" w:before="122"/>
        <w:ind w:left="268" w:right="231"/>
        <w:jc w:val="both"/>
      </w:pPr>
      <w:r>
        <w:rPr/>
        <w:t>Si bien en México se dieron los primeros pasos en materia de ecología y medio ambiente en un primer acercamiento con los eventos realizados a la par de los acontecimientos internacionales y en un segundo proceso con la creación de una institución como la Secretaría de Desarrollo Urbano y Ecología (SEDUE) que medianamente buscaba aminorar los efectos colaterales del crecimiento económico del país y la expansión urbana que sufrían las principales ciudades, sin considerar la protección al medio ambiente. Aún faltaba mucho para que el marco legislativo y normativo pudiera articular una serie de acciones en el tema de la</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2656" from="93.199997pt,-19.614155pt" to="546.799997pt,-19.614155pt" stroked="true" strokeweight=".479981pt" strokecolor="#000000">
            <w10:wrap type="none"/>
          </v:line>
        </w:pict>
      </w:r>
      <w:r>
        <w:rPr/>
        <w:t>sustentabilidad y del mismo desarrollo sustentable del país que no solo refiere al tema medioambiental, sino al propio equilibrio del sistema económico.</w:t>
      </w:r>
    </w:p>
    <w:p>
      <w:pPr>
        <w:pStyle w:val="BodyText"/>
        <w:spacing w:line="360" w:lineRule="auto" w:before="122"/>
        <w:ind w:left="268" w:right="231"/>
        <w:jc w:val="both"/>
      </w:pPr>
      <w:r>
        <w:rPr/>
        <w:t>En el proceso del crecimiento del país y con base en diversos actores sociales, así como a la presión de éstos al Estado por la evidencia irrefutable de los acontecimientos medioambientales que se presentaron en el país, surgieron diferentes respuestas para solucionar algunos problemas medioambientales. Una de estas respuestas, como describe Moreno (2014), radica en el desarrollo de indicadores para el estudio de la sustentabilidad urbana, que, si bien tienen sus esbozos y origen desde 1972, en México surgieron a partir de la creación de la Secretaría de Medio Ambiente, Recursos Naturales y Pesca (Semarnap) en 1994, la cual trabajó en el desarrollo sustentable y la línea ambiental considerando un enfoque metodológico de Presión-Estado-Respuesta (PER). Continúa refiriendo que el análisis y medición de la sustentabilidad a través de indicadores se ha estado realizando por diferentes países en un marco ordenado y estructurado en estas tres (PER) categorías de información.</w:t>
      </w:r>
    </w:p>
    <w:p>
      <w:pPr>
        <w:pStyle w:val="BodyText"/>
        <w:spacing w:line="360" w:lineRule="auto" w:before="122"/>
        <w:ind w:left="268" w:right="231"/>
        <w:jc w:val="both"/>
      </w:pPr>
      <w:r>
        <w:rPr/>
        <w:t>Ahumada </w:t>
      </w:r>
      <w:r>
        <w:rPr>
          <w:i/>
        </w:rPr>
        <w:t>et al. </w:t>
      </w:r>
      <w:r>
        <w:rPr/>
        <w:t>(2012) señala que en México la sustentabilidad ambiental se abordó en el Plan Nacional de Desarrollo 2007-2012, como la administración racional de los recursos naturales para mejorar el bienestar de la población y consideró que uno de los principales retos que enfrenta el país es el incluir el medio ambiente como un elemento de competitividad y de desarrollo económico y social para lograr el desarrollo sustentable, ya que aún es tiempo de poner en práctica las acciones que permitan la protección del ambiente, sobre todo en la infraestructura y el sector productivo.</w:t>
      </w:r>
    </w:p>
    <w:p>
      <w:pPr>
        <w:pStyle w:val="BodyText"/>
        <w:spacing w:line="360" w:lineRule="auto" w:before="122"/>
        <w:ind w:left="268" w:right="231"/>
        <w:jc w:val="both"/>
      </w:pPr>
      <w:r>
        <w:rPr/>
        <w:t>Es innegable la existencia de una gran discusión acerca de la sustentabilidad en territorios urbanos como menciona Moreno (2014), ello obtiene otra relación y significado en las diferentes zonas metropolitanas donde se ubican los territorios y jurisdicciones político-administrativas de diferente índole en donde las políticas públicas y las acciones gubernamentales están escasamente coordinadas y los resultados que ofrecen son pobres en materia urbano-ambiental para los ciudadanos. En este sentido, se puede señalar que la sustentabilidad urbana ha</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2680" from="93.199997pt,-19.614155pt" to="546.799997pt,-19.614155pt" stroked="true" strokeweight=".479981pt" strokecolor="#000000">
            <w10:wrap type="none"/>
          </v:line>
        </w:pict>
      </w:r>
      <w:r>
        <w:rPr/>
        <w:t>estado buscando los satisfactores de la población donde en términos generales se analizan las dimensiones de sociedad, economía y el ambiente en sus distintas interrelaciones.</w:t>
      </w:r>
    </w:p>
    <w:p>
      <w:pPr>
        <w:pStyle w:val="BodyText"/>
        <w:spacing w:line="360" w:lineRule="auto" w:before="122"/>
        <w:ind w:left="268" w:right="231"/>
        <w:jc w:val="both"/>
      </w:pPr>
      <w:r>
        <w:rPr/>
        <w:t>Por lo que Vega (2001) desde la perspectiva económica, refirió que “mientras las políticas social y ambiental sean marginales y exclusivamente compensatorias de las externalidades derivadas de la política económica será muy difícil alcanzar la sustentabilidad”</w:t>
      </w:r>
    </w:p>
    <w:p>
      <w:pPr>
        <w:pStyle w:val="BodyText"/>
        <w:spacing w:line="360" w:lineRule="auto" w:before="122"/>
        <w:ind w:left="268" w:right="231"/>
        <w:jc w:val="both"/>
      </w:pPr>
      <w:r>
        <w:rPr/>
        <w:t>La complejidad y lo amplio del debate sobre sustentabilidad ha permitido estudiar  e incorporar este término en diferentes disciplinas del conocimiento, ya no solo desde una perspectiva ambiental, social o económica como fue plateado desde sus inicios al hablar de desarrollo sustentable, que obedecía más a un modelo de estudio de la economía, garantizando el desarrollo de ésta y justificando su huella en el medio ambiente ante la sociedad.</w:t>
      </w:r>
    </w:p>
    <w:p>
      <w:pPr>
        <w:pStyle w:val="BodyText"/>
        <w:spacing w:line="360" w:lineRule="auto" w:before="127"/>
        <w:ind w:left="268" w:right="231"/>
        <w:jc w:val="both"/>
      </w:pPr>
      <w:r>
        <w:rPr/>
        <w:t>La conceptualización del término cumplirá con algunas condiciones de ciertas áreas del conocimiento, para distintos investigadores el alcance científico en los campos de estudio, partirá de una concepción del medio ambiente estudiando la relación que existe con el campo de acción específico.</w:t>
      </w:r>
    </w:p>
    <w:p>
      <w:pPr>
        <w:pStyle w:val="BodyText"/>
        <w:spacing w:line="360" w:lineRule="auto" w:before="127"/>
        <w:ind w:left="268" w:right="231"/>
        <w:jc w:val="both"/>
      </w:pPr>
      <w:r>
        <w:rPr/>
        <w:t>El reto para la conceptualización del termino radica en entender el fenómeno a estudiar, abstraer los alcances de la investigación que se realiza buscando incorporar elementos que permitan analizar el problema de investigación mediante un enfoque de sustentabilidad que aporte un nuevo paradigma en su concepción, aplicación e interpretación.</w:t>
      </w:r>
    </w:p>
    <w:p>
      <w:pPr>
        <w:pStyle w:val="BodyText"/>
        <w:spacing w:line="360" w:lineRule="auto" w:before="122"/>
        <w:ind w:left="268" w:right="231"/>
        <w:jc w:val="both"/>
      </w:pPr>
      <w:r>
        <w:rPr/>
        <w:t>Con base a las diferentes aportaciones y con la intención de aportar un concepto propio para la investigación, la sustentabilidad es real o puede ser una utopía y esto depende de la conciencia del ser humano para realizar sus actividades facilitando su desarrollo e integración con el territorio, contribuyendo con el ambiente y con ello potencializando su calidad de vida.</w:t>
      </w:r>
    </w:p>
    <w:p>
      <w:pPr>
        <w:spacing w:after="0" w:line="360" w:lineRule="auto"/>
        <w:jc w:val="both"/>
        <w:sectPr>
          <w:footerReference w:type="default" r:id="rId44"/>
          <w:pgSz w:w="12240" w:h="15840"/>
          <w:pgMar w:footer="1066" w:header="730" w:top="1320" w:bottom="1260" w:left="1720" w:right="1180"/>
        </w:sectPr>
      </w:pPr>
    </w:p>
    <w:p>
      <w:pPr>
        <w:pStyle w:val="BodyText"/>
        <w:spacing w:before="1"/>
        <w:rPr>
          <w:sz w:val="18"/>
        </w:rPr>
      </w:pPr>
    </w:p>
    <w:p>
      <w:pPr>
        <w:pStyle w:val="Heading5"/>
        <w:numPr>
          <w:ilvl w:val="2"/>
          <w:numId w:val="7"/>
        </w:numPr>
        <w:tabs>
          <w:tab w:pos="936" w:val="left" w:leader="none"/>
        </w:tabs>
        <w:spacing w:line="240" w:lineRule="auto" w:before="69" w:after="0"/>
        <w:ind w:left="935" w:right="0" w:hanging="667"/>
        <w:jc w:val="both"/>
        <w:rPr>
          <w:i/>
        </w:rPr>
      </w:pPr>
      <w:r>
        <w:rPr/>
        <w:pict>
          <v:line style="position:absolute;mso-position-horizontal-relative:page;mso-position-vertical-relative:paragraph;z-index:2704" from="93.199997pt,-19.614155pt" to="546.799997pt,-19.614155pt" stroked="true" strokeweight=".479981pt" strokecolor="#000000">
            <w10:wrap type="none"/>
          </v:line>
        </w:pict>
      </w:r>
      <w:r>
        <w:rPr>
          <w:i/>
        </w:rPr>
        <w:t>Sustentabilidad del territorio</w:t>
      </w:r>
    </w:p>
    <w:p>
      <w:pPr>
        <w:pStyle w:val="BodyText"/>
        <w:rPr>
          <w:b/>
          <w:i/>
        </w:rPr>
      </w:pPr>
    </w:p>
    <w:p>
      <w:pPr>
        <w:pStyle w:val="BodyText"/>
        <w:spacing w:before="3"/>
        <w:rPr>
          <w:b/>
          <w:i/>
          <w:sz w:val="21"/>
        </w:rPr>
      </w:pPr>
    </w:p>
    <w:p>
      <w:pPr>
        <w:pStyle w:val="BodyText"/>
        <w:spacing w:line="360" w:lineRule="auto"/>
        <w:ind w:left="268" w:right="231"/>
        <w:jc w:val="both"/>
      </w:pPr>
      <w:r>
        <w:rPr/>
        <w:t>Pareciera que la construcción de la sustentabilidad del territorio está ligada a las acciones de sus ocupantes, quienes en su habitabilidad desarrollan diversos elementos tangibles e intangibles de pertenencia y cuidado a su medio ambiente. Para Delfín </w:t>
      </w:r>
      <w:r>
        <w:rPr>
          <w:i/>
        </w:rPr>
        <w:t>et al. </w:t>
      </w:r>
      <w:r>
        <w:rPr/>
        <w:t>(2011) la sustentabilidad del territorio se da como un elemento que busca analizar la permanencia armónica del ser humano, en su entorno social y ambiental dentro de su territorio, así como las interacciones de sus organizaciones para contribuir con la sustentabilidad del mismo.</w:t>
      </w:r>
    </w:p>
    <w:p>
      <w:pPr>
        <w:pStyle w:val="BodyText"/>
        <w:spacing w:line="360" w:lineRule="auto" w:before="127"/>
        <w:ind w:left="268" w:right="231"/>
        <w:jc w:val="both"/>
      </w:pPr>
      <w:r>
        <w:rPr/>
        <w:t>Lograr comprender la sustentabilidad del territorio va más allá de conceptualizarlo como un elemento geográfico o un instrumento, esto se puede constatar al observar los resultados de las relaciones entre sus habitantes, el valor y la lucha que existe en la identidad y el significado humano y social que se da por el logro  de aspiraciones del individuo o de la colectividad.</w:t>
      </w:r>
    </w:p>
    <w:p>
      <w:pPr>
        <w:pStyle w:val="BodyText"/>
        <w:spacing w:line="360" w:lineRule="auto" w:before="122"/>
        <w:ind w:left="268" w:right="231"/>
        <w:jc w:val="both"/>
      </w:pPr>
      <w:r>
        <w:rPr/>
        <w:t>El desarrollo y vida del territorio puede ser sustentable a partir de las contribuciones de la sociedad que lo habita y éste puede ser analizado con ocho categorías, según Delfín (2011) éstas son: vida interna organizativa, acción colectiva, ingresos y otros beneficios, conservación de recursos naturales, formación de habilidades y capacidades, identidad, integración a la vida comunitaria y permanencia.</w:t>
      </w:r>
    </w:p>
    <w:p>
      <w:pPr>
        <w:pStyle w:val="BodyText"/>
        <w:spacing w:line="360" w:lineRule="auto" w:before="122"/>
        <w:ind w:left="268" w:right="231"/>
        <w:jc w:val="both"/>
      </w:pPr>
      <w:r>
        <w:rPr/>
        <w:t>Por otro lado, Valenzuela (2010) considera que el desarrollo sustentable del territorio en la Ciudad de México tiende a ser un factor político que se agenda en las estrategias de las administraciones del Distrito Federal como un instrumento para el desarrollo deseable para la ciudad y atender los asuntos de carácter social, por lo que hace referencia a un discurso centralizado en la sustentabilidad social.</w:t>
      </w:r>
    </w:p>
    <w:p>
      <w:pPr>
        <w:pStyle w:val="BodyText"/>
        <w:spacing w:line="360" w:lineRule="auto" w:before="127"/>
        <w:ind w:left="268" w:right="231"/>
        <w:jc w:val="both"/>
      </w:pPr>
      <w:r>
        <w:rPr/>
        <w:t>La diversidad en la conceptualización de la sustentabilidad del territorio enriquece el estudio del mismo, una de las convergencias que se puede apreciar es la interacción que el ser humano tienen con él para el desarrollo de sus actividades y en el manejo adecuado y razonable de los recursos para llevarlas a cabo es en donde se encuentra la sustentabilidad de éste.</w:t>
      </w:r>
    </w:p>
    <w:p>
      <w:pPr>
        <w:spacing w:after="0" w:line="360" w:lineRule="auto"/>
        <w:jc w:val="both"/>
        <w:sectPr>
          <w:footerReference w:type="default" r:id="rId45"/>
          <w:pgSz w:w="12240" w:h="15840"/>
          <w:pgMar w:footer="1066" w:header="730" w:top="1320" w:bottom="1260" w:left="1720" w:right="1180"/>
        </w:sectPr>
      </w:pPr>
    </w:p>
    <w:p>
      <w:pPr>
        <w:pStyle w:val="BodyText"/>
        <w:rPr>
          <w:sz w:val="20"/>
        </w:rPr>
      </w:pPr>
    </w:p>
    <w:p>
      <w:pPr>
        <w:pStyle w:val="BodyText"/>
        <w:rPr>
          <w:sz w:val="20"/>
        </w:rPr>
      </w:pPr>
    </w:p>
    <w:p>
      <w:pPr>
        <w:pStyle w:val="BodyText"/>
        <w:spacing w:before="5"/>
      </w:pPr>
    </w:p>
    <w:p>
      <w:pPr>
        <w:pStyle w:val="BodyText"/>
        <w:spacing w:line="360" w:lineRule="auto" w:before="69"/>
        <w:ind w:left="268" w:right="231"/>
        <w:jc w:val="both"/>
      </w:pPr>
      <w:r>
        <w:rPr/>
        <w:pict>
          <v:line style="position:absolute;mso-position-horizontal-relative:page;mso-position-vertical-relative:paragraph;z-index:2728" from="93.199997pt,-46.254108pt" to="546.799997pt,-46.254108pt" stroked="true" strokeweight=".479981pt" strokecolor="#000000">
            <w10:wrap type="none"/>
          </v:line>
        </w:pict>
      </w:r>
      <w:r>
        <w:rPr/>
        <w:t>Gordillo (2005) establece que para que el hábitat sea sostenible se  requiere reducir el consumo de energía, transporte, reciclar y aprovechar los recursos naturales. Para ello es necesario comprender la complejidad de los sistemas urbanos y su relación con los ecosistemas, con la finalidad de disminuir las acciones en contra del propio territorio.</w:t>
      </w:r>
    </w:p>
    <w:p>
      <w:pPr>
        <w:pStyle w:val="BodyText"/>
        <w:spacing w:line="360" w:lineRule="auto" w:before="122"/>
        <w:ind w:left="268" w:right="231"/>
        <w:jc w:val="both"/>
      </w:pPr>
      <w:r>
        <w:rPr/>
        <w:t>El debate para la conceptualización de sustentabilidad por sí solo ya es complejo y amplio, lo que permite la incursión de diferentes áreas del conocimiento y esta multidisciplinariedad da la pauta para acotar la concepción del término conforme al enfoque y estudio con el que se pretenda abordar.</w:t>
      </w:r>
    </w:p>
    <w:p>
      <w:pPr>
        <w:pStyle w:val="BodyText"/>
        <w:spacing w:line="360" w:lineRule="auto" w:before="122"/>
        <w:ind w:left="268" w:right="231"/>
        <w:jc w:val="both"/>
      </w:pPr>
      <w:r>
        <w:rPr/>
        <w:t>La sustentabilidad en la administración urbana refiere a un tema de carácter normativo, legislativo, político y de gobernación, ya que el Estado a través de sus instituciones define una serie de normas, leyes y reglamentos que le permiten elaborar y ejecutar acciones que se traduzcan en resultados benéficos o no para  la sociedad.</w:t>
      </w:r>
    </w:p>
    <w:p>
      <w:pPr>
        <w:pStyle w:val="BodyText"/>
        <w:spacing w:line="360" w:lineRule="auto" w:before="122"/>
        <w:ind w:left="268" w:right="231"/>
        <w:jc w:val="both"/>
      </w:pPr>
      <w:r>
        <w:rPr/>
        <w:t>Mantovaneli y Cioce (2011) exponen el concepto de sustentabilidad desde el área de la política y la administración, para la gobernación del ecodesarrollo. En el discurso desarrollado el planteamiento se refiere a la parte política y administrativa de las instituciones y la necesidad de poder definir el término en relación a los temas ambientales y económicos de la sociedad, con la finalidad de ampliar o disminuir el marco normativo que regule las actividades de la sociedad conforme a sus características demarcativas específicas al sistema enfocado; sistemas económicos de organizaciones o de un solo individuo.</w:t>
      </w:r>
    </w:p>
    <w:p>
      <w:pPr>
        <w:pStyle w:val="BodyText"/>
        <w:spacing w:line="360" w:lineRule="auto" w:before="122"/>
        <w:ind w:left="268" w:right="231"/>
        <w:jc w:val="both"/>
      </w:pPr>
      <w:r>
        <w:rPr/>
        <w:t>En la mayoría de los países la administración de ciudades parte de lo local y lo regional, que política y administrativamente refiere a los municipios, alcaldías o condados y en el caso del Distrito Federal de la ciudad de México se divide en delegaciones.</w:t>
      </w:r>
    </w:p>
    <w:p>
      <w:pPr>
        <w:pStyle w:val="BodyText"/>
        <w:spacing w:line="360" w:lineRule="auto" w:before="122"/>
        <w:ind w:left="268" w:right="231"/>
        <w:jc w:val="both"/>
      </w:pPr>
      <w:r>
        <w:rPr/>
        <w:t>En el caso de Estados Unidos, al observar las acciones realizadas por varias alcaldías, quienes han implementado la práctica de políticas de sostenibilidad para</w:t>
      </w:r>
    </w:p>
    <w:p>
      <w:pPr>
        <w:pStyle w:val="BodyText"/>
        <w:spacing w:before="4"/>
        <w:rPr>
          <w:sz w:val="13"/>
        </w:rPr>
      </w:pPr>
    </w:p>
    <w:p>
      <w:pPr>
        <w:pStyle w:val="BodyText"/>
        <w:spacing w:before="70"/>
        <w:ind w:right="232"/>
        <w:jc w:val="right"/>
      </w:pPr>
      <w:r>
        <w:rPr/>
        <w:t>62</w:t>
      </w:r>
    </w:p>
    <w:p>
      <w:pPr>
        <w:spacing w:after="0"/>
        <w:jc w:val="right"/>
        <w:sectPr>
          <w:footerReference w:type="default" r:id="rId46"/>
          <w:pgSz w:w="12240" w:h="15840"/>
          <w:pgMar w:footer="0" w:header="730" w:top="1320" w:bottom="28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155280" from="93.199997pt,-19.614155pt" to="546.799997pt,-19.614155pt" stroked="true" strokeweight=".479981pt" strokecolor="#000000">
            <w10:wrap type="none"/>
          </v:line>
        </w:pict>
      </w:r>
      <w:r>
        <w:rPr/>
        <w:t>enfrentar los retos socioeconómicos, políticos y ambientales, Wang </w:t>
      </w:r>
      <w:r>
        <w:rPr>
          <w:i/>
        </w:rPr>
        <w:t>et al. </w:t>
      </w:r>
      <w:r>
        <w:rPr/>
        <w:t>(2014) plantea la necesidad del liderazgo de la sostenibilidad, el cual define como el proceso de promoción de una serie de prácticas ambientales, sociales y económicas concretas, implementadas por diferentes actores en los que se encuentran los ciudadanos, los legisladores estatales, los  administradores públicos y los miembros de la administración municipal.</w:t>
      </w:r>
    </w:p>
    <w:p>
      <w:pPr>
        <w:pStyle w:val="BodyText"/>
        <w:spacing w:line="360" w:lineRule="auto" w:before="122"/>
        <w:ind w:left="268" w:right="231"/>
        <w:jc w:val="both"/>
      </w:pPr>
      <w:r>
        <w:rPr/>
        <w:t>Wang </w:t>
      </w:r>
      <w:r>
        <w:rPr>
          <w:i/>
        </w:rPr>
        <w:t>et al. </w:t>
      </w:r>
      <w:r>
        <w:rPr/>
        <w:t>(2014), señala una sostenibilidad mediante un proceso de promoción de prácticas ambientales, sociales y económicas concretas, que son implementadas por diversos actores en los que participan los ciudadanos, los legisladores, los administradores públicos y los miembros de la administración municipal, aunque paradójicamente para los mismos resulta una reacción espontánea y provisional a las presiones socio-políticas y ambientales.</w:t>
      </w:r>
    </w:p>
    <w:p>
      <w:pPr>
        <w:pStyle w:val="BodyText"/>
        <w:spacing w:line="360" w:lineRule="auto" w:before="122"/>
        <w:ind w:left="268" w:right="231"/>
        <w:jc w:val="both"/>
      </w:pPr>
      <w:r>
        <w:rPr/>
        <w:t>La sustentabilidad en la administración urbana se encuentra ligada a temas de políticas públicas, planeación, ordenación territorial, administración de: alcaldías, municipios, distritos, estados, zonas metropolitanas y jurisdicciones político- administrativas, que buscan satisfacer las necesidades de su población en sus ámbitos, económicos, sociales y ambientales. Pero aún existe una descoordinación en las acciones que permitan garantizar la sustentabilidad urbana.  Pamplona  (2000),  Vega  (2001),  Tommasino  (2005),  Ahumada</w:t>
      </w:r>
      <w:r>
        <w:rPr>
          <w:spacing w:val="51"/>
        </w:rPr>
        <w:t> </w:t>
      </w:r>
      <w:r>
        <w:rPr/>
        <w:t>(2012),</w:t>
      </w:r>
    </w:p>
    <w:p>
      <w:pPr>
        <w:pStyle w:val="BodyText"/>
        <w:spacing w:before="2"/>
        <w:ind w:left="268"/>
        <w:jc w:val="both"/>
      </w:pPr>
      <w:r>
        <w:rPr/>
        <w:t>Moreno (2014) y Carrillo (2014).</w:t>
      </w:r>
    </w:p>
    <w:p>
      <w:pPr>
        <w:pStyle w:val="BodyText"/>
        <w:spacing w:before="3"/>
        <w:rPr>
          <w:sz w:val="22"/>
        </w:rPr>
      </w:pPr>
    </w:p>
    <w:p>
      <w:pPr>
        <w:pStyle w:val="BodyText"/>
        <w:spacing w:line="360" w:lineRule="auto" w:before="1"/>
        <w:ind w:left="268" w:right="231"/>
        <w:jc w:val="both"/>
      </w:pPr>
      <w:r>
        <w:rPr/>
        <w:t>Hablar de sustentabilidad en la administración urbana en diversos países implica hacer alusión a la administración pública desde un enfoque político administrativo- normativo, en el que se requiere implementar una legislación y/o normatividad de carácter federal, estatal y municipal, que permita ejecutar acciones de carácter público, privado, social y gubernamental, para garantizar el adecuado equilibrio de un modelo de desarrollo económico que se repite en diferentes territorios y sociedades, que continua tratando de justificar las repercusiones insustentables que genera en el medio ambiente. (Carrillo, 2014).</w:t>
      </w:r>
    </w:p>
    <w:p>
      <w:pPr>
        <w:pStyle w:val="BodyText"/>
        <w:spacing w:line="362" w:lineRule="auto" w:before="122"/>
        <w:ind w:left="268" w:right="231"/>
        <w:jc w:val="both"/>
      </w:pPr>
      <w:r>
        <w:rPr/>
        <w:t>Vigo (2014) refiere a la sustentabilidad urbana como las acciones de gestión urbana  en  el  cual  el  objeto  es  la  ciudad  e  indirectamente  las    </w:t>
      </w:r>
      <w:r>
        <w:rPr>
          <w:spacing w:val="62"/>
        </w:rPr>
        <w:t> </w:t>
      </w:r>
      <w:r>
        <w:rPr/>
        <w:t>instituciones</w:t>
      </w:r>
    </w:p>
    <w:p>
      <w:pPr>
        <w:pStyle w:val="BodyText"/>
        <w:spacing w:before="43"/>
        <w:ind w:right="232"/>
        <w:jc w:val="right"/>
      </w:pPr>
      <w:r>
        <w:rPr/>
        <w:t>63</w:t>
      </w:r>
    </w:p>
    <w:p>
      <w:pPr>
        <w:spacing w:after="0"/>
        <w:jc w:val="right"/>
        <w:sectPr>
          <w:headerReference w:type="default" r:id="rId47"/>
          <w:footerReference w:type="default" r:id="rId48"/>
          <w:pgSz w:w="12240" w:h="15840"/>
          <w:pgMar w:header="730" w:footer="0" w:top="1320" w:bottom="28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155256" from="93.199997pt,-19.614155pt" to="546.799997pt,-19.614155pt" stroked="true" strokeweight=".479981pt" strokecolor="#000000">
            <w10:wrap type="none"/>
          </v:line>
        </w:pict>
      </w:r>
      <w:r>
        <w:rPr/>
        <w:t>administrativas en las cuales no solo se refiere a la administración del gobierno local, ni a la administración de los recursos, del desarrollo o de los servicios, sino también implica la administración de las actividades de los asentamientos humanos por lo que se relaciona estrechamente con el planeamiento y el desarrollo.</w:t>
      </w:r>
    </w:p>
    <w:p>
      <w:pPr>
        <w:pStyle w:val="BodyText"/>
        <w:spacing w:line="360" w:lineRule="auto" w:before="122"/>
        <w:ind w:left="268" w:right="231"/>
        <w:jc w:val="both"/>
      </w:pPr>
      <w:r>
        <w:rPr/>
        <w:t>Carreño (2014) señala que la sustentabilidad no es algo abstracto y ésta genera  su impacto en el territorio, el cual concibe como soporte de distintas actividades de la humanidad como las socioeconómicas y ambientales, por lo que explica que el medio ambiente y el territorio son aspectos específicos de las relaciones sociales de producción y el grado de desarrollo de las fuerzas productivas de la sociedad y la cultura.</w:t>
      </w:r>
    </w:p>
    <w:p>
      <w:pPr>
        <w:pStyle w:val="BodyText"/>
        <w:spacing w:line="360" w:lineRule="auto" w:before="122"/>
        <w:ind w:left="268" w:right="231"/>
        <w:jc w:val="both"/>
      </w:pPr>
      <w:r>
        <w:rPr/>
        <w:t>Sin embargo, para Wang </w:t>
      </w:r>
      <w:r>
        <w:rPr>
          <w:i/>
        </w:rPr>
        <w:t>et al. </w:t>
      </w:r>
      <w:r>
        <w:rPr/>
        <w:t>(2014) el papel más importante en las actividades de la sostenibilidad se encuentra en los administradores locales, pero paradójicamente para los mismos resulta una reacción espontánea y provisional a las presiones socio-políticas y ambientales. Esta situación pareciera que se presenta en otros gobiernos locales como en el caso de los municipios de México, en los que de igual modo se realizan estudios y programas técnicos para el desarrollo sustentable pero el éxito de los mismos radica en la ejecución y seguimiento que realicen los administradores locales.</w:t>
      </w:r>
    </w:p>
    <w:p>
      <w:pPr>
        <w:pStyle w:val="BodyText"/>
        <w:spacing w:line="360" w:lineRule="auto" w:before="122"/>
        <w:ind w:left="268" w:right="231"/>
        <w:jc w:val="both"/>
      </w:pPr>
      <w:r>
        <w:rPr/>
        <w:t>La sustentabilidad para Pamplona (2000) refiere a un tema de la política y las políticas públicas que deben contribuir a evitar que continué el deterioro del medio ambiente por lo que las acciones públicas, privadas, sociales y gubernamentales deben aplicarse en espacios, en un ámbito territorial, de este modo se incorpora una dimensión para intervenir en los procesos macro-micro que permiten realizar estas políticas públicas con sentido práctico, reales y factibles puesto que se reconoce un espacio y en este sentido el ordenamiento ecológico del territorio además de ser un instrumento de política también es un instrumento de planeación.</w:t>
      </w:r>
    </w:p>
    <w:p>
      <w:pPr>
        <w:pStyle w:val="BodyText"/>
        <w:spacing w:line="362" w:lineRule="auto" w:before="122"/>
        <w:ind w:left="268" w:right="231"/>
        <w:jc w:val="both"/>
      </w:pPr>
      <w:r>
        <w:rPr/>
        <w:t>Con base en lo expuesto hablar de sustentabilidad en la administración urbana en diversos países es hacer alusión a la administración pública desde un enfoque</w:t>
      </w:r>
    </w:p>
    <w:p>
      <w:pPr>
        <w:pStyle w:val="BodyText"/>
        <w:spacing w:before="43"/>
        <w:ind w:right="232"/>
        <w:jc w:val="right"/>
      </w:pPr>
      <w:r>
        <w:rPr/>
        <w:t>64</w:t>
      </w:r>
    </w:p>
    <w:p>
      <w:pPr>
        <w:spacing w:after="0"/>
        <w:jc w:val="right"/>
        <w:sectPr>
          <w:headerReference w:type="default" r:id="rId49"/>
          <w:footerReference w:type="default" r:id="rId50"/>
          <w:pgSz w:w="12240" w:h="15840"/>
          <w:pgMar w:header="730" w:footer="0" w:top="1320" w:bottom="28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2800" from="93.199997pt,-19.614155pt" to="546.799997pt,-19.614155pt" stroked="true" strokeweight=".479981pt" strokecolor="#000000">
            <w10:wrap type="none"/>
          </v:line>
        </w:pict>
      </w:r>
      <w:r>
        <w:rPr/>
        <w:t>político administrativo-normativo en el que se requiere implementar una legislación y normatividad federal, estatal y municipal que permita ejecutar acciones de carácter público, privado, social y gubernamental, para garantizar el adecuado equilibrio de un modelo de desarrollo económico que se repite en diferentes territorios y sociedades y que en la segunda década del siglo XXI continua tratando de justificar las repercusiones insustentables que genera en el medio ambiente.</w:t>
      </w:r>
    </w:p>
    <w:p>
      <w:pPr>
        <w:pStyle w:val="BodyText"/>
        <w:spacing w:line="360" w:lineRule="auto" w:before="122"/>
        <w:ind w:left="268" w:right="231"/>
        <w:jc w:val="both"/>
      </w:pPr>
      <w:r>
        <w:rPr/>
        <w:t>Por lo que la sustentabilidad urbana como menciona López (2004), puede concebirse como un concepto sistémico en el cual existen subsistemas de  carácter social (el bienestar social), el espacio físico urbano (calidad físico espacial), lo económico (productividad) y ecológico (preservación ecológica), que juegan un papel importante para lograr la sustentabilidad de una</w:t>
      </w:r>
      <w:r>
        <w:rPr>
          <w:spacing w:val="-3"/>
        </w:rPr>
        <w:t> </w:t>
      </w:r>
      <w:r>
        <w:rPr/>
        <w:t>ciudad.</w:t>
      </w:r>
    </w:p>
    <w:p>
      <w:pPr>
        <w:pStyle w:val="BodyText"/>
        <w:spacing w:line="360" w:lineRule="auto" w:before="122"/>
        <w:ind w:left="268" w:right="231"/>
        <w:jc w:val="both"/>
      </w:pPr>
      <w:r>
        <w:rPr/>
        <w:t>La concordancia entre la sustentabilidad urbana siendo local o internacional por lo general es vista como un simplificador de acción política, ya que en el ámbito territorial existen distintos actores involucrados en los contextos sociales, urbanos, económicos, ambientales, autoridades y administradores políticos. A todo esto, podemos agregar que en México la planeación urbana y la administración de ciudades recaen principalmente en los municipios.</w:t>
      </w:r>
    </w:p>
    <w:p>
      <w:pPr>
        <w:pStyle w:val="BodyText"/>
        <w:spacing w:line="360" w:lineRule="auto" w:before="122"/>
        <w:ind w:left="268" w:right="231"/>
        <w:jc w:val="both"/>
      </w:pPr>
      <w:r>
        <w:rPr/>
        <w:t>La sustentabilidad en la administración urbana es un concepto joven el cual comienza a tomar forma y a definirse en relación a las necesidades y características propias del área. El concepto de sustentabilidad ha sido trabajado por diferentes disciplinas lo que ha permitido enriquecer sus características y sus formar de comprenderse, lo cual representa un avance significativo ya que para  los gobiernos esto debe ser una ventaja puesto que pueden utilizar la multidisciplinariedad de los estudios realizados para generar y aplicar cada vez mejores leyes, normas y reglamentos que permitan actuar a las instituciones y dependencias de gobierno en materia de sustentabilidad.</w:t>
      </w:r>
    </w:p>
    <w:p>
      <w:pPr>
        <w:pStyle w:val="BodyText"/>
        <w:spacing w:line="360" w:lineRule="auto" w:before="122"/>
        <w:ind w:left="268" w:right="231"/>
        <w:jc w:val="both"/>
      </w:pPr>
      <w:r>
        <w:rPr/>
        <w:t>El marco normativo existente presenta ambigüedad en la conceptualización de la sustentabilidad, el desarrollo sustentable, la sostenibilidad y el medio ambiente; sin embargo, se debe reconocer que existe camino realizado en materia normativa    y</w:t>
      </w:r>
    </w:p>
    <w:p>
      <w:pPr>
        <w:spacing w:after="0" w:line="360" w:lineRule="auto"/>
        <w:jc w:val="both"/>
        <w:sectPr>
          <w:footerReference w:type="default" r:id="rId51"/>
          <w:pgSz w:w="12240" w:h="15840"/>
          <w:pgMar w:footer="1066" w:header="730" w:top="1320" w:bottom="1260" w:left="1720" w:right="1180"/>
          <w:pgNumType w:start="65"/>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2824" from="93.199997pt,-19.614155pt" to="546.799997pt,-19.614155pt" stroked="true" strokeweight=".479981pt" strokecolor="#000000">
            <w10:wrap type="none"/>
          </v:line>
        </w:pict>
      </w:r>
      <w:r>
        <w:rPr/>
        <w:t>que si bien aún no es la más adecuada requiere mejorarse, adicionando, reformando y reestructurando la legislación.</w:t>
      </w:r>
    </w:p>
    <w:p>
      <w:pPr>
        <w:pStyle w:val="BodyText"/>
        <w:spacing w:line="360" w:lineRule="auto" w:before="122"/>
        <w:ind w:left="268" w:right="231"/>
        <w:jc w:val="both"/>
      </w:pPr>
      <w:r>
        <w:rPr/>
        <w:t>Las diferencias entre el territorio mexicano son diversas, lo cual debe de ser un aliciente para conformar y estructurar un código de sustentabilidad de nuestro país que no solo sea un compendio de leyes, normas y reglamentos fragmentados y sin relación entre ellos, sino todo lo contrario, aprovechar el avance existente en cada Estado de la República Mexicana en materia de legislación del medio ambiente y desarrollo sustentable, pero aún se requiere la tarea titánica de articularlos y de analizar sus alcances y salvedades para logar consolidar una propuesta realmente sustentable para el país, ya que con acciones parciales, individuales y difusas será un riesgo hablar de sustentabilidad en los próximos años y quizá para entonces solo se acuñará un nuevo concepto para lo ya conocido.</w:t>
      </w:r>
    </w:p>
    <w:p>
      <w:pPr>
        <w:pStyle w:val="BodyText"/>
        <w:spacing w:line="360" w:lineRule="auto" w:before="122"/>
        <w:ind w:left="268" w:right="231"/>
        <w:jc w:val="both"/>
      </w:pPr>
      <w:r>
        <w:rPr/>
        <w:t>El conocimiento que se genera en los estudios y en la investigación en relación a la sustentabilidad, el desarrollo sustentable y el medio ambiente, no ha sido aprovechado como lo marca la premisa de generar conocimiento para beneficio de la sociedad y esto pareciera ser que no es por falta de desarrollo de trabajo académico o de investigación, sino que por la separación entre la conciencia de elegir a nuestros gobernantes con cierto nivel de preparación conforme a los puestos que van a desarrollar está distraída por otros actores ajenos al cuidado  del territorio que habitamos.</w:t>
      </w:r>
    </w:p>
    <w:p>
      <w:pPr>
        <w:pStyle w:val="BodyText"/>
        <w:spacing w:line="360" w:lineRule="auto" w:before="122"/>
        <w:ind w:left="268" w:right="231"/>
        <w:jc w:val="both"/>
      </w:pPr>
      <w:r>
        <w:rPr/>
        <w:t>La sustentabilidad hace ya 40 años que rebasó la concepción original de ser comprendida y analizada solo por factores de carácter económico, social y ambiental. Esta ya es estudiada por diversas e innumerables áreas del conocimiento, lo que sugiere que, al hablar de sustentabilidad del territorio en materia de administración pública, se espera que sea de manera multi-institucional y multi-dependencias intra e interinstitucional, puesto que parecería miope fomentar políticas y acciones gubernamentales desde una sola dependencia del gobierno.</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2848" from="93.199997pt,-19.614155pt" to="546.799997pt,-19.614155pt" stroked="true" strokeweight=".479981pt" strokecolor="#000000">
            <w10:wrap type="none"/>
          </v:line>
        </w:pict>
      </w:r>
      <w:r>
        <w:rPr/>
        <w:t>Por lo anterior éste trabajo aborda la sustentabilidad considerando sus principales y tradicionales ejes de análisis; social, ambiental y económico adicionando un tercer eje para su estudio éste es el eje territorial considerando que las acciones del ser humano impactan en el territorio, sean estas de carácter político, administrativo, normativo, legislativo, económico o social como lo mencionan algunos  autores;  Pamplona  (2000),  Vega  (2001),  Tommasino  (2005), </w:t>
      </w:r>
      <w:r>
        <w:rPr>
          <w:spacing w:val="55"/>
        </w:rPr>
        <w:t> </w:t>
      </w:r>
      <w:r>
        <w:rPr/>
        <w:t>Gordillo</w:t>
      </w:r>
    </w:p>
    <w:p>
      <w:pPr>
        <w:pStyle w:val="BodyText"/>
        <w:spacing w:before="2"/>
        <w:ind w:left="268"/>
        <w:jc w:val="both"/>
      </w:pPr>
      <w:r>
        <w:rPr/>
        <w:t>(2005), Eibenshutz y Goya (2009), Valenzuela (2010), Mantovaneli y Cioce (2011),</w:t>
      </w:r>
    </w:p>
    <w:p>
      <w:pPr>
        <w:pStyle w:val="BodyText"/>
        <w:spacing w:before="137"/>
        <w:ind w:left="268"/>
        <w:jc w:val="both"/>
      </w:pPr>
      <w:r>
        <w:rPr/>
        <w:t>Delfín </w:t>
      </w:r>
      <w:r>
        <w:rPr>
          <w:i/>
        </w:rPr>
        <w:t>et al. </w:t>
      </w:r>
      <w:r>
        <w:rPr/>
        <w:t>(2011), Ahumada (2012), Méndez (2012), Martínez (2012), Carreño</w:t>
      </w:r>
    </w:p>
    <w:p>
      <w:pPr>
        <w:pStyle w:val="BodyText"/>
        <w:spacing w:before="141"/>
        <w:ind w:left="268"/>
        <w:jc w:val="both"/>
      </w:pPr>
      <w:r>
        <w:rPr/>
        <w:t>(2014), Carrillo (2014), Wang </w:t>
      </w:r>
      <w:r>
        <w:rPr>
          <w:i/>
        </w:rPr>
        <w:t>et al. </w:t>
      </w:r>
      <w:r>
        <w:rPr/>
        <w:t>(2014) y Vigo (2014).</w:t>
      </w:r>
    </w:p>
    <w:p>
      <w:pPr>
        <w:pStyle w:val="BodyText"/>
        <w:spacing w:before="3"/>
        <w:rPr>
          <w:sz w:val="22"/>
        </w:rPr>
      </w:pPr>
    </w:p>
    <w:p>
      <w:pPr>
        <w:pStyle w:val="BodyText"/>
        <w:spacing w:line="360" w:lineRule="auto" w:before="1"/>
        <w:ind w:left="268" w:right="231"/>
        <w:jc w:val="both"/>
      </w:pPr>
      <w:r>
        <w:rPr/>
        <w:t>Así pues, el presente trabajo muestra un estudio y análisis con el enfoque de la sustentabilidad sumando un cuarto eje al estudio tradicional de ésta y mediante un modelo metodológico para el análisis del índice de sustentabilidad para conjuntos urbanos autorizados en el Estado de México que se desarrolla en el capítulo que continua.</w:t>
      </w:r>
    </w:p>
    <w:p>
      <w:pPr>
        <w:spacing w:after="0" w:line="360" w:lineRule="auto"/>
        <w:jc w:val="both"/>
        <w:sectPr>
          <w:pgSz w:w="12240" w:h="15840"/>
          <w:pgMar w:header="730" w:footer="1066" w:top="1320" w:bottom="1260" w:left="1720" w:right="1180"/>
        </w:sectPr>
      </w:pPr>
    </w:p>
    <w:p>
      <w:pPr>
        <w:pStyle w:val="BodyText"/>
        <w:rPr>
          <w:sz w:val="20"/>
        </w:rPr>
      </w:pPr>
      <w:r>
        <w:rPr/>
        <w:pict>
          <v:line style="position:absolute;mso-position-horizontal-relative:page;mso-position-vertical-relative:page;z-index:2872" from="93.199997pt,57.080009pt" to="546.799997pt,57.080009pt" stroked="true" strokeweight=".479981pt" strokecolor="#000000">
            <w10:wrap type="none"/>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pStyle w:val="Heading4"/>
        <w:ind w:left="1860" w:right="1762"/>
        <w:jc w:val="center"/>
      </w:pPr>
      <w:r>
        <w:rPr/>
        <w:pict>
          <v:group style="position:absolute;margin-left:14pt;margin-top:-175.424149pt;width:584pt;height:423.4pt;mso-position-horizontal-relative:page;mso-position-vertical-relative:paragraph;z-index:-1155136" coordorigin="280,-3508" coordsize="11680,8468">
            <v:shape style="position:absolute;left:362;top:-3508;width:11597;height:8467" type="#_x0000_t75" stroked="false">
              <v:imagedata r:id="rId52" o:title=""/>
            </v:shape>
            <v:shape style="position:absolute;left:280;top:-1045;width:11680;height:3720" type="#_x0000_t75" stroked="false">
              <v:imagedata r:id="rId27" o:title=""/>
            </v:shape>
            <w10:wrap type="none"/>
          </v:group>
        </w:pict>
      </w:r>
      <w:r>
        <w:rPr/>
        <w:t>Capítulo 2</w:t>
      </w:r>
    </w:p>
    <w:p>
      <w:pPr>
        <w:pStyle w:val="BodyText"/>
        <w:spacing w:before="3"/>
        <w:rPr>
          <w:b/>
          <w:sz w:val="22"/>
        </w:rPr>
      </w:pPr>
    </w:p>
    <w:p>
      <w:pPr>
        <w:spacing w:line="463" w:lineRule="auto" w:before="1"/>
        <w:ind w:left="1866" w:right="1762" w:firstLine="0"/>
        <w:jc w:val="center"/>
        <w:rPr>
          <w:b/>
          <w:sz w:val="24"/>
        </w:rPr>
      </w:pPr>
      <w:r>
        <w:rPr>
          <w:b/>
          <w:sz w:val="24"/>
        </w:rPr>
        <w:t>Modelo metodológico para el análisis de la sustentabilidad del territorio y la producción de vivienda formal</w:t>
      </w:r>
    </w:p>
    <w:p>
      <w:pPr>
        <w:spacing w:after="0" w:line="463" w:lineRule="auto"/>
        <w:jc w:val="center"/>
        <w:rPr>
          <w:sz w:val="24"/>
        </w:rPr>
        <w:sectPr>
          <w:pgSz w:w="12240" w:h="15840"/>
          <w:pgMar w:header="730" w:footer="1066" w:top="1320" w:bottom="1260" w:left="180" w:right="180"/>
        </w:sectPr>
      </w:pPr>
    </w:p>
    <w:p>
      <w:pPr>
        <w:pStyle w:val="BodyText"/>
        <w:spacing w:before="1"/>
        <w:rPr>
          <w:b/>
          <w:sz w:val="18"/>
        </w:rPr>
      </w:pPr>
    </w:p>
    <w:p>
      <w:pPr>
        <w:spacing w:line="276" w:lineRule="auto" w:before="69"/>
        <w:ind w:left="268" w:right="637" w:firstLine="0"/>
        <w:jc w:val="left"/>
        <w:rPr>
          <w:b/>
          <w:sz w:val="24"/>
        </w:rPr>
      </w:pPr>
      <w:r>
        <w:rPr/>
        <w:pict>
          <v:line style="position:absolute;mso-position-horizontal-relative:page;mso-position-vertical-relative:paragraph;z-index:2920" from="93.199997pt,-19.614155pt" to="546.799997pt,-19.614155pt" stroked="true" strokeweight=".479981pt" strokecolor="#000000">
            <w10:wrap type="none"/>
          </v:line>
        </w:pict>
      </w:r>
      <w:r>
        <w:rPr>
          <w:b/>
          <w:sz w:val="24"/>
        </w:rPr>
        <w:t>Capítulo 2. Modelo metodológico para el análisis de la sustentabilidad del territorio y la producción de vivienda formal</w:t>
      </w:r>
    </w:p>
    <w:p>
      <w:pPr>
        <w:pStyle w:val="BodyText"/>
        <w:rPr>
          <w:b/>
        </w:rPr>
      </w:pPr>
    </w:p>
    <w:p>
      <w:pPr>
        <w:pStyle w:val="BodyText"/>
        <w:spacing w:line="360" w:lineRule="auto" w:before="204"/>
        <w:ind w:left="268" w:right="231"/>
        <w:jc w:val="both"/>
      </w:pPr>
      <w:r>
        <w:rPr/>
        <w:t>El objetivo del presente capítulo es formular un modelo metodológico para el análisis de la sustentabilidad del territorio y la producción de vivienda formal mediante la construcción de un sistema de indicadores basándose en el método  de agregación de indicadores, con ello medir y evaluar la sustentabilidad de la vivienda formal que se promociona, produce y desarrolla. Los diversos estudios y metodologías para el análisis de la sustentabilidad, el territorio y la vivienda, son bastas y oportunas cada día continúan siendo enriquecidas con nuevas propuestas, perspectivas y</w:t>
      </w:r>
      <w:r>
        <w:rPr>
          <w:spacing w:val="-2"/>
        </w:rPr>
        <w:t> </w:t>
      </w:r>
      <w:r>
        <w:rPr/>
        <w:t>alcances.</w:t>
      </w:r>
    </w:p>
    <w:p>
      <w:pPr>
        <w:pStyle w:val="BodyText"/>
        <w:spacing w:line="360" w:lineRule="auto" w:before="122"/>
        <w:ind w:left="268" w:right="231"/>
        <w:jc w:val="both"/>
      </w:pPr>
      <w:r>
        <w:rPr/>
        <w:t>Existen diferentes metodologías tanto el ámbito internacional como en el nacional, que se especializan en el estudio de la sustentabilidad desde diversas perspectivas como por ejemplo la metodología LEED (por su acrónimo en inglés, </w:t>
      </w:r>
      <w:r>
        <w:rPr>
          <w:i/>
        </w:rPr>
        <w:t>Leadership in Energy &amp; Environmental Design</w:t>
      </w:r>
      <w:r>
        <w:rPr/>
        <w:t>), este método es un sistema que esta encaminado a certificar edificios sostenibles desarrollado en Estados Unidos de Norteamérica en el año 1993 basado en normas norteaméricas, también existe metodologías especializadas en el impacto ambiental que un producto realiza como lo es el método de Análisis de Ciclo de Vida </w:t>
      </w:r>
      <w:r>
        <w:rPr>
          <w:i/>
        </w:rPr>
        <w:t>(Life Cycle Assessment) </w:t>
      </w:r>
      <w:r>
        <w:rPr/>
        <w:t>éste se basa en un balance ambiental del impacto del producto en sus diferentes etapas como: extracción, producción, distribución, usos, reutilización, reciclaje o fin de vida, de igual modo está el modelo de análisis Leopold o el modelo Presión- Estado-Respuesta, con enfoque particulares para el análisis de la</w:t>
      </w:r>
      <w:r>
        <w:rPr>
          <w:spacing w:val="-1"/>
        </w:rPr>
        <w:t> </w:t>
      </w:r>
      <w:r>
        <w:rPr/>
        <w:t>sustentabilidad.</w:t>
      </w:r>
    </w:p>
    <w:p>
      <w:pPr>
        <w:pStyle w:val="BodyText"/>
        <w:spacing w:line="360" w:lineRule="auto" w:before="122"/>
        <w:ind w:left="268" w:right="231"/>
        <w:jc w:val="both"/>
      </w:pPr>
      <w:r>
        <w:rPr/>
        <w:t>Es este el interés y dada la particularidad de la investigación que aquí se presenta, se parte de la consulta de distintos enfoques, estudios, metodologías, procesos establecidos, normatividad y conocimiento empírico a fin de estructurar la propuesta del modelo metodológico que busca medir y evaluar de manera integral la sustentabilidad del territorio y la producción de vivienda formal.</w:t>
      </w:r>
    </w:p>
    <w:p>
      <w:pPr>
        <w:spacing w:after="0" w:line="360" w:lineRule="auto"/>
        <w:jc w:val="both"/>
        <w:sectPr>
          <w:pgSz w:w="12240" w:h="15840"/>
          <w:pgMar w:header="730" w:footer="1066" w:top="1320" w:bottom="1260" w:left="1720" w:right="1180"/>
        </w:sectPr>
      </w:pPr>
    </w:p>
    <w:p>
      <w:pPr>
        <w:pStyle w:val="BodyText"/>
        <w:spacing w:before="3"/>
        <w:rPr>
          <w:sz w:val="14"/>
        </w:rPr>
      </w:pPr>
    </w:p>
    <w:p>
      <w:pPr>
        <w:pStyle w:val="BodyText"/>
        <w:spacing w:line="360" w:lineRule="auto" w:before="78"/>
        <w:ind w:left="268" w:right="231"/>
        <w:jc w:val="both"/>
      </w:pPr>
      <w:r>
        <w:rPr/>
        <w:pict>
          <v:line style="position:absolute;mso-position-horizontal-relative:page;mso-position-vertical-relative:paragraph;z-index:2968" from="93.199997pt,-17.416109pt" to="546.799997pt,-17.416109pt" stroked="true" strokeweight=".479981pt" strokecolor="#000000">
            <w10:wrap type="none"/>
          </v:line>
        </w:pict>
      </w:r>
      <w:r>
        <w:rPr/>
        <w:t>Para ello se realizó investigación de campo</w:t>
      </w:r>
      <w:r>
        <w:rPr>
          <w:position w:val="11"/>
          <w:sz w:val="16"/>
        </w:rPr>
        <w:t>4 </w:t>
      </w:r>
      <w:r>
        <w:rPr/>
        <w:t>que permitió contar con información especializada que se depuró, analizó y sistematizó para considerarla en la metodología iniciada, con base en los enfoques teóricos y trabajos referidos en el capítulo 1, estructurando y considerando aportaciones, así como de igual modo  del análisis normativo realizado en el capítulo 3, resultó apropiado para la investigación los aportes teóricos de los trabajos realizados por los  expertos, desde la perspectiva de los tres agentes que intervienen en el fenómeno de la vivienda y sus formar de evaluar por medio de métodos e</w:t>
      </w:r>
      <w:r>
        <w:rPr>
          <w:spacing w:val="-1"/>
        </w:rPr>
        <w:t> </w:t>
      </w:r>
      <w:r>
        <w:rPr/>
        <w:t>indicadores.</w:t>
      </w:r>
    </w:p>
    <w:p>
      <w:pPr>
        <w:pStyle w:val="BodyText"/>
        <w:spacing w:line="360" w:lineRule="auto" w:before="127"/>
        <w:ind w:left="268" w:right="231"/>
        <w:jc w:val="both"/>
      </w:pPr>
      <w:r>
        <w:rPr/>
        <w:t>La Agenda 21 refiere que “los indicadores de desarrollo sustentable necesitan ser desarrollados para proporcionar bases sólidas para la toma de decisiones en  todos los niveles y contribuir a autorregular la sustentabilidad de los sistemas integrados del ambiente y el desarrollo”, por lo que los indicadores constituyen un referente para la evaluación del bienestar y de la sustentabilidad del</w:t>
      </w:r>
      <w:r>
        <w:rPr>
          <w:spacing w:val="-1"/>
        </w:rPr>
        <w:t> </w:t>
      </w:r>
      <w:r>
        <w:rPr/>
        <w:t>país.</w:t>
      </w:r>
    </w:p>
    <w:p>
      <w:pPr>
        <w:spacing w:line="360" w:lineRule="auto" w:before="127"/>
        <w:ind w:left="268" w:right="231" w:firstLine="0"/>
        <w:jc w:val="both"/>
        <w:rPr>
          <w:i/>
          <w:sz w:val="24"/>
        </w:rPr>
      </w:pPr>
      <w:r>
        <w:rPr>
          <w:sz w:val="24"/>
        </w:rPr>
        <w:t>Castro </w:t>
      </w:r>
      <w:r>
        <w:rPr>
          <w:i/>
          <w:sz w:val="24"/>
        </w:rPr>
        <w:t>et al. </w:t>
      </w:r>
      <w:r>
        <w:rPr>
          <w:sz w:val="24"/>
        </w:rPr>
        <w:t>(2006) menciona </w:t>
      </w:r>
      <w:r>
        <w:rPr>
          <w:i/>
          <w:sz w:val="24"/>
        </w:rPr>
        <w:t>“La actuación de la promoción habitacional privada </w:t>
      </w:r>
      <w:r>
        <w:rPr>
          <w:i/>
          <w:sz w:val="24"/>
        </w:rPr>
        <w:t>debe ser entonces evaluada con la mayor profundidad que sea posible y, en particular, ser confrontada con la realidad de las necesidades de vivienda de los distintos grupos sociales.”</w:t>
      </w:r>
    </w:p>
    <w:p>
      <w:pPr>
        <w:pStyle w:val="BodyText"/>
        <w:spacing w:line="360" w:lineRule="auto" w:before="127"/>
        <w:ind w:left="268" w:right="231"/>
        <w:jc w:val="both"/>
      </w:pPr>
      <w:r>
        <w:rPr/>
        <w:t>El modelo metodológico del presente trabajo busca evaluar la sustentabilidad considerando los tres ejes que tradicionalmente han sido aceptados: el social, ambiental y económico, adicionando un cuarto eje que involucra al territorio, con ello se pretende aportar al estudio de la sustentabilidad y de la propia  investigación el aspecto territorial que soporta las actividades que conllevan a la promoción, producción y desarrollo de vivienda</w:t>
      </w:r>
      <w:r>
        <w:rPr>
          <w:spacing w:val="-1"/>
        </w:rPr>
        <w:t> </w:t>
      </w:r>
      <w:r>
        <w:rPr/>
        <w:t>formal.</w:t>
      </w:r>
    </w:p>
    <w:p>
      <w:pPr>
        <w:pStyle w:val="BodyText"/>
        <w:rPr>
          <w:sz w:val="18"/>
        </w:rPr>
      </w:pPr>
      <w:r>
        <w:rPr/>
        <w:pict>
          <v:line style="position:absolute;mso-position-horizontal-relative:page;mso-position-vertical-relative:paragraph;z-index:2944;mso-wrap-distance-left:0;mso-wrap-distance-right:0" from="99.440002pt,12.593908pt" to="243.440002pt,12.593908pt" stroked="true" strokeweight=".480011pt" strokecolor="#000000">
            <w10:wrap type="topAndBottom"/>
          </v:line>
        </w:pict>
      </w:r>
    </w:p>
    <w:p>
      <w:pPr>
        <w:pStyle w:val="BodyText"/>
        <w:spacing w:before="1"/>
      </w:pPr>
    </w:p>
    <w:p>
      <w:pPr>
        <w:spacing w:line="252" w:lineRule="auto" w:before="82"/>
        <w:ind w:left="268" w:right="229" w:firstLine="0"/>
        <w:jc w:val="both"/>
        <w:rPr>
          <w:sz w:val="19"/>
        </w:rPr>
      </w:pPr>
      <w:r>
        <w:rPr>
          <w:w w:val="105"/>
          <w:sz w:val="16"/>
        </w:rPr>
        <w:t>4 </w:t>
      </w:r>
      <w:r>
        <w:rPr>
          <w:w w:val="105"/>
          <w:sz w:val="19"/>
        </w:rPr>
        <w:t>El trabajo de campo para la obtención de información especializada consistió en la consulta de información de fuentes primarias, secundarias y terciarias, estas fuentes fueron las bibliotecas de Instituciones como la Universidad Autónoma del Estado de México, El Colegio de México, El Colegio Mexiquense y la Universidad Autónoma Metropolitana-Unidad Xochimilco. Por otro lado, se consultaron los archivos de datos de la Secretaría de Desarrollo Urbano y Metropolitana (SEDUM) del Estado de México, la página electrónica de la misma Secretaría, de igual modo se consultó la página electrónica de LEGISTEL y también se acudió al archivo de la Gaceta del Gobierno del Estado de México. Se realizaron entrevistas no estructuradas a servidores públicos expertos en el tema y las diferentes áreas de la SEDUM.</w:t>
      </w:r>
    </w:p>
    <w:p>
      <w:pPr>
        <w:spacing w:after="0" w:line="252" w:lineRule="auto"/>
        <w:jc w:val="both"/>
        <w:rPr>
          <w:sz w:val="19"/>
        </w:rPr>
        <w:sectPr>
          <w:footerReference w:type="default" r:id="rId53"/>
          <w:pgSz w:w="12240" w:h="15840"/>
          <w:pgMar w:footer="1066" w:header="730"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2992" from="93.199997pt,-19.614155pt" to="546.799997pt,-19.614155pt" stroked="true" strokeweight=".479981pt" strokecolor="#000000">
            <w10:wrap type="none"/>
          </v:line>
        </w:pict>
      </w:r>
      <w:r>
        <w:rPr/>
        <w:t>El modelo metodológico para el análisis de la sustentabilidad del territorio y la producción de vivienda formal mediante la construcción de un sistema de indicadores permite medir y evaluar la sustentabilidad de la vivienda formal que se promociona, produce y desarrolla. Contemplando la relación que existe entre cuatro ejes: social, ambiental, económico y territorial, considerando éste último como el espacio en el que las acciones de los tres agentes; sociedad, Estado e iniciativa privada impactan.</w:t>
      </w:r>
    </w:p>
    <w:p>
      <w:pPr>
        <w:pStyle w:val="Heading4"/>
        <w:numPr>
          <w:ilvl w:val="1"/>
          <w:numId w:val="8"/>
        </w:numPr>
        <w:tabs>
          <w:tab w:pos="736" w:val="left" w:leader="none"/>
        </w:tabs>
        <w:spacing w:line="240" w:lineRule="auto" w:before="122" w:after="0"/>
        <w:ind w:left="268" w:right="0" w:firstLine="0"/>
        <w:jc w:val="both"/>
      </w:pPr>
      <w:r>
        <w:rPr/>
        <w:t>Fundamentos teóricos de la metodología de la</w:t>
      </w:r>
      <w:r>
        <w:rPr>
          <w:spacing w:val="-1"/>
        </w:rPr>
        <w:t> </w:t>
      </w:r>
      <w:r>
        <w:rPr/>
        <w:t>investigación</w:t>
      </w:r>
    </w:p>
    <w:p>
      <w:pPr>
        <w:pStyle w:val="BodyText"/>
        <w:spacing w:before="4"/>
        <w:rPr>
          <w:b/>
        </w:rPr>
      </w:pPr>
    </w:p>
    <w:p>
      <w:pPr>
        <w:pStyle w:val="BodyText"/>
        <w:spacing w:line="360" w:lineRule="auto" w:before="1"/>
        <w:ind w:left="268" w:right="231"/>
        <w:jc w:val="both"/>
      </w:pPr>
      <w:r>
        <w:rPr/>
        <w:t>Los argumentos teóricos que guían esta investigación parten de los planteamientos teóricos de cuatro estudios que refieren el análisis del proceso de promoción, producción y desarrollo de la vivienda formal, cada estudio aborda un agente: Estado, iniciativa privada y sociedad, debatiendo y analizando su participación en la sustentabilidad del territorio.</w:t>
      </w:r>
    </w:p>
    <w:p>
      <w:pPr>
        <w:pStyle w:val="BodyText"/>
        <w:spacing w:line="360" w:lineRule="auto" w:before="127"/>
        <w:ind w:left="268" w:right="231"/>
        <w:jc w:val="both"/>
      </w:pPr>
      <w:r>
        <w:rPr/>
        <w:t>En primer lugar, la investigación de Schteingart y Patiño (2006) “El marco legislativo, programático e institucional de los programas habitacionales”, aborda un análisis de la normativa que regula la producción de vivienda. En sus reflexiones se expone el problema, explicando que la vivienda va perdiendo su importancia en el papel social, así como su vinculación con el desarrollo urbano; mientras los aspectos económicos y financieros han adquirido mayor importancia y relevancia en la política habitacional tomada por el Estado.</w:t>
      </w:r>
    </w:p>
    <w:p>
      <w:pPr>
        <w:pStyle w:val="BodyText"/>
        <w:spacing w:line="360" w:lineRule="auto" w:before="122"/>
        <w:ind w:left="268" w:right="231"/>
        <w:jc w:val="both"/>
      </w:pPr>
      <w:r>
        <w:rPr/>
        <w:t>Schteingart (2001) también señala que desde el inicio de la historia mexicana se dieron combinaciones en las formas privadas y colectivas de la tenencia de la tierra y algunas de ellas con transformaciones se han mantenido hasta el presente en los procesos de expansión urbana.</w:t>
      </w:r>
    </w:p>
    <w:p>
      <w:pPr>
        <w:pStyle w:val="BodyText"/>
        <w:spacing w:line="360" w:lineRule="auto" w:before="122"/>
        <w:ind w:left="268" w:right="231"/>
        <w:jc w:val="both"/>
      </w:pPr>
      <w:r>
        <w:rPr/>
        <w:t>En segundo lugar, la investigación de Eibenschutz y Goya (2009), “Estudio de la integración urbana y social en la expansión reciente de las ciudades en México, 1996-2006: dimensión, características y soluciones”, contiene un diagnóstico y análisis de las implicaciones de la creciente oferta habitacional en la integración urbana  y  social.  En  este  estudio  es  posible  apreciar  los  fenómenos  que  </w:t>
      </w:r>
      <w:r>
        <w:rPr>
          <w:spacing w:val="65"/>
        </w:rPr>
        <w:t> </w:t>
      </w:r>
      <w:r>
        <w:rPr/>
        <w:t>se</w:t>
      </w:r>
    </w:p>
    <w:p>
      <w:pPr>
        <w:spacing w:after="0" w:line="360" w:lineRule="auto"/>
        <w:jc w:val="both"/>
        <w:sectPr>
          <w:footerReference w:type="default" r:id="rId54"/>
          <w:pgSz w:w="12240" w:h="15840"/>
          <w:pgMar w:footer="1066" w:header="730" w:top="1320" w:bottom="1260" w:left="1720" w:right="1180"/>
          <w:pgNumType w:start="71"/>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3016" from="93.199997pt,-19.614155pt" to="546.799997pt,-19.614155pt" stroked="true" strokeweight=".479981pt" strokecolor="#000000">
            <w10:wrap type="none"/>
          </v:line>
        </w:pict>
      </w:r>
      <w:r>
        <w:rPr/>
        <w:t>generan en la expansión territorial que implica el crecimiento de las ciudades, rebasando la capacidad de los tres órdenes de gobierno para planear y controlar  el proceso de urbanización de manera anticipada. Los autores plantean que la configuración, dimensión y características de la expansión territorial de las ciudades en un Sistema Urbano Nacional (a partir de la proliferación de grandes desarrollos habitacionales) denota una gestión conducida para efectos prácticos por las empresas promotoras de vivienda y no por las autoridades competentes en esta materia.</w:t>
      </w:r>
    </w:p>
    <w:p>
      <w:pPr>
        <w:pStyle w:val="BodyText"/>
        <w:spacing w:line="360" w:lineRule="auto" w:before="127"/>
        <w:ind w:left="268" w:right="231"/>
        <w:jc w:val="both"/>
      </w:pPr>
      <w:r>
        <w:rPr/>
        <w:t>Eibenschutz y Goya (2009) refieren que las características más comunes de los desarrollos habitacionales recientes, es su condición periférica ya que se ubican a distancias significativas y crecientes, generalmente los conjuntos urbanos más recientes se ubican a distancias cada vez más grandes del centro urbano de la ciudad de la que dependen, lo que puede repercutir en disminuir la accesibilidad a los servicios y satisfactores de todo tipo, así como costos técnicos y económicos para proveer de los servicios adecuados y suficientes a los desarrollos, los cuales rebasan las capacidades financieras y de gestión de los gobiernos locales.</w:t>
      </w:r>
    </w:p>
    <w:p>
      <w:pPr>
        <w:pStyle w:val="BodyText"/>
        <w:spacing w:line="360" w:lineRule="auto" w:before="122"/>
        <w:ind w:left="268" w:right="231"/>
        <w:jc w:val="both"/>
      </w:pPr>
      <w:r>
        <w:rPr/>
        <w:t>Eibenschutz y Goya (2009) también mencionan que la calidad de la  infraestructura, equipamiento y servicios públicos en algunos conjuntos habitacionales en México son de mediana calidad, esto se encuentra determinado por las autorizaciones de los desarrollos las cuales no respetan los planes ni los instrumentos de planeación ya que la infraestructura va por “atrás” de la vivienda y no al contrario por donde debería de ser para eficiente el gasto municipal. Por otra parte, existen conjuntos urbanos con áreas de donación no habilitadas y en otros no existe ningún tipo de equipamiento.</w:t>
      </w:r>
    </w:p>
    <w:p>
      <w:pPr>
        <w:pStyle w:val="BodyText"/>
        <w:spacing w:line="360" w:lineRule="auto" w:before="122"/>
        <w:ind w:left="268" w:right="231"/>
        <w:jc w:val="both"/>
      </w:pPr>
      <w:r>
        <w:rPr/>
        <w:t>Por lo anterior, para Eibenschutz y Goya (2009) existe una debilidad institucional de los distintos órdenes de gobierno haciendo mayor énfasis en el municipal, para dotar de satisfactores a estos desarrollos habitacionales ya que el número y demanda superan la capacidad técnica y financiera de los municipios ya que incluso contando con las áreas de donación carecen de recursos para su habilitación.</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3040" from="93.199997pt,-19.614155pt" to="546.799997pt,-19.614155pt" stroked="true" strokeweight=".479981pt" strokecolor="#000000">
            <w10:wrap type="none"/>
          </v:line>
        </w:pict>
      </w:r>
      <w:r>
        <w:rPr/>
        <w:t>En tercer lugar, Castro, Coulomb, León y Puebla (2006), en su estudio “Los desarrolladores privados y la vivienda de interés social”, señalan que los grandes desarrolladores privados y el Estado, bajo un contexto de complicidad, participan en el desarrollo de los programas, estrategias y políticas de vivienda en el país, permitiendo observar el protagonismo de la iniciativa privada en el desarrollo de vivienda formal y en paralelo, su participación en la configuración del territorio.</w:t>
      </w:r>
    </w:p>
    <w:p>
      <w:pPr>
        <w:pStyle w:val="BodyText"/>
        <w:spacing w:line="360" w:lineRule="auto" w:before="122"/>
        <w:ind w:left="268" w:right="231"/>
        <w:jc w:val="both"/>
      </w:pPr>
      <w:r>
        <w:rPr/>
        <w:t>Para Puebla (2006), el deslinde de responsabilidades entre el Infonavit y los agentes privados resulta grave ya que no existe un adecuado control sobre los productos que se adquieren con los créditos del instituto, lo cual va en perjuicio de los acreditados, que, si bien adquieren las viviendas del mercado por las facilidades crediticias del instituto, éstas no necesariamente cuentan con la calidad y ubicación satisfactoria.</w:t>
      </w:r>
    </w:p>
    <w:p>
      <w:pPr>
        <w:pStyle w:val="BodyText"/>
        <w:spacing w:line="360" w:lineRule="auto" w:before="122"/>
        <w:ind w:left="268" w:right="231"/>
        <w:jc w:val="both"/>
      </w:pPr>
      <w:r>
        <w:rPr/>
        <w:t>Finalmente, el estudio de Connolly D. (2006) “La demanda habitacional”, aborda el tema de la demanda habitacional, estudiando la vivienda desde la arista de la vivienda digna y decorosa; La autora describe, analiza y cuestiona la clasificación  y tipología que existe en torno a la definición de la vivienda dentro del marco normativo del país. En este estudio, se observa la definición de “vivienda digna” o “adecuada”, que en realidad no refiere a una vivienda digna, real, sino que hace alusión a esquemas de índole capitalista y de apoyo al desarrollo inmobiliario, buscando sólo dar solución a una demanda de vivienda a través de la oferta de vivienda inadecuada a las capacidades económicas y prioridades de las aspiraciones habitacionales de la población demandante.</w:t>
      </w:r>
    </w:p>
    <w:p>
      <w:pPr>
        <w:pStyle w:val="BodyText"/>
        <w:spacing w:line="360" w:lineRule="auto" w:before="122"/>
        <w:ind w:left="268" w:right="231"/>
        <w:jc w:val="both"/>
      </w:pPr>
      <w:r>
        <w:rPr/>
        <w:t>En la tabla 2 se aprecian los tres agentes que conforman el estudio y análisis de la investigación, cada uno de los autores aborda de forma particular uno de estos agentes y realiza un análisis minucioso de las acciones de su objeto de estudio y éste a su vez tiene relación de manera directa o indirecta con las acciones que realiza el objeto de estudio de otro de los autores.</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274" w:lineRule="exact" w:before="75" w:after="3"/>
        <w:ind w:left="268" w:right="367"/>
      </w:pPr>
      <w:r>
        <w:rPr/>
        <w:pict>
          <v:line style="position:absolute;mso-position-horizontal-relative:page;mso-position-vertical-relative:paragraph;z-index:3064" from="93.199997pt,-19.610014pt" to="546.799997pt,-19.610014pt" stroked="true" strokeweight=".479981pt" strokecolor="#000000">
            <w10:wrap type="none"/>
          </v:line>
        </w:pict>
      </w:r>
      <w:r>
        <w:rPr/>
        <w:t>Tabla 2. Fundamentos teóricos sobre la sustentabilidad del territorio y la vivienda; sus tres actores: Estado, iniciativa privada y sociedad.</w:t>
      </w:r>
    </w:p>
    <w:tbl>
      <w:tblPr>
        <w:tblW w:w="0" w:type="auto"/>
        <w:jc w:val="left"/>
        <w:tblInd w:w="2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7"/>
        <w:gridCol w:w="1560"/>
        <w:gridCol w:w="5952"/>
      </w:tblGrid>
      <w:tr>
        <w:trPr>
          <w:trHeight w:val="422" w:hRule="exact"/>
        </w:trPr>
        <w:tc>
          <w:tcPr>
            <w:tcW w:w="1277" w:type="dxa"/>
            <w:shd w:val="clear" w:color="auto" w:fill="F3F3F3"/>
          </w:tcPr>
          <w:p>
            <w:pPr>
              <w:pStyle w:val="TableParagraph"/>
              <w:spacing w:line="254" w:lineRule="auto" w:before="8"/>
              <w:ind w:left="290" w:right="282" w:firstLine="9"/>
              <w:jc w:val="left"/>
              <w:rPr>
                <w:sz w:val="17"/>
              </w:rPr>
            </w:pPr>
            <w:r>
              <w:rPr>
                <w:w w:val="105"/>
                <w:sz w:val="17"/>
              </w:rPr>
              <w:t>Agentes tríadicos</w:t>
            </w:r>
          </w:p>
        </w:tc>
        <w:tc>
          <w:tcPr>
            <w:tcW w:w="1560" w:type="dxa"/>
            <w:shd w:val="clear" w:color="auto" w:fill="F3F3F3"/>
          </w:tcPr>
          <w:p>
            <w:pPr>
              <w:pStyle w:val="TableParagraph"/>
              <w:spacing w:before="109"/>
              <w:ind w:left="462" w:right="227"/>
              <w:jc w:val="left"/>
              <w:rPr>
                <w:sz w:val="17"/>
              </w:rPr>
            </w:pPr>
            <w:r>
              <w:rPr>
                <w:w w:val="105"/>
                <w:sz w:val="17"/>
              </w:rPr>
              <w:t>Autores</w:t>
            </w:r>
          </w:p>
        </w:tc>
        <w:tc>
          <w:tcPr>
            <w:tcW w:w="5952" w:type="dxa"/>
            <w:shd w:val="clear" w:color="auto" w:fill="F3F3F3"/>
          </w:tcPr>
          <w:p>
            <w:pPr>
              <w:pStyle w:val="TableParagraph"/>
              <w:spacing w:before="109"/>
              <w:ind w:left="1799" w:right="136"/>
              <w:jc w:val="left"/>
              <w:rPr>
                <w:sz w:val="17"/>
              </w:rPr>
            </w:pPr>
            <w:r>
              <w:rPr>
                <w:w w:val="105"/>
                <w:sz w:val="17"/>
              </w:rPr>
              <w:t>Investigación y aporte teórico</w:t>
            </w:r>
          </w:p>
        </w:tc>
      </w:tr>
      <w:tr>
        <w:trPr>
          <w:trHeight w:val="2117" w:hRule="exact"/>
        </w:trPr>
        <w:tc>
          <w:tcPr>
            <w:tcW w:w="1277" w:type="dxa"/>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31"/>
              <w:ind w:left="239" w:right="243"/>
              <w:rPr>
                <w:sz w:val="17"/>
              </w:rPr>
            </w:pPr>
            <w:r>
              <w:rPr>
                <w:w w:val="105"/>
                <w:sz w:val="17"/>
              </w:rPr>
              <w:t>Estado</w:t>
            </w:r>
          </w:p>
        </w:tc>
        <w:tc>
          <w:tcPr>
            <w:tcW w:w="1560" w:type="dxa"/>
          </w:tcPr>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2"/>
              <w:jc w:val="left"/>
              <w:rPr>
                <w:sz w:val="20"/>
              </w:rPr>
            </w:pPr>
          </w:p>
          <w:p>
            <w:pPr>
              <w:pStyle w:val="TableParagraph"/>
              <w:spacing w:line="254" w:lineRule="auto"/>
              <w:ind w:left="231" w:right="227" w:firstLine="15"/>
              <w:jc w:val="left"/>
              <w:rPr>
                <w:sz w:val="17"/>
              </w:rPr>
            </w:pPr>
            <w:r>
              <w:rPr>
                <w:w w:val="105"/>
                <w:sz w:val="17"/>
              </w:rPr>
              <w:t>Schteingart y Patiño (2006)</w:t>
            </w:r>
          </w:p>
        </w:tc>
        <w:tc>
          <w:tcPr>
            <w:tcW w:w="5952" w:type="dxa"/>
          </w:tcPr>
          <w:p>
            <w:pPr>
              <w:pStyle w:val="TableParagraph"/>
              <w:spacing w:line="254" w:lineRule="auto" w:before="8"/>
              <w:ind w:left="100" w:right="136"/>
              <w:jc w:val="left"/>
              <w:rPr>
                <w:i/>
                <w:sz w:val="17"/>
              </w:rPr>
            </w:pPr>
            <w:r>
              <w:rPr>
                <w:i/>
                <w:w w:val="105"/>
                <w:sz w:val="17"/>
              </w:rPr>
              <w:t>“El marco legislativo, programático e institucional de los programas </w:t>
            </w:r>
            <w:r>
              <w:rPr>
                <w:i/>
                <w:w w:val="105"/>
                <w:sz w:val="17"/>
              </w:rPr>
              <w:t>habitacionales.”</w:t>
            </w:r>
          </w:p>
          <w:p>
            <w:pPr>
              <w:pStyle w:val="TableParagraph"/>
              <w:spacing w:line="195" w:lineRule="exact"/>
              <w:ind w:left="100" w:right="136"/>
              <w:jc w:val="left"/>
              <w:rPr>
                <w:sz w:val="17"/>
              </w:rPr>
            </w:pPr>
            <w:r>
              <w:rPr>
                <w:w w:val="105"/>
                <w:sz w:val="17"/>
              </w:rPr>
              <w:t>Sus aportes radican en:</w:t>
            </w:r>
          </w:p>
          <w:p>
            <w:pPr>
              <w:pStyle w:val="TableParagraph"/>
              <w:numPr>
                <w:ilvl w:val="0"/>
                <w:numId w:val="9"/>
              </w:numPr>
              <w:tabs>
                <w:tab w:pos="277" w:val="left" w:leader="none"/>
              </w:tabs>
              <w:spacing w:line="256" w:lineRule="auto" w:before="9" w:after="0"/>
              <w:ind w:left="276" w:right="102" w:hanging="142"/>
              <w:jc w:val="both"/>
              <w:rPr>
                <w:sz w:val="17"/>
              </w:rPr>
            </w:pPr>
            <w:r>
              <w:rPr>
                <w:w w:val="105"/>
                <w:sz w:val="17"/>
              </w:rPr>
              <w:t>Realizar un análisis de la normativa que regula la producción de vivienda.</w:t>
            </w:r>
          </w:p>
          <w:p>
            <w:pPr>
              <w:pStyle w:val="TableParagraph"/>
              <w:numPr>
                <w:ilvl w:val="0"/>
                <w:numId w:val="9"/>
              </w:numPr>
              <w:tabs>
                <w:tab w:pos="277" w:val="left" w:leader="none"/>
              </w:tabs>
              <w:spacing w:line="256" w:lineRule="auto" w:before="0" w:after="0"/>
              <w:ind w:left="276" w:right="102" w:hanging="142"/>
              <w:jc w:val="both"/>
              <w:rPr>
                <w:sz w:val="17"/>
              </w:rPr>
            </w:pPr>
            <w:r>
              <w:rPr>
                <w:w w:val="105"/>
                <w:sz w:val="17"/>
              </w:rPr>
              <w:t>La vivienda va perdiendo su importancia en el papel social, así como su vinculación con el desarrollo</w:t>
            </w:r>
            <w:r>
              <w:rPr>
                <w:spacing w:val="13"/>
                <w:w w:val="105"/>
                <w:sz w:val="17"/>
              </w:rPr>
              <w:t> </w:t>
            </w:r>
            <w:r>
              <w:rPr>
                <w:w w:val="105"/>
                <w:sz w:val="17"/>
              </w:rPr>
              <w:t>urbano.</w:t>
            </w:r>
          </w:p>
          <w:p>
            <w:pPr>
              <w:pStyle w:val="TableParagraph"/>
              <w:numPr>
                <w:ilvl w:val="0"/>
                <w:numId w:val="9"/>
              </w:numPr>
              <w:tabs>
                <w:tab w:pos="277" w:val="left" w:leader="none"/>
              </w:tabs>
              <w:spacing w:line="254" w:lineRule="auto" w:before="0" w:after="0"/>
              <w:ind w:left="276" w:right="99" w:hanging="142"/>
              <w:jc w:val="both"/>
              <w:rPr>
                <w:sz w:val="17"/>
              </w:rPr>
            </w:pPr>
            <w:r>
              <w:rPr>
                <w:w w:val="105"/>
                <w:sz w:val="17"/>
              </w:rPr>
              <w:t>Los aspectos económicos y financieros han adquirido mayor importancia y relevancia en la política habitacional tomada por el Estado.</w:t>
            </w:r>
          </w:p>
        </w:tc>
      </w:tr>
      <w:tr>
        <w:trPr>
          <w:trHeight w:val="3355" w:hRule="exact"/>
        </w:trPr>
        <w:tc>
          <w:tcPr>
            <w:tcW w:w="1277" w:type="dxa"/>
            <w:vMerge w:val="restart"/>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
              <w:jc w:val="left"/>
              <w:rPr>
                <w:sz w:val="21"/>
              </w:rPr>
            </w:pPr>
          </w:p>
          <w:p>
            <w:pPr>
              <w:pStyle w:val="TableParagraph"/>
              <w:spacing w:line="254" w:lineRule="auto"/>
              <w:ind w:left="335" w:right="272" w:hanging="55"/>
              <w:jc w:val="left"/>
              <w:rPr>
                <w:sz w:val="17"/>
              </w:rPr>
            </w:pPr>
            <w:r>
              <w:rPr>
                <w:w w:val="105"/>
                <w:sz w:val="17"/>
              </w:rPr>
              <w:t>Iniciativa privada</w:t>
            </w:r>
          </w:p>
        </w:tc>
        <w:tc>
          <w:tcPr>
            <w:tcW w:w="1560" w:type="dxa"/>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20"/>
              </w:rPr>
            </w:pPr>
          </w:p>
          <w:p>
            <w:pPr>
              <w:pStyle w:val="TableParagraph"/>
              <w:spacing w:line="259" w:lineRule="auto"/>
              <w:ind w:left="271" w:right="209" w:hanging="61"/>
              <w:jc w:val="left"/>
              <w:rPr>
                <w:sz w:val="17"/>
              </w:rPr>
            </w:pPr>
            <w:r>
              <w:rPr>
                <w:w w:val="105"/>
                <w:sz w:val="17"/>
              </w:rPr>
              <w:t>Eibenschutz y Goya (2009)</w:t>
            </w:r>
          </w:p>
        </w:tc>
        <w:tc>
          <w:tcPr>
            <w:tcW w:w="5952" w:type="dxa"/>
          </w:tcPr>
          <w:p>
            <w:pPr>
              <w:pStyle w:val="TableParagraph"/>
              <w:spacing w:line="254" w:lineRule="auto" w:before="8"/>
              <w:ind w:left="100" w:right="136"/>
              <w:jc w:val="left"/>
              <w:rPr>
                <w:sz w:val="17"/>
              </w:rPr>
            </w:pPr>
            <w:r>
              <w:rPr>
                <w:w w:val="105"/>
                <w:sz w:val="17"/>
              </w:rPr>
              <w:t>“Estudio de la integración urbana y social en la expansión reciente de las ciudades en México, 1996 – 2006: dimensión, características y soluciones.”</w:t>
            </w:r>
          </w:p>
          <w:p>
            <w:pPr>
              <w:pStyle w:val="TableParagraph"/>
              <w:spacing w:line="195" w:lineRule="exact"/>
              <w:ind w:left="100" w:right="136"/>
              <w:jc w:val="left"/>
              <w:rPr>
                <w:sz w:val="17"/>
              </w:rPr>
            </w:pPr>
            <w:r>
              <w:rPr>
                <w:w w:val="105"/>
                <w:sz w:val="17"/>
              </w:rPr>
              <w:t>Sus estudios radican en:</w:t>
            </w:r>
          </w:p>
          <w:p>
            <w:pPr>
              <w:pStyle w:val="TableParagraph"/>
              <w:numPr>
                <w:ilvl w:val="0"/>
                <w:numId w:val="10"/>
              </w:numPr>
              <w:tabs>
                <w:tab w:pos="277" w:val="left" w:leader="none"/>
              </w:tabs>
              <w:spacing w:line="256" w:lineRule="auto" w:before="9" w:after="0"/>
              <w:ind w:left="276" w:right="103" w:hanging="142"/>
              <w:jc w:val="both"/>
              <w:rPr>
                <w:sz w:val="17"/>
              </w:rPr>
            </w:pPr>
            <w:r>
              <w:rPr>
                <w:w w:val="105"/>
                <w:sz w:val="17"/>
              </w:rPr>
              <w:t>Un diagnóstico y análisis de las implicaciones de la creciente oferta habitacional en la integración urbana y</w:t>
            </w:r>
            <w:r>
              <w:rPr>
                <w:spacing w:val="14"/>
                <w:w w:val="105"/>
                <w:sz w:val="17"/>
              </w:rPr>
              <w:t> </w:t>
            </w:r>
            <w:r>
              <w:rPr>
                <w:w w:val="105"/>
                <w:sz w:val="17"/>
              </w:rPr>
              <w:t>social.</w:t>
            </w:r>
          </w:p>
          <w:p>
            <w:pPr>
              <w:pStyle w:val="TableParagraph"/>
              <w:numPr>
                <w:ilvl w:val="0"/>
                <w:numId w:val="10"/>
              </w:numPr>
              <w:tabs>
                <w:tab w:pos="277" w:val="left" w:leader="none"/>
              </w:tabs>
              <w:spacing w:line="254" w:lineRule="auto" w:before="0" w:after="0"/>
              <w:ind w:left="276" w:right="102" w:hanging="142"/>
              <w:jc w:val="both"/>
              <w:rPr>
                <w:sz w:val="17"/>
              </w:rPr>
            </w:pPr>
            <w:r>
              <w:rPr>
                <w:w w:val="105"/>
                <w:sz w:val="17"/>
              </w:rPr>
              <w:t>La descripción y el análisis de los fenómenos que se generan en la expansión territorial que implica el crecimiento de las ciudades, rebasando la capacidad de los tres órdenes de gobierno para planear y controlar el proceso de urbanización de manera</w:t>
            </w:r>
            <w:r>
              <w:rPr>
                <w:spacing w:val="22"/>
                <w:w w:val="105"/>
                <w:sz w:val="17"/>
              </w:rPr>
              <w:t> </w:t>
            </w:r>
            <w:r>
              <w:rPr>
                <w:w w:val="105"/>
                <w:sz w:val="17"/>
              </w:rPr>
              <w:t>anticipada.</w:t>
            </w:r>
          </w:p>
          <w:p>
            <w:pPr>
              <w:pStyle w:val="TableParagraph"/>
              <w:numPr>
                <w:ilvl w:val="0"/>
                <w:numId w:val="10"/>
              </w:numPr>
              <w:tabs>
                <w:tab w:pos="277" w:val="left" w:leader="none"/>
              </w:tabs>
              <w:spacing w:line="254" w:lineRule="auto" w:before="0" w:after="0"/>
              <w:ind w:left="276" w:right="100" w:hanging="142"/>
              <w:jc w:val="both"/>
              <w:rPr>
                <w:sz w:val="17"/>
              </w:rPr>
            </w:pPr>
            <w:r>
              <w:rPr>
                <w:w w:val="105"/>
                <w:sz w:val="17"/>
              </w:rPr>
              <w:t>Plantean que la configuración, dimensión y características de la expansión territorial de las ciudades en un Sistema Urbano Nacional, (a partir de la proliferación de grandes desarrollos habitacionales) denota una gestión conducida para efectos prácticos por</w:t>
            </w:r>
            <w:r>
              <w:rPr>
                <w:spacing w:val="49"/>
                <w:w w:val="105"/>
                <w:sz w:val="17"/>
              </w:rPr>
              <w:t> </w:t>
            </w:r>
            <w:r>
              <w:rPr>
                <w:w w:val="105"/>
                <w:sz w:val="17"/>
              </w:rPr>
              <w:t>las empresas promotoras de vivienda y no por las autoridades competentes en esta</w:t>
            </w:r>
            <w:r>
              <w:rPr>
                <w:spacing w:val="10"/>
                <w:w w:val="105"/>
                <w:sz w:val="17"/>
              </w:rPr>
              <w:t> </w:t>
            </w:r>
            <w:r>
              <w:rPr>
                <w:w w:val="105"/>
                <w:sz w:val="17"/>
              </w:rPr>
              <w:t>materia.</w:t>
            </w:r>
          </w:p>
        </w:tc>
      </w:tr>
      <w:tr>
        <w:trPr>
          <w:trHeight w:val="1680" w:hRule="exact"/>
        </w:trPr>
        <w:tc>
          <w:tcPr>
            <w:tcW w:w="1277" w:type="dxa"/>
            <w:vMerge/>
          </w:tcPr>
          <w:p>
            <w:pPr/>
          </w:p>
        </w:tc>
        <w:tc>
          <w:tcPr>
            <w:tcW w:w="1560" w:type="dxa"/>
          </w:tcPr>
          <w:p>
            <w:pPr>
              <w:pStyle w:val="TableParagraph"/>
              <w:jc w:val="left"/>
              <w:rPr>
                <w:sz w:val="18"/>
              </w:rPr>
            </w:pPr>
          </w:p>
          <w:p>
            <w:pPr>
              <w:pStyle w:val="TableParagraph"/>
              <w:jc w:val="left"/>
              <w:rPr>
                <w:sz w:val="18"/>
              </w:rPr>
            </w:pPr>
          </w:p>
          <w:p>
            <w:pPr>
              <w:pStyle w:val="TableParagraph"/>
              <w:spacing w:line="254" w:lineRule="auto" w:before="122"/>
              <w:ind w:left="136" w:right="140" w:hanging="1"/>
              <w:rPr>
                <w:sz w:val="17"/>
              </w:rPr>
            </w:pPr>
            <w:r>
              <w:rPr>
                <w:w w:val="105"/>
                <w:sz w:val="17"/>
              </w:rPr>
              <w:t>Castro, Coulomb, León y Puebla (2006)</w:t>
            </w:r>
          </w:p>
        </w:tc>
        <w:tc>
          <w:tcPr>
            <w:tcW w:w="5952" w:type="dxa"/>
          </w:tcPr>
          <w:p>
            <w:pPr>
              <w:pStyle w:val="TableParagraph"/>
              <w:spacing w:before="8"/>
              <w:ind w:left="100" w:right="136"/>
              <w:jc w:val="left"/>
              <w:rPr>
                <w:i/>
                <w:sz w:val="17"/>
              </w:rPr>
            </w:pPr>
            <w:r>
              <w:rPr>
                <w:w w:val="105"/>
                <w:sz w:val="17"/>
              </w:rPr>
              <w:t>“</w:t>
            </w:r>
            <w:r>
              <w:rPr>
                <w:i/>
                <w:w w:val="105"/>
                <w:sz w:val="17"/>
              </w:rPr>
              <w:t>Los desarrolladores privados y la vivienda de interés social.”</w:t>
            </w:r>
          </w:p>
          <w:p>
            <w:pPr>
              <w:pStyle w:val="TableParagraph"/>
              <w:spacing w:before="15"/>
              <w:ind w:left="100" w:right="136"/>
              <w:jc w:val="left"/>
              <w:rPr>
                <w:sz w:val="17"/>
              </w:rPr>
            </w:pPr>
            <w:r>
              <w:rPr>
                <w:w w:val="105"/>
                <w:sz w:val="17"/>
              </w:rPr>
              <w:t>La idea central se basa en que:</w:t>
            </w:r>
          </w:p>
          <w:p>
            <w:pPr>
              <w:pStyle w:val="TableParagraph"/>
              <w:numPr>
                <w:ilvl w:val="0"/>
                <w:numId w:val="11"/>
              </w:numPr>
              <w:tabs>
                <w:tab w:pos="277" w:val="left" w:leader="none"/>
              </w:tabs>
              <w:spacing w:line="254" w:lineRule="auto" w:before="9" w:after="0"/>
              <w:ind w:left="276" w:right="100" w:hanging="142"/>
              <w:jc w:val="both"/>
              <w:rPr>
                <w:sz w:val="17"/>
              </w:rPr>
            </w:pPr>
            <w:r>
              <w:rPr>
                <w:w w:val="105"/>
                <w:sz w:val="17"/>
              </w:rPr>
              <w:t>Los grandes desarrolladores privados y el Estado bajo un contexto </w:t>
            </w:r>
            <w:r>
              <w:rPr>
                <w:spacing w:val="49"/>
                <w:w w:val="105"/>
                <w:sz w:val="17"/>
              </w:rPr>
              <w:t> </w:t>
            </w:r>
            <w:r>
              <w:rPr>
                <w:w w:val="105"/>
                <w:sz w:val="17"/>
              </w:rPr>
              <w:t>de complicidad participan en el desarrollo de los programas, estrategias y políticas de vivienda en el país, permitiendo observar el protagonismo de la iniciativa privada en el desarrollo de vivienda formal y, en paralelo, su participación en la configuración  del</w:t>
            </w:r>
            <w:r>
              <w:rPr>
                <w:spacing w:val="49"/>
                <w:w w:val="105"/>
                <w:sz w:val="17"/>
              </w:rPr>
              <w:t> </w:t>
            </w:r>
            <w:r>
              <w:rPr>
                <w:w w:val="105"/>
                <w:sz w:val="17"/>
              </w:rPr>
              <w:t>territorio.</w:t>
            </w:r>
          </w:p>
        </w:tc>
      </w:tr>
      <w:tr>
        <w:trPr>
          <w:trHeight w:val="2942" w:hRule="exact"/>
        </w:trPr>
        <w:tc>
          <w:tcPr>
            <w:tcW w:w="1277" w:type="dxa"/>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30"/>
              <w:ind w:left="239" w:right="243"/>
              <w:rPr>
                <w:sz w:val="17"/>
              </w:rPr>
            </w:pPr>
            <w:r>
              <w:rPr>
                <w:w w:val="105"/>
                <w:sz w:val="17"/>
              </w:rPr>
              <w:t>Sociedad</w:t>
            </w:r>
          </w:p>
        </w:tc>
        <w:tc>
          <w:tcPr>
            <w:tcW w:w="1560" w:type="dxa"/>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6"/>
              <w:jc w:val="left"/>
              <w:rPr>
                <w:sz w:val="20"/>
              </w:rPr>
            </w:pPr>
          </w:p>
          <w:p>
            <w:pPr>
              <w:pStyle w:val="TableParagraph"/>
              <w:spacing w:line="254" w:lineRule="auto"/>
              <w:ind w:left="512" w:right="301" w:hanging="206"/>
              <w:jc w:val="left"/>
              <w:rPr>
                <w:sz w:val="17"/>
              </w:rPr>
            </w:pPr>
            <w:r>
              <w:rPr>
                <w:w w:val="105"/>
                <w:sz w:val="17"/>
              </w:rPr>
              <w:t>Connolly D. (2006)</w:t>
            </w:r>
          </w:p>
        </w:tc>
        <w:tc>
          <w:tcPr>
            <w:tcW w:w="5952" w:type="dxa"/>
          </w:tcPr>
          <w:p>
            <w:pPr>
              <w:pStyle w:val="TableParagraph"/>
              <w:spacing w:line="254" w:lineRule="auto" w:before="8"/>
              <w:ind w:left="100" w:right="3391"/>
              <w:jc w:val="left"/>
              <w:rPr>
                <w:sz w:val="17"/>
              </w:rPr>
            </w:pPr>
            <w:r>
              <w:rPr>
                <w:w w:val="105"/>
                <w:sz w:val="17"/>
              </w:rPr>
              <w:t>“</w:t>
            </w:r>
            <w:r>
              <w:rPr>
                <w:i/>
                <w:w w:val="105"/>
                <w:sz w:val="17"/>
              </w:rPr>
              <w:t>La demanda habitacional”</w:t>
            </w:r>
            <w:r>
              <w:rPr>
                <w:w w:val="105"/>
                <w:sz w:val="17"/>
              </w:rPr>
              <w:t>, Sus aportes radican en:</w:t>
            </w:r>
          </w:p>
          <w:p>
            <w:pPr>
              <w:pStyle w:val="TableParagraph"/>
              <w:numPr>
                <w:ilvl w:val="0"/>
                <w:numId w:val="12"/>
              </w:numPr>
              <w:tabs>
                <w:tab w:pos="277" w:val="left" w:leader="none"/>
              </w:tabs>
              <w:spacing w:line="256" w:lineRule="auto" w:before="0" w:after="0"/>
              <w:ind w:left="276" w:right="103" w:hanging="142"/>
              <w:jc w:val="both"/>
              <w:rPr>
                <w:sz w:val="17"/>
              </w:rPr>
            </w:pPr>
            <w:r>
              <w:rPr>
                <w:w w:val="105"/>
                <w:sz w:val="17"/>
              </w:rPr>
              <w:t>La demanda habitacional, estudiando la vivienda desde la arista de la vivienda digna y</w:t>
            </w:r>
            <w:r>
              <w:rPr>
                <w:spacing w:val="10"/>
                <w:w w:val="105"/>
                <w:sz w:val="17"/>
              </w:rPr>
              <w:t> </w:t>
            </w:r>
            <w:r>
              <w:rPr>
                <w:w w:val="105"/>
                <w:sz w:val="17"/>
              </w:rPr>
              <w:t>decorosa.</w:t>
            </w:r>
          </w:p>
          <w:p>
            <w:pPr>
              <w:pStyle w:val="TableParagraph"/>
              <w:numPr>
                <w:ilvl w:val="0"/>
                <w:numId w:val="12"/>
              </w:numPr>
              <w:tabs>
                <w:tab w:pos="277" w:val="left" w:leader="none"/>
              </w:tabs>
              <w:spacing w:line="254" w:lineRule="auto" w:before="0" w:after="0"/>
              <w:ind w:left="276" w:right="101" w:hanging="142"/>
              <w:jc w:val="both"/>
              <w:rPr>
                <w:sz w:val="17"/>
              </w:rPr>
            </w:pPr>
            <w:r>
              <w:rPr>
                <w:w w:val="105"/>
                <w:sz w:val="17"/>
              </w:rPr>
              <w:t>Describe, analiza y cuestiona la clasificación y tipología que existe en torno a la definición de la vivienda dentro del marco normativo del país.</w:t>
            </w:r>
          </w:p>
          <w:p>
            <w:pPr>
              <w:pStyle w:val="TableParagraph"/>
              <w:numPr>
                <w:ilvl w:val="0"/>
                <w:numId w:val="12"/>
              </w:numPr>
              <w:tabs>
                <w:tab w:pos="277" w:val="left" w:leader="none"/>
              </w:tabs>
              <w:spacing w:line="254" w:lineRule="auto" w:before="0" w:after="0"/>
              <w:ind w:left="276" w:right="99" w:hanging="142"/>
              <w:jc w:val="both"/>
              <w:rPr>
                <w:sz w:val="17"/>
              </w:rPr>
            </w:pPr>
            <w:r>
              <w:rPr>
                <w:w w:val="105"/>
                <w:sz w:val="17"/>
              </w:rPr>
              <w:t>El estudio observa que la definición de “vivienda digna” o “adecuada” en realidad no refiere a una vivienda digna, real, sino, que hace alusión a esquemas de índole capitalista y de apoyo al desarrollo inmobiliario, buscando solo dar solución a una demanda de vivienda</w:t>
            </w:r>
            <w:r>
              <w:rPr>
                <w:spacing w:val="49"/>
                <w:w w:val="105"/>
                <w:sz w:val="17"/>
              </w:rPr>
              <w:t> </w:t>
            </w:r>
            <w:r>
              <w:rPr>
                <w:w w:val="105"/>
                <w:sz w:val="17"/>
              </w:rPr>
              <w:t>a través de la oferta de vivienda inadecuada a las capacidades económicas y prioridades de las aspiraciones habitacionales de la población</w:t>
            </w:r>
            <w:r>
              <w:rPr>
                <w:spacing w:val="9"/>
                <w:w w:val="105"/>
                <w:sz w:val="17"/>
              </w:rPr>
              <w:t> </w:t>
            </w:r>
            <w:r>
              <w:rPr>
                <w:w w:val="105"/>
                <w:sz w:val="17"/>
              </w:rPr>
              <w:t>demandante.</w:t>
            </w:r>
          </w:p>
        </w:tc>
      </w:tr>
    </w:tbl>
    <w:p>
      <w:pPr>
        <w:spacing w:line="376" w:lineRule="auto" w:before="129"/>
        <w:ind w:left="268" w:right="0" w:firstLine="0"/>
        <w:jc w:val="left"/>
        <w:rPr>
          <w:sz w:val="21"/>
        </w:rPr>
      </w:pPr>
      <w:r>
        <w:rPr>
          <w:w w:val="105"/>
          <w:sz w:val="21"/>
        </w:rPr>
        <w:t>Fuente: Elaboración propia con base en Schteingart y Patiño (2006), Eibenschutz y Goya (2009), Castro, Coulomb, León y Puebla (2006) y Connolly D. (2006).</w:t>
      </w:r>
    </w:p>
    <w:p>
      <w:pPr>
        <w:spacing w:after="0" w:line="376" w:lineRule="auto"/>
        <w:jc w:val="left"/>
        <w:rPr>
          <w:sz w:val="21"/>
        </w:rPr>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3088" from="93.199997pt,-19.614155pt" to="546.799997pt,-19.614155pt" stroked="true" strokeweight=".479981pt" strokecolor="#000000">
            <w10:wrap type="none"/>
          </v:line>
        </w:pict>
      </w:r>
      <w:r>
        <w:rPr/>
        <w:t>Para la medición de los datos y análisis del estudio, la investigación considera tres categorías de variables: territorio, vivienda y sustentabilidad, (ver tabla 3), éstas se conceptualizan respecto a los alcances de los objetivos de la investigación, así como para la operacionalidad de las mismas, de este modo la categorización de las variables se clasifica en tres dimensiones: las acciones del Estado, las  acciones de las empresas inmobiliarias y las necesidades de la</w:t>
      </w:r>
      <w:r>
        <w:rPr>
          <w:spacing w:val="-1"/>
        </w:rPr>
        <w:t> </w:t>
      </w:r>
      <w:r>
        <w:rPr/>
        <w:t>población.</w:t>
      </w:r>
    </w:p>
    <w:p>
      <w:pPr>
        <w:pStyle w:val="BodyText"/>
        <w:spacing w:before="122" w:after="7"/>
        <w:ind w:left="268"/>
        <w:jc w:val="both"/>
      </w:pPr>
      <w:r>
        <w:rPr/>
        <w:t>Tabla 3. Categorías y conceptualización de las variables.</w:t>
      </w: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86"/>
        <w:gridCol w:w="2266"/>
        <w:gridCol w:w="2554"/>
        <w:gridCol w:w="2059"/>
      </w:tblGrid>
      <w:tr>
        <w:trPr>
          <w:trHeight w:val="427" w:hRule="exact"/>
        </w:trPr>
        <w:tc>
          <w:tcPr>
            <w:tcW w:w="8664" w:type="dxa"/>
            <w:gridSpan w:val="4"/>
            <w:shd w:val="clear" w:color="auto" w:fill="E0E0E0"/>
          </w:tcPr>
          <w:p>
            <w:pPr>
              <w:pStyle w:val="TableParagraph"/>
              <w:spacing w:before="95"/>
              <w:ind w:left="3189" w:right="3196"/>
              <w:rPr>
                <w:sz w:val="19"/>
              </w:rPr>
            </w:pPr>
            <w:r>
              <w:rPr>
                <w:w w:val="105"/>
                <w:sz w:val="19"/>
              </w:rPr>
              <w:t>VARIABLES (categorías)</w:t>
            </w:r>
          </w:p>
        </w:tc>
      </w:tr>
      <w:tr>
        <w:trPr>
          <w:trHeight w:val="470" w:hRule="exact"/>
        </w:trPr>
        <w:tc>
          <w:tcPr>
            <w:tcW w:w="1786" w:type="dxa"/>
          </w:tcPr>
          <w:p>
            <w:pPr>
              <w:pStyle w:val="TableParagraph"/>
              <w:spacing w:line="252" w:lineRule="auto" w:before="4"/>
              <w:ind w:left="517" w:right="380" w:hanging="128"/>
              <w:jc w:val="left"/>
              <w:rPr>
                <w:sz w:val="19"/>
              </w:rPr>
            </w:pPr>
            <w:r>
              <w:rPr>
                <w:w w:val="105"/>
                <w:sz w:val="19"/>
              </w:rPr>
              <w:t>Definición / Variable</w:t>
            </w:r>
          </w:p>
        </w:tc>
        <w:tc>
          <w:tcPr>
            <w:tcW w:w="2266" w:type="dxa"/>
          </w:tcPr>
          <w:p>
            <w:pPr>
              <w:pStyle w:val="TableParagraph"/>
              <w:spacing w:before="119"/>
              <w:ind w:left="726"/>
              <w:jc w:val="left"/>
              <w:rPr>
                <w:sz w:val="19"/>
              </w:rPr>
            </w:pPr>
            <w:r>
              <w:rPr>
                <w:w w:val="105"/>
                <w:sz w:val="19"/>
              </w:rPr>
              <w:t>Territorio</w:t>
            </w:r>
          </w:p>
        </w:tc>
        <w:tc>
          <w:tcPr>
            <w:tcW w:w="2554" w:type="dxa"/>
          </w:tcPr>
          <w:p>
            <w:pPr>
              <w:pStyle w:val="TableParagraph"/>
              <w:spacing w:before="119"/>
              <w:ind w:left="866" w:right="872"/>
              <w:rPr>
                <w:sz w:val="19"/>
              </w:rPr>
            </w:pPr>
            <w:r>
              <w:rPr>
                <w:w w:val="105"/>
                <w:sz w:val="19"/>
              </w:rPr>
              <w:t>Vivienda</w:t>
            </w:r>
          </w:p>
        </w:tc>
        <w:tc>
          <w:tcPr>
            <w:tcW w:w="2059" w:type="dxa"/>
          </w:tcPr>
          <w:p>
            <w:pPr>
              <w:pStyle w:val="TableParagraph"/>
              <w:spacing w:before="119"/>
              <w:ind w:left="337"/>
              <w:jc w:val="left"/>
              <w:rPr>
                <w:sz w:val="19"/>
              </w:rPr>
            </w:pPr>
            <w:r>
              <w:rPr>
                <w:w w:val="105"/>
                <w:sz w:val="19"/>
              </w:rPr>
              <w:t>Sustentabilidad</w:t>
            </w:r>
          </w:p>
        </w:tc>
      </w:tr>
      <w:tr>
        <w:trPr>
          <w:trHeight w:val="1963" w:hRule="exact"/>
        </w:trPr>
        <w:tc>
          <w:tcPr>
            <w:tcW w:w="1786" w:type="dxa"/>
          </w:tcPr>
          <w:p>
            <w:pPr>
              <w:pStyle w:val="TableParagraph"/>
              <w:jc w:val="left"/>
              <w:rPr>
                <w:sz w:val="20"/>
              </w:rPr>
            </w:pPr>
          </w:p>
          <w:p>
            <w:pPr>
              <w:pStyle w:val="TableParagraph"/>
              <w:jc w:val="left"/>
              <w:rPr>
                <w:sz w:val="20"/>
              </w:rPr>
            </w:pPr>
          </w:p>
          <w:p>
            <w:pPr>
              <w:pStyle w:val="TableParagraph"/>
              <w:jc w:val="left"/>
              <w:rPr>
                <w:sz w:val="20"/>
              </w:rPr>
            </w:pPr>
          </w:p>
          <w:p>
            <w:pPr>
              <w:pStyle w:val="TableParagraph"/>
              <w:spacing w:before="178"/>
              <w:ind w:left="100"/>
              <w:jc w:val="left"/>
              <w:rPr>
                <w:sz w:val="19"/>
              </w:rPr>
            </w:pPr>
            <w:r>
              <w:rPr>
                <w:w w:val="105"/>
                <w:sz w:val="19"/>
              </w:rPr>
              <w:t>Conceptualización</w:t>
            </w:r>
          </w:p>
        </w:tc>
        <w:tc>
          <w:tcPr>
            <w:tcW w:w="2266" w:type="dxa"/>
          </w:tcPr>
          <w:p>
            <w:pPr>
              <w:pStyle w:val="TableParagraph"/>
              <w:spacing w:line="254" w:lineRule="auto" w:before="8"/>
              <w:ind w:left="100" w:right="100"/>
              <w:jc w:val="both"/>
              <w:rPr>
                <w:sz w:val="17"/>
              </w:rPr>
            </w:pPr>
            <w:r>
              <w:rPr>
                <w:w w:val="105"/>
                <w:sz w:val="17"/>
              </w:rPr>
              <w:t>Espacio físico con límites geográficos y político administrativos de la zona metropolitana de Toluca de 2002 a 2015, así como el municipio de Calimaya.</w:t>
            </w:r>
          </w:p>
        </w:tc>
        <w:tc>
          <w:tcPr>
            <w:tcW w:w="2554" w:type="dxa"/>
          </w:tcPr>
          <w:p>
            <w:pPr>
              <w:pStyle w:val="TableParagraph"/>
              <w:spacing w:line="254" w:lineRule="auto" w:before="8"/>
              <w:ind w:left="100" w:right="105"/>
              <w:jc w:val="both"/>
              <w:rPr>
                <w:sz w:val="17"/>
              </w:rPr>
            </w:pPr>
            <w:r>
              <w:rPr>
                <w:w w:val="105"/>
                <w:sz w:val="17"/>
              </w:rPr>
              <w:t>La </w:t>
            </w:r>
            <w:r>
              <w:rPr>
                <w:i/>
                <w:w w:val="105"/>
                <w:sz w:val="17"/>
              </w:rPr>
              <w:t>Vivienda digna</w:t>
            </w:r>
            <w:r>
              <w:rPr>
                <w:w w:val="105"/>
                <w:sz w:val="17"/>
              </w:rPr>
              <w:t>, según la Oficina del Alto Comisionado de las Naciones Unidas para los Derechos Humanos en  su Observación General nº 4 es aquella donde los ciudadanos o</w:t>
            </w:r>
            <w:r>
              <w:rPr>
                <w:spacing w:val="49"/>
                <w:w w:val="105"/>
                <w:sz w:val="17"/>
              </w:rPr>
              <w:t> </w:t>
            </w:r>
            <w:r>
              <w:rPr>
                <w:w w:val="105"/>
                <w:sz w:val="17"/>
              </w:rPr>
              <w:t>familias pueden vivir con seguridad, paz y</w:t>
            </w:r>
            <w:r>
              <w:rPr>
                <w:spacing w:val="4"/>
                <w:w w:val="105"/>
                <w:sz w:val="17"/>
              </w:rPr>
              <w:t> </w:t>
            </w:r>
            <w:r>
              <w:rPr>
                <w:w w:val="105"/>
                <w:sz w:val="17"/>
              </w:rPr>
              <w:t>dignidad.</w:t>
            </w:r>
          </w:p>
        </w:tc>
        <w:tc>
          <w:tcPr>
            <w:tcW w:w="2059" w:type="dxa"/>
          </w:tcPr>
          <w:p>
            <w:pPr>
              <w:pStyle w:val="TableParagraph"/>
              <w:tabs>
                <w:tab w:pos="932" w:val="left" w:leader="none"/>
                <w:tab w:pos="1122" w:val="left" w:leader="none"/>
                <w:tab w:pos="1702" w:val="left" w:leader="none"/>
              </w:tabs>
              <w:spacing w:line="254" w:lineRule="auto" w:before="8"/>
              <w:ind w:left="100" w:right="104"/>
              <w:jc w:val="both"/>
              <w:rPr>
                <w:sz w:val="17"/>
              </w:rPr>
            </w:pPr>
            <w:r>
              <w:rPr>
                <w:w w:val="105"/>
                <w:sz w:val="17"/>
              </w:rPr>
              <w:t>Se refiere a garantizar la</w:t>
              <w:tab/>
              <w:tab/>
              <w:t>equitativa, adecuada y distribuida ordenación</w:t>
              <w:tab/>
              <w:tab/>
              <w:t>del territorio considerando las</w:t>
              <w:tab/>
              <w:t>necesidades presentes y futuras de la población que lo habita.</w:t>
            </w:r>
          </w:p>
        </w:tc>
      </w:tr>
      <w:tr>
        <w:trPr>
          <w:trHeight w:val="682" w:hRule="exact"/>
        </w:trPr>
        <w:tc>
          <w:tcPr>
            <w:tcW w:w="1786" w:type="dxa"/>
          </w:tcPr>
          <w:p>
            <w:pPr>
              <w:pStyle w:val="TableParagraph"/>
              <w:spacing w:before="6"/>
              <w:jc w:val="left"/>
              <w:rPr>
                <w:sz w:val="19"/>
              </w:rPr>
            </w:pPr>
          </w:p>
          <w:p>
            <w:pPr>
              <w:pStyle w:val="TableParagraph"/>
              <w:ind w:left="100"/>
              <w:jc w:val="left"/>
              <w:rPr>
                <w:sz w:val="19"/>
              </w:rPr>
            </w:pPr>
            <w:r>
              <w:rPr>
                <w:w w:val="105"/>
                <w:sz w:val="19"/>
              </w:rPr>
              <w:t>Operacionalidad</w:t>
            </w:r>
          </w:p>
        </w:tc>
        <w:tc>
          <w:tcPr>
            <w:tcW w:w="6878" w:type="dxa"/>
            <w:gridSpan w:val="3"/>
          </w:tcPr>
          <w:p>
            <w:pPr>
              <w:pStyle w:val="TableParagraph"/>
              <w:spacing w:line="254" w:lineRule="auto" w:before="37"/>
              <w:ind w:left="100" w:right="151"/>
              <w:jc w:val="left"/>
              <w:rPr>
                <w:sz w:val="17"/>
              </w:rPr>
            </w:pPr>
            <w:r>
              <w:rPr>
                <w:w w:val="105"/>
                <w:sz w:val="17"/>
              </w:rPr>
              <w:t>Estudio de sus características y relaciones verticales. Por medio de dimensiones e indicadores que permitan medir, valorar y esclarecer la interrelación que existe entre estas.</w:t>
            </w:r>
          </w:p>
        </w:tc>
      </w:tr>
    </w:tbl>
    <w:p>
      <w:pPr>
        <w:spacing w:before="129"/>
        <w:ind w:left="391" w:right="0" w:firstLine="0"/>
        <w:jc w:val="left"/>
        <w:rPr>
          <w:sz w:val="21"/>
        </w:rPr>
      </w:pPr>
      <w:r>
        <w:rPr>
          <w:w w:val="105"/>
          <w:sz w:val="21"/>
        </w:rPr>
        <w:t>Fuente: Elaboración propia.</w:t>
      </w:r>
    </w:p>
    <w:p>
      <w:pPr>
        <w:pStyle w:val="BodyText"/>
        <w:rPr>
          <w:sz w:val="22"/>
        </w:rPr>
      </w:pPr>
    </w:p>
    <w:p>
      <w:pPr>
        <w:pStyle w:val="BodyText"/>
        <w:rPr>
          <w:sz w:val="22"/>
        </w:rPr>
      </w:pPr>
    </w:p>
    <w:p>
      <w:pPr>
        <w:pStyle w:val="BodyText"/>
        <w:spacing w:line="360" w:lineRule="auto" w:before="136"/>
        <w:ind w:left="268" w:right="231"/>
        <w:jc w:val="both"/>
      </w:pPr>
      <w:r>
        <w:rPr/>
        <w:t>Para trabajar las dimensiones de las variables se seleccionaron 73 ítems de más de 150 existentes, los cuales se clasifican en cuatro índices que refieren la dimensión social, ambiental, económica y territorial. Los 73 ítems seleccionados cumplían con un criterio cualitativo para su medición con base en la autorización del conjunto urbano, el resto de los ítems descartados expresaban datos de tipo administrativo o de poca utilidad para la investigación.  (Ver tabla 4)</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before="69"/>
        <w:ind w:left="268"/>
      </w:pPr>
      <w:r>
        <w:rPr/>
        <w:pict>
          <v:line style="position:absolute;mso-position-horizontal-relative:page;mso-position-vertical-relative:paragraph;z-index:3112" from="93.199997pt,-19.614155pt" to="546.799997pt,-19.614155pt" stroked="true" strokeweight=".479981pt" strokecolor="#000000">
            <w10:wrap type="none"/>
          </v:line>
        </w:pict>
      </w:r>
      <w:r>
        <w:rPr/>
        <w:pict>
          <v:shape style="position:absolute;margin-left:158.279999pt;margin-top:24.615835pt;width:319.55pt;height:548.65pt;mso-position-horizontal-relative:page;mso-position-vertical-relative:paragraph;z-index:313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75"/>
                    <w:gridCol w:w="246"/>
                    <w:gridCol w:w="630"/>
                    <w:gridCol w:w="4716"/>
                  </w:tblGrid>
                  <w:tr>
                    <w:trPr>
                      <w:trHeight w:val="475" w:hRule="exact"/>
                    </w:trPr>
                    <w:tc>
                      <w:tcPr>
                        <w:tcW w:w="775" w:type="dxa"/>
                        <w:tcBorders>
                          <w:bottom w:val="single" w:sz="4" w:space="0" w:color="A6A6A6"/>
                          <w:right w:val="nil"/>
                        </w:tcBorders>
                        <w:shd w:val="clear" w:color="auto" w:fill="F2F2F2"/>
                      </w:tcPr>
                      <w:p>
                        <w:pPr>
                          <w:pStyle w:val="TableParagraph"/>
                          <w:jc w:val="left"/>
                          <w:rPr>
                            <w:sz w:val="10"/>
                          </w:rPr>
                        </w:pPr>
                      </w:p>
                      <w:p>
                        <w:pPr>
                          <w:pStyle w:val="TableParagraph"/>
                          <w:spacing w:before="2"/>
                          <w:jc w:val="left"/>
                          <w:rPr>
                            <w:sz w:val="10"/>
                          </w:rPr>
                        </w:pPr>
                      </w:p>
                      <w:p>
                        <w:pPr>
                          <w:pStyle w:val="TableParagraph"/>
                          <w:ind w:left="15" w:right="6"/>
                          <w:rPr>
                            <w:rFonts w:ascii="Calibri" w:hAnsi="Calibri"/>
                            <w:sz w:val="11"/>
                          </w:rPr>
                        </w:pPr>
                        <w:r>
                          <w:rPr>
                            <w:rFonts w:ascii="Calibri" w:hAnsi="Calibri"/>
                            <w:w w:val="105"/>
                            <w:sz w:val="11"/>
                          </w:rPr>
                          <w:t>Dimensión</w:t>
                        </w:r>
                      </w:p>
                    </w:tc>
                    <w:tc>
                      <w:tcPr>
                        <w:tcW w:w="246" w:type="dxa"/>
                        <w:tcBorders>
                          <w:left w:val="nil"/>
                          <w:bottom w:val="single" w:sz="4" w:space="0" w:color="A6A6A6"/>
                          <w:right w:val="nil"/>
                        </w:tcBorders>
                        <w:shd w:val="clear" w:color="auto" w:fill="F2F2F2"/>
                      </w:tcPr>
                      <w:p>
                        <w:pPr>
                          <w:pStyle w:val="TableParagraph"/>
                          <w:jc w:val="left"/>
                          <w:rPr>
                            <w:sz w:val="10"/>
                          </w:rPr>
                        </w:pPr>
                      </w:p>
                      <w:p>
                        <w:pPr>
                          <w:pStyle w:val="TableParagraph"/>
                          <w:spacing w:before="2"/>
                          <w:jc w:val="left"/>
                          <w:rPr>
                            <w:sz w:val="10"/>
                          </w:rPr>
                        </w:pPr>
                      </w:p>
                      <w:p>
                        <w:pPr>
                          <w:pStyle w:val="TableParagraph"/>
                          <w:ind w:left="7" w:right="34"/>
                          <w:rPr>
                            <w:rFonts w:ascii="Calibri"/>
                            <w:sz w:val="11"/>
                          </w:rPr>
                        </w:pPr>
                        <w:r>
                          <w:rPr>
                            <w:rFonts w:ascii="Calibri"/>
                            <w:w w:val="105"/>
                            <w:sz w:val="11"/>
                          </w:rPr>
                          <w:t>No.</w:t>
                        </w:r>
                      </w:p>
                    </w:tc>
                    <w:tc>
                      <w:tcPr>
                        <w:tcW w:w="5345" w:type="dxa"/>
                        <w:gridSpan w:val="2"/>
                        <w:tcBorders>
                          <w:left w:val="nil"/>
                          <w:bottom w:val="single" w:sz="4" w:space="0" w:color="A6A6A6"/>
                          <w:right w:val="single" w:sz="8" w:space="0" w:color="000000"/>
                        </w:tcBorders>
                        <w:shd w:val="clear" w:color="auto" w:fill="F2F2F2"/>
                      </w:tcPr>
                      <w:p>
                        <w:pPr>
                          <w:pStyle w:val="TableParagraph"/>
                          <w:spacing w:line="129" w:lineRule="exact"/>
                          <w:ind w:left="284"/>
                          <w:jc w:val="left"/>
                          <w:rPr>
                            <w:rFonts w:ascii="Calibri"/>
                            <w:b/>
                            <w:sz w:val="11"/>
                          </w:rPr>
                        </w:pPr>
                        <w:r>
                          <w:rPr>
                            <w:rFonts w:ascii="Calibri"/>
                            <w:b/>
                            <w:w w:val="105"/>
                            <w:sz w:val="11"/>
                          </w:rPr>
                          <w:t>Indicadores de tableros de control, autorizaciones de conjuntos urbanos y otros</w:t>
                        </w:r>
                      </w:p>
                      <w:p>
                        <w:pPr>
                          <w:pStyle w:val="TableParagraph"/>
                          <w:spacing w:before="11"/>
                          <w:jc w:val="left"/>
                          <w:rPr>
                            <w:sz w:val="8"/>
                          </w:rPr>
                        </w:pPr>
                      </w:p>
                      <w:p>
                        <w:pPr>
                          <w:pStyle w:val="TableParagraph"/>
                          <w:tabs>
                            <w:tab w:pos="2876" w:val="left" w:leader="none"/>
                          </w:tabs>
                          <w:ind w:left="94"/>
                          <w:jc w:val="left"/>
                          <w:rPr>
                            <w:rFonts w:ascii="Calibri"/>
                            <w:sz w:val="11"/>
                          </w:rPr>
                        </w:pPr>
                        <w:r>
                          <w:rPr>
                            <w:rFonts w:ascii="Calibri"/>
                            <w:w w:val="105"/>
                            <w:sz w:val="11"/>
                          </w:rPr>
                          <w:t>Indicador</w:t>
                          <w:tab/>
                          <w:t>Items</w:t>
                        </w:r>
                      </w:p>
                    </w:tc>
                  </w:tr>
                  <w:tr>
                    <w:trPr>
                      <w:trHeight w:val="172" w:hRule="exact"/>
                    </w:trPr>
                    <w:tc>
                      <w:tcPr>
                        <w:tcW w:w="775" w:type="dxa"/>
                        <w:tcBorders>
                          <w:top w:val="single" w:sz="4" w:space="0" w:color="A6A6A6"/>
                          <w:bottom w:val="nil"/>
                          <w:right w:val="nil"/>
                        </w:tcBorders>
                      </w:tcPr>
                      <w:p>
                        <w:pPr/>
                      </w:p>
                    </w:tc>
                    <w:tc>
                      <w:tcPr>
                        <w:tcW w:w="246" w:type="dxa"/>
                        <w:tcBorders>
                          <w:top w:val="single" w:sz="4" w:space="0" w:color="A6A6A6"/>
                          <w:left w:val="nil"/>
                          <w:bottom w:val="nil"/>
                          <w:right w:val="nil"/>
                        </w:tcBorders>
                      </w:tcPr>
                      <w:p>
                        <w:pPr>
                          <w:pStyle w:val="TableParagraph"/>
                          <w:spacing w:before="4"/>
                          <w:ind w:right="17"/>
                          <w:rPr>
                            <w:rFonts w:ascii="Calibri"/>
                            <w:sz w:val="11"/>
                          </w:rPr>
                        </w:pPr>
                        <w:r>
                          <w:rPr>
                            <w:rFonts w:ascii="Calibri"/>
                            <w:w w:val="103"/>
                            <w:sz w:val="11"/>
                          </w:rPr>
                          <w:t>1</w:t>
                        </w:r>
                      </w:p>
                    </w:tc>
                    <w:tc>
                      <w:tcPr>
                        <w:tcW w:w="630" w:type="dxa"/>
                        <w:tcBorders>
                          <w:top w:val="single" w:sz="4" w:space="0" w:color="A6A6A6"/>
                          <w:left w:val="nil"/>
                          <w:bottom w:val="nil"/>
                          <w:right w:val="nil"/>
                        </w:tcBorders>
                      </w:tcPr>
                      <w:p>
                        <w:pPr/>
                      </w:p>
                    </w:tc>
                    <w:tc>
                      <w:tcPr>
                        <w:tcW w:w="4716" w:type="dxa"/>
                        <w:tcBorders>
                          <w:top w:val="single" w:sz="4" w:space="0" w:color="A6A6A6"/>
                          <w:left w:val="nil"/>
                          <w:bottom w:val="nil"/>
                          <w:right w:val="single" w:sz="8" w:space="0" w:color="000000"/>
                        </w:tcBorders>
                      </w:tcPr>
                      <w:p>
                        <w:pPr>
                          <w:pStyle w:val="TableParagraph"/>
                          <w:spacing w:before="23"/>
                          <w:ind w:left="62" w:right="1264"/>
                          <w:jc w:val="left"/>
                          <w:rPr>
                            <w:rFonts w:ascii="Calibri"/>
                            <w:sz w:val="11"/>
                          </w:rPr>
                        </w:pPr>
                        <w:r>
                          <w:rPr>
                            <w:rFonts w:ascii="Calibri"/>
                            <w:w w:val="105"/>
                            <w:sz w:val="11"/>
                          </w:rPr>
                          <w:t>No. de conjuntos urbanos de tipo habitacional autorizados</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right="17"/>
                          <w:rPr>
                            <w:rFonts w:ascii="Calibri"/>
                            <w:sz w:val="11"/>
                          </w:rPr>
                        </w:pPr>
                        <w:r>
                          <w:rPr>
                            <w:rFonts w:ascii="Calibri"/>
                            <w:w w:val="103"/>
                            <w:sz w:val="11"/>
                          </w:rPr>
                          <w:t>2</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No. de conjuntos urbanos municipalizados</w:t>
                        </w:r>
                      </w:p>
                    </w:tc>
                  </w:tr>
                  <w:tr>
                    <w:trPr>
                      <w:trHeight w:val="13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right="17"/>
                          <w:rPr>
                            <w:rFonts w:ascii="Calibri"/>
                            <w:sz w:val="11"/>
                          </w:rPr>
                        </w:pPr>
                        <w:r>
                          <w:rPr>
                            <w:rFonts w:ascii="Calibri"/>
                            <w:w w:val="103"/>
                            <w:sz w:val="11"/>
                          </w:rPr>
                          <w:t>3</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No. total de viviendas autorizadas por conjuntos urbanos</w:t>
                        </w:r>
                      </w:p>
                    </w:tc>
                  </w:tr>
                  <w:tr>
                    <w:trPr>
                      <w:trHeight w:val="152"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before="8"/>
                          <w:ind w:right="17"/>
                          <w:rPr>
                            <w:rFonts w:ascii="Calibri"/>
                            <w:sz w:val="11"/>
                          </w:rPr>
                        </w:pPr>
                        <w:r>
                          <w:rPr>
                            <w:rFonts w:ascii="Calibri"/>
                            <w:w w:val="103"/>
                            <w:sz w:val="11"/>
                          </w:rPr>
                          <w:t>4</w:t>
                        </w:r>
                      </w:p>
                    </w:tc>
                    <w:tc>
                      <w:tcPr>
                        <w:tcW w:w="630" w:type="dxa"/>
                        <w:tcBorders>
                          <w:top w:val="nil"/>
                          <w:left w:val="nil"/>
                          <w:bottom w:val="nil"/>
                          <w:right w:val="nil"/>
                        </w:tcBorders>
                      </w:tcPr>
                      <w:p>
                        <w:pPr>
                          <w:pStyle w:val="TableParagraph"/>
                          <w:spacing w:line="123" w:lineRule="exact"/>
                          <w:ind w:left="34" w:right="30"/>
                          <w:rPr>
                            <w:rFonts w:ascii="Calibri"/>
                            <w:sz w:val="11"/>
                          </w:rPr>
                        </w:pPr>
                        <w:r>
                          <w:rPr>
                            <w:rFonts w:ascii="Calibri"/>
                            <w:w w:val="105"/>
                            <w:sz w:val="11"/>
                          </w:rPr>
                          <w:t>territorial</w:t>
                        </w:r>
                      </w:p>
                    </w:tc>
                    <w:tc>
                      <w:tcPr>
                        <w:tcW w:w="4716" w:type="dxa"/>
                        <w:tcBorders>
                          <w:top w:val="nil"/>
                          <w:left w:val="nil"/>
                          <w:bottom w:val="nil"/>
                          <w:right w:val="single" w:sz="8" w:space="0" w:color="000000"/>
                        </w:tcBorders>
                      </w:tcPr>
                      <w:p>
                        <w:pPr>
                          <w:pStyle w:val="TableParagraph"/>
                          <w:spacing w:before="17"/>
                          <w:ind w:left="62" w:right="1264"/>
                          <w:jc w:val="left"/>
                          <w:rPr>
                            <w:rFonts w:ascii="Calibri"/>
                            <w:sz w:val="10"/>
                          </w:rPr>
                        </w:pPr>
                        <w:r>
                          <w:rPr>
                            <w:rFonts w:ascii="Calibri"/>
                            <w:w w:val="105"/>
                            <w:sz w:val="10"/>
                          </w:rPr>
                          <w:t>No. total de viviendas autorizadas por condominios</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right="17"/>
                          <w:rPr>
                            <w:rFonts w:ascii="Calibri"/>
                            <w:sz w:val="11"/>
                          </w:rPr>
                        </w:pPr>
                        <w:r>
                          <w:rPr>
                            <w:rFonts w:ascii="Calibri"/>
                            <w:w w:val="103"/>
                            <w:sz w:val="11"/>
                          </w:rPr>
                          <w:t>5</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No. de condominios de tipo habitacional autorizados</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right="17"/>
                          <w:rPr>
                            <w:rFonts w:ascii="Calibri"/>
                            <w:sz w:val="11"/>
                          </w:rPr>
                        </w:pPr>
                        <w:r>
                          <w:rPr>
                            <w:rFonts w:ascii="Calibri"/>
                            <w:w w:val="103"/>
                            <w:sz w:val="11"/>
                          </w:rPr>
                          <w:t>6</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No. de condominios municipalizados</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right="17"/>
                          <w:rPr>
                            <w:rFonts w:ascii="Calibri"/>
                            <w:sz w:val="11"/>
                          </w:rPr>
                        </w:pPr>
                        <w:r>
                          <w:rPr>
                            <w:rFonts w:ascii="Calibri"/>
                            <w:w w:val="103"/>
                            <w:sz w:val="11"/>
                          </w:rPr>
                          <w:t>7</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Vivienda producida socialmente (INEGI - censos)</w:t>
                        </w:r>
                      </w:p>
                    </w:tc>
                  </w:tr>
                  <w:tr>
                    <w:trPr>
                      <w:trHeight w:val="285"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right="17"/>
                          <w:rPr>
                            <w:rFonts w:ascii="Calibri"/>
                            <w:sz w:val="11"/>
                          </w:rPr>
                        </w:pPr>
                        <w:r>
                          <w:rPr>
                            <w:rFonts w:ascii="Calibri"/>
                            <w:w w:val="103"/>
                            <w:sz w:val="11"/>
                          </w:rPr>
                          <w:t>8</w:t>
                        </w:r>
                      </w:p>
                      <w:p>
                        <w:pPr>
                          <w:pStyle w:val="TableParagraph"/>
                          <w:spacing w:before="8"/>
                          <w:ind w:right="17"/>
                          <w:rPr>
                            <w:rFonts w:ascii="Calibri"/>
                            <w:sz w:val="11"/>
                          </w:rPr>
                        </w:pPr>
                        <w:r>
                          <w:rPr>
                            <w:rFonts w:ascii="Calibri"/>
                            <w:w w:val="103"/>
                            <w:sz w:val="11"/>
                          </w:rPr>
                          <w:t>9</w:t>
                        </w:r>
                      </w:p>
                    </w:tc>
                    <w:tc>
                      <w:tcPr>
                        <w:tcW w:w="630" w:type="dxa"/>
                        <w:tcBorders>
                          <w:top w:val="nil"/>
                          <w:left w:val="nil"/>
                          <w:bottom w:val="nil"/>
                          <w:right w:val="nil"/>
                        </w:tcBorders>
                      </w:tcPr>
                      <w:p>
                        <w:pPr>
                          <w:pStyle w:val="TableParagraph"/>
                          <w:spacing w:before="65"/>
                          <w:ind w:left="34" w:right="38"/>
                          <w:rPr>
                            <w:rFonts w:ascii="Calibri" w:hAnsi="Calibri"/>
                            <w:sz w:val="11"/>
                          </w:rPr>
                        </w:pPr>
                        <w:r>
                          <w:rPr>
                            <w:rFonts w:ascii="Calibri" w:hAnsi="Calibri"/>
                            <w:w w:val="105"/>
                            <w:sz w:val="11"/>
                          </w:rPr>
                          <w:t>económico</w:t>
                        </w:r>
                      </w:p>
                    </w:tc>
                    <w:tc>
                      <w:tcPr>
                        <w:tcW w:w="4716" w:type="dxa"/>
                        <w:tcBorders>
                          <w:top w:val="nil"/>
                          <w:left w:val="nil"/>
                          <w:bottom w:val="nil"/>
                          <w:right w:val="single" w:sz="8" w:space="0" w:color="000000"/>
                        </w:tcBorders>
                      </w:tcPr>
                      <w:p>
                        <w:pPr>
                          <w:pStyle w:val="TableParagraph"/>
                          <w:spacing w:line="254" w:lineRule="auto"/>
                          <w:ind w:left="62" w:right="1264"/>
                          <w:jc w:val="left"/>
                          <w:rPr>
                            <w:rFonts w:ascii="Calibri"/>
                            <w:sz w:val="11"/>
                          </w:rPr>
                        </w:pPr>
                        <w:r>
                          <w:rPr>
                            <w:rFonts w:ascii="Calibri"/>
                            <w:w w:val="105"/>
                            <w:sz w:val="11"/>
                          </w:rPr>
                          <w:t>Ingresos generados por las autorizaciones de conjuntos urbanos Ingresos generados por las autorizaciones de condominios</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24"/>
                          <w:rPr>
                            <w:rFonts w:ascii="Calibri"/>
                            <w:sz w:val="11"/>
                          </w:rPr>
                        </w:pPr>
                        <w:r>
                          <w:rPr>
                            <w:rFonts w:ascii="Calibri"/>
                            <w:w w:val="105"/>
                            <w:sz w:val="11"/>
                          </w:rPr>
                          <w:t>10</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jc w:val="left"/>
                          <w:rPr>
                            <w:rFonts w:ascii="Calibri"/>
                            <w:sz w:val="11"/>
                          </w:rPr>
                        </w:pPr>
                        <w:r>
                          <w:rPr>
                            <w:rFonts w:ascii="Calibri"/>
                            <w:w w:val="105"/>
                            <w:sz w:val="11"/>
                          </w:rPr>
                          <w:t>Equipamiento generado por las autorizaciones de conjuntos urbanos habitacionales</w:t>
                        </w:r>
                      </w:p>
                    </w:tc>
                  </w:tr>
                  <w:tr>
                    <w:trPr>
                      <w:trHeight w:val="285"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55"/>
                          <w:jc w:val="left"/>
                          <w:rPr>
                            <w:rFonts w:ascii="Calibri"/>
                            <w:sz w:val="11"/>
                          </w:rPr>
                        </w:pPr>
                        <w:r>
                          <w:rPr>
                            <w:rFonts w:ascii="Calibri"/>
                            <w:w w:val="105"/>
                            <w:sz w:val="11"/>
                          </w:rPr>
                          <w:t>11</w:t>
                        </w:r>
                      </w:p>
                      <w:p>
                        <w:pPr>
                          <w:pStyle w:val="TableParagraph"/>
                          <w:spacing w:before="8"/>
                          <w:ind w:left="55"/>
                          <w:jc w:val="left"/>
                          <w:rPr>
                            <w:rFonts w:ascii="Calibri"/>
                            <w:sz w:val="11"/>
                          </w:rPr>
                        </w:pPr>
                        <w:r>
                          <w:rPr>
                            <w:rFonts w:ascii="Calibri"/>
                            <w:w w:val="105"/>
                            <w:sz w:val="11"/>
                          </w:rPr>
                          <w:t>12</w:t>
                        </w:r>
                      </w:p>
                    </w:tc>
                    <w:tc>
                      <w:tcPr>
                        <w:tcW w:w="630" w:type="dxa"/>
                        <w:tcBorders>
                          <w:top w:val="nil"/>
                          <w:left w:val="nil"/>
                          <w:bottom w:val="nil"/>
                          <w:right w:val="nil"/>
                        </w:tcBorders>
                      </w:tcPr>
                      <w:p>
                        <w:pPr>
                          <w:pStyle w:val="TableParagraph"/>
                          <w:spacing w:before="65"/>
                          <w:ind w:left="34" w:right="30"/>
                          <w:rPr>
                            <w:rFonts w:ascii="Calibri"/>
                            <w:sz w:val="11"/>
                          </w:rPr>
                        </w:pPr>
                        <w:r>
                          <w:rPr>
                            <w:rFonts w:ascii="Calibri"/>
                            <w:w w:val="105"/>
                            <w:sz w:val="11"/>
                          </w:rPr>
                          <w:t>territorial</w:t>
                        </w:r>
                      </w:p>
                    </w:tc>
                    <w:tc>
                      <w:tcPr>
                        <w:tcW w:w="4716" w:type="dxa"/>
                        <w:tcBorders>
                          <w:top w:val="nil"/>
                          <w:left w:val="nil"/>
                          <w:bottom w:val="nil"/>
                          <w:right w:val="single" w:sz="8" w:space="0" w:color="000000"/>
                        </w:tcBorders>
                      </w:tcPr>
                      <w:p>
                        <w:pPr>
                          <w:pStyle w:val="TableParagraph"/>
                          <w:spacing w:line="254" w:lineRule="auto"/>
                          <w:ind w:left="62" w:right="964"/>
                          <w:jc w:val="left"/>
                          <w:rPr>
                            <w:rFonts w:ascii="Calibri"/>
                            <w:sz w:val="11"/>
                          </w:rPr>
                        </w:pPr>
                        <w:r>
                          <w:rPr>
                            <w:rFonts w:ascii="Calibri"/>
                            <w:w w:val="105"/>
                            <w:sz w:val="11"/>
                          </w:rPr>
                          <w:t>Equipamiento generado por las autorizaciones de condominios habitacionales Equipamiento generado por el Estado por otros medios</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24"/>
                          <w:rPr>
                            <w:rFonts w:ascii="Calibri"/>
                            <w:sz w:val="11"/>
                          </w:rPr>
                        </w:pPr>
                        <w:r>
                          <w:rPr>
                            <w:rFonts w:ascii="Calibri"/>
                            <w:w w:val="105"/>
                            <w:sz w:val="11"/>
                          </w:rPr>
                          <w:t>13</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Equipamiento generado por el municipio por otros medios</w:t>
                        </w:r>
                      </w:p>
                    </w:tc>
                  </w:tr>
                  <w:tr>
                    <w:trPr>
                      <w:trHeight w:val="285"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55"/>
                          <w:jc w:val="left"/>
                          <w:rPr>
                            <w:rFonts w:ascii="Calibri"/>
                            <w:sz w:val="11"/>
                          </w:rPr>
                        </w:pPr>
                        <w:r>
                          <w:rPr>
                            <w:rFonts w:ascii="Calibri"/>
                            <w:w w:val="105"/>
                            <w:sz w:val="11"/>
                          </w:rPr>
                          <w:t>14</w:t>
                        </w:r>
                      </w:p>
                      <w:p>
                        <w:pPr>
                          <w:pStyle w:val="TableParagraph"/>
                          <w:spacing w:before="8"/>
                          <w:ind w:left="55"/>
                          <w:jc w:val="left"/>
                          <w:rPr>
                            <w:rFonts w:ascii="Calibri"/>
                            <w:sz w:val="11"/>
                          </w:rPr>
                        </w:pPr>
                        <w:r>
                          <w:rPr>
                            <w:rFonts w:ascii="Calibri"/>
                            <w:w w:val="105"/>
                            <w:sz w:val="11"/>
                          </w:rPr>
                          <w:t>15</w:t>
                        </w:r>
                      </w:p>
                    </w:tc>
                    <w:tc>
                      <w:tcPr>
                        <w:tcW w:w="630" w:type="dxa"/>
                        <w:tcBorders>
                          <w:top w:val="nil"/>
                          <w:left w:val="nil"/>
                          <w:bottom w:val="nil"/>
                          <w:right w:val="nil"/>
                        </w:tcBorders>
                      </w:tcPr>
                      <w:p>
                        <w:pPr>
                          <w:pStyle w:val="TableParagraph"/>
                          <w:spacing w:before="65"/>
                          <w:ind w:left="34" w:right="27"/>
                          <w:rPr>
                            <w:rFonts w:ascii="Calibri"/>
                            <w:sz w:val="11"/>
                          </w:rPr>
                        </w:pPr>
                        <w:r>
                          <w:rPr>
                            <w:rFonts w:ascii="Calibri"/>
                            <w:w w:val="105"/>
                            <w:sz w:val="11"/>
                          </w:rPr>
                          <w:t>ambiental</w:t>
                        </w:r>
                      </w:p>
                    </w:tc>
                    <w:tc>
                      <w:tcPr>
                        <w:tcW w:w="4716" w:type="dxa"/>
                        <w:tcBorders>
                          <w:top w:val="nil"/>
                          <w:left w:val="nil"/>
                          <w:bottom w:val="nil"/>
                          <w:right w:val="single" w:sz="8" w:space="0" w:color="000000"/>
                        </w:tcBorders>
                      </w:tcPr>
                      <w:p>
                        <w:pPr>
                          <w:pStyle w:val="TableParagraph"/>
                          <w:spacing w:line="254" w:lineRule="auto"/>
                          <w:ind w:left="62" w:right="1264"/>
                          <w:jc w:val="left"/>
                          <w:rPr>
                            <w:rFonts w:ascii="Calibri"/>
                            <w:sz w:val="11"/>
                          </w:rPr>
                        </w:pPr>
                        <w:r>
                          <w:rPr>
                            <w:rFonts w:ascii="Calibri"/>
                            <w:w w:val="105"/>
                            <w:sz w:val="11"/>
                          </w:rPr>
                          <w:t>Volumen de agua autorizado por conjuntos urbanos habitacionales Volumen de agua autorizado por condominios habitacionales</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24"/>
                          <w:rPr>
                            <w:rFonts w:ascii="Calibri"/>
                            <w:sz w:val="11"/>
                          </w:rPr>
                        </w:pPr>
                        <w:r>
                          <w:rPr>
                            <w:rFonts w:ascii="Calibri"/>
                            <w:w w:val="105"/>
                            <w:sz w:val="11"/>
                          </w:rPr>
                          <w:t>16</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Superficie total de conjuntos urbanos</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24"/>
                          <w:rPr>
                            <w:rFonts w:ascii="Calibri"/>
                            <w:sz w:val="11"/>
                          </w:rPr>
                        </w:pPr>
                        <w:r>
                          <w:rPr>
                            <w:rFonts w:ascii="Calibri"/>
                            <w:w w:val="105"/>
                            <w:sz w:val="11"/>
                          </w:rPr>
                          <w:t>17</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Superficie total de condominios</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24"/>
                          <w:rPr>
                            <w:rFonts w:ascii="Calibri"/>
                            <w:sz w:val="11"/>
                          </w:rPr>
                        </w:pPr>
                        <w:r>
                          <w:rPr>
                            <w:rFonts w:ascii="Calibri"/>
                            <w:w w:val="105"/>
                            <w:sz w:val="11"/>
                          </w:rPr>
                          <w:t>18</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hAnsi="Calibri"/>
                            <w:sz w:val="11"/>
                          </w:rPr>
                        </w:pPr>
                        <w:r>
                          <w:rPr>
                            <w:rFonts w:ascii="Calibri" w:hAnsi="Calibri"/>
                            <w:w w:val="105"/>
                            <w:sz w:val="11"/>
                          </w:rPr>
                          <w:t>Superficie fuera de autorización de conjuntos urbanos</w:t>
                        </w:r>
                      </w:p>
                    </w:tc>
                  </w:tr>
                  <w:tr>
                    <w:trPr>
                      <w:trHeight w:val="13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24"/>
                          <w:rPr>
                            <w:rFonts w:ascii="Calibri"/>
                            <w:sz w:val="11"/>
                          </w:rPr>
                        </w:pPr>
                        <w:r>
                          <w:rPr>
                            <w:rFonts w:ascii="Calibri"/>
                            <w:w w:val="105"/>
                            <w:sz w:val="11"/>
                          </w:rPr>
                          <w:t>19</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hAnsi="Calibri"/>
                            <w:sz w:val="11"/>
                          </w:rPr>
                        </w:pPr>
                        <w:r>
                          <w:rPr>
                            <w:rFonts w:ascii="Calibri" w:hAnsi="Calibri"/>
                            <w:w w:val="105"/>
                            <w:sz w:val="11"/>
                          </w:rPr>
                          <w:t>Superficie fuera de autorización de condominios</w:t>
                        </w:r>
                      </w:p>
                    </w:tc>
                  </w:tr>
                  <w:tr>
                    <w:trPr>
                      <w:trHeight w:val="143" w:hRule="exact"/>
                    </w:trPr>
                    <w:tc>
                      <w:tcPr>
                        <w:tcW w:w="775" w:type="dxa"/>
                        <w:tcBorders>
                          <w:top w:val="nil"/>
                          <w:bottom w:val="nil"/>
                          <w:right w:val="nil"/>
                        </w:tcBorders>
                      </w:tcPr>
                      <w:p>
                        <w:pPr>
                          <w:pStyle w:val="TableParagraph"/>
                          <w:spacing w:line="123" w:lineRule="exact"/>
                          <w:ind w:left="29" w:right="6"/>
                          <w:rPr>
                            <w:rFonts w:ascii="Calibri"/>
                            <w:sz w:val="11"/>
                          </w:rPr>
                        </w:pPr>
                        <w:r>
                          <w:rPr>
                            <w:rFonts w:ascii="Calibri"/>
                            <w:w w:val="105"/>
                            <w:sz w:val="11"/>
                          </w:rPr>
                          <w:t>Estado e</w:t>
                        </w:r>
                      </w:p>
                    </w:tc>
                    <w:tc>
                      <w:tcPr>
                        <w:tcW w:w="246" w:type="dxa"/>
                        <w:tcBorders>
                          <w:top w:val="nil"/>
                          <w:left w:val="nil"/>
                          <w:bottom w:val="nil"/>
                          <w:right w:val="nil"/>
                        </w:tcBorders>
                      </w:tcPr>
                      <w:p>
                        <w:pPr>
                          <w:pStyle w:val="TableParagraph"/>
                          <w:spacing w:before="8"/>
                          <w:ind w:left="7" w:right="24"/>
                          <w:rPr>
                            <w:rFonts w:ascii="Calibri"/>
                            <w:sz w:val="11"/>
                          </w:rPr>
                        </w:pPr>
                        <w:r>
                          <w:rPr>
                            <w:rFonts w:ascii="Calibri"/>
                            <w:w w:val="105"/>
                            <w:sz w:val="11"/>
                          </w:rPr>
                          <w:t>20</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before="8"/>
                          <w:ind w:left="62" w:right="1264"/>
                          <w:jc w:val="left"/>
                          <w:rPr>
                            <w:rFonts w:ascii="Calibri"/>
                            <w:sz w:val="11"/>
                          </w:rPr>
                        </w:pPr>
                        <w:r>
                          <w:rPr>
                            <w:rFonts w:ascii="Calibri"/>
                            <w:w w:val="105"/>
                            <w:sz w:val="11"/>
                          </w:rPr>
                          <w:t>Superficie total de terreno de conjuntos urbanos</w:t>
                        </w:r>
                      </w:p>
                    </w:tc>
                  </w:tr>
                  <w:tr>
                    <w:trPr>
                      <w:trHeight w:val="143" w:hRule="exact"/>
                    </w:trPr>
                    <w:tc>
                      <w:tcPr>
                        <w:tcW w:w="775" w:type="dxa"/>
                        <w:tcBorders>
                          <w:top w:val="nil"/>
                          <w:bottom w:val="nil"/>
                          <w:right w:val="nil"/>
                        </w:tcBorders>
                      </w:tcPr>
                      <w:p>
                        <w:pPr>
                          <w:pStyle w:val="TableParagraph"/>
                          <w:spacing w:line="123" w:lineRule="exact"/>
                          <w:ind w:left="9" w:right="6"/>
                          <w:rPr>
                            <w:rFonts w:ascii="Calibri"/>
                            <w:sz w:val="11"/>
                          </w:rPr>
                        </w:pPr>
                        <w:r>
                          <w:rPr>
                            <w:rFonts w:ascii="Calibri"/>
                            <w:w w:val="105"/>
                            <w:sz w:val="11"/>
                          </w:rPr>
                          <w:t>Iniciativa</w:t>
                        </w:r>
                      </w:p>
                    </w:tc>
                    <w:tc>
                      <w:tcPr>
                        <w:tcW w:w="246" w:type="dxa"/>
                        <w:tcBorders>
                          <w:top w:val="nil"/>
                          <w:left w:val="nil"/>
                          <w:bottom w:val="nil"/>
                          <w:right w:val="nil"/>
                        </w:tcBorders>
                      </w:tcPr>
                      <w:p>
                        <w:pPr>
                          <w:pStyle w:val="TableParagraph"/>
                          <w:spacing w:before="8"/>
                          <w:ind w:left="7" w:right="24"/>
                          <w:rPr>
                            <w:rFonts w:ascii="Calibri"/>
                            <w:sz w:val="11"/>
                          </w:rPr>
                        </w:pPr>
                        <w:r>
                          <w:rPr>
                            <w:rFonts w:ascii="Calibri"/>
                            <w:w w:val="105"/>
                            <w:sz w:val="11"/>
                          </w:rPr>
                          <w:t>21</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before="8"/>
                          <w:ind w:left="62" w:right="1264"/>
                          <w:jc w:val="left"/>
                          <w:rPr>
                            <w:rFonts w:ascii="Calibri"/>
                            <w:sz w:val="11"/>
                          </w:rPr>
                        </w:pPr>
                        <w:r>
                          <w:rPr>
                            <w:rFonts w:ascii="Calibri"/>
                            <w:w w:val="105"/>
                            <w:sz w:val="11"/>
                          </w:rPr>
                          <w:t>Superficie total de terreno de condominios</w:t>
                        </w:r>
                      </w:p>
                    </w:tc>
                  </w:tr>
                  <w:tr>
                    <w:trPr>
                      <w:trHeight w:val="152" w:hRule="exact"/>
                    </w:trPr>
                    <w:tc>
                      <w:tcPr>
                        <w:tcW w:w="775" w:type="dxa"/>
                        <w:tcBorders>
                          <w:top w:val="nil"/>
                          <w:bottom w:val="nil"/>
                          <w:right w:val="nil"/>
                        </w:tcBorders>
                      </w:tcPr>
                      <w:p>
                        <w:pPr>
                          <w:pStyle w:val="TableParagraph"/>
                          <w:spacing w:line="123" w:lineRule="exact"/>
                          <w:ind w:left="17" w:right="6"/>
                          <w:rPr>
                            <w:rFonts w:ascii="Calibri"/>
                            <w:sz w:val="11"/>
                          </w:rPr>
                        </w:pPr>
                        <w:r>
                          <w:rPr>
                            <w:rFonts w:ascii="Calibri"/>
                            <w:w w:val="105"/>
                            <w:sz w:val="11"/>
                          </w:rPr>
                          <w:t>privada</w:t>
                        </w:r>
                      </w:p>
                    </w:tc>
                    <w:tc>
                      <w:tcPr>
                        <w:tcW w:w="246" w:type="dxa"/>
                        <w:tcBorders>
                          <w:top w:val="nil"/>
                          <w:left w:val="nil"/>
                          <w:bottom w:val="nil"/>
                          <w:right w:val="nil"/>
                        </w:tcBorders>
                      </w:tcPr>
                      <w:p>
                        <w:pPr>
                          <w:pStyle w:val="TableParagraph"/>
                          <w:spacing w:before="8"/>
                          <w:ind w:left="7" w:right="24"/>
                          <w:rPr>
                            <w:rFonts w:ascii="Calibri"/>
                            <w:sz w:val="11"/>
                          </w:rPr>
                        </w:pPr>
                        <w:r>
                          <w:rPr>
                            <w:rFonts w:ascii="Calibri"/>
                            <w:w w:val="105"/>
                            <w:sz w:val="11"/>
                          </w:rPr>
                          <w:t>22</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before="8"/>
                          <w:ind w:left="62" w:right="1264"/>
                          <w:jc w:val="left"/>
                          <w:rPr>
                            <w:rFonts w:ascii="Calibri"/>
                            <w:sz w:val="11"/>
                          </w:rPr>
                        </w:pPr>
                        <w:r>
                          <w:rPr>
                            <w:rFonts w:ascii="Calibri"/>
                            <w:w w:val="105"/>
                            <w:sz w:val="11"/>
                          </w:rPr>
                          <w:t>Superficie habitacional vendible conjuntos urbanos</w:t>
                        </w:r>
                      </w:p>
                    </w:tc>
                  </w:tr>
                  <w:tr>
                    <w:trPr>
                      <w:trHeight w:val="285"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55"/>
                          <w:jc w:val="left"/>
                          <w:rPr>
                            <w:rFonts w:ascii="Calibri"/>
                            <w:sz w:val="11"/>
                          </w:rPr>
                        </w:pPr>
                        <w:r>
                          <w:rPr>
                            <w:rFonts w:ascii="Calibri"/>
                            <w:w w:val="105"/>
                            <w:sz w:val="11"/>
                          </w:rPr>
                          <w:t>23</w:t>
                        </w:r>
                      </w:p>
                      <w:p>
                        <w:pPr>
                          <w:pStyle w:val="TableParagraph"/>
                          <w:spacing w:before="8"/>
                          <w:ind w:left="55"/>
                          <w:jc w:val="left"/>
                          <w:rPr>
                            <w:rFonts w:ascii="Calibri"/>
                            <w:sz w:val="11"/>
                          </w:rPr>
                        </w:pPr>
                        <w:r>
                          <w:rPr>
                            <w:rFonts w:ascii="Calibri"/>
                            <w:w w:val="105"/>
                            <w:sz w:val="11"/>
                          </w:rPr>
                          <w:t>24</w:t>
                        </w:r>
                      </w:p>
                    </w:tc>
                    <w:tc>
                      <w:tcPr>
                        <w:tcW w:w="630" w:type="dxa"/>
                        <w:tcBorders>
                          <w:top w:val="nil"/>
                          <w:left w:val="nil"/>
                          <w:bottom w:val="nil"/>
                          <w:right w:val="nil"/>
                        </w:tcBorders>
                      </w:tcPr>
                      <w:p>
                        <w:pPr>
                          <w:pStyle w:val="TableParagraph"/>
                          <w:spacing w:before="65"/>
                          <w:ind w:left="34" w:right="30"/>
                          <w:rPr>
                            <w:rFonts w:ascii="Calibri"/>
                            <w:sz w:val="11"/>
                          </w:rPr>
                        </w:pPr>
                        <w:r>
                          <w:rPr>
                            <w:rFonts w:ascii="Calibri"/>
                            <w:w w:val="105"/>
                            <w:sz w:val="11"/>
                          </w:rPr>
                          <w:t>territorial</w:t>
                        </w: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Superficie habitacional vendible condominios</w:t>
                        </w:r>
                      </w:p>
                      <w:p>
                        <w:pPr>
                          <w:pStyle w:val="TableParagraph"/>
                          <w:spacing w:before="8"/>
                          <w:ind w:left="62"/>
                          <w:jc w:val="left"/>
                          <w:rPr>
                            <w:rFonts w:ascii="Calibri"/>
                            <w:sz w:val="11"/>
                          </w:rPr>
                        </w:pPr>
                        <w:r>
                          <w:rPr>
                            <w:rFonts w:ascii="Calibri"/>
                            <w:w w:val="105"/>
                            <w:sz w:val="11"/>
                          </w:rPr>
                          <w:t>Superficie de comercio de productos y servicios basicos vendible de conjuntos urbanos</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24"/>
                          <w:rPr>
                            <w:rFonts w:ascii="Calibri"/>
                            <w:sz w:val="11"/>
                          </w:rPr>
                        </w:pPr>
                        <w:r>
                          <w:rPr>
                            <w:rFonts w:ascii="Calibri"/>
                            <w:w w:val="105"/>
                            <w:sz w:val="11"/>
                          </w:rPr>
                          <w:t>25</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jc w:val="left"/>
                          <w:rPr>
                            <w:rFonts w:ascii="Calibri"/>
                            <w:sz w:val="11"/>
                          </w:rPr>
                        </w:pPr>
                        <w:r>
                          <w:rPr>
                            <w:rFonts w:ascii="Calibri"/>
                            <w:w w:val="105"/>
                            <w:sz w:val="11"/>
                          </w:rPr>
                          <w:t>Superficie de comercio de productos y servicios basicos vendible de condominios</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24"/>
                          <w:rPr>
                            <w:rFonts w:ascii="Calibri"/>
                            <w:sz w:val="11"/>
                          </w:rPr>
                        </w:pPr>
                        <w:r>
                          <w:rPr>
                            <w:rFonts w:ascii="Calibri"/>
                            <w:w w:val="105"/>
                            <w:sz w:val="11"/>
                          </w:rPr>
                          <w:t>26</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hAnsi="Calibri"/>
                            <w:sz w:val="11"/>
                          </w:rPr>
                        </w:pPr>
                        <w:r>
                          <w:rPr>
                            <w:rFonts w:ascii="Calibri" w:hAnsi="Calibri"/>
                            <w:w w:val="105"/>
                            <w:sz w:val="11"/>
                          </w:rPr>
                          <w:t>Superficie de donación al municipio de conjuntos urbanos</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24"/>
                          <w:rPr>
                            <w:rFonts w:ascii="Calibri"/>
                            <w:sz w:val="11"/>
                          </w:rPr>
                        </w:pPr>
                        <w:r>
                          <w:rPr>
                            <w:rFonts w:ascii="Calibri"/>
                            <w:w w:val="105"/>
                            <w:sz w:val="11"/>
                          </w:rPr>
                          <w:t>27</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hAnsi="Calibri"/>
                            <w:sz w:val="11"/>
                          </w:rPr>
                        </w:pPr>
                        <w:r>
                          <w:rPr>
                            <w:rFonts w:ascii="Calibri" w:hAnsi="Calibri"/>
                            <w:w w:val="105"/>
                            <w:sz w:val="11"/>
                          </w:rPr>
                          <w:t>Superficie de donación al municipio de condominios</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24"/>
                          <w:rPr>
                            <w:rFonts w:ascii="Calibri"/>
                            <w:sz w:val="11"/>
                          </w:rPr>
                        </w:pPr>
                        <w:r>
                          <w:rPr>
                            <w:rFonts w:ascii="Calibri"/>
                            <w:w w:val="105"/>
                            <w:sz w:val="11"/>
                          </w:rPr>
                          <w:t>28</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hAnsi="Calibri"/>
                            <w:sz w:val="11"/>
                          </w:rPr>
                        </w:pPr>
                        <w:r>
                          <w:rPr>
                            <w:rFonts w:ascii="Calibri" w:hAnsi="Calibri"/>
                            <w:w w:val="105"/>
                            <w:sz w:val="11"/>
                          </w:rPr>
                          <w:t>Superficie de donación al Estado de conjuntos urbanos</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24"/>
                          <w:rPr>
                            <w:rFonts w:ascii="Calibri"/>
                            <w:sz w:val="11"/>
                          </w:rPr>
                        </w:pPr>
                        <w:r>
                          <w:rPr>
                            <w:rFonts w:ascii="Calibri"/>
                            <w:w w:val="105"/>
                            <w:sz w:val="11"/>
                          </w:rPr>
                          <w:t>29</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hAnsi="Calibri"/>
                            <w:sz w:val="11"/>
                          </w:rPr>
                        </w:pPr>
                        <w:r>
                          <w:rPr>
                            <w:rFonts w:ascii="Calibri" w:hAnsi="Calibri"/>
                            <w:w w:val="105"/>
                            <w:sz w:val="11"/>
                          </w:rPr>
                          <w:t>Superficie de donación al Estado de condominios</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24"/>
                          <w:rPr>
                            <w:rFonts w:ascii="Calibri"/>
                            <w:sz w:val="11"/>
                          </w:rPr>
                        </w:pPr>
                        <w:r>
                          <w:rPr>
                            <w:rFonts w:ascii="Calibri"/>
                            <w:w w:val="105"/>
                            <w:sz w:val="11"/>
                          </w:rPr>
                          <w:t>30</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hAnsi="Calibri"/>
                            <w:sz w:val="11"/>
                          </w:rPr>
                        </w:pPr>
                        <w:r>
                          <w:rPr>
                            <w:rFonts w:ascii="Calibri" w:hAnsi="Calibri"/>
                            <w:w w:val="105"/>
                            <w:sz w:val="11"/>
                          </w:rPr>
                          <w:t>Superficie de vías publicas de conjuntos urbanos</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24"/>
                          <w:rPr>
                            <w:rFonts w:ascii="Calibri"/>
                            <w:sz w:val="11"/>
                          </w:rPr>
                        </w:pPr>
                        <w:r>
                          <w:rPr>
                            <w:rFonts w:ascii="Calibri"/>
                            <w:w w:val="105"/>
                            <w:sz w:val="11"/>
                          </w:rPr>
                          <w:t>31</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hAnsi="Calibri"/>
                            <w:sz w:val="11"/>
                          </w:rPr>
                        </w:pPr>
                        <w:r>
                          <w:rPr>
                            <w:rFonts w:ascii="Calibri" w:hAnsi="Calibri"/>
                            <w:w w:val="105"/>
                            <w:sz w:val="11"/>
                          </w:rPr>
                          <w:t>Superficie de vías publicas de condominios</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24"/>
                          <w:rPr>
                            <w:rFonts w:ascii="Calibri"/>
                            <w:sz w:val="11"/>
                          </w:rPr>
                        </w:pPr>
                        <w:r>
                          <w:rPr>
                            <w:rFonts w:ascii="Calibri"/>
                            <w:w w:val="105"/>
                            <w:sz w:val="11"/>
                          </w:rPr>
                          <w:t>32</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jc w:val="left"/>
                          <w:rPr>
                            <w:rFonts w:ascii="Calibri" w:hAnsi="Calibri"/>
                            <w:sz w:val="11"/>
                          </w:rPr>
                        </w:pPr>
                        <w:r>
                          <w:rPr>
                            <w:rFonts w:ascii="Calibri" w:hAnsi="Calibri"/>
                            <w:w w:val="105"/>
                            <w:sz w:val="11"/>
                          </w:rPr>
                          <w:t>Costo de la vivienda estipulado en la autorización de conjuntos urbanos (gaceta)</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24"/>
                          <w:rPr>
                            <w:rFonts w:ascii="Calibri"/>
                            <w:sz w:val="11"/>
                          </w:rPr>
                        </w:pPr>
                        <w:r>
                          <w:rPr>
                            <w:rFonts w:ascii="Calibri"/>
                            <w:w w:val="105"/>
                            <w:sz w:val="11"/>
                          </w:rPr>
                          <w:t>33</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hAnsi="Calibri"/>
                            <w:sz w:val="11"/>
                          </w:rPr>
                        </w:pPr>
                        <w:r>
                          <w:rPr>
                            <w:rFonts w:ascii="Calibri" w:hAnsi="Calibri"/>
                            <w:w w:val="105"/>
                            <w:sz w:val="11"/>
                          </w:rPr>
                          <w:t>Costo de la vivienda en condominios (con base a código)</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24"/>
                          <w:rPr>
                            <w:rFonts w:ascii="Calibri"/>
                            <w:sz w:val="11"/>
                          </w:rPr>
                        </w:pPr>
                        <w:r>
                          <w:rPr>
                            <w:rFonts w:ascii="Calibri"/>
                            <w:w w:val="105"/>
                            <w:sz w:val="11"/>
                          </w:rPr>
                          <w:t>34</w:t>
                        </w:r>
                      </w:p>
                    </w:tc>
                    <w:tc>
                      <w:tcPr>
                        <w:tcW w:w="630" w:type="dxa"/>
                        <w:tcBorders>
                          <w:top w:val="nil"/>
                          <w:left w:val="nil"/>
                          <w:bottom w:val="nil"/>
                          <w:right w:val="nil"/>
                        </w:tcBorders>
                      </w:tcPr>
                      <w:p>
                        <w:pPr>
                          <w:pStyle w:val="TableParagraph"/>
                          <w:spacing w:line="133" w:lineRule="exact"/>
                          <w:ind w:left="34" w:right="38"/>
                          <w:rPr>
                            <w:rFonts w:ascii="Calibri" w:hAnsi="Calibri"/>
                            <w:sz w:val="11"/>
                          </w:rPr>
                        </w:pPr>
                        <w:r>
                          <w:rPr>
                            <w:rFonts w:ascii="Calibri" w:hAnsi="Calibri"/>
                            <w:w w:val="105"/>
                            <w:sz w:val="11"/>
                          </w:rPr>
                          <w:t>económico</w:t>
                        </w: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Costo de la vivienda a la venta de cunjunto urbano (encuesta/muestra)</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24"/>
                          <w:rPr>
                            <w:rFonts w:ascii="Calibri"/>
                            <w:sz w:val="11"/>
                          </w:rPr>
                        </w:pPr>
                        <w:r>
                          <w:rPr>
                            <w:rFonts w:ascii="Calibri"/>
                            <w:w w:val="105"/>
                            <w:sz w:val="11"/>
                          </w:rPr>
                          <w:t>35</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Costo de la vivienda a la venta de condominio (encuesta/muestra)</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24"/>
                          <w:rPr>
                            <w:rFonts w:ascii="Calibri"/>
                            <w:sz w:val="11"/>
                          </w:rPr>
                        </w:pPr>
                        <w:r>
                          <w:rPr>
                            <w:rFonts w:ascii="Calibri"/>
                            <w:w w:val="105"/>
                            <w:sz w:val="11"/>
                          </w:rPr>
                          <w:t>36</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jc w:val="left"/>
                          <w:rPr>
                            <w:rFonts w:ascii="Calibri" w:hAnsi="Calibri"/>
                            <w:sz w:val="11"/>
                          </w:rPr>
                        </w:pPr>
                        <w:r>
                          <w:rPr>
                            <w:rFonts w:ascii="Calibri" w:hAnsi="Calibri"/>
                            <w:w w:val="105"/>
                            <w:sz w:val="11"/>
                          </w:rPr>
                          <w:t>Coto de producción de la vivienda (valor incrementos y obtención de la información)</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24"/>
                          <w:rPr>
                            <w:rFonts w:ascii="Calibri"/>
                            <w:sz w:val="11"/>
                          </w:rPr>
                        </w:pPr>
                        <w:r>
                          <w:rPr>
                            <w:rFonts w:ascii="Calibri"/>
                            <w:w w:val="105"/>
                            <w:sz w:val="11"/>
                          </w:rPr>
                          <w:t>37</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Superficie total del territorio</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24"/>
                          <w:rPr>
                            <w:rFonts w:ascii="Calibri"/>
                            <w:sz w:val="11"/>
                          </w:rPr>
                        </w:pPr>
                        <w:r>
                          <w:rPr>
                            <w:rFonts w:ascii="Calibri"/>
                            <w:w w:val="105"/>
                            <w:sz w:val="11"/>
                          </w:rPr>
                          <w:t>38</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Superficie total habitacional del territorio</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24"/>
                          <w:rPr>
                            <w:rFonts w:ascii="Calibri"/>
                            <w:sz w:val="11"/>
                          </w:rPr>
                        </w:pPr>
                        <w:r>
                          <w:rPr>
                            <w:rFonts w:ascii="Calibri"/>
                            <w:w w:val="105"/>
                            <w:sz w:val="11"/>
                          </w:rPr>
                          <w:t>39</w:t>
                        </w:r>
                      </w:p>
                    </w:tc>
                    <w:tc>
                      <w:tcPr>
                        <w:tcW w:w="630" w:type="dxa"/>
                        <w:tcBorders>
                          <w:top w:val="nil"/>
                          <w:left w:val="nil"/>
                          <w:bottom w:val="nil"/>
                          <w:right w:val="nil"/>
                        </w:tcBorders>
                      </w:tcPr>
                      <w:p>
                        <w:pPr>
                          <w:pStyle w:val="TableParagraph"/>
                          <w:spacing w:line="133" w:lineRule="exact"/>
                          <w:ind w:left="34" w:right="30"/>
                          <w:rPr>
                            <w:rFonts w:ascii="Calibri"/>
                            <w:sz w:val="11"/>
                          </w:rPr>
                        </w:pPr>
                        <w:r>
                          <w:rPr>
                            <w:rFonts w:ascii="Calibri"/>
                            <w:w w:val="105"/>
                            <w:sz w:val="11"/>
                          </w:rPr>
                          <w:t>territorial</w:t>
                        </w: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Superficie total utilizada para vivienda formal</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24"/>
                          <w:rPr>
                            <w:rFonts w:ascii="Calibri"/>
                            <w:sz w:val="11"/>
                          </w:rPr>
                        </w:pPr>
                        <w:r>
                          <w:rPr>
                            <w:rFonts w:ascii="Calibri"/>
                            <w:w w:val="105"/>
                            <w:sz w:val="11"/>
                          </w:rPr>
                          <w:t>40</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Superficie total utilizada para vivienda informal</w:t>
                        </w:r>
                      </w:p>
                    </w:tc>
                  </w:tr>
                  <w:tr>
                    <w:trPr>
                      <w:trHeight w:val="141" w:hRule="exact"/>
                    </w:trPr>
                    <w:tc>
                      <w:tcPr>
                        <w:tcW w:w="775" w:type="dxa"/>
                        <w:tcBorders>
                          <w:top w:val="nil"/>
                          <w:bottom w:val="single" w:sz="4" w:space="0" w:color="BFBFBF"/>
                          <w:right w:val="nil"/>
                        </w:tcBorders>
                      </w:tcPr>
                      <w:p>
                        <w:pPr/>
                      </w:p>
                    </w:tc>
                    <w:tc>
                      <w:tcPr>
                        <w:tcW w:w="246" w:type="dxa"/>
                        <w:tcBorders>
                          <w:top w:val="nil"/>
                          <w:left w:val="nil"/>
                          <w:bottom w:val="single" w:sz="4" w:space="0" w:color="BFBFBF"/>
                          <w:right w:val="nil"/>
                        </w:tcBorders>
                      </w:tcPr>
                      <w:p>
                        <w:pPr>
                          <w:pStyle w:val="TableParagraph"/>
                          <w:spacing w:line="133" w:lineRule="exact"/>
                          <w:ind w:left="7" w:right="24"/>
                          <w:rPr>
                            <w:rFonts w:ascii="Calibri"/>
                            <w:sz w:val="11"/>
                          </w:rPr>
                        </w:pPr>
                        <w:r>
                          <w:rPr>
                            <w:rFonts w:ascii="Calibri"/>
                            <w:w w:val="105"/>
                            <w:sz w:val="11"/>
                          </w:rPr>
                          <w:t>41</w:t>
                        </w:r>
                      </w:p>
                    </w:tc>
                    <w:tc>
                      <w:tcPr>
                        <w:tcW w:w="630" w:type="dxa"/>
                        <w:tcBorders>
                          <w:top w:val="nil"/>
                          <w:left w:val="nil"/>
                          <w:bottom w:val="single" w:sz="4" w:space="0" w:color="BFBFBF"/>
                          <w:right w:val="nil"/>
                        </w:tcBorders>
                      </w:tcPr>
                      <w:p>
                        <w:pPr/>
                      </w:p>
                    </w:tc>
                    <w:tc>
                      <w:tcPr>
                        <w:tcW w:w="4716" w:type="dxa"/>
                        <w:tcBorders>
                          <w:top w:val="nil"/>
                          <w:left w:val="nil"/>
                          <w:bottom w:val="single" w:sz="4" w:space="0" w:color="BFBFBF"/>
                          <w:right w:val="single" w:sz="8" w:space="0" w:color="000000"/>
                        </w:tcBorders>
                      </w:tcPr>
                      <w:p>
                        <w:pPr>
                          <w:pStyle w:val="TableParagraph"/>
                          <w:spacing w:line="133" w:lineRule="exact"/>
                          <w:ind w:left="62" w:right="1264"/>
                          <w:jc w:val="left"/>
                          <w:rPr>
                            <w:rFonts w:ascii="Calibri"/>
                            <w:sz w:val="11"/>
                          </w:rPr>
                        </w:pPr>
                        <w:r>
                          <w:rPr>
                            <w:rFonts w:ascii="Calibri"/>
                            <w:w w:val="105"/>
                            <w:sz w:val="11"/>
                          </w:rPr>
                          <w:t>Superficie total de reserva para uso habitacional</w:t>
                        </w:r>
                      </w:p>
                    </w:tc>
                  </w:tr>
                  <w:tr>
                    <w:trPr>
                      <w:trHeight w:val="144" w:hRule="exact"/>
                    </w:trPr>
                    <w:tc>
                      <w:tcPr>
                        <w:tcW w:w="775" w:type="dxa"/>
                        <w:tcBorders>
                          <w:top w:val="single" w:sz="4" w:space="0" w:color="BFBFBF"/>
                          <w:bottom w:val="nil"/>
                          <w:right w:val="nil"/>
                        </w:tcBorders>
                      </w:tcPr>
                      <w:p>
                        <w:pPr/>
                      </w:p>
                    </w:tc>
                    <w:tc>
                      <w:tcPr>
                        <w:tcW w:w="246" w:type="dxa"/>
                        <w:tcBorders>
                          <w:top w:val="single" w:sz="4" w:space="0" w:color="BFBFBF"/>
                          <w:left w:val="nil"/>
                          <w:bottom w:val="nil"/>
                          <w:right w:val="nil"/>
                        </w:tcBorders>
                      </w:tcPr>
                      <w:p>
                        <w:pPr>
                          <w:pStyle w:val="TableParagraph"/>
                          <w:spacing w:line="129" w:lineRule="exact"/>
                          <w:ind w:left="7" w:right="42"/>
                          <w:rPr>
                            <w:rFonts w:ascii="Calibri"/>
                            <w:sz w:val="11"/>
                          </w:rPr>
                        </w:pPr>
                        <w:r>
                          <w:rPr>
                            <w:rFonts w:ascii="Calibri"/>
                            <w:w w:val="105"/>
                            <w:sz w:val="11"/>
                          </w:rPr>
                          <w:t>42</w:t>
                        </w:r>
                      </w:p>
                    </w:tc>
                    <w:tc>
                      <w:tcPr>
                        <w:tcW w:w="630" w:type="dxa"/>
                        <w:tcBorders>
                          <w:top w:val="single" w:sz="4" w:space="0" w:color="BFBFBF"/>
                          <w:left w:val="nil"/>
                          <w:bottom w:val="nil"/>
                          <w:right w:val="nil"/>
                        </w:tcBorders>
                      </w:tcPr>
                      <w:p>
                        <w:pPr/>
                      </w:p>
                    </w:tc>
                    <w:tc>
                      <w:tcPr>
                        <w:tcW w:w="4716" w:type="dxa"/>
                        <w:tcBorders>
                          <w:top w:val="single" w:sz="4" w:space="0" w:color="BFBFBF"/>
                          <w:left w:val="nil"/>
                          <w:bottom w:val="nil"/>
                          <w:right w:val="single" w:sz="8" w:space="0" w:color="000000"/>
                        </w:tcBorders>
                      </w:tcPr>
                      <w:p>
                        <w:pPr>
                          <w:pStyle w:val="TableParagraph"/>
                          <w:spacing w:line="129" w:lineRule="exact"/>
                          <w:ind w:left="62" w:right="1264"/>
                          <w:jc w:val="left"/>
                          <w:rPr>
                            <w:rFonts w:ascii="Calibri"/>
                            <w:sz w:val="11"/>
                          </w:rPr>
                        </w:pPr>
                        <w:r>
                          <w:rPr>
                            <w:rFonts w:ascii="Calibri"/>
                            <w:w w:val="105"/>
                            <w:sz w:val="11"/>
                          </w:rPr>
                          <w:t>Perfil del jefe de familia: edad</w:t>
                        </w:r>
                      </w:p>
                    </w:tc>
                  </w:tr>
                  <w:tr>
                    <w:trPr>
                      <w:trHeight w:val="285"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46"/>
                          <w:jc w:val="left"/>
                          <w:rPr>
                            <w:rFonts w:ascii="Calibri"/>
                            <w:sz w:val="11"/>
                          </w:rPr>
                        </w:pPr>
                        <w:r>
                          <w:rPr>
                            <w:rFonts w:ascii="Calibri"/>
                            <w:w w:val="105"/>
                            <w:sz w:val="11"/>
                          </w:rPr>
                          <w:t>43</w:t>
                        </w:r>
                      </w:p>
                      <w:p>
                        <w:pPr>
                          <w:pStyle w:val="TableParagraph"/>
                          <w:spacing w:before="8"/>
                          <w:ind w:left="46"/>
                          <w:jc w:val="left"/>
                          <w:rPr>
                            <w:rFonts w:ascii="Calibri"/>
                            <w:sz w:val="11"/>
                          </w:rPr>
                        </w:pPr>
                        <w:r>
                          <w:rPr>
                            <w:rFonts w:ascii="Calibri"/>
                            <w:w w:val="105"/>
                            <w:sz w:val="11"/>
                          </w:rPr>
                          <w:t>44</w:t>
                        </w:r>
                      </w:p>
                    </w:tc>
                    <w:tc>
                      <w:tcPr>
                        <w:tcW w:w="630" w:type="dxa"/>
                        <w:tcBorders>
                          <w:top w:val="nil"/>
                          <w:left w:val="nil"/>
                          <w:bottom w:val="nil"/>
                          <w:right w:val="nil"/>
                        </w:tcBorders>
                      </w:tcPr>
                      <w:p>
                        <w:pPr>
                          <w:pStyle w:val="TableParagraph"/>
                          <w:spacing w:before="65"/>
                          <w:ind w:left="30" w:right="38"/>
                          <w:rPr>
                            <w:rFonts w:ascii="Calibri"/>
                            <w:sz w:val="11"/>
                          </w:rPr>
                        </w:pPr>
                        <w:r>
                          <w:rPr>
                            <w:rFonts w:ascii="Calibri"/>
                            <w:w w:val="105"/>
                            <w:sz w:val="11"/>
                          </w:rPr>
                          <w:t>social</w:t>
                        </w:r>
                      </w:p>
                    </w:tc>
                    <w:tc>
                      <w:tcPr>
                        <w:tcW w:w="4716" w:type="dxa"/>
                        <w:tcBorders>
                          <w:top w:val="nil"/>
                          <w:left w:val="nil"/>
                          <w:bottom w:val="nil"/>
                          <w:right w:val="single" w:sz="8" w:space="0" w:color="000000"/>
                        </w:tcBorders>
                      </w:tcPr>
                      <w:p>
                        <w:pPr>
                          <w:pStyle w:val="TableParagraph"/>
                          <w:spacing w:line="254" w:lineRule="auto"/>
                          <w:ind w:left="62" w:right="2715"/>
                          <w:jc w:val="left"/>
                          <w:rPr>
                            <w:rFonts w:ascii="Calibri"/>
                            <w:sz w:val="11"/>
                          </w:rPr>
                        </w:pPr>
                        <w:r>
                          <w:rPr>
                            <w:rFonts w:ascii="Calibri"/>
                            <w:w w:val="105"/>
                            <w:sz w:val="11"/>
                          </w:rPr>
                          <w:t>Perfil del jefe de familia: escolaridad Perfil del jefe de familia: sexo</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42"/>
                          <w:rPr>
                            <w:rFonts w:ascii="Calibri"/>
                            <w:sz w:val="11"/>
                          </w:rPr>
                        </w:pPr>
                        <w:r>
                          <w:rPr>
                            <w:rFonts w:ascii="Calibri"/>
                            <w:w w:val="105"/>
                            <w:sz w:val="11"/>
                          </w:rPr>
                          <w:t>45</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hAnsi="Calibri"/>
                            <w:sz w:val="11"/>
                          </w:rPr>
                        </w:pPr>
                        <w:r>
                          <w:rPr>
                            <w:rFonts w:ascii="Calibri" w:hAnsi="Calibri"/>
                            <w:w w:val="105"/>
                            <w:sz w:val="11"/>
                          </w:rPr>
                          <w:t>Número de integrantes de la familia</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42"/>
                          <w:rPr>
                            <w:rFonts w:ascii="Calibri"/>
                            <w:sz w:val="11"/>
                          </w:rPr>
                        </w:pPr>
                        <w:r>
                          <w:rPr>
                            <w:rFonts w:ascii="Calibri"/>
                            <w:w w:val="105"/>
                            <w:sz w:val="11"/>
                          </w:rPr>
                          <w:t>46</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hAnsi="Calibri"/>
                            <w:sz w:val="11"/>
                          </w:rPr>
                        </w:pPr>
                        <w:r>
                          <w:rPr>
                            <w:rFonts w:ascii="Calibri" w:hAnsi="Calibri"/>
                            <w:w w:val="105"/>
                            <w:sz w:val="11"/>
                          </w:rPr>
                          <w:t>Número de personas que aportan ingresos al gasto familiar</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42"/>
                          <w:rPr>
                            <w:rFonts w:ascii="Calibri"/>
                            <w:sz w:val="11"/>
                          </w:rPr>
                        </w:pPr>
                        <w:r>
                          <w:rPr>
                            <w:rFonts w:ascii="Calibri"/>
                            <w:w w:val="105"/>
                            <w:sz w:val="11"/>
                          </w:rPr>
                          <w:t>47</w:t>
                        </w:r>
                      </w:p>
                    </w:tc>
                    <w:tc>
                      <w:tcPr>
                        <w:tcW w:w="630" w:type="dxa"/>
                        <w:tcBorders>
                          <w:top w:val="nil"/>
                          <w:left w:val="nil"/>
                          <w:bottom w:val="nil"/>
                          <w:right w:val="nil"/>
                        </w:tcBorders>
                      </w:tcPr>
                      <w:p>
                        <w:pPr>
                          <w:pStyle w:val="TableParagraph"/>
                          <w:spacing w:line="133" w:lineRule="exact"/>
                          <w:ind w:left="34" w:right="38"/>
                          <w:rPr>
                            <w:rFonts w:ascii="Calibri" w:hAnsi="Calibri"/>
                            <w:sz w:val="11"/>
                          </w:rPr>
                        </w:pPr>
                        <w:r>
                          <w:rPr>
                            <w:rFonts w:ascii="Calibri" w:hAnsi="Calibri"/>
                            <w:w w:val="105"/>
                            <w:sz w:val="11"/>
                          </w:rPr>
                          <w:t>económico</w:t>
                        </w: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Ingreso aportado por el jefe de familia</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42"/>
                          <w:rPr>
                            <w:rFonts w:ascii="Calibri"/>
                            <w:sz w:val="11"/>
                          </w:rPr>
                        </w:pPr>
                        <w:r>
                          <w:rPr>
                            <w:rFonts w:ascii="Calibri"/>
                            <w:w w:val="105"/>
                            <w:sz w:val="11"/>
                          </w:rPr>
                          <w:t>48</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Ingreso aportado por otro miembro de la familia</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42"/>
                          <w:rPr>
                            <w:rFonts w:ascii="Calibri"/>
                            <w:sz w:val="11"/>
                          </w:rPr>
                        </w:pPr>
                        <w:r>
                          <w:rPr>
                            <w:rFonts w:ascii="Calibri"/>
                            <w:w w:val="105"/>
                            <w:sz w:val="11"/>
                          </w:rPr>
                          <w:t>49</w:t>
                        </w:r>
                      </w:p>
                    </w:tc>
                    <w:tc>
                      <w:tcPr>
                        <w:tcW w:w="630" w:type="dxa"/>
                        <w:tcBorders>
                          <w:top w:val="nil"/>
                          <w:left w:val="nil"/>
                          <w:bottom w:val="nil"/>
                          <w:right w:val="nil"/>
                        </w:tcBorders>
                      </w:tcPr>
                      <w:p>
                        <w:pPr>
                          <w:pStyle w:val="TableParagraph"/>
                          <w:spacing w:line="133" w:lineRule="exact"/>
                          <w:ind w:left="30" w:right="38"/>
                          <w:rPr>
                            <w:rFonts w:ascii="Calibri"/>
                            <w:sz w:val="11"/>
                          </w:rPr>
                        </w:pPr>
                        <w:r>
                          <w:rPr>
                            <w:rFonts w:ascii="Calibri"/>
                            <w:w w:val="105"/>
                            <w:sz w:val="11"/>
                          </w:rPr>
                          <w:t>social</w:t>
                        </w: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hAnsi="Calibri"/>
                            <w:sz w:val="11"/>
                          </w:rPr>
                        </w:pPr>
                        <w:r>
                          <w:rPr>
                            <w:rFonts w:ascii="Calibri" w:hAnsi="Calibri"/>
                            <w:w w:val="105"/>
                            <w:sz w:val="11"/>
                          </w:rPr>
                          <w:t>Distribución del gasto familiar</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42"/>
                          <w:rPr>
                            <w:rFonts w:ascii="Calibri"/>
                            <w:sz w:val="11"/>
                          </w:rPr>
                        </w:pPr>
                        <w:r>
                          <w:rPr>
                            <w:rFonts w:ascii="Calibri"/>
                            <w:w w:val="105"/>
                            <w:sz w:val="11"/>
                          </w:rPr>
                          <w:t>50</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hAnsi="Calibri"/>
                            <w:sz w:val="11"/>
                          </w:rPr>
                        </w:pPr>
                        <w:r>
                          <w:rPr>
                            <w:rFonts w:ascii="Calibri" w:hAnsi="Calibri"/>
                            <w:w w:val="105"/>
                            <w:sz w:val="11"/>
                          </w:rPr>
                          <w:t>Situación de propiedad de la vivienda</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42"/>
                          <w:rPr>
                            <w:rFonts w:ascii="Calibri"/>
                            <w:sz w:val="11"/>
                          </w:rPr>
                        </w:pPr>
                        <w:r>
                          <w:rPr>
                            <w:rFonts w:ascii="Calibri"/>
                            <w:w w:val="105"/>
                            <w:sz w:val="11"/>
                          </w:rPr>
                          <w:t>51</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hAnsi="Calibri"/>
                            <w:sz w:val="11"/>
                          </w:rPr>
                        </w:pPr>
                        <w:r>
                          <w:rPr>
                            <w:rFonts w:ascii="Calibri" w:hAnsi="Calibri"/>
                            <w:w w:val="105"/>
                            <w:sz w:val="11"/>
                          </w:rPr>
                          <w:t>Institución creticia otorgante</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42"/>
                          <w:rPr>
                            <w:rFonts w:ascii="Calibri"/>
                            <w:sz w:val="11"/>
                          </w:rPr>
                        </w:pPr>
                        <w:r>
                          <w:rPr>
                            <w:rFonts w:ascii="Calibri"/>
                            <w:w w:val="105"/>
                            <w:sz w:val="11"/>
                          </w:rPr>
                          <w:t>52</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Tipo de cedito otorgado</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42"/>
                          <w:rPr>
                            <w:rFonts w:ascii="Calibri"/>
                            <w:sz w:val="11"/>
                          </w:rPr>
                        </w:pPr>
                        <w:r>
                          <w:rPr>
                            <w:rFonts w:ascii="Calibri"/>
                            <w:w w:val="105"/>
                            <w:sz w:val="11"/>
                          </w:rPr>
                          <w:t>53</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Monto de pago del credito</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42"/>
                          <w:rPr>
                            <w:rFonts w:ascii="Calibri"/>
                            <w:sz w:val="11"/>
                          </w:rPr>
                        </w:pPr>
                        <w:r>
                          <w:rPr>
                            <w:rFonts w:ascii="Calibri"/>
                            <w:w w:val="105"/>
                            <w:sz w:val="11"/>
                          </w:rPr>
                          <w:t>54</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hAnsi="Calibri"/>
                            <w:sz w:val="11"/>
                          </w:rPr>
                        </w:pPr>
                        <w:r>
                          <w:rPr>
                            <w:rFonts w:ascii="Calibri" w:hAnsi="Calibri"/>
                            <w:w w:val="105"/>
                            <w:sz w:val="11"/>
                          </w:rPr>
                          <w:t>Situación del pago del credito</w:t>
                        </w:r>
                      </w:p>
                    </w:tc>
                  </w:tr>
                  <w:tr>
                    <w:trPr>
                      <w:trHeight w:val="285"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46"/>
                          <w:jc w:val="left"/>
                          <w:rPr>
                            <w:rFonts w:ascii="Calibri"/>
                            <w:sz w:val="11"/>
                          </w:rPr>
                        </w:pPr>
                        <w:r>
                          <w:rPr>
                            <w:rFonts w:ascii="Calibri"/>
                            <w:w w:val="105"/>
                            <w:sz w:val="11"/>
                          </w:rPr>
                          <w:t>55</w:t>
                        </w:r>
                      </w:p>
                      <w:p>
                        <w:pPr>
                          <w:pStyle w:val="TableParagraph"/>
                          <w:spacing w:before="8"/>
                          <w:ind w:left="46"/>
                          <w:jc w:val="left"/>
                          <w:rPr>
                            <w:rFonts w:ascii="Calibri"/>
                            <w:sz w:val="11"/>
                          </w:rPr>
                        </w:pPr>
                        <w:r>
                          <w:rPr>
                            <w:rFonts w:ascii="Calibri"/>
                            <w:w w:val="105"/>
                            <w:sz w:val="11"/>
                          </w:rPr>
                          <w:t>56</w:t>
                        </w:r>
                      </w:p>
                    </w:tc>
                    <w:tc>
                      <w:tcPr>
                        <w:tcW w:w="630" w:type="dxa"/>
                        <w:tcBorders>
                          <w:top w:val="nil"/>
                          <w:left w:val="nil"/>
                          <w:bottom w:val="nil"/>
                          <w:right w:val="nil"/>
                        </w:tcBorders>
                      </w:tcPr>
                      <w:p>
                        <w:pPr>
                          <w:pStyle w:val="TableParagraph"/>
                          <w:spacing w:before="65"/>
                          <w:ind w:left="34" w:right="38"/>
                          <w:rPr>
                            <w:rFonts w:ascii="Calibri" w:hAnsi="Calibri"/>
                            <w:sz w:val="11"/>
                          </w:rPr>
                        </w:pPr>
                        <w:r>
                          <w:rPr>
                            <w:rFonts w:ascii="Calibri" w:hAnsi="Calibri"/>
                            <w:w w:val="105"/>
                            <w:sz w:val="11"/>
                          </w:rPr>
                          <w:t>económico</w:t>
                        </w: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Motivo de atraso</w:t>
                        </w:r>
                      </w:p>
                      <w:p>
                        <w:pPr>
                          <w:pStyle w:val="TableParagraph"/>
                          <w:spacing w:before="8"/>
                          <w:ind w:left="62" w:right="1264"/>
                          <w:jc w:val="left"/>
                          <w:rPr>
                            <w:rFonts w:ascii="Calibri"/>
                            <w:sz w:val="11"/>
                          </w:rPr>
                        </w:pPr>
                        <w:r>
                          <w:rPr>
                            <w:rFonts w:ascii="Calibri"/>
                            <w:w w:val="105"/>
                            <w:sz w:val="11"/>
                          </w:rPr>
                          <w:t>Tasa de interes del credito otorgado</w:t>
                        </w:r>
                      </w:p>
                    </w:tc>
                  </w:tr>
                  <w:tr>
                    <w:trPr>
                      <w:trHeight w:val="152" w:hRule="exact"/>
                    </w:trPr>
                    <w:tc>
                      <w:tcPr>
                        <w:tcW w:w="775" w:type="dxa"/>
                        <w:tcBorders>
                          <w:top w:val="nil"/>
                          <w:bottom w:val="nil"/>
                          <w:right w:val="nil"/>
                        </w:tcBorders>
                      </w:tcPr>
                      <w:p>
                        <w:pPr>
                          <w:pStyle w:val="TableParagraph"/>
                          <w:spacing w:before="17"/>
                          <w:ind w:right="6"/>
                          <w:rPr>
                            <w:rFonts w:ascii="Calibri"/>
                            <w:sz w:val="11"/>
                          </w:rPr>
                        </w:pPr>
                        <w:r>
                          <w:rPr>
                            <w:rFonts w:ascii="Calibri"/>
                            <w:w w:val="105"/>
                            <w:sz w:val="11"/>
                          </w:rPr>
                          <w:t>Necesidades de</w:t>
                        </w:r>
                      </w:p>
                    </w:tc>
                    <w:tc>
                      <w:tcPr>
                        <w:tcW w:w="246" w:type="dxa"/>
                        <w:tcBorders>
                          <w:top w:val="nil"/>
                          <w:left w:val="nil"/>
                          <w:bottom w:val="nil"/>
                          <w:right w:val="nil"/>
                        </w:tcBorders>
                      </w:tcPr>
                      <w:p>
                        <w:pPr>
                          <w:pStyle w:val="TableParagraph"/>
                          <w:spacing w:line="133" w:lineRule="exact"/>
                          <w:ind w:left="7" w:right="42"/>
                          <w:rPr>
                            <w:rFonts w:ascii="Calibri"/>
                            <w:sz w:val="11"/>
                          </w:rPr>
                        </w:pPr>
                        <w:r>
                          <w:rPr>
                            <w:rFonts w:ascii="Calibri"/>
                            <w:w w:val="105"/>
                            <w:sz w:val="11"/>
                          </w:rPr>
                          <w:t>57</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Monto de pago de mantenimiento</w:t>
                        </w:r>
                      </w:p>
                    </w:tc>
                  </w:tr>
                  <w:tr>
                    <w:trPr>
                      <w:trHeight w:val="143" w:hRule="exact"/>
                    </w:trPr>
                    <w:tc>
                      <w:tcPr>
                        <w:tcW w:w="775" w:type="dxa"/>
                        <w:tcBorders>
                          <w:top w:val="nil"/>
                          <w:bottom w:val="nil"/>
                          <w:right w:val="nil"/>
                        </w:tcBorders>
                      </w:tcPr>
                      <w:p>
                        <w:pPr>
                          <w:pStyle w:val="TableParagraph"/>
                          <w:spacing w:before="8"/>
                          <w:ind w:left="1" w:right="6"/>
                          <w:rPr>
                            <w:rFonts w:ascii="Calibri"/>
                            <w:sz w:val="11"/>
                          </w:rPr>
                        </w:pPr>
                        <w:r>
                          <w:rPr>
                            <w:rFonts w:ascii="Calibri"/>
                            <w:w w:val="105"/>
                            <w:sz w:val="11"/>
                          </w:rPr>
                          <w:t>la sociedad</w:t>
                        </w:r>
                      </w:p>
                    </w:tc>
                    <w:tc>
                      <w:tcPr>
                        <w:tcW w:w="246" w:type="dxa"/>
                        <w:tcBorders>
                          <w:top w:val="nil"/>
                          <w:left w:val="nil"/>
                          <w:bottom w:val="nil"/>
                          <w:right w:val="nil"/>
                        </w:tcBorders>
                      </w:tcPr>
                      <w:p>
                        <w:pPr>
                          <w:pStyle w:val="TableParagraph"/>
                          <w:spacing w:line="123" w:lineRule="exact"/>
                          <w:ind w:left="7" w:right="42"/>
                          <w:rPr>
                            <w:rFonts w:ascii="Calibri"/>
                            <w:sz w:val="11"/>
                          </w:rPr>
                        </w:pPr>
                        <w:r>
                          <w:rPr>
                            <w:rFonts w:ascii="Calibri"/>
                            <w:w w:val="105"/>
                            <w:sz w:val="11"/>
                          </w:rPr>
                          <w:t>58</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23" w:lineRule="exact"/>
                          <w:ind w:left="62" w:right="1264"/>
                          <w:jc w:val="left"/>
                          <w:rPr>
                            <w:rFonts w:ascii="Calibri"/>
                            <w:sz w:val="11"/>
                          </w:rPr>
                        </w:pPr>
                        <w:r>
                          <w:rPr>
                            <w:rFonts w:ascii="Calibri"/>
                            <w:w w:val="105"/>
                            <w:sz w:val="11"/>
                          </w:rPr>
                          <w:t>Monto promedio pago de CFE</w:t>
                        </w:r>
                      </w:p>
                    </w:tc>
                  </w:tr>
                  <w:tr>
                    <w:trPr>
                      <w:trHeight w:val="13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23" w:lineRule="exact"/>
                          <w:ind w:left="7" w:right="42"/>
                          <w:rPr>
                            <w:rFonts w:ascii="Calibri"/>
                            <w:sz w:val="11"/>
                          </w:rPr>
                        </w:pPr>
                        <w:r>
                          <w:rPr>
                            <w:rFonts w:ascii="Calibri"/>
                            <w:w w:val="105"/>
                            <w:sz w:val="11"/>
                          </w:rPr>
                          <w:t>59</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23" w:lineRule="exact"/>
                          <w:ind w:left="62" w:right="1264"/>
                          <w:jc w:val="left"/>
                          <w:rPr>
                            <w:rFonts w:ascii="Calibri"/>
                            <w:sz w:val="11"/>
                          </w:rPr>
                        </w:pPr>
                        <w:r>
                          <w:rPr>
                            <w:rFonts w:ascii="Calibri"/>
                            <w:w w:val="105"/>
                            <w:sz w:val="11"/>
                          </w:rPr>
                          <w:t>Monto pago de cable</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42"/>
                          <w:rPr>
                            <w:rFonts w:ascii="Calibri"/>
                            <w:sz w:val="11"/>
                          </w:rPr>
                        </w:pPr>
                        <w:r>
                          <w:rPr>
                            <w:rFonts w:ascii="Calibri"/>
                            <w:w w:val="105"/>
                            <w:sz w:val="11"/>
                          </w:rPr>
                          <w:t>60</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Monto de pago telefono</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42"/>
                          <w:rPr>
                            <w:rFonts w:ascii="Calibri"/>
                            <w:sz w:val="11"/>
                          </w:rPr>
                        </w:pPr>
                        <w:r>
                          <w:rPr>
                            <w:rFonts w:ascii="Calibri"/>
                            <w:w w:val="105"/>
                            <w:sz w:val="11"/>
                          </w:rPr>
                          <w:t>61</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Monto de pago impuesto predial</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42"/>
                          <w:rPr>
                            <w:rFonts w:ascii="Calibri"/>
                            <w:sz w:val="11"/>
                          </w:rPr>
                        </w:pPr>
                        <w:r>
                          <w:rPr>
                            <w:rFonts w:ascii="Calibri"/>
                            <w:w w:val="105"/>
                            <w:sz w:val="11"/>
                          </w:rPr>
                          <w:t>62</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hAnsi="Calibri"/>
                            <w:sz w:val="11"/>
                          </w:rPr>
                        </w:pPr>
                        <w:r>
                          <w:rPr>
                            <w:rFonts w:ascii="Calibri" w:hAnsi="Calibri"/>
                            <w:w w:val="105"/>
                            <w:sz w:val="11"/>
                          </w:rPr>
                          <w:t>Criterio de selección de la vivienda</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42"/>
                          <w:rPr>
                            <w:rFonts w:ascii="Calibri"/>
                            <w:sz w:val="11"/>
                          </w:rPr>
                        </w:pPr>
                        <w:r>
                          <w:rPr>
                            <w:rFonts w:ascii="Calibri"/>
                            <w:w w:val="105"/>
                            <w:sz w:val="11"/>
                          </w:rPr>
                          <w:t>63</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Superficie de terreno</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42"/>
                          <w:rPr>
                            <w:rFonts w:ascii="Calibri"/>
                            <w:sz w:val="11"/>
                          </w:rPr>
                        </w:pPr>
                        <w:r>
                          <w:rPr>
                            <w:rFonts w:ascii="Calibri"/>
                            <w:w w:val="105"/>
                            <w:sz w:val="11"/>
                          </w:rPr>
                          <w:t>64</w:t>
                        </w:r>
                      </w:p>
                    </w:tc>
                    <w:tc>
                      <w:tcPr>
                        <w:tcW w:w="630" w:type="dxa"/>
                        <w:tcBorders>
                          <w:top w:val="nil"/>
                          <w:left w:val="nil"/>
                          <w:bottom w:val="nil"/>
                          <w:right w:val="nil"/>
                        </w:tcBorders>
                      </w:tcPr>
                      <w:p>
                        <w:pPr>
                          <w:pStyle w:val="TableParagraph"/>
                          <w:spacing w:line="133" w:lineRule="exact"/>
                          <w:ind w:left="26" w:right="38"/>
                          <w:rPr>
                            <w:rFonts w:ascii="Calibri"/>
                            <w:sz w:val="11"/>
                          </w:rPr>
                        </w:pPr>
                        <w:r>
                          <w:rPr>
                            <w:rFonts w:ascii="Calibri"/>
                            <w:w w:val="105"/>
                            <w:sz w:val="11"/>
                          </w:rPr>
                          <w:t>territorial</w:t>
                        </w: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hAnsi="Calibri"/>
                            <w:sz w:val="11"/>
                          </w:rPr>
                        </w:pPr>
                        <w:r>
                          <w:rPr>
                            <w:rFonts w:ascii="Calibri" w:hAnsi="Calibri"/>
                            <w:w w:val="105"/>
                            <w:sz w:val="11"/>
                          </w:rPr>
                          <w:t>Construcción de la vivienda (m2, espacios)</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42"/>
                          <w:rPr>
                            <w:rFonts w:ascii="Calibri"/>
                            <w:sz w:val="11"/>
                          </w:rPr>
                        </w:pPr>
                        <w:r>
                          <w:rPr>
                            <w:rFonts w:ascii="Calibri"/>
                            <w:w w:val="105"/>
                            <w:sz w:val="11"/>
                          </w:rPr>
                          <w:t>65</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No. de recamaras</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42"/>
                          <w:rPr>
                            <w:rFonts w:ascii="Calibri"/>
                            <w:sz w:val="11"/>
                          </w:rPr>
                        </w:pPr>
                        <w:r>
                          <w:rPr>
                            <w:rFonts w:ascii="Calibri"/>
                            <w:w w:val="105"/>
                            <w:sz w:val="11"/>
                          </w:rPr>
                          <w:t>66</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Instalaciones (si cuenta con agua, energia electrica y gas)</w:t>
                        </w:r>
                      </w:p>
                    </w:tc>
                  </w:tr>
                  <w:tr>
                    <w:trPr>
                      <w:trHeight w:val="285"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46"/>
                          <w:jc w:val="left"/>
                          <w:rPr>
                            <w:rFonts w:ascii="Calibri"/>
                            <w:sz w:val="11"/>
                          </w:rPr>
                        </w:pPr>
                        <w:r>
                          <w:rPr>
                            <w:rFonts w:ascii="Calibri"/>
                            <w:w w:val="105"/>
                            <w:sz w:val="11"/>
                          </w:rPr>
                          <w:t>67</w:t>
                        </w:r>
                      </w:p>
                      <w:p>
                        <w:pPr>
                          <w:pStyle w:val="TableParagraph"/>
                          <w:spacing w:before="8"/>
                          <w:ind w:left="46"/>
                          <w:jc w:val="left"/>
                          <w:rPr>
                            <w:rFonts w:ascii="Calibri"/>
                            <w:sz w:val="11"/>
                          </w:rPr>
                        </w:pPr>
                        <w:r>
                          <w:rPr>
                            <w:rFonts w:ascii="Calibri"/>
                            <w:w w:val="105"/>
                            <w:sz w:val="11"/>
                          </w:rPr>
                          <w:t>68</w:t>
                        </w:r>
                      </w:p>
                    </w:tc>
                    <w:tc>
                      <w:tcPr>
                        <w:tcW w:w="630" w:type="dxa"/>
                        <w:tcBorders>
                          <w:top w:val="nil"/>
                          <w:left w:val="nil"/>
                          <w:bottom w:val="nil"/>
                          <w:right w:val="nil"/>
                        </w:tcBorders>
                      </w:tcPr>
                      <w:p>
                        <w:pPr>
                          <w:pStyle w:val="TableParagraph"/>
                          <w:spacing w:before="65"/>
                          <w:ind w:left="29" w:right="38"/>
                          <w:rPr>
                            <w:rFonts w:ascii="Calibri"/>
                            <w:sz w:val="11"/>
                          </w:rPr>
                        </w:pPr>
                        <w:r>
                          <w:rPr>
                            <w:rFonts w:ascii="Calibri"/>
                            <w:w w:val="105"/>
                            <w:sz w:val="11"/>
                          </w:rPr>
                          <w:t>ambiental</w:t>
                        </w:r>
                      </w:p>
                    </w:tc>
                    <w:tc>
                      <w:tcPr>
                        <w:tcW w:w="4716" w:type="dxa"/>
                        <w:tcBorders>
                          <w:top w:val="nil"/>
                          <w:left w:val="nil"/>
                          <w:bottom w:val="nil"/>
                          <w:right w:val="single" w:sz="8" w:space="0" w:color="000000"/>
                        </w:tcBorders>
                      </w:tcPr>
                      <w:p>
                        <w:pPr>
                          <w:pStyle w:val="TableParagraph"/>
                          <w:spacing w:line="254" w:lineRule="auto"/>
                          <w:ind w:left="62" w:right="1869"/>
                          <w:jc w:val="left"/>
                          <w:rPr>
                            <w:rFonts w:ascii="Calibri" w:hAnsi="Calibri"/>
                            <w:sz w:val="11"/>
                          </w:rPr>
                        </w:pPr>
                        <w:r>
                          <w:rPr>
                            <w:rFonts w:ascii="Calibri" w:hAnsi="Calibri"/>
                            <w:w w:val="105"/>
                            <w:sz w:val="11"/>
                          </w:rPr>
                          <w:t>Infraestructura (descarga de agua, vialidades) Equipamiento (áreas verdes, escuelas y comercios)</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42"/>
                          <w:rPr>
                            <w:rFonts w:ascii="Calibri"/>
                            <w:sz w:val="11"/>
                          </w:rPr>
                        </w:pPr>
                        <w:r>
                          <w:rPr>
                            <w:rFonts w:ascii="Calibri"/>
                            <w:w w:val="105"/>
                            <w:sz w:val="11"/>
                          </w:rPr>
                          <w:t>69</w:t>
                        </w:r>
                      </w:p>
                    </w:tc>
                    <w:tc>
                      <w:tcPr>
                        <w:tcW w:w="630" w:type="dxa"/>
                        <w:tcBorders>
                          <w:top w:val="nil"/>
                          <w:left w:val="nil"/>
                          <w:bottom w:val="nil"/>
                          <w:right w:val="nil"/>
                        </w:tcBorders>
                      </w:tcPr>
                      <w:p>
                        <w:pPr>
                          <w:pStyle w:val="TableParagraph"/>
                          <w:spacing w:line="133" w:lineRule="exact"/>
                          <w:ind w:left="30" w:right="38"/>
                          <w:rPr>
                            <w:rFonts w:ascii="Calibri"/>
                            <w:sz w:val="11"/>
                          </w:rPr>
                        </w:pPr>
                        <w:r>
                          <w:rPr>
                            <w:rFonts w:ascii="Calibri"/>
                            <w:w w:val="105"/>
                            <w:sz w:val="11"/>
                          </w:rPr>
                          <w:t>social</w:t>
                        </w: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sz w:val="11"/>
                          </w:rPr>
                        </w:pPr>
                        <w:r>
                          <w:rPr>
                            <w:rFonts w:ascii="Calibri"/>
                            <w:w w:val="105"/>
                            <w:sz w:val="11"/>
                          </w:rPr>
                          <w:t>Seguridad</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42"/>
                          <w:rPr>
                            <w:rFonts w:ascii="Calibri"/>
                            <w:sz w:val="11"/>
                          </w:rPr>
                        </w:pPr>
                        <w:r>
                          <w:rPr>
                            <w:rFonts w:ascii="Calibri"/>
                            <w:w w:val="105"/>
                            <w:sz w:val="11"/>
                          </w:rPr>
                          <w:t>70</w:t>
                        </w:r>
                      </w:p>
                    </w:tc>
                    <w:tc>
                      <w:tcPr>
                        <w:tcW w:w="630" w:type="dxa"/>
                        <w:tcBorders>
                          <w:top w:val="nil"/>
                          <w:left w:val="nil"/>
                          <w:bottom w:val="nil"/>
                          <w:right w:val="nil"/>
                        </w:tcBorders>
                      </w:tcPr>
                      <w:p>
                        <w:pPr>
                          <w:pStyle w:val="TableParagraph"/>
                          <w:spacing w:line="133" w:lineRule="exact"/>
                          <w:ind w:left="29" w:right="38"/>
                          <w:rPr>
                            <w:rFonts w:ascii="Calibri"/>
                            <w:sz w:val="11"/>
                          </w:rPr>
                        </w:pPr>
                        <w:r>
                          <w:rPr>
                            <w:rFonts w:ascii="Calibri"/>
                            <w:w w:val="105"/>
                            <w:sz w:val="11"/>
                          </w:rPr>
                          <w:t>ambiental</w:t>
                        </w:r>
                      </w:p>
                    </w:tc>
                    <w:tc>
                      <w:tcPr>
                        <w:tcW w:w="4716" w:type="dxa"/>
                        <w:tcBorders>
                          <w:top w:val="nil"/>
                          <w:left w:val="nil"/>
                          <w:bottom w:val="nil"/>
                          <w:right w:val="single" w:sz="8" w:space="0" w:color="000000"/>
                        </w:tcBorders>
                      </w:tcPr>
                      <w:p>
                        <w:pPr>
                          <w:pStyle w:val="TableParagraph"/>
                          <w:spacing w:line="133" w:lineRule="exact"/>
                          <w:ind w:left="62" w:right="1264"/>
                          <w:jc w:val="left"/>
                          <w:rPr>
                            <w:rFonts w:ascii="Calibri" w:hAnsi="Calibri"/>
                            <w:sz w:val="11"/>
                          </w:rPr>
                        </w:pPr>
                        <w:r>
                          <w:rPr>
                            <w:rFonts w:ascii="Calibri" w:hAnsi="Calibri"/>
                            <w:w w:val="105"/>
                            <w:sz w:val="11"/>
                          </w:rPr>
                          <w:t>Diseño ambiental</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42"/>
                          <w:rPr>
                            <w:rFonts w:ascii="Calibri"/>
                            <w:sz w:val="11"/>
                          </w:rPr>
                        </w:pPr>
                        <w:r>
                          <w:rPr>
                            <w:rFonts w:ascii="Calibri"/>
                            <w:w w:val="105"/>
                            <w:sz w:val="11"/>
                          </w:rPr>
                          <w:t>71</w:t>
                        </w:r>
                      </w:p>
                    </w:tc>
                    <w:tc>
                      <w:tcPr>
                        <w:tcW w:w="630" w:type="dxa"/>
                        <w:tcBorders>
                          <w:top w:val="nil"/>
                          <w:left w:val="nil"/>
                          <w:bottom w:val="nil"/>
                          <w:right w:val="nil"/>
                        </w:tcBorders>
                      </w:tcPr>
                      <w:p>
                        <w:pPr/>
                      </w:p>
                    </w:tc>
                    <w:tc>
                      <w:tcPr>
                        <w:tcW w:w="4716" w:type="dxa"/>
                        <w:tcBorders>
                          <w:top w:val="nil"/>
                          <w:left w:val="nil"/>
                          <w:bottom w:val="nil"/>
                          <w:right w:val="single" w:sz="8" w:space="0" w:color="000000"/>
                        </w:tcBorders>
                      </w:tcPr>
                      <w:p>
                        <w:pPr>
                          <w:pStyle w:val="TableParagraph"/>
                          <w:spacing w:line="133" w:lineRule="exact"/>
                          <w:ind w:left="62"/>
                          <w:jc w:val="left"/>
                          <w:rPr>
                            <w:rFonts w:ascii="Calibri" w:hAnsi="Calibri"/>
                            <w:sz w:val="11"/>
                          </w:rPr>
                        </w:pPr>
                        <w:r>
                          <w:rPr>
                            <w:rFonts w:ascii="Calibri" w:hAnsi="Calibri"/>
                            <w:w w:val="105"/>
                            <w:sz w:val="11"/>
                          </w:rPr>
                          <w:t>Ubicación</w:t>
                        </w:r>
                        <w:r>
                          <w:rPr>
                            <w:rFonts w:ascii="Calibri" w:hAnsi="Calibri"/>
                            <w:spacing w:val="-7"/>
                            <w:w w:val="105"/>
                            <w:sz w:val="11"/>
                          </w:rPr>
                          <w:t> </w:t>
                        </w:r>
                        <w:r>
                          <w:rPr>
                            <w:rFonts w:ascii="Calibri" w:hAnsi="Calibri"/>
                            <w:w w:val="105"/>
                            <w:sz w:val="11"/>
                          </w:rPr>
                          <w:t>(distancia</w:t>
                        </w:r>
                        <w:r>
                          <w:rPr>
                            <w:rFonts w:ascii="Calibri" w:hAnsi="Calibri"/>
                            <w:spacing w:val="-7"/>
                            <w:w w:val="105"/>
                            <w:sz w:val="11"/>
                          </w:rPr>
                          <w:t> </w:t>
                        </w:r>
                        <w:r>
                          <w:rPr>
                            <w:rFonts w:ascii="Calibri" w:hAnsi="Calibri"/>
                            <w:w w:val="105"/>
                            <w:sz w:val="11"/>
                          </w:rPr>
                          <w:t>del</w:t>
                        </w:r>
                        <w:r>
                          <w:rPr>
                            <w:rFonts w:ascii="Calibri" w:hAnsi="Calibri"/>
                            <w:spacing w:val="-7"/>
                            <w:w w:val="105"/>
                            <w:sz w:val="11"/>
                          </w:rPr>
                          <w:t> </w:t>
                        </w:r>
                        <w:r>
                          <w:rPr>
                            <w:rFonts w:ascii="Calibri" w:hAnsi="Calibri"/>
                            <w:w w:val="105"/>
                            <w:sz w:val="11"/>
                          </w:rPr>
                          <w:t>trabajo,</w:t>
                        </w:r>
                        <w:r>
                          <w:rPr>
                            <w:rFonts w:ascii="Calibri" w:hAnsi="Calibri"/>
                            <w:spacing w:val="-7"/>
                            <w:w w:val="105"/>
                            <w:sz w:val="11"/>
                          </w:rPr>
                          <w:t> </w:t>
                        </w:r>
                        <w:r>
                          <w:rPr>
                            <w:rFonts w:ascii="Calibri" w:hAnsi="Calibri"/>
                            <w:w w:val="105"/>
                            <w:sz w:val="11"/>
                          </w:rPr>
                          <w:t>escuela,</w:t>
                        </w:r>
                        <w:r>
                          <w:rPr>
                            <w:rFonts w:ascii="Calibri" w:hAnsi="Calibri"/>
                            <w:spacing w:val="-7"/>
                            <w:w w:val="105"/>
                            <w:sz w:val="11"/>
                          </w:rPr>
                          <w:t> </w:t>
                        </w:r>
                        <w:r>
                          <w:rPr>
                            <w:rFonts w:ascii="Calibri" w:hAnsi="Calibri"/>
                            <w:w w:val="105"/>
                            <w:sz w:val="11"/>
                          </w:rPr>
                          <w:t>actividad</w:t>
                        </w:r>
                        <w:r>
                          <w:rPr>
                            <w:rFonts w:ascii="Calibri" w:hAnsi="Calibri"/>
                            <w:spacing w:val="-7"/>
                            <w:w w:val="105"/>
                            <w:sz w:val="11"/>
                          </w:rPr>
                          <w:t> </w:t>
                        </w:r>
                        <w:r>
                          <w:rPr>
                            <w:rFonts w:ascii="Calibri" w:hAnsi="Calibri"/>
                            <w:w w:val="105"/>
                            <w:sz w:val="11"/>
                          </w:rPr>
                          <w:t>deportiva,</w:t>
                        </w:r>
                        <w:r>
                          <w:rPr>
                            <w:rFonts w:ascii="Calibri" w:hAnsi="Calibri"/>
                            <w:spacing w:val="-7"/>
                            <w:w w:val="105"/>
                            <w:sz w:val="11"/>
                          </w:rPr>
                          <w:t> </w:t>
                        </w:r>
                        <w:r>
                          <w:rPr>
                            <w:rFonts w:ascii="Calibri" w:hAnsi="Calibri"/>
                            <w:w w:val="105"/>
                            <w:sz w:val="11"/>
                          </w:rPr>
                          <w:t>amistades,</w:t>
                        </w:r>
                        <w:r>
                          <w:rPr>
                            <w:rFonts w:ascii="Calibri" w:hAnsi="Calibri"/>
                            <w:spacing w:val="-7"/>
                            <w:w w:val="105"/>
                            <w:sz w:val="11"/>
                          </w:rPr>
                          <w:t> </w:t>
                        </w:r>
                        <w:r>
                          <w:rPr>
                            <w:rFonts w:ascii="Calibri" w:hAnsi="Calibri"/>
                            <w:w w:val="105"/>
                            <w:sz w:val="11"/>
                          </w:rPr>
                          <w:t>familiares</w:t>
                        </w:r>
                        <w:r>
                          <w:rPr>
                            <w:rFonts w:ascii="Calibri" w:hAnsi="Calibri"/>
                            <w:spacing w:val="-7"/>
                            <w:w w:val="105"/>
                            <w:sz w:val="11"/>
                          </w:rPr>
                          <w:t> </w:t>
                        </w:r>
                        <w:r>
                          <w:rPr>
                            <w:rFonts w:ascii="Calibri" w:hAnsi="Calibri"/>
                            <w:w w:val="105"/>
                            <w:sz w:val="11"/>
                          </w:rPr>
                          <w:t>y</w:t>
                        </w:r>
                        <w:r>
                          <w:rPr>
                            <w:rFonts w:ascii="Calibri" w:hAnsi="Calibri"/>
                            <w:spacing w:val="-7"/>
                            <w:w w:val="105"/>
                            <w:sz w:val="11"/>
                          </w:rPr>
                          <w:t> </w:t>
                        </w:r>
                        <w:r>
                          <w:rPr>
                            <w:rFonts w:ascii="Calibri" w:hAnsi="Calibri"/>
                            <w:w w:val="105"/>
                            <w:sz w:val="11"/>
                          </w:rPr>
                          <w:t>centro</w:t>
                        </w:r>
                        <w:r>
                          <w:rPr>
                            <w:rFonts w:ascii="Calibri" w:hAnsi="Calibri"/>
                            <w:spacing w:val="-7"/>
                            <w:w w:val="105"/>
                            <w:sz w:val="11"/>
                          </w:rPr>
                          <w:t> </w:t>
                        </w:r>
                        <w:r>
                          <w:rPr>
                            <w:rFonts w:ascii="Calibri" w:hAnsi="Calibri"/>
                            <w:w w:val="105"/>
                            <w:sz w:val="11"/>
                          </w:rPr>
                          <w:t>ciudad)</w:t>
                        </w:r>
                      </w:p>
                    </w:tc>
                  </w:tr>
                  <w:tr>
                    <w:trPr>
                      <w:trHeight w:val="143" w:hRule="exact"/>
                    </w:trPr>
                    <w:tc>
                      <w:tcPr>
                        <w:tcW w:w="775" w:type="dxa"/>
                        <w:tcBorders>
                          <w:top w:val="nil"/>
                          <w:bottom w:val="nil"/>
                          <w:right w:val="nil"/>
                        </w:tcBorders>
                      </w:tcPr>
                      <w:p>
                        <w:pPr/>
                      </w:p>
                    </w:tc>
                    <w:tc>
                      <w:tcPr>
                        <w:tcW w:w="246" w:type="dxa"/>
                        <w:tcBorders>
                          <w:top w:val="nil"/>
                          <w:left w:val="nil"/>
                          <w:bottom w:val="nil"/>
                          <w:right w:val="nil"/>
                        </w:tcBorders>
                      </w:tcPr>
                      <w:p>
                        <w:pPr>
                          <w:pStyle w:val="TableParagraph"/>
                          <w:spacing w:line="133" w:lineRule="exact"/>
                          <w:ind w:left="7" w:right="42"/>
                          <w:rPr>
                            <w:rFonts w:ascii="Calibri"/>
                            <w:sz w:val="11"/>
                          </w:rPr>
                        </w:pPr>
                        <w:r>
                          <w:rPr>
                            <w:rFonts w:ascii="Calibri"/>
                            <w:w w:val="105"/>
                            <w:sz w:val="11"/>
                          </w:rPr>
                          <w:t>72</w:t>
                        </w:r>
                      </w:p>
                    </w:tc>
                    <w:tc>
                      <w:tcPr>
                        <w:tcW w:w="630" w:type="dxa"/>
                        <w:tcBorders>
                          <w:top w:val="nil"/>
                          <w:left w:val="nil"/>
                          <w:bottom w:val="nil"/>
                          <w:right w:val="nil"/>
                        </w:tcBorders>
                      </w:tcPr>
                      <w:p>
                        <w:pPr>
                          <w:pStyle w:val="TableParagraph"/>
                          <w:spacing w:line="133" w:lineRule="exact"/>
                          <w:ind w:left="30" w:right="38"/>
                          <w:rPr>
                            <w:rFonts w:ascii="Calibri"/>
                            <w:sz w:val="11"/>
                          </w:rPr>
                        </w:pPr>
                        <w:r>
                          <w:rPr>
                            <w:rFonts w:ascii="Calibri"/>
                            <w:w w:val="105"/>
                            <w:sz w:val="11"/>
                          </w:rPr>
                          <w:t>social</w:t>
                        </w:r>
                      </w:p>
                    </w:tc>
                    <w:tc>
                      <w:tcPr>
                        <w:tcW w:w="4716" w:type="dxa"/>
                        <w:tcBorders>
                          <w:top w:val="nil"/>
                          <w:left w:val="nil"/>
                          <w:bottom w:val="nil"/>
                          <w:right w:val="single" w:sz="8" w:space="0" w:color="000000"/>
                        </w:tcBorders>
                      </w:tcPr>
                      <w:p>
                        <w:pPr>
                          <w:pStyle w:val="TableParagraph"/>
                          <w:spacing w:line="133" w:lineRule="exact"/>
                          <w:ind w:left="62"/>
                          <w:jc w:val="left"/>
                          <w:rPr>
                            <w:rFonts w:ascii="Calibri" w:hAnsi="Calibri"/>
                            <w:sz w:val="11"/>
                          </w:rPr>
                        </w:pPr>
                        <w:r>
                          <w:rPr>
                            <w:rFonts w:ascii="Calibri" w:hAnsi="Calibri"/>
                            <w:w w:val="105"/>
                            <w:sz w:val="11"/>
                          </w:rPr>
                          <w:t>Nivel de satisfacción de la vivienda (ventilación, ruido, iluminación y comodidad)</w:t>
                        </w:r>
                      </w:p>
                    </w:tc>
                  </w:tr>
                  <w:tr>
                    <w:trPr>
                      <w:trHeight w:val="193" w:hRule="exact"/>
                    </w:trPr>
                    <w:tc>
                      <w:tcPr>
                        <w:tcW w:w="775" w:type="dxa"/>
                        <w:tcBorders>
                          <w:top w:val="nil"/>
                          <w:bottom w:val="single" w:sz="8" w:space="0" w:color="000000"/>
                          <w:right w:val="nil"/>
                        </w:tcBorders>
                      </w:tcPr>
                      <w:p>
                        <w:pPr/>
                      </w:p>
                    </w:tc>
                    <w:tc>
                      <w:tcPr>
                        <w:tcW w:w="246" w:type="dxa"/>
                        <w:tcBorders>
                          <w:top w:val="nil"/>
                          <w:left w:val="nil"/>
                          <w:bottom w:val="single" w:sz="8" w:space="0" w:color="000000"/>
                          <w:right w:val="nil"/>
                        </w:tcBorders>
                      </w:tcPr>
                      <w:p>
                        <w:pPr>
                          <w:pStyle w:val="TableParagraph"/>
                          <w:spacing w:line="133" w:lineRule="exact"/>
                          <w:ind w:left="7" w:right="42"/>
                          <w:rPr>
                            <w:rFonts w:ascii="Calibri"/>
                            <w:sz w:val="11"/>
                          </w:rPr>
                        </w:pPr>
                        <w:r>
                          <w:rPr>
                            <w:rFonts w:ascii="Calibri"/>
                            <w:w w:val="105"/>
                            <w:sz w:val="11"/>
                          </w:rPr>
                          <w:t>73</w:t>
                        </w:r>
                      </w:p>
                    </w:tc>
                    <w:tc>
                      <w:tcPr>
                        <w:tcW w:w="630" w:type="dxa"/>
                        <w:tcBorders>
                          <w:top w:val="nil"/>
                          <w:left w:val="nil"/>
                          <w:bottom w:val="single" w:sz="8" w:space="0" w:color="000000"/>
                          <w:right w:val="nil"/>
                        </w:tcBorders>
                      </w:tcPr>
                      <w:p>
                        <w:pPr/>
                      </w:p>
                    </w:tc>
                    <w:tc>
                      <w:tcPr>
                        <w:tcW w:w="4716" w:type="dxa"/>
                        <w:tcBorders>
                          <w:top w:val="nil"/>
                          <w:left w:val="nil"/>
                          <w:bottom w:val="single" w:sz="8" w:space="0" w:color="000000"/>
                          <w:right w:val="single" w:sz="8" w:space="0" w:color="000000"/>
                        </w:tcBorders>
                      </w:tcPr>
                      <w:p>
                        <w:pPr>
                          <w:pStyle w:val="TableParagraph"/>
                          <w:spacing w:line="133" w:lineRule="exact"/>
                          <w:ind w:left="62" w:right="1264"/>
                          <w:jc w:val="left"/>
                          <w:rPr>
                            <w:rFonts w:ascii="Calibri" w:hAnsi="Calibri"/>
                            <w:sz w:val="11"/>
                          </w:rPr>
                        </w:pPr>
                        <w:r>
                          <w:rPr>
                            <w:rFonts w:ascii="Calibri" w:hAnsi="Calibri"/>
                            <w:w w:val="105"/>
                            <w:sz w:val="11"/>
                          </w:rPr>
                          <w:t>Calificación general de su vivienda</w:t>
                        </w:r>
                      </w:p>
                    </w:tc>
                  </w:tr>
                </w:tbl>
                <w:p>
                  <w:pPr>
                    <w:pStyle w:val="BodyText"/>
                  </w:pPr>
                </w:p>
              </w:txbxContent>
            </v:textbox>
            <w10:wrap type="none"/>
          </v:shape>
        </w:pict>
      </w:r>
      <w:r>
        <w:rPr/>
        <w:t>Tabla 4. Indicadores administrativos para conjuntos urbanos.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9"/>
        </w:rPr>
      </w:pPr>
    </w:p>
    <w:p>
      <w:pPr>
        <w:spacing w:line="500" w:lineRule="atLeast" w:before="0"/>
        <w:ind w:left="1491" w:right="1085" w:firstLine="0"/>
        <w:jc w:val="both"/>
        <w:rPr>
          <w:sz w:val="21"/>
        </w:rPr>
      </w:pPr>
      <w:r>
        <w:rPr>
          <w:w w:val="105"/>
          <w:sz w:val="21"/>
        </w:rPr>
        <w:t>Fuente: Elaboración propia con base en los acuerdos de</w:t>
      </w:r>
      <w:r>
        <w:rPr>
          <w:spacing w:val="-35"/>
          <w:w w:val="105"/>
          <w:sz w:val="21"/>
        </w:rPr>
        <w:t> </w:t>
      </w:r>
      <w:r>
        <w:rPr>
          <w:w w:val="105"/>
          <w:sz w:val="21"/>
        </w:rPr>
        <w:t>autorización de conjuntos urbanos publicados en Gaceta del Gobierno del Estado de México, Tableros de Control e</w:t>
      </w:r>
      <w:r>
        <w:rPr>
          <w:spacing w:val="-23"/>
          <w:w w:val="105"/>
          <w:sz w:val="21"/>
        </w:rPr>
        <w:t> </w:t>
      </w:r>
      <w:r>
        <w:rPr>
          <w:w w:val="105"/>
          <w:sz w:val="21"/>
        </w:rPr>
        <w:t>INEGI.</w:t>
      </w:r>
    </w:p>
    <w:p>
      <w:pPr>
        <w:spacing w:after="0" w:line="500" w:lineRule="atLeast"/>
        <w:jc w:val="both"/>
        <w:rPr>
          <w:sz w:val="21"/>
        </w:rPr>
        <w:sectPr>
          <w:pgSz w:w="12240" w:h="15840"/>
          <w:pgMar w:header="730" w:footer="1066" w:top="1320" w:bottom="1260" w:left="1720" w:right="1180"/>
        </w:sectPr>
      </w:pPr>
    </w:p>
    <w:p>
      <w:pPr>
        <w:pStyle w:val="BodyText"/>
        <w:spacing w:before="1"/>
        <w:rPr>
          <w:sz w:val="18"/>
        </w:rPr>
      </w:pPr>
    </w:p>
    <w:p>
      <w:pPr>
        <w:pStyle w:val="Heading4"/>
        <w:numPr>
          <w:ilvl w:val="1"/>
          <w:numId w:val="8"/>
        </w:numPr>
        <w:tabs>
          <w:tab w:pos="736" w:val="left" w:leader="none"/>
        </w:tabs>
        <w:spacing w:line="240" w:lineRule="auto" w:before="69" w:after="0"/>
        <w:ind w:left="735" w:right="0" w:hanging="467"/>
        <w:jc w:val="both"/>
      </w:pPr>
      <w:r>
        <w:rPr/>
        <w:pict>
          <v:line style="position:absolute;mso-position-horizontal-relative:page;mso-position-vertical-relative:paragraph;z-index:3160" from="93.199997pt,-19.614155pt" to="546.799997pt,-19.614155pt" stroked="true" strokeweight=".479981pt" strokecolor="#000000">
            <w10:wrap type="none"/>
          </v:line>
        </w:pict>
      </w:r>
      <w:r>
        <w:rPr/>
        <w:t>Método de análisis de la sustentabilidad del territorio</w:t>
      </w:r>
    </w:p>
    <w:p>
      <w:pPr>
        <w:pStyle w:val="BodyText"/>
        <w:rPr>
          <w:b/>
        </w:rPr>
      </w:pPr>
    </w:p>
    <w:p>
      <w:pPr>
        <w:pStyle w:val="BodyText"/>
        <w:spacing w:line="360" w:lineRule="auto" w:before="201"/>
        <w:ind w:left="268" w:right="231"/>
        <w:jc w:val="both"/>
      </w:pPr>
      <w:r>
        <w:rPr/>
        <w:t>La investigación es </w:t>
      </w:r>
      <w:r>
        <w:rPr>
          <w:i/>
        </w:rPr>
        <w:t>un conjunto de procesos sistemáticos, críticos y empíricos que </w:t>
      </w:r>
      <w:r>
        <w:rPr>
          <w:i/>
        </w:rPr>
        <w:t>se aplican al estudio de un fenómeno </w:t>
      </w:r>
      <w:r>
        <w:rPr/>
        <w:t>(Sampieri, 2010; 4). Este trabajo trata de  una investigación sobre la sustentabilidad del territorio mediante la producción de vivienda formal que se analiza mediante indicadores de sustentabilidad de dos tipos: cuantitativos y cualitativos, ambos integrados con elementos retomados de las metodologías de investigadores especialistas en el tema de la vivienda y los desarrollos habitacionales, explicado en el capítulo uno y de indicadores  agregados propuestos para el estudio específico de los conjuntos urbanos de tipo habitacional.</w:t>
      </w:r>
    </w:p>
    <w:p>
      <w:pPr>
        <w:pStyle w:val="BodyText"/>
        <w:spacing w:line="360" w:lineRule="auto" w:before="127"/>
        <w:ind w:left="268" w:right="231"/>
        <w:jc w:val="both"/>
      </w:pPr>
      <w:r>
        <w:rPr/>
        <w:t>Para Bunge (1992:24) un método es </w:t>
      </w:r>
      <w:r>
        <w:rPr>
          <w:i/>
        </w:rPr>
        <w:t>un procedimiento para tratar un conjunto de </w:t>
      </w:r>
      <w:r>
        <w:rPr>
          <w:i/>
        </w:rPr>
        <w:t>problemas</w:t>
      </w:r>
      <w:r>
        <w:rPr/>
        <w:t>. Las unidades de análisis en este trabajo son las autorizaciones de conjuntos urbanos de tipo habitacional y sus variables observables que se  reportan en indicadores, es la observación de los elementos con que se trabaja en esta tesis. En este sentido, la observación es un procedimiento empírico básico, y el objeto de la observación es naturalmente un hecho actual, el producto de un acto de observación es un dato que expresa algunos rasgos del resultado.</w:t>
      </w:r>
    </w:p>
    <w:p>
      <w:pPr>
        <w:pStyle w:val="BodyText"/>
        <w:spacing w:line="360" w:lineRule="auto" w:before="122"/>
        <w:ind w:left="268" w:right="231"/>
        <w:jc w:val="both"/>
      </w:pPr>
      <w:r>
        <w:rPr/>
        <w:t>Para Tamayo (2002:39), la investigación científica, como parte fundamental de la ciencia, parte de la realidad, investiga esa realidad, la analiza, formula hipótesis y fundamenta nuevas teorías (…) el conocimiento de la realidad es la mayor garantía para todo proceso investigativo. (Citado en Villasís;</w:t>
      </w:r>
      <w:r>
        <w:rPr>
          <w:spacing w:val="-4"/>
        </w:rPr>
        <w:t> </w:t>
      </w:r>
      <w:r>
        <w:rPr/>
        <w:t>2011)</w:t>
      </w:r>
    </w:p>
    <w:p>
      <w:pPr>
        <w:spacing w:line="360" w:lineRule="auto" w:before="122"/>
        <w:ind w:left="976" w:right="231" w:firstLine="0"/>
        <w:jc w:val="both"/>
        <w:rPr>
          <w:i/>
          <w:sz w:val="24"/>
        </w:rPr>
      </w:pPr>
      <w:r>
        <w:rPr>
          <w:i/>
          <w:sz w:val="24"/>
        </w:rPr>
        <w:t>“Uno de los conceptos clave en esta investigación es la observación, del </w:t>
      </w:r>
      <w:r>
        <w:rPr>
          <w:i/>
          <w:sz w:val="24"/>
        </w:rPr>
        <w:t>verbo observar (Del lat. observāre), examinar atentamente. Retomado el texto de Bunge (1999:729, Citado en Villasís; 2011), al tratar sobre la observabilidad, propone que la observación propiamente dicha puede caracterizarse como una precepción intencionada e ilustrada: intencionada  o deliberada porque se hace con un objeto determinado. Agrega que no hay observación pura, o sea observación sin objeto observado, y que se debe distinguir el acto del producto, el autor proporciona un grupo de   </w:t>
      </w:r>
      <w:r>
        <w:rPr>
          <w:i/>
          <w:spacing w:val="8"/>
          <w:sz w:val="24"/>
        </w:rPr>
        <w:t> </w:t>
      </w:r>
      <w:r>
        <w:rPr>
          <w:i/>
          <w:sz w:val="24"/>
        </w:rPr>
        <w:t>elementos</w:t>
      </w:r>
    </w:p>
    <w:p>
      <w:pPr>
        <w:spacing w:after="0" w:line="360" w:lineRule="auto"/>
        <w:jc w:val="both"/>
        <w:rPr>
          <w:sz w:val="24"/>
        </w:rPr>
        <w:sectPr>
          <w:pgSz w:w="12240" w:h="15840"/>
          <w:pgMar w:header="730" w:footer="1066" w:top="1320" w:bottom="1260" w:left="1720" w:right="1180"/>
        </w:sectPr>
      </w:pPr>
    </w:p>
    <w:p>
      <w:pPr>
        <w:pStyle w:val="BodyText"/>
        <w:spacing w:before="1"/>
        <w:rPr>
          <w:i/>
          <w:sz w:val="18"/>
        </w:rPr>
      </w:pPr>
    </w:p>
    <w:p>
      <w:pPr>
        <w:spacing w:before="69"/>
        <w:ind w:left="976" w:right="0" w:firstLine="0"/>
        <w:jc w:val="left"/>
        <w:rPr>
          <w:i/>
          <w:sz w:val="24"/>
        </w:rPr>
      </w:pPr>
      <w:r>
        <w:rPr/>
        <w:pict>
          <v:line style="position:absolute;mso-position-horizontal-relative:page;mso-position-vertical-relative:paragraph;z-index:3184" from="93.199997pt,-19.614155pt" to="546.799997pt,-19.614155pt" stroked="true" strokeweight=".479981pt" strokecolor="#000000">
            <w10:wrap type="none"/>
          </v:line>
        </w:pict>
      </w:r>
      <w:r>
        <w:rPr>
          <w:i/>
          <w:sz w:val="24"/>
        </w:rPr>
        <w:t>que deberán integrarse en un informe de observación:</w:t>
      </w:r>
    </w:p>
    <w:p>
      <w:pPr>
        <w:pStyle w:val="BodyText"/>
        <w:spacing w:before="3"/>
        <w:rPr>
          <w:i/>
          <w:sz w:val="22"/>
        </w:rPr>
      </w:pPr>
    </w:p>
    <w:p>
      <w:pPr>
        <w:pStyle w:val="ListParagraph"/>
        <w:numPr>
          <w:ilvl w:val="2"/>
          <w:numId w:val="8"/>
        </w:numPr>
        <w:tabs>
          <w:tab w:pos="1257" w:val="left" w:leader="none"/>
        </w:tabs>
        <w:spacing w:line="240" w:lineRule="auto" w:before="1" w:after="0"/>
        <w:ind w:left="988" w:right="0" w:hanging="12"/>
        <w:jc w:val="left"/>
        <w:rPr>
          <w:i/>
          <w:sz w:val="24"/>
        </w:rPr>
      </w:pPr>
      <w:r>
        <w:rPr>
          <w:i/>
          <w:sz w:val="24"/>
        </w:rPr>
        <w:t>El objeto de la observación</w:t>
      </w:r>
    </w:p>
    <w:p>
      <w:pPr>
        <w:pStyle w:val="BodyText"/>
        <w:spacing w:before="3"/>
        <w:rPr>
          <w:i/>
          <w:sz w:val="22"/>
        </w:rPr>
      </w:pPr>
    </w:p>
    <w:p>
      <w:pPr>
        <w:pStyle w:val="ListParagraph"/>
        <w:numPr>
          <w:ilvl w:val="2"/>
          <w:numId w:val="8"/>
        </w:numPr>
        <w:tabs>
          <w:tab w:pos="1257" w:val="left" w:leader="none"/>
        </w:tabs>
        <w:spacing w:line="240" w:lineRule="auto" w:before="1" w:after="0"/>
        <w:ind w:left="1256" w:right="0" w:hanging="280"/>
        <w:jc w:val="left"/>
        <w:rPr>
          <w:i/>
          <w:sz w:val="24"/>
        </w:rPr>
      </w:pPr>
      <w:r>
        <w:rPr>
          <w:i/>
          <w:sz w:val="24"/>
        </w:rPr>
        <w:t>El sujeto o el observador (incluyendo como es natural sus</w:t>
      </w:r>
      <w:r>
        <w:rPr>
          <w:i/>
          <w:spacing w:val="-1"/>
          <w:sz w:val="24"/>
        </w:rPr>
        <w:t> </w:t>
      </w:r>
      <w:r>
        <w:rPr>
          <w:i/>
          <w:sz w:val="24"/>
        </w:rPr>
        <w:t>percepciones)</w:t>
      </w:r>
    </w:p>
    <w:p>
      <w:pPr>
        <w:pStyle w:val="BodyText"/>
        <w:spacing w:before="3"/>
        <w:rPr>
          <w:i/>
          <w:sz w:val="22"/>
        </w:rPr>
      </w:pPr>
    </w:p>
    <w:p>
      <w:pPr>
        <w:pStyle w:val="ListParagraph"/>
        <w:numPr>
          <w:ilvl w:val="2"/>
          <w:numId w:val="8"/>
        </w:numPr>
        <w:tabs>
          <w:tab w:pos="1244" w:val="left" w:leader="none"/>
        </w:tabs>
        <w:spacing w:line="240" w:lineRule="auto" w:before="1" w:after="0"/>
        <w:ind w:left="1243" w:right="0" w:hanging="267"/>
        <w:jc w:val="left"/>
        <w:rPr>
          <w:i/>
          <w:sz w:val="24"/>
        </w:rPr>
      </w:pPr>
      <w:r>
        <w:rPr>
          <w:i/>
          <w:sz w:val="24"/>
        </w:rPr>
        <w:t>Las circunstancias de la observación (o medio natural)</w:t>
      </w:r>
    </w:p>
    <w:p>
      <w:pPr>
        <w:pStyle w:val="BodyText"/>
        <w:spacing w:before="8"/>
        <w:rPr>
          <w:i/>
          <w:sz w:val="22"/>
        </w:rPr>
      </w:pPr>
    </w:p>
    <w:p>
      <w:pPr>
        <w:pStyle w:val="ListParagraph"/>
        <w:numPr>
          <w:ilvl w:val="2"/>
          <w:numId w:val="8"/>
        </w:numPr>
        <w:tabs>
          <w:tab w:pos="1269" w:val="left" w:leader="none"/>
        </w:tabs>
        <w:spacing w:line="360" w:lineRule="auto" w:before="0" w:after="0"/>
        <w:ind w:left="988" w:right="1331" w:firstLine="0"/>
        <w:jc w:val="left"/>
        <w:rPr>
          <w:i/>
          <w:sz w:val="24"/>
        </w:rPr>
      </w:pPr>
      <w:r>
        <w:rPr>
          <w:i/>
          <w:sz w:val="24"/>
        </w:rPr>
        <w:t>Los medios de observación (sentidos, instrumentos auxiliares y </w:t>
      </w:r>
      <w:r>
        <w:rPr>
          <w:i/>
          <w:sz w:val="24"/>
        </w:rPr>
        <w:t>procedimientos) y,</w:t>
      </w:r>
    </w:p>
    <w:p>
      <w:pPr>
        <w:pStyle w:val="BodyText"/>
        <w:spacing w:before="1"/>
        <w:rPr>
          <w:i/>
          <w:sz w:val="21"/>
        </w:rPr>
      </w:pPr>
    </w:p>
    <w:p>
      <w:pPr>
        <w:pStyle w:val="ListParagraph"/>
        <w:numPr>
          <w:ilvl w:val="2"/>
          <w:numId w:val="8"/>
        </w:numPr>
        <w:tabs>
          <w:tab w:pos="1336" w:val="left" w:leader="none"/>
        </w:tabs>
        <w:spacing w:line="360" w:lineRule="auto" w:before="0" w:after="0"/>
        <w:ind w:left="988" w:right="637" w:firstLine="0"/>
        <w:jc w:val="left"/>
        <w:rPr>
          <w:i/>
          <w:sz w:val="24"/>
        </w:rPr>
      </w:pPr>
      <w:r>
        <w:rPr>
          <w:i/>
          <w:sz w:val="24"/>
        </w:rPr>
        <w:t>El cuerpo del conocimiento en el cual se encuentran relacionados los </w:t>
      </w:r>
      <w:r>
        <w:rPr>
          <w:i/>
          <w:sz w:val="24"/>
        </w:rPr>
        <w:t>anteriores elementos.”</w:t>
      </w:r>
      <w:r>
        <w:rPr>
          <w:i/>
          <w:spacing w:val="-2"/>
          <w:sz w:val="24"/>
        </w:rPr>
        <w:t> </w:t>
      </w:r>
      <w:r>
        <w:rPr>
          <w:i/>
          <w:sz w:val="24"/>
        </w:rPr>
        <w:t>(Íbidem).</w:t>
      </w:r>
    </w:p>
    <w:p>
      <w:pPr>
        <w:pStyle w:val="BodyText"/>
        <w:spacing w:before="6"/>
        <w:rPr>
          <w:i/>
          <w:sz w:val="21"/>
        </w:rPr>
      </w:pPr>
    </w:p>
    <w:p>
      <w:pPr>
        <w:pStyle w:val="BodyText"/>
        <w:spacing w:line="360" w:lineRule="auto"/>
        <w:ind w:left="268" w:right="231"/>
        <w:jc w:val="both"/>
      </w:pPr>
      <w:r>
        <w:rPr/>
        <w:t>De esta forma, el modelo propuesto plantea que el proceso de evaluación es transversal e interdisciplinario, comenzando con la fase de definición de los principios aplicables al proceso, la definición del objeto de la evaluación la descripción de los elementos y procesos que integran el sistema, para luego pasar a la fase de elaboración del modelo conceptual, que antecede a la identificación  de criterios operacionales, a la traducción de dichos criterios en términos operativos y a la selección de indicadores relevantes. A partir de esta fase se cuenta ya con el sistema de indicadores, cuyos indicadores deben ser ordenados, jerarquizados y ponderados; luego aparece la fase de definición de los valores de referencia (del caso de estudio) normalización de los valores de los indicadores,  en términos de unidades comunes (estandarización). Y finalmente la integración del índice de sustentabilidad para la autorización de conjuntos urbanos de tipo habitacional.</w:t>
      </w:r>
    </w:p>
    <w:p>
      <w:pPr>
        <w:pStyle w:val="BodyText"/>
        <w:spacing w:line="360" w:lineRule="auto" w:before="127"/>
        <w:ind w:left="268" w:right="231"/>
        <w:jc w:val="both"/>
      </w:pPr>
      <w:r>
        <w:rPr/>
        <w:t>La propuesta del método de análisis de la sustentabilidad del territorio mediante la implementación de un sistema de indicadores surge como alternativa para integrar de manera multidisciplinaria y transversal el estudio de la promoción, producción y desarrollo de vivienda formal que se lleva a cabo en el Estado de México mediante la figura de conjunto urbano de tipo habitacional.</w:t>
      </w:r>
    </w:p>
    <w:p>
      <w:pPr>
        <w:pStyle w:val="BodyText"/>
        <w:spacing w:line="360" w:lineRule="auto" w:before="122"/>
        <w:ind w:left="268" w:right="231"/>
        <w:jc w:val="both"/>
      </w:pPr>
      <w:r>
        <w:rPr/>
        <w:t>Como ya se demostró en el capítulo uno de esta tesis, los estudios en relación al desarrollo de vivienda en México son varios y diversos, los investigadores han</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3208" from="93.199997pt,-19.614155pt" to="546.799997pt,-19.614155pt" stroked="true" strokeweight=".479981pt" strokecolor="#000000">
            <w10:wrap type="none"/>
          </v:line>
        </w:pict>
      </w:r>
      <w:r>
        <w:rPr/>
        <w:t>abordado el fenómeno de la vivienda desde diferentes perspectivas; el estudio del marco jurídico que la regula, la producción de conjuntos urbanos en un sistema urbano nacional, la integración urbana y social en la producción de unidades habitacionales, la demanda habitacional por mencionar algunos.</w:t>
      </w:r>
    </w:p>
    <w:p>
      <w:pPr>
        <w:pStyle w:val="BodyText"/>
        <w:spacing w:line="360" w:lineRule="auto" w:before="127"/>
        <w:ind w:left="268" w:right="231"/>
        <w:jc w:val="both"/>
      </w:pPr>
      <w:r>
        <w:rPr/>
        <w:t>La variedad de estudios y las perspectivas con las que son abordados son muy nutridos, ya que cada uno de los estudios analizados aportan una forma de observar el fenómeno de la vivienda en el territorio, así como los diferentes métodos de análisis para cada particularidad, puesto que se estudia la legislación por un lado y por otro, se aborda la participación de los desarrolladores inmobiliarios, así como las acciones y administración del Estado.</w:t>
      </w:r>
    </w:p>
    <w:p>
      <w:pPr>
        <w:pStyle w:val="BodyText"/>
        <w:spacing w:line="360" w:lineRule="auto" w:before="122"/>
        <w:ind w:left="268" w:right="231"/>
        <w:jc w:val="both"/>
      </w:pPr>
      <w:r>
        <w:rPr/>
        <w:t>Por lo que los estudios en relación a la promoción, producción y desarrollo de vivienda son investigaciones que abordan el fenómeno observado desde características cualitativas y cuantitativas lo que permite contar con estudios integrales ya que por un lado los datos pueden ser contundentes y expresar cifras; sin embargo, el aporte de datos cualitativos nutre la explicación del fenómeno.</w:t>
      </w:r>
    </w:p>
    <w:p>
      <w:pPr>
        <w:pStyle w:val="BodyText"/>
        <w:spacing w:line="360" w:lineRule="auto" w:before="122"/>
        <w:ind w:left="268" w:right="231"/>
        <w:jc w:val="both"/>
      </w:pPr>
      <w:r>
        <w:rPr/>
        <w:t>En consecuencia en esta investigación se aplica el método científico, mediante la observación de hechos, la redacción de información y la explicación de la realidad respecto a la producción de vivienda formal en el Estado de México, por un lado los estudios realizados por otros investigadores; por otro lado, el proceso de promoción de vivienda mediante la figura de conjunto urbano de tipo habitacional, así como el marco jurídico que fundamenta el ordenamiento territorial de los asentamientos humanos.</w:t>
      </w:r>
    </w:p>
    <w:p>
      <w:pPr>
        <w:pStyle w:val="BodyText"/>
        <w:spacing w:line="360" w:lineRule="auto" w:before="122"/>
        <w:ind w:left="268" w:right="231"/>
        <w:jc w:val="both"/>
      </w:pPr>
      <w:r>
        <w:rPr/>
        <w:t>La investigación comienza con el análisis de las investigaciones, metodologías y aportes teóricos de investigadores expertos en la vivienda y el territorio, los trabajos encontrados y revisados en la materia fueron significativos, muchos de ellos concurren en puntos de vista respecto al debate de la participación de la iniciativa privada en la producción de vivienda formal en México ante las políticas de promoción del Estado.</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3232" from="93.199997pt,-19.614155pt" to="546.799997pt,-19.614155pt" stroked="true" strokeweight=".479981pt" strokecolor="#000000">
            <w10:wrap type="none"/>
          </v:line>
        </w:pict>
      </w:r>
      <w:r>
        <w:rPr/>
        <w:t>El objetivo de la investigación teórica y metodologías propuestas por expertos en  la materia realizada, permitió seleccionar un marco de referencia teórico que consiste en exponer la interacción del Estado, la iniciativa privada y la sociedad en la producción, promoción y desarrollo de la vivienda y su impacto en el territorio, específicamente mediante desarrollos inmobiliarios bajo la figura de conjunto urbano de tipo habitacional.</w:t>
      </w:r>
    </w:p>
    <w:p>
      <w:pPr>
        <w:pStyle w:val="BodyText"/>
        <w:spacing w:line="360" w:lineRule="auto" w:before="122"/>
        <w:ind w:left="268" w:right="231"/>
        <w:jc w:val="both"/>
      </w:pPr>
      <w:r>
        <w:rPr/>
        <w:t>Algunos trabajos de investigación permitieron encontrar puntos en común para el análisis de la producción de la vivienda formal, su impacto social y en el territorio. Cabe hacer mención que estos trabajos analizan una particularidad en especial,  es decir, que tienen tendencia al análisis de uno de los tres actores que se ven involucrados en el fenómeno de la vivienda formal.</w:t>
      </w:r>
    </w:p>
    <w:p>
      <w:pPr>
        <w:pStyle w:val="BodyText"/>
        <w:spacing w:line="360" w:lineRule="auto" w:before="122"/>
        <w:ind w:left="268" w:right="231"/>
        <w:jc w:val="both"/>
      </w:pPr>
      <w:r>
        <w:rPr/>
        <w:t>Por lo que se observó en los estudios de los fundamentos teóricos de la investigación, los aportes metodológicos definen la necesidad de estudiar el fenómeno de la vivienda analizando temas de carácter legislativo, social, ambiental, impacto social y territorial.</w:t>
      </w:r>
    </w:p>
    <w:p>
      <w:pPr>
        <w:pStyle w:val="BodyText"/>
        <w:spacing w:line="360" w:lineRule="auto" w:before="122"/>
        <w:ind w:left="268" w:right="231"/>
        <w:jc w:val="both"/>
      </w:pPr>
      <w:r>
        <w:rPr/>
        <w:t>En este sentido, de las propuestas metodológicas se requirió definir las variables de análisis relacionadas para la sustentabilidad del territorio, es decir, los elementos predominantes en los estudios revisados, motivo por el que se describieron estos con la intención de conceptualizarlos en un contenido particular y específico de la investigación.</w:t>
      </w:r>
    </w:p>
    <w:p>
      <w:pPr>
        <w:pStyle w:val="BodyText"/>
        <w:spacing w:line="360" w:lineRule="auto" w:before="122"/>
        <w:ind w:left="268" w:right="231"/>
        <w:jc w:val="both"/>
      </w:pPr>
      <w:r>
        <w:rPr/>
        <w:t>Para la conceptualización de las variables a estudiar se comenzó con una depuración de información que consistió en la revisión de distintos tableros de control con estadísticas que manejan en la Secretaría de Desarrollo Urbano y Metropolitano del Estado de México para el control y seguimiento de indicadores y estadísticas de cumplimiento de las autorizaciones de conjuntos urbanos en el Estado México. (SEDUM, 1999 – 2012)</w:t>
      </w:r>
    </w:p>
    <w:p>
      <w:pPr>
        <w:pStyle w:val="BodyText"/>
        <w:spacing w:line="360" w:lineRule="auto" w:before="122"/>
        <w:ind w:left="268" w:right="232"/>
        <w:jc w:val="both"/>
      </w:pPr>
      <w:r>
        <w:rPr/>
        <w:t>Inicialmente se obtuvo una tabla que mostraba 73 items que arrojaron los tableros de control dentro de las diferentes actividades y términos en el proceso de trámites de  la  SEDUE,  estos  ítems  fueron  organizados  en  dos  dimensiones;  Estado</w:t>
      </w:r>
      <w:r>
        <w:rPr>
          <w:spacing w:val="-12"/>
        </w:rPr>
        <w:t> </w:t>
      </w:r>
      <w:r>
        <w:rPr/>
        <w:t>e</w:t>
      </w:r>
    </w:p>
    <w:p>
      <w:pPr>
        <w:spacing w:after="0" w:line="360" w:lineRule="auto"/>
        <w:jc w:val="both"/>
        <w:sectPr>
          <w:footerReference w:type="default" r:id="rId55"/>
          <w:pgSz w:w="12240" w:h="15840"/>
          <w:pgMar w:footer="1066" w:header="730"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3256" from="93.199997pt,-19.614155pt" to="546.799997pt,-19.614155pt" stroked="true" strokeweight=".479981pt" strokecolor="#000000">
            <w10:wrap type="none"/>
          </v:line>
        </w:pict>
      </w:r>
      <w:r>
        <w:rPr/>
        <w:t>iniciativa privada y necesidades de sociedad, ambas dimensiones se jerarquizaron en indicadores territoriales ambientales, económicos y sociales.</w:t>
      </w:r>
    </w:p>
    <w:p>
      <w:pPr>
        <w:pStyle w:val="BodyText"/>
        <w:spacing w:line="360" w:lineRule="auto" w:before="122"/>
        <w:ind w:left="268" w:right="231"/>
        <w:jc w:val="both"/>
      </w:pPr>
      <w:r>
        <w:rPr/>
        <w:t>Con el análisis de indicadores en tableros de control se identificaron indicadores  de importancia para el control administrativo de autorizaciones de conjuntos urbanos, los cuales han dado resultados importantes para el control y seguimiento de las obligaciones de empresas inmobiliarias en el territorio</w:t>
      </w:r>
      <w:r>
        <w:rPr>
          <w:spacing w:val="-1"/>
        </w:rPr>
        <w:t> </w:t>
      </w:r>
      <w:r>
        <w:rPr/>
        <w:t>estatal.</w:t>
      </w:r>
    </w:p>
    <w:p>
      <w:pPr>
        <w:pStyle w:val="BodyText"/>
        <w:spacing w:line="360" w:lineRule="auto" w:before="122"/>
        <w:ind w:left="268" w:right="231"/>
        <w:jc w:val="both"/>
      </w:pPr>
      <w:r>
        <w:rPr/>
        <w:t>Lo anterior daba una explicación a las inquietudes planteadas en la investigación, sin embargo, tendía más a un análisis de las estadísticas habitacionales en un periodo de tiempo determinado sin explicar la interacción entre los tres agentes involucrados en la producción de vivienda formal en territorio y por otro lado tampoco respondía al impacto de su promoción y desarrollo en la sustentabilidad de la vivienda y el territorio.</w:t>
      </w:r>
    </w:p>
    <w:p>
      <w:pPr>
        <w:pStyle w:val="BodyText"/>
        <w:spacing w:line="360" w:lineRule="auto" w:before="122"/>
        <w:ind w:left="268" w:right="231"/>
        <w:jc w:val="both"/>
      </w:pPr>
      <w:r>
        <w:rPr/>
        <w:t>Por tal motivo se decidió considerar otro tipo de aportes para el análisis de la sustentabilidad del territorio y éstos se encontraron en los trabajos realizados por las Naciones Unidas respecto al manejo de indicadores de sostenibilidad. (ONU- Habitat: 2012).</w:t>
      </w:r>
    </w:p>
    <w:p>
      <w:pPr>
        <w:pStyle w:val="BodyText"/>
        <w:spacing w:line="360" w:lineRule="auto" w:before="122"/>
        <w:ind w:left="268" w:right="231"/>
        <w:jc w:val="both"/>
      </w:pPr>
      <w:r>
        <w:rPr/>
        <w:t>Consultando los trabajos realizados por la ONU y los observatorios urbanos, así como casos de estudio en México se planteó analizar la sustentabilidad del territorio mediante la implementación de un sistema de indicadores que pudieran seguir las recomendaciones de los fundamentos teóricos, el análisis de los  tableros de control y la agregación de indicadores que permitieran el alcance regional. (ONU-Habitat – UNAM:</w:t>
      </w:r>
      <w:r>
        <w:rPr>
          <w:spacing w:val="-6"/>
        </w:rPr>
        <w:t> </w:t>
      </w:r>
      <w:r>
        <w:rPr/>
        <w:t>2012).</w:t>
      </w:r>
    </w:p>
    <w:p>
      <w:pPr>
        <w:pStyle w:val="BodyText"/>
        <w:spacing w:line="360" w:lineRule="auto" w:before="122"/>
        <w:ind w:left="268" w:right="231"/>
        <w:jc w:val="both"/>
      </w:pPr>
      <w:r>
        <w:rPr/>
        <w:t>Derivado de lo anterior se integró un sistema de indicadores para la medición de la sustentabilidad del territorio analizando el proceso de promoción producción y desarrollo de vivienda formal.</w:t>
      </w:r>
    </w:p>
    <w:p>
      <w:pPr>
        <w:pStyle w:val="BodyText"/>
        <w:spacing w:line="360" w:lineRule="auto" w:before="127"/>
        <w:ind w:left="268" w:right="231"/>
        <w:jc w:val="both"/>
      </w:pPr>
      <w:r>
        <w:rPr/>
        <w:t>Por lo que con la integración de un sistema de indicadores que permita evaluar la producción de vivienda formal y el impacto de ésta en el territorio, se realiza la propuesta de un método de análisis que permita evaluar conjuntos urbanos autorizados y por autorizar en un determinado territorio con base a la agregación</w:t>
      </w:r>
    </w:p>
    <w:p>
      <w:pPr>
        <w:spacing w:after="0" w:line="360" w:lineRule="auto"/>
        <w:jc w:val="both"/>
        <w:sectPr>
          <w:footerReference w:type="default" r:id="rId56"/>
          <w:pgSz w:w="12240" w:h="15840"/>
          <w:pgMar w:footer="1066" w:header="730" w:top="1320" w:bottom="1260" w:left="1720" w:right="1180"/>
          <w:pgNumType w:start="81"/>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3280" from="93.199997pt,-19.614155pt" to="546.799997pt,-19.614155pt" stroked="true" strokeweight=".479981pt" strokecolor="#000000">
            <w10:wrap type="none"/>
          </v:line>
        </w:pict>
      </w:r>
      <w:r>
        <w:rPr/>
        <w:t>de indicadores de tercera generación como lo expone Villasís (2011) para el aporte de indicadores locales para un estudio más adecuado con base a un fenómeno en especifico, en lugar de aplicar metodologías con indicadores que poseen características de otros países con otros fenómenos con diferentes aspectos y circunstancias del fenómeno que se estudie.</w:t>
      </w:r>
    </w:p>
    <w:p>
      <w:pPr>
        <w:pStyle w:val="BodyText"/>
        <w:spacing w:line="360" w:lineRule="auto" w:before="122"/>
        <w:ind w:left="268" w:right="231"/>
        <w:jc w:val="both"/>
      </w:pPr>
      <w:r>
        <w:rPr/>
        <w:t>En la continuidad del capítulo se describe la propuesta del modelo metodológico que aborda una serie de indicadores de sustentabilidad propuestos en diversos escenarios para el análisis de territorio, así mismo se realiza la descripción de aporte de indicadores específicos para la investigación y la propuesta expuesta para evaluar los conjuntos urbanos de tipo habitacional autorizados en materia de sustentabilidad.</w:t>
      </w:r>
    </w:p>
    <w:p>
      <w:pPr>
        <w:pStyle w:val="BodyText"/>
      </w:pPr>
    </w:p>
    <w:p>
      <w:pPr>
        <w:pStyle w:val="BodyText"/>
      </w:pPr>
    </w:p>
    <w:p>
      <w:pPr>
        <w:pStyle w:val="BodyText"/>
      </w:pPr>
    </w:p>
    <w:p>
      <w:pPr>
        <w:pStyle w:val="Heading4"/>
        <w:numPr>
          <w:ilvl w:val="1"/>
          <w:numId w:val="8"/>
        </w:numPr>
        <w:tabs>
          <w:tab w:pos="736" w:val="left" w:leader="none"/>
        </w:tabs>
        <w:spacing w:line="240" w:lineRule="auto" w:before="192" w:after="0"/>
        <w:ind w:left="735" w:right="0" w:hanging="467"/>
        <w:jc w:val="both"/>
      </w:pPr>
      <w:r>
        <w:rPr/>
        <w:t>Aportes teóricos de indicadores de sustentabilidad</w:t>
      </w:r>
    </w:p>
    <w:p>
      <w:pPr>
        <w:pStyle w:val="BodyText"/>
        <w:spacing w:before="3"/>
        <w:rPr>
          <w:b/>
          <w:sz w:val="22"/>
        </w:rPr>
      </w:pPr>
    </w:p>
    <w:p>
      <w:pPr>
        <w:spacing w:line="360" w:lineRule="auto" w:before="1"/>
        <w:ind w:left="976" w:right="231" w:firstLine="0"/>
        <w:jc w:val="both"/>
        <w:rPr>
          <w:i/>
          <w:sz w:val="24"/>
        </w:rPr>
      </w:pPr>
      <w:r>
        <w:rPr>
          <w:i/>
          <w:sz w:val="24"/>
        </w:rPr>
        <w:t>“Los antecedentes sobre indicadores urbanos se remontan a la Conferencia </w:t>
      </w:r>
      <w:r>
        <w:rPr>
          <w:i/>
          <w:sz w:val="24"/>
        </w:rPr>
        <w:t>de Vancouver (1976) donde se expide la Declaración de Asentamientos Humanos de Vancouver, conocida como Hábitat I, que creó la Agencia UN- Hábitat. En el documento de la conferencia se encuentran líneas de trabajo donde se detecta la necesidad de mayor intervención en las ciudades ante el reconocimiento de la inequidad del crecimiento económico que condena  a millones de personas a la pobreza y a la insatisfacción de sus necesidades básicas; por otra parte, se manifiesta la importancia de los aspectos sociales, económicos, ecológicos y el deterioro del medio ambiente.” (Villasís; 2011:</w:t>
      </w:r>
      <w:r>
        <w:rPr>
          <w:i/>
          <w:spacing w:val="-4"/>
          <w:sz w:val="24"/>
        </w:rPr>
        <w:t> </w:t>
      </w:r>
      <w:r>
        <w:rPr>
          <w:i/>
          <w:sz w:val="24"/>
        </w:rPr>
        <w:t>111)</w:t>
      </w:r>
    </w:p>
    <w:p>
      <w:pPr>
        <w:pStyle w:val="BodyText"/>
        <w:spacing w:line="360" w:lineRule="auto" w:before="122"/>
        <w:ind w:left="268" w:right="231"/>
        <w:jc w:val="both"/>
      </w:pPr>
      <w:r>
        <w:rPr/>
        <w:t>Aunque ya existían esfuerzos relacionados con el tema de la sustentabilidad es hasta el año de 1976 cuando se centra la discusión en los temas relacionados con los asentamientos humanos, en específico con las ciudades y su ritmo de crecimiento, ya que la mayoría de éstas comienza a contar con asentamientos irregulares en las periferias, generando lo que posteriormente denominarían zonas</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3304" from="93.199997pt,-19.614155pt" to="546.799997pt,-19.614155pt" stroked="true" strokeweight=".479981pt" strokecolor="#000000">
            <w10:wrap type="none"/>
          </v:line>
        </w:pict>
      </w:r>
      <w:r>
        <w:rPr/>
        <w:t>urbano marginadas mismas que se encuentran dentro de la zona urbana de las ciudades pero carentes de infraestructura, servicios y equipamiento público.</w:t>
      </w:r>
    </w:p>
    <w:p>
      <w:pPr>
        <w:spacing w:line="360" w:lineRule="auto" w:before="122"/>
        <w:ind w:left="976" w:right="231" w:firstLine="0"/>
        <w:jc w:val="both"/>
        <w:rPr>
          <w:i/>
          <w:sz w:val="24"/>
        </w:rPr>
      </w:pPr>
      <w:r>
        <w:rPr>
          <w:i/>
          <w:sz w:val="24"/>
        </w:rPr>
        <w:t>“En el discurso se advierten algunas notas de la necesidad de dar solución  </w:t>
      </w:r>
      <w:r>
        <w:rPr>
          <w:i/>
          <w:sz w:val="24"/>
        </w:rPr>
        <w:t>a los problemas actuales de las ciudades, pero también de prevenir los problemas futuros, como las condiciones de vida, la segregación social, la discriminación, el desempleo, enfermedades, y la degradación de los recursos naturales. Para combatir estos problemas se determinaron líneas de acción que están resumidas en su documento síntesis, dentro de los que se destacan 19 principios y 24 líneas de acción, particularmente se subrayan las relaciones de cuestiones sociales-económicas- ambientales  en el desarrollo de los asentamientos humanos.” (Ibídem,</w:t>
      </w:r>
      <w:r>
        <w:rPr>
          <w:i/>
          <w:spacing w:val="-3"/>
          <w:sz w:val="24"/>
        </w:rPr>
        <w:t> </w:t>
      </w:r>
      <w:r>
        <w:rPr>
          <w:i/>
          <w:sz w:val="24"/>
        </w:rPr>
        <w:t>112)</w:t>
      </w:r>
    </w:p>
    <w:p>
      <w:pPr>
        <w:spacing w:line="360" w:lineRule="auto" w:before="122"/>
        <w:ind w:left="976" w:right="231" w:firstLine="0"/>
        <w:jc w:val="both"/>
        <w:rPr>
          <w:i/>
          <w:sz w:val="24"/>
        </w:rPr>
      </w:pPr>
      <w:r>
        <w:rPr>
          <w:i/>
          <w:sz w:val="24"/>
        </w:rPr>
        <w:t>“Pero fue hasta 1998 cuando la Agencia Hábitat cristaliza un esfuerzo sobre </w:t>
      </w:r>
      <w:r>
        <w:rPr>
          <w:i/>
          <w:sz w:val="24"/>
        </w:rPr>
        <w:t>la metodología de indicadores urbanos, que fueron las bases de datos del Observatorio Urbano Global. Este ejercicio partió de la Conferencia de Estambul, Turquía, en 1996 a la que se le denominó Hábitat II, y que produjo la Declaración de Estambul sobre los Asentamientos Humanos,  esta declaración consta de quince compromisos, que se resumen en dos ejes: a) vivienda adecuada para todos, y b) el desarrollo de los asentamientos humanos sostenibles en un mundo en proceso de urbanización. En este documento se reconoce ampliamente la urgencia de la atención a los asentamientos humanos y se reitera la determinación de mejorar el nivel de vida de toda la humanidad en un contexto de mayor libertad. De aquí nace el Programa Hábitat que establece grandes líneas de acción en torno a modalidades sostenibles, que, sin embargo, se quedan únicamente a nivel de concepto.”</w:t>
      </w:r>
      <w:r>
        <w:rPr>
          <w:i/>
          <w:spacing w:val="-2"/>
          <w:sz w:val="24"/>
        </w:rPr>
        <w:t> </w:t>
      </w:r>
      <w:r>
        <w:rPr>
          <w:i/>
          <w:sz w:val="24"/>
        </w:rPr>
        <w:t>(Ídem)</w:t>
      </w:r>
    </w:p>
    <w:p>
      <w:pPr>
        <w:pStyle w:val="BodyText"/>
        <w:spacing w:line="360" w:lineRule="auto" w:before="127"/>
        <w:ind w:left="268" w:right="231"/>
        <w:jc w:val="both"/>
      </w:pPr>
      <w:r>
        <w:rPr/>
        <w:t>Fue hasta los inicios de los años 2000 que el Programa Hábitat se comenzó a ejecutar en algunas ciudades de las zonas metropolitanas de México, como en el caso de la Zona Metropolitana de Toluca, que comenzó con el programa entre el años 2003 y 2006 en la ciudad de Toluca, parte de los objetivos del programa fueron realizar un levantamiento y diagnostico de las zonas urbano marginadas</w:t>
      </w:r>
      <w:r>
        <w:rPr>
          <w:spacing w:val="55"/>
        </w:rPr>
        <w:t> </w:t>
      </w:r>
      <w:r>
        <w:rPr/>
        <w:t>en</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3328" from="93.199997pt,-19.614155pt" to="546.799997pt,-19.614155pt" stroked="true" strokeweight=".479981pt" strokecolor="#000000">
            <w10:wrap type="none"/>
          </v:line>
        </w:pict>
      </w:r>
      <w:r>
        <w:rPr/>
        <w:t>la ciudad, éstas se localizaban al norte del municipio en las localidades de San Cristóbal Huichochital y San Pablo Autopan en su mayoría, aunque existían  alguna más cercanas como Calixtlahuaca y Santa</w:t>
      </w:r>
      <w:r>
        <w:rPr>
          <w:spacing w:val="-1"/>
        </w:rPr>
        <w:t> </w:t>
      </w:r>
      <w:r>
        <w:rPr/>
        <w:t>Cruz.</w:t>
      </w:r>
    </w:p>
    <w:p>
      <w:pPr>
        <w:spacing w:line="360" w:lineRule="auto" w:before="122"/>
        <w:ind w:left="976" w:right="231" w:firstLine="0"/>
        <w:jc w:val="both"/>
        <w:rPr>
          <w:i/>
          <w:sz w:val="24"/>
        </w:rPr>
      </w:pPr>
      <w:r>
        <w:rPr>
          <w:i/>
          <w:sz w:val="24"/>
        </w:rPr>
        <w:t>“Esta iniciativa mundial, estableció un sistema de indicadores urbanos </w:t>
      </w:r>
      <w:r>
        <w:rPr>
          <w:i/>
          <w:sz w:val="24"/>
        </w:rPr>
        <w:t>(Global Urban Observatory: GUO) basado en la Agenda Hábitat y en las resoluciones 15/6 y 17/1 de la Comisión de la Naciones Unidas sobre Asentamientos Humanos (UNCHS); también desarrolló un sistema de indicadores para conocer el estado actual de las ciudades y su evolución en el desempeño urbano-ambiental. Este sistema organiza el proceso de implementación de las bases de datos urbanos de la Agenda Hábitat en dos clasificaciones: a) indicadores clave, agrupados en 20 unidades temáticas y que se expresan en número, porcentajes y en proporción; y b) datos cualitativos o checklists que informan sobre evaluación y que no pueden ser cuantificados. La información disponible establece que se inscribieron en este programa un total de 232 ciudades de todo el mundo. Hasta la fecha del reporte (1998) estaba inscrita solo una ciudad mexicana: Ciudad Juárez, Chih.” (Idem)</w:t>
      </w:r>
    </w:p>
    <w:p>
      <w:pPr>
        <w:spacing w:line="360" w:lineRule="auto" w:before="127"/>
        <w:ind w:left="976" w:right="231" w:firstLine="0"/>
        <w:jc w:val="both"/>
        <w:rPr>
          <w:i/>
          <w:sz w:val="24"/>
        </w:rPr>
      </w:pPr>
      <w:r>
        <w:rPr>
          <w:i/>
          <w:sz w:val="24"/>
        </w:rPr>
        <w:t>“Sin embargo, en forma independiente 53 ciudades latinoamericanas se </w:t>
      </w:r>
      <w:r>
        <w:rPr>
          <w:i/>
          <w:sz w:val="24"/>
        </w:rPr>
        <w:t>sumaron al esfuerzo del GUO, sin pasar por los gobiernos centrales. Una vez que se publicó la información, se tienen algunas conclusiones de esta primera versión: los indicadores en algunos casos estaban incompletos; la actualización no fue constante debido a los cambios en los gobiernos locales; y, finalmente, que la participación social no se consideró en esta etapa.” (Ibídem: 113)</w:t>
      </w:r>
    </w:p>
    <w:p>
      <w:pPr>
        <w:spacing w:line="360" w:lineRule="auto" w:before="122"/>
        <w:ind w:left="976" w:right="231" w:firstLine="0"/>
        <w:jc w:val="both"/>
        <w:rPr>
          <w:i/>
          <w:sz w:val="24"/>
        </w:rPr>
      </w:pPr>
      <w:r>
        <w:rPr>
          <w:i/>
          <w:sz w:val="24"/>
        </w:rPr>
        <w:t>“De este modelo de indicadores se rescatan elementos importantes que </w:t>
      </w:r>
      <w:r>
        <w:rPr>
          <w:i/>
          <w:sz w:val="24"/>
        </w:rPr>
        <w:t>pueden definir las características de los indicadores como instrumento metodológico: mensurabilidad, confiabilidad, comunicación, consistencia, comparabilidad.” (Ídem)</w:t>
      </w:r>
    </w:p>
    <w:p>
      <w:pPr>
        <w:spacing w:line="362" w:lineRule="auto" w:before="122"/>
        <w:ind w:left="976" w:right="231" w:firstLine="0"/>
        <w:jc w:val="both"/>
        <w:rPr>
          <w:i/>
          <w:sz w:val="24"/>
        </w:rPr>
      </w:pPr>
      <w:r>
        <w:rPr>
          <w:i/>
          <w:sz w:val="24"/>
        </w:rPr>
        <w:t>“El programa denominado Ciudades Europeas Sostenibles (CES), se puede </w:t>
      </w:r>
      <w:r>
        <w:rPr>
          <w:i/>
          <w:sz w:val="24"/>
        </w:rPr>
        <w:t>reseñar  alrededor  de  tres  conferencias,  realizadas  en  Aalborg  en 1994;</w:t>
      </w:r>
    </w:p>
    <w:p>
      <w:pPr>
        <w:spacing w:after="0" w:line="362" w:lineRule="auto"/>
        <w:jc w:val="both"/>
        <w:rPr>
          <w:sz w:val="24"/>
        </w:rPr>
        <w:sectPr>
          <w:pgSz w:w="12240" w:h="15840"/>
          <w:pgMar w:header="730" w:footer="1066" w:top="1320" w:bottom="1260" w:left="1720" w:right="1180"/>
        </w:sectPr>
      </w:pPr>
    </w:p>
    <w:p>
      <w:pPr>
        <w:pStyle w:val="BodyText"/>
        <w:spacing w:before="1"/>
        <w:rPr>
          <w:i/>
          <w:sz w:val="18"/>
        </w:rPr>
      </w:pPr>
    </w:p>
    <w:p>
      <w:pPr>
        <w:spacing w:line="360" w:lineRule="auto" w:before="69"/>
        <w:ind w:left="976" w:right="231" w:firstLine="0"/>
        <w:jc w:val="both"/>
        <w:rPr>
          <w:i/>
          <w:sz w:val="24"/>
        </w:rPr>
      </w:pPr>
      <w:r>
        <w:rPr/>
        <w:pict>
          <v:line style="position:absolute;mso-position-horizontal-relative:page;mso-position-vertical-relative:paragraph;z-index:3352" from="93.199997pt,-19.614155pt" to="546.799997pt,-19.614155pt" stroked="true" strokeweight=".479981pt" strokecolor="#000000">
            <w10:wrap type="none"/>
          </v:line>
        </w:pict>
      </w:r>
      <w:r>
        <w:rPr>
          <w:i/>
          <w:sz w:val="24"/>
        </w:rPr>
        <w:t>Lisboa en 1996; y Hannover en el año 2000. Esta iniciativa parte de dos </w:t>
      </w:r>
      <w:r>
        <w:rPr>
          <w:i/>
          <w:sz w:val="24"/>
        </w:rPr>
        <w:t>premisas: la primera sobre la estructuración de una red de ciudades sostenibles europeas, situadas en un contexto particularmente favorable al desarrollo sostenible, y la segunda que privilegia las cuestiones urbanas. La Unión Europea (UE) tiene a los países más urbanizados del planeta, en  este contexto, desde 1992 el Tratado de Maästricht introduce la promoción del desarrollo sustentable como un objetivo de política de la Unión. La UE organizó a un grupo de expertos sobre el medio urbano para desarrollar la iniciativa y se realizó un primer encuentro de ciudades sostenibles en Aalborg, Dinamarca, y el resultado de la conferencia se denominó La Carta de Aalborg 1994.”</w:t>
      </w:r>
      <w:r>
        <w:rPr>
          <w:i/>
          <w:spacing w:val="-2"/>
          <w:sz w:val="24"/>
        </w:rPr>
        <w:t> </w:t>
      </w:r>
      <w:r>
        <w:rPr>
          <w:i/>
          <w:sz w:val="24"/>
        </w:rPr>
        <w:t>(Ídem)</w:t>
      </w:r>
    </w:p>
    <w:p>
      <w:pPr>
        <w:pStyle w:val="BodyText"/>
        <w:spacing w:line="360" w:lineRule="auto" w:before="122"/>
        <w:ind w:left="268" w:right="231"/>
        <w:jc w:val="both"/>
      </w:pPr>
      <w:r>
        <w:rPr/>
        <w:t>Existen diferentes esfuerzos a nivel internacional en relación a iniciativas e indicadores de sostenibilidad y cuidado al medio ambiente, en cada uno de los diferentes países en los que se ha asumido esta responsabilidad se adaptan los indicadores estandarizados en el ámbito nacional al espacio local, esto trae consigo mejores resultados en su aplicación.</w:t>
      </w:r>
    </w:p>
    <w:p>
      <w:pPr>
        <w:spacing w:line="360" w:lineRule="auto" w:before="122"/>
        <w:ind w:left="976" w:right="231" w:firstLine="0"/>
        <w:jc w:val="both"/>
        <w:rPr>
          <w:i/>
          <w:sz w:val="24"/>
        </w:rPr>
      </w:pPr>
      <w:r>
        <w:rPr>
          <w:i/>
          <w:sz w:val="24"/>
        </w:rPr>
        <w:t>“La carta de las CES, establece el compromiso de un programa estratégico </w:t>
      </w:r>
      <w:r>
        <w:rPr>
          <w:i/>
          <w:sz w:val="24"/>
        </w:rPr>
        <w:t>local de largo plazo para el siglo XXI, es decir, una agenda 21 local con más de 200 colectividades locales participantes. Se inició la campaña de ciudades sostenibles europeas para establecer una red que coordine a las ciudades incorporadas al programa; en esta etapa inicial sólo se contó con los países del norte de Europa occidental. En 1994, el grupo de expertos entrega su primer reporte sobre ciudades sostenibles europeas a la comisión europea (CE), ahí se aclaró el cambio del concepto del “medio urbano” al de “sostenibilidad en zona urbana”, que concentra estrategias de gestión fundamentalmente en políticas públicas: economía, ordenamiento territorial, planificación ecológica, movilidad y otras áreas sectoriales. Uno  de los productos de la iniciativa comunitaria para zonas urbanas se denominó “URBAN”, con la finalidad de otorgar apoyos financieros a nuevos proyectos.”</w:t>
      </w:r>
      <w:r>
        <w:rPr>
          <w:i/>
          <w:spacing w:val="-2"/>
          <w:sz w:val="24"/>
        </w:rPr>
        <w:t> </w:t>
      </w:r>
      <w:r>
        <w:rPr>
          <w:i/>
          <w:sz w:val="24"/>
        </w:rPr>
        <w:t>(Ídem)</w:t>
      </w:r>
    </w:p>
    <w:p>
      <w:pPr>
        <w:spacing w:after="0" w:line="360" w:lineRule="auto"/>
        <w:jc w:val="both"/>
        <w:rPr>
          <w:sz w:val="24"/>
        </w:rPr>
        <w:sectPr>
          <w:pgSz w:w="12240" w:h="15840"/>
          <w:pgMar w:header="730" w:footer="1066" w:top="1320" w:bottom="1260" w:left="1720" w:right="1180"/>
        </w:sectPr>
      </w:pPr>
    </w:p>
    <w:p>
      <w:pPr>
        <w:pStyle w:val="BodyText"/>
        <w:rPr>
          <w:i/>
          <w:sz w:val="20"/>
        </w:rPr>
      </w:pPr>
    </w:p>
    <w:p>
      <w:pPr>
        <w:pStyle w:val="BodyText"/>
        <w:rPr>
          <w:i/>
          <w:sz w:val="20"/>
        </w:rPr>
      </w:pPr>
    </w:p>
    <w:p>
      <w:pPr>
        <w:pStyle w:val="BodyText"/>
        <w:spacing w:before="5"/>
        <w:rPr>
          <w:i/>
        </w:rPr>
      </w:pPr>
    </w:p>
    <w:p>
      <w:pPr>
        <w:spacing w:line="360" w:lineRule="auto" w:before="69"/>
        <w:ind w:left="976" w:right="231" w:firstLine="0"/>
        <w:jc w:val="both"/>
        <w:rPr>
          <w:i/>
          <w:sz w:val="24"/>
        </w:rPr>
      </w:pPr>
      <w:r>
        <w:rPr/>
        <w:pict>
          <v:line style="position:absolute;mso-position-horizontal-relative:page;mso-position-vertical-relative:paragraph;z-index:3376" from="93.199997pt,-46.254108pt" to="546.799997pt,-46.254108pt" stroked="true" strokeweight=".479981pt" strokecolor="#000000">
            <w10:wrap type="none"/>
          </v:line>
        </w:pict>
      </w:r>
      <w:r>
        <w:rPr>
          <w:i/>
          <w:sz w:val="24"/>
        </w:rPr>
        <w:t>“Derivado de diversas reuniones internacionales particularmente de </w:t>
      </w:r>
      <w:r>
        <w:rPr>
          <w:i/>
          <w:sz w:val="24"/>
        </w:rPr>
        <w:t>Estambul en 1996, que se denominó HÁBITAT II, los compromisos de la UE relativos a la sostenibilidad de las ciudades tomaron rumbo para segunda conferencia de esta materia que se denominó “La Conferencia de Lisboa”, donde por primera vez se incorporaron a esta iniciativa los países mediterráneos de Europa central y oriental. En esta conferencia hubo dos aspectos relevantes: por una parte, las agendas 21 locales y su traducción operativa; y por la otra, la importancia de contar con un método o herramientas para la puesta en marcha del programa CES, para esta etapa, el grupo de expertos recomienda una visión ecosistémica del medio urbano y la elaboración de estrategias de eco gestión locales.” (Idem, 115)</w:t>
      </w:r>
    </w:p>
    <w:p>
      <w:pPr>
        <w:pStyle w:val="BodyText"/>
        <w:spacing w:line="360" w:lineRule="auto" w:before="122"/>
        <w:ind w:left="268" w:right="231"/>
        <w:jc w:val="both"/>
      </w:pPr>
      <w:r>
        <w:rPr/>
        <w:t>Para estas segundas reuniones se hace evidente la necesidad de comenzar a desarrollar visiones y agendas más locales que permiten atender fenómenos específicos y endémicos de cada medio urbano en específico, de igual modo se hace hincapié en la visión ecosistémica.</w:t>
      </w:r>
    </w:p>
    <w:p>
      <w:pPr>
        <w:spacing w:line="360" w:lineRule="auto" w:before="122"/>
        <w:ind w:left="976" w:right="231" w:firstLine="0"/>
        <w:jc w:val="both"/>
        <w:rPr>
          <w:i/>
          <w:sz w:val="24"/>
        </w:rPr>
      </w:pPr>
      <w:r>
        <w:rPr>
          <w:i/>
          <w:sz w:val="24"/>
        </w:rPr>
        <w:t>“Previo a la reunión de Hannover, en una reunión organizada en la Haya, </w:t>
      </w:r>
      <w:r>
        <w:rPr>
          <w:i/>
          <w:sz w:val="24"/>
        </w:rPr>
        <w:t>Países Bajos, por Eurocités, en junio de 1999, la gestión urbana se enfoca por primera vez hacia la evaluación, y a las herramientas de medición. Se reafirma que las ciudades son creadoras de riqueza, motores del desarrollo y se aporta, por vez primera el concepto de evaluación por medio de tableros de control, de observatorios o de indicadores.” (Ídem)</w:t>
      </w:r>
    </w:p>
    <w:p>
      <w:pPr>
        <w:spacing w:line="360" w:lineRule="auto" w:before="122"/>
        <w:ind w:left="976" w:right="231" w:firstLine="0"/>
        <w:jc w:val="both"/>
        <w:rPr>
          <w:i/>
          <w:sz w:val="24"/>
        </w:rPr>
      </w:pPr>
      <w:r>
        <w:rPr>
          <w:i/>
          <w:sz w:val="24"/>
        </w:rPr>
        <w:t>“Hannover, Alemania, 2000. La tercera conferencia europea sobre CES se </w:t>
      </w:r>
      <w:r>
        <w:rPr>
          <w:i/>
          <w:sz w:val="24"/>
        </w:rPr>
        <w:t>llevó a cabo en Hanover y se intituló “La question Urbaine: orientation pour un débat européen”, que marca la convicción de la comisión europea de jugar un rol más activo en los desafíos del desarrollo urbano. Derivado de esta conferencia se creó un nuevo producto: “I ́Audit Urbain”, que contempla tres aspectos: I) La creación de un instrumento de evaluación y diagnóstico que permita medir la calidad de vida en las ciudades europeas y ponerlo a disposición</w:t>
      </w:r>
      <w:r>
        <w:rPr>
          <w:i/>
          <w:spacing w:val="54"/>
          <w:sz w:val="24"/>
        </w:rPr>
        <w:t> </w:t>
      </w:r>
      <w:r>
        <w:rPr>
          <w:i/>
          <w:sz w:val="24"/>
        </w:rPr>
        <w:t>de</w:t>
      </w:r>
      <w:r>
        <w:rPr>
          <w:i/>
          <w:spacing w:val="54"/>
          <w:sz w:val="24"/>
        </w:rPr>
        <w:t> </w:t>
      </w:r>
      <w:r>
        <w:rPr>
          <w:i/>
          <w:sz w:val="24"/>
        </w:rPr>
        <w:t>las</w:t>
      </w:r>
      <w:r>
        <w:rPr>
          <w:i/>
          <w:spacing w:val="54"/>
          <w:sz w:val="24"/>
        </w:rPr>
        <w:t> </w:t>
      </w:r>
      <w:r>
        <w:rPr>
          <w:i/>
          <w:sz w:val="24"/>
        </w:rPr>
        <w:t>autoridades;</w:t>
      </w:r>
      <w:r>
        <w:rPr>
          <w:i/>
          <w:spacing w:val="54"/>
          <w:sz w:val="24"/>
        </w:rPr>
        <w:t> </w:t>
      </w:r>
      <w:r>
        <w:rPr>
          <w:i/>
          <w:sz w:val="24"/>
        </w:rPr>
        <w:t>II)</w:t>
      </w:r>
      <w:r>
        <w:rPr>
          <w:i/>
          <w:spacing w:val="54"/>
          <w:sz w:val="24"/>
        </w:rPr>
        <w:t> </w:t>
      </w:r>
      <w:r>
        <w:rPr>
          <w:i/>
          <w:sz w:val="24"/>
        </w:rPr>
        <w:t>reunir</w:t>
      </w:r>
      <w:r>
        <w:rPr>
          <w:i/>
          <w:spacing w:val="54"/>
          <w:sz w:val="24"/>
        </w:rPr>
        <w:t> </w:t>
      </w:r>
      <w:r>
        <w:rPr>
          <w:i/>
          <w:sz w:val="24"/>
        </w:rPr>
        <w:t>la</w:t>
      </w:r>
      <w:r>
        <w:rPr>
          <w:i/>
          <w:spacing w:val="54"/>
          <w:sz w:val="24"/>
        </w:rPr>
        <w:t> </w:t>
      </w:r>
      <w:r>
        <w:rPr>
          <w:i/>
          <w:sz w:val="24"/>
        </w:rPr>
        <w:t>información</w:t>
      </w:r>
      <w:r>
        <w:rPr>
          <w:i/>
          <w:spacing w:val="54"/>
          <w:sz w:val="24"/>
        </w:rPr>
        <w:t> </w:t>
      </w:r>
      <w:r>
        <w:rPr>
          <w:i/>
          <w:sz w:val="24"/>
        </w:rPr>
        <w:t>en</w:t>
      </w:r>
      <w:r>
        <w:rPr>
          <w:i/>
          <w:spacing w:val="54"/>
          <w:sz w:val="24"/>
        </w:rPr>
        <w:t> </w:t>
      </w:r>
      <w:r>
        <w:rPr>
          <w:i/>
          <w:sz w:val="24"/>
        </w:rPr>
        <w:t>una</w:t>
      </w:r>
      <w:r>
        <w:rPr>
          <w:i/>
          <w:spacing w:val="54"/>
          <w:sz w:val="24"/>
        </w:rPr>
        <w:t> </w:t>
      </w:r>
      <w:r>
        <w:rPr>
          <w:i/>
          <w:sz w:val="24"/>
        </w:rPr>
        <w:t>base</w:t>
      </w:r>
      <w:r>
        <w:rPr>
          <w:i/>
          <w:spacing w:val="54"/>
          <w:sz w:val="24"/>
        </w:rPr>
        <w:t> </w:t>
      </w:r>
      <w:r>
        <w:rPr>
          <w:i/>
          <w:sz w:val="24"/>
        </w:rPr>
        <w:t>de</w:t>
      </w:r>
    </w:p>
    <w:p>
      <w:pPr>
        <w:spacing w:after="0" w:line="360" w:lineRule="auto"/>
        <w:jc w:val="both"/>
        <w:rPr>
          <w:sz w:val="24"/>
        </w:rPr>
        <w:sectPr>
          <w:pgSz w:w="12240" w:h="15840"/>
          <w:pgMar w:header="730" w:footer="1066" w:top="1320" w:bottom="1260" w:left="1720" w:right="1180"/>
        </w:sectPr>
      </w:pPr>
    </w:p>
    <w:p>
      <w:pPr>
        <w:pStyle w:val="BodyText"/>
        <w:spacing w:before="1"/>
        <w:rPr>
          <w:i/>
          <w:sz w:val="18"/>
        </w:rPr>
      </w:pPr>
    </w:p>
    <w:p>
      <w:pPr>
        <w:spacing w:line="360" w:lineRule="auto" w:before="69"/>
        <w:ind w:left="976" w:right="231" w:firstLine="0"/>
        <w:jc w:val="both"/>
        <w:rPr>
          <w:i/>
          <w:sz w:val="24"/>
        </w:rPr>
      </w:pPr>
      <w:r>
        <w:rPr/>
        <w:pict>
          <v:line style="position:absolute;mso-position-horizontal-relative:page;mso-position-vertical-relative:paragraph;z-index:3400" from="93.199997pt,-19.614155pt" to="546.799997pt,-19.614155pt" stroked="true" strokeweight=".479981pt" strokecolor="#000000">
            <w10:wrap type="none"/>
          </v:line>
        </w:pict>
      </w:r>
      <w:r>
        <w:rPr>
          <w:i/>
          <w:sz w:val="24"/>
        </w:rPr>
        <w:t>datos apoyada en una metodología; y III) la adopción de nuevos temas de </w:t>
      </w:r>
      <w:r>
        <w:rPr>
          <w:i/>
          <w:sz w:val="24"/>
        </w:rPr>
        <w:t>trabajo: instrumentos de evaluación (indicadores); legislación (traducción de los principios de desarrollo urbano sostenible) y por último, planificación urbana y diseño urbano.” (Ídem)</w:t>
      </w:r>
    </w:p>
    <w:p>
      <w:pPr>
        <w:spacing w:line="360" w:lineRule="auto" w:before="127"/>
        <w:ind w:left="976" w:right="231" w:firstLine="0"/>
        <w:jc w:val="both"/>
        <w:rPr>
          <w:i/>
          <w:sz w:val="24"/>
        </w:rPr>
      </w:pPr>
      <w:r>
        <w:rPr>
          <w:i/>
          <w:sz w:val="24"/>
        </w:rPr>
        <w:t>“La importancia para Europa de esta visión regional radica en que en la </w:t>
      </w:r>
      <w:r>
        <w:rPr>
          <w:i/>
          <w:sz w:val="24"/>
        </w:rPr>
        <w:t>conferencia de Hannover se reunieron delegados de 250 municipios de 36 países europeos, y que representan a 130 millones de personas que  habitan en zonas urbanas. A partir de Hannover 2000, el proyecto CES se denominó “Hacia un perfil de la sostenibilidad local. Indicadores comunes europeos”, desarrollada por un grupo de trabajo, que pretende apoyar a las autoridades locales en sus esfuerzos para alcanzar la sostenibilidad, y suministrar información objetiva y comparable sobre los avances en el ámbito de la sostenibilidad en toda Europa. La iniciativa se basa en un conjunto de indicadores integrados que reflejan las interacciones de los aspectos ambientales, económicos y sociales y está diseñada para medir los avances o retrocesos en materia de sostenibilidad, centrándose en la magnitud del cambio a lo largo del tiempo y en la determinación de tendencias y orientaciones en lugar de medidas absolutas.” (Ibídem,</w:t>
      </w:r>
      <w:r>
        <w:rPr>
          <w:i/>
          <w:spacing w:val="-3"/>
          <w:sz w:val="24"/>
        </w:rPr>
        <w:t> </w:t>
      </w:r>
      <w:r>
        <w:rPr>
          <w:i/>
          <w:sz w:val="24"/>
        </w:rPr>
        <w:t>116)</w:t>
      </w:r>
    </w:p>
    <w:p>
      <w:pPr>
        <w:spacing w:line="360" w:lineRule="auto" w:before="122"/>
        <w:ind w:left="976" w:right="231" w:firstLine="0"/>
        <w:jc w:val="both"/>
        <w:rPr>
          <w:i/>
          <w:sz w:val="24"/>
        </w:rPr>
      </w:pPr>
      <w:r>
        <w:rPr>
          <w:i/>
          <w:sz w:val="24"/>
        </w:rPr>
        <w:t>“El modelo adoptado se conoce como primera generación de indicadores </w:t>
      </w:r>
      <w:r>
        <w:rPr>
          <w:i/>
          <w:sz w:val="24"/>
        </w:rPr>
        <w:t>comunes europeos, y está dividido en 2 grupos: indicadores principales (obligatorios) e indicadores adicionales (voluntarios), éstos interactúan con seis principios o preocupaciones de sostenibilidad. Del primer grupo tenemos: I) satisfacción de los ciudadanos con la comunidad local; II) contribución local al cambio climático global; III) movilidad local y transporte de pasajeros; IV) existencia de zonas verdes públicas y de servicios locales;</w:t>
      </w:r>
    </w:p>
    <w:p>
      <w:pPr>
        <w:spacing w:line="360" w:lineRule="auto" w:before="7"/>
        <w:ind w:left="976" w:right="231" w:firstLine="0"/>
        <w:jc w:val="both"/>
        <w:rPr>
          <w:i/>
          <w:sz w:val="24"/>
        </w:rPr>
      </w:pPr>
      <w:r>
        <w:rPr>
          <w:i/>
          <w:sz w:val="24"/>
        </w:rPr>
        <w:t>V) calidad del aire en la localidad. Del segundo grupo se consideran: VI) </w:t>
      </w:r>
      <w:r>
        <w:rPr>
          <w:i/>
          <w:sz w:val="24"/>
        </w:rPr>
        <w:t>desplazamientos de los niños entre la casa y la escuela; VII) gestión sostenible de la autoridad local y de las empresas locales; VII) contaminación sonora; IX) utilización sostenible del suelo; y X) productos que fomentan la sostenibilidad.” (Ídem)</w:t>
      </w:r>
    </w:p>
    <w:p>
      <w:pPr>
        <w:spacing w:after="0" w:line="360" w:lineRule="auto"/>
        <w:jc w:val="both"/>
        <w:rPr>
          <w:sz w:val="24"/>
        </w:rPr>
        <w:sectPr>
          <w:pgSz w:w="12240" w:h="15840"/>
          <w:pgMar w:header="730" w:footer="1066" w:top="1320" w:bottom="1260" w:left="1720" w:right="1180"/>
        </w:sectPr>
      </w:pPr>
    </w:p>
    <w:p>
      <w:pPr>
        <w:pStyle w:val="BodyText"/>
        <w:rPr>
          <w:i/>
          <w:sz w:val="20"/>
        </w:rPr>
      </w:pPr>
    </w:p>
    <w:p>
      <w:pPr>
        <w:pStyle w:val="BodyText"/>
        <w:rPr>
          <w:i/>
          <w:sz w:val="20"/>
        </w:rPr>
      </w:pPr>
    </w:p>
    <w:p>
      <w:pPr>
        <w:pStyle w:val="BodyText"/>
        <w:spacing w:before="5"/>
        <w:rPr>
          <w:i/>
        </w:rPr>
      </w:pPr>
    </w:p>
    <w:p>
      <w:pPr>
        <w:spacing w:line="360" w:lineRule="auto" w:before="69"/>
        <w:ind w:left="976" w:right="231" w:firstLine="0"/>
        <w:jc w:val="both"/>
        <w:rPr>
          <w:i/>
          <w:sz w:val="24"/>
        </w:rPr>
      </w:pPr>
      <w:r>
        <w:rPr/>
        <w:pict>
          <v:line style="position:absolute;mso-position-horizontal-relative:page;mso-position-vertical-relative:paragraph;z-index:3424" from="93.199997pt,-46.254108pt" to="546.799997pt,-46.254108pt" stroked="true" strokeweight=".479981pt" strokecolor="#000000">
            <w10:wrap type="none"/>
          </v:line>
        </w:pict>
      </w:r>
      <w:r>
        <w:rPr>
          <w:i/>
          <w:sz w:val="24"/>
        </w:rPr>
        <w:t>“El modelo establece que los indicadores contarán con mediciones a lo  </w:t>
      </w:r>
      <w:r>
        <w:rPr>
          <w:i/>
          <w:sz w:val="24"/>
        </w:rPr>
        <w:t>largo del tiempo y no serán estáticas o fijas; que se debe contar con una perspectiva desde lo local y una visión hacia lo global; y se condiciona la comparabilidad para establecer una red de indicadores urbanos comunes europeos. Otra característica es la obligatoriedad de la aplicación del modelo por parte de los países miembros de la CE para el cumplimiento del proyecto.”</w:t>
      </w:r>
      <w:r>
        <w:rPr>
          <w:i/>
          <w:spacing w:val="-2"/>
          <w:sz w:val="24"/>
        </w:rPr>
        <w:t> </w:t>
      </w:r>
      <w:r>
        <w:rPr>
          <w:i/>
          <w:sz w:val="24"/>
        </w:rPr>
        <w:t>(Ídem)</w:t>
      </w:r>
    </w:p>
    <w:p>
      <w:pPr>
        <w:spacing w:line="360" w:lineRule="auto" w:before="127"/>
        <w:ind w:left="976" w:right="231" w:firstLine="0"/>
        <w:jc w:val="both"/>
        <w:rPr>
          <w:i/>
          <w:sz w:val="24"/>
        </w:rPr>
      </w:pPr>
      <w:r>
        <w:rPr>
          <w:i/>
          <w:sz w:val="24"/>
        </w:rPr>
        <w:t>“En Latinoamérica, en la década de los noventa los estudios urbanos se </w:t>
      </w:r>
      <w:r>
        <w:rPr>
          <w:i/>
          <w:sz w:val="24"/>
        </w:rPr>
        <w:t>centraban en investigaciones donde la información generada serviría de base para la gestión urbana, entendida ésta como la capacidad local para la promoción del desarrollo urbano, como se sintetiza en Jordan, et al. (2003), donde se reporta que la responsabilidad fundamental en las decisiones urbanas recae en los gobiernos, es decir, con una visión vertical; un cambio este enfoque, derivó -cinco años después- en líneas específicas de acción: desarrollo institucional, gestión del desarrollo urbano territorial, manejo ambiental urbano, y fortalecimiento de la participación y la ciudadanía. Desde esta época, se incorporan conceptos como la sustentabilidad y la participación social; no obstante, se trata de documentos más bien descriptivos, con un enfoque de previsión del futuro; no se advierten en  ellos instrumentos de evaluación o de medición.” (Ídidem:</w:t>
      </w:r>
      <w:r>
        <w:rPr>
          <w:i/>
          <w:spacing w:val="-3"/>
          <w:sz w:val="24"/>
        </w:rPr>
        <w:t> </w:t>
      </w:r>
      <w:r>
        <w:rPr>
          <w:i/>
          <w:sz w:val="24"/>
        </w:rPr>
        <w:t>122)</w:t>
      </w:r>
    </w:p>
    <w:p>
      <w:pPr>
        <w:spacing w:line="360" w:lineRule="auto" w:before="127"/>
        <w:ind w:left="976" w:right="231" w:firstLine="0"/>
        <w:jc w:val="both"/>
        <w:rPr>
          <w:i/>
          <w:sz w:val="24"/>
        </w:rPr>
      </w:pPr>
      <w:r>
        <w:rPr>
          <w:i/>
          <w:sz w:val="24"/>
        </w:rPr>
        <w:t>“En la parte conceptual, con el enfoque de la ciudad sostenible, Pesci </w:t>
      </w:r>
      <w:r>
        <w:rPr>
          <w:i/>
          <w:sz w:val="24"/>
        </w:rPr>
        <w:t>(2001; citado en Villasís; 2011) establece criterios de desarrollo sostenible para las ciudades intermedias latinoamericanas. El autor parte del señalamiento de una serie de deficiencias en el manejo de las ciudades, bajo el rubro de “criticidad esencial y políticas actuales”, que resume en los siguientes ejes o temas: excesiva concentración unipolar; degradación de los ecotonos naturales; impactos ambientales del incorrecto manejo del hábitat; escasez de espacios para la recreación y cultura; sistemas de flujo de   saneamiento,   energía   y   transporte   insuficientes   y </w:t>
      </w:r>
      <w:r>
        <w:rPr>
          <w:i/>
          <w:spacing w:val="3"/>
          <w:sz w:val="24"/>
        </w:rPr>
        <w:t> </w:t>
      </w:r>
      <w:r>
        <w:rPr>
          <w:i/>
          <w:sz w:val="24"/>
        </w:rPr>
        <w:t>contaminantes;</w:t>
      </w:r>
    </w:p>
    <w:p>
      <w:pPr>
        <w:spacing w:after="0" w:line="360" w:lineRule="auto"/>
        <w:jc w:val="both"/>
        <w:rPr>
          <w:sz w:val="24"/>
        </w:rPr>
        <w:sectPr>
          <w:pgSz w:w="12240" w:h="15840"/>
          <w:pgMar w:header="730" w:footer="1066" w:top="1320" w:bottom="1260" w:left="1720" w:right="1180"/>
        </w:sectPr>
      </w:pPr>
    </w:p>
    <w:p>
      <w:pPr>
        <w:pStyle w:val="BodyText"/>
        <w:spacing w:before="1"/>
        <w:rPr>
          <w:i/>
          <w:sz w:val="18"/>
        </w:rPr>
      </w:pPr>
    </w:p>
    <w:p>
      <w:pPr>
        <w:spacing w:line="360" w:lineRule="auto" w:before="69"/>
        <w:ind w:left="976" w:right="231" w:firstLine="0"/>
        <w:jc w:val="both"/>
        <w:rPr>
          <w:i/>
          <w:sz w:val="24"/>
        </w:rPr>
      </w:pPr>
      <w:r>
        <w:rPr/>
        <w:pict>
          <v:line style="position:absolute;mso-position-horizontal-relative:page;mso-position-vertical-relative:paragraph;z-index:3448" from="93.199997pt,-19.614155pt" to="546.799997pt,-19.614155pt" stroked="true" strokeweight=".479981pt" strokecolor="#000000">
            <w10:wrap type="none"/>
          </v:line>
        </w:pict>
      </w:r>
      <w:r>
        <w:rPr>
          <w:i/>
          <w:sz w:val="24"/>
        </w:rPr>
        <w:t>ineficaces sistemas de participación ciudadana en la gobernabilidad de la </w:t>
      </w:r>
      <w:r>
        <w:rPr>
          <w:i/>
          <w:sz w:val="24"/>
        </w:rPr>
        <w:t>ciudad; falta de concertación en la producción social, económica y urbanística de la ciudad, con discontinuidad e ineficacia en las políticas públicas.” (Ibídem: 124)</w:t>
      </w:r>
    </w:p>
    <w:p>
      <w:pPr>
        <w:pStyle w:val="BodyText"/>
        <w:spacing w:line="360" w:lineRule="auto" w:before="127"/>
        <w:ind w:left="268" w:right="231"/>
        <w:jc w:val="both"/>
      </w:pPr>
      <w:r>
        <w:rPr/>
        <w:t>Por lo tanto, Pesci (2001; citado en Villasís; 2011) explica que todos los principios científicos y técnicos para reorientar el desarrollo urbano para hacerlo más sostenible, serán insuficientes si no se acentúa el </w:t>
      </w:r>
      <w:r>
        <w:rPr>
          <w:i/>
        </w:rPr>
        <w:t>adecuado manejo del principio </w:t>
      </w:r>
      <w:r>
        <w:rPr>
          <w:i/>
        </w:rPr>
        <w:t>democrático y concertado, continuo y sostenible, de la producción de la ciudad</w:t>
      </w:r>
      <w:r>
        <w:rPr/>
        <w:t>. Concluye el autor que las ciudades intermedias son un factor vital para la calidad de vida y la reorganización del espacio territorial, y que “...organizando las redes de ciudades intermedias quizá sea la única forma de volverlas sostenibles”. Por lo que Villasís refiere que al revisar los principios propuestos por Pesci, éstos se tratan de reflexiones que aportan una visión nueva sobre los que debe ser la ciudad, pero que no establece criterios o elementos para su puesta en operación, por lo que falta pasar a los programas y a las acciones que comprometan a la sociedad y al gobierno en una tendencia hacia la ciudad sostenible.</w:t>
      </w:r>
      <w:r>
        <w:rPr>
          <w:spacing w:val="-1"/>
        </w:rPr>
        <w:t> </w:t>
      </w:r>
      <w:r>
        <w:rPr/>
        <w:t>(Idem)</w:t>
      </w:r>
    </w:p>
    <w:p>
      <w:pPr>
        <w:spacing w:line="362" w:lineRule="auto" w:before="122"/>
        <w:ind w:left="976" w:right="231" w:firstLine="0"/>
        <w:jc w:val="both"/>
        <w:rPr>
          <w:i/>
          <w:sz w:val="24"/>
        </w:rPr>
      </w:pPr>
      <w:r>
        <w:rPr>
          <w:i/>
          <w:sz w:val="24"/>
        </w:rPr>
        <w:t>“El debate entre las ciudades intermedias frente a las grandes zonas </w:t>
      </w:r>
      <w:r>
        <w:rPr>
          <w:i/>
          <w:sz w:val="24"/>
        </w:rPr>
        <w:t>metropolitanas ha sido abordado en diversos foros y por diversos autores;</w:t>
      </w:r>
    </w:p>
    <w:p>
      <w:pPr>
        <w:spacing w:line="360" w:lineRule="auto" w:before="0"/>
        <w:ind w:left="976" w:right="231" w:firstLine="0"/>
        <w:jc w:val="both"/>
        <w:rPr>
          <w:i/>
          <w:sz w:val="24"/>
        </w:rPr>
      </w:pPr>
      <w:r>
        <w:rPr>
          <w:i/>
          <w:sz w:val="24"/>
        </w:rPr>
        <w:t>¿puede aquí dejarse entrever algunos elementos de evaluación que </w:t>
      </w:r>
      <w:r>
        <w:rPr>
          <w:i/>
          <w:sz w:val="24"/>
        </w:rPr>
        <w:t>permitan apreciar las diferencias y similitudes entre los grandes centros urbanos, las ciudades intermedias y los centros de población más pequeños? En este sentido, Ballet y Llop (2000) sostienen que, en un mundo globalizado, el proceso de urbanización no se desarrolla en forma equilibrada y eficiente sobre el territorio; asimismo que la mayoría de la población urbana vive en ciudades de tamaño medio y pequeño, en contraste con las grandes aglomeraciones urbanas de las capitales de los pasases latinoamericanos. En este contexto, uno de los planteamientos de los autores radica en lo que denominan reequilibrio territorial, que se debe tener en cuenta ante la diversidad de los patrones de urbanización y funcionamiento   de   los   diferentes   sistemas   urbanos,   así   como     las</w:t>
      </w:r>
    </w:p>
    <w:p>
      <w:pPr>
        <w:spacing w:after="0" w:line="360" w:lineRule="auto"/>
        <w:jc w:val="both"/>
        <w:rPr>
          <w:sz w:val="24"/>
        </w:rPr>
        <w:sectPr>
          <w:pgSz w:w="12240" w:h="15840"/>
          <w:pgMar w:header="730" w:footer="1066" w:top="1320" w:bottom="1260" w:left="1720" w:right="1180"/>
        </w:sectPr>
      </w:pPr>
    </w:p>
    <w:p>
      <w:pPr>
        <w:pStyle w:val="BodyText"/>
        <w:spacing w:before="1"/>
        <w:rPr>
          <w:i/>
          <w:sz w:val="18"/>
        </w:rPr>
      </w:pPr>
    </w:p>
    <w:p>
      <w:pPr>
        <w:spacing w:line="360" w:lineRule="auto" w:before="69"/>
        <w:ind w:left="976" w:right="231" w:firstLine="0"/>
        <w:jc w:val="both"/>
        <w:rPr>
          <w:i/>
          <w:sz w:val="24"/>
        </w:rPr>
      </w:pPr>
      <w:r>
        <w:rPr/>
        <w:pict>
          <v:line style="position:absolute;mso-position-horizontal-relative:page;mso-position-vertical-relative:paragraph;z-index:3472" from="93.199997pt,-19.614155pt" to="546.799997pt,-19.614155pt" stroked="true" strokeweight=".479981pt" strokecolor="#000000">
            <w10:wrap type="none"/>
          </v:line>
        </w:pict>
      </w:r>
      <w:r>
        <w:rPr>
          <w:i/>
          <w:sz w:val="24"/>
        </w:rPr>
        <w:t>potencialidades y roles que juegan los núcleos/municipios en cada contexto </w:t>
      </w:r>
      <w:r>
        <w:rPr>
          <w:i/>
          <w:sz w:val="24"/>
        </w:rPr>
        <w:t>territorial. Villasís establece algunos puntos para el debate como: la cooperación para ciudades intermedias, la planificación estratégica, la planificación física o urbanística, los problemas del hábitat humano, y los problemas del urbanismo actual y futuro, el patrimonio cultural, los autores concluyen que “...no es posible que a las puertas del siglo XXI exista un urbanismo que no incorpore los criterios de sostenibilidad y respeto del entorno”. (Ibídem: 125)</w:t>
      </w:r>
    </w:p>
    <w:p>
      <w:pPr>
        <w:spacing w:line="360" w:lineRule="auto" w:before="127"/>
        <w:ind w:left="976" w:right="231" w:firstLine="0"/>
        <w:jc w:val="both"/>
        <w:rPr>
          <w:i/>
          <w:sz w:val="24"/>
        </w:rPr>
      </w:pPr>
      <w:r>
        <w:rPr>
          <w:i/>
          <w:sz w:val="24"/>
        </w:rPr>
        <w:t>“Los conceptos anteriores forman parte del programa UIA_CIMES, de la </w:t>
      </w:r>
      <w:r>
        <w:rPr>
          <w:i/>
          <w:sz w:val="24"/>
        </w:rPr>
        <w:t>Unión Internacional de Arquitectos y el programa de ciudades intermedias, donde se entiende la ciudad intermedia con elementos de una escala espacial y humana adecuada, y de ordenación urbanística física. En este programa de carácter mundial para las ciudades, manejado por una red de ciudades con enfoques hacia la planificación y hacia los proyectos de intervención urbana; y que cuenta con la asesoría de la UIA, cuenta con 83 ciudades de tamaño medio o intermedio de diversos países (desde 20,000 hasta 1 millón de habitantes), entre ellas se encuentra Mexicali, B.C., México.” (Ídem)</w:t>
      </w:r>
    </w:p>
    <w:p>
      <w:pPr>
        <w:spacing w:line="360" w:lineRule="auto" w:before="122"/>
        <w:ind w:left="976" w:right="231" w:firstLine="0"/>
        <w:jc w:val="both"/>
        <w:rPr>
          <w:i/>
          <w:sz w:val="24"/>
        </w:rPr>
      </w:pPr>
      <w:r>
        <w:rPr>
          <w:i/>
          <w:sz w:val="24"/>
        </w:rPr>
        <w:t>“Resalta que, dentro de los argumentos anteriores, no se encuentra la </w:t>
      </w:r>
      <w:r>
        <w:rPr>
          <w:i/>
          <w:sz w:val="24"/>
        </w:rPr>
        <w:t>dimensión ambiental en la ciudad y se sigue entendiendo como un espacio físico para los urbanistas. Cabe aquí destacar la importancia de la mención de la escala local, que se refleja en las explicaciones de los autores; y, por otra parte, el criterio de sostenibilidad, es un elemento que, si bien está presente, no establece vínculos con otros programas que participan de los criterios de sostenibilidad de los documentos y compromisos de la Agenda de Río de los lineamientos de UN-Hábitat.” (Ídem)</w:t>
      </w:r>
    </w:p>
    <w:p>
      <w:pPr>
        <w:spacing w:line="360" w:lineRule="auto" w:before="122"/>
        <w:ind w:left="976" w:right="231" w:firstLine="0"/>
        <w:jc w:val="both"/>
        <w:rPr>
          <w:i/>
          <w:sz w:val="24"/>
        </w:rPr>
      </w:pPr>
      <w:r>
        <w:rPr>
          <w:i/>
          <w:sz w:val="24"/>
        </w:rPr>
        <w:t>“Sobre la relación entre la gestión urbana y sistemas de evaluación del </w:t>
      </w:r>
      <w:r>
        <w:rPr>
          <w:i/>
          <w:sz w:val="24"/>
        </w:rPr>
        <w:t>desarrollo urbano sostenible en las ciudades de América latina, Velásquez (2003), hace una revisión de los casos señalando la importancia del componente de evaluación. No obstante, se encuentra en su propuesta el</w:t>
      </w:r>
    </w:p>
    <w:p>
      <w:pPr>
        <w:spacing w:after="0" w:line="360" w:lineRule="auto"/>
        <w:jc w:val="both"/>
        <w:rPr>
          <w:sz w:val="24"/>
        </w:rPr>
        <w:sectPr>
          <w:footerReference w:type="default" r:id="rId57"/>
          <w:pgSz w:w="12240" w:h="15840"/>
          <w:pgMar w:footer="1066" w:header="730" w:top="1320" w:bottom="1260" w:left="1720" w:right="1180"/>
        </w:sectPr>
      </w:pPr>
    </w:p>
    <w:p>
      <w:pPr>
        <w:pStyle w:val="BodyText"/>
        <w:spacing w:before="1"/>
        <w:rPr>
          <w:i/>
          <w:sz w:val="18"/>
        </w:rPr>
      </w:pPr>
    </w:p>
    <w:p>
      <w:pPr>
        <w:spacing w:line="360" w:lineRule="auto" w:before="69"/>
        <w:ind w:left="976" w:right="231" w:firstLine="0"/>
        <w:jc w:val="both"/>
        <w:rPr>
          <w:i/>
          <w:sz w:val="24"/>
        </w:rPr>
      </w:pPr>
      <w:r>
        <w:rPr/>
        <w:pict>
          <v:line style="position:absolute;mso-position-horizontal-relative:page;mso-position-vertical-relative:paragraph;z-index:3496" from="93.199997pt,-19.614155pt" to="546.799997pt,-19.614155pt" stroked="true" strokeweight=".479981pt" strokecolor="#000000">
            <w10:wrap type="none"/>
          </v:line>
        </w:pict>
      </w:r>
      <w:r>
        <w:rPr>
          <w:i/>
          <w:sz w:val="24"/>
        </w:rPr>
        <w:t>elemento de la participación social; pero también es de señalarse que la </w:t>
      </w:r>
      <w:r>
        <w:rPr>
          <w:i/>
          <w:sz w:val="24"/>
        </w:rPr>
        <w:t>parte relativa al seguimiento de los programas carece de instrumentos que permitan -objetivamente- medir sus avances. Por lo que nuevamente se observa que en Latinoamérica prevalece -desde la década de los noventa- el criterio de la gestión urbana.” (Ídem)</w:t>
      </w:r>
    </w:p>
    <w:p>
      <w:pPr>
        <w:spacing w:line="360" w:lineRule="auto" w:before="122"/>
        <w:ind w:left="976" w:right="231" w:firstLine="0"/>
        <w:jc w:val="both"/>
        <w:rPr>
          <w:i/>
          <w:sz w:val="24"/>
        </w:rPr>
      </w:pPr>
      <w:r>
        <w:rPr>
          <w:i/>
          <w:sz w:val="24"/>
        </w:rPr>
        <w:t>“Uno de los temas principales de la sustentabilidad es la definición de </w:t>
      </w:r>
      <w:r>
        <w:rPr>
          <w:i/>
          <w:sz w:val="24"/>
        </w:rPr>
        <w:t>criterios e indicadores que permitan la caracterización del estado de los recursos, la población y la economía y, por ende, del territorio donde éstos tienen su expresión última. “El papel de los criterios consiste en caracterizar o definir los elementos esenciales o el conjunto de condiciones o procesos mediante los cuales se puede evaluar la sustentabilidad” (y el territorio mismo; Reygadas, 2003). Por otra parte, los indicadores permiten medir (cuantitativamente, a través de tasas, cocientes e índices) o describir (cualitativamente) a los criterios; son “una medida de un aspecto del criterio” (El Proceso de Montreal, 1995). Los indicadores revelan condiciones y tendencias que pueden ser de utilidad en la planeación del desarrollo del territorio; de ahí su gran importancia en el marco de acuerdos regionales y mundiales, como los establecidos en el marco del Programa de Acción para el Desarrollo Sustentable, conocido como la Agenda 21.” (Palacio; 2004:16)</w:t>
      </w:r>
    </w:p>
    <w:p>
      <w:pPr>
        <w:pStyle w:val="BodyText"/>
        <w:spacing w:line="360" w:lineRule="auto" w:before="122"/>
        <w:ind w:left="268" w:right="231"/>
        <w:jc w:val="both"/>
      </w:pPr>
      <w:r>
        <w:rPr/>
        <w:t>Como se ha podido apreciar existe una diversidad enriquecida de conceptos relativos al desarrollo sostenible, la sostenibilidad y la sustentabilidad para muchos casos primordialmente se adopta la definición de la Comisión Mundial para el Medio Ambiente y el Desarrollo (ONU) que establece que la sostenibilidad involucra una relación entre los sistemas humano y ecológico que permite mejorar la calidad de vida, manteniendo, al mismo tiempo, la estructura, las funciones y la diversidad de los sistemas que sustentan la vida, la sociedad, la economía y el medio ambiente. Para el objeto de estudio, la búsqueda implica la identificación de un sistema de indicadores que refleje la sustentabilidad del territorio analizando la promoción, producción y desarrollo de vivienda formal en el Estado de México y como caso de estudio el municipio de Calimaya al ser el cuarto municipio con</w:t>
      </w:r>
    </w:p>
    <w:p>
      <w:pPr>
        <w:spacing w:after="0" w:line="360" w:lineRule="auto"/>
        <w:jc w:val="both"/>
        <w:sectPr>
          <w:footerReference w:type="default" r:id="rId58"/>
          <w:pgSz w:w="12240" w:h="15840"/>
          <w:pgMar w:footer="1066" w:header="730" w:top="1320" w:bottom="1260" w:left="1720" w:right="1180"/>
          <w:pgNumType w:start="91"/>
        </w:sectPr>
      </w:pPr>
    </w:p>
    <w:p>
      <w:pPr>
        <w:pStyle w:val="BodyText"/>
        <w:spacing w:before="1"/>
        <w:rPr>
          <w:sz w:val="18"/>
        </w:rPr>
      </w:pPr>
    </w:p>
    <w:p>
      <w:pPr>
        <w:pStyle w:val="BodyText"/>
        <w:spacing w:line="360" w:lineRule="auto" w:before="69"/>
        <w:ind w:left="268"/>
      </w:pPr>
      <w:r>
        <w:rPr/>
        <w:pict>
          <v:line style="position:absolute;mso-position-horizontal-relative:page;mso-position-vertical-relative:paragraph;z-index:3520" from="93.199997pt,-19.614155pt" to="546.799997pt,-19.614155pt" stroked="true" strokeweight=".479981pt" strokecolor="#000000">
            <w10:wrap type="none"/>
          </v:line>
        </w:pict>
      </w:r>
      <w:r>
        <w:rPr/>
        <w:t>mayor índice de superficie urbana de su territorio como se menciona en el capítulo cuatro de la investigación.</w:t>
      </w:r>
    </w:p>
    <w:p>
      <w:pPr>
        <w:spacing w:line="360" w:lineRule="auto" w:before="122"/>
        <w:ind w:left="976" w:right="231" w:firstLine="0"/>
        <w:jc w:val="both"/>
        <w:rPr>
          <w:i/>
          <w:sz w:val="24"/>
        </w:rPr>
      </w:pPr>
      <w:r>
        <w:rPr>
          <w:i/>
          <w:sz w:val="24"/>
        </w:rPr>
        <w:t>“Para el Consejo Internacional para las Iniciativas Ambientales Locales </w:t>
      </w:r>
      <w:r>
        <w:rPr>
          <w:i/>
          <w:sz w:val="24"/>
        </w:rPr>
        <w:t>(ICLEI) (2001), un indicador representa de manera simplificada “una situación dada en el marco de un sistema mayor, generalmente complejo”; por otra parte, hace énfasis en la importancia de “...no sólo revisar la selección de indicadores, sino también de la construcción de todo el  sistema de indicadores”. El modelo adoptado en Sustainable Seattle dice que los indicadores son “datos de la información o dan luz sobre todo un sistema”; agrega que son pequeñas ventanas que proveen una visión de la totalidad. Según la Organización para la Cooperación y el Desarrollo Económico (OCDE) (1994), un indicador se conoce como “parámetro -o valor derivado de los parámetros- que provee la información acerca del estado o situación de un fenómeno cuyo significado va más allá del valor directamente asociado al parámetro”; esta misma agencia define los índices como “un conjunto agregado, o con valores asignados, de parámetros o indicadores que reflejan una situación”. Para la Agencia de Protección Ambiental (EPA, por sus siglas en inglés) (1995), los Indicadores Ambientales (IA) son un parámetro o valor derivado del parámetro sobre variables definidas acerca de patrones o tendencias (cambios) en el estado del medio ambiente, actividades humanas que afectan o son afectadas por el medio ambiente o relaciones entre variables.” (Villasís;</w:t>
      </w:r>
      <w:r>
        <w:rPr>
          <w:i/>
          <w:spacing w:val="-1"/>
          <w:sz w:val="24"/>
        </w:rPr>
        <w:t> </w:t>
      </w:r>
      <w:r>
        <w:rPr>
          <w:i/>
          <w:sz w:val="24"/>
        </w:rPr>
        <w:t>2011:102)</w:t>
      </w:r>
    </w:p>
    <w:p>
      <w:pPr>
        <w:spacing w:line="360" w:lineRule="auto" w:before="122"/>
        <w:ind w:left="976" w:right="231" w:firstLine="0"/>
        <w:jc w:val="both"/>
        <w:rPr>
          <w:i/>
          <w:sz w:val="24"/>
        </w:rPr>
      </w:pPr>
      <w:r>
        <w:rPr>
          <w:i/>
          <w:sz w:val="24"/>
        </w:rPr>
        <w:t>“Otro tipo de indicadores que se han utilizado para entender la relación </w:t>
      </w:r>
      <w:r>
        <w:rPr>
          <w:i/>
          <w:sz w:val="24"/>
        </w:rPr>
        <w:t>sociedad y naturaleza se le denomina Indicadores de Desarrollo Sostenible (IDS). Nieto (2000:2) afirma que son instrumentos para “comprender en forma explícita y sistemática, los cambios que se generan al tratar de conciliar los procesos ambientales, económicos y/o sociales”. En un recuento sobre las iniciativas de indicadores, Nieto (2002) identifica 429 iniciativas. Esto significa los sistemas de indicadores se está fortaleciendo y que  están  fortaleciendo  a  nivel  mundial.  Dentro  de  las  funciones  </w:t>
      </w:r>
      <w:r>
        <w:rPr>
          <w:i/>
          <w:spacing w:val="53"/>
          <w:sz w:val="24"/>
        </w:rPr>
        <w:t> </w:t>
      </w:r>
      <w:r>
        <w:rPr>
          <w:i/>
          <w:sz w:val="24"/>
        </w:rPr>
        <w:t>más</w:t>
      </w:r>
    </w:p>
    <w:p>
      <w:pPr>
        <w:spacing w:after="0" w:line="360" w:lineRule="auto"/>
        <w:jc w:val="both"/>
        <w:rPr>
          <w:sz w:val="24"/>
        </w:rPr>
        <w:sectPr>
          <w:pgSz w:w="12240" w:h="15840"/>
          <w:pgMar w:header="730" w:footer="1066" w:top="1320" w:bottom="1260" w:left="1720" w:right="1180"/>
        </w:sectPr>
      </w:pPr>
    </w:p>
    <w:p>
      <w:pPr>
        <w:pStyle w:val="BodyText"/>
        <w:spacing w:before="1"/>
        <w:rPr>
          <w:i/>
          <w:sz w:val="18"/>
        </w:rPr>
      </w:pPr>
    </w:p>
    <w:p>
      <w:pPr>
        <w:spacing w:line="360" w:lineRule="auto" w:before="69"/>
        <w:ind w:left="976" w:right="231" w:firstLine="0"/>
        <w:jc w:val="both"/>
        <w:rPr>
          <w:i/>
          <w:sz w:val="24"/>
        </w:rPr>
      </w:pPr>
      <w:r>
        <w:rPr/>
        <w:pict>
          <v:line style="position:absolute;mso-position-horizontal-relative:page;mso-position-vertical-relative:paragraph;z-index:3544" from="93.199997pt,-19.614155pt" to="546.799997pt,-19.614155pt" stroked="true" strokeweight=".479981pt" strokecolor="#000000">
            <w10:wrap type="none"/>
          </v:line>
        </w:pict>
      </w:r>
      <w:r>
        <w:rPr>
          <w:i/>
          <w:sz w:val="24"/>
        </w:rPr>
        <w:t>comunes que se esperan de un indicador están las definidas por la OCDE </w:t>
      </w:r>
      <w:r>
        <w:rPr>
          <w:i/>
          <w:sz w:val="24"/>
        </w:rPr>
        <w:t>(1997) donde se determina su simplificación, cuantificación y comunicación. Por otra parte, el modelo de indicadores más utilizado por este organismo internacional denomina PER, presión-estado-respuesta.” (Villasís; 2011:102)</w:t>
      </w:r>
    </w:p>
    <w:p>
      <w:pPr>
        <w:spacing w:line="360" w:lineRule="auto" w:before="122"/>
        <w:ind w:left="976" w:right="231" w:firstLine="0"/>
        <w:jc w:val="both"/>
        <w:rPr>
          <w:i/>
          <w:sz w:val="24"/>
        </w:rPr>
      </w:pPr>
      <w:r>
        <w:rPr>
          <w:i/>
          <w:sz w:val="24"/>
        </w:rPr>
        <w:t>“Según Winograd (1996), el marco conceptual proporciona la manera o </w:t>
      </w:r>
      <w:r>
        <w:rPr>
          <w:i/>
          <w:sz w:val="24"/>
        </w:rPr>
        <w:t>modelo de categorizar y organizar la información acerca de un tema.  Agrega el autor que existen tres clases de modelos para la recolección, análisis y comunicación de la información ambiental: a) modelos acerca del proceso y estrategia de toma de decisiones; b) modelos de las cadenas o flujos causales de las interacciones sociedad-medio ambiente; y c) modelos espaciales. Por otra parte, Winograd (1996) establece como modelo la representación simplificada de un proceso o sistema que puede servir (modelo matemático) para simular el comportamiento y/o evolución del proceso o sistema.” (Ibídem,</w:t>
      </w:r>
      <w:r>
        <w:rPr>
          <w:i/>
          <w:spacing w:val="-3"/>
          <w:sz w:val="24"/>
        </w:rPr>
        <w:t> </w:t>
      </w:r>
      <w:r>
        <w:rPr>
          <w:i/>
          <w:sz w:val="24"/>
        </w:rPr>
        <w:t>104)</w:t>
      </w:r>
    </w:p>
    <w:p>
      <w:pPr>
        <w:spacing w:line="360" w:lineRule="auto" w:before="122"/>
        <w:ind w:left="976" w:right="231" w:firstLine="0"/>
        <w:jc w:val="both"/>
        <w:rPr>
          <w:i/>
          <w:sz w:val="24"/>
        </w:rPr>
      </w:pPr>
      <w:r>
        <w:rPr>
          <w:i/>
          <w:sz w:val="24"/>
        </w:rPr>
        <w:t>“Los esfuerzos en materia de indicadores urbano-ambientales tienen más  </w:t>
      </w:r>
      <w:r>
        <w:rPr>
          <w:i/>
          <w:sz w:val="24"/>
        </w:rPr>
        <w:t>de una década; en particular desde la agencia Hábitat (1976, 1997, 1999, 2000) se han realizado acciones para formular indicadores urbanos sobre el desempeño de las ciudades. Diversos autores (Castro, 2003; Rueda, 2000; Escobar et al., 2004) se refieren a los antecedentes del uso de indicadores en 1992, en la Cumbre de la Tierra de Río de Janeiro, conocida como “Agenda 21 de Río” (capítulo 40); y en la Comisión para el Desarrollo Sostenible (CDS) de la ONU en abril de 1995, donde se aprobó el  Programa de Trabajo sobre Indicadores de Desarrollo Sustentable (IDS, 1995-2000) a instrumentarse en diferentes etapas. El trabajo sobre estos indicadores, en su primera fase, no estableció un apartado especial sobre indicadores urbanos o de sostenibilidad urbana.” (Ibídem,</w:t>
      </w:r>
      <w:r>
        <w:rPr>
          <w:i/>
          <w:spacing w:val="-4"/>
          <w:sz w:val="24"/>
        </w:rPr>
        <w:t> </w:t>
      </w:r>
      <w:r>
        <w:rPr>
          <w:i/>
          <w:sz w:val="24"/>
        </w:rPr>
        <w:t>109)</w:t>
      </w:r>
    </w:p>
    <w:p>
      <w:pPr>
        <w:pStyle w:val="BodyText"/>
        <w:spacing w:line="360" w:lineRule="auto" w:before="122"/>
        <w:ind w:left="268" w:right="231"/>
        <w:jc w:val="both"/>
      </w:pPr>
      <w:r>
        <w:rPr/>
        <w:t>De igual modo Castro (2002) señala que, emparentados con la amplia familia de indicadores medioambientales, los llamados indicadores de desarrollo sustentable, o simplemente indicadores de sustentabilidad, han experimentado un considerable</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3568" from="93.199997pt,-19.614155pt" to="546.799997pt,-19.614155pt" stroked="true" strokeweight=".479981pt" strokecolor="#000000">
            <w10:wrap type="none"/>
          </v:line>
        </w:pict>
      </w:r>
      <w:r>
        <w:rPr/>
        <w:t>auge, sobre todo desde el lanzamiento de la Agenda 21 (UNCED, 1992) y la vasta selección de indicadores de desarrollo sostenible realizada por Naciones Unidas  en su “libro azul” (UNCSD, 1996) organizados según una variante de la metodología PER. (Carreño; 2009)</w:t>
      </w:r>
    </w:p>
    <w:p>
      <w:pPr>
        <w:pStyle w:val="BodyText"/>
        <w:spacing w:line="360" w:lineRule="auto" w:before="127"/>
        <w:ind w:left="268" w:right="231"/>
        <w:jc w:val="both"/>
      </w:pPr>
      <w:r>
        <w:rPr/>
        <w:t>Dada la multiplicidad y heterogeneidad de las medidas de sustentabilidad, no existe un consenso en este sentido (Hammond </w:t>
      </w:r>
      <w:r>
        <w:rPr>
          <w:i/>
        </w:rPr>
        <w:t>et al.</w:t>
      </w:r>
      <w:r>
        <w:rPr/>
        <w:t>, 1995; Hinterberger </w:t>
      </w:r>
      <w:r>
        <w:rPr>
          <w:i/>
        </w:rPr>
        <w:t>et al.</w:t>
      </w:r>
      <w:r>
        <w:rPr/>
        <w:t>, 1997; Lenz </w:t>
      </w:r>
      <w:r>
        <w:rPr>
          <w:i/>
        </w:rPr>
        <w:t>et al.</w:t>
      </w:r>
      <w:r>
        <w:rPr/>
        <w:t>, 2000), máxime cuando este tipo de indicadores se aplica desde la escala local a la internacional, pasando por la nacional Detrás de cada propuesta de indicadores (Castro, 2002) se encuentra una determinada conceptualización del desarrollo sostenible. En la Conferencia sobre "Medida del Desarrollo Sostenible", realizada en Bellagio (Hardi y Zdan, 1997), se destacó que cualquier proceso de medida y evaluación de la sostenibilidad ha de guiarse por una visión operativa del desarrollo sostenible basada en unos objetivos muy  claros, sobre la base de un enfoque comprehensivo u holístico. Su finalidad es indicar de alguna forma si las actividades humanas, el uso de recursos naturales o determinadas funciones ambientales pueden considerarse sostenibles de acuerdo a algún criterio de sostenibilidad </w:t>
      </w:r>
      <w:r>
        <w:rPr>
          <w:i/>
        </w:rPr>
        <w:t>ad hoc</w:t>
      </w:r>
      <w:r>
        <w:rPr/>
        <w:t>. En definitiva, miden la brecha existente entre el desarrollo actual y aquel definido como sostenible (Opschoor y Reijnders, 1991), medida que está claramente sesgada hacia los valores básicos de la sociedad actual. (Carreño; 2009)</w:t>
      </w:r>
    </w:p>
    <w:p>
      <w:pPr>
        <w:pStyle w:val="BodyText"/>
        <w:spacing w:line="360" w:lineRule="auto" w:before="122"/>
        <w:ind w:left="268" w:right="231"/>
        <w:jc w:val="both"/>
      </w:pPr>
      <w:r>
        <w:rPr/>
        <w:t>La elección de los indicadores no es un asunto meramente técnico, pues si bien inicialmente son resultado de los objetivos políticos, acaban conformando y encorsetando los mismos, excluyendo prácticamente otros indicadores. Como señala la Comisión Europea (CCE, 1996:46), “el procedimiento de determinación de indicadores influirá en la formación de nociones sobre lo que es el desarrollo sostenible”. Un sistema de indicadores distorsionado bien por la escasa información existente, o por el mal entendimiento de sus interrelaciones, puede provocar concepciones erróneas de la sostenibilidad. (Castro, 2002 citado en Carreño; 2009)</w:t>
      </w:r>
    </w:p>
    <w:p>
      <w:pPr>
        <w:spacing w:after="0" w:line="360" w:lineRule="auto"/>
        <w:jc w:val="both"/>
        <w:sectPr>
          <w:pgSz w:w="12240" w:h="15840"/>
          <w:pgMar w:header="730" w:footer="1066" w:top="1320" w:bottom="1260" w:left="1720" w:right="1180"/>
        </w:sectPr>
      </w:pPr>
    </w:p>
    <w:p>
      <w:pPr>
        <w:pStyle w:val="BodyText"/>
        <w:spacing w:before="1"/>
        <w:rPr>
          <w:sz w:val="18"/>
        </w:rPr>
      </w:pPr>
    </w:p>
    <w:p>
      <w:pPr>
        <w:spacing w:line="360" w:lineRule="auto" w:before="69"/>
        <w:ind w:left="268" w:right="231" w:firstLine="0"/>
        <w:jc w:val="both"/>
        <w:rPr>
          <w:sz w:val="24"/>
        </w:rPr>
      </w:pPr>
      <w:r>
        <w:rPr/>
        <w:pict>
          <v:line style="position:absolute;mso-position-horizontal-relative:page;mso-position-vertical-relative:paragraph;z-index:3592" from="93.199997pt,-19.614155pt" to="546.799997pt,-19.614155pt" stroked="true" strokeweight=".479981pt" strokecolor="#000000">
            <w10:wrap type="none"/>
          </v:line>
        </w:pict>
      </w:r>
      <w:r>
        <w:rPr>
          <w:sz w:val="24"/>
        </w:rPr>
        <w:t>La Agenda 21 de la Conferencia de las Naciones Unidas sobre Medio ambiente y Desarrollo (UNCED) considera la función de estos indicadores en su capítulo 40: </w:t>
      </w:r>
      <w:r>
        <w:rPr>
          <w:i/>
          <w:sz w:val="24"/>
        </w:rPr>
        <w:t>“Se necesitan desarrollar indicadores de desarrollo sostenible para dotar de bases </w:t>
      </w:r>
      <w:r>
        <w:rPr>
          <w:i/>
          <w:sz w:val="24"/>
        </w:rPr>
        <w:t>sólidas la toma de decisiones a todos los niveles y contribuir a la sostenibilidad autorregulada de los sistemas que integran el desarrollo y el medio ambiente.” </w:t>
      </w:r>
      <w:r>
        <w:rPr>
          <w:sz w:val="24"/>
        </w:rPr>
        <w:t>No obstante, no se ha de abandonar la investigación de las interrelaciones entre los ecosistemas naturales y artificiales. En este sentido, Boisvert </w:t>
      </w:r>
      <w:r>
        <w:rPr>
          <w:i/>
          <w:sz w:val="24"/>
        </w:rPr>
        <w:t>et al. </w:t>
      </w:r>
      <w:r>
        <w:rPr>
          <w:sz w:val="24"/>
        </w:rPr>
        <w:t>(1998) definen los indicadores de sostenibilidad como el resultado del compromiso entre el conocimiento científico disponible y las necesidades de información ambiental en la toma de decisiones. Reconociendo las limitaciones de los análisis globales, el interés de los indicadores de sostenibilidad es cuantificar los impactos y los resultados en ámbitos específicos en materia de desarrollo sustentable. (Castro, 2002)</w:t>
      </w:r>
    </w:p>
    <w:p>
      <w:pPr>
        <w:pStyle w:val="BodyText"/>
        <w:spacing w:line="360" w:lineRule="auto" w:before="127"/>
        <w:ind w:left="268" w:right="233"/>
        <w:jc w:val="both"/>
      </w:pPr>
      <w:r>
        <w:rPr/>
        <w:t>Kuik y Gilbert (1999), realizan un intento de sistematizar las distintas aportaciones en materia de indicadores de sostenibilidad. Para ello, según Castro (2002) distinguen tres grupos:</w:t>
      </w:r>
    </w:p>
    <w:p>
      <w:pPr>
        <w:pStyle w:val="ListParagraph"/>
        <w:numPr>
          <w:ilvl w:val="0"/>
          <w:numId w:val="13"/>
        </w:numPr>
        <w:tabs>
          <w:tab w:pos="1416" w:val="left" w:leader="none"/>
        </w:tabs>
        <w:spacing w:line="360" w:lineRule="auto" w:before="122" w:after="0"/>
        <w:ind w:left="988" w:right="231" w:firstLine="0"/>
        <w:jc w:val="both"/>
        <w:rPr>
          <w:sz w:val="24"/>
        </w:rPr>
      </w:pPr>
      <w:r>
        <w:rPr>
          <w:sz w:val="24"/>
        </w:rPr>
        <w:t>Indicadores socioeconómicos e indicadores ambientales. Se utilizan indicadores diferenciados para los subsistemas socioeconómico y ambiental, aunque íntimamente ligados por relaciones causales. Se trata  del enfoque PER de la OCDE, también seguido por Naciones Unidas, así como el sistema de indicadores de presión de la Unión Europea (EUROSTAT, 2000) entre otros.</w:t>
      </w:r>
    </w:p>
    <w:p>
      <w:pPr>
        <w:pStyle w:val="ListParagraph"/>
        <w:numPr>
          <w:ilvl w:val="0"/>
          <w:numId w:val="13"/>
        </w:numPr>
        <w:tabs>
          <w:tab w:pos="1349" w:val="left" w:leader="none"/>
        </w:tabs>
        <w:spacing w:line="360" w:lineRule="auto" w:before="122" w:after="0"/>
        <w:ind w:left="988" w:right="231" w:firstLine="0"/>
        <w:jc w:val="both"/>
        <w:rPr>
          <w:sz w:val="24"/>
        </w:rPr>
      </w:pPr>
      <w:r>
        <w:rPr>
          <w:sz w:val="24"/>
        </w:rPr>
        <w:t>Indicadores “libres”. En esta categoría se incluyen aquellos otros indicadores que se refieren a cualquier aspecto de la relación medio ambiente-desarrollo con utilidad para la toma de decisiones. El ejemplo más conocido es el sistema de indicadores de Seattle Sostenible (Sustainable Seattle, 1995), con numerosos indicadores relativos a estilos de vida sostenible.</w:t>
      </w:r>
    </w:p>
    <w:p>
      <w:pPr>
        <w:spacing w:after="0" w:line="360" w:lineRule="auto"/>
        <w:jc w:val="both"/>
        <w:rPr>
          <w:sz w:val="24"/>
        </w:rPr>
        <w:sectPr>
          <w:pgSz w:w="12240" w:h="15840"/>
          <w:pgMar w:header="730" w:footer="1066" w:top="1320" w:bottom="1260" w:left="1720" w:right="1180"/>
        </w:sectPr>
      </w:pPr>
    </w:p>
    <w:p>
      <w:pPr>
        <w:pStyle w:val="BodyText"/>
        <w:spacing w:before="1"/>
        <w:rPr>
          <w:sz w:val="18"/>
        </w:rPr>
      </w:pPr>
    </w:p>
    <w:p>
      <w:pPr>
        <w:pStyle w:val="ListParagraph"/>
        <w:numPr>
          <w:ilvl w:val="0"/>
          <w:numId w:val="13"/>
        </w:numPr>
        <w:tabs>
          <w:tab w:pos="1349" w:val="left" w:leader="none"/>
        </w:tabs>
        <w:spacing w:line="360" w:lineRule="auto" w:before="69" w:after="0"/>
        <w:ind w:left="988" w:right="231" w:firstLine="0"/>
        <w:jc w:val="both"/>
        <w:rPr>
          <w:sz w:val="24"/>
        </w:rPr>
      </w:pPr>
      <w:r>
        <w:rPr/>
        <w:pict>
          <v:line style="position:absolute;mso-position-horizontal-relative:page;mso-position-vertical-relative:paragraph;z-index:3616" from="93.199997pt,-19.614155pt" to="546.799997pt,-19.614155pt" stroked="true" strokeweight=".479981pt" strokecolor="#000000">
            <w10:wrap type="none"/>
          </v:line>
        </w:pict>
      </w:r>
      <w:r>
        <w:rPr>
          <w:sz w:val="24"/>
        </w:rPr>
        <w:t>Indicadores agregados. Se expresa el indicador en una métrica común, normalmente en términos monetarios (PNB (producto nacional bruto) corregido, Ahorro genuino o auténtico, etc.) o energéticos (energía,</w:t>
      </w:r>
      <w:r>
        <w:rPr>
          <w:spacing w:val="-4"/>
          <w:sz w:val="24"/>
        </w:rPr>
        <w:t> </w:t>
      </w:r>
      <w:r>
        <w:rPr>
          <w:sz w:val="24"/>
        </w:rPr>
        <w:t>etc.).</w:t>
      </w:r>
    </w:p>
    <w:p>
      <w:pPr>
        <w:pStyle w:val="BodyText"/>
      </w:pPr>
    </w:p>
    <w:p>
      <w:pPr>
        <w:pStyle w:val="BodyText"/>
        <w:spacing w:before="4"/>
        <w:rPr>
          <w:sz w:val="33"/>
        </w:rPr>
      </w:pPr>
    </w:p>
    <w:p>
      <w:pPr>
        <w:pStyle w:val="BodyText"/>
        <w:spacing w:before="1"/>
        <w:ind w:left="268"/>
        <w:jc w:val="both"/>
      </w:pPr>
      <w:r>
        <w:rPr/>
        <w:t>Alberdi (1996) propone cuatro áreas para los indicadores de sustentabilidad</w:t>
      </w:r>
    </w:p>
    <w:p>
      <w:pPr>
        <w:pStyle w:val="BodyText"/>
        <w:spacing w:before="3"/>
        <w:rPr>
          <w:sz w:val="22"/>
        </w:rPr>
      </w:pPr>
    </w:p>
    <w:p>
      <w:pPr>
        <w:pStyle w:val="ListParagraph"/>
        <w:numPr>
          <w:ilvl w:val="0"/>
          <w:numId w:val="14"/>
        </w:numPr>
        <w:tabs>
          <w:tab w:pos="989" w:val="left" w:leader="none"/>
        </w:tabs>
        <w:spacing w:line="360" w:lineRule="auto" w:before="1" w:after="0"/>
        <w:ind w:left="988" w:right="231" w:hanging="360"/>
        <w:jc w:val="both"/>
        <w:rPr>
          <w:sz w:val="24"/>
        </w:rPr>
      </w:pPr>
      <w:r>
        <w:rPr>
          <w:sz w:val="24"/>
        </w:rPr>
        <w:t>Indicadores de fuente. Referidos al agotamiento de los recursos usados por la actividad humana en referencia a sus estados naturales y procesos biológicos necesarios para sostenerlos (p.e.: consumo urbano de agua en relación al consumo del ecosistema natural).</w:t>
      </w:r>
    </w:p>
    <w:p>
      <w:pPr>
        <w:pStyle w:val="ListParagraph"/>
        <w:numPr>
          <w:ilvl w:val="0"/>
          <w:numId w:val="14"/>
        </w:numPr>
        <w:tabs>
          <w:tab w:pos="989" w:val="left" w:leader="none"/>
        </w:tabs>
        <w:spacing w:line="360" w:lineRule="auto" w:before="122" w:after="0"/>
        <w:ind w:left="988" w:right="231" w:hanging="360"/>
        <w:jc w:val="both"/>
        <w:rPr>
          <w:sz w:val="24"/>
        </w:rPr>
      </w:pPr>
      <w:r>
        <w:rPr>
          <w:sz w:val="24"/>
        </w:rPr>
        <w:t>Indicadores de sumidero. Definidos para evaluar la capacidad del medio ambiente para absorber las emisiones y los residuos (p.e.: inmisiones de ozono).</w:t>
      </w:r>
    </w:p>
    <w:p>
      <w:pPr>
        <w:pStyle w:val="ListParagraph"/>
        <w:numPr>
          <w:ilvl w:val="0"/>
          <w:numId w:val="14"/>
        </w:numPr>
        <w:tabs>
          <w:tab w:pos="989" w:val="left" w:leader="none"/>
        </w:tabs>
        <w:spacing w:line="360" w:lineRule="auto" w:before="122" w:after="0"/>
        <w:ind w:left="988" w:right="231" w:hanging="360"/>
        <w:jc w:val="both"/>
        <w:rPr>
          <w:sz w:val="24"/>
        </w:rPr>
      </w:pPr>
      <w:r>
        <w:rPr>
          <w:sz w:val="24"/>
        </w:rPr>
        <w:t>Indicadores de sistema de soporte ecológico. Destinados a controlar las variaciones en los sistemas naturales soporte de la vida. En el  medio urbano pueden referirse a pérdida de biodiversidad en la escala local.</w:t>
      </w:r>
    </w:p>
    <w:p>
      <w:pPr>
        <w:pStyle w:val="ListParagraph"/>
        <w:numPr>
          <w:ilvl w:val="0"/>
          <w:numId w:val="14"/>
        </w:numPr>
        <w:tabs>
          <w:tab w:pos="989" w:val="left" w:leader="none"/>
        </w:tabs>
        <w:spacing w:line="360" w:lineRule="auto" w:before="122" w:after="0"/>
        <w:ind w:left="988" w:right="231" w:hanging="360"/>
        <w:jc w:val="both"/>
        <w:rPr>
          <w:sz w:val="24"/>
        </w:rPr>
      </w:pPr>
      <w:r>
        <w:rPr>
          <w:sz w:val="24"/>
        </w:rPr>
        <w:t>Indicadores de impacto humano y bienestar. De gran uso, estos indicadores se refieren a la medida de los problemas locales en materia de salud pública, desempleo, desigualdad, vivienda, etc.</w:t>
      </w:r>
    </w:p>
    <w:p>
      <w:pPr>
        <w:pStyle w:val="BodyText"/>
        <w:spacing w:line="360" w:lineRule="auto" w:before="122"/>
        <w:ind w:left="268" w:right="231"/>
        <w:jc w:val="both"/>
      </w:pPr>
      <w:r>
        <w:rPr/>
        <w:t>Una oportunidad especial para esta investigación apunta que actualmente no existen evaluaciones de sustentabilidad en las autorizaciones de conjuntos urbanos cual fuere el tipo de éstos; por lo que esta investigación es una propuesta inicial para contar con un sistema de indicadores que permita desarrollar éste nicho aún no explorado, ya que los indicadores y sistemas de indicadores son instrumentos ágiles que permiten evaluar de manera ordenada y eficiente, facilitando el monitorear diversas variables espacial y temporalmente. Otra faceta sobre los indicadores de sustentabilidad radica en que requieren de una etapa experimental, cuyos avances pudieran ser monitoreados por expertos en las diversas áreas de la observación urbana sustentable. Finalmente, considerar una etapa</w:t>
      </w:r>
      <w:r>
        <w:rPr>
          <w:spacing w:val="30"/>
        </w:rPr>
        <w:t> </w:t>
      </w:r>
      <w:r>
        <w:rPr/>
        <w:t>de</w:t>
      </w:r>
      <w:r>
        <w:rPr>
          <w:spacing w:val="30"/>
        </w:rPr>
        <w:t> </w:t>
      </w:r>
      <w:r>
        <w:rPr/>
        <w:t>transferencia</w:t>
      </w:r>
      <w:r>
        <w:rPr>
          <w:spacing w:val="30"/>
        </w:rPr>
        <w:t> </w:t>
      </w:r>
      <w:r>
        <w:rPr/>
        <w:t>de</w:t>
      </w:r>
      <w:r>
        <w:rPr>
          <w:spacing w:val="30"/>
        </w:rPr>
        <w:t> </w:t>
      </w:r>
      <w:r>
        <w:rPr/>
        <w:t>la</w:t>
      </w:r>
      <w:r>
        <w:rPr>
          <w:spacing w:val="30"/>
        </w:rPr>
        <w:t> </w:t>
      </w:r>
      <w:r>
        <w:rPr/>
        <w:t>información</w:t>
      </w:r>
      <w:r>
        <w:rPr>
          <w:spacing w:val="30"/>
        </w:rPr>
        <w:t> </w:t>
      </w:r>
      <w:r>
        <w:rPr/>
        <w:t>de</w:t>
      </w:r>
      <w:r>
        <w:rPr>
          <w:spacing w:val="30"/>
        </w:rPr>
        <w:t> </w:t>
      </w:r>
      <w:r>
        <w:rPr/>
        <w:t>conocimientos</w:t>
      </w:r>
      <w:r>
        <w:rPr>
          <w:spacing w:val="30"/>
        </w:rPr>
        <w:t> </w:t>
      </w:r>
      <w:r>
        <w:rPr/>
        <w:t>y</w:t>
      </w:r>
      <w:r>
        <w:rPr>
          <w:spacing w:val="30"/>
        </w:rPr>
        <w:t> </w:t>
      </w:r>
      <w:r>
        <w:rPr/>
        <w:t>resultados</w:t>
      </w:r>
      <w:r>
        <w:rPr>
          <w:spacing w:val="30"/>
        </w:rPr>
        <w:t> </w:t>
      </w:r>
      <w:r>
        <w:rPr/>
        <w:t>para</w:t>
      </w:r>
      <w:r>
        <w:rPr>
          <w:spacing w:val="30"/>
        </w:rPr>
        <w:t> </w:t>
      </w:r>
      <w:r>
        <w:rPr/>
        <w:t>los</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3640" from="93.199997pt,-19.614155pt" to="546.799997pt,-19.614155pt" stroked="true" strokeweight=".479981pt" strokecolor="#000000">
            <w10:wrap type="none"/>
          </v:line>
        </w:pict>
      </w:r>
      <w:r>
        <w:rPr/>
        <w:t>diversos usuarios. Según Mendo (2008:34, citado en Villasís, 2011) uno de los retos que se avizoran en la construcción de modelos de indicadores urbanos es el incremento de la participación en la discusión sobre la ciudad y sus proyectos.</w:t>
      </w:r>
    </w:p>
    <w:p>
      <w:pPr>
        <w:pStyle w:val="BodyText"/>
      </w:pPr>
    </w:p>
    <w:p>
      <w:pPr>
        <w:pStyle w:val="BodyText"/>
        <w:spacing w:before="10"/>
        <w:rPr>
          <w:sz w:val="18"/>
        </w:rPr>
      </w:pPr>
    </w:p>
    <w:p>
      <w:pPr>
        <w:pStyle w:val="Heading4"/>
        <w:numPr>
          <w:ilvl w:val="1"/>
          <w:numId w:val="8"/>
        </w:numPr>
        <w:tabs>
          <w:tab w:pos="844" w:val="left" w:leader="none"/>
        </w:tabs>
        <w:spacing w:line="274" w:lineRule="exact" w:before="0" w:after="0"/>
        <w:ind w:left="268" w:right="232" w:firstLine="0"/>
        <w:jc w:val="both"/>
      </w:pPr>
      <w:r>
        <w:rPr/>
        <w:t>Aporte de indicadores para la sustentabilidad del territorio en la producción de</w:t>
      </w:r>
      <w:r>
        <w:rPr>
          <w:spacing w:val="-2"/>
        </w:rPr>
        <w:t> </w:t>
      </w:r>
      <w:r>
        <w:rPr/>
        <w:t>vivienda</w:t>
      </w:r>
    </w:p>
    <w:p>
      <w:pPr>
        <w:pStyle w:val="BodyText"/>
        <w:rPr>
          <w:b/>
        </w:rPr>
      </w:pPr>
    </w:p>
    <w:p>
      <w:pPr>
        <w:pStyle w:val="BodyText"/>
        <w:spacing w:line="360" w:lineRule="auto" w:before="1"/>
        <w:ind w:left="268" w:right="231"/>
        <w:jc w:val="both"/>
      </w:pPr>
      <w:r>
        <w:rPr/>
        <w:t>Con el análisis de distintas metodologías y los aportes teóricos para la sustentabilidad del territorio, en específico la producción de vivienda formal y su impacto en el territorio se considera relevante abordar la forma en que Villasís (2011), retoma la metodología para la agregación de indicadores, ya que su aportación de indicadores para la sustentabilidad urbana, la forma de abordar y estudiar el fenómeno desde el conocimiento teórico y empírico da muestra de la construcción de indicadores en el urbanismo desde la multidisciplinariedad.</w:t>
      </w:r>
    </w:p>
    <w:p>
      <w:pPr>
        <w:pStyle w:val="BodyText"/>
        <w:spacing w:line="360" w:lineRule="auto" w:before="122"/>
        <w:ind w:left="268" w:right="231"/>
        <w:jc w:val="both"/>
      </w:pPr>
      <w:r>
        <w:rPr/>
        <w:t>Sin embargo, es necesario aclarar que el trabajo de investigación plantea su  propio estudio incorporando elementos metodológicos que han sido parte de las investigaciones específicas a cada uno de los elementos a evaluar por parte de los estudios retomados en el marco teórico de referencia y con base en la agregación de indicadores, se fundamenta la importancia de un sistema en particular, como lo es el estudio que se presenta.</w:t>
      </w:r>
    </w:p>
    <w:p>
      <w:pPr>
        <w:spacing w:line="360" w:lineRule="auto" w:before="122"/>
        <w:ind w:left="976" w:right="231" w:firstLine="0"/>
        <w:jc w:val="both"/>
        <w:rPr>
          <w:i/>
          <w:sz w:val="24"/>
        </w:rPr>
      </w:pPr>
      <w:r>
        <w:rPr>
          <w:i/>
          <w:sz w:val="24"/>
        </w:rPr>
        <w:t>“Para Winograd (2006), es preciso partir de un marco de referencia para la </w:t>
      </w:r>
      <w:r>
        <w:rPr>
          <w:i/>
          <w:sz w:val="24"/>
        </w:rPr>
        <w:t>elaboración de un sistema de indicadores, toda vez que se trata de la manera o modelo de categorizar y organizar la información sobre un tema, para nuestro caso el sistema de indicadores urbanos, en este sentido el autor explica que para los indicadores e índices existen tres categorías.</w:t>
      </w:r>
    </w:p>
    <w:p>
      <w:pPr>
        <w:pStyle w:val="ListParagraph"/>
        <w:numPr>
          <w:ilvl w:val="2"/>
          <w:numId w:val="8"/>
        </w:numPr>
        <w:tabs>
          <w:tab w:pos="1327" w:val="left" w:leader="none"/>
        </w:tabs>
        <w:spacing w:line="360" w:lineRule="auto" w:before="127" w:after="0"/>
        <w:ind w:left="976" w:right="231" w:firstLine="0"/>
        <w:jc w:val="both"/>
        <w:rPr>
          <w:i/>
          <w:sz w:val="24"/>
        </w:rPr>
      </w:pPr>
      <w:r>
        <w:rPr>
          <w:i/>
          <w:sz w:val="24"/>
        </w:rPr>
        <w:t>Los indicadores como información que es la parte del proceso específico </w:t>
      </w:r>
      <w:r>
        <w:rPr>
          <w:i/>
          <w:sz w:val="24"/>
        </w:rPr>
        <w:t>de gestión y que pueda ser comparada con los objetivos de dicho</w:t>
      </w:r>
      <w:r>
        <w:rPr>
          <w:i/>
          <w:spacing w:val="-2"/>
          <w:sz w:val="24"/>
        </w:rPr>
        <w:t> </w:t>
      </w:r>
      <w:r>
        <w:rPr>
          <w:i/>
          <w:sz w:val="24"/>
        </w:rPr>
        <w:t>proceso.</w:t>
      </w:r>
    </w:p>
    <w:p>
      <w:pPr>
        <w:pStyle w:val="ListParagraph"/>
        <w:numPr>
          <w:ilvl w:val="2"/>
          <w:numId w:val="8"/>
        </w:numPr>
        <w:tabs>
          <w:tab w:pos="1331" w:val="left" w:leader="none"/>
        </w:tabs>
        <w:spacing w:line="376" w:lineRule="auto" w:before="122" w:after="0"/>
        <w:ind w:left="976" w:right="231" w:firstLine="0"/>
        <w:jc w:val="both"/>
        <w:rPr>
          <w:i/>
          <w:sz w:val="24"/>
        </w:rPr>
      </w:pPr>
      <w:r>
        <w:rPr>
          <w:i/>
          <w:sz w:val="24"/>
        </w:rPr>
        <w:t>Los indicadores como información a la cual se le asigna un significado o </w:t>
      </w:r>
      <w:r>
        <w:rPr>
          <w:i/>
          <w:sz w:val="24"/>
        </w:rPr>
        <w:t>trascendencia mayor que su valor observado o real.</w:t>
      </w:r>
    </w:p>
    <w:p>
      <w:pPr>
        <w:spacing w:after="0" w:line="376" w:lineRule="auto"/>
        <w:jc w:val="both"/>
        <w:rPr>
          <w:sz w:val="24"/>
        </w:rPr>
        <w:sectPr>
          <w:pgSz w:w="12240" w:h="15840"/>
          <w:pgMar w:header="730" w:footer="1066" w:top="1320" w:bottom="1260" w:left="1720" w:right="1180"/>
        </w:sectPr>
      </w:pPr>
    </w:p>
    <w:p>
      <w:pPr>
        <w:pStyle w:val="BodyText"/>
        <w:spacing w:before="1"/>
        <w:rPr>
          <w:i/>
          <w:sz w:val="18"/>
        </w:rPr>
      </w:pPr>
    </w:p>
    <w:p>
      <w:pPr>
        <w:pStyle w:val="ListParagraph"/>
        <w:numPr>
          <w:ilvl w:val="2"/>
          <w:numId w:val="8"/>
        </w:numPr>
        <w:tabs>
          <w:tab w:pos="1322" w:val="left" w:leader="none"/>
        </w:tabs>
        <w:spacing w:line="360" w:lineRule="auto" w:before="69" w:after="0"/>
        <w:ind w:left="976" w:right="231" w:firstLine="0"/>
        <w:jc w:val="both"/>
        <w:rPr>
          <w:i/>
          <w:sz w:val="24"/>
        </w:rPr>
      </w:pPr>
      <w:r>
        <w:rPr/>
        <w:pict>
          <v:line style="position:absolute;mso-position-horizontal-relative:page;mso-position-vertical-relative:paragraph;z-index:3664" from="93.199997pt,-19.614155pt" to="546.799997pt,-19.614155pt" stroked="true" strokeweight=".479981pt" strokecolor="#000000">
            <w10:wrap type="none"/>
          </v:line>
        </w:pict>
      </w:r>
      <w:r>
        <w:rPr>
          <w:i/>
          <w:sz w:val="24"/>
        </w:rPr>
        <w:t>Los índices se construyen para lograr reducción en el volumen de datos </w:t>
      </w:r>
      <w:r>
        <w:rPr>
          <w:i/>
          <w:sz w:val="24"/>
        </w:rPr>
        <w:t>acerca de las variables particulares que tienen un significado o trascendencia espacial.” (Villasís;</w:t>
      </w:r>
      <w:r>
        <w:rPr>
          <w:i/>
          <w:spacing w:val="-3"/>
          <w:sz w:val="24"/>
        </w:rPr>
        <w:t> </w:t>
      </w:r>
      <w:r>
        <w:rPr>
          <w:i/>
          <w:sz w:val="24"/>
        </w:rPr>
        <w:t>2011).</w:t>
      </w:r>
    </w:p>
    <w:p>
      <w:pPr>
        <w:pStyle w:val="BodyText"/>
        <w:spacing w:line="360" w:lineRule="auto" w:before="122"/>
        <w:ind w:left="268" w:right="231"/>
        <w:jc w:val="both"/>
      </w:pPr>
      <w:r>
        <w:rPr/>
        <w:t>Winograd (2006) agrega que, de manera general, los indicadores e índices se desarrollan para cumplir funciones de: simplificación, cuantificación, análisis y comunicación, permitiendo entender fenómenos complejos haciéndolos cuantificables y comprensibles. Para el estudio que nos ocupa, se hace evidente que se aplican las tres categorías de indicadores, en consecuencia, el trabajo con índices es un proceso que requiere de un propio proceso metodológico.</w:t>
      </w:r>
    </w:p>
    <w:p>
      <w:pPr>
        <w:spacing w:line="360" w:lineRule="auto" w:before="122"/>
        <w:ind w:left="976" w:right="231" w:firstLine="0"/>
        <w:jc w:val="both"/>
        <w:rPr>
          <w:i/>
          <w:sz w:val="24"/>
        </w:rPr>
      </w:pPr>
      <w:r>
        <w:rPr>
          <w:i/>
          <w:sz w:val="24"/>
        </w:rPr>
        <w:t>“Para la construcción de índices es importante la selección de indicadores </w:t>
      </w:r>
      <w:r>
        <w:rPr>
          <w:i/>
          <w:sz w:val="24"/>
        </w:rPr>
        <w:t>que reflejen la totalidad de un sistema y que éste pueda interpretarse como síntesis que refleje la realidad. Algunos de los procesos sugeridos por Rutherford (1997) para el uso de modelos que relacionan indicadores sociales económicos y ambientales, son los siguientes: Modelos de correlación, Modelos Input-Output, Modelos de sistemas complejos y conceptuales y Modelos de escenarios. La construcción de un modelo de indicadores persigue la medición del grado de avance hacia el objetivo del desarrollo sostenible en términos genéricos.</w:t>
      </w:r>
    </w:p>
    <w:p>
      <w:pPr>
        <w:spacing w:line="360" w:lineRule="auto" w:before="122"/>
        <w:ind w:left="976" w:right="231" w:firstLine="0"/>
        <w:jc w:val="both"/>
        <w:rPr>
          <w:i/>
          <w:sz w:val="24"/>
        </w:rPr>
      </w:pPr>
      <w:r>
        <w:rPr>
          <w:i/>
          <w:sz w:val="24"/>
        </w:rPr>
        <w:t>En este sentido, Gallopin (1997) propone una selección que represente las </w:t>
      </w:r>
      <w:r>
        <w:rPr>
          <w:i/>
          <w:sz w:val="24"/>
        </w:rPr>
        <w:t>variables o propiedades del sistema completo, es decir, indicadores holísticos; el autor define los indicadores como variables de un sistema, cada una de estas variables puede asociarse a una serie de valores o estados a través de los cuales se manifiesta. Entonces, para la obtención  de indicadores de síntesis puede seguirse uno de los siguientes procesos: agregación objetiva o matemática, mediante técnicas de análisis factorial; superposición gráfica de indicadores; medida directa de los componentes implícitos en el modelo; y selección de ponderaciones exógenas sobre determinadas</w:t>
      </w:r>
      <w:r>
        <w:rPr>
          <w:i/>
          <w:spacing w:val="-1"/>
          <w:sz w:val="24"/>
        </w:rPr>
        <w:t> </w:t>
      </w:r>
      <w:r>
        <w:rPr>
          <w:i/>
          <w:sz w:val="24"/>
        </w:rPr>
        <w:t>hipótesis.</w:t>
      </w:r>
    </w:p>
    <w:p>
      <w:pPr>
        <w:spacing w:before="122"/>
        <w:ind w:left="976" w:right="0" w:firstLine="0"/>
        <w:jc w:val="both"/>
        <w:rPr>
          <w:i/>
          <w:sz w:val="24"/>
        </w:rPr>
      </w:pPr>
      <w:r>
        <w:rPr>
          <w:i/>
          <w:sz w:val="24"/>
        </w:rPr>
        <w:t>Para la cuestión de los valores del indicador, señala Castro Bonaño   (2002:</w:t>
      </w:r>
    </w:p>
    <w:p>
      <w:pPr>
        <w:spacing w:before="141"/>
        <w:ind w:left="976" w:right="0" w:firstLine="0"/>
        <w:jc w:val="both"/>
        <w:rPr>
          <w:i/>
          <w:sz w:val="24"/>
        </w:rPr>
      </w:pPr>
      <w:r>
        <w:rPr>
          <w:i/>
          <w:sz w:val="24"/>
        </w:rPr>
        <w:t>215) que el uso de las ponderaciones se puede diferenciar entre:</w:t>
      </w:r>
    </w:p>
    <w:p>
      <w:pPr>
        <w:spacing w:after="0"/>
        <w:jc w:val="both"/>
        <w:rPr>
          <w:sz w:val="24"/>
        </w:rPr>
        <w:sectPr>
          <w:pgSz w:w="12240" w:h="15840"/>
          <w:pgMar w:header="730" w:footer="1066" w:top="1320" w:bottom="1260" w:left="1720" w:right="1180"/>
        </w:sectPr>
      </w:pPr>
    </w:p>
    <w:p>
      <w:pPr>
        <w:pStyle w:val="BodyText"/>
        <w:spacing w:before="1"/>
        <w:rPr>
          <w:i/>
          <w:sz w:val="18"/>
        </w:rPr>
      </w:pPr>
    </w:p>
    <w:p>
      <w:pPr>
        <w:pStyle w:val="ListParagraph"/>
        <w:numPr>
          <w:ilvl w:val="0"/>
          <w:numId w:val="15"/>
        </w:numPr>
        <w:tabs>
          <w:tab w:pos="1278" w:val="left" w:leader="none"/>
        </w:tabs>
        <w:spacing w:line="360" w:lineRule="auto" w:before="69" w:after="0"/>
        <w:ind w:left="976" w:right="232" w:firstLine="0"/>
        <w:jc w:val="both"/>
        <w:rPr>
          <w:i/>
          <w:sz w:val="24"/>
        </w:rPr>
      </w:pPr>
      <w:r>
        <w:rPr/>
        <w:pict>
          <v:line style="position:absolute;mso-position-horizontal-relative:page;mso-position-vertical-relative:paragraph;z-index:3688" from="93.199997pt,-19.614155pt" to="546.799997pt,-19.614155pt" stroked="true" strokeweight=".479981pt" strokecolor="#000000">
            <w10:wrap type="none"/>
          </v:line>
        </w:pict>
      </w:r>
      <w:r>
        <w:rPr>
          <w:i/>
          <w:sz w:val="24"/>
        </w:rPr>
        <w:t>La medida de la distancia de los indicadores simples con respecto a un </w:t>
      </w:r>
      <w:r>
        <w:rPr>
          <w:i/>
          <w:sz w:val="24"/>
        </w:rPr>
        <w:t>nivel de referencias.</w:t>
      </w:r>
    </w:p>
    <w:p>
      <w:pPr>
        <w:pStyle w:val="ListParagraph"/>
        <w:numPr>
          <w:ilvl w:val="0"/>
          <w:numId w:val="15"/>
        </w:numPr>
        <w:tabs>
          <w:tab w:pos="1259" w:val="left" w:leader="none"/>
        </w:tabs>
        <w:spacing w:line="360" w:lineRule="auto" w:before="122" w:after="0"/>
        <w:ind w:left="976" w:right="231" w:firstLine="0"/>
        <w:jc w:val="both"/>
        <w:rPr>
          <w:i/>
          <w:sz w:val="24"/>
        </w:rPr>
      </w:pPr>
      <w:r>
        <w:rPr>
          <w:i/>
          <w:sz w:val="24"/>
        </w:rPr>
        <w:t>La opinión de expertos o bien el reflejo de preferencias sociales según un </w:t>
      </w:r>
      <w:r>
        <w:rPr>
          <w:i/>
          <w:sz w:val="24"/>
        </w:rPr>
        <w:t>tipo de encuesta.</w:t>
      </w:r>
    </w:p>
    <w:p>
      <w:pPr>
        <w:spacing w:line="360" w:lineRule="auto" w:before="127"/>
        <w:ind w:left="976" w:right="231" w:firstLine="0"/>
        <w:jc w:val="both"/>
        <w:rPr>
          <w:i/>
          <w:sz w:val="24"/>
        </w:rPr>
      </w:pPr>
      <w:r>
        <w:rPr>
          <w:i/>
          <w:sz w:val="24"/>
        </w:rPr>
        <w:t>La importancia de contar con un sistema de indicadores confiables y </w:t>
      </w:r>
      <w:r>
        <w:rPr>
          <w:i/>
          <w:sz w:val="24"/>
        </w:rPr>
        <w:t>pertinentes estuvo reconocida desde la Conferencia de Río, de acuerdo con la Agenda XXI en el capítulo 40 que trata de la información para la toma de decisiones; particularmente, en los párrafos 40.4 y 40.22 se expresa la necesidad de construir nuevos sistemas de indicadores para evaluar la sustentabilidad.</w:t>
      </w:r>
    </w:p>
    <w:p>
      <w:pPr>
        <w:spacing w:line="360" w:lineRule="auto" w:before="122"/>
        <w:ind w:left="976" w:right="231" w:firstLine="0"/>
        <w:jc w:val="both"/>
        <w:rPr>
          <w:i/>
          <w:sz w:val="24"/>
        </w:rPr>
      </w:pPr>
      <w:r>
        <w:rPr>
          <w:i/>
          <w:sz w:val="24"/>
        </w:rPr>
        <w:t>Con esta premisa, Paul-Marie Boulanger (2004) expone su aproximación a </w:t>
      </w:r>
      <w:r>
        <w:rPr>
          <w:i/>
          <w:sz w:val="24"/>
        </w:rPr>
        <w:t>la construcción de indicadores mediante una teoría que se basa en la agregación de los indicadores partiendo desde el concepto del indicador y sus dimensiones; de las dimensiones a los indicadores y de las mediciones hasta los índices. Toda vez que esta investigación se basa en los sistemas de indicadores agregados.” (Villasís; 2011:165).</w:t>
      </w:r>
    </w:p>
    <w:p>
      <w:pPr>
        <w:spacing w:line="360" w:lineRule="auto" w:before="122"/>
        <w:ind w:left="976" w:right="231" w:firstLine="0"/>
        <w:jc w:val="both"/>
        <w:rPr>
          <w:i/>
          <w:sz w:val="24"/>
        </w:rPr>
      </w:pPr>
      <w:r>
        <w:rPr>
          <w:i/>
          <w:sz w:val="24"/>
        </w:rPr>
        <w:t>“Del concepto a las dimensiones. La primera etapa consiste en identificar  </w:t>
      </w:r>
      <w:r>
        <w:rPr>
          <w:i/>
          <w:sz w:val="24"/>
        </w:rPr>
        <w:t>las diferentes dimensiones que constituyen el concepto, sabiendo siempre que ellos son de carácter multidimensional. La noción de pobreza, por ejemplo, tiene una dimensión material, pero también una dimensión social (exclusión, marginación), así como también una dimensión cultural (nivel de educación, medios de comunicación). La dimensión material en sí misma es de carácter múltiple, ella incorpora por una parte elementos financieros (ingresos, endeudamiento, cargas sociales) y por otra parte los no financieros como salud, habitación y derechos. Cada una de estas dimensiones materiales es de alguna manera agregada.</w:t>
      </w:r>
    </w:p>
    <w:p>
      <w:pPr>
        <w:spacing w:line="360" w:lineRule="auto" w:before="122"/>
        <w:ind w:left="976" w:right="231" w:firstLine="0"/>
        <w:jc w:val="both"/>
        <w:rPr>
          <w:i/>
          <w:sz w:val="24"/>
        </w:rPr>
      </w:pPr>
      <w:r>
        <w:rPr>
          <w:i/>
          <w:sz w:val="24"/>
        </w:rPr>
        <w:t>De las dimensiones a los indicadores. Las diferentes dimensiones son </w:t>
      </w:r>
      <w:r>
        <w:rPr>
          <w:i/>
          <w:sz w:val="24"/>
        </w:rPr>
        <w:t>desagregadas en variables, algunas de ellas serán incluidas en el título del indicador, ya sea por su pertinencia o porque son más prácticas para efecto</w:t>
      </w:r>
    </w:p>
    <w:p>
      <w:pPr>
        <w:spacing w:after="0" w:line="360" w:lineRule="auto"/>
        <w:jc w:val="both"/>
        <w:rPr>
          <w:sz w:val="24"/>
        </w:rPr>
        <w:sectPr>
          <w:pgSz w:w="12240" w:h="15840"/>
          <w:pgMar w:header="730" w:footer="1066" w:top="1320" w:bottom="1260" w:left="1720" w:right="1180"/>
        </w:sectPr>
      </w:pPr>
    </w:p>
    <w:p>
      <w:pPr>
        <w:pStyle w:val="BodyText"/>
        <w:spacing w:before="1"/>
        <w:rPr>
          <w:i/>
          <w:sz w:val="18"/>
        </w:rPr>
      </w:pPr>
    </w:p>
    <w:p>
      <w:pPr>
        <w:spacing w:line="360" w:lineRule="auto" w:before="69"/>
        <w:ind w:left="976" w:right="231" w:firstLine="0"/>
        <w:jc w:val="both"/>
        <w:rPr>
          <w:i/>
          <w:sz w:val="24"/>
        </w:rPr>
      </w:pPr>
      <w:r>
        <w:rPr/>
        <w:pict>
          <v:line style="position:absolute;mso-position-horizontal-relative:page;mso-position-vertical-relative:paragraph;z-index:3712" from="93.199997pt,-19.614155pt" to="546.799997pt,-19.614155pt" stroked="true" strokeweight=".479981pt" strokecolor="#000000">
            <w10:wrap type="none"/>
          </v:line>
        </w:pict>
      </w:r>
      <w:r>
        <w:rPr>
          <w:i/>
          <w:sz w:val="24"/>
        </w:rPr>
        <w:t>de medición. La selección de los indicadores se enfrenta frecuentemente a </w:t>
      </w:r>
      <w:r>
        <w:rPr>
          <w:i/>
          <w:sz w:val="24"/>
        </w:rPr>
        <w:t>dificultades de observación y medición, la selección debe siempre contener elementos teóricos.</w:t>
      </w:r>
    </w:p>
    <w:p>
      <w:pPr>
        <w:spacing w:line="360" w:lineRule="auto" w:before="122"/>
        <w:ind w:left="976" w:right="231" w:firstLine="0"/>
        <w:jc w:val="both"/>
        <w:rPr>
          <w:sz w:val="24"/>
        </w:rPr>
      </w:pPr>
      <w:r>
        <w:rPr>
          <w:i/>
          <w:sz w:val="24"/>
        </w:rPr>
        <w:t>De los indicadores a las mediciones. Una vez que están definidos los </w:t>
      </w:r>
      <w:r>
        <w:rPr>
          <w:i/>
          <w:sz w:val="24"/>
        </w:rPr>
        <w:t>indicadores, estos deben ser objeto de mediciones. Resta decidir el nivel de precisión o exactitud, de escala espacial y temporal, así como las unidades de medición. Es común que los indicadores no estén en la misma unidad de medida y con el mismo grado de precisión, situación que complica el proceso de agregación en un índice sintético. (Ibídem, </w:t>
      </w:r>
      <w:r>
        <w:rPr>
          <w:sz w:val="24"/>
        </w:rPr>
        <w:t>166).</w:t>
      </w:r>
    </w:p>
    <w:p>
      <w:pPr>
        <w:spacing w:line="360" w:lineRule="auto" w:before="122"/>
        <w:ind w:left="976" w:right="231" w:firstLine="0"/>
        <w:jc w:val="both"/>
        <w:rPr>
          <w:i/>
          <w:sz w:val="24"/>
        </w:rPr>
      </w:pPr>
      <w:r>
        <w:rPr>
          <w:i/>
          <w:sz w:val="24"/>
        </w:rPr>
        <w:t>De las mediciones a los índices. La etapa final –indispensable en el </w:t>
      </w:r>
      <w:r>
        <w:rPr>
          <w:i/>
          <w:sz w:val="24"/>
        </w:rPr>
        <w:t>contexto de operacionalización de una prueba empírica sobre un concepto científico- consiste en agregar los diferentes indicadores en un índice sintético. Sólo este último es considerado como significativo. En ausencia  de unidades comunes de medición, los indicadores deber ser</w:t>
      </w:r>
      <w:r>
        <w:rPr>
          <w:i/>
          <w:spacing w:val="-1"/>
          <w:sz w:val="24"/>
        </w:rPr>
        <w:t> </w:t>
      </w:r>
      <w:r>
        <w:rPr>
          <w:i/>
          <w:sz w:val="24"/>
        </w:rPr>
        <w:t>normalizados.</w:t>
      </w:r>
    </w:p>
    <w:p>
      <w:pPr>
        <w:spacing w:line="360" w:lineRule="auto" w:before="122"/>
        <w:ind w:left="976" w:right="231" w:firstLine="0"/>
        <w:jc w:val="both"/>
        <w:rPr>
          <w:sz w:val="24"/>
        </w:rPr>
      </w:pPr>
      <w:r>
        <w:rPr>
          <w:i/>
          <w:sz w:val="24"/>
        </w:rPr>
        <w:t>La agregación. Es una operación que consiste en condensar la información </w:t>
      </w:r>
      <w:r>
        <w:rPr>
          <w:i/>
          <w:sz w:val="24"/>
        </w:rPr>
        <w:t>contenida en cada uno de los criterios de una sola información. Las dimensiones y los indicadores que constituyen un índice, que puede ser representado en una forma arborescente, el concepto emulando a la naturaleza, parte de la idea de un tronco de árbol donde cada una de sus ramas representa una de sus dimensiones, este a su vez puede descomponerse en ramificaciones y hasta terminar en las hojas que representan los indicadores propiamente dichos.” (Ídem</w:t>
      </w:r>
      <w:r>
        <w:rPr>
          <w:sz w:val="24"/>
        </w:rPr>
        <w:t>).</w:t>
      </w:r>
    </w:p>
    <w:p>
      <w:pPr>
        <w:pStyle w:val="BodyText"/>
        <w:spacing w:line="360" w:lineRule="auto" w:before="122"/>
        <w:ind w:left="268" w:right="231"/>
        <w:jc w:val="both"/>
      </w:pPr>
      <w:r>
        <w:rPr/>
        <w:t>Para este trabajo, en una primera etapa se realiza la ponderación de cada uno de los indicadores de acuerdo un subíndice en específico, para después aplicarlos en una agregación de los datos cuantificables, en cuatro dimensiones: ambiental, social, económica y territorial.</w:t>
      </w:r>
    </w:p>
    <w:p>
      <w:pPr>
        <w:spacing w:line="360" w:lineRule="auto" w:before="122"/>
        <w:ind w:left="976" w:right="231" w:firstLine="0"/>
        <w:jc w:val="both"/>
        <w:rPr>
          <w:i/>
          <w:sz w:val="24"/>
        </w:rPr>
      </w:pPr>
      <w:r>
        <w:rPr>
          <w:i/>
          <w:sz w:val="24"/>
        </w:rPr>
        <w:t>“De las diversas formas de abordar la integración de indicadores, la </w:t>
      </w:r>
      <w:r>
        <w:rPr>
          <w:i/>
          <w:sz w:val="24"/>
        </w:rPr>
        <w:t>propuesta de este trabajo radica en la interpretar los indicadores a partir de las  dimensiones;  ambientales,  sociales,  económicas  y  territoriales,   este</w:t>
      </w:r>
    </w:p>
    <w:p>
      <w:pPr>
        <w:spacing w:after="0" w:line="360" w:lineRule="auto"/>
        <w:jc w:val="both"/>
        <w:rPr>
          <w:sz w:val="24"/>
        </w:rPr>
        <w:sectPr>
          <w:footerReference w:type="default" r:id="rId59"/>
          <w:pgSz w:w="12240" w:h="15840"/>
          <w:pgMar w:footer="1066" w:header="730" w:top="1320" w:bottom="1260" w:left="1720" w:right="1180"/>
        </w:sectPr>
      </w:pPr>
    </w:p>
    <w:p>
      <w:pPr>
        <w:pStyle w:val="BodyText"/>
        <w:spacing w:before="1"/>
        <w:rPr>
          <w:i/>
          <w:sz w:val="18"/>
        </w:rPr>
      </w:pPr>
    </w:p>
    <w:p>
      <w:pPr>
        <w:spacing w:line="352" w:lineRule="auto" w:before="69"/>
        <w:ind w:left="976" w:right="231" w:firstLine="0"/>
        <w:jc w:val="both"/>
        <w:rPr>
          <w:i/>
          <w:sz w:val="24"/>
        </w:rPr>
      </w:pPr>
      <w:r>
        <w:rPr/>
        <w:pict>
          <v:line style="position:absolute;mso-position-horizontal-relative:page;mso-position-vertical-relative:paragraph;z-index:3760" from="93.199997pt,-19.614155pt" to="546.799997pt,-19.614155pt" stroked="true" strokeweight=".479981pt" strokecolor="#000000">
            <w10:wrap type="none"/>
          </v:line>
        </w:pict>
      </w:r>
      <w:r>
        <w:rPr>
          <w:i/>
          <w:sz w:val="24"/>
        </w:rPr>
        <w:t>enunciado se respalda en la propuesta metodológica de Hearnshaw et al. </w:t>
      </w:r>
      <w:r>
        <w:rPr>
          <w:i/>
          <w:sz w:val="24"/>
        </w:rPr>
        <w:t>(2004), que consiste en el análisis jerárquico de procesos (AHP)</w:t>
      </w:r>
      <w:r>
        <w:rPr>
          <w:i/>
          <w:position w:val="11"/>
          <w:sz w:val="16"/>
        </w:rPr>
        <w:t>5 </w:t>
      </w:r>
      <w:r>
        <w:rPr>
          <w:i/>
          <w:sz w:val="24"/>
        </w:rPr>
        <w:t>para la evaluación del desarrollo sostenible. De acuerdo a estos autores los indicadores compuestos (composite indicators) son una nueva  aproximación  para  evaluar  el  desarrollo  sostenible,  lo  que  permite </w:t>
      </w:r>
      <w:r>
        <w:rPr>
          <w:i/>
          <w:spacing w:val="53"/>
          <w:sz w:val="24"/>
        </w:rPr>
        <w:t> </w:t>
      </w:r>
      <w:r>
        <w:rPr>
          <w:i/>
          <w:sz w:val="24"/>
        </w:rPr>
        <w:t>una</w:t>
      </w:r>
    </w:p>
    <w:p>
      <w:pPr>
        <w:spacing w:line="360" w:lineRule="auto" w:before="11"/>
        <w:ind w:left="976" w:right="231" w:firstLine="0"/>
        <w:jc w:val="both"/>
        <w:rPr>
          <w:i/>
          <w:sz w:val="24"/>
        </w:rPr>
      </w:pPr>
      <w:r>
        <w:rPr>
          <w:i/>
          <w:sz w:val="24"/>
        </w:rPr>
        <w:t>multiplicidad de aspectos que pueden ser entendidos como un índice simple </w:t>
      </w:r>
      <w:r>
        <w:rPr>
          <w:i/>
          <w:sz w:val="24"/>
        </w:rPr>
        <w:t>comparable, además de una fácil lectura, de tal manera que la puesta en práctica de esta teoría se puede explicar con las variables del modelo estudiado.” (Ibídem 168).</w:t>
      </w:r>
    </w:p>
    <w:p>
      <w:pPr>
        <w:spacing w:line="360" w:lineRule="auto" w:before="122"/>
        <w:ind w:left="976" w:right="231" w:firstLine="0"/>
        <w:jc w:val="both"/>
        <w:rPr>
          <w:i/>
          <w:sz w:val="24"/>
        </w:rPr>
      </w:pPr>
      <w:r>
        <w:rPr>
          <w:i/>
          <w:sz w:val="24"/>
        </w:rPr>
        <w:t>“Dentro de la literatura académica sobre este tema, otros autores se han </w:t>
      </w:r>
      <w:r>
        <w:rPr>
          <w:i/>
          <w:sz w:val="24"/>
        </w:rPr>
        <w:t>referido a esta formulación como un marco de análisis multi-criterio (MCA), que han sido utilizados para otras áreas del conocimiento, (Goodwin &amp; Wright, 1998; Foreman &amp; Gass, 2001, citados en Villasís, 2011). Es claro que, como cualquier método, la confianza descansa en la capacidad de resolver variables con diversos criterios.” (Ídem).</w:t>
      </w:r>
    </w:p>
    <w:p>
      <w:pPr>
        <w:spacing w:line="360" w:lineRule="auto" w:before="122"/>
        <w:ind w:left="976" w:right="231" w:firstLine="0"/>
        <w:jc w:val="both"/>
        <w:rPr>
          <w:i/>
          <w:sz w:val="24"/>
        </w:rPr>
      </w:pPr>
      <w:r>
        <w:rPr>
          <w:i/>
          <w:sz w:val="24"/>
        </w:rPr>
        <w:t>“Estas consideraciones se reafirman en el trabajo ya citado de Castro </w:t>
      </w:r>
      <w:r>
        <w:rPr>
          <w:i/>
          <w:sz w:val="24"/>
        </w:rPr>
        <w:t>(2002), donde explica que, en la selección de indicadores, se deben obtener primero los valores de referencia (Verbruggen, 1999, citado en Villasís, 2011), para tal efecto se desglosan los criterios que denomina operativos para los indicadores de desarrollo sostenible: a) ser su procedimiento de cálculo objetivo y científico; b) estar relacionados con unos objetivos claros  y específicos; c) tener una interpretación clara y entendible para los no científicos; d) han de cubrir el funcionamiento, la dinámica y la estructura como un todo; e) han de estar basados en unos parámetros cuyos valores sean estables en un período suficientemente largo.” (Ibídem,</w:t>
      </w:r>
      <w:r>
        <w:rPr>
          <w:i/>
          <w:spacing w:val="-3"/>
          <w:sz w:val="24"/>
        </w:rPr>
        <w:t> </w:t>
      </w:r>
      <w:r>
        <w:rPr>
          <w:i/>
          <w:sz w:val="24"/>
        </w:rPr>
        <w:t>169).</w:t>
      </w:r>
    </w:p>
    <w:p>
      <w:pPr>
        <w:spacing w:line="360" w:lineRule="auto" w:before="127"/>
        <w:ind w:left="976" w:right="231" w:firstLine="0"/>
        <w:jc w:val="both"/>
        <w:rPr>
          <w:i/>
          <w:sz w:val="24"/>
        </w:rPr>
      </w:pPr>
      <w:r>
        <w:rPr>
          <w:i/>
          <w:sz w:val="24"/>
        </w:rPr>
        <w:t>“Con estos criterios, diversas fuentes manejan los indicadores de tipo </w:t>
      </w:r>
      <w:r>
        <w:rPr>
          <w:i/>
          <w:sz w:val="24"/>
        </w:rPr>
        <w:t>cuantitativo (OECD, Banca Mundial, Adriaanse); no obstante, Gallopín (1997) agrega que los indicadores del tipo cualitativo deben considerarse</w:t>
      </w:r>
    </w:p>
    <w:p>
      <w:pPr>
        <w:pStyle w:val="BodyText"/>
        <w:spacing w:before="5"/>
        <w:rPr>
          <w:i/>
          <w:sz w:val="18"/>
        </w:rPr>
      </w:pPr>
      <w:r>
        <w:rPr/>
        <w:pict>
          <v:line style="position:absolute;mso-position-horizontal-relative:page;mso-position-vertical-relative:paragraph;z-index:3736;mso-wrap-distance-left:0;mso-wrap-distance-right:0" from="99.440002pt,12.833902pt" to="243.440002pt,12.833902pt" stroked="true" strokeweight=".480003pt" strokecolor="#000000">
            <w10:wrap type="topAndBottom"/>
          </v:line>
        </w:pict>
      </w:r>
    </w:p>
    <w:p>
      <w:pPr>
        <w:pStyle w:val="BodyText"/>
        <w:spacing w:before="1"/>
        <w:rPr>
          <w:i/>
        </w:rPr>
      </w:pPr>
    </w:p>
    <w:p>
      <w:pPr>
        <w:spacing w:before="82"/>
        <w:ind w:left="268" w:right="0" w:firstLine="0"/>
        <w:jc w:val="left"/>
        <w:rPr>
          <w:i/>
          <w:sz w:val="19"/>
        </w:rPr>
      </w:pPr>
      <w:r>
        <w:rPr>
          <w:w w:val="105"/>
          <w:sz w:val="16"/>
        </w:rPr>
        <w:t>5 </w:t>
      </w:r>
      <w:r>
        <w:rPr>
          <w:w w:val="105"/>
          <w:sz w:val="19"/>
        </w:rPr>
        <w:t>Analityc Hierarchy Process, (AHP) por sus siglas en ingles. </w:t>
      </w:r>
      <w:r>
        <w:rPr>
          <w:i/>
          <w:w w:val="105"/>
          <w:sz w:val="19"/>
        </w:rPr>
        <w:t>Proceso de Jerarquía Analítica (PJA).</w:t>
      </w:r>
    </w:p>
    <w:p>
      <w:pPr>
        <w:spacing w:after="0"/>
        <w:jc w:val="left"/>
        <w:rPr>
          <w:sz w:val="19"/>
        </w:rPr>
        <w:sectPr>
          <w:footerReference w:type="default" r:id="rId60"/>
          <w:pgSz w:w="12240" w:h="15840"/>
          <w:pgMar w:footer="1066" w:header="730" w:top="1320" w:bottom="1260" w:left="1720" w:right="1180"/>
          <w:pgNumType w:start="101"/>
        </w:sectPr>
      </w:pPr>
    </w:p>
    <w:p>
      <w:pPr>
        <w:pStyle w:val="BodyText"/>
        <w:spacing w:before="1"/>
        <w:rPr>
          <w:i/>
          <w:sz w:val="18"/>
        </w:rPr>
      </w:pPr>
    </w:p>
    <w:p>
      <w:pPr>
        <w:spacing w:line="360" w:lineRule="auto" w:before="69"/>
        <w:ind w:left="976" w:right="231" w:firstLine="0"/>
        <w:jc w:val="both"/>
        <w:rPr>
          <w:i/>
          <w:sz w:val="24"/>
        </w:rPr>
      </w:pPr>
      <w:r>
        <w:rPr/>
        <w:pict>
          <v:line style="position:absolute;mso-position-horizontal-relative:page;mso-position-vertical-relative:paragraph;z-index:3784" from="93.199997pt,-19.614155pt" to="546.799997pt,-19.614155pt" stroked="true" strokeweight=".479981pt" strokecolor="#000000">
            <w10:wrap type="none"/>
          </v:line>
        </w:pict>
      </w:r>
      <w:r>
        <w:rPr>
          <w:i/>
          <w:sz w:val="24"/>
        </w:rPr>
        <w:t>también. Para la investigación se analizan ambos tipos de indicadores, </w:t>
      </w:r>
      <w:r>
        <w:rPr>
          <w:i/>
          <w:sz w:val="24"/>
        </w:rPr>
        <w:t>aunque se reconoce que la agregación de los datos puede darse en los del tipo cuantitativo, y que la agregación en indicadores cualitativos presenta dificultades. Se refuerza este criterio cuando se requiere establecer valores de referencia, para este caso Gallopín (1997) afirma que existen al menos tres categorías de este tipo: a) Estándar o norma, b) Valor objetivo y c) Umbral. Otra aportación sugerida por el autor, es la de la temporalidad de los indicadores, lo que significa el tiempo de la medición y el tiempo de vigencia.” (Ídem).</w:t>
      </w:r>
    </w:p>
    <w:p>
      <w:pPr>
        <w:pStyle w:val="BodyText"/>
        <w:spacing w:line="360" w:lineRule="auto" w:before="122"/>
        <w:ind w:left="268" w:right="231"/>
        <w:jc w:val="both"/>
      </w:pPr>
      <w:r>
        <w:rPr/>
        <w:t>Otra dimensión aplicable a las varibales es la temporalidad de los indicadores. En relación al nivel de referencia o valor-meta, se suguiere recurrir al uso de ponderaciones a este modelo de aproximación se le puede denominar </w:t>
      </w:r>
      <w:r>
        <w:rPr>
          <w:i/>
        </w:rPr>
        <w:t>la brecha </w:t>
      </w:r>
      <w:r>
        <w:rPr/>
        <w:t>que es el valor de la variable y el ideal del valor. Por lo que en el uso de las ponderaciones existen diferentes posiciones, una es la relativa a la distancia del indicador respecto del nivel de referencia y otra es la opinión de expertos en la materia. (Villasís </w:t>
      </w:r>
      <w:r>
        <w:rPr>
          <w:i/>
        </w:rPr>
        <w:t>et. al. </w:t>
      </w:r>
      <w:r>
        <w:rPr/>
        <w:t>2011).</w:t>
      </w:r>
    </w:p>
    <w:p>
      <w:pPr>
        <w:pStyle w:val="BodyText"/>
        <w:spacing w:line="360" w:lineRule="auto" w:before="122"/>
        <w:ind w:left="268" w:right="232"/>
        <w:jc w:val="both"/>
      </w:pPr>
      <w:r>
        <w:rPr/>
        <w:t>Por lo que la metodología para agrerar indicadores abordada desde la prespectiva del AHP </w:t>
      </w:r>
      <w:r>
        <w:rPr>
          <w:i/>
        </w:rPr>
        <w:t>(Analityc Hierarchy Process) </w:t>
      </w:r>
      <w:r>
        <w:rPr/>
        <w:t>consiste en identificar si las variables cumplen con los criterios del estudio en cuestión para realizar una jerarquización de acuerdo al modelo sugerido por Hearnshaw </w:t>
      </w:r>
      <w:r>
        <w:rPr>
          <w:i/>
        </w:rPr>
        <w:t>et. al. </w:t>
      </w:r>
      <w:r>
        <w:rPr/>
        <w:t>2005, después se realiza la selección de las variables de interés para el modelo de estudio.</w:t>
      </w:r>
    </w:p>
    <w:p>
      <w:pPr>
        <w:pStyle w:val="BodyText"/>
        <w:spacing w:line="360" w:lineRule="auto" w:before="127"/>
        <w:ind w:left="268" w:right="231"/>
        <w:jc w:val="both"/>
      </w:pPr>
      <w:r>
        <w:rPr/>
        <w:t>En otro sentido la recolección de datos puede generar problemas entre el cluster de tipo cuantitativo y el cluster de tipo cualitativo por lo que se recomienda considerar modelos de agregación de información multidimensional (Munda </w:t>
      </w:r>
      <w:r>
        <w:rPr>
          <w:i/>
        </w:rPr>
        <w:t>et al., </w:t>
      </w:r>
      <w:r>
        <w:rPr/>
        <w:t>1998), consideranto que el cluster de tipo cualitativo puede contener ponderaciones con datos subjetivos por lo que la construcción de indicadores e índices deben definirse por las interleraciones de las variables que constituyan un modelo lo más real posible.</w:t>
      </w:r>
    </w:p>
    <w:p>
      <w:pPr>
        <w:spacing w:after="0" w:line="360" w:lineRule="auto"/>
        <w:jc w:val="both"/>
        <w:sectPr>
          <w:pgSz w:w="12240" w:h="15840"/>
          <w:pgMar w:header="730" w:footer="1066" w:top="1320" w:bottom="1260" w:left="1720" w:right="1180"/>
        </w:sectPr>
      </w:pPr>
    </w:p>
    <w:p>
      <w:pPr>
        <w:pStyle w:val="BodyText"/>
        <w:rPr>
          <w:sz w:val="20"/>
        </w:rPr>
      </w:pPr>
    </w:p>
    <w:p>
      <w:pPr>
        <w:pStyle w:val="BodyText"/>
        <w:rPr>
          <w:sz w:val="20"/>
        </w:rPr>
      </w:pPr>
    </w:p>
    <w:p>
      <w:pPr>
        <w:pStyle w:val="BodyText"/>
        <w:spacing w:before="5"/>
      </w:pPr>
    </w:p>
    <w:p>
      <w:pPr>
        <w:pStyle w:val="BodyText"/>
        <w:spacing w:line="360" w:lineRule="auto" w:before="69"/>
        <w:ind w:left="268" w:right="351"/>
        <w:jc w:val="both"/>
      </w:pPr>
      <w:r>
        <w:rPr/>
        <w:pict>
          <v:line style="position:absolute;mso-position-horizontal-relative:page;mso-position-vertical-relative:paragraph;z-index:3808" from="93.199997pt,-46.254108pt" to="546.799997pt,-46.254108pt" stroked="true" strokeweight=".479981pt" strokecolor="#000000">
            <w10:wrap type="none"/>
          </v:line>
        </w:pict>
      </w:r>
      <w:r>
        <w:rPr/>
        <w:t>La figura uno muestra de manera gráfica el proceso del modelo de agregación de indicadores desde el concepto al índice con base a la aportación de Boulanger (2004). Para la jerarquización de indicadores de un sistema y subsistemas la  figura dos, muestra del lado izquierdo la forma de identificar indicadores que se agrupen en temas de ambiente, sociedad y economía para ir agregando la información por grupos y finalmente construir un índice que refleje el estado del sistema.</w:t>
      </w:r>
    </w:p>
    <w:p>
      <w:pPr>
        <w:pStyle w:val="BodyText"/>
      </w:pPr>
    </w:p>
    <w:p>
      <w:pPr>
        <w:pStyle w:val="BodyText"/>
        <w:spacing w:before="2"/>
        <w:rPr>
          <w:sz w:val="34"/>
        </w:rPr>
      </w:pPr>
    </w:p>
    <w:p>
      <w:pPr>
        <w:spacing w:before="0"/>
        <w:ind w:left="268" w:right="0" w:firstLine="0"/>
        <w:jc w:val="both"/>
        <w:rPr>
          <w:sz w:val="21"/>
        </w:rPr>
      </w:pPr>
      <w:r>
        <w:rPr/>
        <w:pict>
          <v:group style="position:absolute;margin-left:109.129997pt;margin-top:10.963593pt;width:444.6pt;height:191pt;mso-position-horizontal-relative:page;mso-position-vertical-relative:paragraph;z-index:-1154032" coordorigin="2183,219" coordsize="8892,3820">
            <v:shape style="position:absolute;left:2183;top:3065;width:2040;height:974" type="#_x0000_t75" stroked="false">
              <v:imagedata r:id="rId61" o:title=""/>
            </v:shape>
            <v:shape style="position:absolute;left:2495;top:3299;width:1411;height:509" type="#_x0000_t75" stroked="false">
              <v:imagedata r:id="rId62" o:title=""/>
            </v:shape>
            <v:shape style="position:absolute;left:4296;top:2242;width:2432;height:974" type="#_x0000_t75" stroked="false">
              <v:imagedata r:id="rId63" o:title=""/>
            </v:shape>
            <v:shape style="position:absolute;left:4665;top:2474;width:1690;height:514" type="#_x0000_t75" stroked="false">
              <v:imagedata r:id="rId64" o:title=""/>
            </v:shape>
            <v:shape style="position:absolute;left:6764;top:1289;width:2227;height:974" type="#_x0000_t75" stroked="false">
              <v:imagedata r:id="rId65" o:title=""/>
            </v:shape>
            <v:shape style="position:absolute;left:7103;top:1523;width:1541;height:509" type="#_x0000_t75" stroked="false">
              <v:imagedata r:id="rId66" o:title=""/>
            </v:shape>
            <v:shape style="position:absolute;left:8840;top:261;width:1890;height:974" type="#_x0000_t75" stroked="false">
              <v:imagedata r:id="rId67" o:title=""/>
            </v:shape>
            <v:shape style="position:absolute;left:9133;top:496;width:1301;height:509" type="#_x0000_t75" stroked="false">
              <v:imagedata r:id="rId68" o:title=""/>
            </v:shape>
            <v:shape style="position:absolute;left:2552;top:229;width:6174;height:2719" coordorigin="2552,229" coordsize="6174,2719" path="m2567,2754l2552,2760,2633,2948,2648,2941,2567,2754xm2612,2734l2582,2747,2663,2935,2693,2922,2612,2734xm8726,229l7160,615,7222,762,2627,2728,2708,2916,7303,949,7595,949,8726,229xm7595,949l7303,949,7365,1096,7595,949xe" filled="true" fillcolor="#a1d562" stroked="false">
              <v:path arrowok="t"/>
              <v:fill type="solid"/>
            </v:shape>
            <v:shape style="position:absolute;left:0;top:-6630256;width:84728400;height:6640395" coordorigin="0,-6630256" coordsize="84728400,6640395" path="m2552,2760l2567,2754,2648,2942,2633,2948,2552,2760xm2582,2747l2612,2735,2693,2922,2663,2935,2582,2747xm2627,2728l7222,762,7160,616,8726,230,7365,1096,7303,950,2708,2916,2627,2728xe" filled="false" stroked="true" strokeweight="1.0pt" strokecolor="#a1d562">
              <v:path arrowok="t"/>
            </v:shape>
            <v:shape style="position:absolute;left:4806;top:633;width:2979;height:1352" coordorigin="4806,633" coordsize="2979,1352" path="m4821,1789l4806,1796,4886,1984,4901,1977,4821,1789xm4866,1770l4836,1783,4916,1971,4946,1958,4866,1770xm7784,633l6218,1018,6280,1165,4881,1764,4961,1952,6361,1353,6653,1353,7784,633xm6653,1353l6361,1353,6423,1499,6653,1353xe" filled="true" fillcolor="#ffca00" stroked="false">
              <v:path arrowok="t"/>
              <v:fill type="solid"/>
            </v:shape>
            <v:shape style="position:absolute;left:-2;top:-6630256;width:40586802;height:6640401" coordorigin="-2,-6630256" coordsize="40586802,6640401" path="m4806,1796l4821,1790,4901,1978,4886,1984,4806,1796xm4836,1783l4866,1770,4946,1958,4916,1971,4836,1783xm4881,1764l6280,1165,6218,1019,7784,633,6423,1499,6361,1353,4961,1952,4881,1764xe" filled="false" stroked="true" strokeweight="1.0pt" strokecolor="#ffca00">
              <v:path arrowok="t"/>
            </v:shape>
            <v:shape style="position:absolute;left:2562;top:1586;width:2979;height:1352" coordorigin="2562,1586" coordsize="2979,1352" path="m2577,2743l2562,2749,2642,2937,2657,2931,2577,2743xm2622,2724l2592,2737,2672,2924,2702,2912,2622,2724xm5540,1586l3974,1972,4036,2118,2637,2717,2717,2905,4117,2306,4409,2306,5540,1586xm4409,2306l4117,2306,4179,2453,4409,2306xe" filled="true" fillcolor="#fffb00" stroked="false">
              <v:path arrowok="t"/>
              <v:fill type="solid"/>
            </v:shape>
            <v:shape style="position:absolute;left:2552;top:2714;width:160;height:234" type="#_x0000_t75" stroked="false">
              <v:imagedata r:id="rId69" o:title=""/>
            </v:shape>
            <v:shape style="position:absolute;left:2637;top:1586;width:2904;height:1320" coordorigin="2637,1586" coordsize="2904,1320" path="m2637,2717l4036,2118,3974,1972,5540,1586,4179,2453,4117,2306,2717,2905,2637,2717xe" filled="false" stroked="true" strokeweight="1.0pt" strokecolor="#fffb00">
              <v:path arrowok="t"/>
            </v:shape>
            <v:shape style="position:absolute;left:6793;top:2552;width:4282;height:710" type="#_x0000_t75" stroked="false">
              <v:imagedata r:id="rId70" o:title=""/>
            </v:shape>
            <v:shape style="position:absolute;left:9081;top:1643;width:1536;height:528" type="#_x0000_t75" stroked="false">
              <v:imagedata r:id="rId71" o:title=""/>
            </v:shape>
            <v:shape style="position:absolute;left:4535;top:3472;width:4848;height:254" type="#_x0000_t75" stroked="false">
              <v:imagedata r:id="rId72" o:title=""/>
            </v:shape>
            <v:shape style="position:absolute;left:3950;top:2832;width:684;height:710" coordorigin="3950,2832" coordsize="684,710" path="m4140,3387l3950,3464,4140,3542,4140,3494,4586,3494,4586,3435,4140,3435,4140,3387xm4586,3022l4528,3022,4528,3435,4586,3435,4586,3022xm4557,2832l4479,3022,4634,3022,4557,2832xe" filled="true" fillcolor="#6555f5" stroked="false">
              <v:path arrowok="t"/>
              <v:fill type="solid"/>
            </v:shape>
            <v:shape style="position:absolute;left:3950;top:2832;width:684;height:710" coordorigin="3950,2832" coordsize="684,710" path="m3950,3464l4140,3387,4140,3435,4528,3435,4528,3022,4479,3022,4557,2832,4634,3022,4586,3022,4586,3494,4140,3494,4140,3542,3950,3464xe" filled="false" stroked="true" strokeweight="1.000001pt" strokecolor="#6555f5">
              <v:path arrowok="t"/>
            </v:shape>
            <v:shape style="position:absolute;left:6550;top:1953;width:684;height:710" coordorigin="6550,1953" coordsize="684,710" path="m6739,2508l6550,2586,6739,2663,6739,2615,7186,2615,7186,2556,6739,2556,6739,2508xm7186,2143l7127,2143,7127,2556,7186,2556,7186,2143xm7156,1953l7079,2143,7234,2143,7156,1953xe" filled="true" fillcolor="#6555f5" stroked="false">
              <v:path arrowok="t"/>
              <v:fill type="solid"/>
            </v:shape>
            <v:shape style="position:absolute;left:6550;top:1953;width:684;height:710" coordorigin="6550,1953" coordsize="684,710" path="m6550,2586l6739,2508,6739,2556,7127,2556,7127,2143,7079,2143,7156,1953,7234,2143,7186,2143,7186,2615,6739,2615,6739,2663,6550,2586xe" filled="false" stroked="true" strokeweight="1.000001pt" strokecolor="#6555f5">
              <v:path arrowok="t"/>
            </v:shape>
            <v:shape style="position:absolute;left:8719;top:906;width:684;height:710" coordorigin="8719,906" coordsize="684,710" path="m8909,1461l8719,1539,8909,1616,8909,1568,9355,1568,9355,1509,8909,1509,8909,1461xm9355,1096l9296,1096,9296,1509,9355,1509,9355,1096xm9325,906l9248,1096,9403,1096,9325,906xe" filled="true" fillcolor="#6555f5" stroked="false">
              <v:path arrowok="t"/>
              <v:fill type="solid"/>
            </v:shape>
            <v:shape style="position:absolute;left:8719;top:906;width:684;height:710" coordorigin="8719,906" coordsize="684,710" path="m8719,1539l8909,1461,8909,1509,9296,1509,9296,1096,9248,1096,9325,906,9403,1096,9355,1096,9355,1568,8909,1568,8909,1616,8719,1539xe" filled="false" stroked="true" strokeweight="1.000001pt" strokecolor="#6555f5">
              <v:path arrowok="t"/>
            </v:shape>
            <v:shape style="position:absolute;left:9465;top:652;width:634;height:216" type="#_x0000_t202" filled="false" stroked="false">
              <v:textbox inset="0,0,0,0">
                <w:txbxContent>
                  <w:p>
                    <w:pPr>
                      <w:spacing w:line="216" w:lineRule="exact" w:before="0"/>
                      <w:ind w:left="0" w:right="0" w:firstLine="0"/>
                      <w:jc w:val="left"/>
                      <w:rPr>
                        <w:b/>
                        <w:sz w:val="21"/>
                      </w:rPr>
                    </w:pPr>
                    <w:r>
                      <w:rPr>
                        <w:b/>
                        <w:color w:val="0D0D0D"/>
                        <w:sz w:val="21"/>
                      </w:rPr>
                      <w:t>Índice</w:t>
                    </w:r>
                  </w:p>
                </w:txbxContent>
              </v:textbox>
              <w10:wrap type="none"/>
            </v:shape>
            <v:shape style="position:absolute;left:7257;top:1680;width:1234;height:216" type="#_x0000_t202" filled="false" stroked="false">
              <v:textbox inset="0,0,0,0">
                <w:txbxContent>
                  <w:p>
                    <w:pPr>
                      <w:spacing w:line="216" w:lineRule="exact" w:before="0"/>
                      <w:ind w:left="0" w:right="0" w:firstLine="0"/>
                      <w:jc w:val="left"/>
                      <w:rPr>
                        <w:b/>
                        <w:sz w:val="21"/>
                      </w:rPr>
                    </w:pPr>
                    <w:r>
                      <w:rPr>
                        <w:b/>
                        <w:color w:val="0D0D0D"/>
                        <w:sz w:val="21"/>
                      </w:rPr>
                      <w:t>Indicadores</w:t>
                    </w:r>
                  </w:p>
                </w:txbxContent>
              </v:textbox>
              <w10:wrap type="none"/>
            </v:shape>
            <v:shape style="position:absolute;left:9229;top:1670;width:1239;height:466" type="#_x0000_t202" filled="false" stroked="false">
              <v:textbox inset="0,0,0,0">
                <w:txbxContent>
                  <w:p>
                    <w:pPr>
                      <w:spacing w:line="220" w:lineRule="exact" w:before="0"/>
                      <w:ind w:left="62" w:right="0" w:hanging="63"/>
                      <w:jc w:val="left"/>
                      <w:rPr>
                        <w:sz w:val="21"/>
                      </w:rPr>
                    </w:pPr>
                    <w:r>
                      <w:rPr>
                        <w:sz w:val="21"/>
                      </w:rPr>
                      <w:t>Ponderación</w:t>
                    </w:r>
                  </w:p>
                  <w:p>
                    <w:pPr>
                      <w:spacing w:line="238" w:lineRule="exact" w:before="8"/>
                      <w:ind w:left="62" w:right="0" w:firstLine="0"/>
                      <w:jc w:val="left"/>
                      <w:rPr>
                        <w:sz w:val="21"/>
                      </w:rPr>
                    </w:pPr>
                    <w:r>
                      <w:rPr>
                        <w:w w:val="105"/>
                        <w:sz w:val="21"/>
                      </w:rPr>
                      <w:t>Agregación</w:t>
                    </w:r>
                  </w:p>
                </w:txbxContent>
              </v:textbox>
              <w10:wrap type="none"/>
            </v:shape>
            <v:shape style="position:absolute;left:4823;top:2635;width:1368;height:216" type="#_x0000_t202" filled="false" stroked="false">
              <v:textbox inset="0,0,0,0">
                <w:txbxContent>
                  <w:p>
                    <w:pPr>
                      <w:spacing w:line="216" w:lineRule="exact" w:before="0"/>
                      <w:ind w:left="0" w:right="0" w:firstLine="0"/>
                      <w:jc w:val="left"/>
                      <w:rPr>
                        <w:b/>
                        <w:sz w:val="21"/>
                      </w:rPr>
                    </w:pPr>
                    <w:r>
                      <w:rPr>
                        <w:b/>
                        <w:color w:val="0D0D0D"/>
                        <w:sz w:val="21"/>
                      </w:rPr>
                      <w:t>Dimensiones</w:t>
                    </w:r>
                  </w:p>
                </w:txbxContent>
              </v:textbox>
              <w10:wrap type="none"/>
            </v:shape>
            <v:shape style="position:absolute;left:6940;top:2659;width:3925;height:476" type="#_x0000_t202" filled="false" stroked="false">
              <v:textbox inset="0,0,0,0">
                <w:txbxContent>
                  <w:p>
                    <w:pPr>
                      <w:spacing w:line="220" w:lineRule="exact" w:before="0"/>
                      <w:ind w:left="0" w:right="0" w:firstLine="0"/>
                      <w:jc w:val="left"/>
                      <w:rPr>
                        <w:sz w:val="21"/>
                      </w:rPr>
                    </w:pPr>
                    <w:r>
                      <w:rPr>
                        <w:w w:val="105"/>
                        <w:sz w:val="21"/>
                      </w:rPr>
                      <w:t>Identificación y selección de</w:t>
                    </w:r>
                    <w:r>
                      <w:rPr>
                        <w:spacing w:val="-35"/>
                        <w:w w:val="105"/>
                        <w:sz w:val="21"/>
                      </w:rPr>
                      <w:t> </w:t>
                    </w:r>
                    <w:r>
                      <w:rPr>
                        <w:w w:val="105"/>
                        <w:sz w:val="21"/>
                      </w:rPr>
                      <w:t>indicadores</w:t>
                    </w:r>
                  </w:p>
                  <w:p>
                    <w:pPr>
                      <w:spacing w:line="238" w:lineRule="exact" w:before="17"/>
                      <w:ind w:left="0" w:right="0" w:firstLine="0"/>
                      <w:jc w:val="left"/>
                      <w:rPr>
                        <w:sz w:val="21"/>
                      </w:rPr>
                    </w:pPr>
                    <w:r>
                      <w:rPr>
                        <w:w w:val="105"/>
                        <w:sz w:val="21"/>
                      </w:rPr>
                      <w:t>Medida (escala y temporalidad)</w:t>
                    </w:r>
                  </w:p>
                </w:txbxContent>
              </v:textbox>
              <w10:wrap type="none"/>
            </v:shape>
            <v:shape style="position:absolute;left:2692;top:3456;width:1011;height:216" type="#_x0000_t202" filled="false" stroked="false">
              <v:textbox inset="0,0,0,0">
                <w:txbxContent>
                  <w:p>
                    <w:pPr>
                      <w:spacing w:line="216" w:lineRule="exact" w:before="0"/>
                      <w:ind w:left="0" w:right="0" w:firstLine="0"/>
                      <w:jc w:val="left"/>
                      <w:rPr>
                        <w:b/>
                        <w:sz w:val="21"/>
                      </w:rPr>
                    </w:pPr>
                    <w:r>
                      <w:rPr>
                        <w:b/>
                        <w:color w:val="0D0D0D"/>
                        <w:sz w:val="21"/>
                      </w:rPr>
                      <w:t>Concepto</w:t>
                    </w:r>
                  </w:p>
                </w:txbxContent>
              </v:textbox>
              <w10:wrap type="none"/>
            </v:shape>
            <v:shape style="position:absolute;left:4679;top:3499;width:3851;height:216" type="#_x0000_t202" filled="false" stroked="false">
              <v:textbox inset="0,0,0,0">
                <w:txbxContent>
                  <w:p>
                    <w:pPr>
                      <w:spacing w:line="216" w:lineRule="exact" w:before="0"/>
                      <w:ind w:left="0" w:right="0" w:firstLine="0"/>
                      <w:jc w:val="left"/>
                      <w:rPr>
                        <w:sz w:val="21"/>
                      </w:rPr>
                    </w:pPr>
                    <w:r>
                      <w:rPr>
                        <w:w w:val="105"/>
                        <w:sz w:val="21"/>
                      </w:rPr>
                      <w:t>Análisis conceptual, modelo</w:t>
                    </w:r>
                    <w:r>
                      <w:rPr>
                        <w:spacing w:val="-35"/>
                        <w:w w:val="105"/>
                        <w:sz w:val="21"/>
                      </w:rPr>
                      <w:t> </w:t>
                    </w:r>
                    <w:r>
                      <w:rPr>
                        <w:w w:val="105"/>
                        <w:sz w:val="21"/>
                      </w:rPr>
                      <w:t>conceptual</w:t>
                    </w:r>
                  </w:p>
                </w:txbxContent>
              </v:textbox>
              <w10:wrap type="none"/>
            </v:shape>
            <w10:wrap type="none"/>
          </v:group>
        </w:pict>
      </w:r>
      <w:r>
        <w:rPr>
          <w:w w:val="105"/>
          <w:sz w:val="21"/>
        </w:rPr>
        <w:t>Figura 1. Modelo del concepto al índice de Boulanger.</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8"/>
        <w:rPr>
          <w:sz w:val="21"/>
        </w:rPr>
      </w:pPr>
    </w:p>
    <w:p>
      <w:pPr>
        <w:spacing w:before="0"/>
        <w:ind w:left="268" w:right="0" w:firstLine="0"/>
        <w:jc w:val="both"/>
        <w:rPr>
          <w:sz w:val="21"/>
        </w:rPr>
      </w:pPr>
      <w:r>
        <w:rPr>
          <w:w w:val="105"/>
          <w:sz w:val="21"/>
        </w:rPr>
        <w:t>Fuente: Elaboración propia con base en Boulanger, 2004.</w:t>
      </w:r>
    </w:p>
    <w:p>
      <w:pPr>
        <w:pStyle w:val="BodyText"/>
        <w:rPr>
          <w:sz w:val="22"/>
        </w:rPr>
      </w:pPr>
    </w:p>
    <w:p>
      <w:pPr>
        <w:pStyle w:val="BodyText"/>
        <w:rPr>
          <w:sz w:val="22"/>
        </w:rPr>
      </w:pPr>
    </w:p>
    <w:p>
      <w:pPr>
        <w:pStyle w:val="BodyText"/>
        <w:spacing w:before="6"/>
        <w:rPr>
          <w:sz w:val="23"/>
        </w:rPr>
      </w:pPr>
    </w:p>
    <w:p>
      <w:pPr>
        <w:pStyle w:val="BodyText"/>
        <w:spacing w:line="360" w:lineRule="auto"/>
        <w:ind w:left="268" w:right="351"/>
        <w:jc w:val="both"/>
      </w:pPr>
      <w:r>
        <w:rPr/>
        <w:t>En la figura dos del lado derecho se puede observar el modelo de Bossel que jerarquiza de acuerdo a la agregación de los datos y la organización del sistema para después organizar el subsistema. Ambos modelos son complementarios por lo que este tipo de proceso se consideró para la inclusción de los indicadores del estudio en cuestión, como se puede apreciar gráficamente en el modelo de la figura tres que se menciona en el siguiente subcapítulo.</w:t>
      </w:r>
    </w:p>
    <w:p>
      <w:pPr>
        <w:spacing w:after="0" w:line="360" w:lineRule="auto"/>
        <w:jc w:val="both"/>
        <w:sectPr>
          <w:pgSz w:w="12240" w:h="15840"/>
          <w:pgMar w:header="730" w:footer="1066" w:top="1320" w:bottom="1260" w:left="1720" w:right="1060"/>
        </w:sectPr>
      </w:pPr>
    </w:p>
    <w:p>
      <w:pPr>
        <w:pStyle w:val="BodyText"/>
        <w:rPr>
          <w:sz w:val="20"/>
        </w:rPr>
      </w:pPr>
    </w:p>
    <w:p>
      <w:pPr>
        <w:pStyle w:val="BodyText"/>
        <w:rPr>
          <w:sz w:val="20"/>
        </w:rPr>
      </w:pPr>
    </w:p>
    <w:p>
      <w:pPr>
        <w:pStyle w:val="BodyText"/>
        <w:rPr>
          <w:sz w:val="20"/>
        </w:rPr>
      </w:pPr>
    </w:p>
    <w:p>
      <w:pPr>
        <w:pStyle w:val="BodyText"/>
        <w:rPr>
          <w:sz w:val="27"/>
        </w:rPr>
      </w:pPr>
    </w:p>
    <w:p>
      <w:pPr>
        <w:spacing w:line="247" w:lineRule="auto" w:before="78"/>
        <w:ind w:left="268" w:right="241" w:firstLine="0"/>
        <w:jc w:val="left"/>
        <w:rPr>
          <w:sz w:val="21"/>
        </w:rPr>
      </w:pPr>
      <w:r>
        <w:rPr/>
        <w:pict>
          <v:group style="position:absolute;margin-left:99.029999pt;margin-top:35.618900pt;width:435.6pt;height:230.05pt;mso-position-horizontal-relative:page;mso-position-vertical-relative:paragraph;z-index:4024;mso-wrap-distance-left:0;mso-wrap-distance-right:0" coordorigin="1981,712" coordsize="8712,4601">
            <v:shape style="position:absolute;left:1981;top:712;width:4146;height:4601" type="#_x0000_t75" stroked="false">
              <v:imagedata r:id="rId73" o:title=""/>
            </v:shape>
            <v:shape style="position:absolute;left:5947;top:712;width:4746;height:4168" type="#_x0000_t75" stroked="false">
              <v:imagedata r:id="rId74" o:title=""/>
            </v:shape>
            <w10:wrap type="topAndBottom"/>
          </v:group>
        </w:pict>
      </w:r>
      <w:r>
        <w:rPr/>
        <w:pict>
          <v:line style="position:absolute;mso-position-horizontal-relative:page;mso-position-vertical-relative:paragraph;z-index:4048" from="93.199997pt,-59.21109pt" to="546.799997pt,-59.21109pt" stroked="true" strokeweight=".479981pt" strokecolor="#000000">
            <w10:wrap type="none"/>
          </v:line>
        </w:pict>
      </w:r>
      <w:r>
        <w:rPr>
          <w:w w:val="105"/>
          <w:sz w:val="21"/>
        </w:rPr>
        <w:t>Figura 2. Modelos para la inclusión de indicadores y organización de un sistema de índices.</w:t>
      </w:r>
    </w:p>
    <w:p>
      <w:pPr>
        <w:spacing w:before="54"/>
        <w:ind w:left="268" w:right="0" w:firstLine="0"/>
        <w:jc w:val="both"/>
        <w:rPr>
          <w:sz w:val="21"/>
        </w:rPr>
      </w:pPr>
      <w:r>
        <w:rPr>
          <w:w w:val="105"/>
          <w:sz w:val="21"/>
        </w:rPr>
        <w:t>Fuente: Hearnschaw (2004) y Bossel (1999), citados en Villasís, 2011.</w:t>
      </w:r>
    </w:p>
    <w:p>
      <w:pPr>
        <w:pStyle w:val="BodyText"/>
        <w:rPr>
          <w:sz w:val="22"/>
        </w:rPr>
      </w:pPr>
    </w:p>
    <w:p>
      <w:pPr>
        <w:pStyle w:val="BodyText"/>
        <w:rPr>
          <w:sz w:val="22"/>
        </w:rPr>
      </w:pPr>
    </w:p>
    <w:p>
      <w:pPr>
        <w:pStyle w:val="Heading4"/>
        <w:numPr>
          <w:ilvl w:val="1"/>
          <w:numId w:val="8"/>
        </w:numPr>
        <w:tabs>
          <w:tab w:pos="773" w:val="left" w:leader="none"/>
        </w:tabs>
        <w:spacing w:line="274" w:lineRule="exact" w:before="142" w:after="0"/>
        <w:ind w:left="268" w:right="232" w:firstLine="0"/>
        <w:jc w:val="both"/>
      </w:pPr>
      <w:r>
        <w:rPr/>
        <w:t>Diseño del modelo metodológico de indicadores para la obtención del índice de sustentabilidad de conjuntos</w:t>
      </w:r>
      <w:r>
        <w:rPr>
          <w:spacing w:val="-1"/>
        </w:rPr>
        <w:t> </w:t>
      </w:r>
      <w:r>
        <w:rPr/>
        <w:t>urbanos</w:t>
      </w:r>
    </w:p>
    <w:p>
      <w:pPr>
        <w:pStyle w:val="BodyText"/>
        <w:rPr>
          <w:b/>
        </w:rPr>
      </w:pPr>
    </w:p>
    <w:p>
      <w:pPr>
        <w:pStyle w:val="BodyText"/>
        <w:spacing w:before="8"/>
        <w:rPr>
          <w:b/>
          <w:sz w:val="29"/>
        </w:rPr>
      </w:pPr>
    </w:p>
    <w:p>
      <w:pPr>
        <w:pStyle w:val="BodyText"/>
        <w:spacing w:line="360" w:lineRule="auto"/>
        <w:ind w:left="268" w:right="231"/>
        <w:jc w:val="both"/>
      </w:pPr>
      <w:r>
        <w:rPr/>
        <w:t>De la revisión efectuada que diversos autores manejan sobre indicadores para la sustentabilidad, así como instituciones y organizaciones en el ámbito internacional se observa que existen diferentes indicadores que evalúan los temas de sustentabilidad desde distintas perspectivas; sin embargo, no existe una propuesta particulariza en la construcción de indicadores para la evaluación de la sustentabilidad en la autorización de conjuntos urbanos habitacionales que  permita medir y evaluar su impacto en el territorio.</w:t>
      </w:r>
    </w:p>
    <w:p>
      <w:pPr>
        <w:pStyle w:val="BodyText"/>
        <w:spacing w:line="360" w:lineRule="auto" w:before="127"/>
        <w:ind w:left="268" w:right="231"/>
        <w:jc w:val="both"/>
      </w:pPr>
      <w:r>
        <w:rPr/>
        <w:t>En este sentido, la construcción de los indicadores para este trabajo de investigación retoma y se basa en la normatividad que regula la producción de vivienda formal en el Estado de México, tema que se analiza en el capítulo tres de esta investigación. Considerando que, en el marco regulador para la  </w:t>
      </w:r>
      <w:r>
        <w:rPr>
          <w:spacing w:val="66"/>
        </w:rPr>
        <w:t> </w:t>
      </w:r>
      <w:r>
        <w:rPr/>
        <w:t>autorización</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4072" from="93.199997pt,-19.614155pt" to="546.799997pt,-19.614155pt" stroked="true" strokeweight=".479981pt" strokecolor="#000000">
            <w10:wrap type="none"/>
          </v:line>
        </w:pict>
      </w:r>
      <w:r>
        <w:rPr/>
        <w:t>de vivienda a través de la figura de conjunto urbano, la norma de mayor peso es el Código Administrativo del Estado de México en su Libro Quinto: Del Ordenamiento Territorial de los Asentamientos Humanos y del Desarrollo Urbano de los Centros de Población, así como su reglamento.</w:t>
      </w:r>
    </w:p>
    <w:p>
      <w:pPr>
        <w:pStyle w:val="BodyText"/>
        <w:spacing w:line="360" w:lineRule="auto" w:before="127"/>
        <w:ind w:left="268" w:right="231"/>
        <w:jc w:val="both"/>
      </w:pPr>
      <w:r>
        <w:rPr/>
        <w:t>La metodología para el análisis de la norma está basada en examinar la implementación y uso del concepto de sustentabilidad en la normatividad que se aplica para la autorización de conjuntos urbanos de tipo habitacional y con ello develar si los conjuntos urbanos habitacionales que se autorizan en el Estado de México  y en el caso de estudio están considerando elementos de sustentabilidad.</w:t>
      </w:r>
    </w:p>
    <w:p>
      <w:pPr>
        <w:pStyle w:val="BodyText"/>
        <w:spacing w:line="360" w:lineRule="auto" w:before="122"/>
        <w:ind w:left="268" w:right="231"/>
        <w:jc w:val="both"/>
      </w:pPr>
      <w:r>
        <w:rPr/>
        <w:t>El alcance de la investigación radica en la obtención de cuatro índices eje que se relacionan entre sí partiendo de la conceptualización de la sustentabilidad en sus ejes; social, ambiental y económico, adicionando un eje territorial, a la forma tradicional de estudiar la sustentabilidad.</w:t>
      </w:r>
    </w:p>
    <w:p>
      <w:pPr>
        <w:pStyle w:val="BodyText"/>
        <w:spacing w:line="360" w:lineRule="auto" w:before="127"/>
        <w:ind w:left="268" w:right="231"/>
        <w:jc w:val="both"/>
      </w:pPr>
      <w:r>
        <w:rPr/>
        <w:t>La diferencia en la aportación de este eje territorial radica en su interpretación y análisis, puesto que los cuatro son analizados en tres dimensiones; la dimensión Sociedad, Estado e iniciativa privada, con ello se busca el análisis integral de la promoción, producción y desarrollo de vivienda formal en este contexto la promoción corresponde al Estado, la producción que correlaciona a la iniciativa privada y finalmente, el desarrollo que describe la relación con la sociedad. (Ver figura tres)</w:t>
      </w:r>
    </w:p>
    <w:p>
      <w:pPr>
        <w:spacing w:after="0" w:line="360" w:lineRule="auto"/>
        <w:jc w:val="both"/>
        <w:sectPr>
          <w:pgSz w:w="12240" w:h="15840"/>
          <w:pgMar w:header="730" w:footer="1066" w:top="1320" w:bottom="1260" w:left="1720" w:right="1180"/>
        </w:sectPr>
      </w:pPr>
    </w:p>
    <w:p>
      <w:pPr>
        <w:pStyle w:val="BodyText"/>
        <w:spacing w:before="1"/>
        <w:rPr>
          <w:sz w:val="18"/>
        </w:rPr>
      </w:pPr>
    </w:p>
    <w:p>
      <w:pPr>
        <w:spacing w:line="247" w:lineRule="auto" w:before="78"/>
        <w:ind w:left="268" w:right="327" w:firstLine="0"/>
        <w:jc w:val="both"/>
        <w:rPr>
          <w:sz w:val="21"/>
        </w:rPr>
      </w:pPr>
      <w:r>
        <w:rPr/>
        <w:pict>
          <v:line style="position:absolute;mso-position-horizontal-relative:page;mso-position-vertical-relative:paragraph;z-index:4120" from="93.199997pt,-19.611116pt" to="546.799997pt,-19.611116pt" stroked="true" strokeweight=".479981pt" strokecolor="#000000">
            <w10:wrap type="none"/>
          </v:line>
        </w:pict>
      </w:r>
      <w:r>
        <w:rPr>
          <w:w w:val="105"/>
          <w:sz w:val="21"/>
        </w:rPr>
        <w:t>Figura</w:t>
      </w:r>
      <w:r>
        <w:rPr>
          <w:spacing w:val="-4"/>
          <w:w w:val="105"/>
          <w:sz w:val="21"/>
        </w:rPr>
        <w:t> </w:t>
      </w:r>
      <w:r>
        <w:rPr>
          <w:w w:val="105"/>
          <w:sz w:val="21"/>
        </w:rPr>
        <w:t>3.</w:t>
      </w:r>
      <w:r>
        <w:rPr>
          <w:spacing w:val="-5"/>
          <w:w w:val="105"/>
          <w:sz w:val="21"/>
        </w:rPr>
        <w:t> </w:t>
      </w:r>
      <w:r>
        <w:rPr>
          <w:w w:val="105"/>
          <w:sz w:val="21"/>
        </w:rPr>
        <w:t>Modelo</w:t>
      </w:r>
      <w:r>
        <w:rPr>
          <w:spacing w:val="-4"/>
          <w:w w:val="105"/>
          <w:sz w:val="21"/>
        </w:rPr>
        <w:t> </w:t>
      </w:r>
      <w:r>
        <w:rPr>
          <w:w w:val="105"/>
          <w:sz w:val="21"/>
        </w:rPr>
        <w:t>de</w:t>
      </w:r>
      <w:r>
        <w:rPr>
          <w:spacing w:val="-4"/>
          <w:w w:val="105"/>
          <w:sz w:val="21"/>
        </w:rPr>
        <w:t> </w:t>
      </w:r>
      <w:r>
        <w:rPr>
          <w:w w:val="105"/>
          <w:sz w:val="21"/>
        </w:rPr>
        <w:t>inclusión</w:t>
      </w:r>
      <w:r>
        <w:rPr>
          <w:spacing w:val="-4"/>
          <w:w w:val="105"/>
          <w:sz w:val="21"/>
        </w:rPr>
        <w:t> </w:t>
      </w:r>
      <w:r>
        <w:rPr>
          <w:w w:val="105"/>
          <w:sz w:val="21"/>
        </w:rPr>
        <w:t>para</w:t>
      </w:r>
      <w:r>
        <w:rPr>
          <w:spacing w:val="-4"/>
          <w:w w:val="105"/>
          <w:sz w:val="21"/>
        </w:rPr>
        <w:t> </w:t>
      </w:r>
      <w:r>
        <w:rPr>
          <w:w w:val="105"/>
          <w:sz w:val="21"/>
        </w:rPr>
        <w:t>índices,</w:t>
      </w:r>
      <w:r>
        <w:rPr>
          <w:spacing w:val="-5"/>
          <w:w w:val="105"/>
          <w:sz w:val="21"/>
        </w:rPr>
        <w:t> </w:t>
      </w:r>
      <w:r>
        <w:rPr>
          <w:w w:val="105"/>
          <w:sz w:val="21"/>
        </w:rPr>
        <w:t>subíncides</w:t>
      </w:r>
      <w:r>
        <w:rPr>
          <w:spacing w:val="-5"/>
          <w:w w:val="105"/>
          <w:sz w:val="21"/>
        </w:rPr>
        <w:t> </w:t>
      </w:r>
      <w:r>
        <w:rPr>
          <w:w w:val="105"/>
          <w:sz w:val="21"/>
        </w:rPr>
        <w:t>e</w:t>
      </w:r>
      <w:r>
        <w:rPr>
          <w:spacing w:val="-4"/>
          <w:w w:val="105"/>
          <w:sz w:val="21"/>
        </w:rPr>
        <w:t> </w:t>
      </w:r>
      <w:r>
        <w:rPr>
          <w:w w:val="105"/>
          <w:sz w:val="21"/>
        </w:rPr>
        <w:t>indicadores</w:t>
      </w:r>
      <w:r>
        <w:rPr>
          <w:spacing w:val="-5"/>
          <w:w w:val="105"/>
          <w:sz w:val="21"/>
        </w:rPr>
        <w:t> </w:t>
      </w:r>
      <w:r>
        <w:rPr>
          <w:w w:val="105"/>
          <w:sz w:val="21"/>
        </w:rPr>
        <w:t>para</w:t>
      </w:r>
      <w:r>
        <w:rPr>
          <w:spacing w:val="-5"/>
          <w:w w:val="105"/>
          <w:sz w:val="21"/>
        </w:rPr>
        <w:t> </w:t>
      </w:r>
      <w:r>
        <w:rPr>
          <w:w w:val="105"/>
          <w:sz w:val="21"/>
        </w:rPr>
        <w:t>el</w:t>
      </w:r>
      <w:r>
        <w:rPr>
          <w:spacing w:val="-5"/>
          <w:w w:val="105"/>
          <w:sz w:val="21"/>
        </w:rPr>
        <w:t> </w:t>
      </w:r>
      <w:r>
        <w:rPr>
          <w:w w:val="105"/>
          <w:sz w:val="21"/>
        </w:rPr>
        <w:t>análisis</w:t>
      </w:r>
      <w:r>
        <w:rPr>
          <w:spacing w:val="-5"/>
          <w:w w:val="105"/>
          <w:sz w:val="21"/>
        </w:rPr>
        <w:t> </w:t>
      </w:r>
      <w:r>
        <w:rPr>
          <w:w w:val="105"/>
          <w:sz w:val="21"/>
        </w:rPr>
        <w:t>de</w:t>
      </w:r>
      <w:r>
        <w:rPr>
          <w:spacing w:val="-5"/>
          <w:w w:val="105"/>
          <w:sz w:val="21"/>
        </w:rPr>
        <w:t> </w:t>
      </w:r>
      <w:r>
        <w:rPr>
          <w:w w:val="105"/>
          <w:sz w:val="21"/>
        </w:rPr>
        <w:t>la sustentabilidad del territorio mediante la producción de vivienda</w:t>
      </w:r>
      <w:r>
        <w:rPr>
          <w:spacing w:val="-37"/>
          <w:w w:val="105"/>
          <w:sz w:val="21"/>
        </w:rPr>
        <w:t> </w:t>
      </w:r>
      <w:r>
        <w:rPr>
          <w:w w:val="105"/>
          <w:sz w:val="21"/>
        </w:rPr>
        <w:t>formal.</w:t>
      </w:r>
    </w:p>
    <w:p>
      <w:pPr>
        <w:pStyle w:val="BodyText"/>
        <w:rPr>
          <w:sz w:val="20"/>
        </w:rPr>
      </w:pPr>
    </w:p>
    <w:p>
      <w:pPr>
        <w:pStyle w:val="BodyText"/>
        <w:spacing w:before="7"/>
        <w:rPr>
          <w:sz w:val="28"/>
        </w:rPr>
      </w:pPr>
      <w:r>
        <w:rPr/>
        <w:drawing>
          <wp:anchor distT="0" distB="0" distL="0" distR="0" allowOverlap="1" layoutInCell="1" locked="0" behindDoc="0" simplePos="0" relativeHeight="4096">
            <wp:simplePos x="0" y="0"/>
            <wp:positionH relativeFrom="page">
              <wp:posOffset>1261491</wp:posOffset>
            </wp:positionH>
            <wp:positionV relativeFrom="paragraph">
              <wp:posOffset>233857</wp:posOffset>
            </wp:positionV>
            <wp:extent cx="3199272" cy="3243072"/>
            <wp:effectExtent l="0" t="0" r="0" b="0"/>
            <wp:wrapTopAndBottom/>
            <wp:docPr id="17" name="image25.jpeg" descr=""/>
            <wp:cNvGraphicFramePr>
              <a:graphicFrameLocks noChangeAspect="1"/>
            </wp:cNvGraphicFramePr>
            <a:graphic>
              <a:graphicData uri="http://schemas.openxmlformats.org/drawingml/2006/picture">
                <pic:pic>
                  <pic:nvPicPr>
                    <pic:cNvPr id="18" name="image25.jpeg"/>
                    <pic:cNvPicPr/>
                  </pic:nvPicPr>
                  <pic:blipFill>
                    <a:blip r:embed="rId75" cstate="print"/>
                    <a:stretch>
                      <a:fillRect/>
                    </a:stretch>
                  </pic:blipFill>
                  <pic:spPr>
                    <a:xfrm>
                      <a:off x="0" y="0"/>
                      <a:ext cx="3199272" cy="3243072"/>
                    </a:xfrm>
                    <a:prstGeom prst="rect">
                      <a:avLst/>
                    </a:prstGeom>
                  </pic:spPr>
                </pic:pic>
              </a:graphicData>
            </a:graphic>
          </wp:anchor>
        </w:drawing>
      </w:r>
      <w:r>
        <w:rPr/>
        <w:pict>
          <v:shape style="position:absolute;margin-left:369.904663pt;margin-top:54.0849pt;width:159.1pt;height:175.9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1"/>
                    <w:gridCol w:w="2687"/>
                  </w:tblGrid>
                  <w:tr>
                    <w:trPr>
                      <w:trHeight w:val="270" w:hRule="exact"/>
                    </w:trPr>
                    <w:tc>
                      <w:tcPr>
                        <w:tcW w:w="481" w:type="dxa"/>
                      </w:tcPr>
                      <w:p>
                        <w:pPr>
                          <w:pStyle w:val="TableParagraph"/>
                          <w:spacing w:before="45"/>
                          <w:ind w:left="204"/>
                          <w:jc w:val="left"/>
                          <w:rPr>
                            <w:sz w:val="14"/>
                          </w:rPr>
                        </w:pPr>
                        <w:r>
                          <w:rPr>
                            <w:w w:val="86"/>
                            <w:sz w:val="14"/>
                          </w:rPr>
                          <w:t>1</w:t>
                        </w:r>
                      </w:p>
                    </w:tc>
                    <w:tc>
                      <w:tcPr>
                        <w:tcW w:w="2687" w:type="dxa"/>
                      </w:tcPr>
                      <w:p>
                        <w:pPr>
                          <w:pStyle w:val="TableParagraph"/>
                          <w:spacing w:before="45"/>
                          <w:ind w:left="62"/>
                          <w:jc w:val="left"/>
                          <w:rPr>
                            <w:sz w:val="14"/>
                          </w:rPr>
                        </w:pPr>
                        <w:r>
                          <w:rPr>
                            <w:w w:val="85"/>
                            <w:sz w:val="14"/>
                          </w:rPr>
                          <w:t>Índice Ambiental</w:t>
                        </w:r>
                      </w:p>
                    </w:tc>
                  </w:tr>
                  <w:tr>
                    <w:trPr>
                      <w:trHeight w:val="270" w:hRule="exact"/>
                    </w:trPr>
                    <w:tc>
                      <w:tcPr>
                        <w:tcW w:w="481" w:type="dxa"/>
                      </w:tcPr>
                      <w:p>
                        <w:pPr>
                          <w:pStyle w:val="TableParagraph"/>
                          <w:spacing w:before="45"/>
                          <w:ind w:left="204"/>
                          <w:jc w:val="left"/>
                          <w:rPr>
                            <w:sz w:val="14"/>
                          </w:rPr>
                        </w:pPr>
                        <w:r>
                          <w:rPr>
                            <w:w w:val="86"/>
                            <w:sz w:val="14"/>
                          </w:rPr>
                          <w:t>2</w:t>
                        </w:r>
                      </w:p>
                    </w:tc>
                    <w:tc>
                      <w:tcPr>
                        <w:tcW w:w="2687" w:type="dxa"/>
                      </w:tcPr>
                      <w:p>
                        <w:pPr>
                          <w:pStyle w:val="TableParagraph"/>
                          <w:spacing w:before="45"/>
                          <w:ind w:left="62"/>
                          <w:jc w:val="left"/>
                          <w:rPr>
                            <w:sz w:val="14"/>
                          </w:rPr>
                        </w:pPr>
                        <w:r>
                          <w:rPr>
                            <w:w w:val="85"/>
                            <w:sz w:val="14"/>
                          </w:rPr>
                          <w:t>Índice Económico</w:t>
                        </w:r>
                      </w:p>
                    </w:tc>
                  </w:tr>
                  <w:tr>
                    <w:trPr>
                      <w:trHeight w:val="270" w:hRule="exact"/>
                    </w:trPr>
                    <w:tc>
                      <w:tcPr>
                        <w:tcW w:w="481" w:type="dxa"/>
                      </w:tcPr>
                      <w:p>
                        <w:pPr>
                          <w:pStyle w:val="TableParagraph"/>
                          <w:spacing w:before="45"/>
                          <w:ind w:left="204"/>
                          <w:jc w:val="left"/>
                          <w:rPr>
                            <w:sz w:val="14"/>
                          </w:rPr>
                        </w:pPr>
                        <w:r>
                          <w:rPr>
                            <w:w w:val="86"/>
                            <w:sz w:val="14"/>
                          </w:rPr>
                          <w:t>3</w:t>
                        </w:r>
                      </w:p>
                    </w:tc>
                    <w:tc>
                      <w:tcPr>
                        <w:tcW w:w="2687" w:type="dxa"/>
                      </w:tcPr>
                      <w:p>
                        <w:pPr>
                          <w:pStyle w:val="TableParagraph"/>
                          <w:spacing w:before="45"/>
                          <w:ind w:left="62"/>
                          <w:jc w:val="left"/>
                          <w:rPr>
                            <w:sz w:val="14"/>
                          </w:rPr>
                        </w:pPr>
                        <w:r>
                          <w:rPr>
                            <w:w w:val="85"/>
                            <w:sz w:val="14"/>
                          </w:rPr>
                          <w:t>Índice Territorial</w:t>
                        </w:r>
                      </w:p>
                    </w:tc>
                  </w:tr>
                  <w:tr>
                    <w:trPr>
                      <w:trHeight w:val="270" w:hRule="exact"/>
                    </w:trPr>
                    <w:tc>
                      <w:tcPr>
                        <w:tcW w:w="481" w:type="dxa"/>
                      </w:tcPr>
                      <w:p>
                        <w:pPr>
                          <w:pStyle w:val="TableParagraph"/>
                          <w:spacing w:before="45"/>
                          <w:ind w:left="204"/>
                          <w:jc w:val="left"/>
                          <w:rPr>
                            <w:sz w:val="14"/>
                          </w:rPr>
                        </w:pPr>
                        <w:r>
                          <w:rPr>
                            <w:w w:val="86"/>
                            <w:sz w:val="14"/>
                          </w:rPr>
                          <w:t>4</w:t>
                        </w:r>
                      </w:p>
                    </w:tc>
                    <w:tc>
                      <w:tcPr>
                        <w:tcW w:w="2687" w:type="dxa"/>
                      </w:tcPr>
                      <w:p>
                        <w:pPr>
                          <w:pStyle w:val="TableParagraph"/>
                          <w:spacing w:before="45"/>
                          <w:ind w:left="62"/>
                          <w:jc w:val="left"/>
                          <w:rPr>
                            <w:sz w:val="14"/>
                          </w:rPr>
                        </w:pPr>
                        <w:r>
                          <w:rPr>
                            <w:w w:val="85"/>
                            <w:sz w:val="14"/>
                          </w:rPr>
                          <w:t>Índice Social</w:t>
                        </w:r>
                      </w:p>
                    </w:tc>
                  </w:tr>
                  <w:tr>
                    <w:trPr>
                      <w:trHeight w:val="270" w:hRule="exact"/>
                    </w:trPr>
                    <w:tc>
                      <w:tcPr>
                        <w:tcW w:w="481" w:type="dxa"/>
                      </w:tcPr>
                      <w:p>
                        <w:pPr>
                          <w:pStyle w:val="TableParagraph"/>
                          <w:spacing w:before="45"/>
                          <w:ind w:left="204"/>
                          <w:jc w:val="left"/>
                          <w:rPr>
                            <w:sz w:val="14"/>
                          </w:rPr>
                        </w:pPr>
                        <w:r>
                          <w:rPr>
                            <w:w w:val="86"/>
                            <w:sz w:val="14"/>
                          </w:rPr>
                          <w:t>5</w:t>
                        </w:r>
                      </w:p>
                    </w:tc>
                    <w:tc>
                      <w:tcPr>
                        <w:tcW w:w="2687" w:type="dxa"/>
                      </w:tcPr>
                      <w:p>
                        <w:pPr>
                          <w:pStyle w:val="TableParagraph"/>
                          <w:spacing w:before="45"/>
                          <w:ind w:left="62"/>
                          <w:jc w:val="left"/>
                          <w:rPr>
                            <w:sz w:val="14"/>
                          </w:rPr>
                        </w:pPr>
                        <w:r>
                          <w:rPr>
                            <w:w w:val="85"/>
                            <w:sz w:val="14"/>
                          </w:rPr>
                          <w:t>Indicadores sociales y  ambientales</w:t>
                        </w:r>
                      </w:p>
                    </w:tc>
                  </w:tr>
                  <w:tr>
                    <w:trPr>
                      <w:trHeight w:val="270" w:hRule="exact"/>
                    </w:trPr>
                    <w:tc>
                      <w:tcPr>
                        <w:tcW w:w="481" w:type="dxa"/>
                      </w:tcPr>
                      <w:p>
                        <w:pPr>
                          <w:pStyle w:val="TableParagraph"/>
                          <w:spacing w:before="45"/>
                          <w:ind w:left="204"/>
                          <w:jc w:val="left"/>
                          <w:rPr>
                            <w:sz w:val="14"/>
                          </w:rPr>
                        </w:pPr>
                        <w:r>
                          <w:rPr>
                            <w:w w:val="86"/>
                            <w:sz w:val="14"/>
                          </w:rPr>
                          <w:t>6</w:t>
                        </w:r>
                      </w:p>
                    </w:tc>
                    <w:tc>
                      <w:tcPr>
                        <w:tcW w:w="2687" w:type="dxa"/>
                      </w:tcPr>
                      <w:p>
                        <w:pPr>
                          <w:pStyle w:val="TableParagraph"/>
                          <w:spacing w:before="45"/>
                          <w:ind w:left="62"/>
                          <w:jc w:val="left"/>
                          <w:rPr>
                            <w:sz w:val="14"/>
                          </w:rPr>
                        </w:pPr>
                        <w:r>
                          <w:rPr>
                            <w:w w:val="85"/>
                            <w:sz w:val="14"/>
                          </w:rPr>
                          <w:t>Indicadores ambientales y  económicos</w:t>
                        </w:r>
                      </w:p>
                    </w:tc>
                  </w:tr>
                  <w:tr>
                    <w:trPr>
                      <w:trHeight w:val="270" w:hRule="exact"/>
                    </w:trPr>
                    <w:tc>
                      <w:tcPr>
                        <w:tcW w:w="481" w:type="dxa"/>
                      </w:tcPr>
                      <w:p>
                        <w:pPr>
                          <w:pStyle w:val="TableParagraph"/>
                          <w:spacing w:before="45"/>
                          <w:ind w:left="204"/>
                          <w:jc w:val="left"/>
                          <w:rPr>
                            <w:sz w:val="14"/>
                          </w:rPr>
                        </w:pPr>
                        <w:r>
                          <w:rPr>
                            <w:w w:val="86"/>
                            <w:sz w:val="14"/>
                          </w:rPr>
                          <w:t>7</w:t>
                        </w:r>
                      </w:p>
                    </w:tc>
                    <w:tc>
                      <w:tcPr>
                        <w:tcW w:w="2687" w:type="dxa"/>
                      </w:tcPr>
                      <w:p>
                        <w:pPr>
                          <w:pStyle w:val="TableParagraph"/>
                          <w:spacing w:before="45"/>
                          <w:ind w:left="62"/>
                          <w:jc w:val="left"/>
                          <w:rPr>
                            <w:sz w:val="14"/>
                          </w:rPr>
                        </w:pPr>
                        <w:r>
                          <w:rPr>
                            <w:w w:val="85"/>
                            <w:sz w:val="14"/>
                          </w:rPr>
                          <w:t>Indicadores económicos y  territoriales</w:t>
                        </w:r>
                      </w:p>
                    </w:tc>
                  </w:tr>
                  <w:tr>
                    <w:trPr>
                      <w:trHeight w:val="270" w:hRule="exact"/>
                    </w:trPr>
                    <w:tc>
                      <w:tcPr>
                        <w:tcW w:w="481" w:type="dxa"/>
                      </w:tcPr>
                      <w:p>
                        <w:pPr>
                          <w:pStyle w:val="TableParagraph"/>
                          <w:spacing w:before="45"/>
                          <w:ind w:left="204"/>
                          <w:jc w:val="left"/>
                          <w:rPr>
                            <w:sz w:val="14"/>
                          </w:rPr>
                        </w:pPr>
                        <w:r>
                          <w:rPr>
                            <w:w w:val="86"/>
                            <w:sz w:val="14"/>
                          </w:rPr>
                          <w:t>8</w:t>
                        </w:r>
                      </w:p>
                    </w:tc>
                    <w:tc>
                      <w:tcPr>
                        <w:tcW w:w="2687" w:type="dxa"/>
                      </w:tcPr>
                      <w:p>
                        <w:pPr>
                          <w:pStyle w:val="TableParagraph"/>
                          <w:spacing w:before="45"/>
                          <w:ind w:left="62"/>
                          <w:jc w:val="left"/>
                          <w:rPr>
                            <w:sz w:val="14"/>
                          </w:rPr>
                        </w:pPr>
                        <w:r>
                          <w:rPr>
                            <w:w w:val="90"/>
                            <w:sz w:val="14"/>
                          </w:rPr>
                          <w:t>Indicadores territoriales y sociales</w:t>
                        </w:r>
                      </w:p>
                    </w:tc>
                  </w:tr>
                  <w:tr>
                    <w:trPr>
                      <w:trHeight w:val="270" w:hRule="exact"/>
                    </w:trPr>
                    <w:tc>
                      <w:tcPr>
                        <w:tcW w:w="481" w:type="dxa"/>
                      </w:tcPr>
                      <w:p>
                        <w:pPr>
                          <w:pStyle w:val="TableParagraph"/>
                          <w:spacing w:before="45"/>
                          <w:ind w:left="204"/>
                          <w:jc w:val="left"/>
                          <w:rPr>
                            <w:sz w:val="14"/>
                          </w:rPr>
                        </w:pPr>
                        <w:r>
                          <w:rPr>
                            <w:w w:val="86"/>
                            <w:sz w:val="14"/>
                          </w:rPr>
                          <w:t>9</w:t>
                        </w:r>
                      </w:p>
                    </w:tc>
                    <w:tc>
                      <w:tcPr>
                        <w:tcW w:w="2687" w:type="dxa"/>
                      </w:tcPr>
                      <w:p>
                        <w:pPr>
                          <w:pStyle w:val="TableParagraph"/>
                          <w:spacing w:before="45"/>
                          <w:ind w:left="62"/>
                          <w:jc w:val="left"/>
                          <w:rPr>
                            <w:sz w:val="14"/>
                          </w:rPr>
                        </w:pPr>
                        <w:r>
                          <w:rPr>
                            <w:w w:val="85"/>
                            <w:sz w:val="14"/>
                          </w:rPr>
                          <w:t>Impacto social</w:t>
                        </w:r>
                      </w:p>
                    </w:tc>
                  </w:tr>
                  <w:tr>
                    <w:trPr>
                      <w:trHeight w:val="270" w:hRule="exact"/>
                    </w:trPr>
                    <w:tc>
                      <w:tcPr>
                        <w:tcW w:w="481" w:type="dxa"/>
                      </w:tcPr>
                      <w:p>
                        <w:pPr>
                          <w:pStyle w:val="TableParagraph"/>
                          <w:spacing w:before="45"/>
                          <w:ind w:left="170"/>
                          <w:jc w:val="left"/>
                          <w:rPr>
                            <w:sz w:val="14"/>
                          </w:rPr>
                        </w:pPr>
                        <w:r>
                          <w:rPr>
                            <w:w w:val="95"/>
                            <w:sz w:val="14"/>
                          </w:rPr>
                          <w:t>10</w:t>
                        </w:r>
                      </w:p>
                    </w:tc>
                    <w:tc>
                      <w:tcPr>
                        <w:tcW w:w="2687" w:type="dxa"/>
                      </w:tcPr>
                      <w:p>
                        <w:pPr>
                          <w:pStyle w:val="TableParagraph"/>
                          <w:spacing w:before="45"/>
                          <w:ind w:left="62"/>
                          <w:jc w:val="left"/>
                          <w:rPr>
                            <w:sz w:val="14"/>
                          </w:rPr>
                        </w:pPr>
                        <w:r>
                          <w:rPr>
                            <w:w w:val="85"/>
                            <w:sz w:val="14"/>
                          </w:rPr>
                          <w:t>Impacto ambiental</w:t>
                        </w:r>
                      </w:p>
                    </w:tc>
                  </w:tr>
                  <w:tr>
                    <w:trPr>
                      <w:trHeight w:val="270" w:hRule="exact"/>
                    </w:trPr>
                    <w:tc>
                      <w:tcPr>
                        <w:tcW w:w="481" w:type="dxa"/>
                      </w:tcPr>
                      <w:p>
                        <w:pPr>
                          <w:pStyle w:val="TableParagraph"/>
                          <w:spacing w:before="45"/>
                          <w:ind w:left="174"/>
                          <w:jc w:val="left"/>
                          <w:rPr>
                            <w:sz w:val="14"/>
                          </w:rPr>
                        </w:pPr>
                        <w:r>
                          <w:rPr>
                            <w:w w:val="95"/>
                            <w:sz w:val="14"/>
                          </w:rPr>
                          <w:t>11</w:t>
                        </w:r>
                      </w:p>
                    </w:tc>
                    <w:tc>
                      <w:tcPr>
                        <w:tcW w:w="2687" w:type="dxa"/>
                      </w:tcPr>
                      <w:p>
                        <w:pPr>
                          <w:pStyle w:val="TableParagraph"/>
                          <w:spacing w:before="45"/>
                          <w:ind w:left="62"/>
                          <w:jc w:val="left"/>
                          <w:rPr>
                            <w:sz w:val="14"/>
                          </w:rPr>
                        </w:pPr>
                        <w:r>
                          <w:rPr>
                            <w:w w:val="85"/>
                            <w:sz w:val="14"/>
                          </w:rPr>
                          <w:t>Impacto económico</w:t>
                        </w:r>
                      </w:p>
                    </w:tc>
                  </w:tr>
                  <w:tr>
                    <w:trPr>
                      <w:trHeight w:val="270" w:hRule="exact"/>
                    </w:trPr>
                    <w:tc>
                      <w:tcPr>
                        <w:tcW w:w="481" w:type="dxa"/>
                      </w:tcPr>
                      <w:p>
                        <w:pPr>
                          <w:pStyle w:val="TableParagraph"/>
                          <w:spacing w:before="45"/>
                          <w:ind w:left="170"/>
                          <w:jc w:val="left"/>
                          <w:rPr>
                            <w:sz w:val="14"/>
                          </w:rPr>
                        </w:pPr>
                        <w:r>
                          <w:rPr>
                            <w:w w:val="95"/>
                            <w:sz w:val="14"/>
                          </w:rPr>
                          <w:t>12</w:t>
                        </w:r>
                      </w:p>
                    </w:tc>
                    <w:tc>
                      <w:tcPr>
                        <w:tcW w:w="2687" w:type="dxa"/>
                      </w:tcPr>
                      <w:p>
                        <w:pPr>
                          <w:pStyle w:val="TableParagraph"/>
                          <w:spacing w:before="45"/>
                          <w:ind w:left="62"/>
                          <w:jc w:val="left"/>
                          <w:rPr>
                            <w:sz w:val="14"/>
                          </w:rPr>
                        </w:pPr>
                        <w:r>
                          <w:rPr>
                            <w:w w:val="85"/>
                            <w:sz w:val="14"/>
                          </w:rPr>
                          <w:t>Impacto territorial</w:t>
                        </w:r>
                      </w:p>
                    </w:tc>
                  </w:tr>
                  <w:tr>
                    <w:trPr>
                      <w:trHeight w:val="270" w:hRule="exact"/>
                    </w:trPr>
                    <w:tc>
                      <w:tcPr>
                        <w:tcW w:w="481" w:type="dxa"/>
                      </w:tcPr>
                      <w:p>
                        <w:pPr>
                          <w:pStyle w:val="TableParagraph"/>
                          <w:spacing w:before="45"/>
                          <w:ind w:left="170"/>
                          <w:jc w:val="left"/>
                          <w:rPr>
                            <w:sz w:val="14"/>
                          </w:rPr>
                        </w:pPr>
                        <w:r>
                          <w:rPr>
                            <w:w w:val="95"/>
                            <w:sz w:val="14"/>
                          </w:rPr>
                          <w:t>13</w:t>
                        </w:r>
                      </w:p>
                    </w:tc>
                    <w:tc>
                      <w:tcPr>
                        <w:tcW w:w="2687" w:type="dxa"/>
                      </w:tcPr>
                      <w:p>
                        <w:pPr>
                          <w:pStyle w:val="TableParagraph"/>
                          <w:spacing w:before="45"/>
                          <w:ind w:left="62"/>
                          <w:jc w:val="left"/>
                          <w:rPr>
                            <w:sz w:val="14"/>
                          </w:rPr>
                        </w:pPr>
                        <w:r>
                          <w:rPr>
                            <w:w w:val="85"/>
                            <w:sz w:val="14"/>
                          </w:rPr>
                          <w:t>Índice de sustentabilidad</w:t>
                        </w:r>
                      </w:p>
                    </w:tc>
                  </w:tr>
                </w:tbl>
                <w:p>
                  <w:pPr>
                    <w:pStyle w:val="BodyText"/>
                  </w:pPr>
                </w:p>
              </w:txbxContent>
            </v:textbox>
            <w10:wrap type="topAndBottom"/>
          </v:shape>
        </w:pict>
      </w:r>
    </w:p>
    <w:p>
      <w:pPr>
        <w:spacing w:before="113"/>
        <w:ind w:left="268" w:right="0" w:firstLine="0"/>
        <w:jc w:val="both"/>
        <w:rPr>
          <w:sz w:val="21"/>
        </w:rPr>
      </w:pPr>
      <w:r>
        <w:rPr>
          <w:w w:val="105"/>
          <w:sz w:val="21"/>
        </w:rPr>
        <w:t>Fuente: Elaboración propia con base al análisis y clasificación de indicadores.</w:t>
      </w:r>
    </w:p>
    <w:p>
      <w:pPr>
        <w:pStyle w:val="BodyText"/>
        <w:rPr>
          <w:sz w:val="22"/>
        </w:rPr>
      </w:pPr>
    </w:p>
    <w:p>
      <w:pPr>
        <w:pStyle w:val="BodyText"/>
        <w:rPr>
          <w:sz w:val="22"/>
        </w:rPr>
      </w:pPr>
    </w:p>
    <w:p>
      <w:pPr>
        <w:pStyle w:val="BodyText"/>
        <w:spacing w:before="6"/>
        <w:rPr>
          <w:sz w:val="23"/>
        </w:rPr>
      </w:pPr>
    </w:p>
    <w:p>
      <w:pPr>
        <w:pStyle w:val="BodyText"/>
        <w:spacing w:line="360" w:lineRule="auto"/>
        <w:ind w:left="268" w:right="232"/>
        <w:jc w:val="both"/>
      </w:pPr>
      <w:r>
        <w:rPr/>
        <w:t>El índice de sustentabilidad de conjuntos urbanos (ISCU) se plantea como una herramienta para el análisis, evaluación y control, ya que permite medir y evaluar  el impacto de la autorización y municipalización de conjuntos</w:t>
      </w:r>
      <w:r>
        <w:rPr>
          <w:spacing w:val="-2"/>
        </w:rPr>
        <w:t> </w:t>
      </w:r>
      <w:r>
        <w:rPr/>
        <w:t>habitacionales.</w:t>
      </w:r>
    </w:p>
    <w:p>
      <w:pPr>
        <w:pStyle w:val="BodyText"/>
        <w:spacing w:line="360" w:lineRule="auto" w:before="122"/>
        <w:ind w:left="268" w:right="231"/>
        <w:jc w:val="both"/>
      </w:pPr>
      <w:r>
        <w:rPr/>
        <w:t>Es un índice compuesto que cuenta con un valor en una escala de 0 a 100; el  valor se determina por el impacto que tiene el conjunto urbano en el ámbito social, ambiental, económico y territorial, así como la correlación entre los agentes; Estado, iniciativa privada y sociedad. En la figura 3 descrita con anterioridad se muestra el esquema gráfico de este</w:t>
      </w:r>
      <w:r>
        <w:rPr>
          <w:spacing w:val="-1"/>
        </w:rPr>
        <w:t> </w:t>
      </w:r>
      <w:r>
        <w:rPr/>
        <w:t>análisis.</w:t>
      </w:r>
    </w:p>
    <w:p>
      <w:pPr>
        <w:pStyle w:val="BodyText"/>
        <w:spacing w:line="360" w:lineRule="auto" w:before="122"/>
        <w:ind w:left="268" w:right="232"/>
        <w:jc w:val="both"/>
      </w:pPr>
      <w:r>
        <w:rPr/>
        <w:t>En este sentido el ISCU se compone de cuatro índices que evalúan un eje en específico (social, ambiental, económico y territorial), estos índices se basan en la medición de 24 subíndices los cuales se obtienen con la evaluación de 67 indicadores,  estos  últimos  se  consiguen  mediante  la  adquisición  y  análisis de</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4144" from="93.199997pt,-19.614155pt" to="546.799997pt,-19.614155pt" stroked="true" strokeweight=".479981pt" strokecolor="#000000">
            <w10:wrap type="none"/>
          </v:line>
        </w:pict>
      </w:r>
      <w:r>
        <w:rPr/>
        <w:t>datos cuantitativos y cualitativos que se obtuvieron del trabajo de campo, base de datos especializadas y el estudio de bases de datos realizadas para la investigación, lo cual proyectó datos precisos de cada indicador evaluado.</w:t>
      </w:r>
    </w:p>
    <w:p>
      <w:pPr>
        <w:pStyle w:val="BodyText"/>
        <w:spacing w:line="360" w:lineRule="auto" w:before="122"/>
        <w:ind w:left="268" w:right="231"/>
        <w:jc w:val="both"/>
      </w:pPr>
      <w:r>
        <w:rPr/>
        <w:t>El criterio para la selección de estos indicadores obedeció a una extensa revisión documental y trabajo de campo, para recopilar y discernir las aportaciones de administradores públicos de la Secretaría de Desarrollo Urbano y Metropolitano  del Gobierno del Estado de México, así como de algunos representantes de la Comisión Estatal de Desarrollo Urbano y Vivienda (expertos en el tema normativo, operativo y técnico de los conjuntos urbanos), así como de desarrolladores inmobiliarios y residentes del total de los conjuntos urbanos autorizados en el municipio de Calimaya, Estado de</w:t>
      </w:r>
      <w:r>
        <w:rPr>
          <w:spacing w:val="-1"/>
        </w:rPr>
        <w:t> </w:t>
      </w:r>
      <w:r>
        <w:rPr/>
        <w:t>México.</w:t>
      </w:r>
    </w:p>
    <w:p>
      <w:pPr>
        <w:pStyle w:val="BodyText"/>
        <w:spacing w:line="360" w:lineRule="auto" w:before="122"/>
        <w:ind w:left="268" w:right="231"/>
        <w:jc w:val="both"/>
      </w:pPr>
      <w:r>
        <w:rPr/>
        <w:t>Para el análisis de datos cuantitativos y cualitativos se realizó una homologación en la evaluación para otorgar una ponderación y normalización asignando un  valor, la normalización se refiere a llevar datos duros a una escala de cero a cien para hacerlos comparables.</w:t>
      </w:r>
    </w:p>
    <w:p>
      <w:pPr>
        <w:pStyle w:val="BodyText"/>
        <w:spacing w:line="360" w:lineRule="auto" w:before="122"/>
        <w:ind w:left="268" w:right="231"/>
        <w:jc w:val="both"/>
      </w:pPr>
      <w:r>
        <w:rPr/>
        <w:t>Cada uno de los 67 indicadores fue medido y evaluado a través de una pregunta, cuya respuesta fue analizada con base en una calibración y comparación con datos de indicadores e índices similares que son utilizados en dependencias e instituciones del sector de la vivienda como los son los estudios de Instituto del Fondo Nacional de la Vivienda para los Trabajadores (INFONAVIT), Sociedad Hipotecaria Federal (SHF), Comisión Nacional de Vivienda (CONAVI), Secretaría de Desarrollo Agrario, Territorial y Urbano (SEDATU), al igual que con datos de los estudios metodológicos que se mencionaron en el capítulo uno de la tesis, así como indicadores e índices de organizaciones como lo son la Organización para la Cooperación y el Desarrollo Económicos (OCDE), Organización Mundial de la Salud (OMS) y la Organización de las Naciones Unidas (ONU).</w:t>
      </w:r>
    </w:p>
    <w:p>
      <w:pPr>
        <w:pStyle w:val="BodyText"/>
        <w:spacing w:line="360" w:lineRule="auto" w:before="122"/>
        <w:ind w:left="268" w:right="231"/>
        <w:jc w:val="both"/>
      </w:pPr>
      <w:r>
        <w:rPr/>
        <w:t>La correlación en el análisis de los datos obtenidos y el trabajo con los tableros de control del sistema de indicadores se basó en el conocimiento teórico y empírico, fortaleciendo el resultado de la evaluación desarrollada, ya que para llegar a este punto de análisis es necesario conocer y dominar aspectos normativos de  manera</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4168" from="93.199997pt,-19.614155pt" to="546.799997pt,-19.614155pt" stroked="true" strokeweight=".479981pt" strokecolor="#000000">
            <w10:wrap type="none"/>
          </v:line>
        </w:pict>
      </w:r>
      <w:r>
        <w:rPr/>
        <w:t>teórica y operativa, así como la interpretación de la norma vigente y los criterios de la administración pública que regula los procesos referentes a los conjuntos urbanos.</w:t>
      </w:r>
    </w:p>
    <w:p>
      <w:pPr>
        <w:pStyle w:val="BodyText"/>
        <w:spacing w:line="360" w:lineRule="auto" w:before="122"/>
        <w:ind w:left="268" w:right="231"/>
        <w:jc w:val="both"/>
      </w:pPr>
      <w:r>
        <w:rPr/>
        <w:t>Para el análisis de los datos es necesario llenar el tablero del sistema de indicadores el cual permite obtener una evaluación individual e integral de cada uno de los cuatro índices de sustentabilidad que se analizan de la siguiente manera.</w:t>
      </w:r>
    </w:p>
    <w:p>
      <w:pPr>
        <w:pStyle w:val="BodyText"/>
        <w:spacing w:line="360" w:lineRule="auto" w:before="122"/>
        <w:ind w:left="268" w:right="231"/>
        <w:jc w:val="both"/>
      </w:pPr>
      <w:r>
        <w:rPr/>
        <w:t>Para la evaluación del índice social y la obtención de su respectivo índice y cinco subíndices se obtuvieron 15 indicadores los cuales aportan datos sociales relacionados con el desarrollo de los habitantes que residen en determinado conjunto urbano, la prioridad de los datos está enfocada en el análisis de las características, opiniones, organización y perspectiva de la sociedad en relación a la vivienda y el conjunto urbano.</w:t>
      </w:r>
    </w:p>
    <w:p>
      <w:pPr>
        <w:pStyle w:val="BodyText"/>
        <w:spacing w:before="127"/>
        <w:ind w:left="268"/>
        <w:jc w:val="both"/>
      </w:pPr>
      <w:r>
        <w:rPr/>
        <w:t>Tabla 5. Estructura del índice de sustentabilidad social.</w:t>
      </w:r>
    </w:p>
    <w:p>
      <w:pPr>
        <w:pStyle w:val="BodyText"/>
        <w:spacing w:before="8"/>
        <w:rPr>
          <w:sz w:val="11"/>
        </w:rPr>
      </w:pP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7"/>
        <w:gridCol w:w="5192"/>
        <w:gridCol w:w="775"/>
        <w:gridCol w:w="745"/>
      </w:tblGrid>
      <w:tr>
        <w:trPr>
          <w:trHeight w:val="466" w:hRule="exact"/>
        </w:trPr>
        <w:tc>
          <w:tcPr>
            <w:tcW w:w="7480" w:type="dxa"/>
            <w:gridSpan w:val="4"/>
            <w:tcBorders>
              <w:bottom w:val="nil"/>
            </w:tcBorders>
            <w:shd w:val="clear" w:color="auto" w:fill="000000"/>
          </w:tcPr>
          <w:p>
            <w:pPr>
              <w:pStyle w:val="TableParagraph"/>
              <w:spacing w:before="3"/>
              <w:jc w:val="left"/>
              <w:rPr>
                <w:sz w:val="12"/>
              </w:rPr>
            </w:pPr>
          </w:p>
          <w:p>
            <w:pPr>
              <w:pStyle w:val="TableParagraph"/>
              <w:ind w:left="2614" w:right="2612"/>
              <w:rPr>
                <w:b/>
                <w:sz w:val="14"/>
              </w:rPr>
            </w:pPr>
            <w:r>
              <w:rPr>
                <w:b/>
                <w:color w:val="FFFFFF"/>
                <w:w w:val="105"/>
                <w:sz w:val="14"/>
              </w:rPr>
              <w:t>Índice de sustentabilidad social</w:t>
            </w:r>
          </w:p>
        </w:tc>
      </w:tr>
      <w:tr>
        <w:trPr>
          <w:trHeight w:val="273" w:hRule="exact"/>
        </w:trPr>
        <w:tc>
          <w:tcPr>
            <w:tcW w:w="767" w:type="dxa"/>
            <w:tcBorders>
              <w:top w:val="single" w:sz="5" w:space="0" w:color="FFFFFF"/>
              <w:left w:val="single" w:sz="5" w:space="0" w:color="000000"/>
            </w:tcBorders>
            <w:shd w:val="clear" w:color="auto" w:fill="808080"/>
          </w:tcPr>
          <w:p>
            <w:pPr>
              <w:pStyle w:val="TableParagraph"/>
              <w:spacing w:before="32"/>
              <w:ind w:left="218"/>
              <w:jc w:val="left"/>
              <w:rPr>
                <w:b/>
                <w:sz w:val="14"/>
              </w:rPr>
            </w:pPr>
            <w:r>
              <w:rPr>
                <w:b/>
                <w:color w:val="FFFFFF"/>
                <w:w w:val="105"/>
                <w:sz w:val="14"/>
              </w:rPr>
              <w:t>Índice</w:t>
            </w:r>
          </w:p>
        </w:tc>
        <w:tc>
          <w:tcPr>
            <w:tcW w:w="5192" w:type="dxa"/>
            <w:tcBorders>
              <w:top w:val="single" w:sz="5" w:space="0" w:color="FFFFFF"/>
            </w:tcBorders>
            <w:shd w:val="clear" w:color="auto" w:fill="808080"/>
          </w:tcPr>
          <w:p>
            <w:pPr>
              <w:pStyle w:val="TableParagraph"/>
              <w:tabs>
                <w:tab w:pos="2630" w:val="left" w:leader="none"/>
              </w:tabs>
              <w:spacing w:before="32"/>
              <w:ind w:left="123"/>
              <w:jc w:val="left"/>
              <w:rPr>
                <w:b/>
                <w:sz w:val="14"/>
              </w:rPr>
            </w:pPr>
            <w:r>
              <w:rPr>
                <w:b/>
                <w:color w:val="FFFFFF"/>
                <w:w w:val="105"/>
                <w:sz w:val="14"/>
              </w:rPr>
              <w:t>Subíndice</w:t>
              <w:tab/>
              <w:t>Indicador</w:t>
            </w:r>
          </w:p>
        </w:tc>
        <w:tc>
          <w:tcPr>
            <w:tcW w:w="1520" w:type="dxa"/>
            <w:gridSpan w:val="2"/>
            <w:tcBorders>
              <w:top w:val="single" w:sz="5" w:space="0" w:color="FFFFFF"/>
              <w:right w:val="single" w:sz="10" w:space="0" w:color="000000"/>
            </w:tcBorders>
            <w:shd w:val="clear" w:color="auto" w:fill="808080"/>
          </w:tcPr>
          <w:p>
            <w:pPr>
              <w:pStyle w:val="TableParagraph"/>
              <w:spacing w:before="32"/>
              <w:ind w:left="502"/>
              <w:jc w:val="left"/>
              <w:rPr>
                <w:b/>
                <w:sz w:val="14"/>
              </w:rPr>
            </w:pPr>
            <w:r>
              <w:rPr>
                <w:b/>
                <w:color w:val="FFFFFF"/>
                <w:w w:val="105"/>
                <w:sz w:val="14"/>
              </w:rPr>
              <w:t>Valores</w:t>
            </w:r>
          </w:p>
        </w:tc>
      </w:tr>
      <w:tr>
        <w:trPr>
          <w:trHeight w:val="233" w:hRule="exact"/>
        </w:trPr>
        <w:tc>
          <w:tcPr>
            <w:tcW w:w="5960" w:type="dxa"/>
            <w:gridSpan w:val="2"/>
            <w:vMerge w:val="restart"/>
            <w:tcBorders>
              <w:left w:val="single" w:sz="5" w:space="0" w:color="000000"/>
              <w:right w:val="single" w:sz="5" w:space="0" w:color="FFFF00"/>
            </w:tcBorders>
          </w:tcPr>
          <w:p>
            <w:pPr>
              <w:pStyle w:val="TableParagraph"/>
              <w:spacing w:before="8"/>
              <w:jc w:val="left"/>
              <w:rPr>
                <w:sz w:val="20"/>
              </w:rPr>
            </w:pPr>
          </w:p>
          <w:p>
            <w:pPr>
              <w:pStyle w:val="TableParagraph"/>
              <w:ind w:left="3391"/>
              <w:jc w:val="left"/>
              <w:rPr>
                <w:sz w:val="14"/>
              </w:rPr>
            </w:pPr>
            <w:r>
              <w:rPr>
                <w:w w:val="105"/>
                <w:sz w:val="14"/>
              </w:rPr>
              <w:t>Espacios habitables</w:t>
            </w:r>
          </w:p>
          <w:p>
            <w:pPr>
              <w:pStyle w:val="TableParagraph"/>
              <w:tabs>
                <w:tab w:pos="3391" w:val="left" w:leader="none"/>
              </w:tabs>
              <w:spacing w:line="151" w:lineRule="auto" w:before="69"/>
              <w:ind w:left="3391" w:right="1051" w:hanging="2508"/>
              <w:jc w:val="left"/>
              <w:rPr>
                <w:sz w:val="14"/>
              </w:rPr>
            </w:pPr>
            <w:r>
              <w:rPr>
                <w:w w:val="105"/>
                <w:position w:val="-7"/>
                <w:sz w:val="14"/>
              </w:rPr>
              <w:t>Habitabilidad</w:t>
              <w:tab/>
            </w:r>
            <w:r>
              <w:rPr>
                <w:w w:val="105"/>
                <w:sz w:val="14"/>
              </w:rPr>
              <w:t>Metros</w:t>
            </w:r>
            <w:r>
              <w:rPr>
                <w:spacing w:val="-9"/>
                <w:w w:val="105"/>
                <w:sz w:val="14"/>
              </w:rPr>
              <w:t> </w:t>
            </w:r>
            <w:r>
              <w:rPr>
                <w:w w:val="105"/>
                <w:sz w:val="14"/>
              </w:rPr>
              <w:t>de</w:t>
            </w:r>
            <w:r>
              <w:rPr>
                <w:spacing w:val="-9"/>
                <w:w w:val="105"/>
                <w:sz w:val="14"/>
              </w:rPr>
              <w:t> </w:t>
            </w:r>
            <w:r>
              <w:rPr>
                <w:w w:val="105"/>
                <w:sz w:val="14"/>
              </w:rPr>
              <w:t>construcción</w:t>
            </w:r>
            <w:r>
              <w:rPr>
                <w:w w:val="103"/>
                <w:sz w:val="14"/>
              </w:rPr>
              <w:t> </w:t>
            </w:r>
            <w:r>
              <w:rPr>
                <w:w w:val="105"/>
                <w:sz w:val="14"/>
              </w:rPr>
              <w:t>Metros de</w:t>
            </w:r>
            <w:r>
              <w:rPr>
                <w:spacing w:val="-14"/>
                <w:w w:val="105"/>
                <w:sz w:val="14"/>
              </w:rPr>
              <w:t> </w:t>
            </w:r>
            <w:r>
              <w:rPr>
                <w:w w:val="105"/>
                <w:sz w:val="14"/>
              </w:rPr>
              <w:t>terreno</w:t>
            </w:r>
          </w:p>
          <w:p>
            <w:pPr>
              <w:pStyle w:val="TableParagraph"/>
              <w:spacing w:before="31"/>
              <w:ind w:left="3391"/>
              <w:jc w:val="left"/>
              <w:rPr>
                <w:sz w:val="14"/>
              </w:rPr>
            </w:pPr>
            <w:r>
              <w:rPr>
                <w:w w:val="105"/>
                <w:sz w:val="14"/>
              </w:rPr>
              <w:t>Hacinamiento</w:t>
            </w:r>
          </w:p>
          <w:p>
            <w:pPr>
              <w:pStyle w:val="TableParagraph"/>
              <w:spacing w:before="20"/>
              <w:ind w:right="118"/>
              <w:jc w:val="right"/>
              <w:rPr>
                <w:sz w:val="14"/>
              </w:rPr>
            </w:pPr>
            <w:r>
              <w:rPr>
                <w:color w:val="808080"/>
                <w:w w:val="105"/>
                <w:sz w:val="14"/>
              </w:rPr>
              <w:t>Subtotal</w:t>
            </w:r>
          </w:p>
        </w:tc>
        <w:tc>
          <w:tcPr>
            <w:tcW w:w="775" w:type="dxa"/>
            <w:tcBorders>
              <w:right w:val="single" w:sz="5" w:space="0" w:color="FFFFFF"/>
            </w:tcBorders>
            <w:shd w:val="clear" w:color="auto" w:fill="FFFF00"/>
          </w:tcPr>
          <w:p>
            <w:pPr>
              <w:pStyle w:val="TableParagraph"/>
              <w:spacing w:before="56"/>
              <w:ind w:left="42" w:right="40"/>
              <w:rPr>
                <w:b/>
                <w:sz w:val="14"/>
              </w:rPr>
            </w:pPr>
            <w:r>
              <w:rPr>
                <w:b/>
                <w:w w:val="105"/>
                <w:sz w:val="14"/>
              </w:rPr>
              <w:t>Deseable</w:t>
            </w:r>
          </w:p>
        </w:tc>
        <w:tc>
          <w:tcPr>
            <w:tcW w:w="745" w:type="dxa"/>
            <w:tcBorders>
              <w:left w:val="single" w:sz="5" w:space="0" w:color="FFFFFF"/>
              <w:right w:val="single" w:sz="10" w:space="0" w:color="000000"/>
            </w:tcBorders>
            <w:shd w:val="clear" w:color="auto" w:fill="67ED4D"/>
          </w:tcPr>
          <w:p>
            <w:pPr>
              <w:pStyle w:val="TableParagraph"/>
              <w:spacing w:before="56"/>
              <w:ind w:left="98" w:right="74"/>
              <w:rPr>
                <w:b/>
                <w:sz w:val="14"/>
              </w:rPr>
            </w:pPr>
            <w:r>
              <w:rPr>
                <w:b/>
                <w:w w:val="105"/>
                <w:sz w:val="14"/>
              </w:rPr>
              <w:t>Óptimo</w:t>
            </w:r>
          </w:p>
        </w:tc>
      </w:tr>
      <w:tr>
        <w:trPr>
          <w:trHeight w:val="182" w:hRule="exact"/>
        </w:trPr>
        <w:tc>
          <w:tcPr>
            <w:tcW w:w="5960" w:type="dxa"/>
            <w:gridSpan w:val="2"/>
            <w:vMerge/>
            <w:tcBorders>
              <w:left w:val="single" w:sz="5" w:space="0" w:color="000000"/>
              <w:right w:val="single" w:sz="5" w:space="0" w:color="FFFF00"/>
            </w:tcBorders>
          </w:tcPr>
          <w:p>
            <w:pPr/>
          </w:p>
        </w:tc>
        <w:tc>
          <w:tcPr>
            <w:tcW w:w="775" w:type="dxa"/>
            <w:tcBorders>
              <w:right w:val="single" w:sz="5" w:space="0" w:color="FFFFFF"/>
            </w:tcBorders>
            <w:shd w:val="clear" w:color="auto" w:fill="FFFF00"/>
          </w:tcPr>
          <w:p>
            <w:pPr>
              <w:pStyle w:val="TableParagraph"/>
              <w:spacing w:before="4"/>
              <w:ind w:left="42" w:right="40"/>
              <w:rPr>
                <w:sz w:val="14"/>
              </w:rPr>
            </w:pPr>
            <w:r>
              <w:rPr>
                <w:w w:val="105"/>
                <w:sz w:val="14"/>
              </w:rPr>
              <w:t>0.7</w:t>
            </w:r>
          </w:p>
        </w:tc>
        <w:tc>
          <w:tcPr>
            <w:tcW w:w="745" w:type="dxa"/>
            <w:tcBorders>
              <w:left w:val="single" w:sz="5" w:space="0" w:color="FFFFFF"/>
              <w:right w:val="single" w:sz="10" w:space="0" w:color="000000"/>
            </w:tcBorders>
            <w:shd w:val="clear" w:color="auto" w:fill="67ED4D"/>
          </w:tcPr>
          <w:p>
            <w:pPr>
              <w:pStyle w:val="TableParagraph"/>
              <w:spacing w:before="4"/>
              <w:ind w:left="8"/>
              <w:rPr>
                <w:sz w:val="14"/>
              </w:rPr>
            </w:pPr>
            <w:r>
              <w:rPr>
                <w:w w:val="103"/>
                <w:sz w:val="14"/>
              </w:rPr>
              <w:t>1</w:t>
            </w:r>
          </w:p>
        </w:tc>
      </w:tr>
      <w:tr>
        <w:trPr>
          <w:trHeight w:val="182" w:hRule="exact"/>
        </w:trPr>
        <w:tc>
          <w:tcPr>
            <w:tcW w:w="5960" w:type="dxa"/>
            <w:gridSpan w:val="2"/>
            <w:vMerge/>
            <w:tcBorders>
              <w:left w:val="single" w:sz="5" w:space="0" w:color="000000"/>
              <w:right w:val="single" w:sz="5" w:space="0" w:color="FFFF00"/>
            </w:tcBorders>
          </w:tcPr>
          <w:p>
            <w:pPr/>
          </w:p>
        </w:tc>
        <w:tc>
          <w:tcPr>
            <w:tcW w:w="775" w:type="dxa"/>
            <w:tcBorders>
              <w:right w:val="single" w:sz="5" w:space="0" w:color="FFFFFF"/>
            </w:tcBorders>
            <w:shd w:val="clear" w:color="auto" w:fill="FFFF00"/>
          </w:tcPr>
          <w:p>
            <w:pPr>
              <w:pStyle w:val="TableParagraph"/>
              <w:spacing w:before="4"/>
              <w:ind w:left="42" w:right="40"/>
              <w:rPr>
                <w:sz w:val="14"/>
              </w:rPr>
            </w:pPr>
            <w:r>
              <w:rPr>
                <w:w w:val="105"/>
                <w:sz w:val="14"/>
              </w:rPr>
              <w:t>0.9</w:t>
            </w:r>
          </w:p>
        </w:tc>
        <w:tc>
          <w:tcPr>
            <w:tcW w:w="745" w:type="dxa"/>
            <w:tcBorders>
              <w:left w:val="single" w:sz="5" w:space="0" w:color="FFFFFF"/>
              <w:right w:val="single" w:sz="10" w:space="0" w:color="000000"/>
            </w:tcBorders>
            <w:shd w:val="clear" w:color="auto" w:fill="67ED4D"/>
          </w:tcPr>
          <w:p>
            <w:pPr>
              <w:pStyle w:val="TableParagraph"/>
              <w:spacing w:before="4"/>
              <w:ind w:left="8"/>
              <w:rPr>
                <w:sz w:val="14"/>
              </w:rPr>
            </w:pPr>
            <w:r>
              <w:rPr>
                <w:w w:val="103"/>
                <w:sz w:val="14"/>
              </w:rPr>
              <w:t>1</w:t>
            </w:r>
          </w:p>
        </w:tc>
      </w:tr>
      <w:tr>
        <w:trPr>
          <w:trHeight w:val="182" w:hRule="exact"/>
        </w:trPr>
        <w:tc>
          <w:tcPr>
            <w:tcW w:w="5960" w:type="dxa"/>
            <w:gridSpan w:val="2"/>
            <w:vMerge/>
            <w:tcBorders>
              <w:left w:val="single" w:sz="5" w:space="0" w:color="000000"/>
              <w:right w:val="single" w:sz="5" w:space="0" w:color="FFFF00"/>
            </w:tcBorders>
          </w:tcPr>
          <w:p>
            <w:pPr/>
          </w:p>
        </w:tc>
        <w:tc>
          <w:tcPr>
            <w:tcW w:w="775" w:type="dxa"/>
            <w:tcBorders>
              <w:right w:val="single" w:sz="5" w:space="0" w:color="FFFFFF"/>
            </w:tcBorders>
            <w:shd w:val="clear" w:color="auto" w:fill="FFFF00"/>
          </w:tcPr>
          <w:p>
            <w:pPr>
              <w:pStyle w:val="TableParagraph"/>
              <w:spacing w:before="4"/>
              <w:ind w:left="42" w:right="40"/>
              <w:rPr>
                <w:sz w:val="14"/>
              </w:rPr>
            </w:pPr>
            <w:r>
              <w:rPr>
                <w:w w:val="105"/>
                <w:sz w:val="14"/>
              </w:rPr>
              <w:t>0.8</w:t>
            </w:r>
          </w:p>
        </w:tc>
        <w:tc>
          <w:tcPr>
            <w:tcW w:w="745" w:type="dxa"/>
            <w:tcBorders>
              <w:left w:val="single" w:sz="5" w:space="0" w:color="FFFFFF"/>
              <w:right w:val="single" w:sz="10" w:space="0" w:color="000000"/>
            </w:tcBorders>
            <w:shd w:val="clear" w:color="auto" w:fill="67ED4D"/>
          </w:tcPr>
          <w:p>
            <w:pPr>
              <w:pStyle w:val="TableParagraph"/>
              <w:spacing w:before="4"/>
              <w:ind w:left="8"/>
              <w:rPr>
                <w:sz w:val="14"/>
              </w:rPr>
            </w:pPr>
            <w:r>
              <w:rPr>
                <w:w w:val="103"/>
                <w:sz w:val="14"/>
              </w:rPr>
              <w:t>1</w:t>
            </w:r>
          </w:p>
        </w:tc>
      </w:tr>
      <w:tr>
        <w:trPr>
          <w:trHeight w:val="182" w:hRule="exact"/>
        </w:trPr>
        <w:tc>
          <w:tcPr>
            <w:tcW w:w="5960" w:type="dxa"/>
            <w:gridSpan w:val="2"/>
            <w:vMerge/>
            <w:tcBorders>
              <w:left w:val="single" w:sz="5" w:space="0" w:color="000000"/>
              <w:right w:val="single" w:sz="5" w:space="0" w:color="FFFF00"/>
            </w:tcBorders>
          </w:tcPr>
          <w:p>
            <w:pPr/>
          </w:p>
        </w:tc>
        <w:tc>
          <w:tcPr>
            <w:tcW w:w="775" w:type="dxa"/>
            <w:tcBorders>
              <w:right w:val="single" w:sz="5" w:space="0" w:color="FFFFFF"/>
            </w:tcBorders>
            <w:shd w:val="clear" w:color="auto" w:fill="FFFF00"/>
          </w:tcPr>
          <w:p>
            <w:pPr>
              <w:pStyle w:val="TableParagraph"/>
              <w:spacing w:before="4"/>
              <w:ind w:left="42" w:right="40"/>
              <w:rPr>
                <w:sz w:val="14"/>
              </w:rPr>
            </w:pPr>
            <w:r>
              <w:rPr>
                <w:w w:val="105"/>
                <w:sz w:val="14"/>
              </w:rPr>
              <w:t>0.5</w:t>
            </w:r>
          </w:p>
        </w:tc>
        <w:tc>
          <w:tcPr>
            <w:tcW w:w="745" w:type="dxa"/>
            <w:tcBorders>
              <w:left w:val="single" w:sz="5" w:space="0" w:color="FFFFFF"/>
              <w:right w:val="single" w:sz="10" w:space="0" w:color="000000"/>
            </w:tcBorders>
            <w:shd w:val="clear" w:color="auto" w:fill="67ED4D"/>
          </w:tcPr>
          <w:p>
            <w:pPr>
              <w:pStyle w:val="TableParagraph"/>
              <w:spacing w:before="4"/>
              <w:ind w:left="8"/>
              <w:rPr>
                <w:sz w:val="14"/>
              </w:rPr>
            </w:pPr>
            <w:r>
              <w:rPr>
                <w:w w:val="103"/>
                <w:sz w:val="14"/>
              </w:rPr>
              <w:t>1</w:t>
            </w:r>
          </w:p>
        </w:tc>
      </w:tr>
      <w:tr>
        <w:trPr>
          <w:trHeight w:val="190" w:hRule="exact"/>
        </w:trPr>
        <w:tc>
          <w:tcPr>
            <w:tcW w:w="5960" w:type="dxa"/>
            <w:gridSpan w:val="2"/>
            <w:vMerge/>
            <w:tcBorders>
              <w:left w:val="single" w:sz="5" w:space="0" w:color="000000"/>
              <w:right w:val="single" w:sz="5" w:space="0" w:color="FFFF00"/>
            </w:tcBorders>
          </w:tcPr>
          <w:p>
            <w:pPr/>
          </w:p>
        </w:tc>
        <w:tc>
          <w:tcPr>
            <w:tcW w:w="775" w:type="dxa"/>
            <w:tcBorders>
              <w:right w:val="single" w:sz="5" w:space="0" w:color="FFFFFF"/>
            </w:tcBorders>
            <w:shd w:val="clear" w:color="auto" w:fill="FFFF00"/>
          </w:tcPr>
          <w:p>
            <w:pPr>
              <w:pStyle w:val="TableParagraph"/>
              <w:spacing w:before="4"/>
              <w:ind w:left="42" w:right="40"/>
              <w:rPr>
                <w:sz w:val="14"/>
              </w:rPr>
            </w:pPr>
            <w:r>
              <w:rPr>
                <w:w w:val="105"/>
                <w:sz w:val="14"/>
              </w:rPr>
              <w:t>2.9</w:t>
            </w:r>
          </w:p>
        </w:tc>
        <w:tc>
          <w:tcPr>
            <w:tcW w:w="745" w:type="dxa"/>
            <w:tcBorders>
              <w:left w:val="single" w:sz="5" w:space="0" w:color="FFFFFF"/>
              <w:right w:val="single" w:sz="10" w:space="0" w:color="000000"/>
            </w:tcBorders>
            <w:shd w:val="clear" w:color="auto" w:fill="67ED4D"/>
          </w:tcPr>
          <w:p>
            <w:pPr>
              <w:pStyle w:val="TableParagraph"/>
              <w:spacing w:before="4"/>
              <w:ind w:left="8"/>
              <w:rPr>
                <w:sz w:val="14"/>
              </w:rPr>
            </w:pPr>
            <w:r>
              <w:rPr>
                <w:w w:val="103"/>
                <w:sz w:val="14"/>
              </w:rPr>
              <w:t>4</w:t>
            </w:r>
          </w:p>
        </w:tc>
      </w:tr>
      <w:tr>
        <w:trPr>
          <w:trHeight w:val="170" w:hRule="exact"/>
        </w:trPr>
        <w:tc>
          <w:tcPr>
            <w:tcW w:w="7480" w:type="dxa"/>
            <w:gridSpan w:val="4"/>
            <w:tcBorders>
              <w:left w:val="single" w:sz="5" w:space="0" w:color="000000"/>
              <w:right w:val="single" w:sz="10" w:space="0" w:color="000000"/>
            </w:tcBorders>
          </w:tcPr>
          <w:p>
            <w:pPr/>
          </w:p>
        </w:tc>
      </w:tr>
      <w:tr>
        <w:trPr>
          <w:trHeight w:val="185" w:hRule="exact"/>
        </w:trPr>
        <w:tc>
          <w:tcPr>
            <w:tcW w:w="767" w:type="dxa"/>
            <w:vMerge w:val="restart"/>
            <w:tcBorders>
              <w:left w:val="single" w:sz="5" w:space="0" w:color="000000"/>
            </w:tcBorders>
          </w:tcPr>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spacing w:before="10"/>
              <w:jc w:val="left"/>
              <w:rPr>
                <w:sz w:val="18"/>
              </w:rPr>
            </w:pPr>
          </w:p>
          <w:p>
            <w:pPr>
              <w:pStyle w:val="TableParagraph"/>
              <w:ind w:left="230"/>
              <w:jc w:val="left"/>
              <w:rPr>
                <w:sz w:val="14"/>
              </w:rPr>
            </w:pPr>
            <w:r>
              <w:rPr>
                <w:w w:val="105"/>
                <w:sz w:val="14"/>
              </w:rPr>
              <w:t>Social</w:t>
            </w:r>
          </w:p>
        </w:tc>
        <w:tc>
          <w:tcPr>
            <w:tcW w:w="5192" w:type="dxa"/>
            <w:vMerge w:val="restart"/>
            <w:tcBorders>
              <w:right w:val="single" w:sz="5" w:space="0" w:color="FFFF00"/>
            </w:tcBorders>
          </w:tcPr>
          <w:p>
            <w:pPr>
              <w:pStyle w:val="TableParagraph"/>
              <w:spacing w:line="271" w:lineRule="auto" w:before="8"/>
              <w:ind w:left="2630" w:right="1546"/>
              <w:jc w:val="left"/>
              <w:rPr>
                <w:sz w:val="14"/>
              </w:rPr>
            </w:pPr>
            <w:r>
              <w:rPr>
                <w:w w:val="105"/>
                <w:sz w:val="14"/>
              </w:rPr>
              <w:t>Empleo </w:t>
            </w:r>
            <w:r>
              <w:rPr>
                <w:sz w:val="14"/>
              </w:rPr>
              <w:t>Educación </w:t>
            </w:r>
            <w:r>
              <w:rPr>
                <w:w w:val="105"/>
                <w:sz w:val="14"/>
              </w:rPr>
              <w:t>Salud</w:t>
            </w:r>
          </w:p>
          <w:p>
            <w:pPr>
              <w:pStyle w:val="TableParagraph"/>
              <w:tabs>
                <w:tab w:pos="2630" w:val="left" w:leader="none"/>
              </w:tabs>
              <w:spacing w:line="144" w:lineRule="auto" w:before="57"/>
              <w:ind w:left="2630" w:right="1856" w:hanging="2508"/>
              <w:jc w:val="left"/>
              <w:rPr>
                <w:sz w:val="14"/>
              </w:rPr>
            </w:pPr>
            <w:r>
              <w:rPr>
                <w:w w:val="105"/>
                <w:sz w:val="14"/>
              </w:rPr>
              <w:t>Oportunidades</w:t>
            </w:r>
            <w:r>
              <w:rPr>
                <w:spacing w:val="-6"/>
                <w:w w:val="105"/>
                <w:sz w:val="14"/>
              </w:rPr>
              <w:t> </w:t>
            </w:r>
            <w:r>
              <w:rPr>
                <w:w w:val="105"/>
                <w:sz w:val="14"/>
              </w:rPr>
              <w:t>urbanas</w:t>
              <w:tab/>
            </w:r>
            <w:r>
              <w:rPr>
                <w:w w:val="105"/>
                <w:position w:val="8"/>
                <w:sz w:val="14"/>
              </w:rPr>
              <w:t>Seguridad </w:t>
            </w:r>
            <w:r>
              <w:rPr>
                <w:w w:val="105"/>
                <w:sz w:val="14"/>
              </w:rPr>
              <w:t>Abasto</w:t>
            </w:r>
          </w:p>
          <w:p>
            <w:pPr>
              <w:pStyle w:val="TableParagraph"/>
              <w:spacing w:line="271" w:lineRule="auto" w:before="32"/>
              <w:ind w:left="2630" w:right="1818" w:hanging="38"/>
              <w:rPr>
                <w:sz w:val="14"/>
              </w:rPr>
            </w:pPr>
            <w:r>
              <w:rPr>
                <w:w w:val="105"/>
                <w:sz w:val="14"/>
              </w:rPr>
              <w:t>Transporte </w:t>
            </w:r>
            <w:r>
              <w:rPr>
                <w:sz w:val="14"/>
              </w:rPr>
              <w:t>Recreación</w:t>
            </w:r>
          </w:p>
          <w:p>
            <w:pPr>
              <w:pStyle w:val="TableParagraph"/>
              <w:ind w:left="2630"/>
              <w:jc w:val="left"/>
              <w:rPr>
                <w:sz w:val="14"/>
              </w:rPr>
            </w:pPr>
            <w:r>
              <w:rPr>
                <w:w w:val="105"/>
                <w:sz w:val="14"/>
              </w:rPr>
              <w:t>Servicios especializados</w:t>
            </w:r>
          </w:p>
          <w:p>
            <w:pPr>
              <w:pStyle w:val="TableParagraph"/>
              <w:spacing w:before="20"/>
              <w:ind w:right="118"/>
              <w:jc w:val="right"/>
              <w:rPr>
                <w:sz w:val="14"/>
              </w:rPr>
            </w:pPr>
            <w:r>
              <w:rPr>
                <w:color w:val="808080"/>
                <w:sz w:val="14"/>
              </w:rPr>
              <w:t>Subtotal</w:t>
            </w:r>
          </w:p>
        </w:tc>
        <w:tc>
          <w:tcPr>
            <w:tcW w:w="775" w:type="dxa"/>
            <w:tcBorders>
              <w:right w:val="single" w:sz="5" w:space="0" w:color="FFFFFF"/>
            </w:tcBorders>
            <w:shd w:val="clear" w:color="auto" w:fill="FFFF00"/>
          </w:tcPr>
          <w:p>
            <w:pPr>
              <w:pStyle w:val="TableParagraph"/>
              <w:spacing w:before="8"/>
              <w:ind w:left="42" w:right="40"/>
              <w:rPr>
                <w:sz w:val="14"/>
              </w:rPr>
            </w:pPr>
            <w:r>
              <w:rPr>
                <w:w w:val="105"/>
                <w:sz w:val="14"/>
              </w:rPr>
              <w:t>0.8</w:t>
            </w:r>
          </w:p>
        </w:tc>
        <w:tc>
          <w:tcPr>
            <w:tcW w:w="745" w:type="dxa"/>
            <w:tcBorders>
              <w:left w:val="single" w:sz="5" w:space="0" w:color="FFFFFF"/>
              <w:right w:val="single" w:sz="10" w:space="0" w:color="000000"/>
            </w:tcBorders>
            <w:shd w:val="clear" w:color="auto" w:fill="67ED4D"/>
          </w:tcPr>
          <w:p>
            <w:pPr>
              <w:pStyle w:val="TableParagraph"/>
              <w:spacing w:before="8"/>
              <w:ind w:left="8"/>
              <w:rPr>
                <w:sz w:val="14"/>
              </w:rPr>
            </w:pPr>
            <w:r>
              <w:rPr>
                <w:w w:val="103"/>
                <w:sz w:val="14"/>
              </w:rPr>
              <w:t>1</w:t>
            </w:r>
          </w:p>
        </w:tc>
      </w:tr>
      <w:tr>
        <w:trPr>
          <w:trHeight w:val="182" w:hRule="exact"/>
        </w:trPr>
        <w:tc>
          <w:tcPr>
            <w:tcW w:w="767" w:type="dxa"/>
            <w:vMerge/>
            <w:tcBorders>
              <w:left w:val="single" w:sz="5" w:space="0" w:color="000000"/>
            </w:tcBorders>
          </w:tcPr>
          <w:p>
            <w:pPr/>
          </w:p>
        </w:tc>
        <w:tc>
          <w:tcPr>
            <w:tcW w:w="5192" w:type="dxa"/>
            <w:vMerge/>
            <w:tcBorders>
              <w:right w:val="single" w:sz="5" w:space="0" w:color="FFFF00"/>
            </w:tcBorders>
          </w:tcPr>
          <w:p>
            <w:pPr/>
          </w:p>
        </w:tc>
        <w:tc>
          <w:tcPr>
            <w:tcW w:w="775" w:type="dxa"/>
            <w:tcBorders>
              <w:right w:val="single" w:sz="5" w:space="0" w:color="FFFFFF"/>
            </w:tcBorders>
            <w:shd w:val="clear" w:color="auto" w:fill="FFFF00"/>
          </w:tcPr>
          <w:p>
            <w:pPr>
              <w:pStyle w:val="TableParagraph"/>
              <w:spacing w:before="4"/>
              <w:ind w:left="42" w:right="40"/>
              <w:rPr>
                <w:sz w:val="14"/>
              </w:rPr>
            </w:pPr>
            <w:r>
              <w:rPr>
                <w:w w:val="105"/>
                <w:sz w:val="14"/>
              </w:rPr>
              <w:t>0.7</w:t>
            </w:r>
          </w:p>
        </w:tc>
        <w:tc>
          <w:tcPr>
            <w:tcW w:w="745" w:type="dxa"/>
            <w:tcBorders>
              <w:left w:val="single" w:sz="5" w:space="0" w:color="FFFFFF"/>
              <w:right w:val="single" w:sz="10" w:space="0" w:color="000000"/>
            </w:tcBorders>
            <w:shd w:val="clear" w:color="auto" w:fill="67ED4D"/>
          </w:tcPr>
          <w:p>
            <w:pPr>
              <w:pStyle w:val="TableParagraph"/>
              <w:spacing w:before="4"/>
              <w:ind w:left="8"/>
              <w:rPr>
                <w:sz w:val="14"/>
              </w:rPr>
            </w:pPr>
            <w:r>
              <w:rPr>
                <w:w w:val="103"/>
                <w:sz w:val="14"/>
              </w:rPr>
              <w:t>1</w:t>
            </w:r>
          </w:p>
        </w:tc>
      </w:tr>
      <w:tr>
        <w:trPr>
          <w:trHeight w:val="182" w:hRule="exact"/>
        </w:trPr>
        <w:tc>
          <w:tcPr>
            <w:tcW w:w="767" w:type="dxa"/>
            <w:vMerge/>
            <w:tcBorders>
              <w:left w:val="single" w:sz="5" w:space="0" w:color="000000"/>
            </w:tcBorders>
          </w:tcPr>
          <w:p>
            <w:pPr/>
          </w:p>
        </w:tc>
        <w:tc>
          <w:tcPr>
            <w:tcW w:w="5192" w:type="dxa"/>
            <w:vMerge/>
            <w:tcBorders>
              <w:right w:val="single" w:sz="5" w:space="0" w:color="FFFF00"/>
            </w:tcBorders>
          </w:tcPr>
          <w:p>
            <w:pPr/>
          </w:p>
        </w:tc>
        <w:tc>
          <w:tcPr>
            <w:tcW w:w="775" w:type="dxa"/>
            <w:tcBorders>
              <w:right w:val="single" w:sz="5" w:space="0" w:color="FFFFFF"/>
            </w:tcBorders>
            <w:shd w:val="clear" w:color="auto" w:fill="FFFF00"/>
          </w:tcPr>
          <w:p>
            <w:pPr>
              <w:pStyle w:val="TableParagraph"/>
              <w:spacing w:before="4"/>
              <w:ind w:left="42" w:right="40"/>
              <w:rPr>
                <w:sz w:val="14"/>
              </w:rPr>
            </w:pPr>
            <w:r>
              <w:rPr>
                <w:w w:val="105"/>
                <w:sz w:val="14"/>
              </w:rPr>
              <w:t>0.9</w:t>
            </w:r>
          </w:p>
        </w:tc>
        <w:tc>
          <w:tcPr>
            <w:tcW w:w="745" w:type="dxa"/>
            <w:tcBorders>
              <w:left w:val="single" w:sz="5" w:space="0" w:color="FFFFFF"/>
              <w:right w:val="single" w:sz="10" w:space="0" w:color="000000"/>
            </w:tcBorders>
            <w:shd w:val="clear" w:color="auto" w:fill="67ED4D"/>
          </w:tcPr>
          <w:p>
            <w:pPr>
              <w:pStyle w:val="TableParagraph"/>
              <w:spacing w:before="4"/>
              <w:ind w:left="8"/>
              <w:rPr>
                <w:sz w:val="14"/>
              </w:rPr>
            </w:pPr>
            <w:r>
              <w:rPr>
                <w:w w:val="103"/>
                <w:sz w:val="14"/>
              </w:rPr>
              <w:t>1</w:t>
            </w:r>
          </w:p>
        </w:tc>
      </w:tr>
      <w:tr>
        <w:trPr>
          <w:trHeight w:val="182" w:hRule="exact"/>
        </w:trPr>
        <w:tc>
          <w:tcPr>
            <w:tcW w:w="767" w:type="dxa"/>
            <w:vMerge/>
            <w:tcBorders>
              <w:left w:val="single" w:sz="5" w:space="0" w:color="000000"/>
            </w:tcBorders>
          </w:tcPr>
          <w:p>
            <w:pPr/>
          </w:p>
        </w:tc>
        <w:tc>
          <w:tcPr>
            <w:tcW w:w="5192" w:type="dxa"/>
            <w:vMerge/>
            <w:tcBorders>
              <w:right w:val="single" w:sz="5" w:space="0" w:color="FFFF00"/>
            </w:tcBorders>
          </w:tcPr>
          <w:p>
            <w:pPr/>
          </w:p>
        </w:tc>
        <w:tc>
          <w:tcPr>
            <w:tcW w:w="775" w:type="dxa"/>
            <w:tcBorders>
              <w:right w:val="single" w:sz="5" w:space="0" w:color="FFFFFF"/>
            </w:tcBorders>
            <w:shd w:val="clear" w:color="auto" w:fill="FFFF00"/>
          </w:tcPr>
          <w:p>
            <w:pPr>
              <w:pStyle w:val="TableParagraph"/>
              <w:spacing w:before="4"/>
              <w:ind w:left="42" w:right="40"/>
              <w:rPr>
                <w:sz w:val="14"/>
              </w:rPr>
            </w:pPr>
            <w:r>
              <w:rPr>
                <w:w w:val="105"/>
                <w:sz w:val="14"/>
              </w:rPr>
              <w:t>0.9</w:t>
            </w:r>
          </w:p>
        </w:tc>
        <w:tc>
          <w:tcPr>
            <w:tcW w:w="745" w:type="dxa"/>
            <w:tcBorders>
              <w:left w:val="single" w:sz="5" w:space="0" w:color="FFFFFF"/>
              <w:right w:val="single" w:sz="10" w:space="0" w:color="000000"/>
            </w:tcBorders>
            <w:shd w:val="clear" w:color="auto" w:fill="67ED4D"/>
          </w:tcPr>
          <w:p>
            <w:pPr>
              <w:pStyle w:val="TableParagraph"/>
              <w:spacing w:before="4"/>
              <w:ind w:left="8"/>
              <w:rPr>
                <w:sz w:val="14"/>
              </w:rPr>
            </w:pPr>
            <w:r>
              <w:rPr>
                <w:w w:val="103"/>
                <w:sz w:val="14"/>
              </w:rPr>
              <w:t>1</w:t>
            </w:r>
          </w:p>
        </w:tc>
      </w:tr>
      <w:tr>
        <w:trPr>
          <w:trHeight w:val="182" w:hRule="exact"/>
        </w:trPr>
        <w:tc>
          <w:tcPr>
            <w:tcW w:w="767" w:type="dxa"/>
            <w:vMerge/>
            <w:tcBorders>
              <w:left w:val="single" w:sz="5" w:space="0" w:color="000000"/>
            </w:tcBorders>
          </w:tcPr>
          <w:p>
            <w:pPr/>
          </w:p>
        </w:tc>
        <w:tc>
          <w:tcPr>
            <w:tcW w:w="5192" w:type="dxa"/>
            <w:vMerge/>
            <w:tcBorders>
              <w:right w:val="single" w:sz="5" w:space="0" w:color="FFFF00"/>
            </w:tcBorders>
          </w:tcPr>
          <w:p>
            <w:pPr/>
          </w:p>
        </w:tc>
        <w:tc>
          <w:tcPr>
            <w:tcW w:w="775" w:type="dxa"/>
            <w:tcBorders>
              <w:right w:val="single" w:sz="5" w:space="0" w:color="FFFFFF"/>
            </w:tcBorders>
            <w:shd w:val="clear" w:color="auto" w:fill="FFFF00"/>
          </w:tcPr>
          <w:p>
            <w:pPr>
              <w:pStyle w:val="TableParagraph"/>
              <w:spacing w:before="4"/>
              <w:ind w:left="42" w:right="40"/>
              <w:rPr>
                <w:sz w:val="14"/>
              </w:rPr>
            </w:pPr>
            <w:r>
              <w:rPr>
                <w:w w:val="105"/>
                <w:sz w:val="14"/>
              </w:rPr>
              <w:t>0.9</w:t>
            </w:r>
          </w:p>
        </w:tc>
        <w:tc>
          <w:tcPr>
            <w:tcW w:w="745" w:type="dxa"/>
            <w:tcBorders>
              <w:left w:val="single" w:sz="5" w:space="0" w:color="FFFFFF"/>
              <w:right w:val="single" w:sz="10" w:space="0" w:color="000000"/>
            </w:tcBorders>
            <w:shd w:val="clear" w:color="auto" w:fill="67ED4D"/>
          </w:tcPr>
          <w:p>
            <w:pPr>
              <w:pStyle w:val="TableParagraph"/>
              <w:spacing w:before="4"/>
              <w:ind w:left="8"/>
              <w:rPr>
                <w:sz w:val="14"/>
              </w:rPr>
            </w:pPr>
            <w:r>
              <w:rPr>
                <w:w w:val="103"/>
                <w:sz w:val="14"/>
              </w:rPr>
              <w:t>1</w:t>
            </w:r>
          </w:p>
        </w:tc>
      </w:tr>
      <w:tr>
        <w:trPr>
          <w:trHeight w:val="182" w:hRule="exact"/>
        </w:trPr>
        <w:tc>
          <w:tcPr>
            <w:tcW w:w="767" w:type="dxa"/>
            <w:vMerge/>
            <w:tcBorders>
              <w:left w:val="single" w:sz="5" w:space="0" w:color="000000"/>
            </w:tcBorders>
          </w:tcPr>
          <w:p>
            <w:pPr/>
          </w:p>
        </w:tc>
        <w:tc>
          <w:tcPr>
            <w:tcW w:w="5192" w:type="dxa"/>
            <w:vMerge/>
            <w:tcBorders>
              <w:right w:val="single" w:sz="5" w:space="0" w:color="FFFF00"/>
            </w:tcBorders>
          </w:tcPr>
          <w:p>
            <w:pPr/>
          </w:p>
        </w:tc>
        <w:tc>
          <w:tcPr>
            <w:tcW w:w="775" w:type="dxa"/>
            <w:tcBorders>
              <w:right w:val="single" w:sz="5" w:space="0" w:color="FFFFFF"/>
            </w:tcBorders>
            <w:shd w:val="clear" w:color="auto" w:fill="FFFF00"/>
          </w:tcPr>
          <w:p>
            <w:pPr>
              <w:pStyle w:val="TableParagraph"/>
              <w:spacing w:before="4"/>
              <w:ind w:left="42" w:right="40"/>
              <w:rPr>
                <w:sz w:val="14"/>
              </w:rPr>
            </w:pPr>
            <w:r>
              <w:rPr>
                <w:w w:val="105"/>
                <w:sz w:val="14"/>
              </w:rPr>
              <w:t>0.6</w:t>
            </w:r>
          </w:p>
        </w:tc>
        <w:tc>
          <w:tcPr>
            <w:tcW w:w="745" w:type="dxa"/>
            <w:tcBorders>
              <w:left w:val="single" w:sz="5" w:space="0" w:color="FFFFFF"/>
              <w:right w:val="single" w:sz="10" w:space="0" w:color="000000"/>
            </w:tcBorders>
            <w:shd w:val="clear" w:color="auto" w:fill="67ED4D"/>
          </w:tcPr>
          <w:p>
            <w:pPr>
              <w:pStyle w:val="TableParagraph"/>
              <w:spacing w:before="4"/>
              <w:ind w:left="8"/>
              <w:rPr>
                <w:sz w:val="14"/>
              </w:rPr>
            </w:pPr>
            <w:r>
              <w:rPr>
                <w:w w:val="103"/>
                <w:sz w:val="14"/>
              </w:rPr>
              <w:t>1</w:t>
            </w:r>
          </w:p>
        </w:tc>
      </w:tr>
      <w:tr>
        <w:trPr>
          <w:trHeight w:val="182" w:hRule="exact"/>
        </w:trPr>
        <w:tc>
          <w:tcPr>
            <w:tcW w:w="767" w:type="dxa"/>
            <w:vMerge/>
            <w:tcBorders>
              <w:left w:val="single" w:sz="5" w:space="0" w:color="000000"/>
            </w:tcBorders>
          </w:tcPr>
          <w:p>
            <w:pPr/>
          </w:p>
        </w:tc>
        <w:tc>
          <w:tcPr>
            <w:tcW w:w="5192" w:type="dxa"/>
            <w:vMerge/>
            <w:tcBorders>
              <w:right w:val="single" w:sz="5" w:space="0" w:color="FFFF00"/>
            </w:tcBorders>
          </w:tcPr>
          <w:p>
            <w:pPr/>
          </w:p>
        </w:tc>
        <w:tc>
          <w:tcPr>
            <w:tcW w:w="775" w:type="dxa"/>
            <w:tcBorders>
              <w:right w:val="single" w:sz="5" w:space="0" w:color="FFFFFF"/>
            </w:tcBorders>
            <w:shd w:val="clear" w:color="auto" w:fill="FFFF00"/>
          </w:tcPr>
          <w:p>
            <w:pPr>
              <w:pStyle w:val="TableParagraph"/>
              <w:spacing w:before="4"/>
              <w:ind w:left="42" w:right="40"/>
              <w:rPr>
                <w:sz w:val="14"/>
              </w:rPr>
            </w:pPr>
            <w:r>
              <w:rPr>
                <w:w w:val="105"/>
                <w:sz w:val="14"/>
              </w:rPr>
              <w:t>0.8</w:t>
            </w:r>
          </w:p>
        </w:tc>
        <w:tc>
          <w:tcPr>
            <w:tcW w:w="745" w:type="dxa"/>
            <w:tcBorders>
              <w:left w:val="single" w:sz="5" w:space="0" w:color="FFFFFF"/>
              <w:right w:val="single" w:sz="10" w:space="0" w:color="000000"/>
            </w:tcBorders>
            <w:shd w:val="clear" w:color="auto" w:fill="67ED4D"/>
          </w:tcPr>
          <w:p>
            <w:pPr>
              <w:pStyle w:val="TableParagraph"/>
              <w:spacing w:before="4"/>
              <w:ind w:left="8"/>
              <w:rPr>
                <w:sz w:val="14"/>
              </w:rPr>
            </w:pPr>
            <w:r>
              <w:rPr>
                <w:w w:val="103"/>
                <w:sz w:val="14"/>
              </w:rPr>
              <w:t>1</w:t>
            </w:r>
          </w:p>
        </w:tc>
      </w:tr>
      <w:tr>
        <w:trPr>
          <w:trHeight w:val="182" w:hRule="exact"/>
        </w:trPr>
        <w:tc>
          <w:tcPr>
            <w:tcW w:w="767" w:type="dxa"/>
            <w:vMerge/>
            <w:tcBorders>
              <w:left w:val="single" w:sz="5" w:space="0" w:color="000000"/>
            </w:tcBorders>
          </w:tcPr>
          <w:p>
            <w:pPr/>
          </w:p>
        </w:tc>
        <w:tc>
          <w:tcPr>
            <w:tcW w:w="5192" w:type="dxa"/>
            <w:vMerge/>
            <w:tcBorders>
              <w:right w:val="single" w:sz="5" w:space="0" w:color="FFFF00"/>
            </w:tcBorders>
          </w:tcPr>
          <w:p>
            <w:pPr/>
          </w:p>
        </w:tc>
        <w:tc>
          <w:tcPr>
            <w:tcW w:w="775" w:type="dxa"/>
            <w:tcBorders>
              <w:right w:val="single" w:sz="5" w:space="0" w:color="FFFFFF"/>
            </w:tcBorders>
            <w:shd w:val="clear" w:color="auto" w:fill="FFFF00"/>
          </w:tcPr>
          <w:p>
            <w:pPr>
              <w:pStyle w:val="TableParagraph"/>
              <w:spacing w:before="4"/>
              <w:ind w:left="42" w:right="40"/>
              <w:rPr>
                <w:sz w:val="14"/>
              </w:rPr>
            </w:pPr>
            <w:r>
              <w:rPr>
                <w:w w:val="105"/>
                <w:sz w:val="14"/>
              </w:rPr>
              <w:t>0.7</w:t>
            </w:r>
          </w:p>
        </w:tc>
        <w:tc>
          <w:tcPr>
            <w:tcW w:w="745" w:type="dxa"/>
            <w:tcBorders>
              <w:left w:val="single" w:sz="5" w:space="0" w:color="FFFFFF"/>
              <w:right w:val="single" w:sz="10" w:space="0" w:color="000000"/>
            </w:tcBorders>
            <w:shd w:val="clear" w:color="auto" w:fill="67ED4D"/>
          </w:tcPr>
          <w:p>
            <w:pPr>
              <w:pStyle w:val="TableParagraph"/>
              <w:spacing w:before="4"/>
              <w:ind w:left="8"/>
              <w:rPr>
                <w:sz w:val="14"/>
              </w:rPr>
            </w:pPr>
            <w:r>
              <w:rPr>
                <w:w w:val="103"/>
                <w:sz w:val="14"/>
              </w:rPr>
              <w:t>1</w:t>
            </w:r>
          </w:p>
        </w:tc>
      </w:tr>
      <w:tr>
        <w:trPr>
          <w:trHeight w:val="190" w:hRule="exact"/>
        </w:trPr>
        <w:tc>
          <w:tcPr>
            <w:tcW w:w="767" w:type="dxa"/>
            <w:vMerge/>
            <w:tcBorders>
              <w:left w:val="single" w:sz="5" w:space="0" w:color="000000"/>
            </w:tcBorders>
          </w:tcPr>
          <w:p>
            <w:pPr/>
          </w:p>
        </w:tc>
        <w:tc>
          <w:tcPr>
            <w:tcW w:w="5192" w:type="dxa"/>
            <w:vMerge/>
            <w:tcBorders>
              <w:right w:val="single" w:sz="5" w:space="0" w:color="FFFF00"/>
            </w:tcBorders>
          </w:tcPr>
          <w:p>
            <w:pPr/>
          </w:p>
        </w:tc>
        <w:tc>
          <w:tcPr>
            <w:tcW w:w="775" w:type="dxa"/>
            <w:tcBorders>
              <w:right w:val="single" w:sz="5" w:space="0" w:color="FFFFFF"/>
            </w:tcBorders>
            <w:shd w:val="clear" w:color="auto" w:fill="FFFF00"/>
          </w:tcPr>
          <w:p>
            <w:pPr>
              <w:pStyle w:val="TableParagraph"/>
              <w:spacing w:before="4"/>
              <w:ind w:left="42" w:right="40"/>
              <w:rPr>
                <w:sz w:val="14"/>
              </w:rPr>
            </w:pPr>
            <w:r>
              <w:rPr>
                <w:w w:val="105"/>
                <w:sz w:val="14"/>
              </w:rPr>
              <w:t>6.3</w:t>
            </w:r>
          </w:p>
        </w:tc>
        <w:tc>
          <w:tcPr>
            <w:tcW w:w="745" w:type="dxa"/>
            <w:tcBorders>
              <w:left w:val="single" w:sz="5" w:space="0" w:color="FFFFFF"/>
              <w:right w:val="single" w:sz="10" w:space="0" w:color="000000"/>
            </w:tcBorders>
            <w:shd w:val="clear" w:color="auto" w:fill="67ED4D"/>
          </w:tcPr>
          <w:p>
            <w:pPr>
              <w:pStyle w:val="TableParagraph"/>
              <w:spacing w:before="4"/>
              <w:ind w:left="8"/>
              <w:rPr>
                <w:sz w:val="14"/>
              </w:rPr>
            </w:pPr>
            <w:r>
              <w:rPr>
                <w:w w:val="103"/>
                <w:sz w:val="14"/>
              </w:rPr>
              <w:t>8</w:t>
            </w:r>
          </w:p>
        </w:tc>
      </w:tr>
      <w:tr>
        <w:trPr>
          <w:trHeight w:val="170" w:hRule="exact"/>
        </w:trPr>
        <w:tc>
          <w:tcPr>
            <w:tcW w:w="7480" w:type="dxa"/>
            <w:gridSpan w:val="4"/>
            <w:tcBorders>
              <w:left w:val="single" w:sz="5" w:space="0" w:color="000000"/>
              <w:right w:val="single" w:sz="10" w:space="0" w:color="000000"/>
            </w:tcBorders>
          </w:tcPr>
          <w:p>
            <w:pPr/>
          </w:p>
        </w:tc>
      </w:tr>
      <w:tr>
        <w:trPr>
          <w:trHeight w:val="185" w:hRule="exact"/>
        </w:trPr>
        <w:tc>
          <w:tcPr>
            <w:tcW w:w="5960" w:type="dxa"/>
            <w:gridSpan w:val="2"/>
            <w:tcBorders>
              <w:left w:val="single" w:sz="5" w:space="0" w:color="000000"/>
              <w:right w:val="single" w:sz="5" w:space="0" w:color="FFFF00"/>
            </w:tcBorders>
          </w:tcPr>
          <w:p>
            <w:pPr>
              <w:pStyle w:val="TableParagraph"/>
              <w:tabs>
                <w:tab w:pos="3391" w:val="left" w:leader="none"/>
              </w:tabs>
              <w:spacing w:before="8"/>
              <w:ind w:left="884"/>
              <w:jc w:val="left"/>
              <w:rPr>
                <w:sz w:val="14"/>
              </w:rPr>
            </w:pPr>
            <w:r>
              <w:rPr>
                <w:w w:val="105"/>
                <w:sz w:val="14"/>
              </w:rPr>
              <w:t>Organización</w:t>
            </w:r>
            <w:r>
              <w:rPr>
                <w:spacing w:val="-6"/>
                <w:w w:val="105"/>
                <w:sz w:val="14"/>
              </w:rPr>
              <w:t> </w:t>
            </w:r>
            <w:r>
              <w:rPr>
                <w:w w:val="105"/>
                <w:sz w:val="14"/>
              </w:rPr>
              <w:t>vecinal</w:t>
              <w:tab/>
              <w:t>Administración</w:t>
            </w:r>
            <w:r>
              <w:rPr>
                <w:spacing w:val="-20"/>
                <w:w w:val="105"/>
                <w:sz w:val="14"/>
              </w:rPr>
              <w:t> </w:t>
            </w:r>
            <w:r>
              <w:rPr>
                <w:w w:val="105"/>
                <w:sz w:val="14"/>
              </w:rPr>
              <w:t>ciudadana</w:t>
            </w:r>
          </w:p>
        </w:tc>
        <w:tc>
          <w:tcPr>
            <w:tcW w:w="775" w:type="dxa"/>
            <w:tcBorders>
              <w:right w:val="single" w:sz="5" w:space="0" w:color="FFFFFF"/>
            </w:tcBorders>
            <w:shd w:val="clear" w:color="auto" w:fill="FFFF00"/>
          </w:tcPr>
          <w:p>
            <w:pPr>
              <w:pStyle w:val="TableParagraph"/>
              <w:spacing w:before="8"/>
              <w:ind w:left="42" w:right="40"/>
              <w:rPr>
                <w:sz w:val="14"/>
              </w:rPr>
            </w:pPr>
            <w:r>
              <w:rPr>
                <w:w w:val="105"/>
                <w:sz w:val="14"/>
              </w:rPr>
              <w:t>0.8</w:t>
            </w:r>
          </w:p>
        </w:tc>
        <w:tc>
          <w:tcPr>
            <w:tcW w:w="745" w:type="dxa"/>
            <w:tcBorders>
              <w:left w:val="single" w:sz="5" w:space="0" w:color="FFFFFF"/>
              <w:right w:val="single" w:sz="10" w:space="0" w:color="000000"/>
            </w:tcBorders>
            <w:shd w:val="clear" w:color="auto" w:fill="67ED4D"/>
          </w:tcPr>
          <w:p>
            <w:pPr>
              <w:pStyle w:val="TableParagraph"/>
              <w:spacing w:before="8"/>
              <w:ind w:left="8"/>
              <w:rPr>
                <w:sz w:val="14"/>
              </w:rPr>
            </w:pPr>
            <w:r>
              <w:rPr>
                <w:w w:val="103"/>
                <w:sz w:val="14"/>
              </w:rPr>
              <w:t>1</w:t>
            </w:r>
          </w:p>
        </w:tc>
      </w:tr>
      <w:tr>
        <w:trPr>
          <w:trHeight w:val="190" w:hRule="exact"/>
        </w:trPr>
        <w:tc>
          <w:tcPr>
            <w:tcW w:w="5960" w:type="dxa"/>
            <w:gridSpan w:val="2"/>
            <w:tcBorders>
              <w:left w:val="single" w:sz="5" w:space="0" w:color="000000"/>
              <w:right w:val="single" w:sz="5" w:space="0" w:color="FFFF00"/>
            </w:tcBorders>
          </w:tcPr>
          <w:p>
            <w:pPr>
              <w:pStyle w:val="TableParagraph"/>
              <w:spacing w:before="4"/>
              <w:ind w:right="118"/>
              <w:jc w:val="right"/>
              <w:rPr>
                <w:sz w:val="14"/>
              </w:rPr>
            </w:pPr>
            <w:r>
              <w:rPr>
                <w:color w:val="808080"/>
                <w:w w:val="105"/>
                <w:sz w:val="14"/>
              </w:rPr>
              <w:t>Subtotal</w:t>
            </w:r>
          </w:p>
        </w:tc>
        <w:tc>
          <w:tcPr>
            <w:tcW w:w="775" w:type="dxa"/>
            <w:tcBorders>
              <w:right w:val="single" w:sz="5" w:space="0" w:color="FFFFFF"/>
            </w:tcBorders>
            <w:shd w:val="clear" w:color="auto" w:fill="FFFF00"/>
          </w:tcPr>
          <w:p>
            <w:pPr>
              <w:pStyle w:val="TableParagraph"/>
              <w:spacing w:before="4"/>
              <w:ind w:left="42" w:right="40"/>
              <w:rPr>
                <w:sz w:val="14"/>
              </w:rPr>
            </w:pPr>
            <w:r>
              <w:rPr>
                <w:w w:val="105"/>
                <w:sz w:val="14"/>
              </w:rPr>
              <w:t>0.8</w:t>
            </w:r>
          </w:p>
        </w:tc>
        <w:tc>
          <w:tcPr>
            <w:tcW w:w="745" w:type="dxa"/>
            <w:tcBorders>
              <w:left w:val="single" w:sz="5" w:space="0" w:color="FFFFFF"/>
              <w:right w:val="single" w:sz="10" w:space="0" w:color="000000"/>
            </w:tcBorders>
            <w:shd w:val="clear" w:color="auto" w:fill="67ED4D"/>
          </w:tcPr>
          <w:p>
            <w:pPr>
              <w:pStyle w:val="TableParagraph"/>
              <w:spacing w:before="4"/>
              <w:ind w:left="8"/>
              <w:rPr>
                <w:sz w:val="14"/>
              </w:rPr>
            </w:pPr>
            <w:r>
              <w:rPr>
                <w:w w:val="103"/>
                <w:sz w:val="14"/>
              </w:rPr>
              <w:t>1</w:t>
            </w:r>
          </w:p>
        </w:tc>
      </w:tr>
      <w:tr>
        <w:trPr>
          <w:trHeight w:val="170" w:hRule="exact"/>
        </w:trPr>
        <w:tc>
          <w:tcPr>
            <w:tcW w:w="7480" w:type="dxa"/>
            <w:gridSpan w:val="4"/>
            <w:tcBorders>
              <w:left w:val="single" w:sz="5" w:space="0" w:color="000000"/>
              <w:right w:val="single" w:sz="10" w:space="0" w:color="000000"/>
            </w:tcBorders>
          </w:tcPr>
          <w:p>
            <w:pPr/>
          </w:p>
        </w:tc>
      </w:tr>
      <w:tr>
        <w:trPr>
          <w:trHeight w:val="185" w:hRule="exact"/>
        </w:trPr>
        <w:tc>
          <w:tcPr>
            <w:tcW w:w="5960" w:type="dxa"/>
            <w:gridSpan w:val="2"/>
            <w:tcBorders>
              <w:left w:val="single" w:sz="5" w:space="0" w:color="000000"/>
              <w:right w:val="single" w:sz="5" w:space="0" w:color="FFFF00"/>
            </w:tcBorders>
          </w:tcPr>
          <w:p>
            <w:pPr>
              <w:pStyle w:val="TableParagraph"/>
              <w:spacing w:before="8"/>
              <w:ind w:left="884"/>
              <w:jc w:val="left"/>
              <w:rPr>
                <w:sz w:val="14"/>
              </w:rPr>
            </w:pPr>
            <w:r>
              <w:rPr>
                <w:w w:val="105"/>
                <w:sz w:val="14"/>
              </w:rPr>
              <w:t>Índice de satisfacción del acreditado   ISA del Infonavit</w:t>
            </w:r>
          </w:p>
        </w:tc>
        <w:tc>
          <w:tcPr>
            <w:tcW w:w="775" w:type="dxa"/>
            <w:tcBorders>
              <w:right w:val="single" w:sz="5" w:space="0" w:color="FFFFFF"/>
            </w:tcBorders>
            <w:shd w:val="clear" w:color="auto" w:fill="FFFF00"/>
          </w:tcPr>
          <w:p>
            <w:pPr>
              <w:pStyle w:val="TableParagraph"/>
              <w:spacing w:before="8"/>
              <w:ind w:left="42" w:right="40"/>
              <w:rPr>
                <w:sz w:val="14"/>
              </w:rPr>
            </w:pPr>
            <w:r>
              <w:rPr>
                <w:w w:val="105"/>
                <w:sz w:val="14"/>
              </w:rPr>
              <w:t>0.7</w:t>
            </w:r>
          </w:p>
        </w:tc>
        <w:tc>
          <w:tcPr>
            <w:tcW w:w="745" w:type="dxa"/>
            <w:tcBorders>
              <w:left w:val="single" w:sz="5" w:space="0" w:color="FFFFFF"/>
              <w:right w:val="single" w:sz="10" w:space="0" w:color="000000"/>
            </w:tcBorders>
            <w:shd w:val="clear" w:color="auto" w:fill="67ED4D"/>
          </w:tcPr>
          <w:p>
            <w:pPr>
              <w:pStyle w:val="TableParagraph"/>
              <w:spacing w:before="8"/>
              <w:ind w:left="8"/>
              <w:rPr>
                <w:sz w:val="14"/>
              </w:rPr>
            </w:pPr>
            <w:r>
              <w:rPr>
                <w:w w:val="103"/>
                <w:sz w:val="14"/>
              </w:rPr>
              <w:t>1</w:t>
            </w:r>
          </w:p>
        </w:tc>
      </w:tr>
      <w:tr>
        <w:trPr>
          <w:trHeight w:val="190" w:hRule="exact"/>
        </w:trPr>
        <w:tc>
          <w:tcPr>
            <w:tcW w:w="5960" w:type="dxa"/>
            <w:gridSpan w:val="2"/>
            <w:tcBorders>
              <w:left w:val="single" w:sz="5" w:space="0" w:color="000000"/>
              <w:right w:val="single" w:sz="5" w:space="0" w:color="FFFF00"/>
            </w:tcBorders>
          </w:tcPr>
          <w:p>
            <w:pPr>
              <w:pStyle w:val="TableParagraph"/>
              <w:spacing w:before="4"/>
              <w:ind w:right="118"/>
              <w:jc w:val="right"/>
              <w:rPr>
                <w:sz w:val="14"/>
              </w:rPr>
            </w:pPr>
            <w:r>
              <w:rPr>
                <w:color w:val="808080"/>
                <w:w w:val="105"/>
                <w:sz w:val="14"/>
              </w:rPr>
              <w:t>Subtotal</w:t>
            </w:r>
          </w:p>
        </w:tc>
        <w:tc>
          <w:tcPr>
            <w:tcW w:w="775" w:type="dxa"/>
            <w:tcBorders>
              <w:right w:val="single" w:sz="5" w:space="0" w:color="FFFFFF"/>
            </w:tcBorders>
            <w:shd w:val="clear" w:color="auto" w:fill="FFFF00"/>
          </w:tcPr>
          <w:p>
            <w:pPr>
              <w:pStyle w:val="TableParagraph"/>
              <w:spacing w:before="4"/>
              <w:ind w:left="42" w:right="40"/>
              <w:rPr>
                <w:sz w:val="14"/>
              </w:rPr>
            </w:pPr>
            <w:r>
              <w:rPr>
                <w:w w:val="105"/>
                <w:sz w:val="14"/>
              </w:rPr>
              <w:t>0.7</w:t>
            </w:r>
          </w:p>
        </w:tc>
        <w:tc>
          <w:tcPr>
            <w:tcW w:w="745" w:type="dxa"/>
            <w:tcBorders>
              <w:left w:val="single" w:sz="5" w:space="0" w:color="FFFFFF"/>
              <w:right w:val="single" w:sz="10" w:space="0" w:color="000000"/>
            </w:tcBorders>
            <w:shd w:val="clear" w:color="auto" w:fill="67ED4D"/>
          </w:tcPr>
          <w:p>
            <w:pPr>
              <w:pStyle w:val="TableParagraph"/>
              <w:spacing w:before="4"/>
              <w:ind w:left="8"/>
              <w:rPr>
                <w:sz w:val="14"/>
              </w:rPr>
            </w:pPr>
            <w:r>
              <w:rPr>
                <w:w w:val="103"/>
                <w:sz w:val="14"/>
              </w:rPr>
              <w:t>1</w:t>
            </w:r>
          </w:p>
        </w:tc>
      </w:tr>
      <w:tr>
        <w:trPr>
          <w:trHeight w:val="170" w:hRule="exact"/>
        </w:trPr>
        <w:tc>
          <w:tcPr>
            <w:tcW w:w="7480" w:type="dxa"/>
            <w:gridSpan w:val="4"/>
            <w:tcBorders>
              <w:left w:val="single" w:sz="5" w:space="0" w:color="000000"/>
              <w:right w:val="single" w:sz="10" w:space="0" w:color="000000"/>
            </w:tcBorders>
          </w:tcPr>
          <w:p>
            <w:pPr/>
          </w:p>
        </w:tc>
      </w:tr>
      <w:tr>
        <w:trPr>
          <w:trHeight w:val="185" w:hRule="exact"/>
        </w:trPr>
        <w:tc>
          <w:tcPr>
            <w:tcW w:w="5960" w:type="dxa"/>
            <w:gridSpan w:val="2"/>
            <w:tcBorders>
              <w:left w:val="single" w:sz="5" w:space="0" w:color="000000"/>
              <w:right w:val="single" w:sz="5" w:space="0" w:color="FFFF00"/>
            </w:tcBorders>
          </w:tcPr>
          <w:p>
            <w:pPr>
              <w:pStyle w:val="TableParagraph"/>
              <w:tabs>
                <w:tab w:pos="3391" w:val="left" w:leader="none"/>
              </w:tabs>
              <w:spacing w:before="8"/>
              <w:ind w:left="884"/>
              <w:jc w:val="left"/>
              <w:rPr>
                <w:sz w:val="14"/>
              </w:rPr>
            </w:pPr>
            <w:r>
              <w:rPr>
                <w:w w:val="105"/>
                <w:sz w:val="14"/>
              </w:rPr>
              <w:t>Índice de</w:t>
            </w:r>
            <w:r>
              <w:rPr>
                <w:spacing w:val="-11"/>
                <w:w w:val="105"/>
                <w:sz w:val="14"/>
              </w:rPr>
              <w:t> </w:t>
            </w:r>
            <w:r>
              <w:rPr>
                <w:w w:val="105"/>
                <w:sz w:val="14"/>
              </w:rPr>
              <w:t>satisfacción</w:t>
            </w:r>
            <w:r>
              <w:rPr>
                <w:spacing w:val="-6"/>
                <w:w w:val="105"/>
                <w:sz w:val="14"/>
              </w:rPr>
              <w:t> </w:t>
            </w:r>
            <w:r>
              <w:rPr>
                <w:w w:val="105"/>
                <w:sz w:val="14"/>
              </w:rPr>
              <w:t>residencial</w:t>
              <w:tab/>
              <w:t>ISR de Sociedad Hipotecaria</w:t>
            </w:r>
            <w:r>
              <w:rPr>
                <w:spacing w:val="-30"/>
                <w:w w:val="105"/>
                <w:sz w:val="14"/>
              </w:rPr>
              <w:t> </w:t>
            </w:r>
            <w:r>
              <w:rPr>
                <w:w w:val="105"/>
                <w:sz w:val="14"/>
              </w:rPr>
              <w:t>Federal</w:t>
            </w:r>
          </w:p>
        </w:tc>
        <w:tc>
          <w:tcPr>
            <w:tcW w:w="775" w:type="dxa"/>
            <w:tcBorders>
              <w:right w:val="single" w:sz="5" w:space="0" w:color="FFFFFF"/>
            </w:tcBorders>
            <w:shd w:val="clear" w:color="auto" w:fill="FFFF00"/>
          </w:tcPr>
          <w:p>
            <w:pPr>
              <w:pStyle w:val="TableParagraph"/>
              <w:spacing w:before="8"/>
              <w:ind w:left="42" w:right="40"/>
              <w:rPr>
                <w:sz w:val="14"/>
              </w:rPr>
            </w:pPr>
            <w:r>
              <w:rPr>
                <w:w w:val="105"/>
                <w:sz w:val="14"/>
              </w:rPr>
              <w:t>0.7</w:t>
            </w:r>
          </w:p>
        </w:tc>
        <w:tc>
          <w:tcPr>
            <w:tcW w:w="745" w:type="dxa"/>
            <w:tcBorders>
              <w:left w:val="single" w:sz="5" w:space="0" w:color="FFFFFF"/>
              <w:right w:val="single" w:sz="10" w:space="0" w:color="000000"/>
            </w:tcBorders>
            <w:shd w:val="clear" w:color="auto" w:fill="67ED4D"/>
          </w:tcPr>
          <w:p>
            <w:pPr>
              <w:pStyle w:val="TableParagraph"/>
              <w:spacing w:before="8"/>
              <w:ind w:left="8"/>
              <w:rPr>
                <w:sz w:val="14"/>
              </w:rPr>
            </w:pPr>
            <w:r>
              <w:rPr>
                <w:w w:val="103"/>
                <w:sz w:val="14"/>
              </w:rPr>
              <w:t>1</w:t>
            </w:r>
          </w:p>
        </w:tc>
      </w:tr>
      <w:tr>
        <w:trPr>
          <w:trHeight w:val="190" w:hRule="exact"/>
        </w:trPr>
        <w:tc>
          <w:tcPr>
            <w:tcW w:w="5960" w:type="dxa"/>
            <w:gridSpan w:val="2"/>
            <w:tcBorders>
              <w:left w:val="single" w:sz="5" w:space="0" w:color="000000"/>
              <w:right w:val="single" w:sz="5" w:space="0" w:color="FFFF00"/>
            </w:tcBorders>
          </w:tcPr>
          <w:p>
            <w:pPr>
              <w:pStyle w:val="TableParagraph"/>
              <w:spacing w:before="4"/>
              <w:ind w:right="118"/>
              <w:jc w:val="right"/>
              <w:rPr>
                <w:sz w:val="14"/>
              </w:rPr>
            </w:pPr>
            <w:r>
              <w:rPr>
                <w:color w:val="808080"/>
                <w:w w:val="105"/>
                <w:sz w:val="14"/>
              </w:rPr>
              <w:t>Subtotal</w:t>
            </w:r>
          </w:p>
        </w:tc>
        <w:tc>
          <w:tcPr>
            <w:tcW w:w="775" w:type="dxa"/>
            <w:tcBorders>
              <w:right w:val="single" w:sz="5" w:space="0" w:color="FFFFFF"/>
            </w:tcBorders>
            <w:shd w:val="clear" w:color="auto" w:fill="FFFF00"/>
          </w:tcPr>
          <w:p>
            <w:pPr>
              <w:pStyle w:val="TableParagraph"/>
              <w:spacing w:before="4"/>
              <w:ind w:left="42" w:right="40"/>
              <w:rPr>
                <w:sz w:val="14"/>
              </w:rPr>
            </w:pPr>
            <w:r>
              <w:rPr>
                <w:w w:val="105"/>
                <w:sz w:val="14"/>
              </w:rPr>
              <w:t>0.7</w:t>
            </w:r>
          </w:p>
        </w:tc>
        <w:tc>
          <w:tcPr>
            <w:tcW w:w="745" w:type="dxa"/>
            <w:tcBorders>
              <w:left w:val="single" w:sz="5" w:space="0" w:color="FFFFFF"/>
              <w:right w:val="single" w:sz="10" w:space="0" w:color="000000"/>
            </w:tcBorders>
            <w:shd w:val="clear" w:color="auto" w:fill="67ED4D"/>
          </w:tcPr>
          <w:p>
            <w:pPr>
              <w:pStyle w:val="TableParagraph"/>
              <w:spacing w:before="4"/>
              <w:ind w:left="8"/>
              <w:rPr>
                <w:sz w:val="14"/>
              </w:rPr>
            </w:pPr>
            <w:r>
              <w:rPr>
                <w:w w:val="103"/>
                <w:sz w:val="14"/>
              </w:rPr>
              <w:t>1</w:t>
            </w:r>
          </w:p>
        </w:tc>
      </w:tr>
      <w:tr>
        <w:trPr>
          <w:trHeight w:val="170" w:hRule="exact"/>
        </w:trPr>
        <w:tc>
          <w:tcPr>
            <w:tcW w:w="7480" w:type="dxa"/>
            <w:gridSpan w:val="4"/>
            <w:tcBorders>
              <w:left w:val="single" w:sz="5" w:space="0" w:color="000000"/>
              <w:right w:val="single" w:sz="10" w:space="0" w:color="000000"/>
            </w:tcBorders>
          </w:tcPr>
          <w:p>
            <w:pPr/>
          </w:p>
        </w:tc>
      </w:tr>
      <w:tr>
        <w:trPr>
          <w:trHeight w:val="194" w:hRule="exact"/>
        </w:trPr>
        <w:tc>
          <w:tcPr>
            <w:tcW w:w="5960" w:type="dxa"/>
            <w:gridSpan w:val="2"/>
            <w:tcBorders>
              <w:left w:val="single" w:sz="5" w:space="0" w:color="000000"/>
              <w:right w:val="single" w:sz="5" w:space="0" w:color="FFFF00"/>
            </w:tcBorders>
          </w:tcPr>
          <w:p>
            <w:pPr>
              <w:pStyle w:val="TableParagraph"/>
              <w:spacing w:before="8"/>
              <w:ind w:right="115"/>
              <w:jc w:val="right"/>
              <w:rPr>
                <w:sz w:val="14"/>
              </w:rPr>
            </w:pPr>
            <w:r>
              <w:rPr>
                <w:w w:val="105"/>
                <w:sz w:val="14"/>
              </w:rPr>
              <w:t>Total</w:t>
            </w:r>
          </w:p>
        </w:tc>
        <w:tc>
          <w:tcPr>
            <w:tcW w:w="775" w:type="dxa"/>
            <w:tcBorders>
              <w:right w:val="single" w:sz="5" w:space="0" w:color="FFFFFF"/>
            </w:tcBorders>
            <w:shd w:val="clear" w:color="auto" w:fill="FFFF00"/>
          </w:tcPr>
          <w:p>
            <w:pPr>
              <w:pStyle w:val="TableParagraph"/>
              <w:spacing w:before="8"/>
              <w:ind w:left="40" w:right="40"/>
              <w:rPr>
                <w:sz w:val="14"/>
              </w:rPr>
            </w:pPr>
            <w:r>
              <w:rPr>
                <w:w w:val="105"/>
                <w:sz w:val="14"/>
              </w:rPr>
              <w:t>11.4</w:t>
            </w:r>
          </w:p>
        </w:tc>
        <w:tc>
          <w:tcPr>
            <w:tcW w:w="745" w:type="dxa"/>
            <w:tcBorders>
              <w:left w:val="single" w:sz="5" w:space="0" w:color="FFFFFF"/>
              <w:right w:val="single" w:sz="10" w:space="0" w:color="000000"/>
            </w:tcBorders>
            <w:shd w:val="clear" w:color="auto" w:fill="67ED4D"/>
          </w:tcPr>
          <w:p>
            <w:pPr>
              <w:pStyle w:val="TableParagraph"/>
              <w:spacing w:before="8"/>
              <w:ind w:left="90" w:right="74"/>
              <w:rPr>
                <w:sz w:val="14"/>
              </w:rPr>
            </w:pPr>
            <w:r>
              <w:rPr>
                <w:w w:val="105"/>
                <w:sz w:val="14"/>
              </w:rPr>
              <w:t>15</w:t>
            </w:r>
          </w:p>
        </w:tc>
      </w:tr>
      <w:tr>
        <w:trPr>
          <w:trHeight w:val="182" w:hRule="exact"/>
        </w:trPr>
        <w:tc>
          <w:tcPr>
            <w:tcW w:w="7480" w:type="dxa"/>
            <w:gridSpan w:val="4"/>
            <w:tcBorders>
              <w:left w:val="single" w:sz="5" w:space="0" w:color="000000"/>
              <w:bottom w:val="single" w:sz="10" w:space="0" w:color="000000"/>
              <w:right w:val="single" w:sz="10" w:space="0" w:color="000000"/>
            </w:tcBorders>
          </w:tcPr>
          <w:p>
            <w:pPr/>
          </w:p>
        </w:tc>
      </w:tr>
    </w:tbl>
    <w:p>
      <w:pPr>
        <w:pStyle w:val="BodyText"/>
        <w:spacing w:before="2"/>
        <w:rPr>
          <w:sz w:val="22"/>
        </w:rPr>
      </w:pPr>
    </w:p>
    <w:p>
      <w:pPr>
        <w:spacing w:before="0"/>
        <w:ind w:left="268" w:right="0" w:firstLine="0"/>
        <w:jc w:val="both"/>
        <w:rPr>
          <w:sz w:val="21"/>
        </w:rPr>
      </w:pPr>
      <w:r>
        <w:rPr>
          <w:w w:val="105"/>
          <w:sz w:val="21"/>
        </w:rPr>
        <w:t>Fuente: Elaboración propia con base en el análisis y clasificación de indicadores.</w:t>
      </w:r>
    </w:p>
    <w:p>
      <w:pPr>
        <w:spacing w:after="0"/>
        <w:jc w:val="both"/>
        <w:rPr>
          <w:sz w:val="21"/>
        </w:rPr>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4216" from="93.199997pt,-19.614155pt" to="546.799997pt,-19.614155pt" stroked="true" strokeweight=".479981pt" strokecolor="#000000">
            <w10:wrap type="none"/>
          </v:line>
        </w:pict>
      </w:r>
      <w:r>
        <w:rPr/>
        <w:t>El subíndice de habitabilidad define las características generales que poseen las viviendas, considerando los metros cuadrados de la vivienda, el terreno, así como el número de habitaciones con las que cuenta y conocer si existe hacinamiento.</w:t>
      </w:r>
    </w:p>
    <w:p>
      <w:pPr>
        <w:pStyle w:val="BodyText"/>
        <w:spacing w:line="360" w:lineRule="auto" w:before="122"/>
        <w:ind w:left="268" w:right="231"/>
        <w:jc w:val="both"/>
      </w:pPr>
      <w:r>
        <w:rPr/>
        <w:t>Para el subíndice de oportunidades urbanas el estudio permite evaluar la accesibilidad que tienen sus habitaciones para desarrollar y garantizar actividades básicas de salud, empleo, educación, abasto; seguridad, recreación y transporte, analizando la distancia que existe al centro urbano y los límites de perímetro de contención urbana que considera la nueva política de la SEDATU en materia de vivienda.</w:t>
      </w:r>
    </w:p>
    <w:p>
      <w:pPr>
        <w:pStyle w:val="BodyText"/>
        <w:spacing w:line="360" w:lineRule="auto" w:before="122"/>
        <w:ind w:left="268" w:right="231"/>
        <w:jc w:val="both"/>
      </w:pPr>
      <w:r>
        <w:rPr/>
        <w:t>En lo que corresponde al subíndice de organización vecinal se considera la forma de organización social y participación ciudadana para la administración del desarrollo habitacional.</w:t>
      </w:r>
    </w:p>
    <w:p>
      <w:pPr>
        <w:pStyle w:val="BodyText"/>
        <w:spacing w:line="360" w:lineRule="auto" w:before="122"/>
        <w:ind w:left="268" w:right="231"/>
        <w:jc w:val="both"/>
      </w:pPr>
      <w:r>
        <w:rPr/>
        <w:t>El cuarto subíndice considera el índice de satisfacción del acreditado, conocido por sus siglas como ISA, este índice es una herramienta desarrollada por el INFONAVIT que mide la satisfacción que los habitantes tienen con la vivienda; el desarrollo habitacional, la atención y servicios que le brindaron, así como la relación entre el precio pagado y el valor percibido de la</w:t>
      </w:r>
      <w:r>
        <w:rPr>
          <w:spacing w:val="-1"/>
        </w:rPr>
        <w:t> </w:t>
      </w:r>
      <w:r>
        <w:rPr/>
        <w:t>vivienda.</w:t>
      </w:r>
    </w:p>
    <w:p>
      <w:pPr>
        <w:pStyle w:val="BodyText"/>
        <w:spacing w:line="348" w:lineRule="auto" w:before="127"/>
        <w:ind w:left="268" w:right="231"/>
        <w:jc w:val="both"/>
      </w:pPr>
      <w:r>
        <w:rPr/>
        <w:t>El manejo del ISA en la evaluación permite retomar la calificación que otorgan los compradores de la vivienda nueva. Para la obtención de este índice se ponderan nueve variables</w:t>
      </w:r>
      <w:r>
        <w:rPr>
          <w:position w:val="11"/>
          <w:sz w:val="16"/>
        </w:rPr>
        <w:t>6 </w:t>
      </w:r>
      <w:r>
        <w:rPr/>
        <w:t>que consideran una evaluación global de la calidad de la vivienda en el desarrollo habitacional.</w:t>
      </w:r>
    </w:p>
    <w:p>
      <w:pPr>
        <w:pStyle w:val="BodyText"/>
        <w:spacing w:line="360" w:lineRule="auto" w:before="141"/>
        <w:ind w:left="268" w:right="231"/>
        <w:jc w:val="both"/>
      </w:pPr>
      <w:r>
        <w:rPr/>
        <w:pict>
          <v:line style="position:absolute;mso-position-horizontal-relative:page;mso-position-vertical-relative:paragraph;z-index:4192;mso-wrap-distance-left:0;mso-wrap-distance-right:0" from="99.440002pt,94.865868pt" to="243.440002pt,94.865868pt" stroked="true" strokeweight=".479996pt" strokecolor="#000000">
            <w10:wrap type="topAndBottom"/>
          </v:line>
        </w:pict>
      </w:r>
      <w:r>
        <w:rPr/>
        <w:t>Para considerar el último subíndice social se agregó el índice de satisfacción residencial que desarrolló la Sociedad Hipotecaria Federal mediante el cual se mide, evalúa y conoce el nivel de satisfacción de la población que habita en conjuntos habitacionales en relación a la vivienda y calidad de vida en su entorno.</w:t>
      </w:r>
    </w:p>
    <w:p>
      <w:pPr>
        <w:pStyle w:val="BodyText"/>
        <w:spacing w:before="1"/>
      </w:pPr>
    </w:p>
    <w:p>
      <w:pPr>
        <w:pStyle w:val="ListParagraph"/>
        <w:numPr>
          <w:ilvl w:val="0"/>
          <w:numId w:val="16"/>
        </w:numPr>
        <w:tabs>
          <w:tab w:pos="433" w:val="left" w:leader="none"/>
        </w:tabs>
        <w:spacing w:line="252" w:lineRule="auto" w:before="82" w:after="0"/>
        <w:ind w:left="268" w:right="230" w:firstLine="0"/>
        <w:jc w:val="both"/>
        <w:rPr>
          <w:sz w:val="19"/>
        </w:rPr>
      </w:pPr>
      <w:r>
        <w:rPr>
          <w:w w:val="105"/>
          <w:sz w:val="19"/>
        </w:rPr>
        <w:t>Las variables que se consideran en el ISA a nivel nacional se agrupan en cuatro indicadores a evaluar: 1ro. Vivienda: Condición de la casa al mudarse, Calidad de mano de obra / materiales y Diseño /estilo de la casa. 2do. Desarrollo habitacional: Infraestructura del conjunto, Comodidades y/o atractivos del conjunto y Servicios cercanos. 3ro. Atención de la empresa: Personal encargado de garantía o seguro y Personal de ventas. 4to. Precio: Precio en relación al valor percibido. (Ver en:</w:t>
      </w:r>
      <w:r>
        <w:rPr>
          <w:spacing w:val="-12"/>
          <w:w w:val="105"/>
          <w:sz w:val="19"/>
        </w:rPr>
        <w:t> </w:t>
      </w:r>
      <w:r>
        <w:rPr>
          <w:w w:val="105"/>
          <w:sz w:val="19"/>
        </w:rPr>
        <w:t>www.infonavit.gob.mx)</w:t>
      </w:r>
    </w:p>
    <w:p>
      <w:pPr>
        <w:spacing w:after="0" w:line="252" w:lineRule="auto"/>
        <w:jc w:val="both"/>
        <w:rPr>
          <w:sz w:val="19"/>
        </w:rPr>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4240" from="93.199997pt,-19.614155pt" to="546.799997pt,-19.614155pt" stroked="true" strokeweight=".479981pt" strokecolor="#000000">
            <w10:wrap type="none"/>
          </v:line>
        </w:pict>
      </w:r>
      <w:r>
        <w:rPr/>
        <w:t>Por lo que el índice de sustentabilidad social considera un máximo de 15 puntos como valor máximo dentro de los valores obtenidos para cada conjunto urbano estudiado. El mayor puntaje por indicador es un punto y el menor representa 0, para la evaluación existen tres resultados posibles el óptimo que equivale a obtener una calificación de 15 puntos; un escenario deseable que representa lo mínimo para considerarlo como sustentable socialmente hablando y éste es con la obtención de 11.4 de los 15 posibles, finalmente el resultado real de la evaluación el cual se obtiene de la suma del porcentaje obtenido de cada subíndice de la evaluación obtenida el valor real puede ser menor o igual al escenario deseable sí éste es menor se considera que el desarrollo habitacional no es sustentable en su parte social, por lo que sí es igual o mayor al escenario deseable podíamos hablar de un resultado parcialmente positivo en materia social con base en los indicadores que se obtuvieron y</w:t>
      </w:r>
      <w:r>
        <w:rPr>
          <w:spacing w:val="-2"/>
        </w:rPr>
        <w:t> </w:t>
      </w:r>
      <w:r>
        <w:rPr/>
        <w:t>analizaron.</w:t>
      </w:r>
    </w:p>
    <w:p>
      <w:pPr>
        <w:pStyle w:val="BodyText"/>
        <w:spacing w:line="360" w:lineRule="auto" w:before="127"/>
        <w:ind w:left="268" w:right="231"/>
        <w:jc w:val="both"/>
      </w:pPr>
      <w:r>
        <w:rPr/>
        <w:t>La integración para el análisis y evaluación del eje ambiental se basa en la obtención de siete subíndices que a su vez consideran 24 indicadores que comprenden el estudio de variables ambientales correlacionadas con elementos normativos, de habitabilidad, servicios, infraestructura y equipamiento en el conjunto habitacional y la vivienda.</w:t>
      </w:r>
    </w:p>
    <w:p>
      <w:pPr>
        <w:spacing w:after="0" w:line="360" w:lineRule="auto"/>
        <w:jc w:val="both"/>
        <w:sectPr>
          <w:footerReference w:type="default" r:id="rId76"/>
          <w:pgSz w:w="12240" w:h="15840"/>
          <w:pgMar w:footer="1066" w:header="730" w:top="1320" w:bottom="1260" w:left="1720" w:right="1180"/>
        </w:sectPr>
      </w:pPr>
    </w:p>
    <w:p>
      <w:pPr>
        <w:pStyle w:val="BodyText"/>
        <w:spacing w:before="1"/>
        <w:rPr>
          <w:sz w:val="18"/>
        </w:rPr>
      </w:pPr>
    </w:p>
    <w:p>
      <w:pPr>
        <w:pStyle w:val="BodyText"/>
        <w:spacing w:before="69"/>
        <w:ind w:left="268"/>
        <w:jc w:val="both"/>
      </w:pPr>
      <w:r>
        <w:rPr/>
        <w:pict>
          <v:line style="position:absolute;mso-position-horizontal-relative:page;mso-position-vertical-relative:paragraph;z-index:4264" from="93.199997pt,-19.614155pt" to="546.799997pt,-19.614155pt" stroked="true" strokeweight=".479981pt" strokecolor="#000000">
            <w10:wrap type="none"/>
          </v:line>
        </w:pict>
      </w:r>
      <w:r>
        <w:rPr/>
        <w:pict>
          <v:group style="position:absolute;margin-left:378.311737pt;margin-top:117.190735pt;width:36.9pt;height:18.2pt;mso-position-horizontal-relative:page;mso-position-vertical-relative:paragraph;z-index:-1153744" coordorigin="7566,2344" coordsize="738,364">
            <v:line style="position:absolute" from="7572,2350" to="7572,2701" stroked="true" strokeweight=".56748pt" strokecolor="#ffff00"/>
            <v:rect style="position:absolute;left:7578;top:2350;width:726;height:352" filled="true" fillcolor="#ffff00" stroked="false">
              <v:fill type="solid"/>
            </v:rect>
            <w10:wrap type="none"/>
          </v:group>
        </w:pict>
      </w:r>
      <w:r>
        <w:rPr/>
        <w:pict>
          <v:group style="position:absolute;margin-left:378.311737pt;margin-top:142.707733pt;width:36.9pt;height:69.25pt;mso-position-horizontal-relative:page;mso-position-vertical-relative:paragraph;z-index:-1153720" coordorigin="7566,2854" coordsize="738,1385">
            <v:line style="position:absolute" from="7572,2860" to="7572,3042" stroked="true" strokeweight=".56748pt" strokecolor="#ffff00"/>
            <v:rect style="position:absolute;left:7578;top:2860;width:726;height:181" filled="true" fillcolor="#ffff00" stroked="false">
              <v:fill type="solid"/>
            </v:rect>
            <v:line style="position:absolute" from="7572,3042" to="7572,3212" stroked="true" strokeweight=".56748pt" strokecolor="#ffff00"/>
            <v:rect style="position:absolute;left:7578;top:3042;width:726;height:170" filled="true" fillcolor="#ffff00" stroked="false">
              <v:fill type="solid"/>
            </v:rect>
            <v:line style="position:absolute" from="7572,3212" to="7572,3382" stroked="true" strokeweight=".56748pt" strokecolor="#ffff00"/>
            <v:rect style="position:absolute;left:7578;top:3212;width:726;height:170" filled="true" fillcolor="#ffff00" stroked="false">
              <v:fill type="solid"/>
            </v:rect>
            <v:line style="position:absolute" from="7572,3382" to="7572,3552" stroked="true" strokeweight=".56748pt" strokecolor="#ffff00"/>
            <v:rect style="position:absolute;left:7578;top:3382;width:726;height:170" filled="true" fillcolor="#ffff00" stroked="false">
              <v:fill type="solid"/>
            </v:rect>
            <v:line style="position:absolute" from="7572,3552" to="7572,3722" stroked="true" strokeweight=".56748pt" strokecolor="#ffff00"/>
            <v:rect style="position:absolute;left:7578;top:3552;width:726;height:170" filled="true" fillcolor="#ffff00" stroked="false">
              <v:fill type="solid"/>
            </v:rect>
            <v:line style="position:absolute" from="7572,3722" to="7572,3892" stroked="true" strokeweight=".56748pt" strokecolor="#ffff00"/>
            <v:rect style="position:absolute;left:7578;top:3722;width:726;height:170" filled="true" fillcolor="#ffff00" stroked="false">
              <v:fill type="solid"/>
            </v:rect>
            <v:line style="position:absolute" from="7572,3892" to="7572,4232" stroked="true" strokeweight=".56748pt" strokecolor="#ffff00"/>
            <v:rect style="position:absolute;left:7578;top:3892;width:726;height:340" filled="true" fillcolor="#ffff00" stroked="false">
              <v:fill type="solid"/>
            </v:rect>
            <w10:wrap type="none"/>
          </v:group>
        </w:pict>
      </w:r>
      <w:r>
        <w:rPr/>
        <w:t>Tabla 6. Estructura del índice de sustentabilidad ambiental.</w:t>
      </w:r>
    </w:p>
    <w:p>
      <w:pPr>
        <w:pStyle w:val="BodyText"/>
        <w:spacing w:before="7"/>
        <w:rPr>
          <w:sz w:val="11"/>
        </w:rPr>
      </w:pP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2"/>
        <w:gridCol w:w="1999"/>
        <w:gridCol w:w="2813"/>
        <w:gridCol w:w="727"/>
        <w:gridCol w:w="702"/>
      </w:tblGrid>
      <w:tr>
        <w:trPr>
          <w:trHeight w:val="448" w:hRule="exact"/>
        </w:trPr>
        <w:tc>
          <w:tcPr>
            <w:tcW w:w="7003" w:type="dxa"/>
            <w:gridSpan w:val="5"/>
            <w:tcBorders>
              <w:bottom w:val="nil"/>
            </w:tcBorders>
            <w:shd w:val="clear" w:color="auto" w:fill="000000"/>
          </w:tcPr>
          <w:p>
            <w:pPr>
              <w:pStyle w:val="TableParagraph"/>
              <w:spacing w:before="6"/>
              <w:jc w:val="left"/>
              <w:rPr>
                <w:sz w:val="11"/>
              </w:rPr>
            </w:pPr>
          </w:p>
          <w:p>
            <w:pPr>
              <w:pStyle w:val="TableParagraph"/>
              <w:ind w:left="2329" w:right="2327"/>
              <w:rPr>
                <w:b/>
                <w:sz w:val="13"/>
              </w:rPr>
            </w:pPr>
            <w:r>
              <w:rPr>
                <w:b/>
                <w:color w:val="FFFFFF"/>
                <w:w w:val="105"/>
                <w:sz w:val="13"/>
              </w:rPr>
              <w:t>Índice de sustentabilidad ambiental</w:t>
            </w:r>
          </w:p>
        </w:tc>
      </w:tr>
      <w:tr>
        <w:trPr>
          <w:trHeight w:val="176" w:hRule="exact"/>
        </w:trPr>
        <w:tc>
          <w:tcPr>
            <w:tcW w:w="762" w:type="dxa"/>
            <w:tcBorders>
              <w:top w:val="single" w:sz="5" w:space="0" w:color="FFFFFF"/>
              <w:left w:val="single" w:sz="5" w:space="0" w:color="000000"/>
            </w:tcBorders>
            <w:shd w:val="clear" w:color="auto" w:fill="808080"/>
          </w:tcPr>
          <w:p>
            <w:pPr>
              <w:pStyle w:val="TableParagraph"/>
              <w:spacing w:line="147" w:lineRule="exact"/>
              <w:ind w:left="92" w:right="47"/>
              <w:rPr>
                <w:b/>
                <w:sz w:val="13"/>
              </w:rPr>
            </w:pPr>
            <w:r>
              <w:rPr>
                <w:b/>
                <w:color w:val="FFFFFF"/>
                <w:w w:val="105"/>
                <w:sz w:val="13"/>
              </w:rPr>
              <w:t>Índice</w:t>
            </w:r>
          </w:p>
        </w:tc>
        <w:tc>
          <w:tcPr>
            <w:tcW w:w="1999" w:type="dxa"/>
            <w:tcBorders>
              <w:top w:val="single" w:sz="5" w:space="0" w:color="FFFFFF"/>
            </w:tcBorders>
            <w:shd w:val="clear" w:color="auto" w:fill="808080"/>
          </w:tcPr>
          <w:p>
            <w:pPr>
              <w:pStyle w:val="TableParagraph"/>
              <w:spacing w:line="147" w:lineRule="exact"/>
              <w:ind w:left="71"/>
              <w:jc w:val="left"/>
              <w:rPr>
                <w:b/>
                <w:sz w:val="13"/>
              </w:rPr>
            </w:pPr>
            <w:r>
              <w:rPr>
                <w:b/>
                <w:color w:val="FFFFFF"/>
                <w:w w:val="105"/>
                <w:sz w:val="13"/>
              </w:rPr>
              <w:t>Subíndice</w:t>
            </w:r>
          </w:p>
        </w:tc>
        <w:tc>
          <w:tcPr>
            <w:tcW w:w="2813" w:type="dxa"/>
            <w:tcBorders>
              <w:top w:val="single" w:sz="5" w:space="0" w:color="FFFFFF"/>
            </w:tcBorders>
            <w:shd w:val="clear" w:color="auto" w:fill="808080"/>
          </w:tcPr>
          <w:p>
            <w:pPr>
              <w:pStyle w:val="TableParagraph"/>
              <w:spacing w:line="147" w:lineRule="exact"/>
              <w:ind w:left="419" w:right="977"/>
              <w:jc w:val="left"/>
              <w:rPr>
                <w:b/>
                <w:sz w:val="13"/>
              </w:rPr>
            </w:pPr>
            <w:r>
              <w:rPr>
                <w:b/>
                <w:color w:val="FFFFFF"/>
                <w:w w:val="105"/>
                <w:sz w:val="13"/>
              </w:rPr>
              <w:t>Indicador</w:t>
            </w:r>
          </w:p>
        </w:tc>
        <w:tc>
          <w:tcPr>
            <w:tcW w:w="1429" w:type="dxa"/>
            <w:gridSpan w:val="2"/>
            <w:tcBorders>
              <w:top w:val="single" w:sz="5" w:space="0" w:color="FFFFFF"/>
              <w:right w:val="single" w:sz="9" w:space="0" w:color="000000"/>
            </w:tcBorders>
            <w:shd w:val="clear" w:color="auto" w:fill="808080"/>
          </w:tcPr>
          <w:p>
            <w:pPr>
              <w:pStyle w:val="TableParagraph"/>
              <w:spacing w:line="147" w:lineRule="exact"/>
              <w:ind w:left="476"/>
              <w:jc w:val="left"/>
              <w:rPr>
                <w:b/>
                <w:sz w:val="13"/>
              </w:rPr>
            </w:pPr>
            <w:r>
              <w:rPr>
                <w:b/>
                <w:color w:val="FFFFFF"/>
                <w:w w:val="105"/>
                <w:sz w:val="13"/>
              </w:rPr>
              <w:t>Valores</w:t>
            </w:r>
          </w:p>
        </w:tc>
      </w:tr>
      <w:tr>
        <w:trPr>
          <w:trHeight w:val="232" w:hRule="exact"/>
        </w:trPr>
        <w:tc>
          <w:tcPr>
            <w:tcW w:w="762" w:type="dxa"/>
            <w:vMerge w:val="restart"/>
            <w:tcBorders>
              <w:left w:val="single" w:sz="5" w:space="0" w:color="000000"/>
            </w:tcBorders>
          </w:tcPr>
          <w:p>
            <w:pPr/>
          </w:p>
        </w:tc>
        <w:tc>
          <w:tcPr>
            <w:tcW w:w="1999" w:type="dxa"/>
            <w:vMerge w:val="restart"/>
          </w:tcPr>
          <w:p>
            <w:pPr>
              <w:pStyle w:val="TableParagraph"/>
              <w:jc w:val="left"/>
              <w:rPr>
                <w:sz w:val="14"/>
              </w:rPr>
            </w:pPr>
          </w:p>
          <w:p>
            <w:pPr>
              <w:pStyle w:val="TableParagraph"/>
              <w:jc w:val="left"/>
              <w:rPr>
                <w:sz w:val="14"/>
              </w:rPr>
            </w:pPr>
          </w:p>
          <w:p>
            <w:pPr>
              <w:pStyle w:val="TableParagraph"/>
              <w:spacing w:before="11"/>
              <w:jc w:val="left"/>
              <w:rPr>
                <w:sz w:val="13"/>
              </w:rPr>
            </w:pPr>
          </w:p>
          <w:p>
            <w:pPr>
              <w:pStyle w:val="TableParagraph"/>
              <w:ind w:left="71"/>
              <w:jc w:val="left"/>
              <w:rPr>
                <w:rFonts w:ascii="Calibri"/>
                <w:sz w:val="13"/>
              </w:rPr>
            </w:pPr>
            <w:r>
              <w:rPr>
                <w:rFonts w:ascii="Calibri"/>
                <w:w w:val="105"/>
                <w:sz w:val="13"/>
              </w:rPr>
              <w:t>Autorizaciones</w:t>
            </w:r>
          </w:p>
        </w:tc>
        <w:tc>
          <w:tcPr>
            <w:tcW w:w="2813" w:type="dxa"/>
            <w:vMerge w:val="restart"/>
          </w:tcPr>
          <w:p>
            <w:pPr>
              <w:pStyle w:val="TableParagraph"/>
              <w:spacing w:before="3"/>
              <w:jc w:val="left"/>
              <w:rPr>
                <w:sz w:val="20"/>
              </w:rPr>
            </w:pPr>
          </w:p>
          <w:p>
            <w:pPr>
              <w:pStyle w:val="TableParagraph"/>
              <w:spacing w:line="256" w:lineRule="auto"/>
              <w:ind w:left="419" w:right="977"/>
              <w:jc w:val="left"/>
              <w:rPr>
                <w:rFonts w:ascii="Calibri" w:hAnsi="Calibri"/>
                <w:sz w:val="13"/>
              </w:rPr>
            </w:pPr>
            <w:r>
              <w:rPr>
                <w:rFonts w:ascii="Calibri" w:hAnsi="Calibri"/>
                <w:w w:val="105"/>
                <w:sz w:val="13"/>
              </w:rPr>
              <w:t>Tipo de la vivienda Metros de construcción Metros de terreno</w:t>
            </w:r>
          </w:p>
          <w:p>
            <w:pPr>
              <w:pStyle w:val="TableParagraph"/>
              <w:ind w:left="419" w:right="977"/>
              <w:jc w:val="left"/>
              <w:rPr>
                <w:rFonts w:ascii="Calibri"/>
                <w:sz w:val="13"/>
              </w:rPr>
            </w:pPr>
            <w:r>
              <w:rPr>
                <w:rFonts w:ascii="Calibri"/>
                <w:w w:val="105"/>
                <w:sz w:val="13"/>
              </w:rPr>
              <w:t>Plan ambiental</w:t>
            </w:r>
          </w:p>
          <w:p>
            <w:pPr>
              <w:pStyle w:val="TableParagraph"/>
              <w:spacing w:before="13"/>
              <w:ind w:right="111"/>
              <w:jc w:val="right"/>
              <w:rPr>
                <w:sz w:val="13"/>
              </w:rPr>
            </w:pPr>
            <w:r>
              <w:rPr>
                <w:color w:val="808080"/>
                <w:sz w:val="13"/>
              </w:rPr>
              <w:t>Subtotal</w:t>
            </w:r>
          </w:p>
        </w:tc>
        <w:tc>
          <w:tcPr>
            <w:tcW w:w="727" w:type="dxa"/>
            <w:tcBorders>
              <w:right w:val="single" w:sz="5" w:space="0" w:color="FFFFFF"/>
            </w:tcBorders>
            <w:shd w:val="clear" w:color="auto" w:fill="FFFF00"/>
          </w:tcPr>
          <w:p>
            <w:pPr>
              <w:pStyle w:val="TableParagraph"/>
              <w:spacing w:before="65"/>
              <w:ind w:left="46" w:right="34"/>
              <w:rPr>
                <w:b/>
                <w:sz w:val="13"/>
              </w:rPr>
            </w:pPr>
            <w:r>
              <w:rPr>
                <w:b/>
                <w:w w:val="105"/>
                <w:sz w:val="13"/>
              </w:rPr>
              <w:t>Deseable</w:t>
            </w:r>
          </w:p>
        </w:tc>
        <w:tc>
          <w:tcPr>
            <w:tcW w:w="702" w:type="dxa"/>
            <w:tcBorders>
              <w:left w:val="single" w:sz="5" w:space="0" w:color="FFFFFF"/>
              <w:right w:val="single" w:sz="9" w:space="0" w:color="000000"/>
            </w:tcBorders>
            <w:shd w:val="clear" w:color="auto" w:fill="67ED4D"/>
          </w:tcPr>
          <w:p>
            <w:pPr>
              <w:pStyle w:val="TableParagraph"/>
              <w:spacing w:before="65"/>
              <w:ind w:left="97" w:right="70"/>
              <w:rPr>
                <w:b/>
                <w:sz w:val="13"/>
              </w:rPr>
            </w:pPr>
            <w:r>
              <w:rPr>
                <w:b/>
                <w:w w:val="105"/>
                <w:sz w:val="13"/>
              </w:rPr>
              <w:t>Óptimo</w:t>
            </w:r>
          </w:p>
        </w:tc>
      </w:tr>
      <w:tr>
        <w:trPr>
          <w:trHeight w:val="172" w:hRule="exact"/>
        </w:trPr>
        <w:tc>
          <w:tcPr>
            <w:tcW w:w="762" w:type="dxa"/>
            <w:vMerge/>
            <w:tcBorders>
              <w:left w:val="single" w:sz="5" w:space="0" w:color="000000"/>
            </w:tcBorders>
          </w:tcPr>
          <w:p>
            <w:pPr/>
          </w:p>
        </w:tc>
        <w:tc>
          <w:tcPr>
            <w:tcW w:w="1999" w:type="dxa"/>
            <w:vMerge/>
          </w:tcPr>
          <w:p>
            <w:pPr/>
          </w:p>
        </w:tc>
        <w:tc>
          <w:tcPr>
            <w:tcW w:w="2813" w:type="dxa"/>
            <w:vMerge/>
          </w:tcPr>
          <w:p>
            <w:pPr/>
          </w:p>
        </w:tc>
        <w:tc>
          <w:tcPr>
            <w:tcW w:w="727" w:type="dxa"/>
            <w:tcBorders>
              <w:right w:val="single" w:sz="5" w:space="0" w:color="FFFFFF"/>
            </w:tcBorders>
            <w:shd w:val="clear" w:color="auto" w:fill="FFFF00"/>
          </w:tcPr>
          <w:p>
            <w:pPr>
              <w:pStyle w:val="TableParagraph"/>
              <w:spacing w:before="1"/>
              <w:ind w:left="46" w:right="28"/>
              <w:rPr>
                <w:rFonts w:ascii="Calibri"/>
                <w:sz w:val="13"/>
              </w:rPr>
            </w:pPr>
            <w:r>
              <w:rPr>
                <w:rFonts w:ascii="Calibri"/>
                <w:w w:val="105"/>
                <w:sz w:val="13"/>
              </w:rPr>
              <w:t>0.6</w:t>
            </w:r>
          </w:p>
        </w:tc>
        <w:tc>
          <w:tcPr>
            <w:tcW w:w="702" w:type="dxa"/>
            <w:tcBorders>
              <w:left w:val="single" w:sz="5" w:space="0" w:color="FFFFFF"/>
              <w:right w:val="single" w:sz="9" w:space="0" w:color="000000"/>
            </w:tcBorders>
            <w:shd w:val="clear" w:color="auto" w:fill="67ED4D"/>
          </w:tcPr>
          <w:p>
            <w:pPr>
              <w:pStyle w:val="TableParagraph"/>
              <w:spacing w:before="1"/>
              <w:ind w:left="28"/>
              <w:rPr>
                <w:rFonts w:ascii="Calibri"/>
                <w:sz w:val="13"/>
              </w:rPr>
            </w:pPr>
            <w:r>
              <w:rPr>
                <w:rFonts w:ascii="Calibri"/>
                <w:w w:val="104"/>
                <w:sz w:val="13"/>
              </w:rPr>
              <w:t>1</w:t>
            </w:r>
          </w:p>
        </w:tc>
      </w:tr>
      <w:tr>
        <w:trPr>
          <w:trHeight w:val="170" w:hRule="exact"/>
        </w:trPr>
        <w:tc>
          <w:tcPr>
            <w:tcW w:w="762" w:type="dxa"/>
            <w:vMerge/>
            <w:tcBorders>
              <w:left w:val="single" w:sz="5" w:space="0" w:color="000000"/>
            </w:tcBorders>
          </w:tcPr>
          <w:p>
            <w:pPr/>
          </w:p>
        </w:tc>
        <w:tc>
          <w:tcPr>
            <w:tcW w:w="1999" w:type="dxa"/>
            <w:vMerge/>
          </w:tcPr>
          <w:p>
            <w:pPr/>
          </w:p>
        </w:tc>
        <w:tc>
          <w:tcPr>
            <w:tcW w:w="2813" w:type="dxa"/>
            <w:vMerge/>
          </w:tcPr>
          <w:p>
            <w:pPr/>
          </w:p>
        </w:tc>
        <w:tc>
          <w:tcPr>
            <w:tcW w:w="727" w:type="dxa"/>
            <w:tcBorders>
              <w:right w:val="single" w:sz="5" w:space="0" w:color="FFFFFF"/>
            </w:tcBorders>
            <w:shd w:val="clear" w:color="auto" w:fill="FFFF00"/>
          </w:tcPr>
          <w:p>
            <w:pPr>
              <w:pStyle w:val="TableParagraph"/>
              <w:spacing w:line="158" w:lineRule="exact"/>
              <w:ind w:left="28"/>
              <w:rPr>
                <w:rFonts w:ascii="Calibri"/>
                <w:sz w:val="13"/>
              </w:rPr>
            </w:pPr>
            <w:r>
              <w:rPr>
                <w:rFonts w:ascii="Calibri"/>
                <w:w w:val="104"/>
                <w:sz w:val="13"/>
              </w:rPr>
              <w:t>1</w:t>
            </w:r>
          </w:p>
        </w:tc>
        <w:tc>
          <w:tcPr>
            <w:tcW w:w="702" w:type="dxa"/>
            <w:tcBorders>
              <w:left w:val="single" w:sz="5" w:space="0" w:color="FFFFFF"/>
              <w:right w:val="single" w:sz="9" w:space="0" w:color="000000"/>
            </w:tcBorders>
            <w:shd w:val="clear" w:color="auto" w:fill="67ED4D"/>
          </w:tcPr>
          <w:p>
            <w:pPr>
              <w:pStyle w:val="TableParagraph"/>
              <w:spacing w:line="158" w:lineRule="exact"/>
              <w:ind w:left="28"/>
              <w:rPr>
                <w:rFonts w:ascii="Calibri"/>
                <w:sz w:val="13"/>
              </w:rPr>
            </w:pPr>
            <w:r>
              <w:rPr>
                <w:rFonts w:ascii="Calibri"/>
                <w:w w:val="104"/>
                <w:sz w:val="13"/>
              </w:rPr>
              <w:t>1</w:t>
            </w:r>
          </w:p>
        </w:tc>
      </w:tr>
      <w:tr>
        <w:trPr>
          <w:trHeight w:val="170" w:hRule="exact"/>
        </w:trPr>
        <w:tc>
          <w:tcPr>
            <w:tcW w:w="762" w:type="dxa"/>
            <w:vMerge/>
            <w:tcBorders>
              <w:left w:val="single" w:sz="5" w:space="0" w:color="000000"/>
            </w:tcBorders>
          </w:tcPr>
          <w:p>
            <w:pPr/>
          </w:p>
        </w:tc>
        <w:tc>
          <w:tcPr>
            <w:tcW w:w="1999" w:type="dxa"/>
            <w:vMerge/>
          </w:tcPr>
          <w:p>
            <w:pPr/>
          </w:p>
        </w:tc>
        <w:tc>
          <w:tcPr>
            <w:tcW w:w="2813" w:type="dxa"/>
            <w:vMerge/>
          </w:tcPr>
          <w:p>
            <w:pPr/>
          </w:p>
        </w:tc>
        <w:tc>
          <w:tcPr>
            <w:tcW w:w="727" w:type="dxa"/>
            <w:tcBorders>
              <w:right w:val="single" w:sz="5" w:space="0" w:color="FFFFFF"/>
            </w:tcBorders>
            <w:shd w:val="clear" w:color="auto" w:fill="FFFF00"/>
          </w:tcPr>
          <w:p>
            <w:pPr>
              <w:pStyle w:val="TableParagraph"/>
              <w:spacing w:line="158" w:lineRule="exact"/>
              <w:ind w:left="28"/>
              <w:rPr>
                <w:rFonts w:ascii="Calibri"/>
                <w:sz w:val="13"/>
              </w:rPr>
            </w:pPr>
            <w:r>
              <w:rPr>
                <w:rFonts w:ascii="Calibri"/>
                <w:w w:val="104"/>
                <w:sz w:val="13"/>
              </w:rPr>
              <w:t>1</w:t>
            </w:r>
          </w:p>
        </w:tc>
        <w:tc>
          <w:tcPr>
            <w:tcW w:w="702" w:type="dxa"/>
            <w:tcBorders>
              <w:left w:val="single" w:sz="5" w:space="0" w:color="FFFFFF"/>
              <w:right w:val="single" w:sz="9" w:space="0" w:color="000000"/>
            </w:tcBorders>
            <w:shd w:val="clear" w:color="auto" w:fill="67ED4D"/>
          </w:tcPr>
          <w:p>
            <w:pPr>
              <w:pStyle w:val="TableParagraph"/>
              <w:spacing w:line="158" w:lineRule="exact"/>
              <w:ind w:left="28"/>
              <w:rPr>
                <w:rFonts w:ascii="Calibri"/>
                <w:sz w:val="13"/>
              </w:rPr>
            </w:pPr>
            <w:r>
              <w:rPr>
                <w:rFonts w:ascii="Calibri"/>
                <w:w w:val="104"/>
                <w:sz w:val="13"/>
              </w:rPr>
              <w:t>1</w:t>
            </w:r>
          </w:p>
        </w:tc>
      </w:tr>
      <w:tr>
        <w:trPr>
          <w:trHeight w:val="170" w:hRule="exact"/>
        </w:trPr>
        <w:tc>
          <w:tcPr>
            <w:tcW w:w="762" w:type="dxa"/>
            <w:vMerge/>
            <w:tcBorders>
              <w:left w:val="single" w:sz="5" w:space="0" w:color="000000"/>
            </w:tcBorders>
          </w:tcPr>
          <w:p>
            <w:pPr/>
          </w:p>
        </w:tc>
        <w:tc>
          <w:tcPr>
            <w:tcW w:w="1999" w:type="dxa"/>
            <w:vMerge/>
          </w:tcPr>
          <w:p>
            <w:pPr/>
          </w:p>
        </w:tc>
        <w:tc>
          <w:tcPr>
            <w:tcW w:w="2813" w:type="dxa"/>
            <w:vMerge/>
          </w:tcPr>
          <w:p>
            <w:pPr/>
          </w:p>
        </w:tc>
        <w:tc>
          <w:tcPr>
            <w:tcW w:w="727" w:type="dxa"/>
            <w:tcBorders>
              <w:right w:val="single" w:sz="5" w:space="0" w:color="FFFFFF"/>
            </w:tcBorders>
            <w:shd w:val="clear" w:color="auto" w:fill="FFFF00"/>
          </w:tcPr>
          <w:p>
            <w:pPr>
              <w:pStyle w:val="TableParagraph"/>
              <w:spacing w:line="158" w:lineRule="exact"/>
              <w:ind w:left="28"/>
              <w:rPr>
                <w:rFonts w:ascii="Calibri"/>
                <w:sz w:val="13"/>
              </w:rPr>
            </w:pPr>
            <w:r>
              <w:rPr>
                <w:rFonts w:ascii="Calibri"/>
                <w:w w:val="104"/>
                <w:sz w:val="13"/>
              </w:rPr>
              <w:t>1</w:t>
            </w:r>
          </w:p>
        </w:tc>
        <w:tc>
          <w:tcPr>
            <w:tcW w:w="702" w:type="dxa"/>
            <w:tcBorders>
              <w:left w:val="single" w:sz="5" w:space="0" w:color="FFFFFF"/>
              <w:right w:val="single" w:sz="9" w:space="0" w:color="000000"/>
            </w:tcBorders>
            <w:shd w:val="clear" w:color="auto" w:fill="67ED4D"/>
          </w:tcPr>
          <w:p>
            <w:pPr>
              <w:pStyle w:val="TableParagraph"/>
              <w:spacing w:line="158" w:lineRule="exact"/>
              <w:ind w:left="28"/>
              <w:rPr>
                <w:rFonts w:ascii="Calibri"/>
                <w:sz w:val="13"/>
              </w:rPr>
            </w:pPr>
            <w:r>
              <w:rPr>
                <w:rFonts w:ascii="Calibri"/>
                <w:w w:val="104"/>
                <w:sz w:val="13"/>
              </w:rPr>
              <w:t>1</w:t>
            </w:r>
          </w:p>
        </w:tc>
      </w:tr>
      <w:tr>
        <w:trPr>
          <w:trHeight w:val="174" w:hRule="exact"/>
        </w:trPr>
        <w:tc>
          <w:tcPr>
            <w:tcW w:w="762" w:type="dxa"/>
            <w:vMerge/>
            <w:tcBorders>
              <w:left w:val="single" w:sz="5" w:space="0" w:color="000000"/>
            </w:tcBorders>
          </w:tcPr>
          <w:p>
            <w:pPr/>
          </w:p>
        </w:tc>
        <w:tc>
          <w:tcPr>
            <w:tcW w:w="1999" w:type="dxa"/>
            <w:vMerge/>
          </w:tcPr>
          <w:p>
            <w:pPr/>
          </w:p>
        </w:tc>
        <w:tc>
          <w:tcPr>
            <w:tcW w:w="2813" w:type="dxa"/>
            <w:vMerge/>
          </w:tcPr>
          <w:p>
            <w:pPr/>
          </w:p>
        </w:tc>
        <w:tc>
          <w:tcPr>
            <w:tcW w:w="727" w:type="dxa"/>
            <w:tcBorders>
              <w:right w:val="single" w:sz="5" w:space="0" w:color="FFFFFF"/>
            </w:tcBorders>
            <w:shd w:val="clear" w:color="auto" w:fill="FFFF00"/>
          </w:tcPr>
          <w:p>
            <w:pPr>
              <w:pStyle w:val="TableParagraph"/>
              <w:spacing w:line="158" w:lineRule="exact"/>
              <w:ind w:left="46" w:right="28"/>
              <w:rPr>
                <w:rFonts w:ascii="Calibri"/>
                <w:sz w:val="13"/>
              </w:rPr>
            </w:pPr>
            <w:r>
              <w:rPr>
                <w:rFonts w:ascii="Calibri"/>
                <w:w w:val="105"/>
                <w:sz w:val="13"/>
              </w:rPr>
              <w:t>3.6</w:t>
            </w:r>
          </w:p>
        </w:tc>
        <w:tc>
          <w:tcPr>
            <w:tcW w:w="702" w:type="dxa"/>
            <w:tcBorders>
              <w:left w:val="single" w:sz="5" w:space="0" w:color="FFFFFF"/>
              <w:right w:val="single" w:sz="9" w:space="0" w:color="000000"/>
            </w:tcBorders>
            <w:shd w:val="clear" w:color="auto" w:fill="67ED4D"/>
          </w:tcPr>
          <w:p>
            <w:pPr>
              <w:pStyle w:val="TableParagraph"/>
              <w:spacing w:line="158" w:lineRule="exact"/>
              <w:ind w:left="28"/>
              <w:rPr>
                <w:rFonts w:ascii="Calibri"/>
                <w:sz w:val="13"/>
              </w:rPr>
            </w:pPr>
            <w:r>
              <w:rPr>
                <w:rFonts w:ascii="Calibri"/>
                <w:w w:val="104"/>
                <w:sz w:val="13"/>
              </w:rPr>
              <w:t>4</w:t>
            </w:r>
          </w:p>
        </w:tc>
      </w:tr>
      <w:tr>
        <w:trPr>
          <w:trHeight w:val="159" w:hRule="exact"/>
        </w:trPr>
        <w:tc>
          <w:tcPr>
            <w:tcW w:w="7003" w:type="dxa"/>
            <w:gridSpan w:val="5"/>
            <w:tcBorders>
              <w:left w:val="single" w:sz="5" w:space="0" w:color="000000"/>
              <w:right w:val="single" w:sz="9" w:space="0" w:color="000000"/>
            </w:tcBorders>
          </w:tcPr>
          <w:p>
            <w:pPr/>
          </w:p>
        </w:tc>
      </w:tr>
      <w:tr>
        <w:trPr>
          <w:trHeight w:val="175" w:hRule="exact"/>
        </w:trPr>
        <w:tc>
          <w:tcPr>
            <w:tcW w:w="762" w:type="dxa"/>
            <w:tcBorders>
              <w:left w:val="single" w:sz="5" w:space="0" w:color="000000"/>
            </w:tcBorders>
          </w:tcPr>
          <w:p>
            <w:pPr/>
          </w:p>
        </w:tc>
        <w:tc>
          <w:tcPr>
            <w:tcW w:w="1999" w:type="dxa"/>
          </w:tcPr>
          <w:p>
            <w:pPr>
              <w:pStyle w:val="TableParagraph"/>
              <w:spacing w:before="6"/>
              <w:ind w:left="71"/>
              <w:jc w:val="left"/>
              <w:rPr>
                <w:rFonts w:ascii="Calibri"/>
                <w:sz w:val="13"/>
              </w:rPr>
            </w:pPr>
            <w:r>
              <w:rPr>
                <w:rFonts w:ascii="Calibri"/>
                <w:w w:val="105"/>
                <w:sz w:val="13"/>
              </w:rPr>
              <w:t>Agua</w:t>
            </w:r>
          </w:p>
        </w:tc>
        <w:tc>
          <w:tcPr>
            <w:tcW w:w="2813" w:type="dxa"/>
          </w:tcPr>
          <w:p>
            <w:pPr>
              <w:pStyle w:val="TableParagraph"/>
              <w:spacing w:before="6"/>
              <w:ind w:left="419" w:right="977"/>
              <w:jc w:val="left"/>
              <w:rPr>
                <w:rFonts w:ascii="Calibri"/>
                <w:sz w:val="13"/>
              </w:rPr>
            </w:pPr>
            <w:r>
              <w:rPr>
                <w:rFonts w:ascii="Calibri"/>
                <w:w w:val="105"/>
                <w:sz w:val="13"/>
              </w:rPr>
              <w:t>Tipo de abastecimiento</w:t>
            </w:r>
          </w:p>
        </w:tc>
        <w:tc>
          <w:tcPr>
            <w:tcW w:w="727" w:type="dxa"/>
          </w:tcPr>
          <w:p>
            <w:pPr>
              <w:pStyle w:val="TableParagraph"/>
              <w:spacing w:before="6"/>
              <w:ind w:left="262" w:right="250"/>
              <w:rPr>
                <w:rFonts w:ascii="Calibri"/>
                <w:sz w:val="13"/>
              </w:rPr>
            </w:pPr>
            <w:r>
              <w:rPr>
                <w:rFonts w:ascii="Calibri"/>
                <w:w w:val="105"/>
                <w:sz w:val="13"/>
              </w:rPr>
              <w:t>0.7</w:t>
            </w:r>
          </w:p>
        </w:tc>
        <w:tc>
          <w:tcPr>
            <w:tcW w:w="702" w:type="dxa"/>
            <w:tcBorders>
              <w:right w:val="single" w:sz="9" w:space="0" w:color="000000"/>
            </w:tcBorders>
            <w:shd w:val="clear" w:color="auto" w:fill="67ED4D"/>
          </w:tcPr>
          <w:p>
            <w:pPr>
              <w:pStyle w:val="TableParagraph"/>
              <w:spacing w:before="6"/>
              <w:ind w:left="34"/>
              <w:rPr>
                <w:rFonts w:ascii="Calibri"/>
                <w:sz w:val="13"/>
              </w:rPr>
            </w:pPr>
            <w:r>
              <w:rPr>
                <w:rFonts w:ascii="Calibri"/>
                <w:w w:val="104"/>
                <w:sz w:val="13"/>
              </w:rPr>
              <w:t>1</w:t>
            </w:r>
          </w:p>
        </w:tc>
      </w:tr>
      <w:tr>
        <w:trPr>
          <w:trHeight w:val="176" w:hRule="exact"/>
        </w:trPr>
        <w:tc>
          <w:tcPr>
            <w:tcW w:w="762" w:type="dxa"/>
            <w:tcBorders>
              <w:left w:val="single" w:sz="5" w:space="0" w:color="000000"/>
            </w:tcBorders>
          </w:tcPr>
          <w:p>
            <w:pPr/>
          </w:p>
        </w:tc>
        <w:tc>
          <w:tcPr>
            <w:tcW w:w="1999" w:type="dxa"/>
          </w:tcPr>
          <w:p>
            <w:pPr/>
          </w:p>
        </w:tc>
        <w:tc>
          <w:tcPr>
            <w:tcW w:w="2813" w:type="dxa"/>
          </w:tcPr>
          <w:p>
            <w:pPr>
              <w:pStyle w:val="TableParagraph"/>
              <w:spacing w:before="3"/>
              <w:ind w:right="111"/>
              <w:jc w:val="right"/>
              <w:rPr>
                <w:sz w:val="13"/>
              </w:rPr>
            </w:pPr>
            <w:r>
              <w:rPr>
                <w:color w:val="808080"/>
                <w:sz w:val="13"/>
              </w:rPr>
              <w:t>Subtotal</w:t>
            </w:r>
          </w:p>
        </w:tc>
        <w:tc>
          <w:tcPr>
            <w:tcW w:w="727" w:type="dxa"/>
          </w:tcPr>
          <w:p>
            <w:pPr>
              <w:pStyle w:val="TableParagraph"/>
              <w:spacing w:before="1"/>
              <w:ind w:left="262" w:right="250"/>
              <w:rPr>
                <w:rFonts w:ascii="Calibri"/>
                <w:sz w:val="13"/>
              </w:rPr>
            </w:pPr>
            <w:r>
              <w:rPr>
                <w:rFonts w:ascii="Calibri"/>
                <w:w w:val="105"/>
                <w:sz w:val="13"/>
              </w:rPr>
              <w:t>0.7</w:t>
            </w:r>
          </w:p>
        </w:tc>
        <w:tc>
          <w:tcPr>
            <w:tcW w:w="702" w:type="dxa"/>
            <w:tcBorders>
              <w:right w:val="single" w:sz="9" w:space="0" w:color="000000"/>
            </w:tcBorders>
            <w:shd w:val="clear" w:color="auto" w:fill="67ED4D"/>
          </w:tcPr>
          <w:p>
            <w:pPr>
              <w:pStyle w:val="TableParagraph"/>
              <w:spacing w:before="1"/>
              <w:ind w:left="34"/>
              <w:rPr>
                <w:rFonts w:ascii="Calibri"/>
                <w:sz w:val="13"/>
              </w:rPr>
            </w:pPr>
            <w:r>
              <w:rPr>
                <w:rFonts w:ascii="Calibri"/>
                <w:w w:val="104"/>
                <w:sz w:val="13"/>
              </w:rPr>
              <w:t>1</w:t>
            </w:r>
          </w:p>
        </w:tc>
      </w:tr>
      <w:tr>
        <w:trPr>
          <w:trHeight w:val="159" w:hRule="exact"/>
        </w:trPr>
        <w:tc>
          <w:tcPr>
            <w:tcW w:w="7003" w:type="dxa"/>
            <w:gridSpan w:val="5"/>
            <w:tcBorders>
              <w:left w:val="single" w:sz="5" w:space="0" w:color="000000"/>
              <w:right w:val="single" w:sz="9" w:space="0" w:color="000000"/>
            </w:tcBorders>
          </w:tcPr>
          <w:p>
            <w:pPr/>
          </w:p>
        </w:tc>
      </w:tr>
      <w:tr>
        <w:trPr>
          <w:trHeight w:val="177" w:hRule="exact"/>
        </w:trPr>
        <w:tc>
          <w:tcPr>
            <w:tcW w:w="762" w:type="dxa"/>
            <w:tcBorders>
              <w:left w:val="single" w:sz="5" w:space="0" w:color="000000"/>
            </w:tcBorders>
          </w:tcPr>
          <w:p>
            <w:pPr/>
          </w:p>
        </w:tc>
        <w:tc>
          <w:tcPr>
            <w:tcW w:w="1999" w:type="dxa"/>
          </w:tcPr>
          <w:p>
            <w:pPr/>
          </w:p>
        </w:tc>
        <w:tc>
          <w:tcPr>
            <w:tcW w:w="2813" w:type="dxa"/>
          </w:tcPr>
          <w:p>
            <w:pPr>
              <w:pStyle w:val="TableParagraph"/>
              <w:spacing w:before="6"/>
              <w:ind w:left="419" w:right="977"/>
              <w:jc w:val="left"/>
              <w:rPr>
                <w:rFonts w:ascii="Calibri"/>
                <w:sz w:val="13"/>
              </w:rPr>
            </w:pPr>
            <w:r>
              <w:rPr>
                <w:rFonts w:ascii="Calibri"/>
                <w:w w:val="105"/>
                <w:sz w:val="13"/>
              </w:rPr>
              <w:t>Agua potable</w:t>
            </w:r>
          </w:p>
        </w:tc>
        <w:tc>
          <w:tcPr>
            <w:tcW w:w="727" w:type="dxa"/>
          </w:tcPr>
          <w:p>
            <w:pPr>
              <w:pStyle w:val="TableParagraph"/>
              <w:spacing w:before="6"/>
              <w:ind w:left="262" w:right="250"/>
              <w:rPr>
                <w:rFonts w:ascii="Calibri"/>
                <w:sz w:val="13"/>
              </w:rPr>
            </w:pPr>
            <w:r>
              <w:rPr>
                <w:rFonts w:ascii="Calibri"/>
                <w:w w:val="105"/>
                <w:sz w:val="13"/>
              </w:rPr>
              <w:t>0.5</w:t>
            </w:r>
          </w:p>
        </w:tc>
        <w:tc>
          <w:tcPr>
            <w:tcW w:w="702" w:type="dxa"/>
            <w:tcBorders>
              <w:right w:val="single" w:sz="9" w:space="0" w:color="000000"/>
            </w:tcBorders>
            <w:shd w:val="clear" w:color="auto" w:fill="67ED4D"/>
          </w:tcPr>
          <w:p>
            <w:pPr>
              <w:pStyle w:val="TableParagraph"/>
              <w:spacing w:before="6"/>
              <w:ind w:left="34"/>
              <w:rPr>
                <w:rFonts w:ascii="Calibri"/>
                <w:sz w:val="13"/>
              </w:rPr>
            </w:pPr>
            <w:r>
              <w:rPr>
                <w:rFonts w:ascii="Calibri"/>
                <w:w w:val="104"/>
                <w:sz w:val="13"/>
              </w:rPr>
              <w:t>1</w:t>
            </w:r>
          </w:p>
        </w:tc>
      </w:tr>
      <w:tr>
        <w:trPr>
          <w:trHeight w:val="170" w:hRule="exact"/>
        </w:trPr>
        <w:tc>
          <w:tcPr>
            <w:tcW w:w="762" w:type="dxa"/>
            <w:tcBorders>
              <w:left w:val="single" w:sz="5" w:space="0" w:color="000000"/>
            </w:tcBorders>
          </w:tcPr>
          <w:p>
            <w:pPr/>
          </w:p>
        </w:tc>
        <w:tc>
          <w:tcPr>
            <w:tcW w:w="1999" w:type="dxa"/>
          </w:tcPr>
          <w:p>
            <w:pPr/>
          </w:p>
        </w:tc>
        <w:tc>
          <w:tcPr>
            <w:tcW w:w="2813" w:type="dxa"/>
          </w:tcPr>
          <w:p>
            <w:pPr>
              <w:pStyle w:val="TableParagraph"/>
              <w:spacing w:line="158" w:lineRule="exact"/>
              <w:ind w:left="419" w:right="977"/>
              <w:jc w:val="left"/>
              <w:rPr>
                <w:rFonts w:ascii="Calibri" w:hAnsi="Calibri"/>
                <w:sz w:val="13"/>
              </w:rPr>
            </w:pPr>
            <w:r>
              <w:rPr>
                <w:rFonts w:ascii="Calibri" w:hAnsi="Calibri"/>
                <w:w w:val="105"/>
                <w:sz w:val="13"/>
              </w:rPr>
              <w:t>Energía eléctrica</w:t>
            </w:r>
          </w:p>
        </w:tc>
        <w:tc>
          <w:tcPr>
            <w:tcW w:w="727" w:type="dxa"/>
          </w:tcPr>
          <w:p>
            <w:pPr>
              <w:pStyle w:val="TableParagraph"/>
              <w:spacing w:line="158" w:lineRule="exact"/>
              <w:ind w:left="262" w:right="250"/>
              <w:rPr>
                <w:rFonts w:ascii="Calibri"/>
                <w:sz w:val="13"/>
              </w:rPr>
            </w:pPr>
            <w:r>
              <w:rPr>
                <w:rFonts w:ascii="Calibri"/>
                <w:w w:val="105"/>
                <w:sz w:val="13"/>
              </w:rPr>
              <w:t>0.5</w:t>
            </w:r>
          </w:p>
        </w:tc>
        <w:tc>
          <w:tcPr>
            <w:tcW w:w="702" w:type="dxa"/>
            <w:tcBorders>
              <w:right w:val="single" w:sz="9" w:space="0" w:color="000000"/>
            </w:tcBorders>
            <w:shd w:val="clear" w:color="auto" w:fill="67ED4D"/>
          </w:tcPr>
          <w:p>
            <w:pPr>
              <w:pStyle w:val="TableParagraph"/>
              <w:spacing w:line="158" w:lineRule="exact"/>
              <w:ind w:left="34"/>
              <w:rPr>
                <w:rFonts w:ascii="Calibri"/>
                <w:sz w:val="13"/>
              </w:rPr>
            </w:pPr>
            <w:r>
              <w:rPr>
                <w:rFonts w:ascii="Calibri"/>
                <w:w w:val="104"/>
                <w:sz w:val="13"/>
              </w:rPr>
              <w:t>1</w:t>
            </w:r>
          </w:p>
        </w:tc>
      </w:tr>
      <w:tr>
        <w:trPr>
          <w:trHeight w:val="170" w:hRule="exact"/>
        </w:trPr>
        <w:tc>
          <w:tcPr>
            <w:tcW w:w="762" w:type="dxa"/>
            <w:tcBorders>
              <w:left w:val="single" w:sz="5" w:space="0" w:color="000000"/>
            </w:tcBorders>
          </w:tcPr>
          <w:p>
            <w:pPr/>
          </w:p>
        </w:tc>
        <w:tc>
          <w:tcPr>
            <w:tcW w:w="1999" w:type="dxa"/>
          </w:tcPr>
          <w:p>
            <w:pPr/>
          </w:p>
        </w:tc>
        <w:tc>
          <w:tcPr>
            <w:tcW w:w="2813" w:type="dxa"/>
          </w:tcPr>
          <w:p>
            <w:pPr>
              <w:pStyle w:val="TableParagraph"/>
              <w:spacing w:line="158" w:lineRule="exact"/>
              <w:ind w:left="419" w:right="977"/>
              <w:jc w:val="left"/>
              <w:rPr>
                <w:rFonts w:ascii="Calibri"/>
                <w:sz w:val="13"/>
              </w:rPr>
            </w:pPr>
            <w:r>
              <w:rPr>
                <w:rFonts w:ascii="Calibri"/>
                <w:w w:val="105"/>
                <w:sz w:val="13"/>
              </w:rPr>
              <w:t>Drenaje sanitario</w:t>
            </w:r>
          </w:p>
        </w:tc>
        <w:tc>
          <w:tcPr>
            <w:tcW w:w="727" w:type="dxa"/>
          </w:tcPr>
          <w:p>
            <w:pPr>
              <w:pStyle w:val="TableParagraph"/>
              <w:spacing w:line="158" w:lineRule="exact"/>
              <w:ind w:left="262" w:right="250"/>
              <w:rPr>
                <w:rFonts w:ascii="Calibri"/>
                <w:sz w:val="13"/>
              </w:rPr>
            </w:pPr>
            <w:r>
              <w:rPr>
                <w:rFonts w:ascii="Calibri"/>
                <w:w w:val="105"/>
                <w:sz w:val="13"/>
              </w:rPr>
              <w:t>0.5</w:t>
            </w:r>
          </w:p>
        </w:tc>
        <w:tc>
          <w:tcPr>
            <w:tcW w:w="702" w:type="dxa"/>
            <w:tcBorders>
              <w:right w:val="single" w:sz="9" w:space="0" w:color="000000"/>
            </w:tcBorders>
            <w:shd w:val="clear" w:color="auto" w:fill="67ED4D"/>
          </w:tcPr>
          <w:p>
            <w:pPr>
              <w:pStyle w:val="TableParagraph"/>
              <w:spacing w:line="158" w:lineRule="exact"/>
              <w:ind w:left="34"/>
              <w:rPr>
                <w:rFonts w:ascii="Calibri"/>
                <w:sz w:val="13"/>
              </w:rPr>
            </w:pPr>
            <w:r>
              <w:rPr>
                <w:rFonts w:ascii="Calibri"/>
                <w:w w:val="104"/>
                <w:sz w:val="13"/>
              </w:rPr>
              <w:t>1</w:t>
            </w:r>
          </w:p>
        </w:tc>
      </w:tr>
      <w:tr>
        <w:trPr>
          <w:trHeight w:val="170" w:hRule="exact"/>
        </w:trPr>
        <w:tc>
          <w:tcPr>
            <w:tcW w:w="762" w:type="dxa"/>
            <w:tcBorders>
              <w:left w:val="single" w:sz="5" w:space="0" w:color="000000"/>
            </w:tcBorders>
          </w:tcPr>
          <w:p>
            <w:pPr/>
          </w:p>
        </w:tc>
        <w:tc>
          <w:tcPr>
            <w:tcW w:w="1999" w:type="dxa"/>
          </w:tcPr>
          <w:p>
            <w:pPr>
              <w:pStyle w:val="TableParagraph"/>
              <w:spacing w:line="158" w:lineRule="exact"/>
              <w:ind w:left="71"/>
              <w:jc w:val="left"/>
              <w:rPr>
                <w:rFonts w:ascii="Calibri"/>
                <w:sz w:val="13"/>
              </w:rPr>
            </w:pPr>
            <w:r>
              <w:rPr>
                <w:rFonts w:ascii="Calibri"/>
                <w:w w:val="105"/>
                <w:sz w:val="13"/>
              </w:rPr>
              <w:t>Infraestructura</w:t>
            </w:r>
          </w:p>
        </w:tc>
        <w:tc>
          <w:tcPr>
            <w:tcW w:w="2813" w:type="dxa"/>
          </w:tcPr>
          <w:p>
            <w:pPr>
              <w:pStyle w:val="TableParagraph"/>
              <w:spacing w:line="158" w:lineRule="exact"/>
              <w:ind w:left="419" w:right="977"/>
              <w:jc w:val="left"/>
              <w:rPr>
                <w:rFonts w:ascii="Calibri"/>
                <w:sz w:val="13"/>
              </w:rPr>
            </w:pPr>
            <w:r>
              <w:rPr>
                <w:rFonts w:ascii="Calibri"/>
                <w:w w:val="105"/>
                <w:sz w:val="13"/>
              </w:rPr>
              <w:t>Drenaje pluvial</w:t>
            </w:r>
          </w:p>
        </w:tc>
        <w:tc>
          <w:tcPr>
            <w:tcW w:w="727" w:type="dxa"/>
          </w:tcPr>
          <w:p>
            <w:pPr>
              <w:pStyle w:val="TableParagraph"/>
              <w:spacing w:line="158" w:lineRule="exact"/>
              <w:ind w:left="262" w:right="250"/>
              <w:rPr>
                <w:rFonts w:ascii="Calibri"/>
                <w:sz w:val="13"/>
              </w:rPr>
            </w:pPr>
            <w:r>
              <w:rPr>
                <w:rFonts w:ascii="Calibri"/>
                <w:w w:val="105"/>
                <w:sz w:val="13"/>
              </w:rPr>
              <w:t>0.5</w:t>
            </w:r>
          </w:p>
        </w:tc>
        <w:tc>
          <w:tcPr>
            <w:tcW w:w="702" w:type="dxa"/>
            <w:tcBorders>
              <w:right w:val="single" w:sz="9" w:space="0" w:color="000000"/>
            </w:tcBorders>
            <w:shd w:val="clear" w:color="auto" w:fill="67ED4D"/>
          </w:tcPr>
          <w:p>
            <w:pPr>
              <w:pStyle w:val="TableParagraph"/>
              <w:spacing w:line="158" w:lineRule="exact"/>
              <w:ind w:left="34"/>
              <w:rPr>
                <w:rFonts w:ascii="Calibri"/>
                <w:sz w:val="13"/>
              </w:rPr>
            </w:pPr>
            <w:r>
              <w:rPr>
                <w:rFonts w:ascii="Calibri"/>
                <w:w w:val="104"/>
                <w:sz w:val="13"/>
              </w:rPr>
              <w:t>1</w:t>
            </w:r>
          </w:p>
        </w:tc>
      </w:tr>
      <w:tr>
        <w:trPr>
          <w:trHeight w:val="170" w:hRule="exact"/>
        </w:trPr>
        <w:tc>
          <w:tcPr>
            <w:tcW w:w="762" w:type="dxa"/>
            <w:tcBorders>
              <w:left w:val="single" w:sz="5" w:space="0" w:color="000000"/>
            </w:tcBorders>
          </w:tcPr>
          <w:p>
            <w:pPr/>
          </w:p>
        </w:tc>
        <w:tc>
          <w:tcPr>
            <w:tcW w:w="1999" w:type="dxa"/>
          </w:tcPr>
          <w:p>
            <w:pPr/>
          </w:p>
        </w:tc>
        <w:tc>
          <w:tcPr>
            <w:tcW w:w="2813" w:type="dxa"/>
          </w:tcPr>
          <w:p>
            <w:pPr>
              <w:pStyle w:val="TableParagraph"/>
              <w:spacing w:line="158" w:lineRule="exact"/>
              <w:ind w:left="419" w:right="220"/>
              <w:jc w:val="left"/>
              <w:rPr>
                <w:rFonts w:ascii="Calibri"/>
                <w:sz w:val="13"/>
              </w:rPr>
            </w:pPr>
            <w:r>
              <w:rPr>
                <w:rFonts w:ascii="Calibri"/>
                <w:w w:val="105"/>
                <w:sz w:val="13"/>
              </w:rPr>
              <w:t>Guarniciones y banquetas</w:t>
            </w:r>
          </w:p>
        </w:tc>
        <w:tc>
          <w:tcPr>
            <w:tcW w:w="727" w:type="dxa"/>
          </w:tcPr>
          <w:p>
            <w:pPr>
              <w:pStyle w:val="TableParagraph"/>
              <w:spacing w:line="158" w:lineRule="exact"/>
              <w:ind w:left="262" w:right="250"/>
              <w:rPr>
                <w:rFonts w:ascii="Calibri"/>
                <w:sz w:val="13"/>
              </w:rPr>
            </w:pPr>
            <w:r>
              <w:rPr>
                <w:rFonts w:ascii="Calibri"/>
                <w:w w:val="105"/>
                <w:sz w:val="13"/>
              </w:rPr>
              <w:t>0.5</w:t>
            </w:r>
          </w:p>
        </w:tc>
        <w:tc>
          <w:tcPr>
            <w:tcW w:w="702" w:type="dxa"/>
            <w:tcBorders>
              <w:right w:val="single" w:sz="9" w:space="0" w:color="000000"/>
            </w:tcBorders>
            <w:shd w:val="clear" w:color="auto" w:fill="67ED4D"/>
          </w:tcPr>
          <w:p>
            <w:pPr>
              <w:pStyle w:val="TableParagraph"/>
              <w:spacing w:line="158" w:lineRule="exact"/>
              <w:ind w:left="34"/>
              <w:rPr>
                <w:rFonts w:ascii="Calibri"/>
                <w:sz w:val="13"/>
              </w:rPr>
            </w:pPr>
            <w:r>
              <w:rPr>
                <w:rFonts w:ascii="Calibri"/>
                <w:w w:val="104"/>
                <w:sz w:val="13"/>
              </w:rPr>
              <w:t>1</w:t>
            </w:r>
          </w:p>
        </w:tc>
      </w:tr>
      <w:tr>
        <w:trPr>
          <w:trHeight w:val="170" w:hRule="exact"/>
        </w:trPr>
        <w:tc>
          <w:tcPr>
            <w:tcW w:w="762" w:type="dxa"/>
            <w:tcBorders>
              <w:left w:val="single" w:sz="5" w:space="0" w:color="000000"/>
            </w:tcBorders>
          </w:tcPr>
          <w:p>
            <w:pPr/>
          </w:p>
        </w:tc>
        <w:tc>
          <w:tcPr>
            <w:tcW w:w="1999" w:type="dxa"/>
          </w:tcPr>
          <w:p>
            <w:pPr/>
          </w:p>
        </w:tc>
        <w:tc>
          <w:tcPr>
            <w:tcW w:w="2813" w:type="dxa"/>
          </w:tcPr>
          <w:p>
            <w:pPr>
              <w:pStyle w:val="TableParagraph"/>
              <w:spacing w:line="158" w:lineRule="exact"/>
              <w:ind w:left="419" w:right="977"/>
              <w:jc w:val="left"/>
              <w:rPr>
                <w:rFonts w:ascii="Calibri"/>
                <w:sz w:val="13"/>
              </w:rPr>
            </w:pPr>
            <w:r>
              <w:rPr>
                <w:rFonts w:ascii="Calibri"/>
                <w:w w:val="105"/>
                <w:sz w:val="13"/>
              </w:rPr>
              <w:t>Vialidades y calles</w:t>
            </w:r>
          </w:p>
        </w:tc>
        <w:tc>
          <w:tcPr>
            <w:tcW w:w="727" w:type="dxa"/>
          </w:tcPr>
          <w:p>
            <w:pPr>
              <w:pStyle w:val="TableParagraph"/>
              <w:spacing w:line="158" w:lineRule="exact"/>
              <w:ind w:left="262" w:right="250"/>
              <w:rPr>
                <w:rFonts w:ascii="Calibri"/>
                <w:sz w:val="13"/>
              </w:rPr>
            </w:pPr>
            <w:r>
              <w:rPr>
                <w:rFonts w:ascii="Calibri"/>
                <w:w w:val="105"/>
                <w:sz w:val="13"/>
              </w:rPr>
              <w:t>0.5</w:t>
            </w:r>
          </w:p>
        </w:tc>
        <w:tc>
          <w:tcPr>
            <w:tcW w:w="702" w:type="dxa"/>
            <w:tcBorders>
              <w:right w:val="single" w:sz="9" w:space="0" w:color="000000"/>
            </w:tcBorders>
            <w:shd w:val="clear" w:color="auto" w:fill="67ED4D"/>
          </w:tcPr>
          <w:p>
            <w:pPr>
              <w:pStyle w:val="TableParagraph"/>
              <w:spacing w:line="158" w:lineRule="exact"/>
              <w:ind w:left="34"/>
              <w:rPr>
                <w:rFonts w:ascii="Calibri"/>
                <w:sz w:val="13"/>
              </w:rPr>
            </w:pPr>
            <w:r>
              <w:rPr>
                <w:rFonts w:ascii="Calibri"/>
                <w:w w:val="104"/>
                <w:sz w:val="13"/>
              </w:rPr>
              <w:t>1</w:t>
            </w:r>
          </w:p>
        </w:tc>
      </w:tr>
      <w:tr>
        <w:trPr>
          <w:trHeight w:val="168" w:hRule="exact"/>
        </w:trPr>
        <w:tc>
          <w:tcPr>
            <w:tcW w:w="762" w:type="dxa"/>
            <w:tcBorders>
              <w:left w:val="single" w:sz="5" w:space="0" w:color="000000"/>
            </w:tcBorders>
          </w:tcPr>
          <w:p>
            <w:pPr/>
          </w:p>
        </w:tc>
        <w:tc>
          <w:tcPr>
            <w:tcW w:w="1999" w:type="dxa"/>
          </w:tcPr>
          <w:p>
            <w:pPr/>
          </w:p>
        </w:tc>
        <w:tc>
          <w:tcPr>
            <w:tcW w:w="2813" w:type="dxa"/>
          </w:tcPr>
          <w:p>
            <w:pPr>
              <w:pStyle w:val="TableParagraph"/>
              <w:spacing w:line="158" w:lineRule="exact"/>
              <w:ind w:left="419" w:right="977"/>
              <w:jc w:val="left"/>
              <w:rPr>
                <w:rFonts w:ascii="Calibri" w:hAnsi="Calibri"/>
                <w:sz w:val="13"/>
              </w:rPr>
            </w:pPr>
            <w:r>
              <w:rPr>
                <w:rFonts w:ascii="Calibri" w:hAnsi="Calibri"/>
                <w:w w:val="105"/>
                <w:sz w:val="13"/>
              </w:rPr>
              <w:t>Señalización</w:t>
            </w:r>
          </w:p>
        </w:tc>
        <w:tc>
          <w:tcPr>
            <w:tcW w:w="727" w:type="dxa"/>
          </w:tcPr>
          <w:p>
            <w:pPr>
              <w:pStyle w:val="TableParagraph"/>
              <w:spacing w:line="158" w:lineRule="exact"/>
              <w:ind w:left="262" w:right="250"/>
              <w:rPr>
                <w:rFonts w:ascii="Calibri"/>
                <w:sz w:val="13"/>
              </w:rPr>
            </w:pPr>
            <w:r>
              <w:rPr>
                <w:rFonts w:ascii="Calibri"/>
                <w:w w:val="105"/>
                <w:sz w:val="13"/>
              </w:rPr>
              <w:t>0.5</w:t>
            </w:r>
          </w:p>
        </w:tc>
        <w:tc>
          <w:tcPr>
            <w:tcW w:w="702" w:type="dxa"/>
            <w:tcBorders>
              <w:right w:val="single" w:sz="9" w:space="0" w:color="000000"/>
            </w:tcBorders>
            <w:shd w:val="clear" w:color="auto" w:fill="67ED4D"/>
          </w:tcPr>
          <w:p>
            <w:pPr>
              <w:pStyle w:val="TableParagraph"/>
              <w:spacing w:line="158" w:lineRule="exact"/>
              <w:ind w:left="34"/>
              <w:rPr>
                <w:rFonts w:ascii="Calibri"/>
                <w:sz w:val="13"/>
              </w:rPr>
            </w:pPr>
            <w:r>
              <w:rPr>
                <w:rFonts w:ascii="Calibri"/>
                <w:w w:val="104"/>
                <w:sz w:val="13"/>
              </w:rPr>
              <w:t>1</w:t>
            </w:r>
          </w:p>
        </w:tc>
      </w:tr>
      <w:tr>
        <w:trPr>
          <w:trHeight w:val="176" w:hRule="exact"/>
        </w:trPr>
        <w:tc>
          <w:tcPr>
            <w:tcW w:w="762" w:type="dxa"/>
            <w:tcBorders>
              <w:left w:val="single" w:sz="5" w:space="0" w:color="000000"/>
            </w:tcBorders>
          </w:tcPr>
          <w:p>
            <w:pPr/>
          </w:p>
        </w:tc>
        <w:tc>
          <w:tcPr>
            <w:tcW w:w="1999" w:type="dxa"/>
          </w:tcPr>
          <w:p>
            <w:pPr/>
          </w:p>
        </w:tc>
        <w:tc>
          <w:tcPr>
            <w:tcW w:w="2813" w:type="dxa"/>
          </w:tcPr>
          <w:p>
            <w:pPr>
              <w:pStyle w:val="TableParagraph"/>
              <w:spacing w:before="3"/>
              <w:ind w:right="111"/>
              <w:jc w:val="right"/>
              <w:rPr>
                <w:sz w:val="13"/>
              </w:rPr>
            </w:pPr>
            <w:r>
              <w:rPr>
                <w:color w:val="808080"/>
                <w:sz w:val="13"/>
              </w:rPr>
              <w:t>Subtotal</w:t>
            </w:r>
          </w:p>
        </w:tc>
        <w:tc>
          <w:tcPr>
            <w:tcW w:w="727" w:type="dxa"/>
          </w:tcPr>
          <w:p>
            <w:pPr>
              <w:pStyle w:val="TableParagraph"/>
              <w:spacing w:before="1"/>
              <w:ind w:left="262" w:right="250"/>
              <w:rPr>
                <w:rFonts w:ascii="Calibri"/>
                <w:sz w:val="13"/>
              </w:rPr>
            </w:pPr>
            <w:r>
              <w:rPr>
                <w:rFonts w:ascii="Calibri"/>
                <w:w w:val="105"/>
                <w:sz w:val="13"/>
              </w:rPr>
              <w:t>3.5</w:t>
            </w:r>
          </w:p>
        </w:tc>
        <w:tc>
          <w:tcPr>
            <w:tcW w:w="702" w:type="dxa"/>
            <w:tcBorders>
              <w:right w:val="single" w:sz="9" w:space="0" w:color="000000"/>
            </w:tcBorders>
            <w:shd w:val="clear" w:color="auto" w:fill="67ED4D"/>
          </w:tcPr>
          <w:p>
            <w:pPr>
              <w:pStyle w:val="TableParagraph"/>
              <w:spacing w:before="1"/>
              <w:ind w:left="34"/>
              <w:rPr>
                <w:rFonts w:ascii="Calibri"/>
                <w:sz w:val="13"/>
              </w:rPr>
            </w:pPr>
            <w:r>
              <w:rPr>
                <w:rFonts w:ascii="Calibri"/>
                <w:w w:val="104"/>
                <w:sz w:val="13"/>
              </w:rPr>
              <w:t>7</w:t>
            </w:r>
          </w:p>
        </w:tc>
      </w:tr>
      <w:tr>
        <w:trPr>
          <w:trHeight w:val="159" w:hRule="exact"/>
        </w:trPr>
        <w:tc>
          <w:tcPr>
            <w:tcW w:w="7003" w:type="dxa"/>
            <w:gridSpan w:val="5"/>
            <w:tcBorders>
              <w:left w:val="single" w:sz="5" w:space="0" w:color="000000"/>
              <w:right w:val="single" w:sz="9" w:space="0" w:color="000000"/>
            </w:tcBorders>
          </w:tcPr>
          <w:p>
            <w:pPr/>
          </w:p>
        </w:tc>
      </w:tr>
      <w:tr>
        <w:trPr>
          <w:trHeight w:val="177" w:hRule="exact"/>
        </w:trPr>
        <w:tc>
          <w:tcPr>
            <w:tcW w:w="762" w:type="dxa"/>
            <w:tcBorders>
              <w:left w:val="single" w:sz="5" w:space="0" w:color="000000"/>
            </w:tcBorders>
          </w:tcPr>
          <w:p>
            <w:pPr/>
          </w:p>
        </w:tc>
        <w:tc>
          <w:tcPr>
            <w:tcW w:w="1999" w:type="dxa"/>
          </w:tcPr>
          <w:p>
            <w:pPr/>
          </w:p>
        </w:tc>
        <w:tc>
          <w:tcPr>
            <w:tcW w:w="2813" w:type="dxa"/>
            <w:vMerge w:val="restart"/>
          </w:tcPr>
          <w:p>
            <w:pPr>
              <w:pStyle w:val="TableParagraph"/>
              <w:spacing w:line="256" w:lineRule="auto" w:before="6"/>
              <w:ind w:left="419" w:right="1738"/>
              <w:jc w:val="left"/>
              <w:rPr>
                <w:rFonts w:ascii="Calibri" w:hAnsi="Calibri"/>
                <w:sz w:val="13"/>
              </w:rPr>
            </w:pPr>
            <w:r>
              <w:rPr>
                <w:rFonts w:ascii="Calibri" w:hAnsi="Calibri"/>
                <w:w w:val="105"/>
                <w:sz w:val="13"/>
              </w:rPr>
              <w:t>Superficie Índice OMS Índice ONU</w:t>
            </w:r>
          </w:p>
          <w:p>
            <w:pPr>
              <w:pStyle w:val="TableParagraph"/>
              <w:spacing w:before="2"/>
              <w:ind w:right="111"/>
              <w:jc w:val="right"/>
              <w:rPr>
                <w:sz w:val="13"/>
              </w:rPr>
            </w:pPr>
            <w:r>
              <w:rPr>
                <w:color w:val="808080"/>
                <w:sz w:val="13"/>
              </w:rPr>
              <w:t>Subtotal</w:t>
            </w:r>
          </w:p>
        </w:tc>
        <w:tc>
          <w:tcPr>
            <w:tcW w:w="727" w:type="dxa"/>
          </w:tcPr>
          <w:p>
            <w:pPr>
              <w:pStyle w:val="TableParagraph"/>
              <w:spacing w:before="6"/>
              <w:ind w:left="22"/>
              <w:rPr>
                <w:rFonts w:ascii="Calibri"/>
                <w:sz w:val="13"/>
              </w:rPr>
            </w:pPr>
            <w:r>
              <w:rPr>
                <w:rFonts w:ascii="Calibri"/>
                <w:w w:val="104"/>
                <w:sz w:val="13"/>
              </w:rPr>
              <w:t>1</w:t>
            </w:r>
          </w:p>
        </w:tc>
        <w:tc>
          <w:tcPr>
            <w:tcW w:w="702" w:type="dxa"/>
            <w:tcBorders>
              <w:right w:val="single" w:sz="9" w:space="0" w:color="000000"/>
            </w:tcBorders>
            <w:shd w:val="clear" w:color="auto" w:fill="67ED4D"/>
          </w:tcPr>
          <w:p>
            <w:pPr>
              <w:pStyle w:val="TableParagraph"/>
              <w:spacing w:before="6"/>
              <w:ind w:left="34"/>
              <w:rPr>
                <w:rFonts w:ascii="Calibri"/>
                <w:sz w:val="13"/>
              </w:rPr>
            </w:pPr>
            <w:r>
              <w:rPr>
                <w:rFonts w:ascii="Calibri"/>
                <w:w w:val="104"/>
                <w:sz w:val="13"/>
              </w:rPr>
              <w:t>1</w:t>
            </w:r>
          </w:p>
        </w:tc>
      </w:tr>
      <w:tr>
        <w:trPr>
          <w:trHeight w:val="170" w:hRule="exact"/>
        </w:trPr>
        <w:tc>
          <w:tcPr>
            <w:tcW w:w="762" w:type="dxa"/>
            <w:tcBorders>
              <w:left w:val="single" w:sz="5" w:space="0" w:color="000000"/>
            </w:tcBorders>
          </w:tcPr>
          <w:p>
            <w:pPr>
              <w:pStyle w:val="TableParagraph"/>
              <w:spacing w:line="158" w:lineRule="exact"/>
              <w:ind w:left="92" w:right="51"/>
              <w:rPr>
                <w:rFonts w:ascii="Calibri"/>
                <w:sz w:val="13"/>
              </w:rPr>
            </w:pPr>
            <w:r>
              <w:rPr>
                <w:rFonts w:ascii="Calibri"/>
                <w:w w:val="105"/>
                <w:sz w:val="13"/>
              </w:rPr>
              <w:t>Ambiental</w:t>
            </w:r>
          </w:p>
        </w:tc>
        <w:tc>
          <w:tcPr>
            <w:tcW w:w="1999" w:type="dxa"/>
          </w:tcPr>
          <w:p>
            <w:pPr>
              <w:pStyle w:val="TableParagraph"/>
              <w:spacing w:line="158" w:lineRule="exact"/>
              <w:ind w:left="71"/>
              <w:jc w:val="left"/>
              <w:rPr>
                <w:rFonts w:ascii="Calibri" w:hAnsi="Calibri"/>
                <w:sz w:val="13"/>
              </w:rPr>
            </w:pPr>
            <w:r>
              <w:rPr>
                <w:rFonts w:ascii="Calibri" w:hAnsi="Calibri"/>
                <w:w w:val="105"/>
                <w:sz w:val="13"/>
              </w:rPr>
              <w:t>Áreas verdes</w:t>
            </w:r>
          </w:p>
        </w:tc>
        <w:tc>
          <w:tcPr>
            <w:tcW w:w="2813" w:type="dxa"/>
            <w:vMerge/>
          </w:tcPr>
          <w:p>
            <w:pPr/>
          </w:p>
        </w:tc>
        <w:tc>
          <w:tcPr>
            <w:tcW w:w="727" w:type="dxa"/>
          </w:tcPr>
          <w:p>
            <w:pPr>
              <w:pStyle w:val="TableParagraph"/>
              <w:spacing w:line="158" w:lineRule="exact"/>
              <w:ind w:left="262" w:right="250"/>
              <w:rPr>
                <w:rFonts w:ascii="Calibri"/>
                <w:sz w:val="13"/>
              </w:rPr>
            </w:pPr>
            <w:r>
              <w:rPr>
                <w:rFonts w:ascii="Calibri"/>
                <w:w w:val="105"/>
                <w:sz w:val="13"/>
              </w:rPr>
              <w:t>0.8</w:t>
            </w:r>
          </w:p>
        </w:tc>
        <w:tc>
          <w:tcPr>
            <w:tcW w:w="702" w:type="dxa"/>
            <w:tcBorders>
              <w:right w:val="single" w:sz="9" w:space="0" w:color="000000"/>
            </w:tcBorders>
            <w:shd w:val="clear" w:color="auto" w:fill="67ED4D"/>
          </w:tcPr>
          <w:p>
            <w:pPr>
              <w:pStyle w:val="TableParagraph"/>
              <w:spacing w:line="158" w:lineRule="exact"/>
              <w:ind w:left="34"/>
              <w:rPr>
                <w:rFonts w:ascii="Calibri"/>
                <w:sz w:val="13"/>
              </w:rPr>
            </w:pPr>
            <w:r>
              <w:rPr>
                <w:rFonts w:ascii="Calibri"/>
                <w:w w:val="104"/>
                <w:sz w:val="13"/>
              </w:rPr>
              <w:t>1</w:t>
            </w:r>
          </w:p>
        </w:tc>
      </w:tr>
      <w:tr>
        <w:trPr>
          <w:trHeight w:val="170" w:hRule="exact"/>
        </w:trPr>
        <w:tc>
          <w:tcPr>
            <w:tcW w:w="762" w:type="dxa"/>
            <w:tcBorders>
              <w:left w:val="single" w:sz="5" w:space="0" w:color="000000"/>
            </w:tcBorders>
          </w:tcPr>
          <w:p>
            <w:pPr/>
          </w:p>
        </w:tc>
        <w:tc>
          <w:tcPr>
            <w:tcW w:w="1999" w:type="dxa"/>
          </w:tcPr>
          <w:p>
            <w:pPr/>
          </w:p>
        </w:tc>
        <w:tc>
          <w:tcPr>
            <w:tcW w:w="2813" w:type="dxa"/>
            <w:vMerge/>
          </w:tcPr>
          <w:p>
            <w:pPr/>
          </w:p>
        </w:tc>
        <w:tc>
          <w:tcPr>
            <w:tcW w:w="727" w:type="dxa"/>
          </w:tcPr>
          <w:p>
            <w:pPr>
              <w:pStyle w:val="TableParagraph"/>
              <w:spacing w:line="158" w:lineRule="exact"/>
              <w:ind w:left="262" w:right="250"/>
              <w:rPr>
                <w:rFonts w:ascii="Calibri"/>
                <w:sz w:val="13"/>
              </w:rPr>
            </w:pPr>
            <w:r>
              <w:rPr>
                <w:rFonts w:ascii="Calibri"/>
                <w:w w:val="105"/>
                <w:sz w:val="13"/>
              </w:rPr>
              <w:t>0.8</w:t>
            </w:r>
          </w:p>
        </w:tc>
        <w:tc>
          <w:tcPr>
            <w:tcW w:w="702" w:type="dxa"/>
            <w:tcBorders>
              <w:right w:val="single" w:sz="9" w:space="0" w:color="000000"/>
            </w:tcBorders>
            <w:shd w:val="clear" w:color="auto" w:fill="67ED4D"/>
          </w:tcPr>
          <w:p>
            <w:pPr>
              <w:pStyle w:val="TableParagraph"/>
              <w:spacing w:line="158" w:lineRule="exact"/>
              <w:ind w:left="34"/>
              <w:rPr>
                <w:rFonts w:ascii="Calibri"/>
                <w:sz w:val="13"/>
              </w:rPr>
            </w:pPr>
            <w:r>
              <w:rPr>
                <w:rFonts w:ascii="Calibri"/>
                <w:w w:val="104"/>
                <w:sz w:val="13"/>
              </w:rPr>
              <w:t>1</w:t>
            </w:r>
          </w:p>
        </w:tc>
      </w:tr>
      <w:tr>
        <w:trPr>
          <w:trHeight w:val="174" w:hRule="exact"/>
        </w:trPr>
        <w:tc>
          <w:tcPr>
            <w:tcW w:w="762" w:type="dxa"/>
            <w:tcBorders>
              <w:left w:val="single" w:sz="5" w:space="0" w:color="000000"/>
            </w:tcBorders>
          </w:tcPr>
          <w:p>
            <w:pPr/>
          </w:p>
        </w:tc>
        <w:tc>
          <w:tcPr>
            <w:tcW w:w="1999" w:type="dxa"/>
          </w:tcPr>
          <w:p>
            <w:pPr/>
          </w:p>
        </w:tc>
        <w:tc>
          <w:tcPr>
            <w:tcW w:w="2813" w:type="dxa"/>
            <w:vMerge/>
          </w:tcPr>
          <w:p>
            <w:pPr/>
          </w:p>
        </w:tc>
        <w:tc>
          <w:tcPr>
            <w:tcW w:w="727" w:type="dxa"/>
          </w:tcPr>
          <w:p>
            <w:pPr>
              <w:pStyle w:val="TableParagraph"/>
              <w:spacing w:line="158" w:lineRule="exact"/>
              <w:ind w:left="262" w:right="250"/>
              <w:rPr>
                <w:rFonts w:ascii="Calibri"/>
                <w:sz w:val="13"/>
              </w:rPr>
            </w:pPr>
            <w:r>
              <w:rPr>
                <w:rFonts w:ascii="Calibri"/>
                <w:w w:val="105"/>
                <w:sz w:val="13"/>
              </w:rPr>
              <w:t>2.6</w:t>
            </w:r>
          </w:p>
        </w:tc>
        <w:tc>
          <w:tcPr>
            <w:tcW w:w="702" w:type="dxa"/>
            <w:tcBorders>
              <w:right w:val="single" w:sz="9" w:space="0" w:color="000000"/>
            </w:tcBorders>
            <w:shd w:val="clear" w:color="auto" w:fill="67ED4D"/>
          </w:tcPr>
          <w:p>
            <w:pPr>
              <w:pStyle w:val="TableParagraph"/>
              <w:spacing w:line="158" w:lineRule="exact"/>
              <w:ind w:left="34"/>
              <w:rPr>
                <w:rFonts w:ascii="Calibri"/>
                <w:sz w:val="13"/>
              </w:rPr>
            </w:pPr>
            <w:r>
              <w:rPr>
                <w:rFonts w:ascii="Calibri"/>
                <w:w w:val="104"/>
                <w:sz w:val="13"/>
              </w:rPr>
              <w:t>3</w:t>
            </w:r>
          </w:p>
        </w:tc>
      </w:tr>
      <w:tr>
        <w:trPr>
          <w:trHeight w:val="159" w:hRule="exact"/>
        </w:trPr>
        <w:tc>
          <w:tcPr>
            <w:tcW w:w="7003" w:type="dxa"/>
            <w:gridSpan w:val="5"/>
            <w:tcBorders>
              <w:left w:val="single" w:sz="5" w:space="0" w:color="000000"/>
              <w:right w:val="single" w:sz="9" w:space="0" w:color="000000"/>
            </w:tcBorders>
          </w:tcPr>
          <w:p>
            <w:pPr/>
          </w:p>
        </w:tc>
      </w:tr>
      <w:tr>
        <w:trPr>
          <w:trHeight w:val="177" w:hRule="exact"/>
        </w:trPr>
        <w:tc>
          <w:tcPr>
            <w:tcW w:w="762" w:type="dxa"/>
            <w:vMerge w:val="restart"/>
            <w:tcBorders>
              <w:left w:val="single" w:sz="5" w:space="0" w:color="000000"/>
            </w:tcBorders>
          </w:tcPr>
          <w:p>
            <w:pPr/>
          </w:p>
        </w:tc>
        <w:tc>
          <w:tcPr>
            <w:tcW w:w="1999" w:type="dxa"/>
          </w:tcPr>
          <w:p>
            <w:pPr/>
          </w:p>
        </w:tc>
        <w:tc>
          <w:tcPr>
            <w:tcW w:w="2813" w:type="dxa"/>
            <w:vMerge w:val="restart"/>
          </w:tcPr>
          <w:p>
            <w:pPr>
              <w:pStyle w:val="TableParagraph"/>
              <w:spacing w:line="256" w:lineRule="auto" w:before="6"/>
              <w:ind w:left="419" w:right="1712"/>
              <w:jc w:val="left"/>
              <w:rPr>
                <w:rFonts w:ascii="Calibri" w:hAnsi="Calibri"/>
                <w:sz w:val="13"/>
              </w:rPr>
            </w:pPr>
            <w:r>
              <w:rPr>
                <w:rFonts w:ascii="Calibri" w:hAnsi="Calibri"/>
                <w:w w:val="105"/>
                <w:sz w:val="13"/>
              </w:rPr>
              <w:t>Separación Recolección</w:t>
            </w:r>
            <w:r>
              <w:rPr>
                <w:rFonts w:ascii="Calibri" w:hAnsi="Calibri"/>
                <w:w w:val="104"/>
                <w:sz w:val="13"/>
              </w:rPr>
              <w:t> </w:t>
            </w:r>
            <w:r>
              <w:rPr>
                <w:rFonts w:ascii="Calibri" w:hAnsi="Calibri"/>
                <w:w w:val="105"/>
                <w:sz w:val="13"/>
              </w:rPr>
              <w:t>Disposición</w:t>
            </w:r>
          </w:p>
          <w:p>
            <w:pPr>
              <w:pStyle w:val="TableParagraph"/>
              <w:spacing w:before="2"/>
              <w:ind w:right="111"/>
              <w:jc w:val="right"/>
              <w:rPr>
                <w:sz w:val="13"/>
              </w:rPr>
            </w:pPr>
            <w:r>
              <w:rPr>
                <w:color w:val="808080"/>
                <w:sz w:val="13"/>
              </w:rPr>
              <w:t>Subtotal</w:t>
            </w:r>
          </w:p>
        </w:tc>
        <w:tc>
          <w:tcPr>
            <w:tcW w:w="727" w:type="dxa"/>
          </w:tcPr>
          <w:p>
            <w:pPr>
              <w:pStyle w:val="TableParagraph"/>
              <w:spacing w:before="6"/>
              <w:ind w:left="22"/>
              <w:rPr>
                <w:rFonts w:ascii="Calibri"/>
                <w:sz w:val="13"/>
              </w:rPr>
            </w:pPr>
            <w:r>
              <w:rPr>
                <w:rFonts w:ascii="Calibri"/>
                <w:w w:val="104"/>
                <w:sz w:val="13"/>
              </w:rPr>
              <w:t>1</w:t>
            </w:r>
          </w:p>
        </w:tc>
        <w:tc>
          <w:tcPr>
            <w:tcW w:w="702" w:type="dxa"/>
            <w:tcBorders>
              <w:right w:val="single" w:sz="9" w:space="0" w:color="000000"/>
            </w:tcBorders>
            <w:shd w:val="clear" w:color="auto" w:fill="67ED4D"/>
          </w:tcPr>
          <w:p>
            <w:pPr>
              <w:pStyle w:val="TableParagraph"/>
              <w:spacing w:before="6"/>
              <w:ind w:left="34"/>
              <w:rPr>
                <w:rFonts w:ascii="Calibri"/>
                <w:sz w:val="13"/>
              </w:rPr>
            </w:pPr>
            <w:r>
              <w:rPr>
                <w:rFonts w:ascii="Calibri"/>
                <w:w w:val="104"/>
                <w:sz w:val="13"/>
              </w:rPr>
              <w:t>1</w:t>
            </w:r>
          </w:p>
        </w:tc>
      </w:tr>
      <w:tr>
        <w:trPr>
          <w:trHeight w:val="170" w:hRule="exact"/>
        </w:trPr>
        <w:tc>
          <w:tcPr>
            <w:tcW w:w="762" w:type="dxa"/>
            <w:vMerge/>
            <w:tcBorders>
              <w:left w:val="single" w:sz="5" w:space="0" w:color="000000"/>
            </w:tcBorders>
          </w:tcPr>
          <w:p>
            <w:pPr/>
          </w:p>
        </w:tc>
        <w:tc>
          <w:tcPr>
            <w:tcW w:w="1999" w:type="dxa"/>
          </w:tcPr>
          <w:p>
            <w:pPr>
              <w:pStyle w:val="TableParagraph"/>
              <w:spacing w:line="158" w:lineRule="exact"/>
              <w:ind w:left="71"/>
              <w:jc w:val="left"/>
              <w:rPr>
                <w:rFonts w:ascii="Calibri"/>
                <w:sz w:val="13"/>
              </w:rPr>
            </w:pPr>
            <w:r>
              <w:rPr>
                <w:rFonts w:ascii="Calibri"/>
                <w:w w:val="105"/>
                <w:sz w:val="13"/>
              </w:rPr>
              <w:t>Manejo de residuos solidos</w:t>
            </w:r>
          </w:p>
        </w:tc>
        <w:tc>
          <w:tcPr>
            <w:tcW w:w="2813" w:type="dxa"/>
            <w:vMerge/>
          </w:tcPr>
          <w:p>
            <w:pPr/>
          </w:p>
        </w:tc>
        <w:tc>
          <w:tcPr>
            <w:tcW w:w="727" w:type="dxa"/>
          </w:tcPr>
          <w:p>
            <w:pPr>
              <w:pStyle w:val="TableParagraph"/>
              <w:spacing w:line="158" w:lineRule="exact"/>
              <w:ind w:left="22"/>
              <w:rPr>
                <w:rFonts w:ascii="Calibri"/>
                <w:sz w:val="13"/>
              </w:rPr>
            </w:pPr>
            <w:r>
              <w:rPr>
                <w:rFonts w:ascii="Calibri"/>
                <w:w w:val="104"/>
                <w:sz w:val="13"/>
              </w:rPr>
              <w:t>1</w:t>
            </w:r>
          </w:p>
        </w:tc>
        <w:tc>
          <w:tcPr>
            <w:tcW w:w="702" w:type="dxa"/>
            <w:tcBorders>
              <w:right w:val="single" w:sz="9" w:space="0" w:color="000000"/>
            </w:tcBorders>
            <w:shd w:val="clear" w:color="auto" w:fill="67ED4D"/>
          </w:tcPr>
          <w:p>
            <w:pPr>
              <w:pStyle w:val="TableParagraph"/>
              <w:spacing w:line="158" w:lineRule="exact"/>
              <w:ind w:left="34"/>
              <w:rPr>
                <w:rFonts w:ascii="Calibri"/>
                <w:sz w:val="13"/>
              </w:rPr>
            </w:pPr>
            <w:r>
              <w:rPr>
                <w:rFonts w:ascii="Calibri"/>
                <w:w w:val="104"/>
                <w:sz w:val="13"/>
              </w:rPr>
              <w:t>1</w:t>
            </w:r>
          </w:p>
        </w:tc>
      </w:tr>
      <w:tr>
        <w:trPr>
          <w:trHeight w:val="170" w:hRule="exact"/>
        </w:trPr>
        <w:tc>
          <w:tcPr>
            <w:tcW w:w="762" w:type="dxa"/>
            <w:vMerge/>
            <w:tcBorders>
              <w:left w:val="single" w:sz="5" w:space="0" w:color="000000"/>
            </w:tcBorders>
          </w:tcPr>
          <w:p>
            <w:pPr/>
          </w:p>
        </w:tc>
        <w:tc>
          <w:tcPr>
            <w:tcW w:w="1999" w:type="dxa"/>
          </w:tcPr>
          <w:p>
            <w:pPr/>
          </w:p>
        </w:tc>
        <w:tc>
          <w:tcPr>
            <w:tcW w:w="2813" w:type="dxa"/>
            <w:vMerge/>
          </w:tcPr>
          <w:p>
            <w:pPr/>
          </w:p>
        </w:tc>
        <w:tc>
          <w:tcPr>
            <w:tcW w:w="727" w:type="dxa"/>
          </w:tcPr>
          <w:p>
            <w:pPr>
              <w:pStyle w:val="TableParagraph"/>
              <w:spacing w:line="158" w:lineRule="exact"/>
              <w:ind w:left="262" w:right="250"/>
              <w:rPr>
                <w:rFonts w:ascii="Calibri"/>
                <w:sz w:val="13"/>
              </w:rPr>
            </w:pPr>
            <w:r>
              <w:rPr>
                <w:rFonts w:ascii="Calibri"/>
                <w:w w:val="105"/>
                <w:sz w:val="13"/>
              </w:rPr>
              <w:t>0.8</w:t>
            </w:r>
          </w:p>
        </w:tc>
        <w:tc>
          <w:tcPr>
            <w:tcW w:w="702" w:type="dxa"/>
            <w:tcBorders>
              <w:right w:val="single" w:sz="9" w:space="0" w:color="000000"/>
            </w:tcBorders>
            <w:shd w:val="clear" w:color="auto" w:fill="67ED4D"/>
          </w:tcPr>
          <w:p>
            <w:pPr>
              <w:pStyle w:val="TableParagraph"/>
              <w:spacing w:line="158" w:lineRule="exact"/>
              <w:ind w:left="34"/>
              <w:rPr>
                <w:rFonts w:ascii="Calibri"/>
                <w:sz w:val="13"/>
              </w:rPr>
            </w:pPr>
            <w:r>
              <w:rPr>
                <w:rFonts w:ascii="Calibri"/>
                <w:w w:val="104"/>
                <w:sz w:val="13"/>
              </w:rPr>
              <w:t>1</w:t>
            </w:r>
          </w:p>
        </w:tc>
      </w:tr>
      <w:tr>
        <w:trPr>
          <w:trHeight w:val="174" w:hRule="exact"/>
        </w:trPr>
        <w:tc>
          <w:tcPr>
            <w:tcW w:w="762" w:type="dxa"/>
            <w:vMerge/>
            <w:tcBorders>
              <w:left w:val="single" w:sz="5" w:space="0" w:color="000000"/>
            </w:tcBorders>
          </w:tcPr>
          <w:p>
            <w:pPr/>
          </w:p>
        </w:tc>
        <w:tc>
          <w:tcPr>
            <w:tcW w:w="1999" w:type="dxa"/>
          </w:tcPr>
          <w:p>
            <w:pPr/>
          </w:p>
        </w:tc>
        <w:tc>
          <w:tcPr>
            <w:tcW w:w="2813" w:type="dxa"/>
            <w:vMerge/>
          </w:tcPr>
          <w:p>
            <w:pPr/>
          </w:p>
        </w:tc>
        <w:tc>
          <w:tcPr>
            <w:tcW w:w="727" w:type="dxa"/>
          </w:tcPr>
          <w:p>
            <w:pPr>
              <w:pStyle w:val="TableParagraph"/>
              <w:spacing w:line="158" w:lineRule="exact"/>
              <w:ind w:left="262" w:right="250"/>
              <w:rPr>
                <w:rFonts w:ascii="Calibri"/>
                <w:sz w:val="13"/>
              </w:rPr>
            </w:pPr>
            <w:r>
              <w:rPr>
                <w:rFonts w:ascii="Calibri"/>
                <w:w w:val="105"/>
                <w:sz w:val="13"/>
              </w:rPr>
              <w:t>2.8</w:t>
            </w:r>
          </w:p>
        </w:tc>
        <w:tc>
          <w:tcPr>
            <w:tcW w:w="702" w:type="dxa"/>
            <w:tcBorders>
              <w:right w:val="single" w:sz="9" w:space="0" w:color="000000"/>
            </w:tcBorders>
            <w:shd w:val="clear" w:color="auto" w:fill="67ED4D"/>
          </w:tcPr>
          <w:p>
            <w:pPr>
              <w:pStyle w:val="TableParagraph"/>
              <w:spacing w:line="158" w:lineRule="exact"/>
              <w:ind w:left="34"/>
              <w:rPr>
                <w:rFonts w:ascii="Calibri"/>
                <w:sz w:val="13"/>
              </w:rPr>
            </w:pPr>
            <w:r>
              <w:rPr>
                <w:rFonts w:ascii="Calibri"/>
                <w:w w:val="104"/>
                <w:sz w:val="13"/>
              </w:rPr>
              <w:t>3</w:t>
            </w:r>
          </w:p>
        </w:tc>
      </w:tr>
      <w:tr>
        <w:trPr>
          <w:trHeight w:val="159" w:hRule="exact"/>
        </w:trPr>
        <w:tc>
          <w:tcPr>
            <w:tcW w:w="7003" w:type="dxa"/>
            <w:gridSpan w:val="5"/>
            <w:tcBorders>
              <w:left w:val="single" w:sz="5" w:space="0" w:color="000000"/>
              <w:right w:val="single" w:sz="9" w:space="0" w:color="000000"/>
            </w:tcBorders>
          </w:tcPr>
          <w:p>
            <w:pPr/>
          </w:p>
        </w:tc>
      </w:tr>
      <w:tr>
        <w:trPr>
          <w:trHeight w:val="177" w:hRule="exact"/>
        </w:trPr>
        <w:tc>
          <w:tcPr>
            <w:tcW w:w="762" w:type="dxa"/>
            <w:vMerge w:val="restart"/>
            <w:tcBorders>
              <w:left w:val="single" w:sz="5" w:space="0" w:color="000000"/>
            </w:tcBorders>
          </w:tcPr>
          <w:p>
            <w:pPr/>
          </w:p>
        </w:tc>
        <w:tc>
          <w:tcPr>
            <w:tcW w:w="1999" w:type="dxa"/>
          </w:tcPr>
          <w:p>
            <w:pPr/>
          </w:p>
        </w:tc>
        <w:tc>
          <w:tcPr>
            <w:tcW w:w="2813" w:type="dxa"/>
            <w:vMerge w:val="restart"/>
          </w:tcPr>
          <w:p>
            <w:pPr>
              <w:pStyle w:val="TableParagraph"/>
              <w:spacing w:line="256" w:lineRule="auto" w:before="6"/>
              <w:ind w:left="419" w:right="1207"/>
              <w:jc w:val="left"/>
              <w:rPr>
                <w:rFonts w:ascii="Calibri" w:hAnsi="Calibri"/>
                <w:sz w:val="13"/>
              </w:rPr>
            </w:pPr>
            <w:r>
              <w:rPr>
                <w:rFonts w:ascii="Calibri" w:hAnsi="Calibri"/>
                <w:w w:val="105"/>
                <w:sz w:val="13"/>
              </w:rPr>
              <w:t>Vivienda Urbanización </w:t>
            </w:r>
            <w:r>
              <w:rPr>
                <w:rFonts w:ascii="Calibri" w:hAnsi="Calibri"/>
                <w:sz w:val="13"/>
              </w:rPr>
              <w:t>Equipamiento </w:t>
            </w:r>
            <w:r>
              <w:rPr>
                <w:rFonts w:ascii="Calibri" w:hAnsi="Calibri"/>
                <w:w w:val="105"/>
                <w:sz w:val="13"/>
              </w:rPr>
              <w:t>Mobiliario</w:t>
            </w:r>
          </w:p>
          <w:p>
            <w:pPr>
              <w:pStyle w:val="TableParagraph"/>
              <w:spacing w:before="2"/>
              <w:ind w:right="111"/>
              <w:jc w:val="right"/>
              <w:rPr>
                <w:sz w:val="13"/>
              </w:rPr>
            </w:pPr>
            <w:r>
              <w:rPr>
                <w:color w:val="808080"/>
                <w:sz w:val="13"/>
              </w:rPr>
              <w:t>Subtotal</w:t>
            </w:r>
          </w:p>
        </w:tc>
        <w:tc>
          <w:tcPr>
            <w:tcW w:w="727" w:type="dxa"/>
          </w:tcPr>
          <w:p>
            <w:pPr>
              <w:pStyle w:val="TableParagraph"/>
              <w:spacing w:before="6"/>
              <w:ind w:left="262" w:right="250"/>
              <w:rPr>
                <w:rFonts w:ascii="Calibri"/>
                <w:sz w:val="13"/>
              </w:rPr>
            </w:pPr>
            <w:r>
              <w:rPr>
                <w:rFonts w:ascii="Calibri"/>
                <w:w w:val="105"/>
                <w:sz w:val="13"/>
              </w:rPr>
              <w:t>0.6</w:t>
            </w:r>
          </w:p>
        </w:tc>
        <w:tc>
          <w:tcPr>
            <w:tcW w:w="702" w:type="dxa"/>
            <w:tcBorders>
              <w:right w:val="single" w:sz="9" w:space="0" w:color="000000"/>
            </w:tcBorders>
            <w:shd w:val="clear" w:color="auto" w:fill="67ED4D"/>
          </w:tcPr>
          <w:p>
            <w:pPr>
              <w:pStyle w:val="TableParagraph"/>
              <w:spacing w:before="6"/>
              <w:ind w:left="34"/>
              <w:rPr>
                <w:rFonts w:ascii="Calibri"/>
                <w:sz w:val="13"/>
              </w:rPr>
            </w:pPr>
            <w:r>
              <w:rPr>
                <w:rFonts w:ascii="Calibri"/>
                <w:w w:val="104"/>
                <w:sz w:val="13"/>
              </w:rPr>
              <w:t>1</w:t>
            </w:r>
          </w:p>
        </w:tc>
      </w:tr>
      <w:tr>
        <w:trPr>
          <w:trHeight w:val="170" w:hRule="exact"/>
        </w:trPr>
        <w:tc>
          <w:tcPr>
            <w:tcW w:w="762" w:type="dxa"/>
            <w:vMerge/>
            <w:tcBorders>
              <w:left w:val="single" w:sz="5" w:space="0" w:color="000000"/>
            </w:tcBorders>
          </w:tcPr>
          <w:p>
            <w:pPr/>
          </w:p>
        </w:tc>
        <w:tc>
          <w:tcPr>
            <w:tcW w:w="1999" w:type="dxa"/>
            <w:vMerge w:val="restart"/>
          </w:tcPr>
          <w:p>
            <w:pPr>
              <w:pStyle w:val="TableParagraph"/>
              <w:spacing w:before="78"/>
              <w:ind w:left="71"/>
              <w:jc w:val="left"/>
              <w:rPr>
                <w:rFonts w:ascii="Calibri" w:hAnsi="Calibri"/>
                <w:sz w:val="13"/>
              </w:rPr>
            </w:pPr>
            <w:r>
              <w:rPr>
                <w:rFonts w:ascii="Calibri" w:hAnsi="Calibri"/>
                <w:w w:val="105"/>
                <w:sz w:val="13"/>
              </w:rPr>
              <w:t>Ecotecnologías</w:t>
            </w:r>
          </w:p>
        </w:tc>
        <w:tc>
          <w:tcPr>
            <w:tcW w:w="2813" w:type="dxa"/>
            <w:vMerge/>
          </w:tcPr>
          <w:p>
            <w:pPr/>
          </w:p>
        </w:tc>
        <w:tc>
          <w:tcPr>
            <w:tcW w:w="727" w:type="dxa"/>
            <w:vMerge w:val="restart"/>
          </w:tcPr>
          <w:p>
            <w:pPr>
              <w:pStyle w:val="TableParagraph"/>
              <w:spacing w:line="158" w:lineRule="exact"/>
              <w:ind w:left="262" w:right="250"/>
              <w:rPr>
                <w:rFonts w:ascii="Calibri"/>
                <w:sz w:val="13"/>
              </w:rPr>
            </w:pPr>
            <w:r>
              <w:rPr>
                <w:rFonts w:ascii="Calibri"/>
                <w:w w:val="105"/>
                <w:sz w:val="13"/>
              </w:rPr>
              <w:t>0.5</w:t>
            </w:r>
          </w:p>
          <w:p>
            <w:pPr>
              <w:pStyle w:val="TableParagraph"/>
              <w:spacing w:before="11"/>
              <w:ind w:left="22"/>
              <w:rPr>
                <w:rFonts w:ascii="Calibri"/>
                <w:sz w:val="13"/>
              </w:rPr>
            </w:pPr>
            <w:r>
              <w:rPr>
                <w:rFonts w:ascii="Calibri"/>
                <w:w w:val="104"/>
                <w:sz w:val="13"/>
              </w:rPr>
              <w:t>1</w:t>
            </w:r>
          </w:p>
        </w:tc>
        <w:tc>
          <w:tcPr>
            <w:tcW w:w="702" w:type="dxa"/>
            <w:tcBorders>
              <w:right w:val="single" w:sz="9" w:space="0" w:color="000000"/>
            </w:tcBorders>
            <w:shd w:val="clear" w:color="auto" w:fill="67ED4D"/>
          </w:tcPr>
          <w:p>
            <w:pPr>
              <w:pStyle w:val="TableParagraph"/>
              <w:spacing w:line="158" w:lineRule="exact"/>
              <w:ind w:left="34"/>
              <w:rPr>
                <w:rFonts w:ascii="Calibri"/>
                <w:sz w:val="13"/>
              </w:rPr>
            </w:pPr>
            <w:r>
              <w:rPr>
                <w:rFonts w:ascii="Calibri"/>
                <w:w w:val="104"/>
                <w:sz w:val="13"/>
              </w:rPr>
              <w:t>1</w:t>
            </w:r>
          </w:p>
        </w:tc>
      </w:tr>
      <w:tr>
        <w:trPr>
          <w:trHeight w:val="170" w:hRule="exact"/>
        </w:trPr>
        <w:tc>
          <w:tcPr>
            <w:tcW w:w="762" w:type="dxa"/>
            <w:vMerge/>
            <w:tcBorders>
              <w:left w:val="single" w:sz="5" w:space="0" w:color="000000"/>
            </w:tcBorders>
          </w:tcPr>
          <w:p>
            <w:pPr/>
          </w:p>
        </w:tc>
        <w:tc>
          <w:tcPr>
            <w:tcW w:w="1999" w:type="dxa"/>
            <w:vMerge/>
          </w:tcPr>
          <w:p>
            <w:pPr/>
          </w:p>
        </w:tc>
        <w:tc>
          <w:tcPr>
            <w:tcW w:w="2813" w:type="dxa"/>
            <w:vMerge/>
          </w:tcPr>
          <w:p>
            <w:pPr/>
          </w:p>
        </w:tc>
        <w:tc>
          <w:tcPr>
            <w:tcW w:w="727" w:type="dxa"/>
            <w:vMerge/>
          </w:tcPr>
          <w:p>
            <w:pPr/>
          </w:p>
        </w:tc>
        <w:tc>
          <w:tcPr>
            <w:tcW w:w="702" w:type="dxa"/>
            <w:tcBorders>
              <w:right w:val="single" w:sz="9" w:space="0" w:color="000000"/>
            </w:tcBorders>
            <w:shd w:val="clear" w:color="auto" w:fill="67ED4D"/>
          </w:tcPr>
          <w:p>
            <w:pPr>
              <w:pStyle w:val="TableParagraph"/>
              <w:spacing w:line="158" w:lineRule="exact"/>
              <w:ind w:left="34"/>
              <w:rPr>
                <w:rFonts w:ascii="Calibri"/>
                <w:sz w:val="13"/>
              </w:rPr>
            </w:pPr>
            <w:r>
              <w:rPr>
                <w:rFonts w:ascii="Calibri"/>
                <w:w w:val="104"/>
                <w:sz w:val="13"/>
              </w:rPr>
              <w:t>1</w:t>
            </w:r>
          </w:p>
        </w:tc>
      </w:tr>
      <w:tr>
        <w:trPr>
          <w:trHeight w:val="170" w:hRule="exact"/>
        </w:trPr>
        <w:tc>
          <w:tcPr>
            <w:tcW w:w="762" w:type="dxa"/>
            <w:vMerge/>
            <w:tcBorders>
              <w:left w:val="single" w:sz="5" w:space="0" w:color="000000"/>
            </w:tcBorders>
          </w:tcPr>
          <w:p>
            <w:pPr/>
          </w:p>
        </w:tc>
        <w:tc>
          <w:tcPr>
            <w:tcW w:w="1999" w:type="dxa"/>
          </w:tcPr>
          <w:p>
            <w:pPr/>
          </w:p>
        </w:tc>
        <w:tc>
          <w:tcPr>
            <w:tcW w:w="2813" w:type="dxa"/>
            <w:vMerge/>
          </w:tcPr>
          <w:p>
            <w:pPr/>
          </w:p>
        </w:tc>
        <w:tc>
          <w:tcPr>
            <w:tcW w:w="727" w:type="dxa"/>
          </w:tcPr>
          <w:p>
            <w:pPr>
              <w:pStyle w:val="TableParagraph"/>
              <w:spacing w:line="158" w:lineRule="exact"/>
              <w:ind w:left="22"/>
              <w:rPr>
                <w:rFonts w:ascii="Calibri"/>
                <w:sz w:val="13"/>
              </w:rPr>
            </w:pPr>
            <w:r>
              <w:rPr>
                <w:rFonts w:ascii="Calibri"/>
                <w:w w:val="104"/>
                <w:sz w:val="13"/>
              </w:rPr>
              <w:t>1</w:t>
            </w:r>
          </w:p>
        </w:tc>
        <w:tc>
          <w:tcPr>
            <w:tcW w:w="702" w:type="dxa"/>
            <w:tcBorders>
              <w:right w:val="single" w:sz="9" w:space="0" w:color="000000"/>
            </w:tcBorders>
            <w:shd w:val="clear" w:color="auto" w:fill="67ED4D"/>
          </w:tcPr>
          <w:p>
            <w:pPr>
              <w:pStyle w:val="TableParagraph"/>
              <w:spacing w:line="158" w:lineRule="exact"/>
              <w:ind w:left="34"/>
              <w:rPr>
                <w:rFonts w:ascii="Calibri"/>
                <w:sz w:val="13"/>
              </w:rPr>
            </w:pPr>
            <w:r>
              <w:rPr>
                <w:rFonts w:ascii="Calibri"/>
                <w:w w:val="104"/>
                <w:sz w:val="13"/>
              </w:rPr>
              <w:t>1</w:t>
            </w:r>
          </w:p>
        </w:tc>
      </w:tr>
      <w:tr>
        <w:trPr>
          <w:trHeight w:val="174" w:hRule="exact"/>
        </w:trPr>
        <w:tc>
          <w:tcPr>
            <w:tcW w:w="762" w:type="dxa"/>
            <w:vMerge/>
            <w:tcBorders>
              <w:left w:val="single" w:sz="5" w:space="0" w:color="000000"/>
            </w:tcBorders>
          </w:tcPr>
          <w:p>
            <w:pPr/>
          </w:p>
        </w:tc>
        <w:tc>
          <w:tcPr>
            <w:tcW w:w="1999" w:type="dxa"/>
          </w:tcPr>
          <w:p>
            <w:pPr/>
          </w:p>
        </w:tc>
        <w:tc>
          <w:tcPr>
            <w:tcW w:w="2813" w:type="dxa"/>
            <w:vMerge/>
          </w:tcPr>
          <w:p>
            <w:pPr/>
          </w:p>
        </w:tc>
        <w:tc>
          <w:tcPr>
            <w:tcW w:w="727" w:type="dxa"/>
          </w:tcPr>
          <w:p>
            <w:pPr>
              <w:pStyle w:val="TableParagraph"/>
              <w:spacing w:line="158" w:lineRule="exact"/>
              <w:ind w:left="262" w:right="250"/>
              <w:rPr>
                <w:rFonts w:ascii="Calibri"/>
                <w:sz w:val="13"/>
              </w:rPr>
            </w:pPr>
            <w:r>
              <w:rPr>
                <w:rFonts w:ascii="Calibri"/>
                <w:w w:val="105"/>
                <w:sz w:val="13"/>
              </w:rPr>
              <w:t>3.1</w:t>
            </w:r>
          </w:p>
        </w:tc>
        <w:tc>
          <w:tcPr>
            <w:tcW w:w="702" w:type="dxa"/>
            <w:tcBorders>
              <w:right w:val="single" w:sz="9" w:space="0" w:color="000000"/>
            </w:tcBorders>
            <w:shd w:val="clear" w:color="auto" w:fill="67ED4D"/>
          </w:tcPr>
          <w:p>
            <w:pPr>
              <w:pStyle w:val="TableParagraph"/>
              <w:spacing w:line="158" w:lineRule="exact"/>
              <w:ind w:left="34"/>
              <w:rPr>
                <w:rFonts w:ascii="Calibri"/>
                <w:sz w:val="13"/>
              </w:rPr>
            </w:pPr>
            <w:r>
              <w:rPr>
                <w:rFonts w:ascii="Calibri"/>
                <w:w w:val="104"/>
                <w:sz w:val="13"/>
              </w:rPr>
              <w:t>4</w:t>
            </w:r>
          </w:p>
        </w:tc>
      </w:tr>
      <w:tr>
        <w:trPr>
          <w:trHeight w:val="159" w:hRule="exact"/>
        </w:trPr>
        <w:tc>
          <w:tcPr>
            <w:tcW w:w="7003" w:type="dxa"/>
            <w:gridSpan w:val="5"/>
            <w:tcBorders>
              <w:left w:val="single" w:sz="5" w:space="0" w:color="000000"/>
              <w:right w:val="single" w:sz="9" w:space="0" w:color="000000"/>
            </w:tcBorders>
          </w:tcPr>
          <w:p>
            <w:pPr/>
          </w:p>
        </w:tc>
      </w:tr>
      <w:tr>
        <w:trPr>
          <w:trHeight w:val="345" w:hRule="exact"/>
        </w:trPr>
        <w:tc>
          <w:tcPr>
            <w:tcW w:w="762" w:type="dxa"/>
            <w:tcBorders>
              <w:left w:val="single" w:sz="5" w:space="0" w:color="000000"/>
            </w:tcBorders>
          </w:tcPr>
          <w:p>
            <w:pPr/>
          </w:p>
        </w:tc>
        <w:tc>
          <w:tcPr>
            <w:tcW w:w="1999" w:type="dxa"/>
          </w:tcPr>
          <w:p>
            <w:pPr>
              <w:pStyle w:val="TableParagraph"/>
              <w:spacing w:before="86"/>
              <w:ind w:left="71"/>
              <w:jc w:val="left"/>
              <w:rPr>
                <w:rFonts w:ascii="Calibri" w:hAnsi="Calibri"/>
                <w:sz w:val="13"/>
              </w:rPr>
            </w:pPr>
            <w:r>
              <w:rPr>
                <w:rFonts w:ascii="Calibri" w:hAnsi="Calibri"/>
                <w:w w:val="105"/>
                <w:sz w:val="13"/>
              </w:rPr>
              <w:t>Educación ambiental</w:t>
            </w:r>
          </w:p>
        </w:tc>
        <w:tc>
          <w:tcPr>
            <w:tcW w:w="2813" w:type="dxa"/>
          </w:tcPr>
          <w:p>
            <w:pPr>
              <w:pStyle w:val="TableParagraph"/>
              <w:spacing w:line="256" w:lineRule="auto" w:before="6"/>
              <w:ind w:left="419" w:right="220"/>
              <w:jc w:val="left"/>
              <w:rPr>
                <w:rFonts w:ascii="Calibri" w:hAnsi="Calibri"/>
                <w:sz w:val="13"/>
              </w:rPr>
            </w:pPr>
            <w:r>
              <w:rPr>
                <w:rFonts w:ascii="Calibri" w:hAnsi="Calibri"/>
                <w:w w:val="105"/>
                <w:sz w:val="13"/>
              </w:rPr>
              <w:t>Plan de educación ambiental Programas de manejo ambiental</w:t>
            </w:r>
          </w:p>
        </w:tc>
        <w:tc>
          <w:tcPr>
            <w:tcW w:w="727" w:type="dxa"/>
          </w:tcPr>
          <w:p>
            <w:pPr>
              <w:pStyle w:val="TableParagraph"/>
              <w:spacing w:before="6"/>
              <w:ind w:left="22"/>
              <w:rPr>
                <w:rFonts w:ascii="Calibri"/>
                <w:sz w:val="13"/>
              </w:rPr>
            </w:pPr>
            <w:r>
              <w:rPr>
                <w:rFonts w:ascii="Calibri"/>
                <w:w w:val="104"/>
                <w:sz w:val="13"/>
              </w:rPr>
              <w:t>1</w:t>
            </w:r>
          </w:p>
          <w:p>
            <w:pPr>
              <w:pStyle w:val="TableParagraph"/>
              <w:spacing w:before="11"/>
              <w:ind w:left="22"/>
              <w:rPr>
                <w:rFonts w:ascii="Calibri"/>
                <w:sz w:val="13"/>
              </w:rPr>
            </w:pPr>
            <w:r>
              <w:rPr>
                <w:rFonts w:ascii="Calibri"/>
                <w:w w:val="104"/>
                <w:sz w:val="13"/>
              </w:rPr>
              <w:t>1</w:t>
            </w:r>
          </w:p>
        </w:tc>
        <w:tc>
          <w:tcPr>
            <w:tcW w:w="702" w:type="dxa"/>
            <w:tcBorders>
              <w:right w:val="single" w:sz="9" w:space="0" w:color="000000"/>
            </w:tcBorders>
            <w:shd w:val="clear" w:color="auto" w:fill="67ED4D"/>
          </w:tcPr>
          <w:p>
            <w:pPr>
              <w:pStyle w:val="TableParagraph"/>
              <w:spacing w:before="6"/>
              <w:ind w:left="34"/>
              <w:rPr>
                <w:rFonts w:ascii="Calibri"/>
                <w:sz w:val="13"/>
              </w:rPr>
            </w:pPr>
            <w:r>
              <w:rPr>
                <w:rFonts w:ascii="Calibri"/>
                <w:w w:val="104"/>
                <w:sz w:val="13"/>
              </w:rPr>
              <w:t>1</w:t>
            </w:r>
          </w:p>
          <w:p>
            <w:pPr>
              <w:pStyle w:val="TableParagraph"/>
              <w:spacing w:before="11"/>
              <w:ind w:left="34"/>
              <w:rPr>
                <w:rFonts w:ascii="Calibri"/>
                <w:sz w:val="13"/>
              </w:rPr>
            </w:pPr>
            <w:r>
              <w:rPr>
                <w:rFonts w:ascii="Calibri"/>
                <w:w w:val="104"/>
                <w:sz w:val="13"/>
              </w:rPr>
              <w:t>1</w:t>
            </w:r>
          </w:p>
        </w:tc>
      </w:tr>
      <w:tr>
        <w:trPr>
          <w:trHeight w:val="176" w:hRule="exact"/>
        </w:trPr>
        <w:tc>
          <w:tcPr>
            <w:tcW w:w="762" w:type="dxa"/>
            <w:tcBorders>
              <w:left w:val="single" w:sz="5" w:space="0" w:color="000000"/>
            </w:tcBorders>
          </w:tcPr>
          <w:p>
            <w:pPr/>
          </w:p>
        </w:tc>
        <w:tc>
          <w:tcPr>
            <w:tcW w:w="1999" w:type="dxa"/>
          </w:tcPr>
          <w:p>
            <w:pPr/>
          </w:p>
        </w:tc>
        <w:tc>
          <w:tcPr>
            <w:tcW w:w="2813" w:type="dxa"/>
          </w:tcPr>
          <w:p>
            <w:pPr>
              <w:pStyle w:val="TableParagraph"/>
              <w:spacing w:before="3"/>
              <w:ind w:right="111"/>
              <w:jc w:val="right"/>
              <w:rPr>
                <w:sz w:val="13"/>
              </w:rPr>
            </w:pPr>
            <w:r>
              <w:rPr>
                <w:color w:val="808080"/>
                <w:sz w:val="13"/>
              </w:rPr>
              <w:t>Subtotal</w:t>
            </w:r>
          </w:p>
        </w:tc>
        <w:tc>
          <w:tcPr>
            <w:tcW w:w="727" w:type="dxa"/>
          </w:tcPr>
          <w:p>
            <w:pPr>
              <w:pStyle w:val="TableParagraph"/>
              <w:spacing w:before="1"/>
              <w:ind w:left="22"/>
              <w:rPr>
                <w:rFonts w:ascii="Calibri"/>
                <w:sz w:val="13"/>
              </w:rPr>
            </w:pPr>
            <w:r>
              <w:rPr>
                <w:rFonts w:ascii="Calibri"/>
                <w:w w:val="104"/>
                <w:sz w:val="13"/>
              </w:rPr>
              <w:t>2</w:t>
            </w:r>
          </w:p>
        </w:tc>
        <w:tc>
          <w:tcPr>
            <w:tcW w:w="702" w:type="dxa"/>
            <w:tcBorders>
              <w:right w:val="single" w:sz="9" w:space="0" w:color="000000"/>
            </w:tcBorders>
            <w:shd w:val="clear" w:color="auto" w:fill="67ED4D"/>
          </w:tcPr>
          <w:p>
            <w:pPr>
              <w:pStyle w:val="TableParagraph"/>
              <w:spacing w:before="1"/>
              <w:ind w:left="34"/>
              <w:rPr>
                <w:rFonts w:ascii="Calibri"/>
                <w:sz w:val="13"/>
              </w:rPr>
            </w:pPr>
            <w:r>
              <w:rPr>
                <w:rFonts w:ascii="Calibri"/>
                <w:w w:val="104"/>
                <w:sz w:val="13"/>
              </w:rPr>
              <w:t>2</w:t>
            </w:r>
          </w:p>
        </w:tc>
      </w:tr>
      <w:tr>
        <w:trPr>
          <w:trHeight w:val="510" w:hRule="exact"/>
        </w:trPr>
        <w:tc>
          <w:tcPr>
            <w:tcW w:w="762" w:type="dxa"/>
            <w:tcBorders>
              <w:left w:val="single" w:sz="5" w:space="0" w:color="000000"/>
              <w:bottom w:val="single" w:sz="9" w:space="0" w:color="000000"/>
            </w:tcBorders>
          </w:tcPr>
          <w:p>
            <w:pPr/>
          </w:p>
        </w:tc>
        <w:tc>
          <w:tcPr>
            <w:tcW w:w="1999" w:type="dxa"/>
            <w:tcBorders>
              <w:bottom w:val="single" w:sz="9" w:space="0" w:color="000000"/>
            </w:tcBorders>
          </w:tcPr>
          <w:p>
            <w:pPr/>
          </w:p>
        </w:tc>
        <w:tc>
          <w:tcPr>
            <w:tcW w:w="2813" w:type="dxa"/>
            <w:tcBorders>
              <w:bottom w:val="single" w:sz="9" w:space="0" w:color="000000"/>
            </w:tcBorders>
          </w:tcPr>
          <w:p>
            <w:pPr>
              <w:pStyle w:val="TableParagraph"/>
              <w:spacing w:before="4"/>
              <w:jc w:val="left"/>
              <w:rPr>
                <w:sz w:val="14"/>
              </w:rPr>
            </w:pPr>
          </w:p>
          <w:p>
            <w:pPr>
              <w:pStyle w:val="TableParagraph"/>
              <w:ind w:right="103"/>
              <w:jc w:val="right"/>
              <w:rPr>
                <w:rFonts w:ascii="Calibri"/>
                <w:sz w:val="13"/>
              </w:rPr>
            </w:pPr>
            <w:r>
              <w:rPr>
                <w:rFonts w:ascii="Calibri"/>
                <w:sz w:val="13"/>
              </w:rPr>
              <w:t>Total</w:t>
            </w:r>
          </w:p>
        </w:tc>
        <w:tc>
          <w:tcPr>
            <w:tcW w:w="727" w:type="dxa"/>
            <w:tcBorders>
              <w:bottom w:val="single" w:sz="9" w:space="0" w:color="000000"/>
            </w:tcBorders>
          </w:tcPr>
          <w:p>
            <w:pPr>
              <w:pStyle w:val="TableParagraph"/>
              <w:spacing w:before="4"/>
              <w:jc w:val="left"/>
              <w:rPr>
                <w:sz w:val="14"/>
              </w:rPr>
            </w:pPr>
          </w:p>
          <w:p>
            <w:pPr>
              <w:pStyle w:val="TableParagraph"/>
              <w:tabs>
                <w:tab w:pos="249" w:val="left" w:leader="none"/>
                <w:tab w:pos="737" w:val="left" w:leader="none"/>
              </w:tabs>
              <w:ind w:right="-11"/>
              <w:rPr>
                <w:rFonts w:ascii="Calibri"/>
                <w:sz w:val="13"/>
              </w:rPr>
            </w:pPr>
            <w:r>
              <w:rPr>
                <w:rFonts w:ascii="Times New Roman"/>
                <w:w w:val="104"/>
                <w:sz w:val="13"/>
                <w:shd w:fill="FFFF00" w:color="auto" w:val="clear"/>
              </w:rPr>
              <w:t> </w:t>
            </w:r>
            <w:r>
              <w:rPr>
                <w:rFonts w:ascii="Times New Roman"/>
                <w:sz w:val="13"/>
                <w:shd w:fill="FFFF00" w:color="auto" w:val="clear"/>
              </w:rPr>
              <w:tab/>
            </w:r>
            <w:r>
              <w:rPr>
                <w:rFonts w:ascii="Calibri"/>
                <w:w w:val="105"/>
                <w:sz w:val="13"/>
                <w:shd w:fill="FFFF00" w:color="auto" w:val="clear"/>
              </w:rPr>
              <w:t>18.3</w:t>
            </w:r>
            <w:r>
              <w:rPr>
                <w:rFonts w:ascii="Calibri"/>
                <w:sz w:val="13"/>
                <w:shd w:fill="FFFF00" w:color="auto" w:val="clear"/>
              </w:rPr>
              <w:tab/>
            </w:r>
          </w:p>
        </w:tc>
        <w:tc>
          <w:tcPr>
            <w:tcW w:w="702" w:type="dxa"/>
            <w:tcBorders>
              <w:bottom w:val="single" w:sz="9" w:space="0" w:color="000000"/>
              <w:right w:val="single" w:sz="9" w:space="0" w:color="000000"/>
            </w:tcBorders>
          </w:tcPr>
          <w:p>
            <w:pPr>
              <w:pStyle w:val="TableParagraph"/>
              <w:spacing w:before="4"/>
              <w:jc w:val="left"/>
              <w:rPr>
                <w:sz w:val="14"/>
              </w:rPr>
            </w:pPr>
          </w:p>
          <w:p>
            <w:pPr>
              <w:pStyle w:val="TableParagraph"/>
              <w:ind w:left="273" w:right="238"/>
              <w:rPr>
                <w:rFonts w:ascii="Calibri"/>
                <w:sz w:val="13"/>
              </w:rPr>
            </w:pPr>
            <w:r>
              <w:rPr>
                <w:rFonts w:ascii="Calibri"/>
                <w:w w:val="105"/>
                <w:sz w:val="13"/>
              </w:rPr>
              <w:t>24</w:t>
            </w:r>
          </w:p>
        </w:tc>
      </w:tr>
    </w:tbl>
    <w:p>
      <w:pPr>
        <w:pStyle w:val="BodyText"/>
        <w:spacing w:before="1"/>
        <w:rPr>
          <w:sz w:val="22"/>
        </w:rPr>
      </w:pPr>
    </w:p>
    <w:p>
      <w:pPr>
        <w:spacing w:before="0"/>
        <w:ind w:left="268" w:right="0" w:firstLine="0"/>
        <w:jc w:val="both"/>
        <w:rPr>
          <w:sz w:val="21"/>
        </w:rPr>
      </w:pPr>
      <w:r>
        <w:rPr/>
        <w:pict>
          <v:group style="position:absolute;margin-left:378.311737pt;margin-top:-201.280212pt;width:36.9pt;height:35.2pt;mso-position-horizontal-relative:page;mso-position-vertical-relative:paragraph;z-index:-1153696" coordorigin="7566,-4026" coordsize="738,704">
            <v:line style="position:absolute" from="7572,-4020" to="7572,-3838" stroked="true" strokeweight=".56748pt" strokecolor="#ffff00"/>
            <v:rect style="position:absolute;left:7578;top:-4020;width:726;height:181" filled="true" fillcolor="#ffff00" stroked="false">
              <v:fill type="solid"/>
            </v:rect>
            <v:line style="position:absolute" from="7572,-3838" to="7572,-3668" stroked="true" strokeweight=".56748pt" strokecolor="#ffff00"/>
            <v:rect style="position:absolute;left:7578;top:-3838;width:726;height:170" filled="true" fillcolor="#ffff00" stroked="false">
              <v:fill type="solid"/>
            </v:rect>
            <v:line style="position:absolute" from="7572,-3668" to="7572,-3328" stroked="true" strokeweight=".56748pt" strokecolor="#ffff00"/>
            <v:rect style="position:absolute;left:7578;top:-3668;width:726;height:340" filled="true" fillcolor="#ffff00" stroked="false">
              <v:fill type="solid"/>
            </v:rect>
            <w10:wrap type="none"/>
          </v:group>
        </w:pict>
      </w:r>
      <w:r>
        <w:rPr/>
        <w:pict>
          <v:group style="position:absolute;margin-left:378.311737pt;margin-top:-158.752213pt;width:36.9pt;height:35.2pt;mso-position-horizontal-relative:page;mso-position-vertical-relative:paragraph;z-index:-1153672" coordorigin="7566,-3175" coordsize="738,704">
            <v:line style="position:absolute" from="7572,-3169" to="7572,-2988" stroked="true" strokeweight=".56748pt" strokecolor="#ffff00"/>
            <v:rect style="position:absolute;left:7578;top:-3169;width:726;height:181" filled="true" fillcolor="#ffff00" stroked="false">
              <v:fill type="solid"/>
            </v:rect>
            <v:line style="position:absolute" from="7572,-2988" to="7572,-2817" stroked="true" strokeweight=".56748pt" strokecolor="#ffff00"/>
            <v:rect style="position:absolute;left:7578;top:-2988;width:726;height:170" filled="true" fillcolor="#ffff00" stroked="false">
              <v:fill type="solid"/>
            </v:rect>
            <v:line style="position:absolute" from="7572,-2817" to="7572,-2477" stroked="true" strokeweight=".56748pt" strokecolor="#ffff00"/>
            <v:rect style="position:absolute;left:7578;top:-2817;width:726;height:340" filled="true" fillcolor="#ffff00" stroked="false">
              <v:fill type="solid"/>
            </v:rect>
            <w10:wrap type="none"/>
          </v:group>
        </w:pict>
      </w:r>
      <w:r>
        <w:rPr/>
        <w:pict>
          <v:group style="position:absolute;margin-left:378.311737pt;margin-top:-116.224213pt;width:36.9pt;height:43.7pt;mso-position-horizontal-relative:page;mso-position-vertical-relative:paragraph;z-index:-1153648" coordorigin="7566,-2324" coordsize="738,874">
            <v:line style="position:absolute" from="7572,-2318" to="7572,-2137" stroked="true" strokeweight=".56748pt" strokecolor="#ffff00"/>
            <v:rect style="position:absolute;left:7578;top:-2318;width:726;height:181" filled="true" fillcolor="#ffff00" stroked="false">
              <v:fill type="solid"/>
            </v:rect>
            <v:line style="position:absolute" from="7572,-2137" to="7572,-1967" stroked="true" strokeweight=".56748pt" strokecolor="#ffff00"/>
            <v:rect style="position:absolute;left:7578;top:-2137;width:726;height:170" filled="true" fillcolor="#ffff00" stroked="false">
              <v:fill type="solid"/>
            </v:rect>
            <v:line style="position:absolute" from="7572,-1967" to="7572,-1797" stroked="true" strokeweight=".56748pt" strokecolor="#ffff00"/>
            <v:rect style="position:absolute;left:7578;top:-1967;width:726;height:170" filled="true" fillcolor="#ffff00" stroked="false">
              <v:fill type="solid"/>
            </v:rect>
            <v:line style="position:absolute" from="7572,-1797" to="7572,-1457" stroked="true" strokeweight=".56748pt" strokecolor="#ffff00"/>
            <v:rect style="position:absolute;left:7578;top:-1797;width:726;height:340" filled="true" fillcolor="#ffff00" stroked="false">
              <v:fill type="solid"/>
            </v:rect>
            <w10:wrap type="none"/>
          </v:group>
        </w:pict>
      </w:r>
      <w:r>
        <w:rPr/>
        <w:pict>
          <v:group style="position:absolute;margin-left:378.311737pt;margin-top:-65.191208pt;width:36.9pt;height:26.7pt;mso-position-horizontal-relative:page;mso-position-vertical-relative:paragraph;z-index:-1153624" coordorigin="7566,-1304" coordsize="738,534">
            <v:line style="position:absolute" from="7572,-1298" to="7572,-1116" stroked="true" strokeweight=".56748pt" strokecolor="#ffff00"/>
            <v:rect style="position:absolute;left:7578;top:-1298;width:726;height:181" filled="true" fillcolor="#ffff00" stroked="false">
              <v:fill type="solid"/>
            </v:rect>
            <v:line style="position:absolute" from="7572,-1116" to="7572,-776" stroked="true" strokeweight=".56748pt" strokecolor="#ffff00"/>
            <v:rect style="position:absolute;left:7578;top:-1116;width:726;height:340" filled="true" fillcolor="#ffff00" stroked="false">
              <v:fill type="solid"/>
            </v:rect>
            <w10:wrap type="none"/>
          </v:group>
        </w:pict>
      </w:r>
      <w:r>
        <w:rPr/>
        <w:pict>
          <v:rect style="position:absolute;margin-left:414.619995pt;margin-top:-30.86968pt;width:35.7254pt;height:9.072570pt;mso-position-horizontal-relative:page;mso-position-vertical-relative:paragraph;z-index:-1153600" filled="true" fillcolor="#67ed4d" stroked="false">
            <v:fill type="solid"/>
            <w10:wrap type="none"/>
          </v:rect>
        </w:pict>
      </w:r>
      <w:r>
        <w:rPr>
          <w:w w:val="105"/>
          <w:sz w:val="21"/>
        </w:rPr>
        <w:t>Fuente: Elaboración propia con base al análisis y clasificación de indicadores.</w:t>
      </w:r>
    </w:p>
    <w:p>
      <w:pPr>
        <w:pStyle w:val="BodyText"/>
        <w:spacing w:before="2"/>
        <w:rPr>
          <w:sz w:val="21"/>
        </w:rPr>
      </w:pPr>
    </w:p>
    <w:p>
      <w:pPr>
        <w:pStyle w:val="BodyText"/>
        <w:spacing w:line="360" w:lineRule="auto"/>
        <w:ind w:left="268" w:right="232"/>
        <w:jc w:val="both"/>
      </w:pPr>
      <w:r>
        <w:rPr/>
        <w:t>Para el subíndice de autorizaciones se evalúan las características de vivienda, usos de suelo en relación a la normatividad existente, así como el conocimiento  del manejo de un plan ambiental en el desarrollo</w:t>
      </w:r>
      <w:r>
        <w:rPr>
          <w:spacing w:val="-2"/>
        </w:rPr>
        <w:t> </w:t>
      </w:r>
      <w:r>
        <w:rPr/>
        <w:t>habitacional.</w:t>
      </w:r>
    </w:p>
    <w:p>
      <w:pPr>
        <w:pStyle w:val="BodyText"/>
        <w:spacing w:line="360" w:lineRule="auto" w:before="122"/>
        <w:ind w:left="268" w:right="231"/>
        <w:jc w:val="both"/>
      </w:pPr>
      <w:r>
        <w:rPr/>
        <w:t>Un indicador primordial en el análisis ambiental es el abastecimiento de agua potable con el que cuenta el conjunto urbano por lo que se considera un subíndice del agua.</w:t>
      </w:r>
    </w:p>
    <w:p>
      <w:pPr>
        <w:pStyle w:val="BodyText"/>
        <w:spacing w:line="360" w:lineRule="auto" w:before="122"/>
        <w:ind w:left="268" w:right="231"/>
        <w:jc w:val="both"/>
      </w:pPr>
      <w:r>
        <w:rPr/>
        <w:t>El subíndice de infraestructura analiza la situación de la infraestructura con la cuenta el conjunto urbano; considerando que las redes de infraestructura de las redes  construidas  deben  cumplir  con  las  normas,  estándares  y      dictámenes</w:t>
      </w:r>
    </w:p>
    <w:p>
      <w:pPr>
        <w:spacing w:after="0" w:line="360" w:lineRule="auto"/>
        <w:jc w:val="both"/>
        <w:sectPr>
          <w:footerReference w:type="default" r:id="rId77"/>
          <w:pgSz w:w="12240" w:h="15840"/>
          <w:pgMar w:footer="1066" w:header="730" w:top="1320" w:bottom="1260" w:left="1720" w:right="1180"/>
          <w:pgNumType w:start="111"/>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4456" from="93.199997pt,-19.614155pt" to="546.799997pt,-19.614155pt" stroked="true" strokeweight=".479981pt" strokecolor="#000000">
            <w10:wrap type="none"/>
          </v:line>
        </w:pict>
      </w:r>
      <w:r>
        <w:rPr/>
        <w:t>respectivos emitidos por la autoridad correspondiente cuentan con procesos que garantizan su desarrollo.</w:t>
      </w:r>
    </w:p>
    <w:p>
      <w:pPr>
        <w:pStyle w:val="BodyText"/>
        <w:spacing w:line="360" w:lineRule="auto" w:before="122"/>
        <w:ind w:left="268" w:right="231"/>
        <w:jc w:val="both"/>
      </w:pPr>
      <w:r>
        <w:rPr/>
        <w:t>Para el subíndice de áreas verdes se consideran indicadores que permiten evaluar las áreas verdes con las que se autorizaron los desarrollos habitacionales en este sentido la correlación de los indicadores permite evaluar si los metros cuadrados de área verde con la que cuentan cumple con las normas mundialmente  aceptadas y emitidas por Organización Mundial de la Salud (OMS) y la Organización de las Naciones Unidas</w:t>
      </w:r>
      <w:r>
        <w:rPr>
          <w:spacing w:val="-1"/>
        </w:rPr>
        <w:t> </w:t>
      </w:r>
      <w:r>
        <w:rPr/>
        <w:t>(ONU).</w:t>
      </w:r>
    </w:p>
    <w:p>
      <w:pPr>
        <w:pStyle w:val="BodyText"/>
        <w:spacing w:line="360" w:lineRule="auto" w:before="127"/>
        <w:ind w:left="268" w:right="231"/>
        <w:jc w:val="both"/>
      </w:pPr>
      <w:r>
        <w:rPr/>
        <w:t>El subíndice de manejo de residuos sólidos contempla el análisis de datos relacionados con la recolección separación y disposición de los residuos sólidos  en la relación al desarrollo habitacional.</w:t>
      </w:r>
    </w:p>
    <w:p>
      <w:pPr>
        <w:pStyle w:val="BodyText"/>
        <w:spacing w:line="360" w:lineRule="auto" w:before="122"/>
        <w:ind w:left="268" w:right="231"/>
        <w:jc w:val="both"/>
      </w:pPr>
      <w:r>
        <w:rPr/>
        <w:t>La producción de vivienda, su equipamiento, infraestructura y urbanización puede  o no realizarse con elementos y técnicas ecológicas para aminorar el impacto ambiental que tiene la utilización de ciertos materiales. Por lo que el penúltimo subíndice ambiental evalúa la utilización de</w:t>
      </w:r>
      <w:r>
        <w:rPr>
          <w:spacing w:val="-2"/>
        </w:rPr>
        <w:t> </w:t>
      </w:r>
      <w:r>
        <w:rPr/>
        <w:t>ecotecnologías.</w:t>
      </w:r>
    </w:p>
    <w:p>
      <w:pPr>
        <w:pStyle w:val="BodyText"/>
        <w:spacing w:line="360" w:lineRule="auto" w:before="122"/>
        <w:ind w:left="268" w:right="231"/>
        <w:jc w:val="both"/>
      </w:pPr>
      <w:r>
        <w:rPr/>
        <w:t>Para garantizar la sustentabilidad ambiental de un desarrollo habitacional se consideró evaluar la existencia de educación ambiental en los habitantes y el conjunto urbano.</w:t>
      </w:r>
    </w:p>
    <w:p>
      <w:pPr>
        <w:pStyle w:val="BodyText"/>
        <w:spacing w:line="360" w:lineRule="auto" w:before="122"/>
        <w:ind w:left="268" w:right="231"/>
        <w:jc w:val="both"/>
      </w:pPr>
      <w:r>
        <w:rPr/>
        <w:t>En este sentido, el índice de sustentabilidad ambiental para la evaluación de conjuntos urbanos cuenta con 24 puntos máximos que corresponden a un escenario óptimo en materia de sustentabilidad ambiental y de igual modo cuenta con un escenario deseable que equivale a la obtención de 18.6 puntos como mínimo para considerar en qué grado puede ser sustentable.</w:t>
      </w:r>
    </w:p>
    <w:p>
      <w:pPr>
        <w:pStyle w:val="BodyText"/>
        <w:spacing w:line="360" w:lineRule="auto" w:before="122"/>
        <w:ind w:left="268" w:right="231"/>
        <w:jc w:val="both"/>
      </w:pPr>
      <w:r>
        <w:rPr/>
        <w:t>La evaluación del índice económico se obtiene del análisis de cinco subíndices  que se componen de 11 Indicadores los cuales miden la relación de producción de vivienda por parte de los desarrolladores inmobiliarios con la obtención de datos  de tipo económico.</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before="69"/>
        <w:ind w:left="268"/>
        <w:jc w:val="both"/>
      </w:pPr>
      <w:r>
        <w:rPr/>
        <w:pict>
          <v:line style="position:absolute;mso-position-horizontal-relative:page;mso-position-vertical-relative:paragraph;z-index:4480" from="93.199997pt,-19.614155pt" to="546.799997pt,-19.614155pt" stroked="true" strokeweight=".479981pt" strokecolor="#000000">
            <w10:wrap type="none"/>
          </v:line>
        </w:pict>
      </w:r>
      <w:r>
        <w:rPr/>
        <w:pict>
          <v:group style="position:absolute;margin-left:450.532013pt;margin-top:67.932335pt;width:46.45pt;height:33.6pt;mso-position-horizontal-relative:page;mso-position-vertical-relative:paragraph;z-index:-1153528" coordorigin="9011,1359" coordsize="929,672">
            <v:shape style="position:absolute;left:9018;top:1366;width:2;height:657" coordorigin="9018,1366" coordsize="0,657" path="m9018,1366l9018,1594m9018,1580l9018,1808m9018,1794l9018,2022e" filled="false" stroked="true" strokeweight=".71404pt" strokecolor="#ffff00">
              <v:path arrowok="t"/>
            </v:shape>
            <v:rect style="position:absolute;left:9025;top:1366;width:914;height:656" filled="true" fillcolor="#ffff00" stroked="false">
              <v:fill type="solid"/>
            </v:rect>
            <w10:wrap type="none"/>
          </v:group>
        </w:pict>
      </w:r>
      <w:r>
        <w:rPr/>
        <w:pict>
          <v:group style="position:absolute;margin-left:450.532013pt;margin-top:110.737335pt;width:46.45pt;height:22.9pt;mso-position-horizontal-relative:page;mso-position-vertical-relative:paragraph;z-index:-1153504" coordorigin="9011,2215" coordsize="929,458">
            <v:shape style="position:absolute;left:9018;top:2222;width:2;height:443" coordorigin="9018,2222" coordsize="0,443" path="m9018,2222l9018,2451m9018,2436l9018,2665e" filled="false" stroked="true" strokeweight=".71404pt" strokecolor="#ffff00">
              <v:path arrowok="t"/>
            </v:shape>
            <v:rect style="position:absolute;left:9025;top:2222;width:914;height:442" filled="true" fillcolor="#ffff00" stroked="false">
              <v:fill type="solid"/>
            </v:rect>
            <w10:wrap type="none"/>
          </v:group>
        </w:pict>
      </w:r>
      <w:r>
        <w:rPr/>
        <w:pict>
          <v:group style="position:absolute;margin-left:450.532013pt;margin-top:142.840332pt;width:46.45pt;height:44.3pt;mso-position-horizontal-relative:page;mso-position-vertical-relative:paragraph;z-index:-1153480" coordorigin="9011,2857" coordsize="929,886">
            <v:shape style="position:absolute;left:9025;top:2864;width:914;height:443" coordorigin="9025,2864" coordsize="914,443" path="m9939,2864l9025,2864,9025,3093,9025,3307,9939,3307,9939,3093,9939,2864e" filled="true" fillcolor="#ffff00" stroked="false">
              <v:path arrowok="t"/>
              <v:fill type="solid"/>
            </v:shape>
            <v:line style="position:absolute" from="9018,2864" to="9018,3735" stroked="true" strokeweight=".71404pt" strokecolor="#ffff00"/>
            <v:rect style="position:absolute;left:9025;top:3307;width:914;height:428" filled="true" fillcolor="#ffff00" stroked="false">
              <v:fill type="solid"/>
            </v:rect>
            <w10:wrap type="none"/>
          </v:group>
        </w:pict>
      </w:r>
      <w:r>
        <w:rPr/>
        <w:t>Tabla 7. Estructura del índice de sustentabilidad económica.</w:t>
      </w:r>
    </w:p>
    <w:p>
      <w:pPr>
        <w:pStyle w:val="BodyText"/>
        <w:spacing w:before="10"/>
        <w:rPr>
          <w:sz w:val="11"/>
        </w:rPr>
      </w:pP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4"/>
        <w:gridCol w:w="3028"/>
        <w:gridCol w:w="2059"/>
        <w:gridCol w:w="959"/>
        <w:gridCol w:w="980"/>
        <w:gridCol w:w="885"/>
      </w:tblGrid>
      <w:tr>
        <w:trPr>
          <w:trHeight w:val="549" w:hRule="exact"/>
        </w:trPr>
        <w:tc>
          <w:tcPr>
            <w:tcW w:w="8816" w:type="dxa"/>
            <w:gridSpan w:val="6"/>
            <w:tcBorders>
              <w:bottom w:val="nil"/>
            </w:tcBorders>
            <w:shd w:val="clear" w:color="auto" w:fill="000000"/>
          </w:tcPr>
          <w:p>
            <w:pPr>
              <w:pStyle w:val="TableParagraph"/>
              <w:jc w:val="left"/>
              <w:rPr>
                <w:sz w:val="14"/>
              </w:rPr>
            </w:pPr>
          </w:p>
          <w:p>
            <w:pPr>
              <w:pStyle w:val="TableParagraph"/>
              <w:ind w:left="2919"/>
              <w:jc w:val="left"/>
              <w:rPr>
                <w:b/>
                <w:sz w:val="17"/>
              </w:rPr>
            </w:pPr>
            <w:r>
              <w:rPr>
                <w:b/>
                <w:color w:val="FFFFFF"/>
                <w:sz w:val="17"/>
              </w:rPr>
              <w:t>Índice de sustentabilidad económica</w:t>
            </w:r>
          </w:p>
        </w:tc>
      </w:tr>
      <w:tr>
        <w:trPr>
          <w:trHeight w:val="221" w:hRule="exact"/>
        </w:trPr>
        <w:tc>
          <w:tcPr>
            <w:tcW w:w="904" w:type="dxa"/>
            <w:tcBorders>
              <w:top w:val="single" w:sz="6" w:space="0" w:color="FFFFFF"/>
              <w:left w:val="single" w:sz="6" w:space="0" w:color="000000"/>
            </w:tcBorders>
            <w:shd w:val="clear" w:color="auto" w:fill="808080"/>
          </w:tcPr>
          <w:p>
            <w:pPr>
              <w:pStyle w:val="TableParagraph"/>
              <w:spacing w:line="186" w:lineRule="exact"/>
              <w:ind w:left="256"/>
              <w:jc w:val="left"/>
              <w:rPr>
                <w:b/>
                <w:sz w:val="17"/>
              </w:rPr>
            </w:pPr>
            <w:r>
              <w:rPr>
                <w:b/>
                <w:color w:val="FFFFFF"/>
                <w:sz w:val="17"/>
              </w:rPr>
              <w:t>Índice</w:t>
            </w:r>
          </w:p>
        </w:tc>
        <w:tc>
          <w:tcPr>
            <w:tcW w:w="3028" w:type="dxa"/>
            <w:tcBorders>
              <w:top w:val="single" w:sz="6" w:space="0" w:color="FFFFFF"/>
            </w:tcBorders>
            <w:shd w:val="clear" w:color="auto" w:fill="808080"/>
          </w:tcPr>
          <w:p>
            <w:pPr>
              <w:pStyle w:val="TableParagraph"/>
              <w:spacing w:line="186" w:lineRule="exact"/>
              <w:ind w:left="145"/>
              <w:jc w:val="left"/>
              <w:rPr>
                <w:b/>
                <w:sz w:val="17"/>
              </w:rPr>
            </w:pPr>
            <w:r>
              <w:rPr>
                <w:b/>
                <w:color w:val="FFFFFF"/>
                <w:sz w:val="17"/>
              </w:rPr>
              <w:t>Subíndice</w:t>
            </w:r>
          </w:p>
        </w:tc>
        <w:tc>
          <w:tcPr>
            <w:tcW w:w="2059" w:type="dxa"/>
            <w:tcBorders>
              <w:top w:val="single" w:sz="6" w:space="0" w:color="FFFFFF"/>
            </w:tcBorders>
            <w:shd w:val="clear" w:color="auto" w:fill="808080"/>
          </w:tcPr>
          <w:p>
            <w:pPr>
              <w:pStyle w:val="TableParagraph"/>
              <w:spacing w:line="186" w:lineRule="exact"/>
              <w:ind w:left="72"/>
              <w:jc w:val="left"/>
              <w:rPr>
                <w:b/>
                <w:sz w:val="17"/>
              </w:rPr>
            </w:pPr>
            <w:r>
              <w:rPr>
                <w:b/>
                <w:color w:val="FFFFFF"/>
                <w:sz w:val="17"/>
              </w:rPr>
              <w:t>Indicador</w:t>
            </w:r>
          </w:p>
        </w:tc>
        <w:tc>
          <w:tcPr>
            <w:tcW w:w="959" w:type="dxa"/>
            <w:tcBorders>
              <w:top w:val="single" w:sz="6" w:space="0" w:color="FFFFFF"/>
            </w:tcBorders>
            <w:shd w:val="clear" w:color="auto" w:fill="808080"/>
          </w:tcPr>
          <w:p>
            <w:pPr/>
          </w:p>
        </w:tc>
        <w:tc>
          <w:tcPr>
            <w:tcW w:w="1865" w:type="dxa"/>
            <w:gridSpan w:val="2"/>
            <w:tcBorders>
              <w:top w:val="single" w:sz="6" w:space="0" w:color="FFFFFF"/>
              <w:right w:val="single" w:sz="11" w:space="0" w:color="000000"/>
            </w:tcBorders>
            <w:shd w:val="clear" w:color="auto" w:fill="808080"/>
          </w:tcPr>
          <w:p>
            <w:pPr>
              <w:pStyle w:val="TableParagraph"/>
              <w:spacing w:line="186" w:lineRule="exact"/>
              <w:ind w:left="666"/>
              <w:jc w:val="left"/>
              <w:rPr>
                <w:b/>
                <w:sz w:val="17"/>
              </w:rPr>
            </w:pPr>
            <w:r>
              <w:rPr>
                <w:b/>
                <w:color w:val="FFFFFF"/>
                <w:sz w:val="17"/>
              </w:rPr>
              <w:t>Valores</w:t>
            </w:r>
          </w:p>
        </w:tc>
      </w:tr>
      <w:tr>
        <w:trPr>
          <w:trHeight w:val="114" w:hRule="exact"/>
        </w:trPr>
        <w:tc>
          <w:tcPr>
            <w:tcW w:w="8816" w:type="dxa"/>
            <w:gridSpan w:val="6"/>
            <w:tcBorders>
              <w:left w:val="single" w:sz="6" w:space="0" w:color="000000"/>
              <w:right w:val="single" w:sz="11" w:space="0" w:color="000000"/>
            </w:tcBorders>
          </w:tcPr>
          <w:p>
            <w:pPr/>
          </w:p>
        </w:tc>
      </w:tr>
      <w:tr>
        <w:trPr>
          <w:trHeight w:val="221" w:hRule="exact"/>
        </w:trPr>
        <w:tc>
          <w:tcPr>
            <w:tcW w:w="904" w:type="dxa"/>
            <w:vMerge w:val="restart"/>
            <w:tcBorders>
              <w:left w:val="single" w:sz="6" w:space="0" w:color="000000"/>
            </w:tcBorders>
          </w:tcPr>
          <w:p>
            <w:pPr/>
          </w:p>
        </w:tc>
        <w:tc>
          <w:tcPr>
            <w:tcW w:w="3028" w:type="dxa"/>
          </w:tcPr>
          <w:p>
            <w:pPr/>
          </w:p>
        </w:tc>
        <w:tc>
          <w:tcPr>
            <w:tcW w:w="2059" w:type="dxa"/>
          </w:tcPr>
          <w:p>
            <w:pPr/>
          </w:p>
        </w:tc>
        <w:tc>
          <w:tcPr>
            <w:tcW w:w="959" w:type="dxa"/>
          </w:tcPr>
          <w:p>
            <w:pPr/>
          </w:p>
        </w:tc>
        <w:tc>
          <w:tcPr>
            <w:tcW w:w="980" w:type="dxa"/>
          </w:tcPr>
          <w:p>
            <w:pPr>
              <w:pStyle w:val="TableParagraph"/>
              <w:spacing w:before="4"/>
              <w:ind w:left="134" w:right="58"/>
              <w:rPr>
                <w:b/>
                <w:sz w:val="17"/>
              </w:rPr>
            </w:pPr>
            <w:r>
              <w:rPr>
                <w:b/>
                <w:sz w:val="17"/>
              </w:rPr>
              <w:t>Deseable</w:t>
            </w:r>
          </w:p>
        </w:tc>
        <w:tc>
          <w:tcPr>
            <w:tcW w:w="885" w:type="dxa"/>
            <w:tcBorders>
              <w:right w:val="single" w:sz="11" w:space="0" w:color="000000"/>
            </w:tcBorders>
            <w:shd w:val="clear" w:color="auto" w:fill="67ED4D"/>
          </w:tcPr>
          <w:p>
            <w:pPr>
              <w:pStyle w:val="TableParagraph"/>
              <w:spacing w:before="4"/>
              <w:ind w:left="139" w:right="97"/>
              <w:rPr>
                <w:b/>
                <w:sz w:val="17"/>
              </w:rPr>
            </w:pPr>
            <w:r>
              <w:rPr>
                <w:b/>
                <w:sz w:val="17"/>
              </w:rPr>
              <w:t>Óptimo</w:t>
            </w:r>
          </w:p>
        </w:tc>
      </w:tr>
      <w:tr>
        <w:trPr>
          <w:trHeight w:val="217" w:hRule="exact"/>
        </w:trPr>
        <w:tc>
          <w:tcPr>
            <w:tcW w:w="904" w:type="dxa"/>
            <w:vMerge/>
            <w:tcBorders>
              <w:left w:val="single" w:sz="6" w:space="0" w:color="000000"/>
            </w:tcBorders>
          </w:tcPr>
          <w:p>
            <w:pPr/>
          </w:p>
        </w:tc>
        <w:tc>
          <w:tcPr>
            <w:tcW w:w="3028" w:type="dxa"/>
          </w:tcPr>
          <w:p>
            <w:pPr>
              <w:pStyle w:val="TableParagraph"/>
              <w:spacing w:line="203" w:lineRule="exact"/>
              <w:ind w:left="145"/>
              <w:jc w:val="left"/>
              <w:rPr>
                <w:rFonts w:ascii="Calibri" w:hAnsi="Calibri"/>
                <w:sz w:val="17"/>
              </w:rPr>
            </w:pPr>
            <w:r>
              <w:rPr>
                <w:rFonts w:ascii="Calibri" w:hAnsi="Calibri"/>
                <w:sz w:val="17"/>
              </w:rPr>
              <w:t>Situación de la vivienda</w:t>
            </w:r>
          </w:p>
        </w:tc>
        <w:tc>
          <w:tcPr>
            <w:tcW w:w="2059" w:type="dxa"/>
          </w:tcPr>
          <w:p>
            <w:pPr>
              <w:pStyle w:val="TableParagraph"/>
              <w:spacing w:line="203" w:lineRule="exact"/>
              <w:ind w:left="72"/>
              <w:jc w:val="left"/>
              <w:rPr>
                <w:rFonts w:ascii="Calibri"/>
                <w:sz w:val="17"/>
              </w:rPr>
            </w:pPr>
            <w:r>
              <w:rPr>
                <w:rFonts w:ascii="Calibri"/>
                <w:sz w:val="17"/>
              </w:rPr>
              <w:t>Precio</w:t>
            </w:r>
          </w:p>
        </w:tc>
        <w:tc>
          <w:tcPr>
            <w:tcW w:w="959" w:type="dxa"/>
          </w:tcPr>
          <w:p>
            <w:pPr/>
          </w:p>
        </w:tc>
        <w:tc>
          <w:tcPr>
            <w:tcW w:w="980" w:type="dxa"/>
          </w:tcPr>
          <w:p>
            <w:pPr>
              <w:pStyle w:val="TableParagraph"/>
              <w:spacing w:line="203" w:lineRule="exact"/>
              <w:ind w:left="134" w:right="51"/>
              <w:rPr>
                <w:rFonts w:ascii="Calibri"/>
                <w:sz w:val="17"/>
              </w:rPr>
            </w:pPr>
            <w:r>
              <w:rPr>
                <w:rFonts w:ascii="Calibri"/>
                <w:sz w:val="17"/>
              </w:rPr>
              <w:t>0.5</w:t>
            </w:r>
          </w:p>
        </w:tc>
        <w:tc>
          <w:tcPr>
            <w:tcW w:w="885" w:type="dxa"/>
            <w:tcBorders>
              <w:right w:val="single" w:sz="11" w:space="0" w:color="000000"/>
            </w:tcBorders>
            <w:shd w:val="clear" w:color="auto" w:fill="67ED4D"/>
          </w:tcPr>
          <w:p>
            <w:pPr>
              <w:pStyle w:val="TableParagraph"/>
              <w:spacing w:line="203" w:lineRule="exact"/>
              <w:ind w:left="43"/>
              <w:rPr>
                <w:rFonts w:ascii="Calibri"/>
                <w:sz w:val="17"/>
              </w:rPr>
            </w:pPr>
            <w:r>
              <w:rPr>
                <w:rFonts w:ascii="Calibri"/>
                <w:w w:val="100"/>
                <w:sz w:val="17"/>
              </w:rPr>
              <w:t>1</w:t>
            </w:r>
          </w:p>
        </w:tc>
      </w:tr>
      <w:tr>
        <w:trPr>
          <w:trHeight w:val="219" w:hRule="exact"/>
        </w:trPr>
        <w:tc>
          <w:tcPr>
            <w:tcW w:w="904" w:type="dxa"/>
            <w:vMerge/>
            <w:tcBorders>
              <w:left w:val="single" w:sz="6" w:space="0" w:color="000000"/>
            </w:tcBorders>
          </w:tcPr>
          <w:p>
            <w:pPr/>
          </w:p>
        </w:tc>
        <w:tc>
          <w:tcPr>
            <w:tcW w:w="3028" w:type="dxa"/>
          </w:tcPr>
          <w:p>
            <w:pPr/>
          </w:p>
        </w:tc>
        <w:tc>
          <w:tcPr>
            <w:tcW w:w="2059" w:type="dxa"/>
          </w:tcPr>
          <w:p>
            <w:pPr/>
          </w:p>
        </w:tc>
        <w:tc>
          <w:tcPr>
            <w:tcW w:w="959" w:type="dxa"/>
          </w:tcPr>
          <w:p>
            <w:pPr>
              <w:pStyle w:val="TableParagraph"/>
              <w:spacing w:line="194" w:lineRule="exact"/>
              <w:ind w:right="73"/>
              <w:jc w:val="right"/>
              <w:rPr>
                <w:sz w:val="17"/>
              </w:rPr>
            </w:pPr>
            <w:r>
              <w:rPr>
                <w:color w:val="808080"/>
                <w:sz w:val="17"/>
              </w:rPr>
              <w:t>Subtotal</w:t>
            </w:r>
          </w:p>
        </w:tc>
        <w:tc>
          <w:tcPr>
            <w:tcW w:w="980" w:type="dxa"/>
          </w:tcPr>
          <w:p>
            <w:pPr>
              <w:pStyle w:val="TableParagraph"/>
              <w:spacing w:line="203" w:lineRule="exact"/>
              <w:ind w:left="134" w:right="51"/>
              <w:rPr>
                <w:rFonts w:ascii="Calibri"/>
                <w:sz w:val="17"/>
              </w:rPr>
            </w:pPr>
            <w:r>
              <w:rPr>
                <w:rFonts w:ascii="Calibri"/>
                <w:sz w:val="17"/>
              </w:rPr>
              <w:t>0.5</w:t>
            </w:r>
          </w:p>
        </w:tc>
        <w:tc>
          <w:tcPr>
            <w:tcW w:w="885" w:type="dxa"/>
            <w:tcBorders>
              <w:right w:val="single" w:sz="11" w:space="0" w:color="000000"/>
            </w:tcBorders>
            <w:shd w:val="clear" w:color="auto" w:fill="67ED4D"/>
          </w:tcPr>
          <w:p>
            <w:pPr>
              <w:pStyle w:val="TableParagraph"/>
              <w:spacing w:line="201" w:lineRule="exact"/>
              <w:ind w:left="43"/>
              <w:rPr>
                <w:rFonts w:ascii="Calibri"/>
                <w:sz w:val="17"/>
              </w:rPr>
            </w:pPr>
            <w:r>
              <w:rPr>
                <w:rFonts w:ascii="Calibri"/>
                <w:w w:val="100"/>
                <w:sz w:val="17"/>
              </w:rPr>
              <w:t>1</w:t>
            </w:r>
          </w:p>
        </w:tc>
      </w:tr>
      <w:tr>
        <w:trPr>
          <w:trHeight w:val="200" w:hRule="exact"/>
        </w:trPr>
        <w:tc>
          <w:tcPr>
            <w:tcW w:w="8816" w:type="dxa"/>
            <w:gridSpan w:val="6"/>
            <w:tcBorders>
              <w:left w:val="single" w:sz="6" w:space="0" w:color="000000"/>
              <w:right w:val="single" w:sz="11" w:space="0" w:color="000000"/>
            </w:tcBorders>
          </w:tcPr>
          <w:p>
            <w:pPr/>
          </w:p>
        </w:tc>
      </w:tr>
      <w:tr>
        <w:trPr>
          <w:trHeight w:val="221" w:hRule="exact"/>
        </w:trPr>
        <w:tc>
          <w:tcPr>
            <w:tcW w:w="904" w:type="dxa"/>
            <w:tcBorders>
              <w:left w:val="single" w:sz="6" w:space="0" w:color="000000"/>
            </w:tcBorders>
          </w:tcPr>
          <w:p>
            <w:pPr/>
          </w:p>
        </w:tc>
        <w:tc>
          <w:tcPr>
            <w:tcW w:w="3028" w:type="dxa"/>
          </w:tcPr>
          <w:p>
            <w:pPr>
              <w:pStyle w:val="TableParagraph"/>
              <w:spacing w:before="2"/>
              <w:ind w:left="145"/>
              <w:jc w:val="left"/>
              <w:rPr>
                <w:rFonts w:ascii="Calibri" w:hAnsi="Calibri"/>
                <w:sz w:val="17"/>
              </w:rPr>
            </w:pPr>
            <w:r>
              <w:rPr>
                <w:rFonts w:ascii="Calibri" w:hAnsi="Calibri"/>
                <w:sz w:val="17"/>
              </w:rPr>
              <w:t>INEX (índice de excelencia en el servicio)</w:t>
            </w:r>
          </w:p>
        </w:tc>
        <w:tc>
          <w:tcPr>
            <w:tcW w:w="2059" w:type="dxa"/>
          </w:tcPr>
          <w:p>
            <w:pPr>
              <w:pStyle w:val="TableParagraph"/>
              <w:spacing w:before="2"/>
              <w:ind w:left="72"/>
              <w:jc w:val="left"/>
              <w:rPr>
                <w:rFonts w:ascii="Calibri"/>
                <w:sz w:val="17"/>
              </w:rPr>
            </w:pPr>
            <w:r>
              <w:rPr>
                <w:rFonts w:ascii="Calibri"/>
                <w:sz w:val="17"/>
              </w:rPr>
              <w:t>INEX del Infonavit</w:t>
            </w:r>
          </w:p>
        </w:tc>
        <w:tc>
          <w:tcPr>
            <w:tcW w:w="959" w:type="dxa"/>
          </w:tcPr>
          <w:p>
            <w:pPr/>
          </w:p>
        </w:tc>
        <w:tc>
          <w:tcPr>
            <w:tcW w:w="980" w:type="dxa"/>
          </w:tcPr>
          <w:p>
            <w:pPr>
              <w:pStyle w:val="TableParagraph"/>
              <w:spacing w:before="2"/>
              <w:ind w:left="134" w:right="51"/>
              <w:rPr>
                <w:rFonts w:ascii="Calibri"/>
                <w:sz w:val="17"/>
              </w:rPr>
            </w:pPr>
            <w:r>
              <w:rPr>
                <w:rFonts w:ascii="Calibri"/>
                <w:sz w:val="17"/>
              </w:rPr>
              <w:t>0.7</w:t>
            </w:r>
          </w:p>
        </w:tc>
        <w:tc>
          <w:tcPr>
            <w:tcW w:w="885" w:type="dxa"/>
            <w:tcBorders>
              <w:right w:val="single" w:sz="11" w:space="0" w:color="000000"/>
            </w:tcBorders>
            <w:shd w:val="clear" w:color="auto" w:fill="67ED4D"/>
          </w:tcPr>
          <w:p>
            <w:pPr>
              <w:pStyle w:val="TableParagraph"/>
              <w:spacing w:before="2"/>
              <w:ind w:left="43"/>
              <w:rPr>
                <w:rFonts w:ascii="Calibri"/>
                <w:sz w:val="17"/>
              </w:rPr>
            </w:pPr>
            <w:r>
              <w:rPr>
                <w:rFonts w:ascii="Calibri"/>
                <w:w w:val="100"/>
                <w:sz w:val="17"/>
              </w:rPr>
              <w:t>1</w:t>
            </w:r>
          </w:p>
        </w:tc>
      </w:tr>
      <w:tr>
        <w:trPr>
          <w:trHeight w:val="222" w:hRule="exact"/>
        </w:trPr>
        <w:tc>
          <w:tcPr>
            <w:tcW w:w="904" w:type="dxa"/>
            <w:tcBorders>
              <w:left w:val="single" w:sz="6" w:space="0" w:color="000000"/>
            </w:tcBorders>
          </w:tcPr>
          <w:p>
            <w:pPr/>
          </w:p>
        </w:tc>
        <w:tc>
          <w:tcPr>
            <w:tcW w:w="3028" w:type="dxa"/>
          </w:tcPr>
          <w:p>
            <w:pPr/>
          </w:p>
        </w:tc>
        <w:tc>
          <w:tcPr>
            <w:tcW w:w="2059" w:type="dxa"/>
          </w:tcPr>
          <w:p>
            <w:pPr/>
          </w:p>
        </w:tc>
        <w:tc>
          <w:tcPr>
            <w:tcW w:w="959" w:type="dxa"/>
          </w:tcPr>
          <w:p>
            <w:pPr>
              <w:pStyle w:val="TableParagraph"/>
              <w:spacing w:line="194" w:lineRule="exact"/>
              <w:ind w:right="73"/>
              <w:jc w:val="right"/>
              <w:rPr>
                <w:sz w:val="17"/>
              </w:rPr>
            </w:pPr>
            <w:r>
              <w:rPr>
                <w:color w:val="808080"/>
                <w:sz w:val="17"/>
              </w:rPr>
              <w:t>Subtotal</w:t>
            </w:r>
          </w:p>
        </w:tc>
        <w:tc>
          <w:tcPr>
            <w:tcW w:w="980" w:type="dxa"/>
          </w:tcPr>
          <w:p>
            <w:pPr>
              <w:pStyle w:val="TableParagraph"/>
              <w:spacing w:line="203" w:lineRule="exact"/>
              <w:ind w:left="134" w:right="51"/>
              <w:rPr>
                <w:rFonts w:ascii="Calibri"/>
                <w:sz w:val="17"/>
              </w:rPr>
            </w:pPr>
            <w:r>
              <w:rPr>
                <w:rFonts w:ascii="Calibri"/>
                <w:sz w:val="17"/>
              </w:rPr>
              <w:t>0.7</w:t>
            </w:r>
          </w:p>
        </w:tc>
        <w:tc>
          <w:tcPr>
            <w:tcW w:w="885" w:type="dxa"/>
            <w:tcBorders>
              <w:right w:val="single" w:sz="11" w:space="0" w:color="000000"/>
            </w:tcBorders>
            <w:shd w:val="clear" w:color="auto" w:fill="67ED4D"/>
          </w:tcPr>
          <w:p>
            <w:pPr>
              <w:pStyle w:val="TableParagraph"/>
              <w:spacing w:line="203" w:lineRule="exact"/>
              <w:ind w:left="43"/>
              <w:rPr>
                <w:rFonts w:ascii="Calibri"/>
                <w:sz w:val="17"/>
              </w:rPr>
            </w:pPr>
            <w:r>
              <w:rPr>
                <w:rFonts w:ascii="Calibri"/>
                <w:w w:val="100"/>
                <w:sz w:val="17"/>
              </w:rPr>
              <w:t>1</w:t>
            </w:r>
          </w:p>
        </w:tc>
      </w:tr>
      <w:tr>
        <w:trPr>
          <w:trHeight w:val="200" w:hRule="exact"/>
        </w:trPr>
        <w:tc>
          <w:tcPr>
            <w:tcW w:w="8816" w:type="dxa"/>
            <w:gridSpan w:val="6"/>
            <w:tcBorders>
              <w:left w:val="single" w:sz="6" w:space="0" w:color="000000"/>
              <w:right w:val="single" w:sz="11" w:space="0" w:color="000000"/>
            </w:tcBorders>
          </w:tcPr>
          <w:p>
            <w:pPr/>
          </w:p>
        </w:tc>
      </w:tr>
      <w:tr>
        <w:trPr>
          <w:trHeight w:val="223" w:hRule="exact"/>
        </w:trPr>
        <w:tc>
          <w:tcPr>
            <w:tcW w:w="904" w:type="dxa"/>
            <w:vMerge w:val="restart"/>
            <w:tcBorders>
              <w:left w:val="single" w:sz="6" w:space="0" w:color="000000"/>
            </w:tcBorders>
          </w:tcPr>
          <w:p>
            <w:pPr/>
          </w:p>
        </w:tc>
        <w:tc>
          <w:tcPr>
            <w:tcW w:w="3028" w:type="dxa"/>
          </w:tcPr>
          <w:p>
            <w:pPr/>
          </w:p>
        </w:tc>
        <w:tc>
          <w:tcPr>
            <w:tcW w:w="2059" w:type="dxa"/>
          </w:tcPr>
          <w:p>
            <w:pPr>
              <w:pStyle w:val="TableParagraph"/>
              <w:spacing w:before="2"/>
              <w:ind w:left="72"/>
              <w:jc w:val="left"/>
              <w:rPr>
                <w:rFonts w:ascii="Calibri"/>
                <w:sz w:val="17"/>
              </w:rPr>
            </w:pPr>
            <w:r>
              <w:rPr>
                <w:rFonts w:ascii="Calibri"/>
                <w:sz w:val="17"/>
              </w:rPr>
              <w:t>Ingresos al Estado</w:t>
            </w:r>
          </w:p>
        </w:tc>
        <w:tc>
          <w:tcPr>
            <w:tcW w:w="959" w:type="dxa"/>
          </w:tcPr>
          <w:p>
            <w:pPr/>
          </w:p>
        </w:tc>
        <w:tc>
          <w:tcPr>
            <w:tcW w:w="980" w:type="dxa"/>
          </w:tcPr>
          <w:p>
            <w:pPr>
              <w:pStyle w:val="TableParagraph"/>
              <w:spacing w:before="2"/>
              <w:ind w:left="134" w:right="51"/>
              <w:rPr>
                <w:rFonts w:ascii="Calibri"/>
                <w:sz w:val="17"/>
              </w:rPr>
            </w:pPr>
            <w:r>
              <w:rPr>
                <w:rFonts w:ascii="Calibri"/>
                <w:sz w:val="17"/>
              </w:rPr>
              <w:t>0.9</w:t>
            </w:r>
          </w:p>
        </w:tc>
        <w:tc>
          <w:tcPr>
            <w:tcW w:w="885" w:type="dxa"/>
            <w:tcBorders>
              <w:right w:val="single" w:sz="11" w:space="0" w:color="000000"/>
            </w:tcBorders>
            <w:shd w:val="clear" w:color="auto" w:fill="67ED4D"/>
          </w:tcPr>
          <w:p>
            <w:pPr>
              <w:pStyle w:val="TableParagraph"/>
              <w:spacing w:before="2"/>
              <w:ind w:left="43"/>
              <w:rPr>
                <w:rFonts w:ascii="Calibri"/>
                <w:sz w:val="17"/>
              </w:rPr>
            </w:pPr>
            <w:r>
              <w:rPr>
                <w:rFonts w:ascii="Calibri"/>
                <w:w w:val="100"/>
                <w:sz w:val="17"/>
              </w:rPr>
              <w:t>1</w:t>
            </w:r>
          </w:p>
        </w:tc>
      </w:tr>
      <w:tr>
        <w:trPr>
          <w:trHeight w:val="214" w:hRule="exact"/>
        </w:trPr>
        <w:tc>
          <w:tcPr>
            <w:tcW w:w="904" w:type="dxa"/>
            <w:vMerge/>
            <w:tcBorders>
              <w:left w:val="single" w:sz="6" w:space="0" w:color="000000"/>
            </w:tcBorders>
          </w:tcPr>
          <w:p>
            <w:pPr/>
          </w:p>
        </w:tc>
        <w:tc>
          <w:tcPr>
            <w:tcW w:w="3028" w:type="dxa"/>
          </w:tcPr>
          <w:p>
            <w:pPr>
              <w:pStyle w:val="TableParagraph"/>
              <w:spacing w:line="201" w:lineRule="exact"/>
              <w:ind w:left="145"/>
              <w:jc w:val="left"/>
              <w:rPr>
                <w:rFonts w:ascii="Calibri" w:hAnsi="Calibri"/>
                <w:sz w:val="17"/>
              </w:rPr>
            </w:pPr>
            <w:r>
              <w:rPr>
                <w:rFonts w:ascii="Calibri" w:hAnsi="Calibri"/>
                <w:sz w:val="17"/>
              </w:rPr>
              <w:t>Ingresos por autorización</w:t>
            </w:r>
          </w:p>
        </w:tc>
        <w:tc>
          <w:tcPr>
            <w:tcW w:w="2059" w:type="dxa"/>
          </w:tcPr>
          <w:p>
            <w:pPr>
              <w:pStyle w:val="TableParagraph"/>
              <w:spacing w:line="201" w:lineRule="exact"/>
              <w:ind w:left="72"/>
              <w:jc w:val="left"/>
              <w:rPr>
                <w:rFonts w:ascii="Calibri"/>
                <w:sz w:val="17"/>
              </w:rPr>
            </w:pPr>
            <w:r>
              <w:rPr>
                <w:rFonts w:ascii="Calibri"/>
                <w:sz w:val="17"/>
              </w:rPr>
              <w:t>Ingresos al Municipio</w:t>
            </w:r>
          </w:p>
        </w:tc>
        <w:tc>
          <w:tcPr>
            <w:tcW w:w="959" w:type="dxa"/>
          </w:tcPr>
          <w:p>
            <w:pPr/>
          </w:p>
        </w:tc>
        <w:tc>
          <w:tcPr>
            <w:tcW w:w="980" w:type="dxa"/>
          </w:tcPr>
          <w:p>
            <w:pPr>
              <w:pStyle w:val="TableParagraph"/>
              <w:spacing w:line="201" w:lineRule="exact"/>
              <w:ind w:left="134" w:right="51"/>
              <w:rPr>
                <w:rFonts w:ascii="Calibri"/>
                <w:sz w:val="17"/>
              </w:rPr>
            </w:pPr>
            <w:r>
              <w:rPr>
                <w:rFonts w:ascii="Calibri"/>
                <w:sz w:val="17"/>
              </w:rPr>
              <w:t>0.9</w:t>
            </w:r>
          </w:p>
        </w:tc>
        <w:tc>
          <w:tcPr>
            <w:tcW w:w="885" w:type="dxa"/>
            <w:tcBorders>
              <w:right w:val="single" w:sz="11" w:space="0" w:color="000000"/>
            </w:tcBorders>
            <w:shd w:val="clear" w:color="auto" w:fill="67ED4D"/>
          </w:tcPr>
          <w:p>
            <w:pPr>
              <w:pStyle w:val="TableParagraph"/>
              <w:spacing w:line="201" w:lineRule="exact"/>
              <w:ind w:left="43"/>
              <w:rPr>
                <w:rFonts w:ascii="Calibri"/>
                <w:sz w:val="17"/>
              </w:rPr>
            </w:pPr>
            <w:r>
              <w:rPr>
                <w:rFonts w:ascii="Calibri"/>
                <w:w w:val="100"/>
                <w:sz w:val="17"/>
              </w:rPr>
              <w:t>1</w:t>
            </w:r>
          </w:p>
        </w:tc>
      </w:tr>
      <w:tr>
        <w:trPr>
          <w:trHeight w:val="214" w:hRule="exact"/>
        </w:trPr>
        <w:tc>
          <w:tcPr>
            <w:tcW w:w="904" w:type="dxa"/>
            <w:vMerge/>
            <w:tcBorders>
              <w:left w:val="single" w:sz="6" w:space="0" w:color="000000"/>
            </w:tcBorders>
          </w:tcPr>
          <w:p>
            <w:pPr/>
          </w:p>
        </w:tc>
        <w:tc>
          <w:tcPr>
            <w:tcW w:w="3028" w:type="dxa"/>
          </w:tcPr>
          <w:p>
            <w:pPr/>
          </w:p>
        </w:tc>
        <w:tc>
          <w:tcPr>
            <w:tcW w:w="2059" w:type="dxa"/>
          </w:tcPr>
          <w:p>
            <w:pPr>
              <w:pStyle w:val="TableParagraph"/>
              <w:spacing w:line="201" w:lineRule="exact"/>
              <w:ind w:left="72"/>
              <w:jc w:val="left"/>
              <w:rPr>
                <w:rFonts w:ascii="Calibri"/>
                <w:sz w:val="17"/>
              </w:rPr>
            </w:pPr>
            <w:r>
              <w:rPr>
                <w:rFonts w:ascii="Calibri"/>
                <w:sz w:val="17"/>
              </w:rPr>
              <w:t>Ingresos al Desarrollador</w:t>
            </w:r>
          </w:p>
        </w:tc>
        <w:tc>
          <w:tcPr>
            <w:tcW w:w="959" w:type="dxa"/>
          </w:tcPr>
          <w:p>
            <w:pPr/>
          </w:p>
        </w:tc>
        <w:tc>
          <w:tcPr>
            <w:tcW w:w="980" w:type="dxa"/>
          </w:tcPr>
          <w:p>
            <w:pPr>
              <w:pStyle w:val="TableParagraph"/>
              <w:spacing w:line="201" w:lineRule="exact"/>
              <w:ind w:left="96"/>
              <w:rPr>
                <w:rFonts w:ascii="Calibri"/>
                <w:sz w:val="17"/>
              </w:rPr>
            </w:pPr>
            <w:r>
              <w:rPr>
                <w:rFonts w:ascii="Calibri"/>
                <w:w w:val="100"/>
                <w:sz w:val="17"/>
              </w:rPr>
              <w:t>1</w:t>
            </w:r>
          </w:p>
        </w:tc>
        <w:tc>
          <w:tcPr>
            <w:tcW w:w="885" w:type="dxa"/>
            <w:tcBorders>
              <w:right w:val="single" w:sz="11" w:space="0" w:color="000000"/>
            </w:tcBorders>
            <w:shd w:val="clear" w:color="auto" w:fill="67ED4D"/>
          </w:tcPr>
          <w:p>
            <w:pPr>
              <w:pStyle w:val="TableParagraph"/>
              <w:spacing w:line="201" w:lineRule="exact"/>
              <w:ind w:left="43"/>
              <w:rPr>
                <w:rFonts w:ascii="Calibri"/>
                <w:sz w:val="17"/>
              </w:rPr>
            </w:pPr>
            <w:r>
              <w:rPr>
                <w:rFonts w:ascii="Calibri"/>
                <w:w w:val="100"/>
                <w:sz w:val="17"/>
              </w:rPr>
              <w:t>1</w:t>
            </w:r>
          </w:p>
        </w:tc>
      </w:tr>
      <w:tr>
        <w:trPr>
          <w:trHeight w:val="219" w:hRule="exact"/>
        </w:trPr>
        <w:tc>
          <w:tcPr>
            <w:tcW w:w="904" w:type="dxa"/>
            <w:vMerge/>
            <w:tcBorders>
              <w:left w:val="single" w:sz="6" w:space="0" w:color="000000"/>
            </w:tcBorders>
          </w:tcPr>
          <w:p>
            <w:pPr/>
          </w:p>
        </w:tc>
        <w:tc>
          <w:tcPr>
            <w:tcW w:w="3028" w:type="dxa"/>
          </w:tcPr>
          <w:p>
            <w:pPr/>
          </w:p>
        </w:tc>
        <w:tc>
          <w:tcPr>
            <w:tcW w:w="2059" w:type="dxa"/>
          </w:tcPr>
          <w:p>
            <w:pPr/>
          </w:p>
        </w:tc>
        <w:tc>
          <w:tcPr>
            <w:tcW w:w="959" w:type="dxa"/>
          </w:tcPr>
          <w:p>
            <w:pPr>
              <w:pStyle w:val="TableParagraph"/>
              <w:spacing w:line="194" w:lineRule="exact"/>
              <w:ind w:right="73"/>
              <w:jc w:val="right"/>
              <w:rPr>
                <w:sz w:val="17"/>
              </w:rPr>
            </w:pPr>
            <w:r>
              <w:rPr>
                <w:color w:val="808080"/>
                <w:sz w:val="17"/>
              </w:rPr>
              <w:t>Subtotal</w:t>
            </w:r>
          </w:p>
        </w:tc>
        <w:tc>
          <w:tcPr>
            <w:tcW w:w="980" w:type="dxa"/>
          </w:tcPr>
          <w:p>
            <w:pPr>
              <w:pStyle w:val="TableParagraph"/>
              <w:spacing w:line="203" w:lineRule="exact"/>
              <w:ind w:left="134" w:right="51"/>
              <w:rPr>
                <w:rFonts w:ascii="Calibri"/>
                <w:sz w:val="17"/>
              </w:rPr>
            </w:pPr>
            <w:r>
              <w:rPr>
                <w:rFonts w:ascii="Calibri"/>
                <w:sz w:val="17"/>
              </w:rPr>
              <w:t>2.8</w:t>
            </w:r>
          </w:p>
        </w:tc>
        <w:tc>
          <w:tcPr>
            <w:tcW w:w="885" w:type="dxa"/>
            <w:tcBorders>
              <w:right w:val="single" w:sz="11" w:space="0" w:color="000000"/>
            </w:tcBorders>
            <w:shd w:val="clear" w:color="auto" w:fill="67ED4D"/>
          </w:tcPr>
          <w:p>
            <w:pPr>
              <w:pStyle w:val="TableParagraph"/>
              <w:spacing w:line="201" w:lineRule="exact"/>
              <w:ind w:left="43"/>
              <w:rPr>
                <w:rFonts w:ascii="Calibri"/>
                <w:sz w:val="17"/>
              </w:rPr>
            </w:pPr>
            <w:r>
              <w:rPr>
                <w:rFonts w:ascii="Calibri"/>
                <w:w w:val="100"/>
                <w:sz w:val="17"/>
              </w:rPr>
              <w:t>3</w:t>
            </w:r>
          </w:p>
        </w:tc>
      </w:tr>
      <w:tr>
        <w:trPr>
          <w:trHeight w:val="414" w:hRule="exact"/>
        </w:trPr>
        <w:tc>
          <w:tcPr>
            <w:tcW w:w="8816" w:type="dxa"/>
            <w:gridSpan w:val="6"/>
            <w:tcBorders>
              <w:left w:val="single" w:sz="6" w:space="0" w:color="000000"/>
              <w:right w:val="single" w:sz="11" w:space="0" w:color="000000"/>
            </w:tcBorders>
          </w:tcPr>
          <w:p>
            <w:pPr>
              <w:pStyle w:val="TableParagraph"/>
              <w:spacing w:before="88"/>
              <w:ind w:left="114"/>
              <w:jc w:val="left"/>
              <w:rPr>
                <w:rFonts w:ascii="Calibri" w:hAnsi="Calibri"/>
                <w:sz w:val="17"/>
              </w:rPr>
            </w:pPr>
            <w:r>
              <w:rPr>
                <w:rFonts w:ascii="Calibri" w:hAnsi="Calibri"/>
                <w:sz w:val="17"/>
              </w:rPr>
              <w:t>Económico</w:t>
            </w:r>
          </w:p>
        </w:tc>
      </w:tr>
      <w:tr>
        <w:trPr>
          <w:trHeight w:val="223" w:hRule="exact"/>
        </w:trPr>
        <w:tc>
          <w:tcPr>
            <w:tcW w:w="904" w:type="dxa"/>
            <w:tcBorders>
              <w:left w:val="single" w:sz="6" w:space="0" w:color="000000"/>
            </w:tcBorders>
          </w:tcPr>
          <w:p>
            <w:pPr/>
          </w:p>
        </w:tc>
        <w:tc>
          <w:tcPr>
            <w:tcW w:w="3028" w:type="dxa"/>
          </w:tcPr>
          <w:p>
            <w:pPr/>
          </w:p>
        </w:tc>
        <w:tc>
          <w:tcPr>
            <w:tcW w:w="2059" w:type="dxa"/>
          </w:tcPr>
          <w:p>
            <w:pPr>
              <w:pStyle w:val="TableParagraph"/>
              <w:spacing w:before="2"/>
              <w:ind w:left="72"/>
              <w:jc w:val="left"/>
              <w:rPr>
                <w:rFonts w:ascii="Calibri"/>
                <w:sz w:val="17"/>
              </w:rPr>
            </w:pPr>
            <w:r>
              <w:rPr>
                <w:rFonts w:ascii="Calibri"/>
                <w:sz w:val="17"/>
              </w:rPr>
              <w:t>Pago de CFE</w:t>
            </w:r>
          </w:p>
        </w:tc>
        <w:tc>
          <w:tcPr>
            <w:tcW w:w="959" w:type="dxa"/>
          </w:tcPr>
          <w:p>
            <w:pPr/>
          </w:p>
        </w:tc>
        <w:tc>
          <w:tcPr>
            <w:tcW w:w="980" w:type="dxa"/>
          </w:tcPr>
          <w:p>
            <w:pPr>
              <w:pStyle w:val="TableParagraph"/>
              <w:spacing w:before="2"/>
              <w:ind w:left="134" w:right="51"/>
              <w:rPr>
                <w:rFonts w:ascii="Calibri"/>
                <w:sz w:val="17"/>
              </w:rPr>
            </w:pPr>
            <w:r>
              <w:rPr>
                <w:rFonts w:ascii="Calibri"/>
                <w:sz w:val="17"/>
              </w:rPr>
              <w:t>0.7</w:t>
            </w:r>
          </w:p>
        </w:tc>
        <w:tc>
          <w:tcPr>
            <w:tcW w:w="885" w:type="dxa"/>
            <w:tcBorders>
              <w:right w:val="single" w:sz="11" w:space="0" w:color="000000"/>
            </w:tcBorders>
            <w:shd w:val="clear" w:color="auto" w:fill="67ED4D"/>
          </w:tcPr>
          <w:p>
            <w:pPr>
              <w:pStyle w:val="TableParagraph"/>
              <w:spacing w:before="2"/>
              <w:ind w:left="43"/>
              <w:rPr>
                <w:rFonts w:ascii="Calibri"/>
                <w:sz w:val="17"/>
              </w:rPr>
            </w:pPr>
            <w:r>
              <w:rPr>
                <w:rFonts w:ascii="Calibri"/>
                <w:w w:val="100"/>
                <w:sz w:val="17"/>
              </w:rPr>
              <w:t>1</w:t>
            </w:r>
          </w:p>
        </w:tc>
      </w:tr>
      <w:tr>
        <w:trPr>
          <w:trHeight w:val="214" w:hRule="exact"/>
        </w:trPr>
        <w:tc>
          <w:tcPr>
            <w:tcW w:w="904" w:type="dxa"/>
            <w:tcBorders>
              <w:left w:val="single" w:sz="6" w:space="0" w:color="000000"/>
            </w:tcBorders>
          </w:tcPr>
          <w:p>
            <w:pPr/>
          </w:p>
        </w:tc>
        <w:tc>
          <w:tcPr>
            <w:tcW w:w="3028" w:type="dxa"/>
          </w:tcPr>
          <w:p>
            <w:pPr/>
          </w:p>
        </w:tc>
        <w:tc>
          <w:tcPr>
            <w:tcW w:w="2059" w:type="dxa"/>
          </w:tcPr>
          <w:p>
            <w:pPr>
              <w:pStyle w:val="TableParagraph"/>
              <w:spacing w:line="201" w:lineRule="exact"/>
              <w:ind w:left="72"/>
              <w:jc w:val="left"/>
              <w:rPr>
                <w:rFonts w:ascii="Calibri"/>
                <w:sz w:val="17"/>
              </w:rPr>
            </w:pPr>
            <w:r>
              <w:rPr>
                <w:rFonts w:ascii="Calibri"/>
                <w:sz w:val="17"/>
              </w:rPr>
              <w:t>Pago de agua</w:t>
            </w:r>
          </w:p>
        </w:tc>
        <w:tc>
          <w:tcPr>
            <w:tcW w:w="959" w:type="dxa"/>
          </w:tcPr>
          <w:p>
            <w:pPr/>
          </w:p>
        </w:tc>
        <w:tc>
          <w:tcPr>
            <w:tcW w:w="980" w:type="dxa"/>
          </w:tcPr>
          <w:p>
            <w:pPr>
              <w:pStyle w:val="TableParagraph"/>
              <w:spacing w:line="201" w:lineRule="exact"/>
              <w:ind w:left="134" w:right="51"/>
              <w:rPr>
                <w:rFonts w:ascii="Calibri"/>
                <w:sz w:val="17"/>
              </w:rPr>
            </w:pPr>
            <w:r>
              <w:rPr>
                <w:rFonts w:ascii="Calibri"/>
                <w:sz w:val="17"/>
              </w:rPr>
              <w:t>0.7</w:t>
            </w:r>
          </w:p>
        </w:tc>
        <w:tc>
          <w:tcPr>
            <w:tcW w:w="885" w:type="dxa"/>
            <w:tcBorders>
              <w:right w:val="single" w:sz="11" w:space="0" w:color="000000"/>
            </w:tcBorders>
            <w:shd w:val="clear" w:color="auto" w:fill="67ED4D"/>
          </w:tcPr>
          <w:p>
            <w:pPr>
              <w:pStyle w:val="TableParagraph"/>
              <w:spacing w:line="201" w:lineRule="exact"/>
              <w:ind w:left="43"/>
              <w:rPr>
                <w:rFonts w:ascii="Calibri"/>
                <w:sz w:val="17"/>
              </w:rPr>
            </w:pPr>
            <w:r>
              <w:rPr>
                <w:rFonts w:ascii="Calibri"/>
                <w:w w:val="100"/>
                <w:sz w:val="17"/>
              </w:rPr>
              <w:t>1</w:t>
            </w:r>
          </w:p>
        </w:tc>
      </w:tr>
      <w:tr>
        <w:trPr>
          <w:trHeight w:val="214" w:hRule="exact"/>
        </w:trPr>
        <w:tc>
          <w:tcPr>
            <w:tcW w:w="904" w:type="dxa"/>
            <w:tcBorders>
              <w:left w:val="single" w:sz="6" w:space="0" w:color="000000"/>
            </w:tcBorders>
          </w:tcPr>
          <w:p>
            <w:pPr/>
          </w:p>
        </w:tc>
        <w:tc>
          <w:tcPr>
            <w:tcW w:w="3028" w:type="dxa"/>
          </w:tcPr>
          <w:p>
            <w:pPr>
              <w:pStyle w:val="TableParagraph"/>
              <w:spacing w:line="201" w:lineRule="exact"/>
              <w:ind w:left="145"/>
              <w:jc w:val="left"/>
              <w:rPr>
                <w:rFonts w:ascii="Calibri"/>
                <w:sz w:val="17"/>
              </w:rPr>
            </w:pPr>
            <w:r>
              <w:rPr>
                <w:rFonts w:ascii="Calibri"/>
                <w:sz w:val="17"/>
              </w:rPr>
              <w:t>Gastos de habitabilidad</w:t>
            </w:r>
          </w:p>
        </w:tc>
        <w:tc>
          <w:tcPr>
            <w:tcW w:w="2059" w:type="dxa"/>
          </w:tcPr>
          <w:p>
            <w:pPr>
              <w:pStyle w:val="TableParagraph"/>
              <w:spacing w:line="201" w:lineRule="exact"/>
              <w:ind w:left="72"/>
              <w:jc w:val="left"/>
              <w:rPr>
                <w:rFonts w:ascii="Calibri"/>
                <w:sz w:val="17"/>
              </w:rPr>
            </w:pPr>
            <w:r>
              <w:rPr>
                <w:rFonts w:ascii="Calibri"/>
                <w:sz w:val="17"/>
              </w:rPr>
              <w:t>Pago predial</w:t>
            </w:r>
          </w:p>
        </w:tc>
        <w:tc>
          <w:tcPr>
            <w:tcW w:w="959" w:type="dxa"/>
          </w:tcPr>
          <w:p>
            <w:pPr/>
          </w:p>
        </w:tc>
        <w:tc>
          <w:tcPr>
            <w:tcW w:w="980" w:type="dxa"/>
          </w:tcPr>
          <w:p>
            <w:pPr>
              <w:pStyle w:val="TableParagraph"/>
              <w:spacing w:line="201" w:lineRule="exact"/>
              <w:ind w:left="134" w:right="51"/>
              <w:rPr>
                <w:rFonts w:ascii="Calibri"/>
                <w:sz w:val="17"/>
              </w:rPr>
            </w:pPr>
            <w:r>
              <w:rPr>
                <w:rFonts w:ascii="Calibri"/>
                <w:sz w:val="17"/>
              </w:rPr>
              <w:t>0.7</w:t>
            </w:r>
          </w:p>
        </w:tc>
        <w:tc>
          <w:tcPr>
            <w:tcW w:w="885" w:type="dxa"/>
            <w:tcBorders>
              <w:right w:val="single" w:sz="11" w:space="0" w:color="000000"/>
            </w:tcBorders>
            <w:shd w:val="clear" w:color="auto" w:fill="67ED4D"/>
          </w:tcPr>
          <w:p>
            <w:pPr>
              <w:pStyle w:val="TableParagraph"/>
              <w:spacing w:line="201" w:lineRule="exact"/>
              <w:ind w:left="43"/>
              <w:rPr>
                <w:rFonts w:ascii="Calibri"/>
                <w:sz w:val="17"/>
              </w:rPr>
            </w:pPr>
            <w:r>
              <w:rPr>
                <w:rFonts w:ascii="Calibri"/>
                <w:w w:val="100"/>
                <w:sz w:val="17"/>
              </w:rPr>
              <w:t>1</w:t>
            </w:r>
          </w:p>
        </w:tc>
      </w:tr>
      <w:tr>
        <w:trPr>
          <w:trHeight w:val="214" w:hRule="exact"/>
        </w:trPr>
        <w:tc>
          <w:tcPr>
            <w:tcW w:w="904" w:type="dxa"/>
            <w:tcBorders>
              <w:left w:val="single" w:sz="6" w:space="0" w:color="000000"/>
            </w:tcBorders>
          </w:tcPr>
          <w:p>
            <w:pPr/>
          </w:p>
        </w:tc>
        <w:tc>
          <w:tcPr>
            <w:tcW w:w="3028" w:type="dxa"/>
          </w:tcPr>
          <w:p>
            <w:pPr/>
          </w:p>
        </w:tc>
        <w:tc>
          <w:tcPr>
            <w:tcW w:w="2059" w:type="dxa"/>
          </w:tcPr>
          <w:p>
            <w:pPr>
              <w:pStyle w:val="TableParagraph"/>
              <w:spacing w:line="201" w:lineRule="exact"/>
              <w:ind w:left="72"/>
              <w:jc w:val="left"/>
              <w:rPr>
                <w:rFonts w:ascii="Calibri" w:hAnsi="Calibri"/>
                <w:sz w:val="17"/>
              </w:rPr>
            </w:pPr>
            <w:r>
              <w:rPr>
                <w:rFonts w:ascii="Calibri" w:hAnsi="Calibri"/>
                <w:sz w:val="17"/>
              </w:rPr>
              <w:t>Comunicación</w:t>
            </w:r>
          </w:p>
        </w:tc>
        <w:tc>
          <w:tcPr>
            <w:tcW w:w="959" w:type="dxa"/>
          </w:tcPr>
          <w:p>
            <w:pPr/>
          </w:p>
        </w:tc>
        <w:tc>
          <w:tcPr>
            <w:tcW w:w="980" w:type="dxa"/>
          </w:tcPr>
          <w:p>
            <w:pPr>
              <w:pStyle w:val="TableParagraph"/>
              <w:spacing w:line="201" w:lineRule="exact"/>
              <w:ind w:left="134" w:right="51"/>
              <w:rPr>
                <w:rFonts w:ascii="Calibri"/>
                <w:sz w:val="17"/>
              </w:rPr>
            </w:pPr>
            <w:r>
              <w:rPr>
                <w:rFonts w:ascii="Calibri"/>
                <w:sz w:val="17"/>
              </w:rPr>
              <w:t>0.7</w:t>
            </w:r>
          </w:p>
        </w:tc>
        <w:tc>
          <w:tcPr>
            <w:tcW w:w="885" w:type="dxa"/>
            <w:tcBorders>
              <w:right w:val="single" w:sz="11" w:space="0" w:color="000000"/>
            </w:tcBorders>
            <w:shd w:val="clear" w:color="auto" w:fill="67ED4D"/>
          </w:tcPr>
          <w:p>
            <w:pPr>
              <w:pStyle w:val="TableParagraph"/>
              <w:spacing w:line="201" w:lineRule="exact"/>
              <w:ind w:left="43"/>
              <w:rPr>
                <w:rFonts w:ascii="Calibri"/>
                <w:sz w:val="17"/>
              </w:rPr>
            </w:pPr>
            <w:r>
              <w:rPr>
                <w:rFonts w:ascii="Calibri"/>
                <w:w w:val="100"/>
                <w:sz w:val="17"/>
              </w:rPr>
              <w:t>1</w:t>
            </w:r>
          </w:p>
        </w:tc>
      </w:tr>
      <w:tr>
        <w:trPr>
          <w:trHeight w:val="211" w:hRule="exact"/>
        </w:trPr>
        <w:tc>
          <w:tcPr>
            <w:tcW w:w="904" w:type="dxa"/>
            <w:tcBorders>
              <w:left w:val="single" w:sz="6" w:space="0" w:color="000000"/>
            </w:tcBorders>
          </w:tcPr>
          <w:p>
            <w:pPr/>
          </w:p>
        </w:tc>
        <w:tc>
          <w:tcPr>
            <w:tcW w:w="3028" w:type="dxa"/>
          </w:tcPr>
          <w:p>
            <w:pPr/>
          </w:p>
        </w:tc>
        <w:tc>
          <w:tcPr>
            <w:tcW w:w="2059" w:type="dxa"/>
          </w:tcPr>
          <w:p>
            <w:pPr>
              <w:pStyle w:val="TableParagraph"/>
              <w:spacing w:line="201" w:lineRule="exact"/>
              <w:ind w:left="72"/>
              <w:jc w:val="left"/>
              <w:rPr>
                <w:rFonts w:ascii="Calibri"/>
                <w:sz w:val="17"/>
              </w:rPr>
            </w:pPr>
            <w:r>
              <w:rPr>
                <w:rFonts w:ascii="Calibri"/>
                <w:sz w:val="17"/>
              </w:rPr>
              <w:t>Comunidad</w:t>
            </w:r>
          </w:p>
        </w:tc>
        <w:tc>
          <w:tcPr>
            <w:tcW w:w="959" w:type="dxa"/>
          </w:tcPr>
          <w:p>
            <w:pPr/>
          </w:p>
        </w:tc>
        <w:tc>
          <w:tcPr>
            <w:tcW w:w="980" w:type="dxa"/>
          </w:tcPr>
          <w:p>
            <w:pPr>
              <w:pStyle w:val="TableParagraph"/>
              <w:spacing w:line="201" w:lineRule="exact"/>
              <w:ind w:left="134" w:right="51"/>
              <w:rPr>
                <w:rFonts w:ascii="Calibri"/>
                <w:sz w:val="17"/>
              </w:rPr>
            </w:pPr>
            <w:r>
              <w:rPr>
                <w:rFonts w:ascii="Calibri"/>
                <w:sz w:val="17"/>
              </w:rPr>
              <w:t>0.7</w:t>
            </w:r>
          </w:p>
        </w:tc>
        <w:tc>
          <w:tcPr>
            <w:tcW w:w="885" w:type="dxa"/>
            <w:tcBorders>
              <w:right w:val="single" w:sz="11" w:space="0" w:color="000000"/>
            </w:tcBorders>
            <w:shd w:val="clear" w:color="auto" w:fill="67ED4D"/>
          </w:tcPr>
          <w:p>
            <w:pPr>
              <w:pStyle w:val="TableParagraph"/>
              <w:spacing w:line="201" w:lineRule="exact"/>
              <w:ind w:left="43"/>
              <w:rPr>
                <w:rFonts w:ascii="Calibri"/>
                <w:sz w:val="17"/>
              </w:rPr>
            </w:pPr>
            <w:r>
              <w:rPr>
                <w:rFonts w:ascii="Calibri"/>
                <w:w w:val="100"/>
                <w:sz w:val="17"/>
              </w:rPr>
              <w:t>1</w:t>
            </w:r>
          </w:p>
        </w:tc>
      </w:tr>
      <w:tr>
        <w:trPr>
          <w:trHeight w:val="222" w:hRule="exact"/>
        </w:trPr>
        <w:tc>
          <w:tcPr>
            <w:tcW w:w="904" w:type="dxa"/>
            <w:tcBorders>
              <w:left w:val="single" w:sz="6" w:space="0" w:color="000000"/>
            </w:tcBorders>
          </w:tcPr>
          <w:p>
            <w:pPr/>
          </w:p>
        </w:tc>
        <w:tc>
          <w:tcPr>
            <w:tcW w:w="3028" w:type="dxa"/>
          </w:tcPr>
          <w:p>
            <w:pPr/>
          </w:p>
        </w:tc>
        <w:tc>
          <w:tcPr>
            <w:tcW w:w="2059" w:type="dxa"/>
          </w:tcPr>
          <w:p>
            <w:pPr/>
          </w:p>
        </w:tc>
        <w:tc>
          <w:tcPr>
            <w:tcW w:w="959" w:type="dxa"/>
          </w:tcPr>
          <w:p>
            <w:pPr>
              <w:pStyle w:val="TableParagraph"/>
              <w:spacing w:line="194" w:lineRule="exact"/>
              <w:ind w:right="73"/>
              <w:jc w:val="right"/>
              <w:rPr>
                <w:sz w:val="17"/>
              </w:rPr>
            </w:pPr>
            <w:r>
              <w:rPr>
                <w:color w:val="808080"/>
                <w:sz w:val="17"/>
              </w:rPr>
              <w:t>Subtotal</w:t>
            </w:r>
          </w:p>
        </w:tc>
        <w:tc>
          <w:tcPr>
            <w:tcW w:w="980" w:type="dxa"/>
          </w:tcPr>
          <w:p>
            <w:pPr>
              <w:pStyle w:val="TableParagraph"/>
              <w:spacing w:line="203" w:lineRule="exact"/>
              <w:ind w:left="134" w:right="51"/>
              <w:rPr>
                <w:rFonts w:ascii="Calibri"/>
                <w:sz w:val="17"/>
              </w:rPr>
            </w:pPr>
            <w:r>
              <w:rPr>
                <w:rFonts w:ascii="Calibri"/>
                <w:sz w:val="17"/>
              </w:rPr>
              <w:t>4.2</w:t>
            </w:r>
          </w:p>
        </w:tc>
        <w:tc>
          <w:tcPr>
            <w:tcW w:w="885" w:type="dxa"/>
            <w:tcBorders>
              <w:right w:val="single" w:sz="11" w:space="0" w:color="000000"/>
            </w:tcBorders>
            <w:shd w:val="clear" w:color="auto" w:fill="67ED4D"/>
          </w:tcPr>
          <w:p>
            <w:pPr>
              <w:pStyle w:val="TableParagraph"/>
              <w:spacing w:line="203" w:lineRule="exact"/>
              <w:ind w:left="43"/>
              <w:rPr>
                <w:rFonts w:ascii="Calibri"/>
                <w:sz w:val="17"/>
              </w:rPr>
            </w:pPr>
            <w:r>
              <w:rPr>
                <w:rFonts w:ascii="Calibri"/>
                <w:w w:val="100"/>
                <w:sz w:val="17"/>
              </w:rPr>
              <w:t>5</w:t>
            </w:r>
          </w:p>
        </w:tc>
      </w:tr>
      <w:tr>
        <w:trPr>
          <w:trHeight w:val="200" w:hRule="exact"/>
        </w:trPr>
        <w:tc>
          <w:tcPr>
            <w:tcW w:w="8816" w:type="dxa"/>
            <w:gridSpan w:val="6"/>
            <w:tcBorders>
              <w:left w:val="single" w:sz="6" w:space="0" w:color="000000"/>
              <w:right w:val="single" w:sz="11" w:space="0" w:color="000000"/>
            </w:tcBorders>
          </w:tcPr>
          <w:p>
            <w:pPr/>
          </w:p>
        </w:tc>
      </w:tr>
      <w:tr>
        <w:trPr>
          <w:trHeight w:val="221" w:hRule="exact"/>
        </w:trPr>
        <w:tc>
          <w:tcPr>
            <w:tcW w:w="904" w:type="dxa"/>
            <w:tcBorders>
              <w:left w:val="single" w:sz="6" w:space="0" w:color="000000"/>
            </w:tcBorders>
          </w:tcPr>
          <w:p>
            <w:pPr/>
          </w:p>
        </w:tc>
        <w:tc>
          <w:tcPr>
            <w:tcW w:w="3028" w:type="dxa"/>
          </w:tcPr>
          <w:p>
            <w:pPr>
              <w:pStyle w:val="TableParagraph"/>
              <w:spacing w:before="2"/>
              <w:ind w:left="145"/>
              <w:jc w:val="left"/>
              <w:rPr>
                <w:rFonts w:ascii="Calibri" w:hAnsi="Calibri"/>
                <w:sz w:val="17"/>
              </w:rPr>
            </w:pPr>
            <w:r>
              <w:rPr>
                <w:rFonts w:ascii="Calibri" w:hAnsi="Calibri"/>
                <w:sz w:val="17"/>
              </w:rPr>
              <w:t>Índice para una vida mejor OCDE</w:t>
            </w:r>
          </w:p>
        </w:tc>
        <w:tc>
          <w:tcPr>
            <w:tcW w:w="2059" w:type="dxa"/>
          </w:tcPr>
          <w:p>
            <w:pPr>
              <w:pStyle w:val="TableParagraph"/>
              <w:spacing w:before="2"/>
              <w:ind w:left="72"/>
              <w:jc w:val="left"/>
              <w:rPr>
                <w:rFonts w:ascii="Calibri"/>
                <w:sz w:val="17"/>
              </w:rPr>
            </w:pPr>
            <w:r>
              <w:rPr>
                <w:rFonts w:ascii="Calibri"/>
                <w:sz w:val="17"/>
              </w:rPr>
              <w:t>Gasto en vivienda</w:t>
            </w:r>
          </w:p>
        </w:tc>
        <w:tc>
          <w:tcPr>
            <w:tcW w:w="959" w:type="dxa"/>
          </w:tcPr>
          <w:p>
            <w:pPr/>
          </w:p>
        </w:tc>
        <w:tc>
          <w:tcPr>
            <w:tcW w:w="980" w:type="dxa"/>
          </w:tcPr>
          <w:p>
            <w:pPr>
              <w:pStyle w:val="TableParagraph"/>
              <w:spacing w:before="2"/>
              <w:ind w:left="134" w:right="51"/>
              <w:rPr>
                <w:rFonts w:ascii="Calibri"/>
                <w:sz w:val="17"/>
              </w:rPr>
            </w:pPr>
            <w:r>
              <w:rPr>
                <w:rFonts w:ascii="Calibri"/>
                <w:sz w:val="17"/>
              </w:rPr>
              <w:t>0.8</w:t>
            </w:r>
          </w:p>
        </w:tc>
        <w:tc>
          <w:tcPr>
            <w:tcW w:w="885" w:type="dxa"/>
            <w:tcBorders>
              <w:right w:val="single" w:sz="11" w:space="0" w:color="000000"/>
            </w:tcBorders>
            <w:shd w:val="clear" w:color="auto" w:fill="67ED4D"/>
          </w:tcPr>
          <w:p>
            <w:pPr>
              <w:pStyle w:val="TableParagraph"/>
              <w:spacing w:before="2"/>
              <w:ind w:left="43"/>
              <w:rPr>
                <w:rFonts w:ascii="Calibri"/>
                <w:sz w:val="17"/>
              </w:rPr>
            </w:pPr>
            <w:r>
              <w:rPr>
                <w:rFonts w:ascii="Calibri"/>
                <w:w w:val="100"/>
                <w:sz w:val="17"/>
              </w:rPr>
              <w:t>1</w:t>
            </w:r>
          </w:p>
        </w:tc>
      </w:tr>
      <w:tr>
        <w:trPr>
          <w:trHeight w:val="222" w:hRule="exact"/>
        </w:trPr>
        <w:tc>
          <w:tcPr>
            <w:tcW w:w="904" w:type="dxa"/>
            <w:tcBorders>
              <w:left w:val="single" w:sz="6" w:space="0" w:color="000000"/>
            </w:tcBorders>
          </w:tcPr>
          <w:p>
            <w:pPr/>
          </w:p>
        </w:tc>
        <w:tc>
          <w:tcPr>
            <w:tcW w:w="3028" w:type="dxa"/>
          </w:tcPr>
          <w:p>
            <w:pPr/>
          </w:p>
        </w:tc>
        <w:tc>
          <w:tcPr>
            <w:tcW w:w="2059" w:type="dxa"/>
          </w:tcPr>
          <w:p>
            <w:pPr/>
          </w:p>
        </w:tc>
        <w:tc>
          <w:tcPr>
            <w:tcW w:w="959" w:type="dxa"/>
          </w:tcPr>
          <w:p>
            <w:pPr>
              <w:pStyle w:val="TableParagraph"/>
              <w:spacing w:line="194" w:lineRule="exact"/>
              <w:ind w:right="73"/>
              <w:jc w:val="right"/>
              <w:rPr>
                <w:sz w:val="17"/>
              </w:rPr>
            </w:pPr>
            <w:r>
              <w:rPr>
                <w:color w:val="808080"/>
                <w:sz w:val="17"/>
              </w:rPr>
              <w:t>Subtotal</w:t>
            </w:r>
          </w:p>
        </w:tc>
        <w:tc>
          <w:tcPr>
            <w:tcW w:w="980" w:type="dxa"/>
          </w:tcPr>
          <w:p>
            <w:pPr>
              <w:pStyle w:val="TableParagraph"/>
              <w:spacing w:line="203" w:lineRule="exact"/>
              <w:ind w:left="134" w:right="51"/>
              <w:rPr>
                <w:rFonts w:ascii="Calibri"/>
                <w:sz w:val="17"/>
              </w:rPr>
            </w:pPr>
            <w:r>
              <w:rPr>
                <w:rFonts w:ascii="Calibri"/>
                <w:sz w:val="17"/>
              </w:rPr>
              <w:t>0.8</w:t>
            </w:r>
          </w:p>
        </w:tc>
        <w:tc>
          <w:tcPr>
            <w:tcW w:w="885" w:type="dxa"/>
            <w:tcBorders>
              <w:right w:val="single" w:sz="11" w:space="0" w:color="000000"/>
            </w:tcBorders>
            <w:shd w:val="clear" w:color="auto" w:fill="67ED4D"/>
          </w:tcPr>
          <w:p>
            <w:pPr>
              <w:pStyle w:val="TableParagraph"/>
              <w:spacing w:line="203" w:lineRule="exact"/>
              <w:ind w:left="43"/>
              <w:rPr>
                <w:rFonts w:ascii="Calibri"/>
                <w:sz w:val="17"/>
              </w:rPr>
            </w:pPr>
            <w:r>
              <w:rPr>
                <w:rFonts w:ascii="Calibri"/>
                <w:w w:val="100"/>
                <w:sz w:val="17"/>
              </w:rPr>
              <w:t>1</w:t>
            </w:r>
          </w:p>
        </w:tc>
      </w:tr>
      <w:tr>
        <w:trPr>
          <w:trHeight w:val="642" w:hRule="exact"/>
        </w:trPr>
        <w:tc>
          <w:tcPr>
            <w:tcW w:w="904" w:type="dxa"/>
            <w:tcBorders>
              <w:left w:val="single" w:sz="6" w:space="0" w:color="000000"/>
              <w:bottom w:val="single" w:sz="11" w:space="0" w:color="000000"/>
            </w:tcBorders>
          </w:tcPr>
          <w:p>
            <w:pPr/>
          </w:p>
        </w:tc>
        <w:tc>
          <w:tcPr>
            <w:tcW w:w="3028" w:type="dxa"/>
            <w:tcBorders>
              <w:bottom w:val="single" w:sz="11" w:space="0" w:color="000000"/>
            </w:tcBorders>
          </w:tcPr>
          <w:p>
            <w:pPr/>
          </w:p>
        </w:tc>
        <w:tc>
          <w:tcPr>
            <w:tcW w:w="2059" w:type="dxa"/>
            <w:tcBorders>
              <w:bottom w:val="single" w:sz="11" w:space="0" w:color="000000"/>
            </w:tcBorders>
          </w:tcPr>
          <w:p>
            <w:pPr/>
          </w:p>
        </w:tc>
        <w:tc>
          <w:tcPr>
            <w:tcW w:w="959" w:type="dxa"/>
            <w:tcBorders>
              <w:bottom w:val="single" w:sz="11" w:space="0" w:color="000000"/>
            </w:tcBorders>
          </w:tcPr>
          <w:p>
            <w:pPr>
              <w:pStyle w:val="TableParagraph"/>
              <w:spacing w:before="6"/>
              <w:jc w:val="left"/>
              <w:rPr>
                <w:sz w:val="17"/>
              </w:rPr>
            </w:pPr>
          </w:p>
          <w:p>
            <w:pPr>
              <w:pStyle w:val="TableParagraph"/>
              <w:ind w:right="64"/>
              <w:jc w:val="right"/>
              <w:rPr>
                <w:rFonts w:ascii="Calibri"/>
                <w:sz w:val="17"/>
              </w:rPr>
            </w:pPr>
            <w:r>
              <w:rPr>
                <w:rFonts w:ascii="Calibri"/>
                <w:sz w:val="17"/>
              </w:rPr>
              <w:t>Total</w:t>
            </w:r>
          </w:p>
        </w:tc>
        <w:tc>
          <w:tcPr>
            <w:tcW w:w="980" w:type="dxa"/>
            <w:tcBorders>
              <w:bottom w:val="single" w:sz="11" w:space="0" w:color="000000"/>
            </w:tcBorders>
          </w:tcPr>
          <w:p>
            <w:pPr>
              <w:pStyle w:val="TableParagraph"/>
              <w:spacing w:before="6"/>
              <w:jc w:val="left"/>
              <w:rPr>
                <w:sz w:val="17"/>
              </w:rPr>
            </w:pPr>
          </w:p>
          <w:p>
            <w:pPr>
              <w:pStyle w:val="TableParagraph"/>
              <w:tabs>
                <w:tab w:pos="494" w:val="left" w:leader="none"/>
                <w:tab w:pos="994" w:val="left" w:leader="none"/>
              </w:tabs>
              <w:ind w:left="66" w:right="-15"/>
              <w:rPr>
                <w:rFonts w:ascii="Calibri"/>
                <w:sz w:val="17"/>
              </w:rPr>
            </w:pPr>
            <w:r>
              <w:rPr>
                <w:rFonts w:ascii="Times New Roman"/>
                <w:w w:val="100"/>
                <w:sz w:val="17"/>
                <w:shd w:fill="FFFF00" w:color="auto" w:val="clear"/>
              </w:rPr>
              <w:t> </w:t>
            </w:r>
            <w:r>
              <w:rPr>
                <w:rFonts w:ascii="Times New Roman"/>
                <w:sz w:val="17"/>
                <w:shd w:fill="FFFF00" w:color="auto" w:val="clear"/>
              </w:rPr>
              <w:tab/>
            </w:r>
            <w:r>
              <w:rPr>
                <w:rFonts w:ascii="Calibri"/>
                <w:sz w:val="17"/>
                <w:shd w:fill="FFFF00" w:color="auto" w:val="clear"/>
              </w:rPr>
              <w:t>9</w:t>
              <w:tab/>
            </w:r>
          </w:p>
        </w:tc>
        <w:tc>
          <w:tcPr>
            <w:tcW w:w="885" w:type="dxa"/>
            <w:tcBorders>
              <w:bottom w:val="single" w:sz="11" w:space="0" w:color="000000"/>
              <w:right w:val="single" w:sz="11" w:space="0" w:color="000000"/>
            </w:tcBorders>
          </w:tcPr>
          <w:p>
            <w:pPr>
              <w:pStyle w:val="TableParagraph"/>
              <w:spacing w:before="6"/>
              <w:jc w:val="left"/>
              <w:rPr>
                <w:sz w:val="17"/>
              </w:rPr>
            </w:pPr>
          </w:p>
          <w:p>
            <w:pPr>
              <w:pStyle w:val="TableParagraph"/>
              <w:ind w:left="139" w:right="94"/>
              <w:rPr>
                <w:rFonts w:ascii="Calibri"/>
                <w:sz w:val="17"/>
              </w:rPr>
            </w:pPr>
            <w:r>
              <w:rPr>
                <w:rFonts w:ascii="Calibri"/>
                <w:sz w:val="17"/>
              </w:rPr>
              <w:t>11</w:t>
            </w:r>
          </w:p>
        </w:tc>
      </w:tr>
    </w:tbl>
    <w:p>
      <w:pPr>
        <w:spacing w:before="9"/>
        <w:ind w:left="268" w:right="0" w:firstLine="0"/>
        <w:jc w:val="both"/>
        <w:rPr>
          <w:sz w:val="21"/>
        </w:rPr>
      </w:pPr>
      <w:r>
        <w:rPr/>
        <w:pict>
          <v:group style="position:absolute;margin-left:450.532013pt;margin-top:-130.239822pt;width:46.45pt;height:65.7pt;mso-position-horizontal-relative:page;mso-position-vertical-relative:paragraph;z-index:-1153456" coordorigin="9011,-2605" coordsize="929,1314">
            <v:line style="position:absolute" from="9018,-2597" to="9018,-2369" stroked="true" strokeweight=".71404pt" strokecolor="#ffff00"/>
            <v:rect style="position:absolute;left:9025;top:-2597;width:914;height:228" filled="true" fillcolor="#ffff00" stroked="false">
              <v:fill type="solid"/>
            </v:rect>
            <v:line style="position:absolute" from="9018,-2369" to="9018,-2155" stroked="true" strokeweight=".71404pt" strokecolor="#ffff00"/>
            <v:rect style="position:absolute;left:9025;top:-2369;width:914;height:214" filled="true" fillcolor="#ffff00" stroked="false">
              <v:fill type="solid"/>
            </v:rect>
            <v:line style="position:absolute" from="9018,-2155" to="9018,-1941" stroked="true" strokeweight=".71404pt" strokecolor="#ffff00"/>
            <v:rect style="position:absolute;left:9025;top:-2155;width:914;height:214" filled="true" fillcolor="#ffff00" stroked="false">
              <v:fill type="solid"/>
            </v:rect>
            <v:line style="position:absolute" from="9018,-1941" to="9018,-1727" stroked="true" strokeweight=".71404pt" strokecolor="#ffff00"/>
            <v:rect style="position:absolute;left:9025;top:-1941;width:914;height:214" filled="true" fillcolor="#ffff00" stroked="false">
              <v:fill type="solid"/>
            </v:rect>
            <v:line style="position:absolute" from="9018,-1727" to="9018,-1299" stroked="true" strokeweight=".71404pt" strokecolor="#ffff00"/>
            <v:rect style="position:absolute;left:9025;top:-1727;width:914;height:428" filled="true" fillcolor="#ffff00" stroked="false">
              <v:fill type="solid"/>
            </v:rect>
            <w10:wrap type="none"/>
          </v:group>
        </w:pict>
      </w:r>
      <w:r>
        <w:rPr/>
        <w:pict>
          <v:group style="position:absolute;margin-left:450.532013pt;margin-top:-55.331821pt;width:46.45pt;height:22.9pt;mso-position-horizontal-relative:page;mso-position-vertical-relative:paragraph;z-index:-1153432" coordorigin="9011,-1107" coordsize="929,458">
            <v:line style="position:absolute" from="9018,-1099" to="9018,-657" stroked="true" strokeweight=".71404pt" strokecolor="#ffff00"/>
            <v:rect style="position:absolute;left:9025;top:-1099;width:914;height:442" filled="true" fillcolor="#ffff00" stroked="false">
              <v:fill type="solid"/>
            </v:rect>
            <w10:wrap type="none"/>
          </v:group>
        </w:pict>
      </w:r>
      <w:r>
        <w:rPr/>
        <w:pict>
          <v:rect style="position:absolute;margin-left:496.237pt;margin-top:-22.853722pt;width:44.9733pt;height:11.4146pt;mso-position-horizontal-relative:page;mso-position-vertical-relative:paragraph;z-index:-1153408" filled="true" fillcolor="#67ed4d" stroked="false">
            <v:fill type="solid"/>
            <w10:wrap type="none"/>
          </v:rect>
        </w:pict>
      </w:r>
      <w:r>
        <w:rPr>
          <w:w w:val="105"/>
          <w:sz w:val="21"/>
        </w:rPr>
        <w:t>Fuente: Elaboración propia con base al análisis y clasificación de indicadores.</w:t>
      </w:r>
    </w:p>
    <w:p>
      <w:pPr>
        <w:pStyle w:val="BodyText"/>
        <w:spacing w:before="2"/>
        <w:rPr>
          <w:sz w:val="21"/>
        </w:rPr>
      </w:pPr>
    </w:p>
    <w:p>
      <w:pPr>
        <w:pStyle w:val="BodyText"/>
        <w:spacing w:line="360" w:lineRule="auto"/>
        <w:ind w:left="268" w:right="231"/>
        <w:jc w:val="both"/>
      </w:pPr>
      <w:r>
        <w:rPr/>
        <w:t>El subíndice de la situación de la vivienda busca exponer un elemento básico y de importante relevancia al mostrar la relación que existe entre el precio de venta de la vivienda en congruencia con la normatividad que regula la venta de vivienda en el Estado de México.</w:t>
      </w:r>
    </w:p>
    <w:p>
      <w:pPr>
        <w:pStyle w:val="BodyText"/>
        <w:spacing w:line="360" w:lineRule="auto" w:before="122"/>
        <w:ind w:left="268" w:right="231"/>
        <w:jc w:val="both"/>
      </w:pPr>
      <w:r>
        <w:rPr/>
        <w:t>El INEX es el índice de excelencia en el servicio y mide el desempeño de los desarrolladores de vivienda en relación a su eficiencia operativa, la calidad de la vivienda que construyen y el servicio que otorgan a los derechohabientes del INFONAVIT a diferencia de ISA (índice de satisfacción al acreditado), el INEX (índice de excelencia en el servicio) evalúa directamente a la iniciativa privada responsable de la producción de la vivienda y su entorno.</w:t>
      </w:r>
    </w:p>
    <w:p>
      <w:pPr>
        <w:pStyle w:val="BodyText"/>
        <w:spacing w:line="360" w:lineRule="auto" w:before="122"/>
        <w:ind w:left="268" w:right="231"/>
        <w:jc w:val="both"/>
      </w:pPr>
      <w:r>
        <w:rPr/>
        <w:t>El subíndice de ingresos por autorización contempla tres indicadores que evalúan los impuestos y derechos que se generan por la autorización de un conjunto urbano y en este sentido se desarrolla una correlación ya sea a favor o no de los</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4648" from="93.199997pt,-19.614155pt" to="546.799997pt,-19.614155pt" stroked="true" strokeweight=".479981pt" strokecolor="#000000">
            <w10:wrap type="none"/>
          </v:line>
        </w:pict>
      </w:r>
      <w:r>
        <w:rPr/>
        <w:t>adquirientes de vivienda, ya que son los que cubren éstos ingresos que el  gobierno estatal impone al desarrollador inmobiliario a favor del municipio y del mismo Estado.</w:t>
      </w:r>
    </w:p>
    <w:p>
      <w:pPr>
        <w:pStyle w:val="BodyText"/>
        <w:spacing w:line="360" w:lineRule="auto" w:before="122"/>
        <w:ind w:left="268" w:right="231"/>
        <w:jc w:val="both"/>
      </w:pPr>
      <w:r>
        <w:rPr/>
        <w:t>Para evaluar la sustentabilidad económica de los habitantes el subíndice de  gastos de habitabilidad mide la relación de los gastos que implica residir en el conjunto urbano dentro de estos egresos se consideran el pago de servicios básicos como: energía eléctrica, agua, impuesto predial, comunidad y servicios de comunicación.</w:t>
      </w:r>
    </w:p>
    <w:p>
      <w:pPr>
        <w:pStyle w:val="BodyText"/>
        <w:spacing w:line="360" w:lineRule="auto" w:before="127"/>
        <w:ind w:left="268" w:right="231"/>
        <w:jc w:val="both"/>
      </w:pPr>
      <w:r>
        <w:rPr/>
        <w:t>Finalmente, y en relación al subíndice que antecede se evalúa el quinto subíndice el cual se retoma el índice para una vida mejor estimado y propuesto por la OCDE con éste se evalúa el gasto de la vivienda en relación al porcentaje que ocupa del presupuesto familiar en un ámbito nacional.</w:t>
      </w:r>
    </w:p>
    <w:p>
      <w:pPr>
        <w:pStyle w:val="BodyText"/>
        <w:spacing w:line="360" w:lineRule="auto" w:before="122"/>
        <w:ind w:left="268" w:right="231"/>
        <w:jc w:val="both"/>
      </w:pPr>
      <w:r>
        <w:rPr/>
        <w:t>Por lo anterior el índice de sustentabilidad económica considera cinco subíndices para la obtención de 11 puntos como valor óptimo en la relación económica y un total de nueve puntos para un escenario deseable y contar con un grado de sustentabilidad.</w:t>
      </w:r>
    </w:p>
    <w:p>
      <w:pPr>
        <w:pStyle w:val="BodyText"/>
        <w:spacing w:line="360" w:lineRule="auto" w:before="122"/>
        <w:ind w:left="268" w:right="231"/>
        <w:jc w:val="both"/>
      </w:pPr>
      <w:r>
        <w:rPr/>
        <w:t>La aportación del índice de sustentabilidad del territorio obedece al análisis de datos que impactan en el territorio y espacio en donde se desarrolla un proyecto habitacional, puesto que, con el análisis de los tres índices anteriores, con los cuales se evalúa de manera tradicional la sustentabilidad se analizan los elementos sociales, ambientales y económicos tanto de los habitantes del desarrollo, las autoridades, así como de las dependencias del Estado y las empresas inmobiliarias.</w:t>
      </w:r>
    </w:p>
    <w:p>
      <w:pPr>
        <w:pStyle w:val="BodyText"/>
        <w:spacing w:line="360" w:lineRule="auto" w:before="122"/>
        <w:ind w:left="268" w:right="231"/>
        <w:jc w:val="both"/>
      </w:pPr>
      <w:r>
        <w:rPr/>
        <w:t>En este sentido, el ordenamiento territorial, el aprovechamiento de los recursos naturales; como el agua y suelo, deben ser impactados en la menor medida posible, por lo que los conjuntos urbanos deben de garantizar la sustentabilidad  del</w:t>
      </w:r>
      <w:r>
        <w:rPr>
          <w:spacing w:val="-3"/>
        </w:rPr>
        <w:t> </w:t>
      </w:r>
      <w:r>
        <w:rPr/>
        <w:t>territorio.</w:t>
      </w:r>
    </w:p>
    <w:p>
      <w:pPr>
        <w:pStyle w:val="BodyText"/>
        <w:spacing w:line="360" w:lineRule="auto" w:before="122"/>
        <w:ind w:left="268" w:right="232"/>
        <w:jc w:val="both"/>
      </w:pPr>
      <w:r>
        <w:rPr/>
        <w:t>Es así que el índice de sustentabilidad territorial se compone de siete subíndices que se estudian con el análisis y correlación de siete indicadores que abordan lo</w:t>
      </w:r>
    </w:p>
    <w:p>
      <w:pPr>
        <w:spacing w:after="0" w:line="360" w:lineRule="auto"/>
        <w:jc w:val="both"/>
        <w:sectPr>
          <w:footerReference w:type="default" r:id="rId78"/>
          <w:pgSz w:w="12240" w:h="15840"/>
          <w:pgMar w:footer="1066" w:header="730" w:top="1320" w:bottom="1260" w:left="1720" w:right="1180"/>
          <w:pgNumType w:start="114"/>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4696" from="93.199997pt,-19.614155pt" to="546.799997pt,-19.614155pt" stroked="true" strokeweight=".479981pt" strokecolor="#000000">
            <w10:wrap type="none"/>
          </v:line>
        </w:pict>
      </w:r>
      <w:r>
        <w:rPr/>
        <w:t>relacionado con el ordenamiento territorial, los instrumentos de administración y control urbano, la congruencia de su desarrollo, así como el proyecto habitacional, la infraestructura, el equipamiento, la integración del desarrollo habitacional y sus residentes en el territorio que se desarrolla.</w:t>
      </w:r>
    </w:p>
    <w:p>
      <w:pPr>
        <w:pStyle w:val="BodyText"/>
        <w:spacing w:before="127"/>
        <w:ind w:left="268"/>
        <w:jc w:val="both"/>
      </w:pPr>
      <w:r>
        <w:rPr/>
        <w:t>Tabla 8. Estructura del índice de sustentabilidad territorial.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4"/>
        </w:rPr>
      </w:pPr>
    </w:p>
    <w:p>
      <w:pPr>
        <w:spacing w:before="82"/>
        <w:ind w:left="404" w:right="0" w:firstLine="0"/>
        <w:jc w:val="left"/>
        <w:rPr>
          <w:rFonts w:ascii="Calibri"/>
          <w:sz w:val="13"/>
        </w:rPr>
      </w:pPr>
      <w:r>
        <w:rPr/>
        <w:pict>
          <v:shape style="position:absolute;margin-left:99.330002pt;margin-top:-173.847672pt;width:355.05pt;height:329.35pt;mso-position-horizontal-relative:page;mso-position-vertical-relative:paragraph;z-index:472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25"/>
                    <w:gridCol w:w="2086"/>
                    <w:gridCol w:w="1937"/>
                    <w:gridCol w:w="893"/>
                    <w:gridCol w:w="727"/>
                    <w:gridCol w:w="704"/>
                  </w:tblGrid>
                  <w:tr>
                    <w:trPr>
                      <w:trHeight w:val="452" w:hRule="exact"/>
                    </w:trPr>
                    <w:tc>
                      <w:tcPr>
                        <w:tcW w:w="7072" w:type="dxa"/>
                        <w:gridSpan w:val="6"/>
                        <w:tcBorders>
                          <w:bottom w:val="nil"/>
                        </w:tcBorders>
                        <w:shd w:val="clear" w:color="auto" w:fill="000000"/>
                      </w:tcPr>
                      <w:p>
                        <w:pPr>
                          <w:pStyle w:val="TableParagraph"/>
                          <w:spacing w:before="9"/>
                          <w:jc w:val="left"/>
                          <w:rPr>
                            <w:sz w:val="11"/>
                          </w:rPr>
                        </w:pPr>
                      </w:p>
                      <w:p>
                        <w:pPr>
                          <w:pStyle w:val="TableParagraph"/>
                          <w:ind w:left="2387" w:right="2377"/>
                          <w:rPr>
                            <w:b/>
                            <w:sz w:val="13"/>
                          </w:rPr>
                        </w:pPr>
                        <w:r>
                          <w:rPr>
                            <w:b/>
                            <w:color w:val="FFFFFF"/>
                            <w:w w:val="105"/>
                            <w:sz w:val="13"/>
                          </w:rPr>
                          <w:t>Índice de sustentabilidad territorial</w:t>
                        </w:r>
                      </w:p>
                    </w:tc>
                  </w:tr>
                  <w:tr>
                    <w:trPr>
                      <w:trHeight w:val="178" w:hRule="exact"/>
                    </w:trPr>
                    <w:tc>
                      <w:tcPr>
                        <w:tcW w:w="725" w:type="dxa"/>
                        <w:tcBorders>
                          <w:top w:val="single" w:sz="5" w:space="0" w:color="FFFFFF"/>
                          <w:left w:val="single" w:sz="5" w:space="0" w:color="000000"/>
                        </w:tcBorders>
                        <w:shd w:val="clear" w:color="auto" w:fill="808080"/>
                      </w:tcPr>
                      <w:p>
                        <w:pPr>
                          <w:pStyle w:val="TableParagraph"/>
                          <w:spacing w:line="148" w:lineRule="exact"/>
                          <w:ind w:left="206"/>
                          <w:jc w:val="left"/>
                          <w:rPr>
                            <w:b/>
                            <w:sz w:val="13"/>
                          </w:rPr>
                        </w:pPr>
                        <w:r>
                          <w:rPr>
                            <w:b/>
                            <w:color w:val="FFFFFF"/>
                            <w:w w:val="105"/>
                            <w:sz w:val="13"/>
                          </w:rPr>
                          <w:t>Índice</w:t>
                        </w:r>
                      </w:p>
                    </w:tc>
                    <w:tc>
                      <w:tcPr>
                        <w:tcW w:w="2086" w:type="dxa"/>
                        <w:tcBorders>
                          <w:top w:val="single" w:sz="5" w:space="0" w:color="FFFFFF"/>
                        </w:tcBorders>
                        <w:shd w:val="clear" w:color="auto" w:fill="808080"/>
                      </w:tcPr>
                      <w:p>
                        <w:pPr>
                          <w:pStyle w:val="TableParagraph"/>
                          <w:spacing w:line="148" w:lineRule="exact"/>
                          <w:ind w:left="116"/>
                          <w:jc w:val="left"/>
                          <w:rPr>
                            <w:b/>
                            <w:sz w:val="13"/>
                          </w:rPr>
                        </w:pPr>
                        <w:r>
                          <w:rPr>
                            <w:b/>
                            <w:color w:val="FFFFFF"/>
                            <w:w w:val="105"/>
                            <w:sz w:val="13"/>
                          </w:rPr>
                          <w:t>Subíndice</w:t>
                        </w:r>
                      </w:p>
                    </w:tc>
                    <w:tc>
                      <w:tcPr>
                        <w:tcW w:w="2830" w:type="dxa"/>
                        <w:gridSpan w:val="2"/>
                        <w:tcBorders>
                          <w:top w:val="single" w:sz="5" w:space="0" w:color="FFFFFF"/>
                        </w:tcBorders>
                        <w:shd w:val="clear" w:color="auto" w:fill="808080"/>
                      </w:tcPr>
                      <w:p>
                        <w:pPr>
                          <w:pStyle w:val="TableParagraph"/>
                          <w:spacing w:line="148" w:lineRule="exact"/>
                          <w:ind w:left="401"/>
                          <w:jc w:val="left"/>
                          <w:rPr>
                            <w:b/>
                            <w:sz w:val="13"/>
                          </w:rPr>
                        </w:pPr>
                        <w:r>
                          <w:rPr>
                            <w:b/>
                            <w:color w:val="FFFFFF"/>
                            <w:w w:val="105"/>
                            <w:sz w:val="13"/>
                          </w:rPr>
                          <w:t>Indicador</w:t>
                        </w:r>
                      </w:p>
                    </w:tc>
                    <w:tc>
                      <w:tcPr>
                        <w:tcW w:w="1432" w:type="dxa"/>
                        <w:gridSpan w:val="2"/>
                        <w:tcBorders>
                          <w:top w:val="single" w:sz="5" w:space="0" w:color="FFFFFF"/>
                          <w:right w:val="single" w:sz="9" w:space="0" w:color="000000"/>
                        </w:tcBorders>
                        <w:shd w:val="clear" w:color="auto" w:fill="808080"/>
                      </w:tcPr>
                      <w:p>
                        <w:pPr>
                          <w:pStyle w:val="TableParagraph"/>
                          <w:spacing w:line="148" w:lineRule="exact"/>
                          <w:ind w:left="469"/>
                          <w:jc w:val="left"/>
                          <w:rPr>
                            <w:b/>
                            <w:sz w:val="13"/>
                          </w:rPr>
                        </w:pPr>
                        <w:r>
                          <w:rPr>
                            <w:b/>
                            <w:color w:val="FFFFFF"/>
                            <w:w w:val="105"/>
                            <w:sz w:val="13"/>
                          </w:rPr>
                          <w:t>Valores</w:t>
                        </w:r>
                      </w:p>
                    </w:tc>
                  </w:tr>
                  <w:tr>
                    <w:trPr>
                      <w:trHeight w:val="92" w:hRule="exact"/>
                    </w:trPr>
                    <w:tc>
                      <w:tcPr>
                        <w:tcW w:w="5641" w:type="dxa"/>
                        <w:gridSpan w:val="4"/>
                        <w:tcBorders>
                          <w:left w:val="single" w:sz="5" w:space="0" w:color="000000"/>
                        </w:tcBorders>
                        <w:shd w:val="clear" w:color="auto" w:fill="808080"/>
                      </w:tcPr>
                      <w:p>
                        <w:pPr/>
                      </w:p>
                    </w:tc>
                    <w:tc>
                      <w:tcPr>
                        <w:tcW w:w="1432" w:type="dxa"/>
                        <w:gridSpan w:val="2"/>
                        <w:tcBorders>
                          <w:right w:val="single" w:sz="9" w:space="0" w:color="000000"/>
                        </w:tcBorders>
                        <w:shd w:val="clear" w:color="auto" w:fill="67ED4D"/>
                      </w:tcPr>
                      <w:p>
                        <w:pPr/>
                      </w:p>
                    </w:tc>
                  </w:tr>
                  <w:tr>
                    <w:trPr>
                      <w:trHeight w:val="177" w:hRule="exact"/>
                    </w:trPr>
                    <w:tc>
                      <w:tcPr>
                        <w:tcW w:w="725" w:type="dxa"/>
                        <w:vMerge w:val="restart"/>
                        <w:tcBorders>
                          <w:left w:val="single" w:sz="5" w:space="0" w:color="000000"/>
                        </w:tcBorders>
                      </w:tcPr>
                      <w:p>
                        <w:pPr/>
                      </w:p>
                    </w:tc>
                    <w:tc>
                      <w:tcPr>
                        <w:tcW w:w="2086" w:type="dxa"/>
                        <w:vMerge w:val="restart"/>
                      </w:tcPr>
                      <w:p>
                        <w:pPr>
                          <w:pStyle w:val="TableParagraph"/>
                          <w:jc w:val="left"/>
                          <w:rPr>
                            <w:sz w:val="14"/>
                          </w:rPr>
                        </w:pPr>
                      </w:p>
                      <w:p>
                        <w:pPr>
                          <w:pStyle w:val="TableParagraph"/>
                          <w:spacing w:before="99"/>
                          <w:ind w:left="116"/>
                          <w:jc w:val="left"/>
                          <w:rPr>
                            <w:rFonts w:ascii="Calibri"/>
                            <w:sz w:val="13"/>
                          </w:rPr>
                        </w:pPr>
                        <w:r>
                          <w:rPr>
                            <w:rFonts w:ascii="Calibri"/>
                            <w:w w:val="105"/>
                            <w:sz w:val="13"/>
                          </w:rPr>
                          <w:t>Uso de suelo</w:t>
                        </w:r>
                      </w:p>
                    </w:tc>
                    <w:tc>
                      <w:tcPr>
                        <w:tcW w:w="1937" w:type="dxa"/>
                        <w:vMerge w:val="restart"/>
                      </w:tcPr>
                      <w:p>
                        <w:pPr>
                          <w:pStyle w:val="TableParagraph"/>
                          <w:spacing w:before="7"/>
                          <w:jc w:val="left"/>
                          <w:rPr>
                            <w:sz w:val="15"/>
                          </w:rPr>
                        </w:pPr>
                      </w:p>
                      <w:p>
                        <w:pPr>
                          <w:pStyle w:val="TableParagraph"/>
                          <w:spacing w:line="259" w:lineRule="auto"/>
                          <w:ind w:left="401" w:right="252"/>
                          <w:jc w:val="left"/>
                          <w:rPr>
                            <w:rFonts w:ascii="Calibri" w:hAnsi="Calibri"/>
                            <w:sz w:val="13"/>
                          </w:rPr>
                        </w:pPr>
                        <w:r>
                          <w:rPr>
                            <w:rFonts w:ascii="Calibri" w:hAnsi="Calibri"/>
                            <w:w w:val="105"/>
                            <w:sz w:val="13"/>
                          </w:rPr>
                          <w:t>Clasificación del suelo Densidad de población</w:t>
                        </w:r>
                      </w:p>
                    </w:tc>
                    <w:tc>
                      <w:tcPr>
                        <w:tcW w:w="893" w:type="dxa"/>
                        <w:vMerge w:val="restart"/>
                        <w:tcBorders>
                          <w:right w:val="single" w:sz="5" w:space="0" w:color="FFFF00"/>
                        </w:tcBorders>
                      </w:tcPr>
                      <w:p>
                        <w:pPr>
                          <w:pStyle w:val="TableParagraph"/>
                          <w:jc w:val="left"/>
                          <w:rPr>
                            <w:sz w:val="14"/>
                          </w:rPr>
                        </w:pPr>
                      </w:p>
                      <w:p>
                        <w:pPr>
                          <w:pStyle w:val="TableParagraph"/>
                          <w:jc w:val="left"/>
                          <w:rPr>
                            <w:sz w:val="14"/>
                          </w:rPr>
                        </w:pPr>
                      </w:p>
                      <w:p>
                        <w:pPr>
                          <w:pStyle w:val="TableParagraph"/>
                          <w:spacing w:before="7"/>
                          <w:jc w:val="left"/>
                          <w:rPr>
                            <w:sz w:val="17"/>
                          </w:rPr>
                        </w:pPr>
                      </w:p>
                      <w:p>
                        <w:pPr>
                          <w:pStyle w:val="TableParagraph"/>
                          <w:spacing w:before="1"/>
                          <w:ind w:left="263"/>
                          <w:jc w:val="left"/>
                          <w:rPr>
                            <w:sz w:val="13"/>
                          </w:rPr>
                        </w:pPr>
                        <w:r>
                          <w:rPr>
                            <w:color w:val="808080"/>
                            <w:w w:val="105"/>
                            <w:sz w:val="13"/>
                          </w:rPr>
                          <w:t>Subtotal</w:t>
                        </w:r>
                      </w:p>
                    </w:tc>
                    <w:tc>
                      <w:tcPr>
                        <w:tcW w:w="727" w:type="dxa"/>
                        <w:tcBorders>
                          <w:right w:val="single" w:sz="5" w:space="0" w:color="FFFFFF"/>
                        </w:tcBorders>
                        <w:shd w:val="clear" w:color="auto" w:fill="FFFF00"/>
                      </w:tcPr>
                      <w:p>
                        <w:pPr>
                          <w:pStyle w:val="TableParagraph"/>
                          <w:spacing w:before="9"/>
                          <w:ind w:left="40" w:right="41"/>
                          <w:rPr>
                            <w:b/>
                            <w:sz w:val="13"/>
                          </w:rPr>
                        </w:pPr>
                        <w:r>
                          <w:rPr>
                            <w:b/>
                            <w:w w:val="105"/>
                            <w:sz w:val="13"/>
                          </w:rPr>
                          <w:t>Deseable</w:t>
                        </w:r>
                      </w:p>
                    </w:tc>
                    <w:tc>
                      <w:tcPr>
                        <w:tcW w:w="704" w:type="dxa"/>
                        <w:tcBorders>
                          <w:left w:val="single" w:sz="5" w:space="0" w:color="FFFFFF"/>
                          <w:right w:val="single" w:sz="9" w:space="0" w:color="000000"/>
                        </w:tcBorders>
                        <w:shd w:val="clear" w:color="auto" w:fill="67ED4D"/>
                      </w:tcPr>
                      <w:p>
                        <w:pPr>
                          <w:pStyle w:val="TableParagraph"/>
                          <w:spacing w:before="9"/>
                          <w:ind w:left="95" w:right="73"/>
                          <w:rPr>
                            <w:b/>
                            <w:sz w:val="13"/>
                          </w:rPr>
                        </w:pPr>
                        <w:r>
                          <w:rPr>
                            <w:b/>
                            <w:w w:val="105"/>
                            <w:sz w:val="13"/>
                          </w:rPr>
                          <w:t>Óptimo</w:t>
                        </w:r>
                      </w:p>
                    </w:tc>
                  </w:tr>
                  <w:tr>
                    <w:trPr>
                      <w:trHeight w:val="174" w:hRule="exact"/>
                    </w:trPr>
                    <w:tc>
                      <w:tcPr>
                        <w:tcW w:w="725" w:type="dxa"/>
                        <w:vMerge/>
                        <w:tcBorders>
                          <w:left w:val="single" w:sz="5" w:space="0" w:color="000000"/>
                        </w:tcBorders>
                      </w:tcPr>
                      <w:p>
                        <w:pPr/>
                      </w:p>
                    </w:tc>
                    <w:tc>
                      <w:tcPr>
                        <w:tcW w:w="2086" w:type="dxa"/>
                        <w:vMerge/>
                      </w:tcPr>
                      <w:p>
                        <w:pPr/>
                      </w:p>
                    </w:tc>
                    <w:tc>
                      <w:tcPr>
                        <w:tcW w:w="1937" w:type="dxa"/>
                        <w:vMerge/>
                      </w:tcPr>
                      <w:p>
                        <w:pPr/>
                      </w:p>
                    </w:tc>
                    <w:tc>
                      <w:tcPr>
                        <w:tcW w:w="893" w:type="dxa"/>
                        <w:vMerge/>
                        <w:tcBorders>
                          <w:right w:val="single" w:sz="5" w:space="0" w:color="FFFF00"/>
                        </w:tcBorders>
                      </w:tcPr>
                      <w:p>
                        <w:pPr/>
                      </w:p>
                    </w:tc>
                    <w:tc>
                      <w:tcPr>
                        <w:tcW w:w="727" w:type="dxa"/>
                        <w:tcBorders>
                          <w:right w:val="single" w:sz="5" w:space="0" w:color="FFFFFF"/>
                        </w:tcBorders>
                        <w:shd w:val="clear" w:color="auto" w:fill="FFFF00"/>
                      </w:tcPr>
                      <w:p>
                        <w:pPr>
                          <w:pStyle w:val="TableParagraph"/>
                          <w:spacing w:before="2"/>
                          <w:ind w:left="40" w:right="38"/>
                          <w:rPr>
                            <w:rFonts w:ascii="Calibri"/>
                            <w:sz w:val="13"/>
                          </w:rPr>
                        </w:pPr>
                        <w:r>
                          <w:rPr>
                            <w:rFonts w:ascii="Calibri"/>
                            <w:w w:val="105"/>
                            <w:sz w:val="13"/>
                          </w:rPr>
                          <w:t>0.5</w:t>
                        </w:r>
                      </w:p>
                    </w:tc>
                    <w:tc>
                      <w:tcPr>
                        <w:tcW w:w="704" w:type="dxa"/>
                        <w:tcBorders>
                          <w:left w:val="single" w:sz="5" w:space="0" w:color="FFFFFF"/>
                          <w:right w:val="single" w:sz="9" w:space="0" w:color="000000"/>
                        </w:tcBorders>
                        <w:shd w:val="clear" w:color="auto" w:fill="67ED4D"/>
                      </w:tcPr>
                      <w:p>
                        <w:pPr>
                          <w:pStyle w:val="TableParagraph"/>
                          <w:spacing w:before="2"/>
                          <w:ind w:left="23"/>
                          <w:rPr>
                            <w:rFonts w:ascii="Calibri"/>
                            <w:sz w:val="13"/>
                          </w:rPr>
                        </w:pPr>
                        <w:r>
                          <w:rPr>
                            <w:rFonts w:ascii="Calibri"/>
                            <w:w w:val="105"/>
                            <w:sz w:val="13"/>
                          </w:rPr>
                          <w:t>1</w:t>
                        </w:r>
                      </w:p>
                    </w:tc>
                  </w:tr>
                  <w:tr>
                    <w:trPr>
                      <w:trHeight w:val="172" w:hRule="exact"/>
                    </w:trPr>
                    <w:tc>
                      <w:tcPr>
                        <w:tcW w:w="725" w:type="dxa"/>
                        <w:vMerge/>
                        <w:tcBorders>
                          <w:left w:val="single" w:sz="5" w:space="0" w:color="000000"/>
                        </w:tcBorders>
                      </w:tcPr>
                      <w:p>
                        <w:pPr/>
                      </w:p>
                    </w:tc>
                    <w:tc>
                      <w:tcPr>
                        <w:tcW w:w="2086" w:type="dxa"/>
                        <w:vMerge/>
                      </w:tcPr>
                      <w:p>
                        <w:pPr/>
                      </w:p>
                    </w:tc>
                    <w:tc>
                      <w:tcPr>
                        <w:tcW w:w="1937" w:type="dxa"/>
                        <w:vMerge/>
                      </w:tcPr>
                      <w:p>
                        <w:pPr/>
                      </w:p>
                    </w:tc>
                    <w:tc>
                      <w:tcPr>
                        <w:tcW w:w="893" w:type="dxa"/>
                        <w:vMerge/>
                        <w:tcBorders>
                          <w:right w:val="single" w:sz="5" w:space="0" w:color="FFFF00"/>
                        </w:tcBorders>
                      </w:tcPr>
                      <w:p>
                        <w:pPr/>
                      </w:p>
                    </w:tc>
                    <w:tc>
                      <w:tcPr>
                        <w:tcW w:w="727" w:type="dxa"/>
                        <w:tcBorders>
                          <w:right w:val="single" w:sz="5" w:space="0" w:color="FFFFFF"/>
                        </w:tcBorders>
                        <w:shd w:val="clear" w:color="auto" w:fill="FFFF00"/>
                      </w:tcPr>
                      <w:p>
                        <w:pPr>
                          <w:pStyle w:val="TableParagraph"/>
                          <w:ind w:left="40" w:right="38"/>
                          <w:rPr>
                            <w:rFonts w:ascii="Calibri"/>
                            <w:sz w:val="13"/>
                          </w:rPr>
                        </w:pPr>
                        <w:r>
                          <w:rPr>
                            <w:rFonts w:ascii="Calibri"/>
                            <w:w w:val="105"/>
                            <w:sz w:val="13"/>
                          </w:rPr>
                          <w:t>0.5</w:t>
                        </w:r>
                      </w:p>
                    </w:tc>
                    <w:tc>
                      <w:tcPr>
                        <w:tcW w:w="704" w:type="dxa"/>
                        <w:tcBorders>
                          <w:left w:val="single" w:sz="5" w:space="0" w:color="FFFFFF"/>
                          <w:right w:val="single" w:sz="9" w:space="0" w:color="000000"/>
                        </w:tcBorders>
                        <w:shd w:val="clear" w:color="auto" w:fill="67ED4D"/>
                      </w:tcPr>
                      <w:p>
                        <w:pPr>
                          <w:pStyle w:val="TableParagraph"/>
                          <w:ind w:left="23"/>
                          <w:rPr>
                            <w:rFonts w:ascii="Calibri"/>
                            <w:sz w:val="13"/>
                          </w:rPr>
                        </w:pPr>
                        <w:r>
                          <w:rPr>
                            <w:rFonts w:ascii="Calibri"/>
                            <w:w w:val="105"/>
                            <w:sz w:val="13"/>
                          </w:rPr>
                          <w:t>1</w:t>
                        </w:r>
                      </w:p>
                    </w:tc>
                  </w:tr>
                  <w:tr>
                    <w:trPr>
                      <w:trHeight w:val="176" w:hRule="exact"/>
                    </w:trPr>
                    <w:tc>
                      <w:tcPr>
                        <w:tcW w:w="725" w:type="dxa"/>
                        <w:vMerge/>
                        <w:tcBorders>
                          <w:left w:val="single" w:sz="5" w:space="0" w:color="000000"/>
                        </w:tcBorders>
                      </w:tcPr>
                      <w:p>
                        <w:pPr/>
                      </w:p>
                    </w:tc>
                    <w:tc>
                      <w:tcPr>
                        <w:tcW w:w="2086" w:type="dxa"/>
                        <w:vMerge/>
                      </w:tcPr>
                      <w:p>
                        <w:pPr/>
                      </w:p>
                    </w:tc>
                    <w:tc>
                      <w:tcPr>
                        <w:tcW w:w="1937" w:type="dxa"/>
                        <w:vMerge/>
                      </w:tcPr>
                      <w:p>
                        <w:pPr/>
                      </w:p>
                    </w:tc>
                    <w:tc>
                      <w:tcPr>
                        <w:tcW w:w="893" w:type="dxa"/>
                        <w:vMerge/>
                        <w:tcBorders>
                          <w:right w:val="single" w:sz="5" w:space="0" w:color="FFFF00"/>
                        </w:tcBorders>
                      </w:tcPr>
                      <w:p>
                        <w:pPr/>
                      </w:p>
                    </w:tc>
                    <w:tc>
                      <w:tcPr>
                        <w:tcW w:w="727" w:type="dxa"/>
                        <w:tcBorders>
                          <w:right w:val="single" w:sz="5" w:space="0" w:color="FFFFFF"/>
                        </w:tcBorders>
                        <w:shd w:val="clear" w:color="auto" w:fill="FFFF00"/>
                      </w:tcPr>
                      <w:p>
                        <w:pPr>
                          <w:pStyle w:val="TableParagraph"/>
                          <w:ind w:left="12"/>
                          <w:rPr>
                            <w:rFonts w:ascii="Calibri"/>
                            <w:sz w:val="13"/>
                          </w:rPr>
                        </w:pPr>
                        <w:r>
                          <w:rPr>
                            <w:rFonts w:ascii="Calibri"/>
                            <w:w w:val="105"/>
                            <w:sz w:val="13"/>
                          </w:rPr>
                          <w:t>1</w:t>
                        </w:r>
                      </w:p>
                    </w:tc>
                    <w:tc>
                      <w:tcPr>
                        <w:tcW w:w="704" w:type="dxa"/>
                        <w:tcBorders>
                          <w:left w:val="single" w:sz="5" w:space="0" w:color="FFFFFF"/>
                          <w:right w:val="single" w:sz="9" w:space="0" w:color="000000"/>
                        </w:tcBorders>
                        <w:shd w:val="clear" w:color="auto" w:fill="67ED4D"/>
                      </w:tcPr>
                      <w:p>
                        <w:pPr>
                          <w:pStyle w:val="TableParagraph"/>
                          <w:ind w:left="23"/>
                          <w:rPr>
                            <w:rFonts w:ascii="Calibri"/>
                            <w:sz w:val="13"/>
                          </w:rPr>
                        </w:pPr>
                        <w:r>
                          <w:rPr>
                            <w:rFonts w:ascii="Calibri"/>
                            <w:w w:val="105"/>
                            <w:sz w:val="13"/>
                          </w:rPr>
                          <w:t>2</w:t>
                        </w:r>
                      </w:p>
                    </w:tc>
                  </w:tr>
                  <w:tr>
                    <w:trPr>
                      <w:trHeight w:val="160" w:hRule="exact"/>
                    </w:trPr>
                    <w:tc>
                      <w:tcPr>
                        <w:tcW w:w="5641" w:type="dxa"/>
                        <w:gridSpan w:val="4"/>
                        <w:tcBorders>
                          <w:left w:val="single" w:sz="5" w:space="0" w:color="000000"/>
                        </w:tcBorders>
                      </w:tcPr>
                      <w:p>
                        <w:pPr/>
                      </w:p>
                    </w:tc>
                    <w:tc>
                      <w:tcPr>
                        <w:tcW w:w="1432" w:type="dxa"/>
                        <w:gridSpan w:val="2"/>
                        <w:tcBorders>
                          <w:right w:val="single" w:sz="9" w:space="0" w:color="000000"/>
                        </w:tcBorders>
                      </w:tcPr>
                      <w:p>
                        <w:pPr/>
                      </w:p>
                    </w:tc>
                  </w:tr>
                  <w:tr>
                    <w:trPr>
                      <w:trHeight w:val="179" w:hRule="exact"/>
                    </w:trPr>
                    <w:tc>
                      <w:tcPr>
                        <w:tcW w:w="725" w:type="dxa"/>
                        <w:vMerge w:val="restart"/>
                        <w:tcBorders>
                          <w:left w:val="single" w:sz="5" w:space="0" w:color="000000"/>
                        </w:tcBorders>
                      </w:tcPr>
                      <w:p>
                        <w:pPr/>
                      </w:p>
                    </w:tc>
                    <w:tc>
                      <w:tcPr>
                        <w:tcW w:w="2086" w:type="dxa"/>
                        <w:vMerge w:val="restart"/>
                      </w:tcPr>
                      <w:p>
                        <w:pPr>
                          <w:pStyle w:val="TableParagraph"/>
                          <w:spacing w:before="88"/>
                          <w:ind w:left="116"/>
                          <w:jc w:val="left"/>
                          <w:rPr>
                            <w:rFonts w:ascii="Calibri"/>
                            <w:sz w:val="13"/>
                          </w:rPr>
                        </w:pPr>
                        <w:r>
                          <w:rPr>
                            <w:rFonts w:ascii="Calibri"/>
                            <w:w w:val="105"/>
                            <w:sz w:val="13"/>
                          </w:rPr>
                          <w:t>Vivienda</w:t>
                        </w:r>
                      </w:p>
                    </w:tc>
                    <w:tc>
                      <w:tcPr>
                        <w:tcW w:w="1937" w:type="dxa"/>
                        <w:vMerge w:val="restart"/>
                      </w:tcPr>
                      <w:p>
                        <w:pPr>
                          <w:pStyle w:val="TableParagraph"/>
                          <w:spacing w:line="259" w:lineRule="auto" w:before="8"/>
                          <w:ind w:left="401" w:right="858"/>
                          <w:jc w:val="left"/>
                          <w:rPr>
                            <w:rFonts w:ascii="Calibri"/>
                            <w:sz w:val="13"/>
                          </w:rPr>
                        </w:pPr>
                        <w:r>
                          <w:rPr>
                            <w:rFonts w:ascii="Calibri"/>
                            <w:w w:val="105"/>
                            <w:sz w:val="13"/>
                          </w:rPr>
                          <w:t>Autorizadas Tipo</w:t>
                        </w:r>
                      </w:p>
                    </w:tc>
                    <w:tc>
                      <w:tcPr>
                        <w:tcW w:w="893" w:type="dxa"/>
                        <w:vMerge w:val="restart"/>
                        <w:tcBorders>
                          <w:right w:val="single" w:sz="5" w:space="0" w:color="FFFF00"/>
                        </w:tcBorders>
                      </w:tcPr>
                      <w:p>
                        <w:pPr>
                          <w:pStyle w:val="TableParagraph"/>
                          <w:jc w:val="left"/>
                          <w:rPr>
                            <w:sz w:val="14"/>
                          </w:rPr>
                        </w:pPr>
                      </w:p>
                      <w:p>
                        <w:pPr>
                          <w:pStyle w:val="TableParagraph"/>
                          <w:spacing w:before="8"/>
                          <w:jc w:val="left"/>
                          <w:rPr>
                            <w:sz w:val="16"/>
                          </w:rPr>
                        </w:pPr>
                      </w:p>
                      <w:p>
                        <w:pPr>
                          <w:pStyle w:val="TableParagraph"/>
                          <w:ind w:left="263"/>
                          <w:jc w:val="left"/>
                          <w:rPr>
                            <w:sz w:val="13"/>
                          </w:rPr>
                        </w:pPr>
                        <w:r>
                          <w:rPr>
                            <w:color w:val="808080"/>
                            <w:w w:val="105"/>
                            <w:sz w:val="13"/>
                          </w:rPr>
                          <w:t>Subtotal</w:t>
                        </w:r>
                      </w:p>
                    </w:tc>
                    <w:tc>
                      <w:tcPr>
                        <w:tcW w:w="727" w:type="dxa"/>
                        <w:tcBorders>
                          <w:right w:val="single" w:sz="5" w:space="0" w:color="FFFFFF"/>
                        </w:tcBorders>
                        <w:shd w:val="clear" w:color="auto" w:fill="FFFF00"/>
                      </w:tcPr>
                      <w:p>
                        <w:pPr>
                          <w:pStyle w:val="TableParagraph"/>
                          <w:spacing w:before="8"/>
                          <w:ind w:left="12"/>
                          <w:rPr>
                            <w:rFonts w:ascii="Calibri"/>
                            <w:sz w:val="13"/>
                          </w:rPr>
                        </w:pPr>
                        <w:r>
                          <w:rPr>
                            <w:rFonts w:ascii="Calibri"/>
                            <w:w w:val="105"/>
                            <w:sz w:val="13"/>
                          </w:rPr>
                          <w:t>1</w:t>
                        </w:r>
                      </w:p>
                    </w:tc>
                    <w:tc>
                      <w:tcPr>
                        <w:tcW w:w="704" w:type="dxa"/>
                        <w:tcBorders>
                          <w:left w:val="single" w:sz="5" w:space="0" w:color="FFFFFF"/>
                          <w:right w:val="single" w:sz="9" w:space="0" w:color="000000"/>
                        </w:tcBorders>
                        <w:shd w:val="clear" w:color="auto" w:fill="67ED4D"/>
                      </w:tcPr>
                      <w:p>
                        <w:pPr>
                          <w:pStyle w:val="TableParagraph"/>
                          <w:spacing w:before="8"/>
                          <w:ind w:left="23"/>
                          <w:rPr>
                            <w:rFonts w:ascii="Calibri"/>
                            <w:sz w:val="13"/>
                          </w:rPr>
                        </w:pPr>
                        <w:r>
                          <w:rPr>
                            <w:rFonts w:ascii="Calibri"/>
                            <w:w w:val="105"/>
                            <w:sz w:val="13"/>
                          </w:rPr>
                          <w:t>1</w:t>
                        </w:r>
                      </w:p>
                    </w:tc>
                  </w:tr>
                  <w:tr>
                    <w:trPr>
                      <w:trHeight w:val="172" w:hRule="exact"/>
                    </w:trPr>
                    <w:tc>
                      <w:tcPr>
                        <w:tcW w:w="725" w:type="dxa"/>
                        <w:vMerge/>
                        <w:tcBorders>
                          <w:left w:val="single" w:sz="5" w:space="0" w:color="000000"/>
                        </w:tcBorders>
                      </w:tcPr>
                      <w:p>
                        <w:pPr/>
                      </w:p>
                    </w:tc>
                    <w:tc>
                      <w:tcPr>
                        <w:tcW w:w="2086" w:type="dxa"/>
                        <w:vMerge/>
                      </w:tcPr>
                      <w:p>
                        <w:pPr/>
                      </w:p>
                    </w:tc>
                    <w:tc>
                      <w:tcPr>
                        <w:tcW w:w="1937" w:type="dxa"/>
                        <w:vMerge/>
                      </w:tcPr>
                      <w:p>
                        <w:pPr/>
                      </w:p>
                    </w:tc>
                    <w:tc>
                      <w:tcPr>
                        <w:tcW w:w="893" w:type="dxa"/>
                        <w:vMerge/>
                        <w:tcBorders>
                          <w:right w:val="single" w:sz="5" w:space="0" w:color="FFFF00"/>
                        </w:tcBorders>
                      </w:tcPr>
                      <w:p>
                        <w:pPr/>
                      </w:p>
                    </w:tc>
                    <w:tc>
                      <w:tcPr>
                        <w:tcW w:w="727" w:type="dxa"/>
                        <w:tcBorders>
                          <w:right w:val="single" w:sz="5" w:space="0" w:color="FFFFFF"/>
                        </w:tcBorders>
                        <w:shd w:val="clear" w:color="auto" w:fill="FFFF00"/>
                      </w:tcPr>
                      <w:p>
                        <w:pPr>
                          <w:pStyle w:val="TableParagraph"/>
                          <w:ind w:left="40" w:right="38"/>
                          <w:rPr>
                            <w:rFonts w:ascii="Calibri"/>
                            <w:sz w:val="13"/>
                          </w:rPr>
                        </w:pPr>
                        <w:r>
                          <w:rPr>
                            <w:rFonts w:ascii="Calibri"/>
                            <w:w w:val="105"/>
                            <w:sz w:val="13"/>
                          </w:rPr>
                          <w:t>0.5</w:t>
                        </w:r>
                      </w:p>
                    </w:tc>
                    <w:tc>
                      <w:tcPr>
                        <w:tcW w:w="704" w:type="dxa"/>
                        <w:tcBorders>
                          <w:left w:val="single" w:sz="5" w:space="0" w:color="FFFFFF"/>
                          <w:right w:val="single" w:sz="9" w:space="0" w:color="000000"/>
                        </w:tcBorders>
                        <w:shd w:val="clear" w:color="auto" w:fill="67ED4D"/>
                      </w:tcPr>
                      <w:p>
                        <w:pPr>
                          <w:pStyle w:val="TableParagraph"/>
                          <w:ind w:left="23"/>
                          <w:rPr>
                            <w:rFonts w:ascii="Calibri"/>
                            <w:sz w:val="13"/>
                          </w:rPr>
                        </w:pPr>
                        <w:r>
                          <w:rPr>
                            <w:rFonts w:ascii="Calibri"/>
                            <w:w w:val="105"/>
                            <w:sz w:val="13"/>
                          </w:rPr>
                          <w:t>1</w:t>
                        </w:r>
                      </w:p>
                    </w:tc>
                  </w:tr>
                  <w:tr>
                    <w:trPr>
                      <w:trHeight w:val="176" w:hRule="exact"/>
                    </w:trPr>
                    <w:tc>
                      <w:tcPr>
                        <w:tcW w:w="725" w:type="dxa"/>
                        <w:vMerge/>
                        <w:tcBorders>
                          <w:left w:val="single" w:sz="5" w:space="0" w:color="000000"/>
                        </w:tcBorders>
                      </w:tcPr>
                      <w:p>
                        <w:pPr/>
                      </w:p>
                    </w:tc>
                    <w:tc>
                      <w:tcPr>
                        <w:tcW w:w="2086" w:type="dxa"/>
                        <w:vMerge/>
                      </w:tcPr>
                      <w:p>
                        <w:pPr/>
                      </w:p>
                    </w:tc>
                    <w:tc>
                      <w:tcPr>
                        <w:tcW w:w="1937" w:type="dxa"/>
                        <w:vMerge/>
                      </w:tcPr>
                      <w:p>
                        <w:pPr/>
                      </w:p>
                    </w:tc>
                    <w:tc>
                      <w:tcPr>
                        <w:tcW w:w="893" w:type="dxa"/>
                        <w:vMerge/>
                        <w:tcBorders>
                          <w:right w:val="single" w:sz="5" w:space="0" w:color="FFFF00"/>
                        </w:tcBorders>
                      </w:tcPr>
                      <w:p>
                        <w:pPr/>
                      </w:p>
                    </w:tc>
                    <w:tc>
                      <w:tcPr>
                        <w:tcW w:w="727" w:type="dxa"/>
                        <w:tcBorders>
                          <w:right w:val="single" w:sz="5" w:space="0" w:color="FFFFFF"/>
                        </w:tcBorders>
                        <w:shd w:val="clear" w:color="auto" w:fill="FFFF00"/>
                      </w:tcPr>
                      <w:p>
                        <w:pPr>
                          <w:pStyle w:val="TableParagraph"/>
                          <w:ind w:left="40" w:right="38"/>
                          <w:rPr>
                            <w:rFonts w:ascii="Calibri"/>
                            <w:sz w:val="13"/>
                          </w:rPr>
                        </w:pPr>
                        <w:r>
                          <w:rPr>
                            <w:rFonts w:ascii="Calibri"/>
                            <w:w w:val="105"/>
                            <w:sz w:val="13"/>
                          </w:rPr>
                          <w:t>1.5</w:t>
                        </w:r>
                      </w:p>
                    </w:tc>
                    <w:tc>
                      <w:tcPr>
                        <w:tcW w:w="704" w:type="dxa"/>
                        <w:tcBorders>
                          <w:left w:val="single" w:sz="5" w:space="0" w:color="FFFFFF"/>
                          <w:right w:val="single" w:sz="9" w:space="0" w:color="000000"/>
                        </w:tcBorders>
                        <w:shd w:val="clear" w:color="auto" w:fill="67ED4D"/>
                      </w:tcPr>
                      <w:p>
                        <w:pPr>
                          <w:pStyle w:val="TableParagraph"/>
                          <w:ind w:left="23"/>
                          <w:rPr>
                            <w:rFonts w:ascii="Calibri"/>
                            <w:sz w:val="13"/>
                          </w:rPr>
                        </w:pPr>
                        <w:r>
                          <w:rPr>
                            <w:rFonts w:ascii="Calibri"/>
                            <w:w w:val="105"/>
                            <w:sz w:val="13"/>
                          </w:rPr>
                          <w:t>2</w:t>
                        </w:r>
                      </w:p>
                    </w:tc>
                  </w:tr>
                  <w:tr>
                    <w:trPr>
                      <w:trHeight w:val="160" w:hRule="exact"/>
                    </w:trPr>
                    <w:tc>
                      <w:tcPr>
                        <w:tcW w:w="5641" w:type="dxa"/>
                        <w:gridSpan w:val="4"/>
                        <w:tcBorders>
                          <w:left w:val="single" w:sz="5" w:space="0" w:color="000000"/>
                        </w:tcBorders>
                      </w:tcPr>
                      <w:p>
                        <w:pPr/>
                      </w:p>
                    </w:tc>
                    <w:tc>
                      <w:tcPr>
                        <w:tcW w:w="1432" w:type="dxa"/>
                        <w:gridSpan w:val="2"/>
                        <w:tcBorders>
                          <w:right w:val="single" w:sz="9" w:space="0" w:color="000000"/>
                        </w:tcBorders>
                      </w:tcPr>
                      <w:p>
                        <w:pPr/>
                      </w:p>
                    </w:tc>
                  </w:tr>
                  <w:tr>
                    <w:trPr>
                      <w:trHeight w:val="179" w:hRule="exact"/>
                    </w:trPr>
                    <w:tc>
                      <w:tcPr>
                        <w:tcW w:w="725" w:type="dxa"/>
                        <w:vMerge w:val="restart"/>
                        <w:tcBorders>
                          <w:left w:val="single" w:sz="5" w:space="0" w:color="000000"/>
                        </w:tcBorders>
                      </w:tcPr>
                      <w:p>
                        <w:pPr/>
                      </w:p>
                    </w:tc>
                    <w:tc>
                      <w:tcPr>
                        <w:tcW w:w="2086" w:type="dxa"/>
                        <w:vMerge w:val="restart"/>
                      </w:tcPr>
                      <w:p>
                        <w:pPr>
                          <w:pStyle w:val="TableParagraph"/>
                          <w:spacing w:before="88"/>
                          <w:ind w:left="116"/>
                          <w:jc w:val="left"/>
                          <w:rPr>
                            <w:rFonts w:ascii="Calibri" w:hAnsi="Calibri"/>
                            <w:sz w:val="13"/>
                          </w:rPr>
                        </w:pPr>
                        <w:r>
                          <w:rPr>
                            <w:rFonts w:ascii="Calibri" w:hAnsi="Calibri"/>
                            <w:w w:val="105"/>
                            <w:sz w:val="13"/>
                          </w:rPr>
                          <w:t>Municipalización</w:t>
                        </w:r>
                      </w:p>
                    </w:tc>
                    <w:tc>
                      <w:tcPr>
                        <w:tcW w:w="1937" w:type="dxa"/>
                        <w:vMerge w:val="restart"/>
                      </w:tcPr>
                      <w:p>
                        <w:pPr>
                          <w:pStyle w:val="TableParagraph"/>
                          <w:spacing w:line="259" w:lineRule="auto" w:before="8"/>
                          <w:ind w:left="401" w:right="685"/>
                          <w:jc w:val="left"/>
                          <w:rPr>
                            <w:rFonts w:ascii="Calibri"/>
                            <w:sz w:val="13"/>
                          </w:rPr>
                        </w:pPr>
                        <w:r>
                          <w:rPr>
                            <w:rFonts w:ascii="Calibri"/>
                            <w:w w:val="105"/>
                            <w:sz w:val="13"/>
                          </w:rPr>
                          <w:t>Entrega parcial Entrega total</w:t>
                        </w:r>
                      </w:p>
                    </w:tc>
                    <w:tc>
                      <w:tcPr>
                        <w:tcW w:w="893" w:type="dxa"/>
                        <w:vMerge w:val="restart"/>
                        <w:tcBorders>
                          <w:right w:val="single" w:sz="5" w:space="0" w:color="FFFF00"/>
                        </w:tcBorders>
                      </w:tcPr>
                      <w:p>
                        <w:pPr>
                          <w:pStyle w:val="TableParagraph"/>
                          <w:jc w:val="left"/>
                          <w:rPr>
                            <w:sz w:val="14"/>
                          </w:rPr>
                        </w:pPr>
                      </w:p>
                      <w:p>
                        <w:pPr>
                          <w:pStyle w:val="TableParagraph"/>
                          <w:spacing w:before="8"/>
                          <w:jc w:val="left"/>
                          <w:rPr>
                            <w:sz w:val="16"/>
                          </w:rPr>
                        </w:pPr>
                      </w:p>
                      <w:p>
                        <w:pPr>
                          <w:pStyle w:val="TableParagraph"/>
                          <w:ind w:left="263"/>
                          <w:jc w:val="left"/>
                          <w:rPr>
                            <w:sz w:val="13"/>
                          </w:rPr>
                        </w:pPr>
                        <w:r>
                          <w:rPr>
                            <w:color w:val="808080"/>
                            <w:w w:val="105"/>
                            <w:sz w:val="13"/>
                          </w:rPr>
                          <w:t>Subtotal</w:t>
                        </w:r>
                      </w:p>
                    </w:tc>
                    <w:tc>
                      <w:tcPr>
                        <w:tcW w:w="727" w:type="dxa"/>
                        <w:tcBorders>
                          <w:right w:val="single" w:sz="5" w:space="0" w:color="FFFFFF"/>
                        </w:tcBorders>
                        <w:shd w:val="clear" w:color="auto" w:fill="FFFF00"/>
                      </w:tcPr>
                      <w:p>
                        <w:pPr>
                          <w:pStyle w:val="TableParagraph"/>
                          <w:spacing w:before="8"/>
                          <w:ind w:left="40" w:right="38"/>
                          <w:rPr>
                            <w:rFonts w:ascii="Calibri"/>
                            <w:sz w:val="13"/>
                          </w:rPr>
                        </w:pPr>
                        <w:r>
                          <w:rPr>
                            <w:rFonts w:ascii="Calibri"/>
                            <w:w w:val="105"/>
                            <w:sz w:val="13"/>
                          </w:rPr>
                          <w:t>0.5</w:t>
                        </w:r>
                      </w:p>
                    </w:tc>
                    <w:tc>
                      <w:tcPr>
                        <w:tcW w:w="704" w:type="dxa"/>
                        <w:tcBorders>
                          <w:left w:val="single" w:sz="5" w:space="0" w:color="FFFFFF"/>
                          <w:right w:val="single" w:sz="9" w:space="0" w:color="000000"/>
                        </w:tcBorders>
                        <w:shd w:val="clear" w:color="auto" w:fill="67ED4D"/>
                      </w:tcPr>
                      <w:p>
                        <w:pPr>
                          <w:pStyle w:val="TableParagraph"/>
                          <w:spacing w:before="8"/>
                          <w:ind w:left="23"/>
                          <w:rPr>
                            <w:rFonts w:ascii="Calibri"/>
                            <w:sz w:val="13"/>
                          </w:rPr>
                        </w:pPr>
                        <w:r>
                          <w:rPr>
                            <w:rFonts w:ascii="Calibri"/>
                            <w:w w:val="105"/>
                            <w:sz w:val="13"/>
                          </w:rPr>
                          <w:t>1</w:t>
                        </w:r>
                      </w:p>
                    </w:tc>
                  </w:tr>
                  <w:tr>
                    <w:trPr>
                      <w:trHeight w:val="172" w:hRule="exact"/>
                    </w:trPr>
                    <w:tc>
                      <w:tcPr>
                        <w:tcW w:w="725" w:type="dxa"/>
                        <w:vMerge/>
                        <w:tcBorders>
                          <w:left w:val="single" w:sz="5" w:space="0" w:color="000000"/>
                        </w:tcBorders>
                      </w:tcPr>
                      <w:p>
                        <w:pPr/>
                      </w:p>
                    </w:tc>
                    <w:tc>
                      <w:tcPr>
                        <w:tcW w:w="2086" w:type="dxa"/>
                        <w:vMerge/>
                      </w:tcPr>
                      <w:p>
                        <w:pPr/>
                      </w:p>
                    </w:tc>
                    <w:tc>
                      <w:tcPr>
                        <w:tcW w:w="1937" w:type="dxa"/>
                        <w:vMerge/>
                      </w:tcPr>
                      <w:p>
                        <w:pPr/>
                      </w:p>
                    </w:tc>
                    <w:tc>
                      <w:tcPr>
                        <w:tcW w:w="893" w:type="dxa"/>
                        <w:vMerge/>
                        <w:tcBorders>
                          <w:right w:val="single" w:sz="5" w:space="0" w:color="FFFF00"/>
                        </w:tcBorders>
                      </w:tcPr>
                      <w:p>
                        <w:pPr/>
                      </w:p>
                    </w:tc>
                    <w:tc>
                      <w:tcPr>
                        <w:tcW w:w="727" w:type="dxa"/>
                        <w:tcBorders>
                          <w:right w:val="single" w:sz="5" w:space="0" w:color="FFFFFF"/>
                        </w:tcBorders>
                        <w:shd w:val="clear" w:color="auto" w:fill="FFFF00"/>
                      </w:tcPr>
                      <w:p>
                        <w:pPr>
                          <w:pStyle w:val="TableParagraph"/>
                          <w:ind w:left="40" w:right="38"/>
                          <w:rPr>
                            <w:rFonts w:ascii="Calibri"/>
                            <w:sz w:val="13"/>
                          </w:rPr>
                        </w:pPr>
                        <w:r>
                          <w:rPr>
                            <w:rFonts w:ascii="Calibri"/>
                            <w:w w:val="105"/>
                            <w:sz w:val="13"/>
                          </w:rPr>
                          <w:t>0.5</w:t>
                        </w:r>
                      </w:p>
                    </w:tc>
                    <w:tc>
                      <w:tcPr>
                        <w:tcW w:w="704" w:type="dxa"/>
                        <w:tcBorders>
                          <w:left w:val="single" w:sz="5" w:space="0" w:color="FFFFFF"/>
                          <w:right w:val="single" w:sz="9" w:space="0" w:color="000000"/>
                        </w:tcBorders>
                        <w:shd w:val="clear" w:color="auto" w:fill="67ED4D"/>
                      </w:tcPr>
                      <w:p>
                        <w:pPr>
                          <w:pStyle w:val="TableParagraph"/>
                          <w:ind w:left="23"/>
                          <w:rPr>
                            <w:rFonts w:ascii="Calibri"/>
                            <w:sz w:val="13"/>
                          </w:rPr>
                        </w:pPr>
                        <w:r>
                          <w:rPr>
                            <w:rFonts w:ascii="Calibri"/>
                            <w:w w:val="105"/>
                            <w:sz w:val="13"/>
                          </w:rPr>
                          <w:t>1</w:t>
                        </w:r>
                      </w:p>
                    </w:tc>
                  </w:tr>
                  <w:tr>
                    <w:trPr>
                      <w:trHeight w:val="176" w:hRule="exact"/>
                    </w:trPr>
                    <w:tc>
                      <w:tcPr>
                        <w:tcW w:w="725" w:type="dxa"/>
                        <w:vMerge/>
                        <w:tcBorders>
                          <w:left w:val="single" w:sz="5" w:space="0" w:color="000000"/>
                        </w:tcBorders>
                      </w:tcPr>
                      <w:p>
                        <w:pPr/>
                      </w:p>
                    </w:tc>
                    <w:tc>
                      <w:tcPr>
                        <w:tcW w:w="2086" w:type="dxa"/>
                        <w:vMerge/>
                      </w:tcPr>
                      <w:p>
                        <w:pPr/>
                      </w:p>
                    </w:tc>
                    <w:tc>
                      <w:tcPr>
                        <w:tcW w:w="1937" w:type="dxa"/>
                        <w:vMerge/>
                      </w:tcPr>
                      <w:p>
                        <w:pPr/>
                      </w:p>
                    </w:tc>
                    <w:tc>
                      <w:tcPr>
                        <w:tcW w:w="893" w:type="dxa"/>
                        <w:vMerge/>
                        <w:tcBorders>
                          <w:right w:val="single" w:sz="5" w:space="0" w:color="FFFF00"/>
                        </w:tcBorders>
                      </w:tcPr>
                      <w:p>
                        <w:pPr/>
                      </w:p>
                    </w:tc>
                    <w:tc>
                      <w:tcPr>
                        <w:tcW w:w="727" w:type="dxa"/>
                        <w:tcBorders>
                          <w:right w:val="single" w:sz="5" w:space="0" w:color="FFFFFF"/>
                        </w:tcBorders>
                        <w:shd w:val="clear" w:color="auto" w:fill="FFFF00"/>
                      </w:tcPr>
                      <w:p>
                        <w:pPr>
                          <w:pStyle w:val="TableParagraph"/>
                          <w:ind w:left="12"/>
                          <w:rPr>
                            <w:rFonts w:ascii="Calibri"/>
                            <w:sz w:val="13"/>
                          </w:rPr>
                        </w:pPr>
                        <w:r>
                          <w:rPr>
                            <w:rFonts w:ascii="Calibri"/>
                            <w:w w:val="105"/>
                            <w:sz w:val="13"/>
                          </w:rPr>
                          <w:t>1</w:t>
                        </w:r>
                      </w:p>
                    </w:tc>
                    <w:tc>
                      <w:tcPr>
                        <w:tcW w:w="704" w:type="dxa"/>
                        <w:tcBorders>
                          <w:left w:val="single" w:sz="5" w:space="0" w:color="FFFFFF"/>
                          <w:right w:val="single" w:sz="9" w:space="0" w:color="000000"/>
                        </w:tcBorders>
                        <w:shd w:val="clear" w:color="auto" w:fill="67ED4D"/>
                      </w:tcPr>
                      <w:p>
                        <w:pPr>
                          <w:pStyle w:val="TableParagraph"/>
                          <w:ind w:left="23"/>
                          <w:rPr>
                            <w:rFonts w:ascii="Calibri"/>
                            <w:sz w:val="13"/>
                          </w:rPr>
                        </w:pPr>
                        <w:r>
                          <w:rPr>
                            <w:rFonts w:ascii="Calibri"/>
                            <w:w w:val="105"/>
                            <w:sz w:val="13"/>
                          </w:rPr>
                          <w:t>2</w:t>
                        </w:r>
                      </w:p>
                    </w:tc>
                  </w:tr>
                  <w:tr>
                    <w:trPr>
                      <w:trHeight w:val="160" w:hRule="exact"/>
                    </w:trPr>
                    <w:tc>
                      <w:tcPr>
                        <w:tcW w:w="5641" w:type="dxa"/>
                        <w:gridSpan w:val="4"/>
                        <w:tcBorders>
                          <w:left w:val="single" w:sz="5" w:space="0" w:color="000000"/>
                        </w:tcBorders>
                      </w:tcPr>
                      <w:p>
                        <w:pPr/>
                      </w:p>
                    </w:tc>
                    <w:tc>
                      <w:tcPr>
                        <w:tcW w:w="1432" w:type="dxa"/>
                        <w:gridSpan w:val="2"/>
                        <w:tcBorders>
                          <w:right w:val="single" w:sz="9" w:space="0" w:color="000000"/>
                        </w:tcBorders>
                      </w:tcPr>
                      <w:p>
                        <w:pPr/>
                      </w:p>
                    </w:tc>
                  </w:tr>
                  <w:tr>
                    <w:trPr>
                      <w:trHeight w:val="179" w:hRule="exact"/>
                    </w:trPr>
                    <w:tc>
                      <w:tcPr>
                        <w:tcW w:w="725" w:type="dxa"/>
                        <w:vMerge w:val="restart"/>
                        <w:tcBorders>
                          <w:left w:val="single" w:sz="5" w:space="0" w:color="000000"/>
                        </w:tcBorders>
                      </w:tcPr>
                      <w:p>
                        <w:pPr/>
                      </w:p>
                    </w:tc>
                    <w:tc>
                      <w:tcPr>
                        <w:tcW w:w="2086" w:type="dxa"/>
                        <w:vMerge w:val="restart"/>
                      </w:tcPr>
                      <w:p>
                        <w:pPr>
                          <w:pStyle w:val="TableParagraph"/>
                          <w:spacing w:before="88"/>
                          <w:ind w:left="116"/>
                          <w:jc w:val="left"/>
                          <w:rPr>
                            <w:rFonts w:ascii="Calibri"/>
                            <w:sz w:val="13"/>
                          </w:rPr>
                        </w:pPr>
                        <w:r>
                          <w:rPr>
                            <w:rFonts w:ascii="Calibri"/>
                            <w:w w:val="105"/>
                            <w:sz w:val="13"/>
                          </w:rPr>
                          <w:t>Infraestrutura utilizada</w:t>
                        </w:r>
                      </w:p>
                    </w:tc>
                    <w:tc>
                      <w:tcPr>
                        <w:tcW w:w="1937" w:type="dxa"/>
                        <w:vMerge w:val="restart"/>
                      </w:tcPr>
                      <w:p>
                        <w:pPr>
                          <w:pStyle w:val="TableParagraph"/>
                          <w:spacing w:line="259" w:lineRule="auto" w:before="8"/>
                          <w:ind w:left="401" w:right="948"/>
                          <w:jc w:val="left"/>
                          <w:rPr>
                            <w:rFonts w:ascii="Calibri"/>
                            <w:sz w:val="13"/>
                          </w:rPr>
                        </w:pPr>
                        <w:r>
                          <w:rPr>
                            <w:rFonts w:ascii="Calibri"/>
                            <w:w w:val="105"/>
                            <w:sz w:val="13"/>
                          </w:rPr>
                          <w:t>Vialidades Redes</w:t>
                        </w:r>
                      </w:p>
                    </w:tc>
                    <w:tc>
                      <w:tcPr>
                        <w:tcW w:w="893" w:type="dxa"/>
                        <w:vMerge w:val="restart"/>
                        <w:tcBorders>
                          <w:right w:val="single" w:sz="5" w:space="0" w:color="FFFF00"/>
                        </w:tcBorders>
                      </w:tcPr>
                      <w:p>
                        <w:pPr>
                          <w:pStyle w:val="TableParagraph"/>
                          <w:jc w:val="left"/>
                          <w:rPr>
                            <w:sz w:val="14"/>
                          </w:rPr>
                        </w:pPr>
                      </w:p>
                      <w:p>
                        <w:pPr>
                          <w:pStyle w:val="TableParagraph"/>
                          <w:spacing w:before="8"/>
                          <w:jc w:val="left"/>
                          <w:rPr>
                            <w:sz w:val="16"/>
                          </w:rPr>
                        </w:pPr>
                      </w:p>
                      <w:p>
                        <w:pPr>
                          <w:pStyle w:val="TableParagraph"/>
                          <w:ind w:left="263"/>
                          <w:jc w:val="left"/>
                          <w:rPr>
                            <w:sz w:val="13"/>
                          </w:rPr>
                        </w:pPr>
                        <w:r>
                          <w:rPr>
                            <w:color w:val="808080"/>
                            <w:w w:val="105"/>
                            <w:sz w:val="13"/>
                          </w:rPr>
                          <w:t>Subtotal</w:t>
                        </w:r>
                      </w:p>
                    </w:tc>
                    <w:tc>
                      <w:tcPr>
                        <w:tcW w:w="727" w:type="dxa"/>
                        <w:tcBorders>
                          <w:right w:val="single" w:sz="5" w:space="0" w:color="FFFFFF"/>
                        </w:tcBorders>
                        <w:shd w:val="clear" w:color="auto" w:fill="FFFF00"/>
                      </w:tcPr>
                      <w:p>
                        <w:pPr>
                          <w:pStyle w:val="TableParagraph"/>
                          <w:spacing w:before="8"/>
                          <w:ind w:left="40" w:right="37"/>
                          <w:rPr>
                            <w:rFonts w:ascii="Calibri"/>
                            <w:sz w:val="13"/>
                          </w:rPr>
                        </w:pPr>
                        <w:r>
                          <w:rPr>
                            <w:rFonts w:ascii="Calibri"/>
                            <w:w w:val="105"/>
                            <w:sz w:val="13"/>
                          </w:rPr>
                          <w:t>0.75</w:t>
                        </w:r>
                      </w:p>
                    </w:tc>
                    <w:tc>
                      <w:tcPr>
                        <w:tcW w:w="704" w:type="dxa"/>
                        <w:tcBorders>
                          <w:left w:val="single" w:sz="5" w:space="0" w:color="FFFFFF"/>
                          <w:right w:val="single" w:sz="9" w:space="0" w:color="000000"/>
                        </w:tcBorders>
                        <w:shd w:val="clear" w:color="auto" w:fill="67ED4D"/>
                      </w:tcPr>
                      <w:p>
                        <w:pPr>
                          <w:pStyle w:val="TableParagraph"/>
                          <w:spacing w:before="8"/>
                          <w:ind w:left="23"/>
                          <w:rPr>
                            <w:rFonts w:ascii="Calibri"/>
                            <w:sz w:val="13"/>
                          </w:rPr>
                        </w:pPr>
                        <w:r>
                          <w:rPr>
                            <w:rFonts w:ascii="Calibri"/>
                            <w:w w:val="105"/>
                            <w:sz w:val="13"/>
                          </w:rPr>
                          <w:t>1</w:t>
                        </w:r>
                      </w:p>
                    </w:tc>
                  </w:tr>
                  <w:tr>
                    <w:trPr>
                      <w:trHeight w:val="172" w:hRule="exact"/>
                    </w:trPr>
                    <w:tc>
                      <w:tcPr>
                        <w:tcW w:w="725" w:type="dxa"/>
                        <w:vMerge/>
                        <w:tcBorders>
                          <w:left w:val="single" w:sz="5" w:space="0" w:color="000000"/>
                        </w:tcBorders>
                      </w:tcPr>
                      <w:p>
                        <w:pPr/>
                      </w:p>
                    </w:tc>
                    <w:tc>
                      <w:tcPr>
                        <w:tcW w:w="2086" w:type="dxa"/>
                        <w:vMerge/>
                      </w:tcPr>
                      <w:p>
                        <w:pPr/>
                      </w:p>
                    </w:tc>
                    <w:tc>
                      <w:tcPr>
                        <w:tcW w:w="1937" w:type="dxa"/>
                        <w:vMerge/>
                      </w:tcPr>
                      <w:p>
                        <w:pPr/>
                      </w:p>
                    </w:tc>
                    <w:tc>
                      <w:tcPr>
                        <w:tcW w:w="893" w:type="dxa"/>
                        <w:vMerge/>
                        <w:tcBorders>
                          <w:right w:val="single" w:sz="5" w:space="0" w:color="FFFF00"/>
                        </w:tcBorders>
                      </w:tcPr>
                      <w:p>
                        <w:pPr/>
                      </w:p>
                    </w:tc>
                    <w:tc>
                      <w:tcPr>
                        <w:tcW w:w="727" w:type="dxa"/>
                        <w:tcBorders>
                          <w:right w:val="single" w:sz="5" w:space="0" w:color="FFFFFF"/>
                        </w:tcBorders>
                        <w:shd w:val="clear" w:color="auto" w:fill="FFFF00"/>
                      </w:tcPr>
                      <w:p>
                        <w:pPr>
                          <w:pStyle w:val="TableParagraph"/>
                          <w:ind w:left="40" w:right="38"/>
                          <w:rPr>
                            <w:rFonts w:ascii="Calibri"/>
                            <w:sz w:val="13"/>
                          </w:rPr>
                        </w:pPr>
                        <w:r>
                          <w:rPr>
                            <w:rFonts w:ascii="Calibri"/>
                            <w:w w:val="105"/>
                            <w:sz w:val="13"/>
                          </w:rPr>
                          <w:t>0.8</w:t>
                        </w:r>
                      </w:p>
                    </w:tc>
                    <w:tc>
                      <w:tcPr>
                        <w:tcW w:w="704" w:type="dxa"/>
                        <w:tcBorders>
                          <w:left w:val="single" w:sz="5" w:space="0" w:color="FFFFFF"/>
                          <w:right w:val="single" w:sz="9" w:space="0" w:color="000000"/>
                        </w:tcBorders>
                        <w:shd w:val="clear" w:color="auto" w:fill="67ED4D"/>
                      </w:tcPr>
                      <w:p>
                        <w:pPr>
                          <w:pStyle w:val="TableParagraph"/>
                          <w:ind w:left="23"/>
                          <w:rPr>
                            <w:rFonts w:ascii="Calibri"/>
                            <w:sz w:val="13"/>
                          </w:rPr>
                        </w:pPr>
                        <w:r>
                          <w:rPr>
                            <w:rFonts w:ascii="Calibri"/>
                            <w:w w:val="105"/>
                            <w:sz w:val="13"/>
                          </w:rPr>
                          <w:t>1</w:t>
                        </w:r>
                      </w:p>
                    </w:tc>
                  </w:tr>
                  <w:tr>
                    <w:trPr>
                      <w:trHeight w:val="176" w:hRule="exact"/>
                    </w:trPr>
                    <w:tc>
                      <w:tcPr>
                        <w:tcW w:w="725" w:type="dxa"/>
                        <w:vMerge/>
                        <w:tcBorders>
                          <w:left w:val="single" w:sz="5" w:space="0" w:color="000000"/>
                        </w:tcBorders>
                      </w:tcPr>
                      <w:p>
                        <w:pPr/>
                      </w:p>
                    </w:tc>
                    <w:tc>
                      <w:tcPr>
                        <w:tcW w:w="2086" w:type="dxa"/>
                        <w:vMerge/>
                      </w:tcPr>
                      <w:p>
                        <w:pPr/>
                      </w:p>
                    </w:tc>
                    <w:tc>
                      <w:tcPr>
                        <w:tcW w:w="1937" w:type="dxa"/>
                        <w:vMerge/>
                      </w:tcPr>
                      <w:p>
                        <w:pPr/>
                      </w:p>
                    </w:tc>
                    <w:tc>
                      <w:tcPr>
                        <w:tcW w:w="893" w:type="dxa"/>
                        <w:vMerge/>
                        <w:tcBorders>
                          <w:right w:val="single" w:sz="5" w:space="0" w:color="FFFF00"/>
                        </w:tcBorders>
                      </w:tcPr>
                      <w:p>
                        <w:pPr/>
                      </w:p>
                    </w:tc>
                    <w:tc>
                      <w:tcPr>
                        <w:tcW w:w="727" w:type="dxa"/>
                        <w:tcBorders>
                          <w:right w:val="single" w:sz="5" w:space="0" w:color="FFFFFF"/>
                        </w:tcBorders>
                        <w:shd w:val="clear" w:color="auto" w:fill="FFFF00"/>
                      </w:tcPr>
                      <w:p>
                        <w:pPr>
                          <w:pStyle w:val="TableParagraph"/>
                          <w:ind w:left="40" w:right="37"/>
                          <w:rPr>
                            <w:rFonts w:ascii="Calibri"/>
                            <w:sz w:val="13"/>
                          </w:rPr>
                        </w:pPr>
                        <w:r>
                          <w:rPr>
                            <w:rFonts w:ascii="Calibri"/>
                            <w:w w:val="105"/>
                            <w:sz w:val="13"/>
                          </w:rPr>
                          <w:t>1.55</w:t>
                        </w:r>
                      </w:p>
                    </w:tc>
                    <w:tc>
                      <w:tcPr>
                        <w:tcW w:w="704" w:type="dxa"/>
                        <w:tcBorders>
                          <w:left w:val="single" w:sz="5" w:space="0" w:color="FFFFFF"/>
                          <w:right w:val="single" w:sz="9" w:space="0" w:color="000000"/>
                        </w:tcBorders>
                        <w:shd w:val="clear" w:color="auto" w:fill="67ED4D"/>
                      </w:tcPr>
                      <w:p>
                        <w:pPr>
                          <w:pStyle w:val="TableParagraph"/>
                          <w:ind w:left="23"/>
                          <w:rPr>
                            <w:rFonts w:ascii="Calibri"/>
                            <w:sz w:val="13"/>
                          </w:rPr>
                        </w:pPr>
                        <w:r>
                          <w:rPr>
                            <w:rFonts w:ascii="Calibri"/>
                            <w:w w:val="105"/>
                            <w:sz w:val="13"/>
                          </w:rPr>
                          <w:t>2</w:t>
                        </w:r>
                      </w:p>
                    </w:tc>
                  </w:tr>
                  <w:tr>
                    <w:trPr>
                      <w:trHeight w:val="160" w:hRule="exact"/>
                    </w:trPr>
                    <w:tc>
                      <w:tcPr>
                        <w:tcW w:w="5641" w:type="dxa"/>
                        <w:gridSpan w:val="4"/>
                        <w:tcBorders>
                          <w:left w:val="single" w:sz="5" w:space="0" w:color="000000"/>
                        </w:tcBorders>
                      </w:tcPr>
                      <w:p>
                        <w:pPr/>
                      </w:p>
                    </w:tc>
                    <w:tc>
                      <w:tcPr>
                        <w:tcW w:w="1432" w:type="dxa"/>
                        <w:gridSpan w:val="2"/>
                        <w:tcBorders>
                          <w:right w:val="single" w:sz="9" w:space="0" w:color="000000"/>
                        </w:tcBorders>
                      </w:tcPr>
                      <w:p>
                        <w:pPr/>
                      </w:p>
                    </w:tc>
                  </w:tr>
                  <w:tr>
                    <w:trPr>
                      <w:trHeight w:val="179" w:hRule="exact"/>
                    </w:trPr>
                    <w:tc>
                      <w:tcPr>
                        <w:tcW w:w="725" w:type="dxa"/>
                        <w:vMerge w:val="restart"/>
                        <w:tcBorders>
                          <w:left w:val="single" w:sz="5" w:space="0" w:color="000000"/>
                        </w:tcBorders>
                      </w:tcPr>
                      <w:p>
                        <w:pPr/>
                      </w:p>
                    </w:tc>
                    <w:tc>
                      <w:tcPr>
                        <w:tcW w:w="2086" w:type="dxa"/>
                        <w:vMerge w:val="restart"/>
                      </w:tcPr>
                      <w:p>
                        <w:pPr>
                          <w:pStyle w:val="TableParagraph"/>
                          <w:spacing w:before="88"/>
                          <w:ind w:left="116"/>
                          <w:jc w:val="left"/>
                          <w:rPr>
                            <w:rFonts w:ascii="Calibri"/>
                            <w:sz w:val="13"/>
                          </w:rPr>
                        </w:pPr>
                        <w:r>
                          <w:rPr>
                            <w:rFonts w:ascii="Calibri"/>
                            <w:w w:val="105"/>
                            <w:sz w:val="13"/>
                          </w:rPr>
                          <w:t>Infraestructura desarrollada</w:t>
                        </w:r>
                      </w:p>
                    </w:tc>
                    <w:tc>
                      <w:tcPr>
                        <w:tcW w:w="1937" w:type="dxa"/>
                        <w:vMerge w:val="restart"/>
                      </w:tcPr>
                      <w:p>
                        <w:pPr>
                          <w:pStyle w:val="TableParagraph"/>
                          <w:spacing w:line="259" w:lineRule="auto" w:before="8"/>
                          <w:ind w:left="401" w:right="948"/>
                          <w:jc w:val="left"/>
                          <w:rPr>
                            <w:rFonts w:ascii="Calibri"/>
                            <w:sz w:val="13"/>
                          </w:rPr>
                        </w:pPr>
                        <w:r>
                          <w:rPr>
                            <w:rFonts w:ascii="Calibri"/>
                            <w:w w:val="105"/>
                            <w:sz w:val="13"/>
                          </w:rPr>
                          <w:t>Vialidades Redes</w:t>
                        </w:r>
                      </w:p>
                    </w:tc>
                    <w:tc>
                      <w:tcPr>
                        <w:tcW w:w="893" w:type="dxa"/>
                        <w:vMerge w:val="restart"/>
                        <w:tcBorders>
                          <w:right w:val="single" w:sz="5" w:space="0" w:color="FFFF00"/>
                        </w:tcBorders>
                      </w:tcPr>
                      <w:p>
                        <w:pPr>
                          <w:pStyle w:val="TableParagraph"/>
                          <w:jc w:val="left"/>
                          <w:rPr>
                            <w:sz w:val="14"/>
                          </w:rPr>
                        </w:pPr>
                      </w:p>
                      <w:p>
                        <w:pPr>
                          <w:pStyle w:val="TableParagraph"/>
                          <w:spacing w:before="8"/>
                          <w:jc w:val="left"/>
                          <w:rPr>
                            <w:sz w:val="16"/>
                          </w:rPr>
                        </w:pPr>
                      </w:p>
                      <w:p>
                        <w:pPr>
                          <w:pStyle w:val="TableParagraph"/>
                          <w:ind w:left="263"/>
                          <w:jc w:val="left"/>
                          <w:rPr>
                            <w:sz w:val="13"/>
                          </w:rPr>
                        </w:pPr>
                        <w:r>
                          <w:rPr>
                            <w:color w:val="808080"/>
                            <w:w w:val="105"/>
                            <w:sz w:val="13"/>
                          </w:rPr>
                          <w:t>Subtotal</w:t>
                        </w:r>
                      </w:p>
                    </w:tc>
                    <w:tc>
                      <w:tcPr>
                        <w:tcW w:w="727" w:type="dxa"/>
                        <w:tcBorders>
                          <w:right w:val="single" w:sz="5" w:space="0" w:color="FFFFFF"/>
                        </w:tcBorders>
                        <w:shd w:val="clear" w:color="auto" w:fill="FFFF00"/>
                      </w:tcPr>
                      <w:p>
                        <w:pPr>
                          <w:pStyle w:val="TableParagraph"/>
                          <w:spacing w:before="8"/>
                          <w:ind w:left="40" w:right="37"/>
                          <w:rPr>
                            <w:rFonts w:ascii="Calibri"/>
                            <w:sz w:val="13"/>
                          </w:rPr>
                        </w:pPr>
                        <w:r>
                          <w:rPr>
                            <w:rFonts w:ascii="Calibri"/>
                            <w:w w:val="105"/>
                            <w:sz w:val="13"/>
                          </w:rPr>
                          <w:t>0.75</w:t>
                        </w:r>
                      </w:p>
                    </w:tc>
                    <w:tc>
                      <w:tcPr>
                        <w:tcW w:w="704" w:type="dxa"/>
                        <w:tcBorders>
                          <w:left w:val="single" w:sz="5" w:space="0" w:color="FFFFFF"/>
                          <w:right w:val="single" w:sz="9" w:space="0" w:color="000000"/>
                        </w:tcBorders>
                        <w:shd w:val="clear" w:color="auto" w:fill="67ED4D"/>
                      </w:tcPr>
                      <w:p>
                        <w:pPr>
                          <w:pStyle w:val="TableParagraph"/>
                          <w:spacing w:before="8"/>
                          <w:ind w:left="23"/>
                          <w:rPr>
                            <w:rFonts w:ascii="Calibri"/>
                            <w:sz w:val="13"/>
                          </w:rPr>
                        </w:pPr>
                        <w:r>
                          <w:rPr>
                            <w:rFonts w:ascii="Calibri"/>
                            <w:w w:val="105"/>
                            <w:sz w:val="13"/>
                          </w:rPr>
                          <w:t>1</w:t>
                        </w:r>
                      </w:p>
                    </w:tc>
                  </w:tr>
                  <w:tr>
                    <w:trPr>
                      <w:trHeight w:val="172" w:hRule="exact"/>
                    </w:trPr>
                    <w:tc>
                      <w:tcPr>
                        <w:tcW w:w="725" w:type="dxa"/>
                        <w:vMerge/>
                        <w:tcBorders>
                          <w:left w:val="single" w:sz="5" w:space="0" w:color="000000"/>
                        </w:tcBorders>
                      </w:tcPr>
                      <w:p>
                        <w:pPr/>
                      </w:p>
                    </w:tc>
                    <w:tc>
                      <w:tcPr>
                        <w:tcW w:w="2086" w:type="dxa"/>
                        <w:vMerge/>
                      </w:tcPr>
                      <w:p>
                        <w:pPr/>
                      </w:p>
                    </w:tc>
                    <w:tc>
                      <w:tcPr>
                        <w:tcW w:w="1937" w:type="dxa"/>
                        <w:vMerge/>
                      </w:tcPr>
                      <w:p>
                        <w:pPr/>
                      </w:p>
                    </w:tc>
                    <w:tc>
                      <w:tcPr>
                        <w:tcW w:w="893" w:type="dxa"/>
                        <w:vMerge/>
                        <w:tcBorders>
                          <w:right w:val="single" w:sz="5" w:space="0" w:color="FFFF00"/>
                        </w:tcBorders>
                      </w:tcPr>
                      <w:p>
                        <w:pPr/>
                      </w:p>
                    </w:tc>
                    <w:tc>
                      <w:tcPr>
                        <w:tcW w:w="727" w:type="dxa"/>
                        <w:tcBorders>
                          <w:right w:val="single" w:sz="5" w:space="0" w:color="FFFFFF"/>
                        </w:tcBorders>
                        <w:shd w:val="clear" w:color="auto" w:fill="FFFF00"/>
                      </w:tcPr>
                      <w:p>
                        <w:pPr>
                          <w:pStyle w:val="TableParagraph"/>
                          <w:ind w:left="40" w:right="37"/>
                          <w:rPr>
                            <w:rFonts w:ascii="Calibri"/>
                            <w:sz w:val="13"/>
                          </w:rPr>
                        </w:pPr>
                        <w:r>
                          <w:rPr>
                            <w:rFonts w:ascii="Calibri"/>
                            <w:w w:val="105"/>
                            <w:sz w:val="13"/>
                          </w:rPr>
                          <w:t>0.66</w:t>
                        </w:r>
                      </w:p>
                    </w:tc>
                    <w:tc>
                      <w:tcPr>
                        <w:tcW w:w="704" w:type="dxa"/>
                        <w:tcBorders>
                          <w:left w:val="single" w:sz="5" w:space="0" w:color="FFFFFF"/>
                          <w:right w:val="single" w:sz="9" w:space="0" w:color="000000"/>
                        </w:tcBorders>
                        <w:shd w:val="clear" w:color="auto" w:fill="67ED4D"/>
                      </w:tcPr>
                      <w:p>
                        <w:pPr>
                          <w:pStyle w:val="TableParagraph"/>
                          <w:ind w:left="23"/>
                          <w:rPr>
                            <w:rFonts w:ascii="Calibri"/>
                            <w:sz w:val="13"/>
                          </w:rPr>
                        </w:pPr>
                        <w:r>
                          <w:rPr>
                            <w:rFonts w:ascii="Calibri"/>
                            <w:w w:val="105"/>
                            <w:sz w:val="13"/>
                          </w:rPr>
                          <w:t>1</w:t>
                        </w:r>
                      </w:p>
                    </w:tc>
                  </w:tr>
                  <w:tr>
                    <w:trPr>
                      <w:trHeight w:val="176" w:hRule="exact"/>
                    </w:trPr>
                    <w:tc>
                      <w:tcPr>
                        <w:tcW w:w="725" w:type="dxa"/>
                        <w:vMerge/>
                        <w:tcBorders>
                          <w:left w:val="single" w:sz="5" w:space="0" w:color="000000"/>
                        </w:tcBorders>
                      </w:tcPr>
                      <w:p>
                        <w:pPr/>
                      </w:p>
                    </w:tc>
                    <w:tc>
                      <w:tcPr>
                        <w:tcW w:w="2086" w:type="dxa"/>
                        <w:vMerge/>
                      </w:tcPr>
                      <w:p>
                        <w:pPr/>
                      </w:p>
                    </w:tc>
                    <w:tc>
                      <w:tcPr>
                        <w:tcW w:w="1937" w:type="dxa"/>
                        <w:vMerge/>
                      </w:tcPr>
                      <w:p>
                        <w:pPr/>
                      </w:p>
                    </w:tc>
                    <w:tc>
                      <w:tcPr>
                        <w:tcW w:w="893" w:type="dxa"/>
                        <w:vMerge/>
                        <w:tcBorders>
                          <w:right w:val="single" w:sz="5" w:space="0" w:color="FFFF00"/>
                        </w:tcBorders>
                      </w:tcPr>
                      <w:p>
                        <w:pPr/>
                      </w:p>
                    </w:tc>
                    <w:tc>
                      <w:tcPr>
                        <w:tcW w:w="727" w:type="dxa"/>
                        <w:tcBorders>
                          <w:right w:val="single" w:sz="5" w:space="0" w:color="FFFFFF"/>
                        </w:tcBorders>
                        <w:shd w:val="clear" w:color="auto" w:fill="FFFF00"/>
                      </w:tcPr>
                      <w:p>
                        <w:pPr>
                          <w:pStyle w:val="TableParagraph"/>
                          <w:ind w:left="40" w:right="37"/>
                          <w:rPr>
                            <w:rFonts w:ascii="Calibri"/>
                            <w:sz w:val="13"/>
                          </w:rPr>
                        </w:pPr>
                        <w:r>
                          <w:rPr>
                            <w:rFonts w:ascii="Calibri"/>
                            <w:w w:val="105"/>
                            <w:sz w:val="13"/>
                          </w:rPr>
                          <w:t>1.41</w:t>
                        </w:r>
                      </w:p>
                    </w:tc>
                    <w:tc>
                      <w:tcPr>
                        <w:tcW w:w="704" w:type="dxa"/>
                        <w:tcBorders>
                          <w:left w:val="single" w:sz="5" w:space="0" w:color="FFFFFF"/>
                          <w:right w:val="single" w:sz="9" w:space="0" w:color="000000"/>
                        </w:tcBorders>
                        <w:shd w:val="clear" w:color="auto" w:fill="67ED4D"/>
                      </w:tcPr>
                      <w:p>
                        <w:pPr>
                          <w:pStyle w:val="TableParagraph"/>
                          <w:ind w:left="23"/>
                          <w:rPr>
                            <w:rFonts w:ascii="Calibri"/>
                            <w:sz w:val="13"/>
                          </w:rPr>
                        </w:pPr>
                        <w:r>
                          <w:rPr>
                            <w:rFonts w:ascii="Calibri"/>
                            <w:w w:val="105"/>
                            <w:sz w:val="13"/>
                          </w:rPr>
                          <w:t>2</w:t>
                        </w:r>
                      </w:p>
                    </w:tc>
                  </w:tr>
                  <w:tr>
                    <w:trPr>
                      <w:trHeight w:val="160" w:hRule="exact"/>
                    </w:trPr>
                    <w:tc>
                      <w:tcPr>
                        <w:tcW w:w="5641" w:type="dxa"/>
                        <w:gridSpan w:val="4"/>
                        <w:tcBorders>
                          <w:left w:val="single" w:sz="5" w:space="0" w:color="000000"/>
                        </w:tcBorders>
                      </w:tcPr>
                      <w:p>
                        <w:pPr/>
                      </w:p>
                    </w:tc>
                    <w:tc>
                      <w:tcPr>
                        <w:tcW w:w="1432" w:type="dxa"/>
                        <w:gridSpan w:val="2"/>
                        <w:tcBorders>
                          <w:right w:val="single" w:sz="9" w:space="0" w:color="000000"/>
                        </w:tcBorders>
                      </w:tcPr>
                      <w:p>
                        <w:pPr/>
                      </w:p>
                    </w:tc>
                  </w:tr>
                  <w:tr>
                    <w:trPr>
                      <w:trHeight w:val="179" w:hRule="exact"/>
                    </w:trPr>
                    <w:tc>
                      <w:tcPr>
                        <w:tcW w:w="725" w:type="dxa"/>
                        <w:vMerge w:val="restart"/>
                        <w:tcBorders>
                          <w:left w:val="single" w:sz="5" w:space="0" w:color="000000"/>
                        </w:tcBorders>
                      </w:tcPr>
                      <w:p>
                        <w:pPr/>
                      </w:p>
                    </w:tc>
                    <w:tc>
                      <w:tcPr>
                        <w:tcW w:w="2086" w:type="dxa"/>
                        <w:vMerge w:val="restart"/>
                      </w:tcPr>
                      <w:p>
                        <w:pPr>
                          <w:pStyle w:val="TableParagraph"/>
                          <w:spacing w:before="88"/>
                          <w:ind w:left="116"/>
                          <w:jc w:val="left"/>
                          <w:rPr>
                            <w:rFonts w:ascii="Calibri"/>
                            <w:sz w:val="13"/>
                          </w:rPr>
                        </w:pPr>
                        <w:r>
                          <w:rPr>
                            <w:rFonts w:ascii="Calibri"/>
                            <w:w w:val="105"/>
                            <w:sz w:val="13"/>
                          </w:rPr>
                          <w:t>Equipamiento desarrollado</w:t>
                        </w:r>
                      </w:p>
                    </w:tc>
                    <w:tc>
                      <w:tcPr>
                        <w:tcW w:w="1937" w:type="dxa"/>
                        <w:vMerge w:val="restart"/>
                      </w:tcPr>
                      <w:p>
                        <w:pPr>
                          <w:pStyle w:val="TableParagraph"/>
                          <w:spacing w:line="259" w:lineRule="auto" w:before="8"/>
                          <w:ind w:left="401" w:right="966"/>
                          <w:jc w:val="left"/>
                          <w:rPr>
                            <w:rFonts w:ascii="Calibri"/>
                            <w:sz w:val="13"/>
                          </w:rPr>
                        </w:pPr>
                        <w:r>
                          <w:rPr>
                            <w:rFonts w:ascii="Calibri"/>
                            <w:w w:val="105"/>
                            <w:sz w:val="13"/>
                          </w:rPr>
                          <w:t>Municipal Estatal</w:t>
                        </w:r>
                      </w:p>
                    </w:tc>
                    <w:tc>
                      <w:tcPr>
                        <w:tcW w:w="893" w:type="dxa"/>
                        <w:vMerge w:val="restart"/>
                        <w:tcBorders>
                          <w:right w:val="single" w:sz="5" w:space="0" w:color="FFFF00"/>
                        </w:tcBorders>
                      </w:tcPr>
                      <w:p>
                        <w:pPr>
                          <w:pStyle w:val="TableParagraph"/>
                          <w:jc w:val="left"/>
                          <w:rPr>
                            <w:sz w:val="14"/>
                          </w:rPr>
                        </w:pPr>
                      </w:p>
                      <w:p>
                        <w:pPr>
                          <w:pStyle w:val="TableParagraph"/>
                          <w:spacing w:before="8"/>
                          <w:jc w:val="left"/>
                          <w:rPr>
                            <w:sz w:val="16"/>
                          </w:rPr>
                        </w:pPr>
                      </w:p>
                      <w:p>
                        <w:pPr>
                          <w:pStyle w:val="TableParagraph"/>
                          <w:ind w:left="263"/>
                          <w:jc w:val="left"/>
                          <w:rPr>
                            <w:sz w:val="13"/>
                          </w:rPr>
                        </w:pPr>
                        <w:r>
                          <w:rPr>
                            <w:color w:val="808080"/>
                            <w:w w:val="105"/>
                            <w:sz w:val="13"/>
                          </w:rPr>
                          <w:t>Subtotal</w:t>
                        </w:r>
                      </w:p>
                    </w:tc>
                    <w:tc>
                      <w:tcPr>
                        <w:tcW w:w="727" w:type="dxa"/>
                        <w:tcBorders>
                          <w:right w:val="single" w:sz="5" w:space="0" w:color="FFFFFF"/>
                        </w:tcBorders>
                        <w:shd w:val="clear" w:color="auto" w:fill="FFFF00"/>
                      </w:tcPr>
                      <w:p>
                        <w:pPr>
                          <w:pStyle w:val="TableParagraph"/>
                          <w:spacing w:before="8"/>
                          <w:ind w:left="40" w:right="38"/>
                          <w:rPr>
                            <w:rFonts w:ascii="Calibri"/>
                            <w:sz w:val="13"/>
                          </w:rPr>
                        </w:pPr>
                        <w:r>
                          <w:rPr>
                            <w:rFonts w:ascii="Calibri"/>
                            <w:w w:val="105"/>
                            <w:sz w:val="13"/>
                          </w:rPr>
                          <w:t>0.8</w:t>
                        </w:r>
                      </w:p>
                    </w:tc>
                    <w:tc>
                      <w:tcPr>
                        <w:tcW w:w="704" w:type="dxa"/>
                        <w:tcBorders>
                          <w:left w:val="single" w:sz="5" w:space="0" w:color="FFFFFF"/>
                          <w:right w:val="single" w:sz="9" w:space="0" w:color="000000"/>
                        </w:tcBorders>
                        <w:shd w:val="clear" w:color="auto" w:fill="67ED4D"/>
                      </w:tcPr>
                      <w:p>
                        <w:pPr>
                          <w:pStyle w:val="TableParagraph"/>
                          <w:spacing w:before="8"/>
                          <w:ind w:left="23"/>
                          <w:rPr>
                            <w:rFonts w:ascii="Calibri"/>
                            <w:sz w:val="13"/>
                          </w:rPr>
                        </w:pPr>
                        <w:r>
                          <w:rPr>
                            <w:rFonts w:ascii="Calibri"/>
                            <w:w w:val="105"/>
                            <w:sz w:val="13"/>
                          </w:rPr>
                          <w:t>1</w:t>
                        </w:r>
                      </w:p>
                    </w:tc>
                  </w:tr>
                  <w:tr>
                    <w:trPr>
                      <w:trHeight w:val="172" w:hRule="exact"/>
                    </w:trPr>
                    <w:tc>
                      <w:tcPr>
                        <w:tcW w:w="725" w:type="dxa"/>
                        <w:vMerge/>
                        <w:tcBorders>
                          <w:left w:val="single" w:sz="5" w:space="0" w:color="000000"/>
                        </w:tcBorders>
                      </w:tcPr>
                      <w:p>
                        <w:pPr/>
                      </w:p>
                    </w:tc>
                    <w:tc>
                      <w:tcPr>
                        <w:tcW w:w="2086" w:type="dxa"/>
                        <w:vMerge/>
                      </w:tcPr>
                      <w:p>
                        <w:pPr/>
                      </w:p>
                    </w:tc>
                    <w:tc>
                      <w:tcPr>
                        <w:tcW w:w="1937" w:type="dxa"/>
                        <w:vMerge/>
                      </w:tcPr>
                      <w:p>
                        <w:pPr/>
                      </w:p>
                    </w:tc>
                    <w:tc>
                      <w:tcPr>
                        <w:tcW w:w="893" w:type="dxa"/>
                        <w:vMerge/>
                        <w:tcBorders>
                          <w:right w:val="single" w:sz="5" w:space="0" w:color="FFFF00"/>
                        </w:tcBorders>
                      </w:tcPr>
                      <w:p>
                        <w:pPr/>
                      </w:p>
                    </w:tc>
                    <w:tc>
                      <w:tcPr>
                        <w:tcW w:w="727" w:type="dxa"/>
                        <w:tcBorders>
                          <w:right w:val="single" w:sz="5" w:space="0" w:color="FFFFFF"/>
                        </w:tcBorders>
                        <w:shd w:val="clear" w:color="auto" w:fill="FFFF00"/>
                      </w:tcPr>
                      <w:p>
                        <w:pPr>
                          <w:pStyle w:val="TableParagraph"/>
                          <w:ind w:left="40" w:right="38"/>
                          <w:rPr>
                            <w:rFonts w:ascii="Calibri"/>
                            <w:sz w:val="13"/>
                          </w:rPr>
                        </w:pPr>
                        <w:r>
                          <w:rPr>
                            <w:rFonts w:ascii="Calibri"/>
                            <w:w w:val="105"/>
                            <w:sz w:val="13"/>
                          </w:rPr>
                          <w:t>0.6</w:t>
                        </w:r>
                      </w:p>
                    </w:tc>
                    <w:tc>
                      <w:tcPr>
                        <w:tcW w:w="704" w:type="dxa"/>
                        <w:tcBorders>
                          <w:left w:val="single" w:sz="5" w:space="0" w:color="FFFFFF"/>
                          <w:right w:val="single" w:sz="9" w:space="0" w:color="000000"/>
                        </w:tcBorders>
                        <w:shd w:val="clear" w:color="auto" w:fill="67ED4D"/>
                      </w:tcPr>
                      <w:p>
                        <w:pPr>
                          <w:pStyle w:val="TableParagraph"/>
                          <w:ind w:left="23"/>
                          <w:rPr>
                            <w:rFonts w:ascii="Calibri"/>
                            <w:sz w:val="13"/>
                          </w:rPr>
                        </w:pPr>
                        <w:r>
                          <w:rPr>
                            <w:rFonts w:ascii="Calibri"/>
                            <w:w w:val="105"/>
                            <w:sz w:val="13"/>
                          </w:rPr>
                          <w:t>1</w:t>
                        </w:r>
                      </w:p>
                    </w:tc>
                  </w:tr>
                  <w:tr>
                    <w:trPr>
                      <w:trHeight w:val="176" w:hRule="exact"/>
                    </w:trPr>
                    <w:tc>
                      <w:tcPr>
                        <w:tcW w:w="725" w:type="dxa"/>
                        <w:vMerge/>
                        <w:tcBorders>
                          <w:left w:val="single" w:sz="5" w:space="0" w:color="000000"/>
                        </w:tcBorders>
                      </w:tcPr>
                      <w:p>
                        <w:pPr/>
                      </w:p>
                    </w:tc>
                    <w:tc>
                      <w:tcPr>
                        <w:tcW w:w="2086" w:type="dxa"/>
                        <w:vMerge/>
                      </w:tcPr>
                      <w:p>
                        <w:pPr/>
                      </w:p>
                    </w:tc>
                    <w:tc>
                      <w:tcPr>
                        <w:tcW w:w="1937" w:type="dxa"/>
                        <w:vMerge/>
                      </w:tcPr>
                      <w:p>
                        <w:pPr/>
                      </w:p>
                    </w:tc>
                    <w:tc>
                      <w:tcPr>
                        <w:tcW w:w="893" w:type="dxa"/>
                        <w:vMerge/>
                        <w:tcBorders>
                          <w:right w:val="single" w:sz="5" w:space="0" w:color="FFFF00"/>
                        </w:tcBorders>
                      </w:tcPr>
                      <w:p>
                        <w:pPr/>
                      </w:p>
                    </w:tc>
                    <w:tc>
                      <w:tcPr>
                        <w:tcW w:w="727" w:type="dxa"/>
                        <w:tcBorders>
                          <w:right w:val="single" w:sz="5" w:space="0" w:color="FFFFFF"/>
                        </w:tcBorders>
                        <w:shd w:val="clear" w:color="auto" w:fill="FFFF00"/>
                      </w:tcPr>
                      <w:p>
                        <w:pPr>
                          <w:pStyle w:val="TableParagraph"/>
                          <w:ind w:left="40" w:right="38"/>
                          <w:rPr>
                            <w:rFonts w:ascii="Calibri"/>
                            <w:sz w:val="13"/>
                          </w:rPr>
                        </w:pPr>
                        <w:r>
                          <w:rPr>
                            <w:rFonts w:ascii="Calibri"/>
                            <w:w w:val="105"/>
                            <w:sz w:val="13"/>
                          </w:rPr>
                          <w:t>1.4</w:t>
                        </w:r>
                      </w:p>
                    </w:tc>
                    <w:tc>
                      <w:tcPr>
                        <w:tcW w:w="704" w:type="dxa"/>
                        <w:tcBorders>
                          <w:left w:val="single" w:sz="5" w:space="0" w:color="FFFFFF"/>
                          <w:right w:val="single" w:sz="9" w:space="0" w:color="000000"/>
                        </w:tcBorders>
                        <w:shd w:val="clear" w:color="auto" w:fill="67ED4D"/>
                      </w:tcPr>
                      <w:p>
                        <w:pPr>
                          <w:pStyle w:val="TableParagraph"/>
                          <w:ind w:left="23"/>
                          <w:rPr>
                            <w:rFonts w:ascii="Calibri"/>
                            <w:sz w:val="13"/>
                          </w:rPr>
                        </w:pPr>
                        <w:r>
                          <w:rPr>
                            <w:rFonts w:ascii="Calibri"/>
                            <w:w w:val="105"/>
                            <w:sz w:val="13"/>
                          </w:rPr>
                          <w:t>2</w:t>
                        </w:r>
                      </w:p>
                    </w:tc>
                  </w:tr>
                  <w:tr>
                    <w:trPr>
                      <w:trHeight w:val="160" w:hRule="exact"/>
                    </w:trPr>
                    <w:tc>
                      <w:tcPr>
                        <w:tcW w:w="5641" w:type="dxa"/>
                        <w:gridSpan w:val="4"/>
                        <w:tcBorders>
                          <w:left w:val="single" w:sz="5" w:space="0" w:color="000000"/>
                        </w:tcBorders>
                      </w:tcPr>
                      <w:p>
                        <w:pPr/>
                      </w:p>
                    </w:tc>
                    <w:tc>
                      <w:tcPr>
                        <w:tcW w:w="1432" w:type="dxa"/>
                        <w:gridSpan w:val="2"/>
                        <w:tcBorders>
                          <w:right w:val="single" w:sz="9" w:space="0" w:color="000000"/>
                        </w:tcBorders>
                      </w:tcPr>
                      <w:p>
                        <w:pPr/>
                      </w:p>
                    </w:tc>
                  </w:tr>
                  <w:tr>
                    <w:trPr>
                      <w:trHeight w:val="179" w:hRule="exact"/>
                    </w:trPr>
                    <w:tc>
                      <w:tcPr>
                        <w:tcW w:w="725" w:type="dxa"/>
                        <w:vMerge w:val="restart"/>
                        <w:tcBorders>
                          <w:left w:val="single" w:sz="5" w:space="0" w:color="000000"/>
                        </w:tcBorders>
                      </w:tcPr>
                      <w:p>
                        <w:pPr/>
                      </w:p>
                    </w:tc>
                    <w:tc>
                      <w:tcPr>
                        <w:tcW w:w="2086" w:type="dxa"/>
                        <w:vMerge w:val="restart"/>
                      </w:tcPr>
                      <w:p>
                        <w:pPr>
                          <w:pStyle w:val="TableParagraph"/>
                          <w:jc w:val="left"/>
                          <w:rPr>
                            <w:sz w:val="14"/>
                          </w:rPr>
                        </w:pPr>
                      </w:p>
                      <w:p>
                        <w:pPr>
                          <w:pStyle w:val="TableParagraph"/>
                          <w:spacing w:before="6"/>
                          <w:jc w:val="left"/>
                          <w:rPr>
                            <w:sz w:val="16"/>
                          </w:rPr>
                        </w:pPr>
                      </w:p>
                      <w:p>
                        <w:pPr>
                          <w:pStyle w:val="TableParagraph"/>
                          <w:ind w:left="116"/>
                          <w:jc w:val="left"/>
                          <w:rPr>
                            <w:rFonts w:ascii="Calibri" w:hAnsi="Calibri"/>
                            <w:sz w:val="13"/>
                          </w:rPr>
                        </w:pPr>
                        <w:r>
                          <w:rPr>
                            <w:rFonts w:ascii="Calibri" w:hAnsi="Calibri"/>
                            <w:w w:val="105"/>
                            <w:sz w:val="13"/>
                          </w:rPr>
                          <w:t>Integración al territorio</w:t>
                        </w:r>
                      </w:p>
                    </w:tc>
                    <w:tc>
                      <w:tcPr>
                        <w:tcW w:w="2830" w:type="dxa"/>
                        <w:gridSpan w:val="2"/>
                        <w:vMerge w:val="restart"/>
                        <w:tcBorders>
                          <w:right w:val="single" w:sz="5" w:space="0" w:color="FFFF00"/>
                        </w:tcBorders>
                      </w:tcPr>
                      <w:p>
                        <w:pPr>
                          <w:pStyle w:val="TableParagraph"/>
                          <w:spacing w:line="259" w:lineRule="auto" w:before="8"/>
                          <w:ind w:left="401" w:right="387"/>
                          <w:jc w:val="left"/>
                          <w:rPr>
                            <w:rFonts w:ascii="Calibri" w:hAnsi="Calibri"/>
                            <w:sz w:val="13"/>
                          </w:rPr>
                        </w:pPr>
                        <w:r>
                          <w:rPr>
                            <w:rFonts w:ascii="Calibri" w:hAnsi="Calibri"/>
                            <w:w w:val="105"/>
                            <w:sz w:val="13"/>
                          </w:rPr>
                          <w:t>Ubicación del conjunto urbano Acceso público o cerrado, sin acceso Integración social</w:t>
                        </w:r>
                      </w:p>
                      <w:p>
                        <w:pPr>
                          <w:pStyle w:val="TableParagraph"/>
                          <w:spacing w:line="259" w:lineRule="auto"/>
                          <w:ind w:left="401" w:right="1564"/>
                          <w:jc w:val="left"/>
                          <w:rPr>
                            <w:rFonts w:ascii="Calibri" w:hAnsi="Calibri"/>
                            <w:sz w:val="13"/>
                          </w:rPr>
                        </w:pPr>
                        <w:r>
                          <w:rPr>
                            <w:rFonts w:ascii="Calibri" w:hAnsi="Calibri"/>
                            <w:w w:val="105"/>
                            <w:sz w:val="13"/>
                          </w:rPr>
                          <w:t>Protección civil Seguridad</w:t>
                        </w:r>
                      </w:p>
                      <w:p>
                        <w:pPr>
                          <w:pStyle w:val="TableParagraph"/>
                          <w:spacing w:before="2"/>
                          <w:ind w:right="117"/>
                          <w:jc w:val="right"/>
                          <w:rPr>
                            <w:sz w:val="13"/>
                          </w:rPr>
                        </w:pPr>
                        <w:r>
                          <w:rPr>
                            <w:color w:val="808080"/>
                            <w:w w:val="105"/>
                            <w:sz w:val="13"/>
                          </w:rPr>
                          <w:t>Subtotal</w:t>
                        </w:r>
                      </w:p>
                    </w:tc>
                    <w:tc>
                      <w:tcPr>
                        <w:tcW w:w="727" w:type="dxa"/>
                        <w:tcBorders>
                          <w:right w:val="single" w:sz="5" w:space="0" w:color="FFFFFF"/>
                        </w:tcBorders>
                        <w:shd w:val="clear" w:color="auto" w:fill="FFFF00"/>
                      </w:tcPr>
                      <w:p>
                        <w:pPr>
                          <w:pStyle w:val="TableParagraph"/>
                          <w:spacing w:before="8"/>
                          <w:ind w:left="40" w:right="38"/>
                          <w:rPr>
                            <w:rFonts w:ascii="Calibri"/>
                            <w:sz w:val="13"/>
                          </w:rPr>
                        </w:pPr>
                        <w:r>
                          <w:rPr>
                            <w:rFonts w:ascii="Calibri"/>
                            <w:w w:val="105"/>
                            <w:sz w:val="13"/>
                          </w:rPr>
                          <w:t>0.8</w:t>
                        </w:r>
                      </w:p>
                    </w:tc>
                    <w:tc>
                      <w:tcPr>
                        <w:tcW w:w="704" w:type="dxa"/>
                        <w:tcBorders>
                          <w:left w:val="single" w:sz="5" w:space="0" w:color="FFFFFF"/>
                          <w:right w:val="single" w:sz="9" w:space="0" w:color="000000"/>
                        </w:tcBorders>
                        <w:shd w:val="clear" w:color="auto" w:fill="67ED4D"/>
                      </w:tcPr>
                      <w:p>
                        <w:pPr>
                          <w:pStyle w:val="TableParagraph"/>
                          <w:spacing w:before="8"/>
                          <w:ind w:left="23"/>
                          <w:rPr>
                            <w:rFonts w:ascii="Calibri"/>
                            <w:sz w:val="13"/>
                          </w:rPr>
                        </w:pPr>
                        <w:r>
                          <w:rPr>
                            <w:rFonts w:ascii="Calibri"/>
                            <w:w w:val="105"/>
                            <w:sz w:val="13"/>
                          </w:rPr>
                          <w:t>1</w:t>
                        </w:r>
                      </w:p>
                    </w:tc>
                  </w:tr>
                  <w:tr>
                    <w:trPr>
                      <w:trHeight w:val="172" w:hRule="exact"/>
                    </w:trPr>
                    <w:tc>
                      <w:tcPr>
                        <w:tcW w:w="725" w:type="dxa"/>
                        <w:vMerge/>
                        <w:tcBorders>
                          <w:left w:val="single" w:sz="5" w:space="0" w:color="000000"/>
                        </w:tcBorders>
                      </w:tcPr>
                      <w:p>
                        <w:pPr/>
                      </w:p>
                    </w:tc>
                    <w:tc>
                      <w:tcPr>
                        <w:tcW w:w="2086" w:type="dxa"/>
                        <w:vMerge/>
                      </w:tcPr>
                      <w:p>
                        <w:pPr/>
                      </w:p>
                    </w:tc>
                    <w:tc>
                      <w:tcPr>
                        <w:tcW w:w="2830" w:type="dxa"/>
                        <w:gridSpan w:val="2"/>
                        <w:vMerge/>
                        <w:tcBorders>
                          <w:right w:val="single" w:sz="5" w:space="0" w:color="FFFF00"/>
                        </w:tcBorders>
                      </w:tcPr>
                      <w:p>
                        <w:pPr/>
                      </w:p>
                    </w:tc>
                    <w:tc>
                      <w:tcPr>
                        <w:tcW w:w="727" w:type="dxa"/>
                        <w:tcBorders>
                          <w:right w:val="single" w:sz="5" w:space="0" w:color="FFFFFF"/>
                        </w:tcBorders>
                        <w:shd w:val="clear" w:color="auto" w:fill="FFFF00"/>
                      </w:tcPr>
                      <w:p>
                        <w:pPr>
                          <w:pStyle w:val="TableParagraph"/>
                          <w:ind w:left="12"/>
                          <w:rPr>
                            <w:rFonts w:ascii="Calibri"/>
                            <w:sz w:val="13"/>
                          </w:rPr>
                        </w:pPr>
                        <w:r>
                          <w:rPr>
                            <w:rFonts w:ascii="Calibri"/>
                            <w:w w:val="105"/>
                            <w:sz w:val="13"/>
                          </w:rPr>
                          <w:t>1</w:t>
                        </w:r>
                      </w:p>
                    </w:tc>
                    <w:tc>
                      <w:tcPr>
                        <w:tcW w:w="704" w:type="dxa"/>
                        <w:tcBorders>
                          <w:left w:val="single" w:sz="5" w:space="0" w:color="FFFFFF"/>
                          <w:right w:val="single" w:sz="9" w:space="0" w:color="000000"/>
                        </w:tcBorders>
                        <w:shd w:val="clear" w:color="auto" w:fill="67ED4D"/>
                      </w:tcPr>
                      <w:p>
                        <w:pPr>
                          <w:pStyle w:val="TableParagraph"/>
                          <w:ind w:left="23"/>
                          <w:rPr>
                            <w:rFonts w:ascii="Calibri"/>
                            <w:sz w:val="13"/>
                          </w:rPr>
                        </w:pPr>
                        <w:r>
                          <w:rPr>
                            <w:rFonts w:ascii="Calibri"/>
                            <w:w w:val="105"/>
                            <w:sz w:val="13"/>
                          </w:rPr>
                          <w:t>1</w:t>
                        </w:r>
                      </w:p>
                    </w:tc>
                  </w:tr>
                  <w:tr>
                    <w:trPr>
                      <w:trHeight w:val="172" w:hRule="exact"/>
                    </w:trPr>
                    <w:tc>
                      <w:tcPr>
                        <w:tcW w:w="725" w:type="dxa"/>
                        <w:vMerge/>
                        <w:tcBorders>
                          <w:left w:val="single" w:sz="5" w:space="0" w:color="000000"/>
                        </w:tcBorders>
                      </w:tcPr>
                      <w:p>
                        <w:pPr/>
                      </w:p>
                    </w:tc>
                    <w:tc>
                      <w:tcPr>
                        <w:tcW w:w="2086" w:type="dxa"/>
                        <w:vMerge/>
                      </w:tcPr>
                      <w:p>
                        <w:pPr/>
                      </w:p>
                    </w:tc>
                    <w:tc>
                      <w:tcPr>
                        <w:tcW w:w="2830" w:type="dxa"/>
                        <w:gridSpan w:val="2"/>
                        <w:vMerge/>
                        <w:tcBorders>
                          <w:right w:val="single" w:sz="5" w:space="0" w:color="FFFF00"/>
                        </w:tcBorders>
                      </w:tcPr>
                      <w:p>
                        <w:pPr/>
                      </w:p>
                    </w:tc>
                    <w:tc>
                      <w:tcPr>
                        <w:tcW w:w="727" w:type="dxa"/>
                        <w:tcBorders>
                          <w:right w:val="single" w:sz="5" w:space="0" w:color="FFFFFF"/>
                        </w:tcBorders>
                        <w:shd w:val="clear" w:color="auto" w:fill="FFFF00"/>
                      </w:tcPr>
                      <w:p>
                        <w:pPr>
                          <w:pStyle w:val="TableParagraph"/>
                          <w:ind w:left="12"/>
                          <w:rPr>
                            <w:rFonts w:ascii="Calibri"/>
                            <w:sz w:val="13"/>
                          </w:rPr>
                        </w:pPr>
                        <w:r>
                          <w:rPr>
                            <w:rFonts w:ascii="Calibri"/>
                            <w:w w:val="105"/>
                            <w:sz w:val="13"/>
                          </w:rPr>
                          <w:t>1</w:t>
                        </w:r>
                      </w:p>
                    </w:tc>
                    <w:tc>
                      <w:tcPr>
                        <w:tcW w:w="704" w:type="dxa"/>
                        <w:tcBorders>
                          <w:left w:val="single" w:sz="5" w:space="0" w:color="FFFFFF"/>
                          <w:right w:val="single" w:sz="9" w:space="0" w:color="000000"/>
                        </w:tcBorders>
                        <w:shd w:val="clear" w:color="auto" w:fill="67ED4D"/>
                      </w:tcPr>
                      <w:p>
                        <w:pPr>
                          <w:pStyle w:val="TableParagraph"/>
                          <w:ind w:left="23"/>
                          <w:rPr>
                            <w:rFonts w:ascii="Calibri"/>
                            <w:sz w:val="13"/>
                          </w:rPr>
                        </w:pPr>
                        <w:r>
                          <w:rPr>
                            <w:rFonts w:ascii="Calibri"/>
                            <w:w w:val="105"/>
                            <w:sz w:val="13"/>
                          </w:rPr>
                          <w:t>1</w:t>
                        </w:r>
                      </w:p>
                    </w:tc>
                  </w:tr>
                  <w:tr>
                    <w:trPr>
                      <w:trHeight w:val="172" w:hRule="exact"/>
                    </w:trPr>
                    <w:tc>
                      <w:tcPr>
                        <w:tcW w:w="725" w:type="dxa"/>
                        <w:vMerge/>
                        <w:tcBorders>
                          <w:left w:val="single" w:sz="5" w:space="0" w:color="000000"/>
                        </w:tcBorders>
                      </w:tcPr>
                      <w:p>
                        <w:pPr/>
                      </w:p>
                    </w:tc>
                    <w:tc>
                      <w:tcPr>
                        <w:tcW w:w="2086" w:type="dxa"/>
                        <w:vMerge/>
                      </w:tcPr>
                      <w:p>
                        <w:pPr/>
                      </w:p>
                    </w:tc>
                    <w:tc>
                      <w:tcPr>
                        <w:tcW w:w="2830" w:type="dxa"/>
                        <w:gridSpan w:val="2"/>
                        <w:vMerge/>
                        <w:tcBorders>
                          <w:right w:val="single" w:sz="5" w:space="0" w:color="FFFF00"/>
                        </w:tcBorders>
                      </w:tcPr>
                      <w:p>
                        <w:pPr/>
                      </w:p>
                    </w:tc>
                    <w:tc>
                      <w:tcPr>
                        <w:tcW w:w="727" w:type="dxa"/>
                        <w:tcBorders>
                          <w:right w:val="single" w:sz="5" w:space="0" w:color="FFFFFF"/>
                        </w:tcBorders>
                        <w:shd w:val="clear" w:color="auto" w:fill="FFFF00"/>
                      </w:tcPr>
                      <w:p>
                        <w:pPr>
                          <w:pStyle w:val="TableParagraph"/>
                          <w:ind w:left="12"/>
                          <w:rPr>
                            <w:rFonts w:ascii="Calibri"/>
                            <w:sz w:val="13"/>
                          </w:rPr>
                        </w:pPr>
                        <w:r>
                          <w:rPr>
                            <w:rFonts w:ascii="Calibri"/>
                            <w:w w:val="105"/>
                            <w:sz w:val="13"/>
                          </w:rPr>
                          <w:t>1</w:t>
                        </w:r>
                      </w:p>
                    </w:tc>
                    <w:tc>
                      <w:tcPr>
                        <w:tcW w:w="704" w:type="dxa"/>
                        <w:tcBorders>
                          <w:left w:val="single" w:sz="5" w:space="0" w:color="FFFFFF"/>
                          <w:right w:val="single" w:sz="9" w:space="0" w:color="000000"/>
                        </w:tcBorders>
                        <w:shd w:val="clear" w:color="auto" w:fill="67ED4D"/>
                      </w:tcPr>
                      <w:p>
                        <w:pPr>
                          <w:pStyle w:val="TableParagraph"/>
                          <w:ind w:left="23"/>
                          <w:rPr>
                            <w:rFonts w:ascii="Calibri"/>
                            <w:sz w:val="13"/>
                          </w:rPr>
                        </w:pPr>
                        <w:r>
                          <w:rPr>
                            <w:rFonts w:ascii="Calibri"/>
                            <w:w w:val="105"/>
                            <w:sz w:val="13"/>
                          </w:rPr>
                          <w:t>1</w:t>
                        </w:r>
                      </w:p>
                    </w:tc>
                  </w:tr>
                  <w:tr>
                    <w:trPr>
                      <w:trHeight w:val="172" w:hRule="exact"/>
                    </w:trPr>
                    <w:tc>
                      <w:tcPr>
                        <w:tcW w:w="725" w:type="dxa"/>
                        <w:vMerge/>
                        <w:tcBorders>
                          <w:left w:val="single" w:sz="5" w:space="0" w:color="000000"/>
                        </w:tcBorders>
                      </w:tcPr>
                      <w:p>
                        <w:pPr/>
                      </w:p>
                    </w:tc>
                    <w:tc>
                      <w:tcPr>
                        <w:tcW w:w="2086" w:type="dxa"/>
                        <w:vMerge/>
                      </w:tcPr>
                      <w:p>
                        <w:pPr/>
                      </w:p>
                    </w:tc>
                    <w:tc>
                      <w:tcPr>
                        <w:tcW w:w="2830" w:type="dxa"/>
                        <w:gridSpan w:val="2"/>
                        <w:vMerge/>
                        <w:tcBorders>
                          <w:right w:val="single" w:sz="5" w:space="0" w:color="FFFF00"/>
                        </w:tcBorders>
                      </w:tcPr>
                      <w:p>
                        <w:pPr/>
                      </w:p>
                    </w:tc>
                    <w:tc>
                      <w:tcPr>
                        <w:tcW w:w="727" w:type="dxa"/>
                        <w:tcBorders>
                          <w:right w:val="single" w:sz="5" w:space="0" w:color="FFFFFF"/>
                        </w:tcBorders>
                        <w:shd w:val="clear" w:color="auto" w:fill="FFFF00"/>
                      </w:tcPr>
                      <w:p>
                        <w:pPr>
                          <w:pStyle w:val="TableParagraph"/>
                          <w:ind w:left="12"/>
                          <w:rPr>
                            <w:rFonts w:ascii="Calibri"/>
                            <w:sz w:val="13"/>
                          </w:rPr>
                        </w:pPr>
                        <w:r>
                          <w:rPr>
                            <w:rFonts w:ascii="Calibri"/>
                            <w:w w:val="105"/>
                            <w:sz w:val="13"/>
                          </w:rPr>
                          <w:t>1</w:t>
                        </w:r>
                      </w:p>
                    </w:tc>
                    <w:tc>
                      <w:tcPr>
                        <w:tcW w:w="704" w:type="dxa"/>
                        <w:tcBorders>
                          <w:left w:val="single" w:sz="5" w:space="0" w:color="FFFFFF"/>
                          <w:right w:val="single" w:sz="9" w:space="0" w:color="000000"/>
                        </w:tcBorders>
                        <w:shd w:val="clear" w:color="auto" w:fill="67ED4D"/>
                      </w:tcPr>
                      <w:p>
                        <w:pPr>
                          <w:pStyle w:val="TableParagraph"/>
                          <w:ind w:left="23"/>
                          <w:rPr>
                            <w:rFonts w:ascii="Calibri"/>
                            <w:sz w:val="13"/>
                          </w:rPr>
                        </w:pPr>
                        <w:r>
                          <w:rPr>
                            <w:rFonts w:ascii="Calibri"/>
                            <w:w w:val="105"/>
                            <w:sz w:val="13"/>
                          </w:rPr>
                          <w:t>1</w:t>
                        </w:r>
                      </w:p>
                    </w:tc>
                  </w:tr>
                  <w:tr>
                    <w:trPr>
                      <w:trHeight w:val="176" w:hRule="exact"/>
                    </w:trPr>
                    <w:tc>
                      <w:tcPr>
                        <w:tcW w:w="725" w:type="dxa"/>
                        <w:vMerge/>
                        <w:tcBorders>
                          <w:left w:val="single" w:sz="5" w:space="0" w:color="000000"/>
                        </w:tcBorders>
                      </w:tcPr>
                      <w:p>
                        <w:pPr/>
                      </w:p>
                    </w:tc>
                    <w:tc>
                      <w:tcPr>
                        <w:tcW w:w="2086" w:type="dxa"/>
                        <w:vMerge/>
                      </w:tcPr>
                      <w:p>
                        <w:pPr/>
                      </w:p>
                    </w:tc>
                    <w:tc>
                      <w:tcPr>
                        <w:tcW w:w="2830" w:type="dxa"/>
                        <w:gridSpan w:val="2"/>
                        <w:vMerge/>
                        <w:tcBorders>
                          <w:right w:val="single" w:sz="5" w:space="0" w:color="FFFF00"/>
                        </w:tcBorders>
                      </w:tcPr>
                      <w:p>
                        <w:pPr/>
                      </w:p>
                    </w:tc>
                    <w:tc>
                      <w:tcPr>
                        <w:tcW w:w="727" w:type="dxa"/>
                        <w:tcBorders>
                          <w:right w:val="single" w:sz="5" w:space="0" w:color="FFFFFF"/>
                        </w:tcBorders>
                        <w:shd w:val="clear" w:color="auto" w:fill="FFFF00"/>
                      </w:tcPr>
                      <w:p>
                        <w:pPr>
                          <w:pStyle w:val="TableParagraph"/>
                          <w:ind w:left="40" w:right="38"/>
                          <w:rPr>
                            <w:rFonts w:ascii="Calibri"/>
                            <w:sz w:val="13"/>
                          </w:rPr>
                        </w:pPr>
                        <w:r>
                          <w:rPr>
                            <w:rFonts w:ascii="Calibri"/>
                            <w:w w:val="105"/>
                            <w:sz w:val="13"/>
                          </w:rPr>
                          <w:t>4.8</w:t>
                        </w:r>
                      </w:p>
                    </w:tc>
                    <w:tc>
                      <w:tcPr>
                        <w:tcW w:w="704" w:type="dxa"/>
                        <w:tcBorders>
                          <w:left w:val="single" w:sz="5" w:space="0" w:color="FFFFFF"/>
                          <w:right w:val="single" w:sz="9" w:space="0" w:color="000000"/>
                        </w:tcBorders>
                        <w:shd w:val="clear" w:color="auto" w:fill="67ED4D"/>
                      </w:tcPr>
                      <w:p>
                        <w:pPr>
                          <w:pStyle w:val="TableParagraph"/>
                          <w:ind w:left="23"/>
                          <w:rPr>
                            <w:rFonts w:ascii="Calibri"/>
                            <w:sz w:val="13"/>
                          </w:rPr>
                        </w:pPr>
                        <w:r>
                          <w:rPr>
                            <w:rFonts w:ascii="Calibri"/>
                            <w:w w:val="105"/>
                            <w:sz w:val="13"/>
                          </w:rPr>
                          <w:t>5</w:t>
                        </w:r>
                      </w:p>
                    </w:tc>
                  </w:tr>
                  <w:tr>
                    <w:trPr>
                      <w:trHeight w:val="160" w:hRule="exact"/>
                    </w:trPr>
                    <w:tc>
                      <w:tcPr>
                        <w:tcW w:w="5641" w:type="dxa"/>
                        <w:gridSpan w:val="4"/>
                        <w:vMerge w:val="restart"/>
                        <w:tcBorders>
                          <w:left w:val="single" w:sz="5" w:space="0" w:color="000000"/>
                        </w:tcBorders>
                      </w:tcPr>
                      <w:p>
                        <w:pPr>
                          <w:pStyle w:val="TableParagraph"/>
                          <w:spacing w:before="7"/>
                          <w:jc w:val="left"/>
                          <w:rPr>
                            <w:sz w:val="14"/>
                          </w:rPr>
                        </w:pPr>
                      </w:p>
                      <w:p>
                        <w:pPr>
                          <w:pStyle w:val="TableParagraph"/>
                          <w:ind w:right="117"/>
                          <w:jc w:val="right"/>
                          <w:rPr>
                            <w:rFonts w:ascii="Calibri"/>
                            <w:sz w:val="13"/>
                          </w:rPr>
                        </w:pPr>
                        <w:r>
                          <w:rPr>
                            <w:rFonts w:ascii="Calibri"/>
                            <w:w w:val="105"/>
                            <w:sz w:val="13"/>
                          </w:rPr>
                          <w:t>Total</w:t>
                        </w:r>
                      </w:p>
                    </w:tc>
                    <w:tc>
                      <w:tcPr>
                        <w:tcW w:w="1432" w:type="dxa"/>
                        <w:gridSpan w:val="2"/>
                        <w:tcBorders>
                          <w:right w:val="single" w:sz="9" w:space="0" w:color="000000"/>
                        </w:tcBorders>
                      </w:tcPr>
                      <w:p>
                        <w:pPr/>
                      </w:p>
                    </w:tc>
                  </w:tr>
                  <w:tr>
                    <w:trPr>
                      <w:trHeight w:val="183" w:hRule="exact"/>
                    </w:trPr>
                    <w:tc>
                      <w:tcPr>
                        <w:tcW w:w="5641" w:type="dxa"/>
                        <w:gridSpan w:val="4"/>
                        <w:vMerge/>
                        <w:tcBorders>
                          <w:left w:val="single" w:sz="5" w:space="0" w:color="000000"/>
                        </w:tcBorders>
                      </w:tcPr>
                      <w:p>
                        <w:pPr/>
                      </w:p>
                    </w:tc>
                    <w:tc>
                      <w:tcPr>
                        <w:tcW w:w="727" w:type="dxa"/>
                        <w:shd w:val="clear" w:color="auto" w:fill="67ED4D"/>
                      </w:tcPr>
                      <w:p>
                        <w:pPr>
                          <w:pStyle w:val="TableParagraph"/>
                          <w:spacing w:before="8"/>
                          <w:ind w:left="187" w:right="188"/>
                          <w:rPr>
                            <w:rFonts w:ascii="Calibri"/>
                            <w:sz w:val="13"/>
                          </w:rPr>
                        </w:pPr>
                        <w:r>
                          <w:rPr>
                            <w:rFonts w:ascii="Calibri"/>
                            <w:w w:val="105"/>
                            <w:sz w:val="13"/>
                          </w:rPr>
                          <w:t>12.66</w:t>
                        </w:r>
                      </w:p>
                    </w:tc>
                    <w:tc>
                      <w:tcPr>
                        <w:tcW w:w="704" w:type="dxa"/>
                        <w:tcBorders>
                          <w:right w:val="single" w:sz="9" w:space="0" w:color="000000"/>
                        </w:tcBorders>
                        <w:shd w:val="clear" w:color="auto" w:fill="67ED4D"/>
                      </w:tcPr>
                      <w:p>
                        <w:pPr>
                          <w:pStyle w:val="TableParagraph"/>
                          <w:spacing w:before="8"/>
                          <w:ind w:left="272" w:right="242"/>
                          <w:rPr>
                            <w:rFonts w:ascii="Calibri"/>
                            <w:sz w:val="13"/>
                          </w:rPr>
                        </w:pPr>
                        <w:r>
                          <w:rPr>
                            <w:rFonts w:ascii="Calibri"/>
                            <w:w w:val="105"/>
                            <w:sz w:val="13"/>
                          </w:rPr>
                          <w:t>17</w:t>
                        </w:r>
                      </w:p>
                    </w:tc>
                  </w:tr>
                  <w:tr>
                    <w:trPr>
                      <w:trHeight w:val="172" w:hRule="exact"/>
                    </w:trPr>
                    <w:tc>
                      <w:tcPr>
                        <w:tcW w:w="5641" w:type="dxa"/>
                        <w:gridSpan w:val="4"/>
                        <w:vMerge/>
                        <w:tcBorders>
                          <w:left w:val="single" w:sz="5" w:space="0" w:color="000000"/>
                          <w:bottom w:val="single" w:sz="9" w:space="0" w:color="000000"/>
                        </w:tcBorders>
                      </w:tcPr>
                      <w:p>
                        <w:pPr/>
                      </w:p>
                    </w:tc>
                    <w:tc>
                      <w:tcPr>
                        <w:tcW w:w="1432" w:type="dxa"/>
                        <w:gridSpan w:val="2"/>
                        <w:tcBorders>
                          <w:bottom w:val="single" w:sz="9" w:space="0" w:color="000000"/>
                          <w:right w:val="single" w:sz="9" w:space="0" w:color="000000"/>
                        </w:tcBorders>
                      </w:tcPr>
                      <w:p>
                        <w:pPr/>
                      </w:p>
                    </w:tc>
                  </w:tr>
                </w:tbl>
                <w:p>
                  <w:pPr>
                    <w:pStyle w:val="BodyText"/>
                  </w:pPr>
                </w:p>
              </w:txbxContent>
            </v:textbox>
            <w10:wrap type="none"/>
          </v:shape>
        </w:pict>
      </w:r>
      <w:r>
        <w:rPr>
          <w:rFonts w:ascii="Calibri"/>
          <w:w w:val="105"/>
          <w:sz w:val="13"/>
        </w:rPr>
        <w:t>Territorial</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
        <w:rPr>
          <w:rFonts w:ascii="Calibri"/>
          <w:sz w:val="21"/>
        </w:rPr>
      </w:pPr>
      <w:r>
        <w:rPr/>
        <w:pict>
          <v:line style="position:absolute;mso-position-horizontal-relative:page;mso-position-vertical-relative:paragraph;z-index:4672;mso-wrap-distance-left:0;mso-wrap-distance-right:0" from="381.36026pt,15.253572pt" to="381.36026pt,24.417482pt" stroked="true" strokeweight=".57255pt" strokecolor="#ffff00">
            <w10:wrap type="topAndBottom"/>
          </v:line>
        </w:pict>
      </w:r>
    </w:p>
    <w:p>
      <w:pPr>
        <w:pStyle w:val="BodyText"/>
        <w:spacing w:before="8"/>
        <w:rPr>
          <w:rFonts w:ascii="Calibri"/>
          <w:sz w:val="26"/>
        </w:rPr>
      </w:pPr>
    </w:p>
    <w:p>
      <w:pPr>
        <w:spacing w:before="79"/>
        <w:ind w:left="268" w:right="0" w:firstLine="0"/>
        <w:jc w:val="both"/>
        <w:rPr>
          <w:sz w:val="21"/>
        </w:rPr>
      </w:pPr>
      <w:r>
        <w:rPr>
          <w:w w:val="105"/>
          <w:sz w:val="21"/>
        </w:rPr>
        <w:t>Fuente: Elaboración propia con base al análisis y clasificación de indicadores.</w:t>
      </w:r>
    </w:p>
    <w:p>
      <w:pPr>
        <w:pStyle w:val="BodyText"/>
        <w:spacing w:before="2"/>
        <w:rPr>
          <w:sz w:val="21"/>
        </w:rPr>
      </w:pPr>
    </w:p>
    <w:p>
      <w:pPr>
        <w:pStyle w:val="BodyText"/>
        <w:spacing w:line="360" w:lineRule="auto"/>
        <w:ind w:left="268" w:right="231"/>
        <w:jc w:val="both"/>
      </w:pPr>
      <w:r>
        <w:rPr/>
        <w:t>El subíndice de uso de suelo analiza la congruencia que existe entre la clasificación de los usos de suelo y el conjunto urbano, así como la densidad de población estimada para el nuevo desarrollo.</w:t>
      </w:r>
    </w:p>
    <w:p>
      <w:pPr>
        <w:pStyle w:val="BodyText"/>
        <w:spacing w:line="360" w:lineRule="auto" w:before="122"/>
        <w:ind w:left="268" w:right="231"/>
        <w:jc w:val="both"/>
      </w:pPr>
      <w:r>
        <w:rPr/>
        <w:t>Para la evaluación de la congruencia de la tipología y números de viviendas autorizadas en relación a la normatividad de usos de suelo y el plan de desarrollo urbano municipal, así como su congruencia en el entorno se analiza el subíndice de vivienda.</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4744" from="93.199997pt,-19.614155pt" to="546.799997pt,-19.614155pt" stroked="true" strokeweight=".479981pt" strokecolor="#000000">
            <w10:wrap type="none"/>
          </v:line>
        </w:pict>
      </w:r>
      <w:r>
        <w:rPr/>
        <w:t>Continuando con el estudio del impacto territorial en la autorización de un desarrollo habitacional se analiza el cumplimiento de las obligaciones y responsabilidades adquiridos por el desarrollador inmobiliario y el Estado mediante la obtención del subíndice de municipalización.</w:t>
      </w:r>
    </w:p>
    <w:p>
      <w:pPr>
        <w:pStyle w:val="BodyText"/>
        <w:spacing w:line="360" w:lineRule="auto" w:before="127"/>
        <w:ind w:left="268" w:right="231"/>
        <w:jc w:val="both"/>
      </w:pPr>
      <w:r>
        <w:rPr/>
        <w:t>El subíndice de infraestructura que se utilizada, expone el impacto que tiene un conjunto urbano en la utilización de vialidades y redes creadas por el Estado y sociedad.</w:t>
      </w:r>
    </w:p>
    <w:p>
      <w:pPr>
        <w:pStyle w:val="BodyText"/>
        <w:spacing w:line="360" w:lineRule="auto" w:before="122"/>
        <w:ind w:left="268" w:right="231"/>
        <w:jc w:val="both"/>
      </w:pPr>
      <w:r>
        <w:rPr/>
        <w:t>Por otro lado, el subíndice de infraestructura desarrollada impacta de manera positiva en el territorio desde una perspectiva del desarrollo de vialidades y redes por la autorización de un proyecto habitacional, siempre y cuando estas obras  sean de calidad y se encuentren realizadas, así como</w:t>
      </w:r>
      <w:r>
        <w:rPr>
          <w:spacing w:val="-8"/>
        </w:rPr>
        <w:t> </w:t>
      </w:r>
      <w:r>
        <w:rPr/>
        <w:t>municipalizadas.</w:t>
      </w:r>
    </w:p>
    <w:p>
      <w:pPr>
        <w:pStyle w:val="BodyText"/>
        <w:spacing w:line="360" w:lineRule="auto" w:before="122"/>
        <w:ind w:left="268" w:right="232"/>
        <w:jc w:val="both"/>
      </w:pPr>
      <w:r>
        <w:rPr/>
        <w:t>De una manera muy similar al subíndice anterior, el subíndice de equipamiento desarrollado analiza el beneficio del equipamiento realizado por el promotor inmobiliario para el conjunto urbano y su entorno.</w:t>
      </w:r>
    </w:p>
    <w:p>
      <w:pPr>
        <w:pStyle w:val="BodyText"/>
        <w:spacing w:line="360" w:lineRule="auto" w:before="122"/>
        <w:ind w:left="268" w:right="231"/>
        <w:jc w:val="both"/>
      </w:pPr>
      <w:r>
        <w:rPr/>
        <w:t>El último subíndice de integración al territorio explica la relación que existe entre los habitantes de un conjunto urbano y la población de la zona en donde se desarrolla, considerando elementos de ubicación, sí es un proyecto privado (cerrado, al cual solo tienen acceso los residentes y sus visitas) o de acceso público (abierto, en el que puede acceder cualquier persona sin la necesidad de residir en él o visitar a algún residente), integración social y seguridad en materia de protección civil y del orden público.</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before="69"/>
        <w:ind w:left="268"/>
        <w:jc w:val="both"/>
      </w:pPr>
      <w:r>
        <w:rPr/>
        <w:pict>
          <v:line style="position:absolute;mso-position-horizontal-relative:page;mso-position-vertical-relative:paragraph;z-index:4768" from="93.199997pt,-19.614155pt" to="546.799997pt,-19.614155pt" stroked="true" strokeweight=".479981pt" strokecolor="#000000">
            <w10:wrap type="none"/>
          </v:line>
        </w:pict>
      </w:r>
      <w:r>
        <w:rPr/>
        <w:pict>
          <v:rect style="position:absolute;margin-left:292.20401pt;margin-top:76.641838pt;width:52.9486pt;height:15.992pt;mso-position-horizontal-relative:page;mso-position-vertical-relative:paragraph;z-index:-1153240" filled="true" fillcolor="#f79646" stroked="false">
            <v:fill type="solid"/>
            <w10:wrap type="none"/>
          </v:rect>
        </w:pict>
      </w:r>
      <w:r>
        <w:rPr/>
        <w:pict>
          <v:rect style="position:absolute;margin-left:292.20401pt;margin-top:106.626839pt;width:52.9486pt;height:15.992pt;mso-position-horizontal-relative:page;mso-position-vertical-relative:paragraph;z-index:-1153216" filled="true" fillcolor="#f79646" stroked="false">
            <v:fill type="solid"/>
            <w10:wrap type="none"/>
          </v:rect>
        </w:pict>
      </w:r>
      <w:r>
        <w:rPr/>
        <w:t>Tabla 9. Estructura del índice de sustentabilidad de conjuntos urbanos.</w:t>
      </w:r>
    </w:p>
    <w:p>
      <w:pPr>
        <w:pStyle w:val="BodyText"/>
        <w:spacing w:before="9" w:after="1"/>
        <w:rPr>
          <w:sz w:val="19"/>
        </w:rPr>
      </w:pPr>
    </w:p>
    <w:tbl>
      <w:tblPr>
        <w:tblW w:w="0" w:type="auto"/>
        <w:jc w:val="left"/>
        <w:tblInd w:w="152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04"/>
        <w:gridCol w:w="923"/>
        <w:gridCol w:w="1289"/>
        <w:gridCol w:w="1229"/>
      </w:tblGrid>
      <w:tr>
        <w:trPr>
          <w:trHeight w:val="680" w:hRule="exact"/>
        </w:trPr>
        <w:tc>
          <w:tcPr>
            <w:tcW w:w="6144" w:type="dxa"/>
            <w:gridSpan w:val="4"/>
            <w:shd w:val="clear" w:color="auto" w:fill="000000"/>
          </w:tcPr>
          <w:p>
            <w:pPr>
              <w:pStyle w:val="TableParagraph"/>
              <w:spacing w:before="181"/>
              <w:ind w:left="1283"/>
              <w:jc w:val="left"/>
              <w:rPr>
                <w:rFonts w:ascii="Calibri" w:hAnsi="Calibri"/>
                <w:sz w:val="24"/>
              </w:rPr>
            </w:pPr>
            <w:r>
              <w:rPr>
                <w:rFonts w:ascii="Calibri" w:hAnsi="Calibri"/>
                <w:color w:val="FFFFFF"/>
                <w:sz w:val="24"/>
              </w:rPr>
              <w:t>Sistema de Índices de Sustentabilidad</w:t>
            </w:r>
          </w:p>
        </w:tc>
      </w:tr>
      <w:tr>
        <w:trPr>
          <w:trHeight w:val="280" w:hRule="exact"/>
        </w:trPr>
        <w:tc>
          <w:tcPr>
            <w:tcW w:w="2704" w:type="dxa"/>
            <w:tcBorders>
              <w:left w:val="single" w:sz="8" w:space="0" w:color="000000"/>
            </w:tcBorders>
          </w:tcPr>
          <w:p>
            <w:pPr/>
          </w:p>
        </w:tc>
        <w:tc>
          <w:tcPr>
            <w:tcW w:w="923" w:type="dxa"/>
          </w:tcPr>
          <w:p>
            <w:pPr>
              <w:pStyle w:val="TableParagraph"/>
              <w:spacing w:line="274" w:lineRule="exact"/>
              <w:ind w:left="184" w:right="278"/>
              <w:rPr>
                <w:rFonts w:ascii="Calibri"/>
                <w:sz w:val="24"/>
              </w:rPr>
            </w:pPr>
            <w:r>
              <w:rPr>
                <w:rFonts w:ascii="Calibri"/>
                <w:sz w:val="24"/>
              </w:rPr>
              <w:t>Real</w:t>
            </w:r>
          </w:p>
        </w:tc>
        <w:tc>
          <w:tcPr>
            <w:tcW w:w="1289" w:type="dxa"/>
          </w:tcPr>
          <w:p>
            <w:pPr>
              <w:pStyle w:val="TableParagraph"/>
              <w:spacing w:line="274" w:lineRule="exact"/>
              <w:ind w:left="178" w:right="173"/>
              <w:rPr>
                <w:rFonts w:ascii="Calibri"/>
                <w:sz w:val="24"/>
              </w:rPr>
            </w:pPr>
            <w:r>
              <w:rPr>
                <w:rFonts w:ascii="Calibri"/>
                <w:sz w:val="24"/>
              </w:rPr>
              <w:t>Deseable</w:t>
            </w:r>
          </w:p>
        </w:tc>
        <w:tc>
          <w:tcPr>
            <w:tcW w:w="1229" w:type="dxa"/>
            <w:tcBorders>
              <w:right w:val="single" w:sz="16" w:space="0" w:color="000000"/>
            </w:tcBorders>
          </w:tcPr>
          <w:p>
            <w:pPr>
              <w:pStyle w:val="TableParagraph"/>
              <w:spacing w:line="274" w:lineRule="exact"/>
              <w:ind w:left="229" w:right="201"/>
              <w:rPr>
                <w:rFonts w:ascii="Calibri" w:hAnsi="Calibri"/>
                <w:sz w:val="24"/>
              </w:rPr>
            </w:pPr>
            <w:r>
              <w:rPr>
                <w:rFonts w:ascii="Calibri" w:hAnsi="Calibri"/>
                <w:sz w:val="24"/>
              </w:rPr>
              <w:t>Óptimo</w:t>
            </w:r>
          </w:p>
        </w:tc>
      </w:tr>
      <w:tr>
        <w:trPr>
          <w:trHeight w:val="320" w:hRule="exact"/>
        </w:trPr>
        <w:tc>
          <w:tcPr>
            <w:tcW w:w="2704" w:type="dxa"/>
            <w:tcBorders>
              <w:left w:val="single" w:sz="8" w:space="0" w:color="000000"/>
            </w:tcBorders>
          </w:tcPr>
          <w:p>
            <w:pPr>
              <w:pStyle w:val="TableParagraph"/>
              <w:spacing w:before="1"/>
              <w:ind w:left="39"/>
              <w:jc w:val="left"/>
              <w:rPr>
                <w:rFonts w:ascii="Calibri" w:hAnsi="Calibri"/>
                <w:sz w:val="24"/>
              </w:rPr>
            </w:pPr>
            <w:r>
              <w:rPr>
                <w:rFonts w:ascii="Calibri" w:hAnsi="Calibri"/>
                <w:sz w:val="24"/>
              </w:rPr>
              <w:t>Índice Social</w:t>
            </w:r>
          </w:p>
        </w:tc>
        <w:tc>
          <w:tcPr>
            <w:tcW w:w="923" w:type="dxa"/>
          </w:tcPr>
          <w:p>
            <w:pPr>
              <w:pStyle w:val="TableParagraph"/>
              <w:spacing w:before="1"/>
              <w:ind w:right="72"/>
              <w:rPr>
                <w:rFonts w:ascii="Calibri"/>
                <w:sz w:val="24"/>
              </w:rPr>
            </w:pPr>
            <w:r>
              <w:rPr>
                <w:rFonts w:ascii="Calibri"/>
                <w:w w:val="99"/>
                <w:sz w:val="24"/>
              </w:rPr>
              <w:t>0</w:t>
            </w:r>
          </w:p>
        </w:tc>
        <w:tc>
          <w:tcPr>
            <w:tcW w:w="1289" w:type="dxa"/>
            <w:tcBorders>
              <w:right w:val="single" w:sz="8" w:space="0" w:color="FFFFFF"/>
            </w:tcBorders>
            <w:shd w:val="clear" w:color="auto" w:fill="FFFF00"/>
          </w:tcPr>
          <w:p>
            <w:pPr>
              <w:pStyle w:val="TableParagraph"/>
              <w:spacing w:before="1"/>
              <w:ind w:left="357" w:right="332"/>
              <w:rPr>
                <w:rFonts w:ascii="Calibri"/>
                <w:sz w:val="24"/>
              </w:rPr>
            </w:pPr>
            <w:r>
              <w:rPr>
                <w:rFonts w:ascii="Calibri"/>
                <w:sz w:val="24"/>
              </w:rPr>
              <w:t>11.4</w:t>
            </w:r>
          </w:p>
        </w:tc>
        <w:tc>
          <w:tcPr>
            <w:tcW w:w="1229" w:type="dxa"/>
            <w:tcBorders>
              <w:left w:val="single" w:sz="8" w:space="0" w:color="FFFFFF"/>
              <w:right w:val="single" w:sz="16" w:space="0" w:color="000000"/>
            </w:tcBorders>
            <w:shd w:val="clear" w:color="auto" w:fill="67ED4D"/>
          </w:tcPr>
          <w:p>
            <w:pPr>
              <w:pStyle w:val="TableParagraph"/>
              <w:spacing w:before="1"/>
              <w:ind w:left="479" w:right="436"/>
              <w:rPr>
                <w:rFonts w:ascii="Calibri"/>
                <w:sz w:val="24"/>
              </w:rPr>
            </w:pPr>
            <w:r>
              <w:rPr>
                <w:rFonts w:ascii="Calibri"/>
                <w:sz w:val="24"/>
              </w:rPr>
              <w:t>15</w:t>
            </w:r>
          </w:p>
        </w:tc>
      </w:tr>
      <w:tr>
        <w:trPr>
          <w:trHeight w:val="280" w:hRule="exact"/>
        </w:trPr>
        <w:tc>
          <w:tcPr>
            <w:tcW w:w="6144" w:type="dxa"/>
            <w:gridSpan w:val="4"/>
            <w:tcBorders>
              <w:left w:val="single" w:sz="8" w:space="0" w:color="000000"/>
              <w:right w:val="single" w:sz="16" w:space="0" w:color="000000"/>
            </w:tcBorders>
          </w:tcPr>
          <w:p>
            <w:pPr/>
          </w:p>
        </w:tc>
      </w:tr>
      <w:tr>
        <w:trPr>
          <w:trHeight w:val="320" w:hRule="exact"/>
        </w:trPr>
        <w:tc>
          <w:tcPr>
            <w:tcW w:w="2704" w:type="dxa"/>
            <w:tcBorders>
              <w:left w:val="single" w:sz="8" w:space="0" w:color="000000"/>
            </w:tcBorders>
          </w:tcPr>
          <w:p>
            <w:pPr>
              <w:pStyle w:val="TableParagraph"/>
              <w:spacing w:before="1"/>
              <w:ind w:left="39"/>
              <w:jc w:val="left"/>
              <w:rPr>
                <w:rFonts w:ascii="Calibri" w:hAnsi="Calibri"/>
                <w:sz w:val="24"/>
              </w:rPr>
            </w:pPr>
            <w:r>
              <w:rPr>
                <w:rFonts w:ascii="Calibri" w:hAnsi="Calibri"/>
                <w:sz w:val="24"/>
              </w:rPr>
              <w:t>Índice Ambiental</w:t>
            </w:r>
          </w:p>
        </w:tc>
        <w:tc>
          <w:tcPr>
            <w:tcW w:w="923" w:type="dxa"/>
          </w:tcPr>
          <w:p>
            <w:pPr>
              <w:pStyle w:val="TableParagraph"/>
              <w:spacing w:before="1"/>
              <w:ind w:right="72"/>
              <w:rPr>
                <w:rFonts w:ascii="Calibri"/>
                <w:sz w:val="24"/>
              </w:rPr>
            </w:pPr>
            <w:r>
              <w:rPr>
                <w:rFonts w:ascii="Calibri"/>
                <w:w w:val="99"/>
                <w:sz w:val="24"/>
              </w:rPr>
              <w:t>0</w:t>
            </w:r>
          </w:p>
        </w:tc>
        <w:tc>
          <w:tcPr>
            <w:tcW w:w="1289" w:type="dxa"/>
            <w:tcBorders>
              <w:right w:val="single" w:sz="8" w:space="0" w:color="FFFFFF"/>
            </w:tcBorders>
            <w:shd w:val="clear" w:color="auto" w:fill="FFFF00"/>
          </w:tcPr>
          <w:p>
            <w:pPr>
              <w:pStyle w:val="TableParagraph"/>
              <w:spacing w:before="1"/>
              <w:ind w:left="357" w:right="332"/>
              <w:rPr>
                <w:rFonts w:ascii="Calibri"/>
                <w:sz w:val="24"/>
              </w:rPr>
            </w:pPr>
            <w:r>
              <w:rPr>
                <w:rFonts w:ascii="Calibri"/>
                <w:sz w:val="24"/>
              </w:rPr>
              <w:t>18.3</w:t>
            </w:r>
          </w:p>
        </w:tc>
        <w:tc>
          <w:tcPr>
            <w:tcW w:w="1229" w:type="dxa"/>
            <w:tcBorders>
              <w:left w:val="single" w:sz="8" w:space="0" w:color="FFFFFF"/>
              <w:right w:val="single" w:sz="16" w:space="0" w:color="000000"/>
            </w:tcBorders>
            <w:shd w:val="clear" w:color="auto" w:fill="67ED4D"/>
          </w:tcPr>
          <w:p>
            <w:pPr>
              <w:pStyle w:val="TableParagraph"/>
              <w:spacing w:before="1"/>
              <w:ind w:left="479" w:right="436"/>
              <w:rPr>
                <w:rFonts w:ascii="Calibri"/>
                <w:sz w:val="24"/>
              </w:rPr>
            </w:pPr>
            <w:r>
              <w:rPr>
                <w:rFonts w:ascii="Calibri"/>
                <w:sz w:val="24"/>
              </w:rPr>
              <w:t>24</w:t>
            </w:r>
          </w:p>
        </w:tc>
      </w:tr>
      <w:tr>
        <w:trPr>
          <w:trHeight w:val="280" w:hRule="exact"/>
        </w:trPr>
        <w:tc>
          <w:tcPr>
            <w:tcW w:w="6144" w:type="dxa"/>
            <w:gridSpan w:val="4"/>
            <w:tcBorders>
              <w:left w:val="single" w:sz="8" w:space="0" w:color="000000"/>
              <w:right w:val="single" w:sz="16" w:space="0" w:color="000000"/>
            </w:tcBorders>
          </w:tcPr>
          <w:p>
            <w:pPr/>
          </w:p>
        </w:tc>
      </w:tr>
      <w:tr>
        <w:trPr>
          <w:trHeight w:val="320" w:hRule="exact"/>
        </w:trPr>
        <w:tc>
          <w:tcPr>
            <w:tcW w:w="2704" w:type="dxa"/>
            <w:tcBorders>
              <w:left w:val="single" w:sz="8" w:space="0" w:color="000000"/>
            </w:tcBorders>
          </w:tcPr>
          <w:p>
            <w:pPr>
              <w:pStyle w:val="TableParagraph"/>
              <w:spacing w:before="1"/>
              <w:ind w:left="39"/>
              <w:jc w:val="left"/>
              <w:rPr>
                <w:rFonts w:ascii="Calibri" w:hAnsi="Calibri"/>
                <w:sz w:val="24"/>
              </w:rPr>
            </w:pPr>
            <w:r>
              <w:rPr>
                <w:rFonts w:ascii="Calibri" w:hAnsi="Calibri"/>
                <w:sz w:val="24"/>
              </w:rPr>
              <w:t>Índice Económico</w:t>
            </w:r>
          </w:p>
        </w:tc>
        <w:tc>
          <w:tcPr>
            <w:tcW w:w="923" w:type="dxa"/>
          </w:tcPr>
          <w:p>
            <w:pPr>
              <w:pStyle w:val="TableParagraph"/>
              <w:spacing w:before="1"/>
              <w:ind w:right="72"/>
              <w:rPr>
                <w:rFonts w:ascii="Calibri"/>
                <w:sz w:val="24"/>
              </w:rPr>
            </w:pPr>
            <w:r>
              <w:rPr>
                <w:rFonts w:ascii="Calibri"/>
                <w:w w:val="99"/>
                <w:sz w:val="24"/>
              </w:rPr>
              <w:t>0</w:t>
            </w:r>
          </w:p>
        </w:tc>
        <w:tc>
          <w:tcPr>
            <w:tcW w:w="1289" w:type="dxa"/>
            <w:tcBorders>
              <w:right w:val="single" w:sz="8" w:space="0" w:color="FFFFFF"/>
            </w:tcBorders>
            <w:shd w:val="clear" w:color="auto" w:fill="FFFF00"/>
          </w:tcPr>
          <w:p>
            <w:pPr>
              <w:pStyle w:val="TableParagraph"/>
              <w:spacing w:before="1"/>
              <w:ind w:left="41"/>
              <w:rPr>
                <w:rFonts w:ascii="Calibri"/>
                <w:sz w:val="24"/>
              </w:rPr>
            </w:pPr>
            <w:r>
              <w:rPr>
                <w:rFonts w:ascii="Calibri"/>
                <w:w w:val="99"/>
                <w:sz w:val="24"/>
              </w:rPr>
              <w:t>9</w:t>
            </w:r>
          </w:p>
        </w:tc>
        <w:tc>
          <w:tcPr>
            <w:tcW w:w="1229" w:type="dxa"/>
            <w:tcBorders>
              <w:left w:val="single" w:sz="8" w:space="0" w:color="FFFFFF"/>
              <w:right w:val="single" w:sz="16" w:space="0" w:color="000000"/>
            </w:tcBorders>
            <w:shd w:val="clear" w:color="auto" w:fill="67ED4D"/>
          </w:tcPr>
          <w:p>
            <w:pPr>
              <w:pStyle w:val="TableParagraph"/>
              <w:spacing w:before="1"/>
              <w:ind w:left="479" w:right="436"/>
              <w:rPr>
                <w:rFonts w:ascii="Calibri"/>
                <w:sz w:val="24"/>
              </w:rPr>
            </w:pPr>
            <w:r>
              <w:rPr>
                <w:rFonts w:ascii="Calibri"/>
                <w:sz w:val="24"/>
              </w:rPr>
              <w:t>11</w:t>
            </w:r>
          </w:p>
        </w:tc>
      </w:tr>
      <w:tr>
        <w:trPr>
          <w:trHeight w:val="280" w:hRule="exact"/>
        </w:trPr>
        <w:tc>
          <w:tcPr>
            <w:tcW w:w="6144" w:type="dxa"/>
            <w:gridSpan w:val="4"/>
            <w:tcBorders>
              <w:left w:val="single" w:sz="8" w:space="0" w:color="000000"/>
              <w:right w:val="single" w:sz="16" w:space="0" w:color="000000"/>
            </w:tcBorders>
          </w:tcPr>
          <w:p>
            <w:pPr/>
          </w:p>
        </w:tc>
      </w:tr>
      <w:tr>
        <w:trPr>
          <w:trHeight w:val="320" w:hRule="exact"/>
        </w:trPr>
        <w:tc>
          <w:tcPr>
            <w:tcW w:w="2704" w:type="dxa"/>
            <w:tcBorders>
              <w:left w:val="single" w:sz="8" w:space="0" w:color="000000"/>
            </w:tcBorders>
          </w:tcPr>
          <w:p>
            <w:pPr>
              <w:pStyle w:val="TableParagraph"/>
              <w:spacing w:before="1"/>
              <w:ind w:left="39"/>
              <w:jc w:val="left"/>
              <w:rPr>
                <w:rFonts w:ascii="Calibri" w:hAnsi="Calibri"/>
                <w:sz w:val="24"/>
              </w:rPr>
            </w:pPr>
            <w:r>
              <w:rPr>
                <w:rFonts w:ascii="Calibri" w:hAnsi="Calibri"/>
                <w:sz w:val="24"/>
              </w:rPr>
              <w:t>Índice Territorial</w:t>
            </w:r>
          </w:p>
        </w:tc>
        <w:tc>
          <w:tcPr>
            <w:tcW w:w="923" w:type="dxa"/>
          </w:tcPr>
          <w:p>
            <w:pPr>
              <w:pStyle w:val="TableParagraph"/>
              <w:spacing w:before="1"/>
              <w:ind w:right="72"/>
              <w:rPr>
                <w:rFonts w:ascii="Calibri"/>
                <w:sz w:val="24"/>
              </w:rPr>
            </w:pPr>
            <w:r>
              <w:rPr>
                <w:rFonts w:ascii="Calibri"/>
                <w:w w:val="99"/>
                <w:sz w:val="24"/>
              </w:rPr>
              <w:t>0</w:t>
            </w:r>
          </w:p>
        </w:tc>
        <w:tc>
          <w:tcPr>
            <w:tcW w:w="1289" w:type="dxa"/>
            <w:tcBorders>
              <w:right w:val="single" w:sz="8" w:space="0" w:color="FFFFFF"/>
            </w:tcBorders>
            <w:shd w:val="clear" w:color="auto" w:fill="FFFF00"/>
          </w:tcPr>
          <w:p>
            <w:pPr>
              <w:pStyle w:val="TableParagraph"/>
              <w:spacing w:before="1"/>
              <w:ind w:left="359" w:right="332"/>
              <w:rPr>
                <w:rFonts w:ascii="Calibri"/>
                <w:sz w:val="24"/>
              </w:rPr>
            </w:pPr>
            <w:r>
              <w:rPr>
                <w:rFonts w:ascii="Calibri"/>
                <w:sz w:val="24"/>
              </w:rPr>
              <w:t>12.66</w:t>
            </w:r>
          </w:p>
        </w:tc>
        <w:tc>
          <w:tcPr>
            <w:tcW w:w="1229" w:type="dxa"/>
            <w:tcBorders>
              <w:left w:val="single" w:sz="8" w:space="0" w:color="FFFFFF"/>
              <w:right w:val="single" w:sz="16" w:space="0" w:color="000000"/>
            </w:tcBorders>
            <w:shd w:val="clear" w:color="auto" w:fill="67ED4D"/>
          </w:tcPr>
          <w:p>
            <w:pPr>
              <w:pStyle w:val="TableParagraph"/>
              <w:spacing w:before="1"/>
              <w:ind w:left="479" w:right="436"/>
              <w:rPr>
                <w:rFonts w:ascii="Calibri"/>
                <w:sz w:val="24"/>
              </w:rPr>
            </w:pPr>
            <w:r>
              <w:rPr>
                <w:rFonts w:ascii="Calibri"/>
                <w:sz w:val="24"/>
              </w:rPr>
              <w:t>17</w:t>
            </w:r>
          </w:p>
        </w:tc>
      </w:tr>
      <w:tr>
        <w:trPr>
          <w:trHeight w:val="280" w:hRule="exact"/>
        </w:trPr>
        <w:tc>
          <w:tcPr>
            <w:tcW w:w="6144" w:type="dxa"/>
            <w:gridSpan w:val="4"/>
            <w:tcBorders>
              <w:left w:val="single" w:sz="8" w:space="0" w:color="000000"/>
              <w:right w:val="single" w:sz="16" w:space="0" w:color="000000"/>
            </w:tcBorders>
          </w:tcPr>
          <w:p>
            <w:pPr/>
          </w:p>
        </w:tc>
      </w:tr>
      <w:tr>
        <w:trPr>
          <w:trHeight w:val="320" w:hRule="exact"/>
        </w:trPr>
        <w:tc>
          <w:tcPr>
            <w:tcW w:w="2704" w:type="dxa"/>
            <w:tcBorders>
              <w:left w:val="single" w:sz="8" w:space="0" w:color="000000"/>
            </w:tcBorders>
          </w:tcPr>
          <w:p>
            <w:pPr>
              <w:pStyle w:val="TableParagraph"/>
              <w:spacing w:before="1"/>
              <w:ind w:left="39"/>
              <w:jc w:val="left"/>
              <w:rPr>
                <w:rFonts w:ascii="Calibri" w:hAnsi="Calibri"/>
                <w:sz w:val="24"/>
              </w:rPr>
            </w:pPr>
            <w:r>
              <w:rPr>
                <w:rFonts w:ascii="Calibri" w:hAnsi="Calibri"/>
                <w:sz w:val="24"/>
              </w:rPr>
              <w:t>Índice de Sustentabilidad</w:t>
            </w:r>
          </w:p>
        </w:tc>
        <w:tc>
          <w:tcPr>
            <w:tcW w:w="923" w:type="dxa"/>
          </w:tcPr>
          <w:p>
            <w:pPr>
              <w:pStyle w:val="TableParagraph"/>
              <w:spacing w:before="1"/>
              <w:ind w:right="72"/>
              <w:rPr>
                <w:rFonts w:ascii="Calibri"/>
                <w:sz w:val="24"/>
              </w:rPr>
            </w:pPr>
            <w:r>
              <w:rPr>
                <w:rFonts w:ascii="Calibri"/>
                <w:w w:val="99"/>
                <w:sz w:val="24"/>
              </w:rPr>
              <w:t>0</w:t>
            </w:r>
          </w:p>
        </w:tc>
        <w:tc>
          <w:tcPr>
            <w:tcW w:w="1289" w:type="dxa"/>
            <w:tcBorders>
              <w:right w:val="single" w:sz="8" w:space="0" w:color="FFFFFF"/>
            </w:tcBorders>
            <w:shd w:val="clear" w:color="auto" w:fill="FFFF00"/>
          </w:tcPr>
          <w:p>
            <w:pPr>
              <w:pStyle w:val="TableParagraph"/>
              <w:spacing w:before="1"/>
              <w:ind w:left="359" w:right="332"/>
              <w:rPr>
                <w:rFonts w:ascii="Calibri"/>
                <w:sz w:val="24"/>
              </w:rPr>
            </w:pPr>
            <w:r>
              <w:rPr>
                <w:rFonts w:ascii="Calibri"/>
                <w:sz w:val="24"/>
              </w:rPr>
              <w:t>51.36</w:t>
            </w:r>
          </w:p>
        </w:tc>
        <w:tc>
          <w:tcPr>
            <w:tcW w:w="1229" w:type="dxa"/>
            <w:tcBorders>
              <w:left w:val="single" w:sz="8" w:space="0" w:color="FFFFFF"/>
              <w:right w:val="single" w:sz="16" w:space="0" w:color="000000"/>
            </w:tcBorders>
            <w:shd w:val="clear" w:color="auto" w:fill="67ED4D"/>
          </w:tcPr>
          <w:p>
            <w:pPr>
              <w:pStyle w:val="TableParagraph"/>
              <w:spacing w:before="1"/>
              <w:ind w:left="479" w:right="436"/>
              <w:rPr>
                <w:rFonts w:ascii="Calibri"/>
                <w:sz w:val="24"/>
              </w:rPr>
            </w:pPr>
            <w:r>
              <w:rPr>
                <w:rFonts w:ascii="Calibri"/>
                <w:sz w:val="24"/>
              </w:rPr>
              <w:t>67</w:t>
            </w:r>
          </w:p>
        </w:tc>
      </w:tr>
      <w:tr>
        <w:trPr>
          <w:trHeight w:val="300" w:hRule="exact"/>
        </w:trPr>
        <w:tc>
          <w:tcPr>
            <w:tcW w:w="6144" w:type="dxa"/>
            <w:gridSpan w:val="4"/>
            <w:tcBorders>
              <w:left w:val="single" w:sz="8" w:space="0" w:color="000000"/>
              <w:bottom w:val="single" w:sz="16" w:space="0" w:color="000000"/>
              <w:right w:val="single" w:sz="16" w:space="0" w:color="000000"/>
            </w:tcBorders>
          </w:tcPr>
          <w:p>
            <w:pPr/>
          </w:p>
        </w:tc>
      </w:tr>
    </w:tbl>
    <w:p>
      <w:pPr>
        <w:spacing w:before="129"/>
        <w:ind w:left="268" w:right="0" w:firstLine="0"/>
        <w:jc w:val="both"/>
        <w:rPr>
          <w:sz w:val="21"/>
        </w:rPr>
      </w:pPr>
      <w:r>
        <w:rPr/>
        <w:pict>
          <v:rect style="position:absolute;margin-left:292.20401pt;margin-top:-91.955124pt;width:52.9486pt;height:15.992pt;mso-position-horizontal-relative:page;mso-position-vertical-relative:paragraph;z-index:-1153192" filled="true" fillcolor="#f79646" stroked="false">
            <v:fill type="solid"/>
            <w10:wrap type="none"/>
          </v:rect>
        </w:pict>
      </w:r>
      <w:r>
        <w:rPr/>
        <w:pict>
          <v:rect style="position:absolute;margin-left:292.20401pt;margin-top:-61.970119pt;width:52.9486pt;height:15.992pt;mso-position-horizontal-relative:page;mso-position-vertical-relative:paragraph;z-index:-1153168" filled="true" fillcolor="#f79646" stroked="false">
            <v:fill type="solid"/>
            <w10:wrap type="none"/>
          </v:rect>
        </w:pict>
      </w:r>
      <w:r>
        <w:rPr/>
        <w:pict>
          <v:rect style="position:absolute;margin-left:292.20401pt;margin-top:-31.985121pt;width:52.9486pt;height:15.992pt;mso-position-horizontal-relative:page;mso-position-vertical-relative:paragraph;z-index:-1153144" filled="true" fillcolor="#f79646" stroked="false">
            <v:fill type="solid"/>
            <w10:wrap type="none"/>
          </v:rect>
        </w:pict>
      </w:r>
      <w:r>
        <w:rPr>
          <w:w w:val="105"/>
          <w:sz w:val="21"/>
        </w:rPr>
        <w:t>Fuente: Elaboración propia con base al análisis y clasificación de indicadores.</w:t>
      </w:r>
    </w:p>
    <w:p>
      <w:pPr>
        <w:pStyle w:val="BodyText"/>
        <w:spacing w:before="7"/>
        <w:rPr>
          <w:sz w:val="21"/>
        </w:rPr>
      </w:pPr>
    </w:p>
    <w:p>
      <w:pPr>
        <w:pStyle w:val="BodyText"/>
        <w:spacing w:line="360" w:lineRule="auto"/>
        <w:ind w:left="268" w:right="231"/>
        <w:jc w:val="both"/>
      </w:pPr>
      <w:r>
        <w:rPr/>
        <w:t>La obtención de estos cinco índices permitirá evaluar la forma en que se autorizó un conjunto urbano, así como las futuras autorizaciones de conjuntos urbanos en materia de sustentabilidad del territorio considerando un análisis integral de la sustentabilidad y la participación de los tres agentes que intervienen.</w:t>
      </w:r>
    </w:p>
    <w:p>
      <w:pPr>
        <w:pStyle w:val="BodyText"/>
        <w:spacing w:line="360" w:lineRule="auto" w:before="127"/>
        <w:ind w:left="268" w:right="231"/>
        <w:jc w:val="both"/>
      </w:pPr>
      <w:r>
        <w:rPr/>
        <w:t>De otro modo también se puede contar con una evaluación del nivel o rango, de sustentabilidad con el que cuenta un conjunto urbano, sí éste tiende a lo social, al mostrar un mayor puntaje en este eje o sí bien tiene una tendencia mayor al eje, económico, con ello se podrán ponderar criterios para mejorar elementos carentes de atención a cierto eje de la sustentabilidad territorial y garantizar el equilibrio de los ejes en las cuatro dimensiones que aborda esta investigación.</w:t>
      </w:r>
    </w:p>
    <w:p>
      <w:pPr>
        <w:pStyle w:val="BodyText"/>
        <w:spacing w:line="360" w:lineRule="auto" w:before="122"/>
        <w:ind w:left="268" w:right="231"/>
        <w:jc w:val="both"/>
      </w:pPr>
      <w:r>
        <w:rPr/>
        <w:t>Los cuatro índices de sustentabilidad construidos con 24 subíndices y 67 indicadores cuentan con un puntaje que da como resultado tres escenarios posibles en los que se evalúa la tendencia de un conjunto urbano en un eje en específico y de esta manera será posible tomar las acciones necesarias para equilibrar el desarrollo habitacional por autorizar o ya autorizado.</w:t>
      </w:r>
    </w:p>
    <w:p>
      <w:pPr>
        <w:pStyle w:val="BodyText"/>
        <w:spacing w:line="360" w:lineRule="auto" w:before="122"/>
        <w:ind w:left="268" w:right="232"/>
        <w:jc w:val="both"/>
      </w:pPr>
      <w:r>
        <w:rPr/>
        <w:t>El quinto índice que se obtiene con los cuatro primeros es el índice de sustentabilidad para conjuntos urbanos (ISCU) autorizados o en proceso de autorización, debe considerar tres escenarios posibles al momento de su resultado</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4912" from="93.199997pt,-19.614155pt" to="546.799997pt,-19.614155pt" stroked="true" strokeweight=".479981pt" strokecolor="#000000">
            <w10:wrap type="none"/>
          </v:line>
        </w:pict>
      </w:r>
      <w:r>
        <w:rPr/>
        <w:t>final; un escenario óptimo con la obtención de un 100% del total de puntaje de los cuatro indicadores; social, ambiental, económico y territorial, un escenario deseable con la obtención de un mínimo del porcentaje total que garantice la sustentabilidad del conjunto urbano en sus cuatro ejes, y un escenario final que demuestra los resultados reales del estudio realizado al anteproyecto o proyecto autorizado.</w:t>
      </w:r>
    </w:p>
    <w:p>
      <w:pPr>
        <w:spacing w:before="131"/>
        <w:ind w:left="268" w:right="0" w:firstLine="0"/>
        <w:jc w:val="both"/>
        <w:rPr>
          <w:sz w:val="21"/>
        </w:rPr>
      </w:pPr>
      <w:r>
        <w:rPr>
          <w:w w:val="105"/>
          <w:sz w:val="21"/>
        </w:rPr>
        <w:t>Gráfica 1. Índice de sustentabilidad para conjuntos urbanos sustentables.</w:t>
      </w:r>
    </w:p>
    <w:p>
      <w:pPr>
        <w:pStyle w:val="Heading3"/>
        <w:spacing w:before="156"/>
        <w:jc w:val="center"/>
      </w:pPr>
      <w:r>
        <w:rPr/>
        <w:t>Distribución de índices</w:t>
      </w:r>
    </w:p>
    <w:p>
      <w:pPr>
        <w:pStyle w:val="BodyText"/>
        <w:spacing w:before="6"/>
        <w:rPr>
          <w:rFonts w:ascii="Calibri"/>
          <w:b/>
          <w:sz w:val="8"/>
        </w:rPr>
      </w:pPr>
    </w:p>
    <w:p>
      <w:pPr>
        <w:tabs>
          <w:tab w:pos="1078" w:val="left" w:leader="none"/>
          <w:tab w:pos="2053" w:val="left" w:leader="none"/>
        </w:tabs>
        <w:spacing w:before="76"/>
        <w:ind w:left="382" w:right="0" w:firstLine="0"/>
        <w:jc w:val="center"/>
        <w:rPr>
          <w:rFonts w:ascii="Calibri" w:hAnsi="Calibri"/>
          <w:sz w:val="14"/>
        </w:rPr>
      </w:pPr>
      <w:r>
        <w:rPr/>
        <w:pict>
          <v:group style="position:absolute;margin-left:260.27301pt;margin-top:5.486749pt;width:16.2pt;height:4.75pt;mso-position-horizontal-relative:page;mso-position-vertical-relative:paragraph;z-index:5104" coordorigin="5205,110" coordsize="324,95">
            <v:line style="position:absolute" from="5232,154" to="5503,154" stroked="true" strokeweight="2.640273pt" strokecolor="#5b92c7"/>
            <v:shape style="position:absolute;left:5327;top:117;width:83;height:79" type="#_x0000_t75" stroked="false">
              <v:imagedata r:id="rId80" o:title=""/>
            </v:shape>
            <v:shape style="position:absolute;left:5327;top:117;width:83;height:80" coordorigin="5327,117" coordsize="83,80" path="m5369,117l5410,159,5369,197,5327,159,5369,117xe" filled="false" stroked="true" strokeweight=".704382pt" strokecolor="#5b92c7">
              <v:path arrowok="t"/>
            </v:shape>
            <w10:wrap type="none"/>
          </v:group>
        </w:pict>
      </w:r>
      <w:r>
        <w:rPr/>
        <w:pict>
          <v:group style="position:absolute;margin-left:295.061981pt;margin-top:5.486749pt;width:16.2pt;height:4.75pt;mso-position-horizontal-relative:page;mso-position-vertical-relative:paragraph;z-index:-1152904" coordorigin="5901,110" coordsize="324,95">
            <v:line style="position:absolute" from="5928,154" to="6198,154" stroked="true" strokeweight="2.640273pt" strokecolor="#cc615a"/>
            <v:shape style="position:absolute;left:6018;top:117;width:85;height:79" type="#_x0000_t75" stroked="false">
              <v:imagedata r:id="rId81" o:title=""/>
            </v:shape>
            <v:rect style="position:absolute;left:6018;top:117;width:85;height:79" filled="false" stroked="true" strokeweight=".704374pt" strokecolor="#cc615a"/>
            <w10:wrap type="none"/>
          </v:group>
        </w:pict>
      </w:r>
      <w:r>
        <w:rPr/>
        <w:pict>
          <v:group style="position:absolute;margin-left:343.832001pt;margin-top:5.486749pt;width:16.2pt;height:4.75pt;mso-position-horizontal-relative:page;mso-position-vertical-relative:paragraph;z-index:-1152880" coordorigin="6877,110" coordsize="324,95">
            <v:line style="position:absolute" from="6903,154" to="7174,154" stroked="true" strokeweight="2.640273pt" strokecolor="#a8c367"/>
            <v:shape style="position:absolute;left:6990;top:117;width:85;height:79" type="#_x0000_t75" stroked="false">
              <v:imagedata r:id="rId82" o:title=""/>
            </v:shape>
            <v:shape style="position:absolute;left:6990;top:117;width:85;height:80" coordorigin="6990,117" coordsize="85,80" path="m7032,117l7075,197,6990,197,7032,117xe" filled="false" stroked="true" strokeweight=".704374pt" strokecolor="#a8c367">
              <v:path arrowok="t"/>
            </v:shape>
            <w10:wrap type="none"/>
          </v:group>
        </w:pict>
      </w:r>
      <w:r>
        <w:rPr>
          <w:rFonts w:ascii="Calibri" w:hAnsi="Calibri"/>
          <w:sz w:val="14"/>
        </w:rPr>
        <w:t>Real</w:t>
        <w:tab/>
        <w:t>Deseable</w:t>
        <w:tab/>
        <w:t>Óptimo</w:t>
      </w:r>
    </w:p>
    <w:p>
      <w:pPr>
        <w:pStyle w:val="BodyText"/>
        <w:spacing w:before="8"/>
        <w:rPr>
          <w:rFonts w:ascii="Calibri"/>
          <w:sz w:val="12"/>
        </w:rPr>
      </w:pPr>
    </w:p>
    <w:p>
      <w:pPr>
        <w:spacing w:before="0"/>
        <w:ind w:left="30" w:right="0" w:firstLine="0"/>
        <w:jc w:val="center"/>
        <w:rPr>
          <w:rFonts w:ascii="Calibri" w:hAnsi="Calibri"/>
          <w:sz w:val="14"/>
        </w:rPr>
      </w:pPr>
      <w:r>
        <w:rPr>
          <w:rFonts w:ascii="Calibri" w:hAnsi="Calibri"/>
          <w:sz w:val="14"/>
        </w:rPr>
        <w:t>Índice Social</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22"/>
        </w:rPr>
      </w:pPr>
    </w:p>
    <w:p>
      <w:pPr>
        <w:tabs>
          <w:tab w:pos="8055" w:val="left" w:leader="none"/>
        </w:tabs>
        <w:spacing w:before="77"/>
        <w:ind w:left="364" w:right="0" w:firstLine="0"/>
        <w:jc w:val="left"/>
        <w:rPr>
          <w:rFonts w:ascii="Calibri" w:hAnsi="Calibri"/>
          <w:sz w:val="14"/>
        </w:rPr>
      </w:pPr>
      <w:r>
        <w:rPr/>
        <w:pict>
          <v:group style="position:absolute;margin-left:158.15123pt;margin-top:-156.960724pt;width:324.25pt;height:326.95pt;mso-position-horizontal-relative:page;mso-position-vertical-relative:paragraph;z-index:-1152952" coordorigin="3163,-3139" coordsize="6485,6539">
            <v:shape style="position:absolute;left:117941;top:-116814959;width:116586060;height:116790775" coordorigin="117941,-116814959" coordsize="116586060,116790775" path="m6412,-493l7046,155m7046,155l6412,802m6412,802l5764,155m5764,155l6412,-493m6412,-1141l7695,155m7695,155l6412,1450m6412,1450l5116,155m5116,155l6412,-1141m6412,-1789l8343,155m8343,155l6412,2098m6412,2098l4467,155m4467,155l6412,-1789m6412,-2436l8991,155m8991,155l6412,2746m6412,2746l3819,155m3819,155l6412,-2436m6412,-3084l9640,155m9640,155l6412,3391m6412,3391l3171,155m3171,155l6412,-3084m6412,155l6412,-3084m6412,155l9640,155m6412,155l6412,3391m6412,155l3171,155m6412,155l6412,-3084e" filled="false" stroked="true" strokeweight=".704394pt" strokecolor="#989898">
              <v:path arrowok="t"/>
            </v:shape>
            <v:shape style="position:absolute;left:6285;top:-1111;width:254;height:239" type="#_x0000_t75" stroked="false">
              <v:imagedata r:id="rId83" o:title=""/>
            </v:shape>
            <v:shape style="position:absolute;left:7413;top:58;width:254;height:239" type="#_x0000_t75" stroked="false">
              <v:imagedata r:id="rId83" o:title=""/>
            </v:shape>
            <v:shape style="position:absolute;left:6285;top:762;width:254;height:239" type="#_x0000_t75" stroked="false">
              <v:imagedata r:id="rId83" o:title=""/>
            </v:shape>
            <v:shape style="position:absolute;left:5242;top:58;width:254;height:239" type="#_x0000_t75" stroked="false">
              <v:imagedata r:id="rId83" o:title=""/>
            </v:shape>
            <v:shape style="position:absolute;left:6285;top:-1421;width:254;height:239" type="#_x0000_t75" stroked="false">
              <v:imagedata r:id="rId84" o:title=""/>
            </v:shape>
            <v:shape style="position:absolute;left:8653;top:58;width:254;height:239" type="#_x0000_t75" stroked="false">
              <v:imagedata r:id="rId84" o:title=""/>
            </v:shape>
            <v:shape style="position:absolute;left:6285;top:1226;width:254;height:239" type="#_x0000_t75" stroked="false">
              <v:imagedata r:id="rId84" o:title=""/>
            </v:shape>
            <v:shape style="position:absolute;left:4636;top:58;width:254;height:239" type="#_x0000_t75" stroked="false">
              <v:imagedata r:id="rId84" o:title=""/>
            </v:shape>
            <v:shape style="position:absolute;left:6285;top:-1886;width:254;height:239" type="#_x0000_t75" stroked="false">
              <v:imagedata r:id="rId85" o:title=""/>
            </v:shape>
            <v:shape style="position:absolute;left:9386;top:58;width:254;height:239" type="#_x0000_t75" stroked="false">
              <v:imagedata r:id="rId85" o:title=""/>
            </v:shape>
            <v:shape style="position:absolute;left:6285;top:1480;width:254;height:239" type="#_x0000_t75" stroked="false">
              <v:imagedata r:id="rId85" o:title=""/>
            </v:shape>
            <v:shape style="position:absolute;left:4073;top:58;width:254;height:239" type="#_x0000_t75" stroked="false">
              <v:imagedata r:id="rId85" o:title=""/>
            </v:shape>
            <v:shape style="position:absolute;left:22509;top:-33761157;width:39116091;height:33781989" coordorigin="22509,-33761157" coordsize="39116091,33781989" path="m5369,157l6412,-1012m6412,-1012l7540,157m7540,157l6412,861m6412,861l5369,157e" filled="false" stroked="true" strokeweight="2.641478pt" strokecolor="#5b92c7">
              <v:path arrowok="t"/>
            </v:shape>
            <v:shape style="position:absolute;left:6342;top:-1083;width:141;height:141" type="#_x0000_t75" stroked="false">
              <v:imagedata r:id="rId86" o:title=""/>
            </v:shape>
            <v:shape style="position:absolute;left:7469;top:86;width:141;height:141" type="#_x0000_t75" stroked="false">
              <v:imagedata r:id="rId86" o:title=""/>
            </v:shape>
            <v:shape style="position:absolute;left:6342;top:790;width:141;height:141" type="#_x0000_t75" stroked="false">
              <v:imagedata r:id="rId86" o:title=""/>
            </v:shape>
            <v:shape style="position:absolute;left:5299;top:86;width:141;height:141" type="#_x0000_t75" stroked="false">
              <v:imagedata r:id="rId86" o:title=""/>
            </v:shape>
            <v:shape style="position:absolute;left:-11682;top:-47656359;width:72347882;height:47657726" coordorigin="-11682,-47656359" coordsize="72347882,47657726" path="m4763,155l6412,-1324m6412,-1324l8778,155m8778,155l6412,1318m6412,1318l4763,155e" filled="false" stroked="true" strokeweight="2.641478pt" strokecolor="#cc615a">
              <v:path arrowok="t"/>
            </v:shape>
            <v:shape style="position:absolute;left:6342;top:-1393;width:141;height:141" type="#_x0000_t75" stroked="false">
              <v:imagedata r:id="rId87" o:title=""/>
            </v:shape>
            <v:shape style="position:absolute;left:8710;top:86;width:141;height:141" type="#_x0000_t75" stroked="false">
              <v:imagedata r:id="rId87" o:title=""/>
            </v:shape>
            <v:shape style="position:absolute;left:6342;top:1255;width:141;height:141" type="#_x0000_t75" stroked="false">
              <v:imagedata r:id="rId87" o:title=""/>
            </v:shape>
            <v:shape style="position:absolute;left:4693;top:86;width:141;height:141" type="#_x0000_t75" stroked="false">
              <v:imagedata r:id="rId87" o:title=""/>
            </v:shape>
            <v:shape style="position:absolute;left:-31542;top:-60733759;width:95757942;height:60705947" coordorigin="-31542,-60733759" coordsize="95757942,60705947" path="m4199,155l6412,-1789m6412,-1789l9513,155m9513,155l6412,1577m6412,1577l4199,155e" filled="false" stroked="true" strokeweight="2.641478pt" strokecolor="#a8c367">
              <v:path arrowok="t"/>
            </v:shape>
            <v:shape style="position:absolute;left:6342;top:-1857;width:141;height:141" type="#_x0000_t75" stroked="false">
              <v:imagedata r:id="rId88" o:title=""/>
            </v:shape>
            <v:shape style="position:absolute;left:9442;top:86;width:141;height:141" type="#_x0000_t75" stroked="false">
              <v:imagedata r:id="rId88" o:title=""/>
            </v:shape>
            <v:shape style="position:absolute;left:6342;top:1508;width:141;height:141" type="#_x0000_t75" stroked="false">
              <v:imagedata r:id="rId88" o:title=""/>
            </v:shape>
            <v:shape style="position:absolute;left:4129;top:86;width:141;height:141" type="#_x0000_t75" stroked="false">
              <v:imagedata r:id="rId88" o:title=""/>
            </v:shape>
            <v:shape style="position:absolute;left:6139;top:-3139;width:143;height:141" type="#_x0000_t202" filled="false" stroked="false">
              <v:textbox inset="0,0,0,0">
                <w:txbxContent>
                  <w:p>
                    <w:pPr>
                      <w:spacing w:line="141" w:lineRule="exact" w:before="0"/>
                      <w:ind w:left="0" w:right="-19" w:firstLine="0"/>
                      <w:jc w:val="left"/>
                      <w:rPr>
                        <w:rFonts w:ascii="Calibri"/>
                        <w:sz w:val="14"/>
                      </w:rPr>
                    </w:pPr>
                    <w:r>
                      <w:rPr>
                        <w:rFonts w:ascii="Calibri"/>
                        <w:sz w:val="14"/>
                      </w:rPr>
                      <w:t>25</w:t>
                    </w:r>
                  </w:p>
                </w:txbxContent>
              </v:textbox>
              <w10:wrap type="none"/>
            </v:shape>
            <v:shape style="position:absolute;left:6139;top:-2492;width:143;height:141" type="#_x0000_t202" filled="false" stroked="false">
              <v:textbox inset="0,0,0,0">
                <w:txbxContent>
                  <w:p>
                    <w:pPr>
                      <w:spacing w:line="141" w:lineRule="exact" w:before="0"/>
                      <w:ind w:left="0" w:right="-19" w:firstLine="0"/>
                      <w:jc w:val="left"/>
                      <w:rPr>
                        <w:rFonts w:ascii="Calibri"/>
                        <w:sz w:val="14"/>
                      </w:rPr>
                    </w:pPr>
                    <w:r>
                      <w:rPr>
                        <w:rFonts w:ascii="Calibri"/>
                        <w:sz w:val="14"/>
                      </w:rPr>
                      <w:t>20</w:t>
                    </w:r>
                  </w:p>
                </w:txbxContent>
              </v:textbox>
              <w10:wrap type="none"/>
            </v:shape>
            <v:shape style="position:absolute;left:6139;top:-1844;width:143;height:141" type="#_x0000_t202" filled="false" stroked="false">
              <v:textbox inset="0,0,0,0">
                <w:txbxContent>
                  <w:p>
                    <w:pPr>
                      <w:spacing w:line="141" w:lineRule="exact" w:before="0"/>
                      <w:ind w:left="0" w:right="-19" w:firstLine="0"/>
                      <w:jc w:val="left"/>
                      <w:rPr>
                        <w:rFonts w:ascii="Calibri"/>
                        <w:sz w:val="14"/>
                      </w:rPr>
                    </w:pPr>
                    <w:r>
                      <w:rPr>
                        <w:rFonts w:ascii="Calibri"/>
                        <w:sz w:val="14"/>
                      </w:rPr>
                      <w:t>15</w:t>
                    </w:r>
                  </w:p>
                </w:txbxContent>
              </v:textbox>
              <w10:wrap type="none"/>
            </v:shape>
            <v:shape style="position:absolute;left:6139;top:-1196;width:143;height:141" type="#_x0000_t202" filled="false" stroked="false">
              <v:textbox inset="0,0,0,0">
                <w:txbxContent>
                  <w:p>
                    <w:pPr>
                      <w:spacing w:line="141" w:lineRule="exact" w:before="0"/>
                      <w:ind w:left="0" w:right="-19" w:firstLine="0"/>
                      <w:jc w:val="left"/>
                      <w:rPr>
                        <w:rFonts w:ascii="Calibri"/>
                        <w:sz w:val="14"/>
                      </w:rPr>
                    </w:pPr>
                    <w:r>
                      <w:rPr>
                        <w:rFonts w:ascii="Calibri"/>
                        <w:sz w:val="14"/>
                      </w:rPr>
                      <w:t>10</w:t>
                    </w:r>
                  </w:p>
                </w:txbxContent>
              </v:textbox>
              <w10:wrap type="none"/>
            </v:shape>
            <v:shape style="position:absolute;left:6210;top:-549;width:72;height:141" type="#_x0000_t202" filled="false" stroked="false">
              <v:textbox inset="0,0,0,0">
                <w:txbxContent>
                  <w:p>
                    <w:pPr>
                      <w:spacing w:line="141" w:lineRule="exact" w:before="0"/>
                      <w:ind w:left="0" w:right="0" w:firstLine="0"/>
                      <w:jc w:val="left"/>
                      <w:rPr>
                        <w:rFonts w:ascii="Calibri"/>
                        <w:sz w:val="14"/>
                      </w:rPr>
                    </w:pPr>
                    <w:r>
                      <w:rPr>
                        <w:rFonts w:ascii="Calibri"/>
                        <w:w w:val="100"/>
                        <w:sz w:val="14"/>
                      </w:rPr>
                      <w:t>5</w:t>
                    </w:r>
                  </w:p>
                </w:txbxContent>
              </v:textbox>
              <w10:wrap type="none"/>
            </v:shape>
            <v:shape style="position:absolute;left:6210;top:99;width:72;height:141" type="#_x0000_t202" filled="false" stroked="false">
              <v:textbox inset="0,0,0,0">
                <w:txbxContent>
                  <w:p>
                    <w:pPr>
                      <w:spacing w:line="141" w:lineRule="exact" w:before="0"/>
                      <w:ind w:left="0" w:right="0" w:firstLine="0"/>
                      <w:jc w:val="left"/>
                      <w:rPr>
                        <w:rFonts w:ascii="Calibri"/>
                        <w:sz w:val="14"/>
                      </w:rPr>
                    </w:pPr>
                    <w:r>
                      <w:rPr>
                        <w:rFonts w:ascii="Calibri"/>
                        <w:w w:val="100"/>
                        <w:sz w:val="14"/>
                      </w:rPr>
                      <w:t>0</w:t>
                    </w:r>
                  </w:p>
                </w:txbxContent>
              </v:textbox>
              <w10:wrap type="none"/>
            </v:shape>
            <w10:wrap type="none"/>
          </v:group>
        </w:pict>
      </w:r>
      <w:r>
        <w:rPr>
          <w:rFonts w:ascii="Calibri" w:hAnsi="Calibri"/>
          <w:sz w:val="14"/>
        </w:rPr>
        <w:t>Índice</w:t>
      </w:r>
      <w:r>
        <w:rPr>
          <w:rFonts w:ascii="Calibri" w:hAnsi="Calibri"/>
          <w:spacing w:val="1"/>
          <w:sz w:val="14"/>
        </w:rPr>
        <w:t> </w:t>
      </w:r>
      <w:r>
        <w:rPr>
          <w:rFonts w:ascii="Calibri" w:hAnsi="Calibri"/>
          <w:sz w:val="14"/>
        </w:rPr>
        <w:t>Territorial</w:t>
        <w:tab/>
        <w:t>Índice</w:t>
      </w:r>
      <w:r>
        <w:rPr>
          <w:rFonts w:ascii="Calibri" w:hAnsi="Calibri"/>
          <w:spacing w:val="6"/>
          <w:sz w:val="14"/>
        </w:rPr>
        <w:t> </w:t>
      </w:r>
      <w:r>
        <w:rPr>
          <w:rFonts w:ascii="Calibri" w:hAnsi="Calibri"/>
          <w:sz w:val="14"/>
        </w:rPr>
        <w:t>Ambiental</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22"/>
        </w:rPr>
      </w:pPr>
    </w:p>
    <w:p>
      <w:pPr>
        <w:spacing w:before="77"/>
        <w:ind w:left="30" w:right="0" w:firstLine="0"/>
        <w:jc w:val="center"/>
        <w:rPr>
          <w:rFonts w:ascii="Calibri" w:hAnsi="Calibri"/>
          <w:sz w:val="14"/>
        </w:rPr>
      </w:pPr>
      <w:r>
        <w:rPr>
          <w:rFonts w:ascii="Calibri" w:hAnsi="Calibri"/>
          <w:sz w:val="14"/>
        </w:rPr>
        <w:t>Índice Económico</w:t>
      </w:r>
    </w:p>
    <w:p>
      <w:pPr>
        <w:pStyle w:val="BodyText"/>
        <w:spacing w:before="5"/>
        <w:rPr>
          <w:rFonts w:ascii="Calibri"/>
          <w:sz w:val="18"/>
        </w:rPr>
      </w:pPr>
    </w:p>
    <w:p>
      <w:pPr>
        <w:spacing w:before="78"/>
        <w:ind w:left="268" w:right="0" w:firstLine="0"/>
        <w:jc w:val="both"/>
        <w:rPr>
          <w:sz w:val="21"/>
        </w:rPr>
      </w:pPr>
      <w:r>
        <w:rPr>
          <w:w w:val="105"/>
          <w:sz w:val="21"/>
        </w:rPr>
        <w:t>Fuente: Elaboración propia con base a estructura de indicadores del modelo.</w:t>
      </w:r>
    </w:p>
    <w:p>
      <w:pPr>
        <w:pStyle w:val="BodyText"/>
        <w:spacing w:before="2"/>
        <w:rPr>
          <w:sz w:val="21"/>
        </w:rPr>
      </w:pPr>
    </w:p>
    <w:p>
      <w:pPr>
        <w:pStyle w:val="BodyText"/>
        <w:spacing w:line="360" w:lineRule="auto"/>
        <w:ind w:left="268" w:right="231"/>
        <w:jc w:val="both"/>
      </w:pPr>
      <w:r>
        <w:rPr/>
        <w:t>La obtención del índice de sustentabilidad, como resultado de esta investigación, tiene varias explicaciones y puede ser confrontado con otros sistemas de medición;  variables  urbanas,  de  sustentabilidad,  territoriales  y  de  vivienda.</w:t>
      </w:r>
      <w:r>
        <w:rPr>
          <w:spacing w:val="7"/>
        </w:rPr>
        <w:t> </w:t>
      </w:r>
      <w:r>
        <w:rPr/>
        <w:t>No</w:t>
      </w:r>
    </w:p>
    <w:p>
      <w:pPr>
        <w:spacing w:after="0" w:line="360" w:lineRule="auto"/>
        <w:jc w:val="both"/>
        <w:sectPr>
          <w:footerReference w:type="default" r:id="rId79"/>
          <w:pgSz w:w="12240" w:h="15840"/>
          <w:pgMar w:footer="1066" w:header="730" w:top="1320" w:bottom="1260" w:left="1720" w:right="1180"/>
          <w:pgNumType w:start="118"/>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5200" from="93.199997pt,-19.614155pt" to="546.799997pt,-19.614155pt" stroked="true" strokeweight=".479981pt" strokecolor="#000000">
            <w10:wrap type="none"/>
          </v:line>
        </w:pict>
      </w:r>
      <w:r>
        <w:rPr/>
        <w:t>obstante, para efectos de la investigación, el modelo cumple con las expectativas sobre las decisiones del uso de indicadores que reflejen mejor la realidad de un sistema de promoción, producción y desarrollo de conjuntos urbanos.</w:t>
      </w:r>
    </w:p>
    <w:p>
      <w:pPr>
        <w:spacing w:line="360" w:lineRule="auto" w:before="122"/>
        <w:ind w:left="976" w:right="231" w:firstLine="0"/>
        <w:jc w:val="both"/>
        <w:rPr>
          <w:i/>
          <w:sz w:val="24"/>
        </w:rPr>
      </w:pPr>
      <w:r>
        <w:rPr>
          <w:i/>
          <w:sz w:val="24"/>
        </w:rPr>
        <w:t>“La realidad de un sistema tiene que ver, como lo explica Bossel (1999) con </w:t>
      </w:r>
      <w:r>
        <w:rPr>
          <w:i/>
          <w:sz w:val="24"/>
        </w:rPr>
        <w:t>la elección de las variables, en sus propios términos lo define como the unavoidable choice. En este mismo sentido Pedro Medellín (2007, citado en Villasís, 2011), explica la necesidad de seleccionar aquéllos indicadores  que sean pertinentes al modelo y que se justifiquen metodológicamente, agrega Medellín que la posibilidad de realizar indicadores de tercera generación como índices sería una tarea relevante para el trabajo con sistemas de indicadores urbanos.” (Villasís; 2011:</w:t>
      </w:r>
      <w:r>
        <w:rPr>
          <w:i/>
          <w:spacing w:val="-5"/>
          <w:sz w:val="24"/>
        </w:rPr>
        <w:t> </w:t>
      </w:r>
      <w:r>
        <w:rPr>
          <w:i/>
          <w:sz w:val="24"/>
        </w:rPr>
        <w:t>191).</w:t>
      </w:r>
    </w:p>
    <w:p>
      <w:pPr>
        <w:pStyle w:val="BodyText"/>
        <w:spacing w:line="360" w:lineRule="auto" w:before="122"/>
        <w:ind w:left="268" w:right="231"/>
        <w:jc w:val="both"/>
      </w:pPr>
      <w:r>
        <w:rPr/>
        <w:t>Villasís (2011) menciona que la puesta en operación de estos sistemas, en términos de política pública, permitiría una relación estrecha con el trabajo de indicadores, en este caso indicadores de tercera generación; sin embargo, hay  que reconocer aquí que las aportaciones metodológicas, para cumplir con este objetivo, deberán pasar por los canales de política pública y de participación ciudadana, mismas que pueden expresarse a través de condiciones de obligatoriedad en su aplicación tales como ordenamientos locales. De darse estos supuestos, es claro que podremos avanzar más en el sentido de la sustentabilidad de las ciudades con instrumentos que puedan monitorear el desempeño de las mismas.  En  este  orden  de  ideas  la  construcción  de  índices  conocidos </w:t>
      </w:r>
      <w:r>
        <w:rPr>
          <w:spacing w:val="43"/>
        </w:rPr>
        <w:t> </w:t>
      </w:r>
      <w:r>
        <w:rPr/>
        <w:t>como</w:t>
      </w:r>
    </w:p>
    <w:p>
      <w:pPr>
        <w:pStyle w:val="BodyText"/>
        <w:spacing w:line="284" w:lineRule="exact"/>
        <w:ind w:left="268"/>
        <w:jc w:val="both"/>
      </w:pPr>
      <w:r>
        <w:rPr/>
        <w:t>indicadores de tercera generación</w:t>
      </w:r>
      <w:r>
        <w:rPr>
          <w:position w:val="11"/>
          <w:sz w:val="16"/>
        </w:rPr>
        <w:t>7  </w:t>
      </w:r>
      <w:r>
        <w:rPr/>
        <w:t>aportaría nuevos elementos de   </w:t>
      </w:r>
      <w:r>
        <w:rPr>
          <w:spacing w:val="61"/>
        </w:rPr>
        <w:t> </w:t>
      </w:r>
      <w:r>
        <w:rPr/>
        <w:t>investigación</w:t>
      </w:r>
    </w:p>
    <w:p>
      <w:pPr>
        <w:pStyle w:val="BodyText"/>
        <w:spacing w:before="137"/>
        <w:ind w:left="268"/>
        <w:jc w:val="both"/>
      </w:pPr>
      <w:r>
        <w:rPr/>
        <w:t>que pueden enriquecer la utilización de los sistemas de indicadores.</w:t>
      </w:r>
    </w:p>
    <w:p>
      <w:pPr>
        <w:pStyle w:val="BodyText"/>
        <w:rPr>
          <w:sz w:val="20"/>
        </w:rPr>
      </w:pPr>
    </w:p>
    <w:p>
      <w:pPr>
        <w:pStyle w:val="BodyText"/>
        <w:rPr>
          <w:sz w:val="20"/>
        </w:rPr>
      </w:pPr>
    </w:p>
    <w:p>
      <w:pPr>
        <w:pStyle w:val="BodyText"/>
        <w:spacing w:before="2"/>
        <w:rPr>
          <w:sz w:val="20"/>
        </w:rPr>
      </w:pPr>
      <w:r>
        <w:rPr/>
        <w:pict>
          <v:line style="position:absolute;mso-position-horizontal-relative:page;mso-position-vertical-relative:paragraph;z-index:5176;mso-wrap-distance-left:0;mso-wrap-distance-right:0" from="99.440002pt,13.818994pt" to="243.440002pt,13.818994pt" stroked="true" strokeweight=".479996pt" strokecolor="#000000">
            <w10:wrap type="topAndBottom"/>
          </v:line>
        </w:pict>
      </w:r>
    </w:p>
    <w:p>
      <w:pPr>
        <w:pStyle w:val="BodyText"/>
        <w:spacing w:before="1"/>
      </w:pPr>
    </w:p>
    <w:p>
      <w:pPr>
        <w:pStyle w:val="ListParagraph"/>
        <w:numPr>
          <w:ilvl w:val="0"/>
          <w:numId w:val="16"/>
        </w:numPr>
        <w:tabs>
          <w:tab w:pos="414" w:val="left" w:leader="none"/>
        </w:tabs>
        <w:spacing w:line="252" w:lineRule="auto" w:before="82" w:after="0"/>
        <w:ind w:left="268" w:right="231" w:firstLine="0"/>
        <w:jc w:val="both"/>
        <w:rPr>
          <w:sz w:val="19"/>
        </w:rPr>
      </w:pPr>
      <w:r>
        <w:rPr>
          <w:i/>
          <w:w w:val="105"/>
          <w:sz w:val="19"/>
        </w:rPr>
        <w:t>“En los últimos años, la necesidad de vincular las dimensiones del desarrollo y de sus indicadores </w:t>
      </w:r>
      <w:r>
        <w:rPr>
          <w:i/>
          <w:w w:val="105"/>
          <w:sz w:val="19"/>
        </w:rPr>
        <w:t>entre sí, generó sistemas de indicadores que permitan tener un acceso rápido a un mundo de significados mucho mayor, y que los agrupe en temas o áreas multidimensionales, de forma transversal y sistemática. Se destacan las iniciativas realizadas por la Unión Europea, a través del Grupo de Trabajo sobre Indicadores de Desarrollo Sostenible, y su adaptación en España por parte del Observatorio de la Sostenibilidad en España (OSE) en su informe 2007. Si bien se generaron a nivel internacional, los nuevos sistemas de indicadores propician un mayor componente territorial, que facilite su uso y aplicación a nivel local y promueva una mayor participación social.” </w:t>
      </w:r>
      <w:r>
        <w:rPr>
          <w:w w:val="105"/>
          <w:sz w:val="19"/>
        </w:rPr>
        <w:t>(Sotelo </w:t>
      </w:r>
      <w:r>
        <w:rPr>
          <w:i/>
          <w:w w:val="105"/>
          <w:sz w:val="19"/>
        </w:rPr>
        <w:t>et. </w:t>
      </w:r>
      <w:r>
        <w:rPr>
          <w:i/>
          <w:w w:val="105"/>
          <w:sz w:val="19"/>
        </w:rPr>
        <w:t>al. </w:t>
      </w:r>
      <w:r>
        <w:rPr>
          <w:w w:val="105"/>
          <w:sz w:val="19"/>
        </w:rPr>
        <w:t>2011:</w:t>
      </w:r>
      <w:r>
        <w:rPr>
          <w:spacing w:val="-7"/>
          <w:w w:val="105"/>
          <w:sz w:val="19"/>
        </w:rPr>
        <w:t> </w:t>
      </w:r>
      <w:r>
        <w:rPr>
          <w:w w:val="105"/>
          <w:sz w:val="19"/>
        </w:rPr>
        <w:t>616).</w:t>
      </w:r>
    </w:p>
    <w:p>
      <w:pPr>
        <w:spacing w:after="0" w:line="252" w:lineRule="auto"/>
        <w:jc w:val="both"/>
        <w:rPr>
          <w:sz w:val="19"/>
        </w:rPr>
        <w:sectPr>
          <w:pgSz w:w="12240" w:h="15840"/>
          <w:pgMar w:header="730" w:footer="1066" w:top="1320" w:bottom="1260" w:left="1720" w:right="1180"/>
        </w:sectPr>
      </w:pPr>
    </w:p>
    <w:p>
      <w:pPr>
        <w:pStyle w:val="BodyText"/>
        <w:rPr>
          <w:sz w:val="20"/>
        </w:rPr>
      </w:pPr>
      <w:r>
        <w:rPr/>
        <w:pict>
          <v:line style="position:absolute;mso-position-horizontal-relative:page;mso-position-vertical-relative:page;z-index:5224" from="93.199997pt,57.080009pt" to="546.799997pt,57.080009pt" stroked="true" strokeweight=".479981pt" strokecolor="#000000">
            <w10:wrap type="none"/>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1"/>
        </w:rPr>
      </w:pPr>
    </w:p>
    <w:p>
      <w:pPr>
        <w:pStyle w:val="Heading4"/>
        <w:spacing w:before="1"/>
        <w:ind w:left="1860" w:right="1762"/>
        <w:jc w:val="center"/>
      </w:pPr>
      <w:r>
        <w:rPr/>
        <w:pict>
          <v:group style="position:absolute;margin-left:14pt;margin-top:-182.184143pt;width:584pt;height:423.6pt;mso-position-horizontal-relative:page;mso-position-vertical-relative:paragraph;z-index:-1152784" coordorigin="280,-3644" coordsize="11680,8472">
            <v:shape style="position:absolute;left:362;top:-3644;width:11597;height:8472" type="#_x0000_t75" stroked="false">
              <v:imagedata r:id="rId90" o:title=""/>
            </v:shape>
            <v:shape style="position:absolute;left:280;top:-1118;width:11680;height:3720" type="#_x0000_t75" stroked="false">
              <v:imagedata r:id="rId27" o:title=""/>
            </v:shape>
            <w10:wrap type="none"/>
          </v:group>
        </w:pict>
      </w:r>
      <w:r>
        <w:rPr/>
        <w:t>Capítulo 3</w:t>
      </w:r>
    </w:p>
    <w:p>
      <w:pPr>
        <w:pStyle w:val="BodyText"/>
        <w:spacing w:before="3"/>
        <w:rPr>
          <w:b/>
          <w:sz w:val="22"/>
        </w:rPr>
      </w:pPr>
    </w:p>
    <w:p>
      <w:pPr>
        <w:spacing w:line="463" w:lineRule="auto" w:before="1"/>
        <w:ind w:left="1871" w:right="1762" w:firstLine="0"/>
        <w:jc w:val="center"/>
        <w:rPr>
          <w:b/>
          <w:sz w:val="24"/>
        </w:rPr>
      </w:pPr>
      <w:r>
        <w:rPr>
          <w:b/>
          <w:sz w:val="24"/>
        </w:rPr>
        <w:t>La sustentabilidad en el proceso de promoción, producción y desarrollo habitacional en el Estado de México</w:t>
      </w:r>
    </w:p>
    <w:p>
      <w:pPr>
        <w:spacing w:after="0" w:line="463" w:lineRule="auto"/>
        <w:jc w:val="center"/>
        <w:rPr>
          <w:sz w:val="24"/>
        </w:rPr>
        <w:sectPr>
          <w:footerReference w:type="default" r:id="rId89"/>
          <w:pgSz w:w="12240" w:h="15840"/>
          <w:pgMar w:footer="1066" w:header="730" w:top="1320" w:bottom="1260" w:left="180" w:right="180"/>
        </w:sectPr>
      </w:pPr>
    </w:p>
    <w:p>
      <w:pPr>
        <w:pStyle w:val="BodyText"/>
        <w:spacing w:before="1"/>
        <w:rPr>
          <w:b/>
          <w:sz w:val="18"/>
        </w:rPr>
      </w:pPr>
    </w:p>
    <w:p>
      <w:pPr>
        <w:pStyle w:val="Heading4"/>
        <w:spacing w:line="276" w:lineRule="auto"/>
        <w:ind w:right="744"/>
        <w:jc w:val="left"/>
      </w:pPr>
      <w:r>
        <w:rPr/>
        <w:pict>
          <v:line style="position:absolute;mso-position-horizontal-relative:page;mso-position-vertical-relative:paragraph;z-index:5272" from="93.199997pt,-19.614155pt" to="546.799997pt,-19.614155pt" stroked="true" strokeweight=".479981pt" strokecolor="#000000">
            <w10:wrap type="none"/>
          </v:line>
        </w:pict>
      </w:r>
      <w:r>
        <w:rPr/>
        <w:t>Capítulo 3. La sustentabilidad en el proceso de promoción, producción y desarrollo habitacional en el Estado de México</w:t>
      </w:r>
    </w:p>
    <w:p>
      <w:pPr>
        <w:pStyle w:val="BodyText"/>
        <w:rPr>
          <w:b/>
        </w:rPr>
      </w:pPr>
    </w:p>
    <w:p>
      <w:pPr>
        <w:pStyle w:val="BodyText"/>
        <w:spacing w:line="360" w:lineRule="auto" w:before="204"/>
        <w:ind w:left="268" w:right="231"/>
        <w:jc w:val="both"/>
      </w:pPr>
      <w:r>
        <w:rPr/>
        <w:t>El objetivo del presente capítulo es analizar la conceptualización y aplicación de la sustentabilidad en el proceso de promoción, producción y desarrollo de vivienda formal en el Estado de México mediante la figura de conjunto urbano habitacional.</w:t>
      </w:r>
    </w:p>
    <w:p>
      <w:pPr>
        <w:pStyle w:val="BodyText"/>
        <w:spacing w:line="360" w:lineRule="auto" w:before="122"/>
        <w:ind w:left="268" w:right="231"/>
        <w:jc w:val="both"/>
      </w:pPr>
      <w:r>
        <w:rPr/>
        <w:t>Se describe la intervención y participación del Estado, la iniciativa privada y la sociedad en la autorización de conjuntos urbanos de tipo habitacional en el Estado de México.</w:t>
      </w:r>
    </w:p>
    <w:p>
      <w:pPr>
        <w:pStyle w:val="BodyText"/>
        <w:spacing w:line="360" w:lineRule="auto" w:before="127"/>
        <w:ind w:left="268" w:right="231"/>
        <w:jc w:val="both"/>
      </w:pPr>
      <w:r>
        <w:rPr/>
        <w:t>Se muestra un análisis de la norma que incide en la autorización de conjuntos urbanos y que contiene el término de sustentabilidad u otro vocablo que haga referencia a éste, las normas analizadas coinciden en la interpretación del término el cual refiere al medio ambiente, la ecología y los recursos naturales.</w:t>
      </w:r>
    </w:p>
    <w:p>
      <w:pPr>
        <w:pStyle w:val="BodyText"/>
        <w:spacing w:line="360" w:lineRule="auto" w:before="127"/>
        <w:ind w:left="268" w:right="231"/>
        <w:jc w:val="both"/>
      </w:pPr>
      <w:r>
        <w:rPr/>
        <w:t>Al mencionar proceso de promoción de vivienda formal nos referimos al cúmulo de actividades realizadas de manera directa e indirecta por el Estado comprendiendo que éste se refiere a las instituciones, dependencias, instancias y servidores públicos que intervienen en la administración gubernamental que regula, legisla y administra las actividades del sector público, privado y social encaminadas o inherentes a la autorización de vivienda formal, como se menciona en al capítulo 1 del presente trabajo.</w:t>
      </w:r>
    </w:p>
    <w:p>
      <w:pPr>
        <w:pStyle w:val="BodyText"/>
        <w:spacing w:line="360" w:lineRule="auto" w:before="122"/>
        <w:ind w:left="268" w:right="231"/>
        <w:jc w:val="both"/>
      </w:pPr>
      <w:r>
        <w:rPr/>
        <w:t>Las actividades en la promoción de vivienda refieren elementos de carácter normativo, administrativo, legislativo, de control y seguimiento relacionados con  las autorizaciones, licencias, permisos, dictámenes, factibilidades, opiniones técnicas, vistos buenos, informes, estudios técnicos, pruebas técnicas y demás instrumentos que son regulados por la legislación vigente de la demarcación en que se esté realizando una actividad encaminada con la promoción de vivienda formal.</w:t>
      </w:r>
    </w:p>
    <w:p>
      <w:pPr>
        <w:pStyle w:val="BodyText"/>
        <w:spacing w:line="360" w:lineRule="auto" w:before="122"/>
        <w:ind w:left="268" w:right="231"/>
        <w:jc w:val="both"/>
      </w:pPr>
      <w:r>
        <w:rPr/>
        <w:t>En el Estado de México como en muchas entidades de la República Mexicana el proceso  de  promoción  de  vivienda  formal  recae  en  la  administración   pública</w:t>
      </w:r>
    </w:p>
    <w:p>
      <w:pPr>
        <w:spacing w:after="0" w:line="360" w:lineRule="auto"/>
        <w:jc w:val="both"/>
        <w:sectPr>
          <w:footerReference w:type="default" r:id="rId91"/>
          <w:pgSz w:w="12240" w:h="15840"/>
          <w:pgMar w:footer="1066" w:header="730" w:top="1320" w:bottom="1260" w:left="1720" w:right="1180"/>
          <w:pgNumType w:start="121"/>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5296" from="93.199997pt,-19.614155pt" to="546.799997pt,-19.614155pt" stroked="true" strokeweight=".479981pt" strokecolor="#000000">
            <w10:wrap type="none"/>
          </v:line>
        </w:pict>
      </w:r>
      <w:r>
        <w:rPr/>
        <w:t>estatal, quien a través de su legislación promueve las acciones de la iniciativa privada y éstas son administradas por sus instancias gubernamentales.</w:t>
      </w:r>
    </w:p>
    <w:p>
      <w:pPr>
        <w:pStyle w:val="BodyText"/>
        <w:spacing w:line="360" w:lineRule="auto" w:before="122"/>
        <w:ind w:left="268" w:right="231"/>
        <w:jc w:val="both"/>
      </w:pPr>
      <w:r>
        <w:rPr/>
        <w:t>La producción de vivienda formal es una actividad de la iniciativa privada que con base a la normatividad existente y vigente gestiona, promueve, legaliza y logra obtener las autorizaciones de los proyectos habitacionales de los que se tratase. En el Estado de México la dependencia en la que recae la autorización y control  de los proyectos habitacionales es la Secretaría de Desarrollo Urbano y Metropolitano (SEDURM) que mediante sus direcciones generales y la Comisión Estatal de Desarrollo Urbano y Vivienda (CEDUV) administran y coordinan las actividades y acciones de la iniciativa privada que realizan a través de sus promotores inmobiliarios.</w:t>
      </w:r>
    </w:p>
    <w:p>
      <w:pPr>
        <w:pStyle w:val="BodyText"/>
        <w:spacing w:line="360" w:lineRule="auto" w:before="122"/>
        <w:ind w:left="268" w:right="231"/>
        <w:jc w:val="both"/>
      </w:pPr>
      <w:r>
        <w:rPr/>
        <w:t>En lo que concierne al desarrollo de vivienda formal podemos mencionar que es  un proceso que surge de la mezcla de actividades generadas y propuestas por la iniciativa privada que tiene injerencia en la producción de vivienda y éstas a su vez son estudiadas, discutidas, analizadas y promovidas por el Estado y la misma iniciativa privada a través de sus diferentes gremios como la Federación Nacional de Promotores Industriales de Vivienda (Provivac), la Cámara Nacional de la Industria de Desarrollo y Promoción de Vivienda (CANADEVI) y la Cámara Mexicana de la Industria de la Construcción (CMIC) por mencionar algunos y aunque estos grupos forman parte de la sociedad, así como los administradores públicos que participan en las diferentes instancias gubernamentales del Estado que participan en la promoción de vivienda formal. Paradójicamente resultan no  ser los consumidores primarios y residentes de la vivienda formal que se autorizan y</w:t>
      </w:r>
      <w:r>
        <w:rPr>
          <w:spacing w:val="-1"/>
        </w:rPr>
        <w:t> </w:t>
      </w:r>
      <w:r>
        <w:rPr/>
        <w:t>produce.</w:t>
      </w:r>
    </w:p>
    <w:p>
      <w:pPr>
        <w:pStyle w:val="BodyText"/>
        <w:spacing w:line="360" w:lineRule="auto" w:before="122"/>
        <w:ind w:left="268" w:right="231"/>
        <w:jc w:val="both"/>
      </w:pPr>
      <w:r>
        <w:rPr/>
        <w:t>Por lo que el desarrollo de vivienda formal requiere con urgencia un salto evolutivo en el proceso existente en la promoción, producción y desarrollo. Este paso tiene que ver con la aceptación de la necesidad de vincular a la sociedad en general, es decir a los consumidores y residentes reales de la vivienda formal que se realiza, en el proceso de desarrollo, ya que con ello se busca generar un ciclo incluyente, participativo</w:t>
      </w:r>
      <w:r>
        <w:rPr>
          <w:spacing w:val="57"/>
        </w:rPr>
        <w:t> </w:t>
      </w:r>
      <w:r>
        <w:rPr/>
        <w:t>y</w:t>
      </w:r>
      <w:r>
        <w:rPr>
          <w:spacing w:val="57"/>
        </w:rPr>
        <w:t> </w:t>
      </w:r>
      <w:r>
        <w:rPr/>
        <w:t>sostenible</w:t>
      </w:r>
      <w:r>
        <w:rPr>
          <w:spacing w:val="57"/>
        </w:rPr>
        <w:t> </w:t>
      </w:r>
      <w:r>
        <w:rPr/>
        <w:t>para</w:t>
      </w:r>
      <w:r>
        <w:rPr>
          <w:spacing w:val="57"/>
        </w:rPr>
        <w:t> </w:t>
      </w:r>
      <w:r>
        <w:rPr/>
        <w:t>cada</w:t>
      </w:r>
      <w:r>
        <w:rPr>
          <w:spacing w:val="57"/>
        </w:rPr>
        <w:t> </w:t>
      </w:r>
      <w:r>
        <w:rPr/>
        <w:t>uno</w:t>
      </w:r>
      <w:r>
        <w:rPr>
          <w:spacing w:val="57"/>
        </w:rPr>
        <w:t> </w:t>
      </w:r>
      <w:r>
        <w:rPr/>
        <w:t>de</w:t>
      </w:r>
      <w:r>
        <w:rPr>
          <w:spacing w:val="57"/>
        </w:rPr>
        <w:t> </w:t>
      </w:r>
      <w:r>
        <w:rPr/>
        <w:t>los</w:t>
      </w:r>
      <w:r>
        <w:rPr>
          <w:spacing w:val="57"/>
        </w:rPr>
        <w:t> </w:t>
      </w:r>
      <w:r>
        <w:rPr/>
        <w:t>agentes</w:t>
      </w:r>
      <w:r>
        <w:rPr>
          <w:spacing w:val="57"/>
        </w:rPr>
        <w:t> </w:t>
      </w:r>
      <w:r>
        <w:rPr/>
        <w:t>que</w:t>
      </w:r>
      <w:r>
        <w:rPr>
          <w:spacing w:val="57"/>
        </w:rPr>
        <w:t> </w:t>
      </w:r>
      <w:r>
        <w:rPr/>
        <w:t>intervienen</w:t>
      </w:r>
      <w:r>
        <w:rPr>
          <w:spacing w:val="57"/>
        </w:rPr>
        <w:t> </w:t>
      </w:r>
      <w:r>
        <w:rPr/>
        <w:t>en</w:t>
      </w:r>
      <w:r>
        <w:rPr>
          <w:spacing w:val="57"/>
        </w:rPr>
        <w:t> </w:t>
      </w:r>
      <w:r>
        <w:rPr/>
        <w:t>el</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5320" from="93.199997pt,-19.614155pt" to="546.799997pt,-19.614155pt" stroked="true" strokeweight=".479981pt" strokecolor="#000000">
            <w10:wrap type="none"/>
          </v:line>
        </w:pict>
      </w:r>
      <w:r>
        <w:rPr/>
        <w:t>proceso de la vivienda formal y con ello garantizar la sustentabilidad de la vivienda y del territorio.</w:t>
      </w:r>
    </w:p>
    <w:p>
      <w:pPr>
        <w:pStyle w:val="BodyText"/>
        <w:spacing w:line="360" w:lineRule="auto" w:before="122"/>
        <w:ind w:left="268" w:right="231"/>
        <w:jc w:val="both"/>
      </w:pPr>
      <w:r>
        <w:rPr/>
        <w:t>Continuando con el orden de ideas se abordan temas como la gestión y legalización del suelo, el inicio de los proyectos habitacionales desde la perspectiva del marco normativo que legisla el proceso de autorización de conjuntos urbanos, así como el proceso de urbanización y edificación de los proyectos habitacionales desde la óptica de la iniciativa privada hasta cerrar con la habitabilidad de los residentes y la municipalización y entrega de un conjunto urbano.</w:t>
      </w:r>
    </w:p>
    <w:p>
      <w:pPr>
        <w:pStyle w:val="BodyText"/>
        <w:spacing w:line="360" w:lineRule="auto" w:before="122"/>
        <w:ind w:left="268" w:right="233"/>
        <w:jc w:val="both"/>
      </w:pPr>
      <w:r>
        <w:rPr/>
        <w:t>Finalmente, en el capítulo se muestra un análisis completo del proceso que se desarrolla para la autorización de un proyecto habitacional mediante la figura de conjunto urbano de acuerdo a su tipología en el que intervienen la  iniciativa privada y el Estado, así como de manera colateral más no participativa la sociedad que consume y habita un proyecto de esta índole. De igual modo se realiza un análisis a la norma que incide en la autorización de conjuntos urbanos y que contiene elementos de sustentabilidad o el término que haga referencia a éste, las normas analizadas coinciden en la interpretación de la expresión la cual en su generalidad refiere al medio ambiente, la ecología y los recursos naturales, dejando de lado los elementos principales que abordan la sustentabilidad.</w:t>
      </w:r>
    </w:p>
    <w:p>
      <w:pPr>
        <w:pStyle w:val="BodyText"/>
      </w:pPr>
    </w:p>
    <w:p>
      <w:pPr>
        <w:pStyle w:val="Heading4"/>
        <w:numPr>
          <w:ilvl w:val="1"/>
          <w:numId w:val="17"/>
        </w:numPr>
        <w:tabs>
          <w:tab w:pos="736" w:val="left" w:leader="none"/>
        </w:tabs>
        <w:spacing w:line="240" w:lineRule="auto" w:before="206" w:after="0"/>
        <w:ind w:left="735" w:right="0" w:hanging="467"/>
        <w:jc w:val="both"/>
      </w:pPr>
      <w:r>
        <w:rPr/>
        <w:t>La sustentabilidad en la autorización de conjuntos urbanos</w:t>
      </w:r>
    </w:p>
    <w:p>
      <w:pPr>
        <w:pStyle w:val="BodyText"/>
        <w:spacing w:before="9"/>
        <w:rPr>
          <w:b/>
        </w:rPr>
      </w:pPr>
    </w:p>
    <w:p>
      <w:pPr>
        <w:pStyle w:val="BodyText"/>
        <w:spacing w:line="360" w:lineRule="auto"/>
        <w:ind w:left="268" w:right="231"/>
        <w:jc w:val="both"/>
      </w:pPr>
      <w:r>
        <w:rPr/>
        <w:t>Un análisis a la normatividad (códigos, leyes y reglamentos) que regula la autorización de conjuntos urbanos haciendo énfasis en los conjuntos de tipo habitacional. Expone la forma en que la legislación que regula este proceso conceptualiza la sustentabilidad, generando con ello un entendimiento de ésta en la producción y promoción de vivienda en el territorio del Estado de México.</w:t>
      </w:r>
    </w:p>
    <w:p>
      <w:pPr>
        <w:pStyle w:val="BodyText"/>
        <w:spacing w:line="360" w:lineRule="auto" w:before="127"/>
        <w:ind w:left="268" w:right="231"/>
        <w:jc w:val="both"/>
      </w:pPr>
      <w:r>
        <w:rPr/>
        <w:t>El estudio desde esta perspectiva es una propuesta inicial para cuestionar la forma en que se considera a la sustentabilidad en la autorización de uso y aprovechamiento del territorio y con ello validar la aplicación de la misma.</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5344" from="93.199997pt,-19.614155pt" to="546.799997pt,-19.614155pt" stroked="true" strokeweight=".479981pt" strokecolor="#000000">
            <w10:wrap type="none"/>
          </v:line>
        </w:pict>
      </w:r>
      <w:r>
        <w:rPr/>
        <w:t>La importancia de considerar la sustentabilidad en la normatividad para la autorización de conjuntos urbanos y para otros procesos de autorización de las diferentes atribuciones de la administración pública del Estado de México, debiera radicar en definir la complejidad del término, el cual no solo tiene que ver con el medio ambiente, la ecología y los recursos naturales.</w:t>
      </w:r>
    </w:p>
    <w:p>
      <w:pPr>
        <w:pStyle w:val="BodyText"/>
        <w:spacing w:line="360" w:lineRule="auto" w:before="122"/>
        <w:ind w:left="268" w:right="231"/>
        <w:jc w:val="both"/>
      </w:pPr>
      <w:r>
        <w:rPr/>
        <w:t>Consideremos la oportunidad con la que cuenta el Estado de México para realizar un proyecto a la medida, de los diferentes alcances de considerar el desarrollo sustentable y la sustentabilidad del territorio a través de la promoción, producción  y desarrollo de vivienda definiendo los principios, conceptos, indicadores e índices que autoricen, vigilen, regulen y certifiquen las autorizaciones de conjuntos urbanos sustentables.</w:t>
      </w:r>
    </w:p>
    <w:p>
      <w:pPr>
        <w:pStyle w:val="BodyText"/>
      </w:pPr>
    </w:p>
    <w:p>
      <w:pPr>
        <w:pStyle w:val="Heading5"/>
        <w:numPr>
          <w:ilvl w:val="2"/>
          <w:numId w:val="17"/>
        </w:numPr>
        <w:tabs>
          <w:tab w:pos="936" w:val="left" w:leader="none"/>
        </w:tabs>
        <w:spacing w:line="240" w:lineRule="auto" w:before="211" w:after="0"/>
        <w:ind w:left="935" w:right="0" w:hanging="667"/>
        <w:jc w:val="both"/>
        <w:rPr>
          <w:i/>
        </w:rPr>
      </w:pPr>
      <w:r>
        <w:rPr>
          <w:i/>
        </w:rPr>
        <w:t>El proceso administrativo de autorización</w:t>
      </w:r>
    </w:p>
    <w:p>
      <w:pPr>
        <w:pStyle w:val="BodyText"/>
        <w:rPr>
          <w:b/>
          <w:i/>
        </w:rPr>
      </w:pPr>
    </w:p>
    <w:p>
      <w:pPr>
        <w:pStyle w:val="BodyText"/>
        <w:spacing w:before="3"/>
        <w:rPr>
          <w:b/>
          <w:i/>
          <w:sz w:val="21"/>
        </w:rPr>
      </w:pPr>
    </w:p>
    <w:p>
      <w:pPr>
        <w:pStyle w:val="BodyText"/>
        <w:spacing w:line="360" w:lineRule="auto"/>
        <w:ind w:left="268" w:right="231"/>
        <w:jc w:val="both"/>
      </w:pPr>
      <w:r>
        <w:rPr/>
        <w:t>Las acciones de la administración pública gubernamental, sean de carácter local, regional o nacional en el año 2015 en pleno siglo XXI y en México, aun inciden de manera directa en la administración urbana. De igual modo la planeación, organización y gestión de las ciudades pareciera estar subordinada a las agendas políticas de las administraciones en turno, sin importar la demarcación de la que  se trate.</w:t>
      </w:r>
    </w:p>
    <w:p>
      <w:pPr>
        <w:pStyle w:val="BodyText"/>
        <w:spacing w:line="360" w:lineRule="auto" w:before="122"/>
        <w:ind w:left="268" w:right="231"/>
        <w:jc w:val="both"/>
      </w:pPr>
      <w:r>
        <w:rPr/>
        <w:t>Para lograr la inclusión de la sustentabilidad en la normatividad de una administración urbana, no solo basta con acciones locales y de grupos exclusivos, se requiere que el trabajo sea nutrido por especialistas de diversas áreas que tengan conocimiento de los aspectos inherentes de una ciudad, de la urbanización de la misma y de las necesidades que existen en ella, como el uso de los recursos naturales por ejemplo el agua, la utilización del equipamiento como los parques, la introducción y administración de la infraestructura como energía eléctrica, vialidades, o el transporte, la planeación del territorio y las reservas territoriales.</w:t>
      </w:r>
    </w:p>
    <w:p>
      <w:pPr>
        <w:pStyle w:val="BodyText"/>
        <w:spacing w:line="362" w:lineRule="auto" w:before="122"/>
        <w:ind w:left="268" w:right="231"/>
        <w:jc w:val="both"/>
      </w:pPr>
      <w:r>
        <w:rPr/>
        <w:t>Las similitudes que existen en la conceptualización e incorporación y aplicación de la sustentabilidad en la administración urbana de distintos territorios son vertidas</w:t>
      </w:r>
    </w:p>
    <w:p>
      <w:pPr>
        <w:spacing w:after="0" w:line="362"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5368" from="93.199997pt,-19.614155pt" to="546.799997pt,-19.614155pt" stroked="true" strokeweight=".479981pt" strokecolor="#000000">
            <w10:wrap type="none"/>
          </v:line>
        </w:pict>
      </w:r>
      <w:r>
        <w:rPr/>
        <w:t>de manera reincidente en las acciones de planeación, política, administración, ordenación del territorio y organización, mismas que pueden ser implementadas toda vez que sean especificadas en la normatividad que regula y legitima las acciones de las dependencias e instituciones del Estado que vigilan el cumplimiento de estas en un territorio y población en específico.</w:t>
      </w:r>
    </w:p>
    <w:p>
      <w:pPr>
        <w:pStyle w:val="BodyText"/>
        <w:spacing w:line="360" w:lineRule="auto" w:before="122"/>
        <w:ind w:left="268" w:right="231"/>
        <w:jc w:val="both"/>
      </w:pPr>
      <w:r>
        <w:rPr/>
        <w:t>La sustentabilidad en la administración urbana en México aún está en un proceso de discernimiento entre la selección de sus alcances y aplicaciones tanto en la definición y conceptualización de su norma, así como en el juicio e interpretación de los actores que participan y esto trae consigo la paradoja de la que habla Wang.</w:t>
      </w:r>
    </w:p>
    <w:p>
      <w:pPr>
        <w:pStyle w:val="BodyText"/>
        <w:spacing w:line="360" w:lineRule="auto" w:before="122"/>
        <w:ind w:left="268" w:right="231"/>
        <w:jc w:val="both"/>
      </w:pPr>
      <w:r>
        <w:rPr/>
        <w:t>La legislación y marco normativo que regula la administración urbana en México  ha pasado por diversos ajustes a lo largo de su corta y cambiante historia, si bien en los años cincuenta se comenzaba hablar de los asentamiento humanos y las inquietudes se gestaban entorno al ordenamiento de las ciudades en materia de suelo y asentamientos humanos, solo existían pequeños esbozos tendientes al medio ambiente y hablar de sustentabilidad aún parecía prematuro, al menos desde la multidisciplinariedad en que hoy se</w:t>
      </w:r>
      <w:r>
        <w:rPr>
          <w:spacing w:val="-1"/>
        </w:rPr>
        <w:t> </w:t>
      </w:r>
      <w:r>
        <w:rPr/>
        <w:t>aborda.</w:t>
      </w:r>
    </w:p>
    <w:p>
      <w:pPr>
        <w:pStyle w:val="BodyText"/>
        <w:spacing w:line="360" w:lineRule="auto" w:before="127"/>
        <w:ind w:left="268" w:right="231"/>
        <w:jc w:val="both"/>
      </w:pPr>
      <w:r>
        <w:rPr/>
        <w:t>La política mexicana continúa realizando modificaciones a los planes y leyes para resarcir las acciones anteriormente realizadas en materia de sustentabilidad, los resultados de estas acciones aún se encuentran en tela de juicio y son valorados en cada una de las diferentes vertientes en las que han sido implementadas. Para Sheinbaum (2009), los resultados de su estudio realizado en el sistema energético mexicano aún presentaban un alejamiento de los criterios de sustentabilidad.</w:t>
      </w:r>
    </w:p>
    <w:p>
      <w:pPr>
        <w:pStyle w:val="BodyText"/>
        <w:spacing w:line="360" w:lineRule="auto" w:before="122"/>
        <w:ind w:left="268" w:right="231"/>
        <w:jc w:val="both"/>
      </w:pPr>
      <w:r>
        <w:rPr/>
        <w:t>En materia de administración urbana, la legislación y normatividad se encuentra  en un proceso de incorporación y conceptualización de la sustentabilidad. Los estudios y el debate del concepto desde Malthus en 1836 y Estocolmo en 1972, dieron la pauta para los primeros ejercicios de su incorporación en la política mexicana que ha logrado permear de una manera u otra en diferentes actores y dependencias</w:t>
      </w:r>
      <w:r>
        <w:rPr>
          <w:spacing w:val="51"/>
        </w:rPr>
        <w:t> </w:t>
      </w:r>
      <w:r>
        <w:rPr/>
        <w:t>del</w:t>
      </w:r>
      <w:r>
        <w:rPr>
          <w:spacing w:val="51"/>
        </w:rPr>
        <w:t> </w:t>
      </w:r>
      <w:r>
        <w:rPr/>
        <w:t>Estado</w:t>
      </w:r>
      <w:r>
        <w:rPr>
          <w:spacing w:val="51"/>
        </w:rPr>
        <w:t> </w:t>
      </w:r>
      <w:r>
        <w:rPr/>
        <w:t>Mexicano,</w:t>
      </w:r>
      <w:r>
        <w:rPr>
          <w:spacing w:val="51"/>
        </w:rPr>
        <w:t> </w:t>
      </w:r>
      <w:r>
        <w:rPr/>
        <w:t>aún</w:t>
      </w:r>
      <w:r>
        <w:rPr>
          <w:spacing w:val="51"/>
        </w:rPr>
        <w:t> </w:t>
      </w:r>
      <w:r>
        <w:rPr/>
        <w:t>existe</w:t>
      </w:r>
      <w:r>
        <w:rPr>
          <w:spacing w:val="51"/>
        </w:rPr>
        <w:t> </w:t>
      </w:r>
      <w:r>
        <w:rPr/>
        <w:t>ambigüedad</w:t>
      </w:r>
      <w:r>
        <w:rPr>
          <w:spacing w:val="51"/>
        </w:rPr>
        <w:t> </w:t>
      </w:r>
      <w:r>
        <w:rPr/>
        <w:t>en</w:t>
      </w:r>
      <w:r>
        <w:rPr>
          <w:spacing w:val="51"/>
        </w:rPr>
        <w:t> </w:t>
      </w:r>
      <w:r>
        <w:rPr/>
        <w:t>la</w:t>
      </w:r>
      <w:r>
        <w:rPr>
          <w:spacing w:val="51"/>
        </w:rPr>
        <w:t> </w:t>
      </w:r>
      <w:r>
        <w:rPr/>
        <w:t>utilización</w:t>
      </w:r>
      <w:r>
        <w:rPr>
          <w:spacing w:val="51"/>
        </w:rPr>
        <w:t> </w:t>
      </w:r>
      <w:r>
        <w:rPr/>
        <w:t>e</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5392" from="93.199997pt,-19.614155pt" to="546.799997pt,-19.614155pt" stroked="true" strokeweight=".479981pt" strokecolor="#000000">
            <w10:wrap type="none"/>
          </v:line>
        </w:pict>
      </w:r>
      <w:r>
        <w:rPr/>
        <w:t>implementación de la conceptualización sobre todo en la normatividad por nivel administrativo, esto es en el ámbito federal, estatal y municipal.</w:t>
      </w:r>
    </w:p>
    <w:p>
      <w:pPr>
        <w:pStyle w:val="BodyText"/>
        <w:spacing w:line="360" w:lineRule="auto" w:before="122"/>
        <w:ind w:left="268" w:right="231"/>
        <w:jc w:val="both"/>
      </w:pPr>
      <w:r>
        <w:rPr/>
        <w:t>En lo relacionado con la administración urbana y más en específico a la normatividad para la autorización de conjunto urbanos en el Estado de México, desde una perspectiva objetiva el concepto de sustentabilidad es ajeno y/o ambiguo a las normas que tienen relación con las autorizaciones de este tipo. Los términos que se utilizan para abordar de manera parcial y general la sustentabilidad van desde: el medio ambiente, el desarrollo, lo sostenible y lo sustentable, conceptos que distan de ser un solo término.</w:t>
      </w:r>
    </w:p>
    <w:p>
      <w:pPr>
        <w:pStyle w:val="BodyText"/>
      </w:pPr>
    </w:p>
    <w:p>
      <w:pPr>
        <w:pStyle w:val="Heading5"/>
        <w:numPr>
          <w:ilvl w:val="2"/>
          <w:numId w:val="17"/>
        </w:numPr>
        <w:tabs>
          <w:tab w:pos="936" w:val="left" w:leader="none"/>
        </w:tabs>
        <w:spacing w:line="240" w:lineRule="auto" w:before="206" w:after="0"/>
        <w:ind w:left="935" w:right="0" w:hanging="667"/>
        <w:jc w:val="both"/>
        <w:rPr>
          <w:i/>
        </w:rPr>
      </w:pPr>
      <w:r>
        <w:rPr>
          <w:i/>
        </w:rPr>
        <w:t>Sustentabilidad en la normatividad</w:t>
      </w:r>
    </w:p>
    <w:p>
      <w:pPr>
        <w:pStyle w:val="BodyText"/>
        <w:spacing w:before="2"/>
        <w:rPr>
          <w:b/>
          <w:i/>
          <w:sz w:val="28"/>
        </w:rPr>
      </w:pPr>
    </w:p>
    <w:p>
      <w:pPr>
        <w:pStyle w:val="BodyText"/>
        <w:spacing w:line="360" w:lineRule="auto"/>
        <w:ind w:left="268" w:right="231"/>
        <w:jc w:val="both"/>
      </w:pPr>
      <w:r>
        <w:rPr/>
        <w:t>La normatividad que regula la viabilidad para la autorización de conjuntos urbanos en el Estado de México es administrada en su alcance legislativo por la figura del “órgano técnico” de la Comisión Estatal de Desarrollo Urbano y Vivienda  (CEDUV), misma que se encuentra integrada en la Dirección General de Operación Urbana (DGOU) que pertenece a la Secretaría de Desarrollo Urbano y Metropolitano del Estado de México</w:t>
      </w:r>
      <w:r>
        <w:rPr>
          <w:spacing w:val="-3"/>
        </w:rPr>
        <w:t> </w:t>
      </w:r>
      <w:r>
        <w:rPr/>
        <w:t>(SEDUM).</w:t>
      </w:r>
    </w:p>
    <w:p>
      <w:pPr>
        <w:spacing w:line="360" w:lineRule="auto" w:before="122"/>
        <w:ind w:left="268" w:right="231" w:firstLine="0"/>
        <w:jc w:val="both"/>
        <w:rPr>
          <w:i/>
          <w:sz w:val="24"/>
        </w:rPr>
      </w:pPr>
      <w:r>
        <w:rPr>
          <w:sz w:val="24"/>
        </w:rPr>
        <w:t>En el portal electrónico del Gobierno del Estado de México (GEM) en la liga de la Secretaría de Desarrollo Urbano y Metropolitano (SEDUM), con base en el reglamento interno de la comisión estatal de desarrollo urbano y vivienda, se describe que </w:t>
      </w:r>
      <w:r>
        <w:rPr>
          <w:i/>
          <w:sz w:val="24"/>
        </w:rPr>
        <w:t>“La Comisión es un órgano técnico de coordinación interinstitucional </w:t>
      </w:r>
      <w:r>
        <w:rPr>
          <w:i/>
          <w:sz w:val="24"/>
        </w:rPr>
        <w:t>que tiene por objeto promover el desarrollo ordenado de los centros de población y alentar la producción formal de vivienda en la entidad, con el objeto y funciones que le determinan el Código Administrativo del Estado de México, el Reglamento del Libro Quinto del Código Administrativo del Estado de México y otras disposiciones jurídicas.”</w:t>
      </w:r>
    </w:p>
    <w:p>
      <w:pPr>
        <w:pStyle w:val="BodyText"/>
        <w:spacing w:line="360" w:lineRule="auto" w:before="122"/>
        <w:ind w:left="268" w:right="231"/>
        <w:jc w:val="both"/>
      </w:pPr>
      <w:r>
        <w:rPr/>
        <w:t>En la CEDUV participan cinco Secretarías de competencia estatal, diez direcciones dependientes de estas secretarías, la Comisión Federal de  Electricidad  (CFE)  en  su  ámbito  regional,  la  Comisión  Nacional  del       </w:t>
      </w:r>
      <w:r>
        <w:rPr>
          <w:spacing w:val="56"/>
        </w:rPr>
        <w:t> </w:t>
      </w:r>
      <w:r>
        <w:rPr/>
        <w:t>Agua</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5416" from="93.199997pt,-19.614155pt" to="546.799997pt,-19.614155pt" stroked="true" strokeweight=".479981pt" strokecolor="#000000">
            <w10:wrap type="none"/>
          </v:line>
        </w:pict>
      </w:r>
      <w:r>
        <w:rPr/>
        <w:t>(CONAGUA) y los municipios respectivos cuando se traten aspectos de su territorio y/o competencia. Cabe hacer mención que la participación de estas dependencias es de carácter enunciativo más no limitativo puesto que de existir temas extraordinarios pueden participar otras dependencias como PEMEX o Ferrocarriles de México. La tabla 10 muestra la organización de la</w:t>
      </w:r>
      <w:r>
        <w:rPr>
          <w:spacing w:val="-2"/>
        </w:rPr>
        <w:t> </w:t>
      </w:r>
      <w:r>
        <w:rPr/>
        <w:t>CEDUV.</w:t>
      </w:r>
    </w:p>
    <w:p>
      <w:pPr>
        <w:pStyle w:val="BodyText"/>
        <w:spacing w:before="122" w:after="16"/>
        <w:ind w:left="268"/>
        <w:jc w:val="both"/>
      </w:pPr>
      <w:r>
        <w:rPr/>
        <w:t>Tabla 10. Comisión Estatal de Desarrollo Urbano y Vivienda.</w:t>
      </w:r>
    </w:p>
    <w:tbl>
      <w:tblPr>
        <w:tblCellSpacing w:w="7" w:type="dxa"/>
        <w:tblW w:w="0" w:type="auto"/>
        <w:jc w:val="left"/>
        <w:tblInd w:w="16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22"/>
        <w:gridCol w:w="2664"/>
        <w:gridCol w:w="3353"/>
      </w:tblGrid>
      <w:tr>
        <w:trPr>
          <w:trHeight w:val="838" w:hRule="exact"/>
        </w:trPr>
        <w:tc>
          <w:tcPr>
            <w:tcW w:w="9038" w:type="dxa"/>
            <w:gridSpan w:val="3"/>
            <w:tcBorders>
              <w:bottom w:val="nil"/>
            </w:tcBorders>
            <w:shd w:val="clear" w:color="auto" w:fill="000000"/>
          </w:tcPr>
          <w:p>
            <w:pPr>
              <w:pStyle w:val="TableParagraph"/>
              <w:jc w:val="left"/>
              <w:rPr>
                <w:sz w:val="17"/>
              </w:rPr>
            </w:pPr>
          </w:p>
          <w:p>
            <w:pPr>
              <w:pStyle w:val="TableParagraph"/>
              <w:ind w:left="2180" w:right="2181"/>
              <w:rPr>
                <w:sz w:val="19"/>
              </w:rPr>
            </w:pPr>
            <w:r>
              <w:rPr>
                <w:color w:val="FFFFFF"/>
                <w:w w:val="105"/>
                <w:sz w:val="19"/>
              </w:rPr>
              <w:t>Instancias gubernamentales que integran</w:t>
            </w:r>
          </w:p>
          <w:p>
            <w:pPr>
              <w:pStyle w:val="TableParagraph"/>
              <w:spacing w:before="12"/>
              <w:ind w:left="2181" w:right="2181"/>
              <w:rPr>
                <w:sz w:val="19"/>
              </w:rPr>
            </w:pPr>
            <w:r>
              <w:rPr>
                <w:color w:val="FFFFFF"/>
                <w:w w:val="105"/>
                <w:sz w:val="19"/>
              </w:rPr>
              <w:t>la Comisión Estatal de Desarrollo Urbano y Vivienda</w:t>
            </w:r>
          </w:p>
        </w:tc>
      </w:tr>
      <w:tr>
        <w:trPr>
          <w:trHeight w:val="274" w:hRule="exact"/>
        </w:trPr>
        <w:tc>
          <w:tcPr>
            <w:tcW w:w="3022" w:type="dxa"/>
            <w:tcBorders>
              <w:top w:val="nil"/>
              <w:bottom w:val="nil"/>
              <w:right w:val="nil"/>
            </w:tcBorders>
            <w:shd w:val="clear" w:color="auto" w:fill="737373"/>
          </w:tcPr>
          <w:p>
            <w:pPr>
              <w:pStyle w:val="TableParagraph"/>
              <w:spacing w:before="42"/>
              <w:ind w:left="196" w:right="194"/>
              <w:rPr>
                <w:sz w:val="17"/>
              </w:rPr>
            </w:pPr>
            <w:r>
              <w:rPr>
                <w:color w:val="FFFFFF"/>
                <w:w w:val="105"/>
                <w:sz w:val="17"/>
              </w:rPr>
              <w:t>Instancia</w:t>
            </w:r>
          </w:p>
        </w:tc>
        <w:tc>
          <w:tcPr>
            <w:tcW w:w="2664" w:type="dxa"/>
            <w:tcBorders>
              <w:top w:val="nil"/>
              <w:left w:val="nil"/>
              <w:bottom w:val="nil"/>
              <w:right w:val="nil"/>
            </w:tcBorders>
            <w:shd w:val="clear" w:color="auto" w:fill="737373"/>
          </w:tcPr>
          <w:p>
            <w:pPr>
              <w:pStyle w:val="TableParagraph"/>
              <w:spacing w:before="42"/>
              <w:ind w:left="165" w:right="166"/>
              <w:rPr>
                <w:sz w:val="17"/>
              </w:rPr>
            </w:pPr>
            <w:r>
              <w:rPr>
                <w:color w:val="FFFFFF"/>
                <w:w w:val="105"/>
                <w:sz w:val="17"/>
              </w:rPr>
              <w:t>Dirección</w:t>
            </w:r>
          </w:p>
        </w:tc>
        <w:tc>
          <w:tcPr>
            <w:tcW w:w="3353" w:type="dxa"/>
            <w:tcBorders>
              <w:top w:val="nil"/>
              <w:left w:val="nil"/>
              <w:bottom w:val="nil"/>
            </w:tcBorders>
            <w:shd w:val="clear" w:color="auto" w:fill="737373"/>
          </w:tcPr>
          <w:p>
            <w:pPr>
              <w:pStyle w:val="TableParagraph"/>
              <w:spacing w:before="42"/>
              <w:ind w:left="123" w:right="123"/>
              <w:rPr>
                <w:sz w:val="17"/>
              </w:rPr>
            </w:pPr>
            <w:r>
              <w:rPr>
                <w:color w:val="FFFFFF"/>
                <w:w w:val="105"/>
                <w:sz w:val="17"/>
              </w:rPr>
              <w:t>Participación</w:t>
            </w:r>
          </w:p>
        </w:tc>
      </w:tr>
      <w:tr>
        <w:trPr>
          <w:trHeight w:val="547" w:hRule="exact"/>
        </w:trPr>
        <w:tc>
          <w:tcPr>
            <w:tcW w:w="3022" w:type="dxa"/>
            <w:vMerge w:val="restart"/>
            <w:tcBorders>
              <w:top w:val="nil"/>
              <w:right w:val="nil"/>
            </w:tcBorders>
            <w:shd w:val="clear" w:color="auto" w:fill="F3F3F3"/>
          </w:tcPr>
          <w:p>
            <w:pPr>
              <w:pStyle w:val="TableParagraph"/>
              <w:jc w:val="left"/>
              <w:rPr>
                <w:sz w:val="18"/>
              </w:rPr>
            </w:pPr>
          </w:p>
          <w:p>
            <w:pPr>
              <w:pStyle w:val="TableParagraph"/>
              <w:jc w:val="left"/>
              <w:rPr>
                <w:sz w:val="18"/>
              </w:rPr>
            </w:pPr>
          </w:p>
          <w:p>
            <w:pPr>
              <w:pStyle w:val="TableParagraph"/>
              <w:spacing w:before="10"/>
              <w:jc w:val="left"/>
              <w:rPr>
                <w:sz w:val="16"/>
              </w:rPr>
            </w:pPr>
          </w:p>
          <w:p>
            <w:pPr>
              <w:pStyle w:val="TableParagraph"/>
              <w:ind w:left="188"/>
              <w:jc w:val="left"/>
              <w:rPr>
                <w:sz w:val="17"/>
              </w:rPr>
            </w:pPr>
            <w:r>
              <w:rPr>
                <w:w w:val="105"/>
                <w:sz w:val="17"/>
              </w:rPr>
              <w:t>Secretaría de Desarrollo Urbano.</w:t>
            </w:r>
          </w:p>
        </w:tc>
        <w:tc>
          <w:tcPr>
            <w:tcW w:w="2664" w:type="dxa"/>
            <w:tcBorders>
              <w:top w:val="nil"/>
              <w:left w:val="nil"/>
              <w:bottom w:val="nil"/>
              <w:right w:val="nil"/>
            </w:tcBorders>
            <w:shd w:val="clear" w:color="auto" w:fill="F3F3F3"/>
          </w:tcPr>
          <w:p>
            <w:pPr>
              <w:pStyle w:val="TableParagraph"/>
              <w:spacing w:line="254" w:lineRule="auto" w:before="75"/>
              <w:ind w:left="1003" w:hanging="606"/>
              <w:jc w:val="left"/>
              <w:rPr>
                <w:sz w:val="17"/>
              </w:rPr>
            </w:pPr>
            <w:r>
              <w:rPr>
                <w:w w:val="105"/>
                <w:sz w:val="17"/>
              </w:rPr>
              <w:t>Dir. Gral. de Operación Urbana.</w:t>
            </w:r>
          </w:p>
        </w:tc>
        <w:tc>
          <w:tcPr>
            <w:tcW w:w="3353" w:type="dxa"/>
            <w:tcBorders>
              <w:top w:val="nil"/>
              <w:left w:val="nil"/>
              <w:bottom w:val="nil"/>
            </w:tcBorders>
            <w:shd w:val="clear" w:color="auto" w:fill="F3F3F3"/>
          </w:tcPr>
          <w:p>
            <w:pPr>
              <w:pStyle w:val="TableParagraph"/>
              <w:spacing w:before="8"/>
              <w:jc w:val="left"/>
              <w:rPr>
                <w:sz w:val="15"/>
              </w:rPr>
            </w:pPr>
          </w:p>
          <w:p>
            <w:pPr>
              <w:pStyle w:val="TableParagraph"/>
              <w:spacing w:before="1"/>
              <w:ind w:left="122" w:right="123"/>
              <w:rPr>
                <w:sz w:val="17"/>
              </w:rPr>
            </w:pPr>
            <w:r>
              <w:rPr>
                <w:w w:val="105"/>
                <w:sz w:val="17"/>
              </w:rPr>
              <w:t>Integra y emite constancia.</w:t>
            </w:r>
          </w:p>
        </w:tc>
      </w:tr>
      <w:tr>
        <w:trPr>
          <w:trHeight w:val="413" w:hRule="exact"/>
        </w:trPr>
        <w:tc>
          <w:tcPr>
            <w:tcW w:w="3022" w:type="dxa"/>
            <w:vMerge/>
            <w:tcBorders>
              <w:right w:val="nil"/>
            </w:tcBorders>
            <w:shd w:val="clear" w:color="auto" w:fill="F3F3F3"/>
          </w:tcPr>
          <w:p>
            <w:pPr/>
          </w:p>
        </w:tc>
        <w:tc>
          <w:tcPr>
            <w:tcW w:w="2664" w:type="dxa"/>
            <w:tcBorders>
              <w:top w:val="nil"/>
              <w:left w:val="nil"/>
              <w:bottom w:val="nil"/>
              <w:right w:val="nil"/>
            </w:tcBorders>
            <w:shd w:val="clear" w:color="auto" w:fill="F3F3F3"/>
          </w:tcPr>
          <w:p>
            <w:pPr>
              <w:pStyle w:val="TableParagraph"/>
              <w:spacing w:before="109"/>
              <w:ind w:left="165" w:right="166"/>
              <w:rPr>
                <w:sz w:val="17"/>
              </w:rPr>
            </w:pPr>
            <w:r>
              <w:rPr>
                <w:w w:val="105"/>
                <w:sz w:val="17"/>
              </w:rPr>
              <w:t>Dir. Gral. de Planeación.</w:t>
            </w:r>
          </w:p>
        </w:tc>
        <w:tc>
          <w:tcPr>
            <w:tcW w:w="3353" w:type="dxa"/>
            <w:tcBorders>
              <w:top w:val="nil"/>
              <w:left w:val="nil"/>
              <w:bottom w:val="nil"/>
            </w:tcBorders>
            <w:shd w:val="clear" w:color="auto" w:fill="F3F3F3"/>
          </w:tcPr>
          <w:p>
            <w:pPr>
              <w:pStyle w:val="TableParagraph"/>
              <w:spacing w:before="109"/>
              <w:ind w:left="123" w:right="123"/>
              <w:rPr>
                <w:sz w:val="17"/>
              </w:rPr>
            </w:pPr>
            <w:r>
              <w:rPr>
                <w:w w:val="105"/>
                <w:sz w:val="17"/>
              </w:rPr>
              <w:t>Opinión técnica.</w:t>
            </w:r>
          </w:p>
        </w:tc>
      </w:tr>
      <w:tr>
        <w:trPr>
          <w:trHeight w:val="418" w:hRule="exact"/>
        </w:trPr>
        <w:tc>
          <w:tcPr>
            <w:tcW w:w="3022" w:type="dxa"/>
            <w:vMerge/>
            <w:tcBorders>
              <w:bottom w:val="nil"/>
              <w:right w:val="nil"/>
            </w:tcBorders>
            <w:shd w:val="clear" w:color="auto" w:fill="F3F3F3"/>
          </w:tcPr>
          <w:p>
            <w:pPr/>
          </w:p>
        </w:tc>
        <w:tc>
          <w:tcPr>
            <w:tcW w:w="2664" w:type="dxa"/>
            <w:tcBorders>
              <w:top w:val="nil"/>
              <w:left w:val="nil"/>
              <w:bottom w:val="nil"/>
              <w:right w:val="nil"/>
            </w:tcBorders>
            <w:shd w:val="clear" w:color="auto" w:fill="F3F3F3"/>
          </w:tcPr>
          <w:p>
            <w:pPr>
              <w:pStyle w:val="TableParagraph"/>
              <w:spacing w:before="114"/>
              <w:ind w:left="165" w:right="166"/>
              <w:rPr>
                <w:sz w:val="17"/>
              </w:rPr>
            </w:pPr>
            <w:r>
              <w:rPr>
                <w:w w:val="105"/>
                <w:sz w:val="17"/>
              </w:rPr>
              <w:t>Dir. Gral. de Control Urbano.</w:t>
            </w:r>
          </w:p>
        </w:tc>
        <w:tc>
          <w:tcPr>
            <w:tcW w:w="3353" w:type="dxa"/>
            <w:tcBorders>
              <w:top w:val="nil"/>
              <w:left w:val="nil"/>
              <w:bottom w:val="nil"/>
            </w:tcBorders>
            <w:shd w:val="clear" w:color="auto" w:fill="F3F3F3"/>
          </w:tcPr>
          <w:p>
            <w:pPr>
              <w:pStyle w:val="TableParagraph"/>
              <w:spacing w:before="114"/>
              <w:ind w:left="123" w:right="123"/>
              <w:rPr>
                <w:sz w:val="17"/>
              </w:rPr>
            </w:pPr>
            <w:r>
              <w:rPr>
                <w:w w:val="105"/>
                <w:sz w:val="17"/>
              </w:rPr>
              <w:t>Vigila el cumplimiento de obligaciones.</w:t>
            </w:r>
          </w:p>
        </w:tc>
      </w:tr>
      <w:tr>
        <w:trPr>
          <w:trHeight w:val="566" w:hRule="exact"/>
        </w:trPr>
        <w:tc>
          <w:tcPr>
            <w:tcW w:w="3022" w:type="dxa"/>
            <w:tcBorders>
              <w:top w:val="nil"/>
              <w:bottom w:val="nil"/>
              <w:right w:val="nil"/>
            </w:tcBorders>
            <w:shd w:val="clear" w:color="auto" w:fill="E0E0E0"/>
          </w:tcPr>
          <w:p>
            <w:pPr>
              <w:pStyle w:val="TableParagraph"/>
              <w:spacing w:before="2"/>
              <w:jc w:val="left"/>
              <w:rPr>
                <w:sz w:val="16"/>
              </w:rPr>
            </w:pPr>
          </w:p>
          <w:p>
            <w:pPr>
              <w:pStyle w:val="TableParagraph"/>
              <w:ind w:left="197" w:right="194"/>
              <w:rPr>
                <w:sz w:val="17"/>
              </w:rPr>
            </w:pPr>
            <w:r>
              <w:rPr>
                <w:w w:val="105"/>
                <w:sz w:val="17"/>
              </w:rPr>
              <w:t>Secretaría General de Gobierno.</w:t>
            </w:r>
          </w:p>
        </w:tc>
        <w:tc>
          <w:tcPr>
            <w:tcW w:w="2664" w:type="dxa"/>
            <w:tcBorders>
              <w:top w:val="nil"/>
              <w:left w:val="nil"/>
              <w:bottom w:val="nil"/>
              <w:right w:val="nil"/>
            </w:tcBorders>
            <w:shd w:val="clear" w:color="auto" w:fill="E0E0E0"/>
          </w:tcPr>
          <w:p>
            <w:pPr>
              <w:pStyle w:val="TableParagraph"/>
              <w:spacing w:before="2"/>
              <w:jc w:val="left"/>
              <w:rPr>
                <w:sz w:val="16"/>
              </w:rPr>
            </w:pPr>
          </w:p>
          <w:p>
            <w:pPr>
              <w:pStyle w:val="TableParagraph"/>
              <w:ind w:left="166" w:right="166"/>
              <w:rPr>
                <w:sz w:val="17"/>
              </w:rPr>
            </w:pPr>
            <w:r>
              <w:rPr>
                <w:w w:val="105"/>
                <w:sz w:val="17"/>
              </w:rPr>
              <w:t>Dir. Gral. de Protección Civil.</w:t>
            </w:r>
          </w:p>
        </w:tc>
        <w:tc>
          <w:tcPr>
            <w:tcW w:w="3353" w:type="dxa"/>
            <w:tcBorders>
              <w:top w:val="nil"/>
              <w:left w:val="nil"/>
              <w:bottom w:val="nil"/>
            </w:tcBorders>
            <w:shd w:val="clear" w:color="auto" w:fill="E0E0E0"/>
          </w:tcPr>
          <w:p>
            <w:pPr>
              <w:pStyle w:val="TableParagraph"/>
              <w:spacing w:before="2"/>
              <w:jc w:val="left"/>
              <w:rPr>
                <w:sz w:val="16"/>
              </w:rPr>
            </w:pPr>
          </w:p>
          <w:p>
            <w:pPr>
              <w:pStyle w:val="TableParagraph"/>
              <w:ind w:left="123" w:right="123"/>
              <w:rPr>
                <w:sz w:val="17"/>
              </w:rPr>
            </w:pPr>
            <w:r>
              <w:rPr>
                <w:w w:val="105"/>
                <w:sz w:val="17"/>
              </w:rPr>
              <w:t>Factibilidad.</w:t>
            </w:r>
          </w:p>
        </w:tc>
      </w:tr>
      <w:tr>
        <w:trPr>
          <w:trHeight w:val="562" w:hRule="exact"/>
        </w:trPr>
        <w:tc>
          <w:tcPr>
            <w:tcW w:w="3022" w:type="dxa"/>
            <w:tcBorders>
              <w:top w:val="nil"/>
              <w:bottom w:val="nil"/>
              <w:right w:val="nil"/>
            </w:tcBorders>
            <w:shd w:val="clear" w:color="auto" w:fill="F3F3F3"/>
          </w:tcPr>
          <w:p>
            <w:pPr>
              <w:pStyle w:val="TableParagraph"/>
              <w:spacing w:before="2"/>
              <w:jc w:val="left"/>
              <w:rPr>
                <w:sz w:val="16"/>
              </w:rPr>
            </w:pPr>
          </w:p>
          <w:p>
            <w:pPr>
              <w:pStyle w:val="TableParagraph"/>
              <w:ind w:left="197" w:right="194"/>
              <w:rPr>
                <w:sz w:val="17"/>
              </w:rPr>
            </w:pPr>
            <w:r>
              <w:rPr>
                <w:w w:val="105"/>
                <w:sz w:val="17"/>
              </w:rPr>
              <w:t>Secretaría del Medio Ambiente.</w:t>
            </w:r>
          </w:p>
        </w:tc>
        <w:tc>
          <w:tcPr>
            <w:tcW w:w="2664" w:type="dxa"/>
            <w:tcBorders>
              <w:top w:val="nil"/>
              <w:left w:val="nil"/>
              <w:bottom w:val="nil"/>
              <w:right w:val="nil"/>
            </w:tcBorders>
            <w:shd w:val="clear" w:color="auto" w:fill="F3F3F3"/>
          </w:tcPr>
          <w:p>
            <w:pPr>
              <w:pStyle w:val="TableParagraph"/>
              <w:spacing w:line="259" w:lineRule="auto" w:before="80"/>
              <w:ind w:left="553" w:hanging="386"/>
              <w:jc w:val="left"/>
              <w:rPr>
                <w:sz w:val="17"/>
              </w:rPr>
            </w:pPr>
            <w:r>
              <w:rPr>
                <w:w w:val="105"/>
                <w:sz w:val="17"/>
              </w:rPr>
              <w:t>Dir. Gral. de Ordenamiento e Impacto Ambiental.</w:t>
            </w:r>
          </w:p>
        </w:tc>
        <w:tc>
          <w:tcPr>
            <w:tcW w:w="3353" w:type="dxa"/>
            <w:tcBorders>
              <w:top w:val="nil"/>
              <w:left w:val="nil"/>
              <w:bottom w:val="nil"/>
            </w:tcBorders>
            <w:shd w:val="clear" w:color="auto" w:fill="F3F3F3"/>
          </w:tcPr>
          <w:p>
            <w:pPr>
              <w:pStyle w:val="TableParagraph"/>
              <w:spacing w:before="2"/>
              <w:jc w:val="left"/>
              <w:rPr>
                <w:sz w:val="16"/>
              </w:rPr>
            </w:pPr>
          </w:p>
          <w:p>
            <w:pPr>
              <w:pStyle w:val="TableParagraph"/>
              <w:ind w:left="123" w:right="123"/>
              <w:rPr>
                <w:sz w:val="17"/>
              </w:rPr>
            </w:pPr>
            <w:r>
              <w:rPr>
                <w:w w:val="105"/>
                <w:sz w:val="17"/>
              </w:rPr>
              <w:t>Factibilidad.</w:t>
            </w:r>
          </w:p>
        </w:tc>
      </w:tr>
      <w:tr>
        <w:trPr>
          <w:trHeight w:val="701" w:hRule="exact"/>
        </w:trPr>
        <w:tc>
          <w:tcPr>
            <w:tcW w:w="3022" w:type="dxa"/>
            <w:tcBorders>
              <w:top w:val="nil"/>
              <w:bottom w:val="nil"/>
              <w:right w:val="nil"/>
            </w:tcBorders>
            <w:shd w:val="clear" w:color="auto" w:fill="E0E0E0"/>
          </w:tcPr>
          <w:p>
            <w:pPr>
              <w:pStyle w:val="TableParagraph"/>
              <w:spacing w:line="254" w:lineRule="auto" w:before="152"/>
              <w:ind w:left="1188" w:hanging="751"/>
              <w:jc w:val="left"/>
              <w:rPr>
                <w:sz w:val="17"/>
              </w:rPr>
            </w:pPr>
            <w:r>
              <w:rPr>
                <w:w w:val="105"/>
                <w:sz w:val="17"/>
              </w:rPr>
              <w:t>Secretaría de Agua y Obra Pública.</w:t>
            </w:r>
          </w:p>
        </w:tc>
        <w:tc>
          <w:tcPr>
            <w:tcW w:w="2664" w:type="dxa"/>
            <w:tcBorders>
              <w:top w:val="nil"/>
              <w:left w:val="nil"/>
              <w:bottom w:val="nil"/>
              <w:right w:val="nil"/>
            </w:tcBorders>
            <w:shd w:val="clear" w:color="auto" w:fill="E0E0E0"/>
          </w:tcPr>
          <w:p>
            <w:pPr>
              <w:pStyle w:val="TableParagraph"/>
              <w:spacing w:line="254" w:lineRule="auto" w:before="152"/>
              <w:ind w:left="568" w:hanging="451"/>
              <w:jc w:val="left"/>
              <w:rPr>
                <w:sz w:val="17"/>
              </w:rPr>
            </w:pPr>
            <w:r>
              <w:rPr>
                <w:w w:val="105"/>
                <w:sz w:val="17"/>
              </w:rPr>
              <w:t>Comisión del Agua del Estado de México (CAEM)</w:t>
            </w:r>
          </w:p>
        </w:tc>
        <w:tc>
          <w:tcPr>
            <w:tcW w:w="3353" w:type="dxa"/>
            <w:tcBorders>
              <w:top w:val="nil"/>
              <w:left w:val="nil"/>
              <w:bottom w:val="nil"/>
            </w:tcBorders>
            <w:shd w:val="clear" w:color="auto" w:fill="E0E0E0"/>
          </w:tcPr>
          <w:p>
            <w:pPr>
              <w:pStyle w:val="TableParagraph"/>
              <w:spacing w:before="5"/>
              <w:jc w:val="left"/>
              <w:rPr>
                <w:sz w:val="22"/>
              </w:rPr>
            </w:pPr>
          </w:p>
          <w:p>
            <w:pPr>
              <w:pStyle w:val="TableParagraph"/>
              <w:ind w:left="123" w:right="123"/>
              <w:rPr>
                <w:sz w:val="17"/>
              </w:rPr>
            </w:pPr>
            <w:r>
              <w:rPr>
                <w:w w:val="105"/>
                <w:sz w:val="17"/>
              </w:rPr>
              <w:t>Opinión técnica.</w:t>
            </w:r>
          </w:p>
        </w:tc>
      </w:tr>
      <w:tr>
        <w:trPr>
          <w:trHeight w:val="557" w:hRule="exact"/>
        </w:trPr>
        <w:tc>
          <w:tcPr>
            <w:tcW w:w="3022" w:type="dxa"/>
            <w:tcBorders>
              <w:top w:val="nil"/>
              <w:bottom w:val="nil"/>
              <w:right w:val="nil"/>
            </w:tcBorders>
            <w:shd w:val="clear" w:color="auto" w:fill="F3F3F3"/>
          </w:tcPr>
          <w:p>
            <w:pPr>
              <w:pStyle w:val="TableParagraph"/>
              <w:spacing w:before="2"/>
              <w:jc w:val="left"/>
              <w:rPr>
                <w:sz w:val="16"/>
              </w:rPr>
            </w:pPr>
          </w:p>
          <w:p>
            <w:pPr>
              <w:pStyle w:val="TableParagraph"/>
              <w:ind w:left="197" w:right="194"/>
              <w:rPr>
                <w:sz w:val="17"/>
              </w:rPr>
            </w:pPr>
            <w:r>
              <w:rPr>
                <w:w w:val="105"/>
                <w:sz w:val="17"/>
              </w:rPr>
              <w:t>Secretaría de Comunicaciones.</w:t>
            </w:r>
          </w:p>
        </w:tc>
        <w:tc>
          <w:tcPr>
            <w:tcW w:w="2664" w:type="dxa"/>
            <w:tcBorders>
              <w:top w:val="nil"/>
              <w:left w:val="nil"/>
              <w:bottom w:val="nil"/>
              <w:right w:val="nil"/>
            </w:tcBorders>
            <w:shd w:val="clear" w:color="auto" w:fill="F3F3F3"/>
          </w:tcPr>
          <w:p>
            <w:pPr>
              <w:pStyle w:val="TableParagraph"/>
              <w:spacing w:before="2"/>
              <w:jc w:val="left"/>
              <w:rPr>
                <w:sz w:val="16"/>
              </w:rPr>
            </w:pPr>
          </w:p>
          <w:p>
            <w:pPr>
              <w:pStyle w:val="TableParagraph"/>
              <w:ind w:left="166" w:right="166"/>
              <w:rPr>
                <w:sz w:val="17"/>
              </w:rPr>
            </w:pPr>
            <w:r>
              <w:rPr>
                <w:w w:val="105"/>
                <w:sz w:val="17"/>
              </w:rPr>
              <w:t>Dir. Gral. de Vialidad.</w:t>
            </w:r>
          </w:p>
        </w:tc>
        <w:tc>
          <w:tcPr>
            <w:tcW w:w="3353" w:type="dxa"/>
            <w:tcBorders>
              <w:top w:val="nil"/>
              <w:left w:val="nil"/>
              <w:bottom w:val="nil"/>
            </w:tcBorders>
            <w:shd w:val="clear" w:color="auto" w:fill="F3F3F3"/>
          </w:tcPr>
          <w:p>
            <w:pPr>
              <w:pStyle w:val="TableParagraph"/>
              <w:spacing w:before="2"/>
              <w:jc w:val="left"/>
              <w:rPr>
                <w:sz w:val="16"/>
              </w:rPr>
            </w:pPr>
          </w:p>
          <w:p>
            <w:pPr>
              <w:pStyle w:val="TableParagraph"/>
              <w:ind w:left="123" w:right="123"/>
              <w:rPr>
                <w:sz w:val="17"/>
              </w:rPr>
            </w:pPr>
            <w:r>
              <w:rPr>
                <w:w w:val="105"/>
                <w:sz w:val="17"/>
              </w:rPr>
              <w:t>Factibilidad.</w:t>
            </w:r>
          </w:p>
        </w:tc>
      </w:tr>
      <w:tr>
        <w:trPr>
          <w:trHeight w:val="562" w:hRule="exact"/>
        </w:trPr>
        <w:tc>
          <w:tcPr>
            <w:tcW w:w="3022" w:type="dxa"/>
            <w:tcBorders>
              <w:top w:val="nil"/>
              <w:bottom w:val="nil"/>
              <w:right w:val="nil"/>
            </w:tcBorders>
            <w:shd w:val="clear" w:color="auto" w:fill="E0E0E0"/>
          </w:tcPr>
          <w:p>
            <w:pPr>
              <w:pStyle w:val="TableParagraph"/>
              <w:spacing w:line="254" w:lineRule="auto" w:before="80"/>
              <w:ind w:left="1243" w:hanging="1081"/>
              <w:jc w:val="left"/>
              <w:rPr>
                <w:sz w:val="17"/>
              </w:rPr>
            </w:pPr>
            <w:r>
              <w:rPr>
                <w:w w:val="105"/>
                <w:sz w:val="17"/>
              </w:rPr>
              <w:t>Comisión Federal de Electricidad. (CFE).</w:t>
            </w:r>
          </w:p>
        </w:tc>
        <w:tc>
          <w:tcPr>
            <w:tcW w:w="2664" w:type="dxa"/>
            <w:tcBorders>
              <w:top w:val="nil"/>
              <w:left w:val="nil"/>
              <w:bottom w:val="nil"/>
              <w:right w:val="nil"/>
            </w:tcBorders>
            <w:shd w:val="clear" w:color="auto" w:fill="E0E0E0"/>
          </w:tcPr>
          <w:p>
            <w:pPr>
              <w:pStyle w:val="TableParagraph"/>
              <w:spacing w:before="2"/>
              <w:jc w:val="left"/>
              <w:rPr>
                <w:sz w:val="16"/>
              </w:rPr>
            </w:pPr>
          </w:p>
          <w:p>
            <w:pPr>
              <w:pStyle w:val="TableParagraph"/>
              <w:ind w:left="166" w:right="166"/>
              <w:rPr>
                <w:sz w:val="17"/>
              </w:rPr>
            </w:pPr>
            <w:r>
              <w:rPr>
                <w:w w:val="105"/>
                <w:sz w:val="17"/>
              </w:rPr>
              <w:t>Dir. Regional de la CFE</w:t>
            </w:r>
          </w:p>
        </w:tc>
        <w:tc>
          <w:tcPr>
            <w:tcW w:w="3353" w:type="dxa"/>
            <w:tcBorders>
              <w:top w:val="nil"/>
              <w:left w:val="nil"/>
              <w:bottom w:val="nil"/>
            </w:tcBorders>
            <w:shd w:val="clear" w:color="auto" w:fill="E0E0E0"/>
          </w:tcPr>
          <w:p>
            <w:pPr>
              <w:pStyle w:val="TableParagraph"/>
              <w:spacing w:before="2"/>
              <w:jc w:val="left"/>
              <w:rPr>
                <w:sz w:val="16"/>
              </w:rPr>
            </w:pPr>
          </w:p>
          <w:p>
            <w:pPr>
              <w:pStyle w:val="TableParagraph"/>
              <w:ind w:left="123" w:right="123"/>
              <w:rPr>
                <w:sz w:val="17"/>
              </w:rPr>
            </w:pPr>
            <w:r>
              <w:rPr>
                <w:w w:val="105"/>
                <w:sz w:val="17"/>
              </w:rPr>
              <w:t>Factibilidad.</w:t>
            </w:r>
          </w:p>
        </w:tc>
      </w:tr>
      <w:tr>
        <w:trPr>
          <w:trHeight w:val="835" w:hRule="exact"/>
        </w:trPr>
        <w:tc>
          <w:tcPr>
            <w:tcW w:w="3022" w:type="dxa"/>
            <w:tcBorders>
              <w:top w:val="nil"/>
              <w:bottom w:val="nil"/>
              <w:right w:val="nil"/>
            </w:tcBorders>
            <w:shd w:val="clear" w:color="auto" w:fill="F3F3F3"/>
          </w:tcPr>
          <w:p>
            <w:pPr>
              <w:pStyle w:val="TableParagraph"/>
              <w:spacing w:before="1"/>
              <w:jc w:val="left"/>
              <w:rPr>
                <w:sz w:val="19"/>
              </w:rPr>
            </w:pPr>
          </w:p>
          <w:p>
            <w:pPr>
              <w:pStyle w:val="TableParagraph"/>
              <w:spacing w:line="254" w:lineRule="auto"/>
              <w:ind w:left="783" w:hanging="626"/>
              <w:jc w:val="left"/>
              <w:rPr>
                <w:sz w:val="17"/>
              </w:rPr>
            </w:pPr>
            <w:r>
              <w:rPr>
                <w:w w:val="105"/>
                <w:sz w:val="17"/>
              </w:rPr>
              <w:t>Organismo Operador de Agua y/o Comisión de agua</w:t>
            </w:r>
          </w:p>
        </w:tc>
        <w:tc>
          <w:tcPr>
            <w:tcW w:w="2664" w:type="dxa"/>
            <w:tcBorders>
              <w:top w:val="nil"/>
              <w:left w:val="nil"/>
              <w:bottom w:val="nil"/>
              <w:right w:val="nil"/>
            </w:tcBorders>
            <w:shd w:val="clear" w:color="auto" w:fill="F3F3F3"/>
          </w:tcPr>
          <w:p>
            <w:pPr>
              <w:pStyle w:val="TableParagraph"/>
              <w:spacing w:before="1"/>
              <w:jc w:val="left"/>
              <w:rPr>
                <w:sz w:val="19"/>
              </w:rPr>
            </w:pPr>
          </w:p>
          <w:p>
            <w:pPr>
              <w:pStyle w:val="TableParagraph"/>
              <w:spacing w:line="254" w:lineRule="auto"/>
              <w:ind w:left="748" w:hanging="306"/>
              <w:jc w:val="left"/>
              <w:rPr>
                <w:sz w:val="17"/>
              </w:rPr>
            </w:pPr>
            <w:r>
              <w:rPr>
                <w:w w:val="105"/>
                <w:sz w:val="17"/>
              </w:rPr>
              <w:t>Dir. de Planeación y/o Factibilidades.</w:t>
            </w:r>
          </w:p>
        </w:tc>
        <w:tc>
          <w:tcPr>
            <w:tcW w:w="3353" w:type="dxa"/>
            <w:tcBorders>
              <w:top w:val="nil"/>
              <w:left w:val="nil"/>
              <w:bottom w:val="nil"/>
            </w:tcBorders>
            <w:shd w:val="clear" w:color="auto" w:fill="F3F3F3"/>
          </w:tcPr>
          <w:p>
            <w:pPr>
              <w:pStyle w:val="TableParagraph"/>
              <w:jc w:val="left"/>
              <w:rPr>
                <w:sz w:val="18"/>
              </w:rPr>
            </w:pPr>
          </w:p>
          <w:p>
            <w:pPr>
              <w:pStyle w:val="TableParagraph"/>
              <w:spacing w:before="113"/>
              <w:ind w:left="122" w:right="123"/>
              <w:rPr>
                <w:sz w:val="17"/>
              </w:rPr>
            </w:pPr>
            <w:r>
              <w:rPr>
                <w:w w:val="105"/>
                <w:sz w:val="17"/>
              </w:rPr>
              <w:t>Dictamen de factibilidad.</w:t>
            </w:r>
          </w:p>
        </w:tc>
      </w:tr>
      <w:tr>
        <w:trPr>
          <w:trHeight w:val="552" w:hRule="exact"/>
        </w:trPr>
        <w:tc>
          <w:tcPr>
            <w:tcW w:w="3022" w:type="dxa"/>
            <w:tcBorders>
              <w:top w:val="nil"/>
              <w:bottom w:val="nil"/>
              <w:right w:val="nil"/>
            </w:tcBorders>
            <w:shd w:val="clear" w:color="auto" w:fill="E0E0E0"/>
          </w:tcPr>
          <w:p>
            <w:pPr>
              <w:pStyle w:val="TableParagraph"/>
              <w:spacing w:before="8"/>
              <w:jc w:val="left"/>
              <w:rPr>
                <w:sz w:val="15"/>
              </w:rPr>
            </w:pPr>
          </w:p>
          <w:p>
            <w:pPr>
              <w:pStyle w:val="TableParagraph"/>
              <w:spacing w:before="1"/>
              <w:ind w:left="843"/>
              <w:jc w:val="left"/>
              <w:rPr>
                <w:sz w:val="17"/>
              </w:rPr>
            </w:pPr>
            <w:r>
              <w:rPr>
                <w:w w:val="105"/>
                <w:sz w:val="17"/>
              </w:rPr>
              <w:t>H. Ayuntamiento</w:t>
            </w:r>
          </w:p>
        </w:tc>
        <w:tc>
          <w:tcPr>
            <w:tcW w:w="2664" w:type="dxa"/>
            <w:tcBorders>
              <w:top w:val="nil"/>
              <w:left w:val="nil"/>
              <w:bottom w:val="nil"/>
              <w:right w:val="nil"/>
            </w:tcBorders>
            <w:shd w:val="clear" w:color="auto" w:fill="E0E0E0"/>
          </w:tcPr>
          <w:p>
            <w:pPr>
              <w:pStyle w:val="TableParagraph"/>
              <w:spacing w:line="259" w:lineRule="auto" w:before="75"/>
              <w:ind w:left="568" w:hanging="271"/>
              <w:jc w:val="left"/>
              <w:rPr>
                <w:sz w:val="17"/>
              </w:rPr>
            </w:pPr>
            <w:r>
              <w:rPr>
                <w:w w:val="105"/>
                <w:sz w:val="17"/>
              </w:rPr>
              <w:t>Dir. de Administración y/o Desarrollo Urbano.</w:t>
            </w:r>
          </w:p>
        </w:tc>
        <w:tc>
          <w:tcPr>
            <w:tcW w:w="3353" w:type="dxa"/>
            <w:tcBorders>
              <w:top w:val="nil"/>
              <w:left w:val="nil"/>
              <w:bottom w:val="nil"/>
            </w:tcBorders>
            <w:shd w:val="clear" w:color="auto" w:fill="E0E0E0"/>
          </w:tcPr>
          <w:p>
            <w:pPr>
              <w:pStyle w:val="TableParagraph"/>
              <w:spacing w:before="8"/>
              <w:jc w:val="left"/>
              <w:rPr>
                <w:sz w:val="15"/>
              </w:rPr>
            </w:pPr>
          </w:p>
          <w:p>
            <w:pPr>
              <w:pStyle w:val="TableParagraph"/>
              <w:spacing w:before="1"/>
              <w:ind w:left="123" w:right="123"/>
              <w:rPr>
                <w:sz w:val="17"/>
              </w:rPr>
            </w:pPr>
            <w:r>
              <w:rPr>
                <w:w w:val="105"/>
                <w:sz w:val="17"/>
              </w:rPr>
              <w:t>Factibilidad.</w:t>
            </w:r>
          </w:p>
        </w:tc>
      </w:tr>
      <w:tr>
        <w:trPr>
          <w:trHeight w:val="883" w:hRule="exact"/>
        </w:trPr>
        <w:tc>
          <w:tcPr>
            <w:tcW w:w="3022" w:type="dxa"/>
            <w:tcBorders>
              <w:top w:val="nil"/>
              <w:bottom w:val="nil"/>
              <w:right w:val="nil"/>
            </w:tcBorders>
            <w:shd w:val="clear" w:color="auto" w:fill="F3F3F3"/>
          </w:tcPr>
          <w:p>
            <w:pPr>
              <w:pStyle w:val="TableParagraph"/>
              <w:spacing w:line="254" w:lineRule="auto" w:before="37"/>
              <w:ind w:left="163" w:right="157" w:hanging="2"/>
              <w:rPr>
                <w:sz w:val="17"/>
              </w:rPr>
            </w:pPr>
            <w:r>
              <w:rPr>
                <w:w w:val="105"/>
                <w:sz w:val="17"/>
              </w:rPr>
              <w:t>Instituto de Información e Investigación Geográfica, Estadística y Catastral del Estado de México. (IGECEM)</w:t>
            </w:r>
          </w:p>
        </w:tc>
        <w:tc>
          <w:tcPr>
            <w:tcW w:w="2664" w:type="dxa"/>
            <w:tcBorders>
              <w:top w:val="nil"/>
              <w:left w:val="nil"/>
              <w:bottom w:val="nil"/>
              <w:right w:val="nil"/>
            </w:tcBorders>
            <w:shd w:val="clear" w:color="auto" w:fill="F3F3F3"/>
          </w:tcPr>
          <w:p>
            <w:pPr>
              <w:pStyle w:val="TableParagraph"/>
              <w:jc w:val="left"/>
              <w:rPr>
                <w:sz w:val="18"/>
              </w:rPr>
            </w:pPr>
          </w:p>
          <w:p>
            <w:pPr>
              <w:pStyle w:val="TableParagraph"/>
              <w:spacing w:before="137"/>
              <w:ind w:left="166" w:right="166"/>
              <w:rPr>
                <w:sz w:val="17"/>
              </w:rPr>
            </w:pPr>
            <w:r>
              <w:rPr>
                <w:w w:val="105"/>
                <w:sz w:val="17"/>
              </w:rPr>
              <w:t>Dir. de Catastro.</w:t>
            </w:r>
          </w:p>
        </w:tc>
        <w:tc>
          <w:tcPr>
            <w:tcW w:w="3353" w:type="dxa"/>
            <w:tcBorders>
              <w:top w:val="nil"/>
              <w:left w:val="nil"/>
              <w:bottom w:val="nil"/>
            </w:tcBorders>
            <w:shd w:val="clear" w:color="auto" w:fill="F3F3F3"/>
          </w:tcPr>
          <w:p>
            <w:pPr>
              <w:pStyle w:val="TableParagraph"/>
              <w:jc w:val="left"/>
              <w:rPr>
                <w:sz w:val="18"/>
              </w:rPr>
            </w:pPr>
          </w:p>
          <w:p>
            <w:pPr>
              <w:pStyle w:val="TableParagraph"/>
              <w:spacing w:before="137"/>
              <w:ind w:left="123" w:right="123"/>
              <w:rPr>
                <w:sz w:val="17"/>
              </w:rPr>
            </w:pPr>
            <w:r>
              <w:rPr>
                <w:w w:val="105"/>
                <w:sz w:val="17"/>
              </w:rPr>
              <w:t>Opinión técnica.</w:t>
            </w:r>
          </w:p>
        </w:tc>
      </w:tr>
      <w:tr>
        <w:trPr>
          <w:trHeight w:val="545" w:hRule="exact"/>
        </w:trPr>
        <w:tc>
          <w:tcPr>
            <w:tcW w:w="3022" w:type="dxa"/>
            <w:tcBorders>
              <w:top w:val="nil"/>
              <w:right w:val="nil"/>
            </w:tcBorders>
            <w:shd w:val="clear" w:color="auto" w:fill="E0E0E0"/>
          </w:tcPr>
          <w:p>
            <w:pPr>
              <w:pStyle w:val="TableParagraph"/>
              <w:spacing w:line="259" w:lineRule="auto" w:before="75"/>
              <w:ind w:left="403" w:hanging="301"/>
              <w:jc w:val="left"/>
              <w:rPr>
                <w:sz w:val="17"/>
              </w:rPr>
            </w:pPr>
            <w:r>
              <w:rPr>
                <w:w w:val="105"/>
                <w:sz w:val="17"/>
              </w:rPr>
              <w:t>Instituto de la Función Registral del Estado de México. (IFREM)</w:t>
            </w:r>
          </w:p>
        </w:tc>
        <w:tc>
          <w:tcPr>
            <w:tcW w:w="2664" w:type="dxa"/>
            <w:tcBorders>
              <w:top w:val="nil"/>
              <w:left w:val="nil"/>
              <w:right w:val="nil"/>
            </w:tcBorders>
            <w:shd w:val="clear" w:color="auto" w:fill="E0E0E0"/>
          </w:tcPr>
          <w:p>
            <w:pPr>
              <w:pStyle w:val="TableParagraph"/>
              <w:spacing w:before="8"/>
              <w:jc w:val="left"/>
              <w:rPr>
                <w:sz w:val="15"/>
              </w:rPr>
            </w:pPr>
          </w:p>
          <w:p>
            <w:pPr>
              <w:pStyle w:val="TableParagraph"/>
              <w:spacing w:before="1"/>
              <w:ind w:left="166" w:right="166"/>
              <w:rPr>
                <w:sz w:val="17"/>
              </w:rPr>
            </w:pPr>
            <w:r>
              <w:rPr>
                <w:w w:val="105"/>
                <w:sz w:val="17"/>
              </w:rPr>
              <w:t>Dir. General.</w:t>
            </w:r>
          </w:p>
        </w:tc>
        <w:tc>
          <w:tcPr>
            <w:tcW w:w="3353" w:type="dxa"/>
            <w:tcBorders>
              <w:top w:val="nil"/>
              <w:left w:val="nil"/>
            </w:tcBorders>
            <w:shd w:val="clear" w:color="auto" w:fill="E0E0E0"/>
          </w:tcPr>
          <w:p>
            <w:pPr>
              <w:pStyle w:val="TableParagraph"/>
              <w:spacing w:before="8"/>
              <w:jc w:val="left"/>
              <w:rPr>
                <w:sz w:val="15"/>
              </w:rPr>
            </w:pPr>
          </w:p>
          <w:p>
            <w:pPr>
              <w:pStyle w:val="TableParagraph"/>
              <w:spacing w:before="1"/>
              <w:ind w:left="123" w:right="123"/>
              <w:rPr>
                <w:sz w:val="17"/>
              </w:rPr>
            </w:pPr>
            <w:r>
              <w:rPr>
                <w:w w:val="105"/>
                <w:sz w:val="17"/>
              </w:rPr>
              <w:t>Opinión técnica.</w:t>
            </w:r>
          </w:p>
        </w:tc>
      </w:tr>
    </w:tbl>
    <w:p>
      <w:pPr>
        <w:spacing w:line="376" w:lineRule="auto" w:before="144"/>
        <w:ind w:left="268" w:right="241" w:firstLine="0"/>
        <w:jc w:val="left"/>
        <w:rPr>
          <w:sz w:val="21"/>
        </w:rPr>
      </w:pPr>
      <w:r>
        <w:rPr>
          <w:w w:val="105"/>
          <w:sz w:val="21"/>
        </w:rPr>
        <w:t>Fuente: Elaboración propia, con base en el Libro Quinto del Código Administrativo del Estado de México, artículos 5.13, 5.14 y 5.15 y al Reglamento del Libro Quinto, artículos 17 y 18.</w:t>
      </w:r>
    </w:p>
    <w:p>
      <w:pPr>
        <w:spacing w:after="0" w:line="376" w:lineRule="auto"/>
        <w:jc w:val="left"/>
        <w:rPr>
          <w:sz w:val="21"/>
        </w:rPr>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5440" from="93.199997pt,-19.614155pt" to="546.799997pt,-19.614155pt" stroked="true" strokeweight=".479981pt" strokecolor="#000000">
            <w10:wrap type="none"/>
          </v:line>
        </w:pict>
      </w:r>
      <w:r>
        <w:rPr/>
        <w:t>La participación de diferentes instancias en la CEDUV está ligada al tipo de actividad y/o proyecto a ser analizado, la tabla 10 muestra de manera general la forma ordinaria en que se organiza la comisión; sin embargo, cuando la comisión sesiona ésta puede ser integrada por dependencias de gobierno especialistas o determinadas por la misma comisión. En relación a la participación de las diferentes instancias gubernamentales éstas deben emitir un documento oficial el cual puede ser favorable o negativo con base a las características propias del proyecto y a la evaluación interinstitucional del mismo.</w:t>
      </w:r>
    </w:p>
    <w:p>
      <w:pPr>
        <w:pStyle w:val="BodyText"/>
        <w:spacing w:line="360" w:lineRule="auto" w:before="127"/>
        <w:ind w:left="268" w:right="231"/>
        <w:jc w:val="both"/>
      </w:pPr>
      <w:r>
        <w:rPr/>
        <w:t>El marco normativo que otorga el fundamento legal a las acciones realizadas por  la SEDUM a título personal o a través de la CEDUV y de la DGOU para distintas actividades y en especial para la autorización de conjunto urbanos se fundamenta en varias leyes, códigos, reglamentos y disposiciones, conforme al proyecto en cuestión (ver tabla 11). Sin embargo, para la autorización de conjuntos urbanos el fundamento legal de mayor peso se encuentra en el Código Administrativo del Estado de México (CA), con énfasis en el Libro Quinto (L5to) y en el reglamento del libro quinto. (RL5to)</w:t>
      </w:r>
    </w:p>
    <w:p>
      <w:pPr>
        <w:pStyle w:val="BodyText"/>
        <w:spacing w:line="360" w:lineRule="auto" w:before="122"/>
        <w:ind w:left="268" w:right="231"/>
        <w:jc w:val="both"/>
      </w:pPr>
      <w:r>
        <w:rPr/>
        <w:t>Carrillo (2014) menciona las diferencias que existen en la normatividad y términos legislativos entre algunas normas en el ámbito federal y estatal, entre el marco normativo que refiere se encuentran el Código Administrativo del Estado de México y algunos de sus libros los cuales tienen relación con la sustentabilidad y  la administración urbana, de manera distante y heterogénea el término de sustentabilidad trastoca elementos generales referentes a la sostenibilidad y éstos se mencionan de manera breve, sin ser de fondo la conceptualización en la aplicación de determinadas normas.</w:t>
      </w:r>
    </w:p>
    <w:p>
      <w:pPr>
        <w:spacing w:after="0" w:line="360" w:lineRule="auto"/>
        <w:jc w:val="both"/>
        <w:sectPr>
          <w:pgSz w:w="12240" w:h="15840"/>
          <w:pgMar w:header="730" w:footer="1066" w:top="1320" w:bottom="1260" w:left="1720" w:right="1180"/>
        </w:sectPr>
      </w:pPr>
    </w:p>
    <w:p>
      <w:pPr>
        <w:pStyle w:val="BodyText"/>
        <w:rPr>
          <w:sz w:val="20"/>
        </w:rPr>
      </w:pPr>
    </w:p>
    <w:p>
      <w:pPr>
        <w:pStyle w:val="BodyText"/>
        <w:rPr>
          <w:sz w:val="20"/>
        </w:rPr>
      </w:pPr>
    </w:p>
    <w:p>
      <w:pPr>
        <w:pStyle w:val="BodyText"/>
        <w:spacing w:before="5"/>
      </w:pPr>
    </w:p>
    <w:p>
      <w:pPr>
        <w:pStyle w:val="BodyText"/>
        <w:spacing w:before="69" w:after="12"/>
        <w:ind w:left="268"/>
      </w:pPr>
      <w:r>
        <w:rPr/>
        <w:pict>
          <v:line style="position:absolute;mso-position-horizontal-relative:page;mso-position-vertical-relative:paragraph;z-index:5464" from="93.199997pt,-46.254108pt" to="546.799997pt,-46.254108pt" stroked="true" strokeweight=".479981pt" strokecolor="#000000">
            <w10:wrap type="none"/>
          </v:line>
        </w:pict>
      </w:r>
      <w:r>
        <w:rPr/>
        <w:t>Tabla 11. Marco normativo para conjuntos urbanos en el Estado de México.</w:t>
      </w:r>
    </w:p>
    <w:tbl>
      <w:tblPr>
        <w:tblCellSpacing w:w="7" w:type="dxa"/>
        <w:tblW w:w="0" w:type="auto"/>
        <w:jc w:val="left"/>
        <w:tblInd w:w="55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51"/>
        <w:gridCol w:w="1699"/>
        <w:gridCol w:w="3970"/>
      </w:tblGrid>
      <w:tr>
        <w:trPr>
          <w:trHeight w:val="1030" w:hRule="exact"/>
        </w:trPr>
        <w:tc>
          <w:tcPr>
            <w:tcW w:w="8220" w:type="dxa"/>
            <w:gridSpan w:val="3"/>
            <w:tcBorders>
              <w:bottom w:val="nil"/>
            </w:tcBorders>
            <w:shd w:val="clear" w:color="auto" w:fill="000000"/>
          </w:tcPr>
          <w:p>
            <w:pPr>
              <w:pStyle w:val="TableParagraph"/>
              <w:spacing w:line="252" w:lineRule="auto" w:before="177"/>
              <w:ind w:left="2034" w:right="2039"/>
              <w:rPr>
                <w:sz w:val="19"/>
              </w:rPr>
            </w:pPr>
            <w:r>
              <w:rPr>
                <w:color w:val="FFFFFF"/>
                <w:w w:val="105"/>
                <w:sz w:val="19"/>
              </w:rPr>
              <w:t>Marco normativo que fundamenta las acciones para la autorización de conjuntos urbanos (Estado de México).</w:t>
            </w:r>
          </w:p>
        </w:tc>
      </w:tr>
      <w:tr>
        <w:trPr>
          <w:trHeight w:val="206" w:hRule="exact"/>
        </w:trPr>
        <w:tc>
          <w:tcPr>
            <w:tcW w:w="2551" w:type="dxa"/>
            <w:tcBorders>
              <w:top w:val="nil"/>
              <w:bottom w:val="nil"/>
              <w:right w:val="nil"/>
            </w:tcBorders>
            <w:shd w:val="clear" w:color="auto" w:fill="808080"/>
          </w:tcPr>
          <w:p>
            <w:pPr>
              <w:pStyle w:val="TableParagraph"/>
              <w:spacing w:before="8"/>
              <w:ind w:left="392" w:right="392"/>
              <w:rPr>
                <w:sz w:val="17"/>
              </w:rPr>
            </w:pPr>
            <w:r>
              <w:rPr>
                <w:color w:val="FFFFFF"/>
                <w:w w:val="105"/>
                <w:sz w:val="17"/>
              </w:rPr>
              <w:t>Norma</w:t>
            </w:r>
          </w:p>
        </w:tc>
        <w:tc>
          <w:tcPr>
            <w:tcW w:w="1699" w:type="dxa"/>
            <w:tcBorders>
              <w:top w:val="nil"/>
              <w:left w:val="nil"/>
              <w:bottom w:val="nil"/>
              <w:right w:val="nil"/>
            </w:tcBorders>
            <w:shd w:val="clear" w:color="auto" w:fill="808080"/>
          </w:tcPr>
          <w:p>
            <w:pPr>
              <w:pStyle w:val="TableParagraph"/>
              <w:spacing w:before="8"/>
              <w:ind w:left="513"/>
              <w:jc w:val="left"/>
              <w:rPr>
                <w:sz w:val="17"/>
              </w:rPr>
            </w:pPr>
            <w:r>
              <w:rPr>
                <w:color w:val="FFFFFF"/>
                <w:w w:val="105"/>
                <w:sz w:val="17"/>
              </w:rPr>
              <w:t>Término</w:t>
            </w:r>
          </w:p>
        </w:tc>
        <w:tc>
          <w:tcPr>
            <w:tcW w:w="3970" w:type="dxa"/>
            <w:tcBorders>
              <w:top w:val="nil"/>
              <w:left w:val="nil"/>
              <w:bottom w:val="nil"/>
            </w:tcBorders>
            <w:shd w:val="clear" w:color="auto" w:fill="808080"/>
          </w:tcPr>
          <w:p>
            <w:pPr>
              <w:pStyle w:val="TableParagraph"/>
              <w:spacing w:before="8"/>
              <w:ind w:left="1623" w:right="1630"/>
              <w:rPr>
                <w:sz w:val="17"/>
              </w:rPr>
            </w:pPr>
            <w:r>
              <w:rPr>
                <w:color w:val="FFFFFF"/>
                <w:w w:val="105"/>
                <w:sz w:val="17"/>
              </w:rPr>
              <w:t>Mención</w:t>
            </w:r>
          </w:p>
        </w:tc>
      </w:tr>
      <w:tr>
        <w:trPr>
          <w:trHeight w:val="1037" w:hRule="exact"/>
        </w:trPr>
        <w:tc>
          <w:tcPr>
            <w:tcW w:w="2551" w:type="dxa"/>
            <w:tcBorders>
              <w:top w:val="nil"/>
              <w:bottom w:val="nil"/>
              <w:right w:val="nil"/>
            </w:tcBorders>
            <w:shd w:val="clear" w:color="auto" w:fill="F3F3F3"/>
          </w:tcPr>
          <w:p>
            <w:pPr>
              <w:pStyle w:val="TableParagraph"/>
              <w:jc w:val="left"/>
              <w:rPr>
                <w:sz w:val="18"/>
              </w:rPr>
            </w:pPr>
          </w:p>
          <w:p>
            <w:pPr>
              <w:pStyle w:val="TableParagraph"/>
              <w:spacing w:line="254" w:lineRule="auto" w:before="113"/>
              <w:ind w:left="532" w:hanging="381"/>
              <w:jc w:val="left"/>
              <w:rPr>
                <w:sz w:val="17"/>
              </w:rPr>
            </w:pPr>
            <w:r>
              <w:rPr>
                <w:w w:val="105"/>
                <w:sz w:val="17"/>
              </w:rPr>
              <w:t>Código de Biodiversidad del Estado de México.</w:t>
            </w:r>
          </w:p>
        </w:tc>
        <w:tc>
          <w:tcPr>
            <w:tcW w:w="1699" w:type="dxa"/>
            <w:tcBorders>
              <w:top w:val="nil"/>
              <w:left w:val="nil"/>
              <w:bottom w:val="nil"/>
              <w:right w:val="nil"/>
            </w:tcBorders>
            <w:shd w:val="clear" w:color="auto" w:fill="F3F3F3"/>
          </w:tcPr>
          <w:p>
            <w:pPr>
              <w:pStyle w:val="TableParagraph"/>
              <w:jc w:val="left"/>
              <w:rPr>
                <w:sz w:val="18"/>
              </w:rPr>
            </w:pPr>
          </w:p>
          <w:p>
            <w:pPr>
              <w:pStyle w:val="TableParagraph"/>
              <w:spacing w:before="7"/>
              <w:jc w:val="left"/>
              <w:rPr>
                <w:sz w:val="18"/>
              </w:rPr>
            </w:pPr>
          </w:p>
          <w:p>
            <w:pPr>
              <w:pStyle w:val="TableParagraph"/>
              <w:ind w:right="420"/>
              <w:jc w:val="right"/>
              <w:rPr>
                <w:sz w:val="17"/>
              </w:rPr>
            </w:pPr>
            <w:r>
              <w:rPr>
                <w:w w:val="105"/>
                <w:sz w:val="17"/>
              </w:rPr>
              <w:t>Sostenible</w:t>
            </w:r>
          </w:p>
        </w:tc>
        <w:tc>
          <w:tcPr>
            <w:tcW w:w="3970" w:type="dxa"/>
            <w:tcBorders>
              <w:top w:val="nil"/>
              <w:left w:val="nil"/>
              <w:bottom w:val="nil"/>
            </w:tcBorders>
            <w:shd w:val="clear" w:color="auto" w:fill="F3F3F3"/>
          </w:tcPr>
          <w:p>
            <w:pPr>
              <w:pStyle w:val="TableParagraph"/>
              <w:spacing w:line="254" w:lineRule="auto" w:before="8"/>
              <w:ind w:left="100" w:right="148"/>
              <w:jc w:val="left"/>
              <w:rPr>
                <w:sz w:val="17"/>
              </w:rPr>
            </w:pPr>
            <w:r>
              <w:rPr>
                <w:w w:val="105"/>
                <w:sz w:val="17"/>
              </w:rPr>
              <w:t>Se crea por la inadecuada función del libro 4to del código administrativo del Estado de México. Y éste hace referencia al </w:t>
            </w:r>
            <w:r>
              <w:rPr>
                <w:i/>
                <w:w w:val="105"/>
                <w:sz w:val="17"/>
              </w:rPr>
              <w:t>Fomento al </w:t>
            </w:r>
            <w:r>
              <w:rPr>
                <w:i/>
                <w:w w:val="105"/>
                <w:sz w:val="17"/>
              </w:rPr>
              <w:t>desarrollo sostenible </w:t>
            </w:r>
            <w:r>
              <w:rPr>
                <w:w w:val="105"/>
                <w:sz w:val="17"/>
              </w:rPr>
              <w:t>en materia de biodiversidad y aspectos del medio</w:t>
            </w:r>
            <w:r>
              <w:rPr>
                <w:spacing w:val="18"/>
                <w:w w:val="105"/>
                <w:sz w:val="17"/>
              </w:rPr>
              <w:t> </w:t>
            </w:r>
            <w:r>
              <w:rPr>
                <w:w w:val="105"/>
                <w:sz w:val="17"/>
              </w:rPr>
              <w:t>ambiente.</w:t>
            </w:r>
          </w:p>
        </w:tc>
      </w:tr>
      <w:tr>
        <w:trPr>
          <w:trHeight w:val="619" w:hRule="exact"/>
        </w:trPr>
        <w:tc>
          <w:tcPr>
            <w:tcW w:w="2551" w:type="dxa"/>
            <w:tcBorders>
              <w:top w:val="nil"/>
              <w:bottom w:val="nil"/>
              <w:right w:val="nil"/>
            </w:tcBorders>
            <w:shd w:val="clear" w:color="auto" w:fill="E0E0E0"/>
          </w:tcPr>
          <w:p>
            <w:pPr>
              <w:pStyle w:val="TableParagraph"/>
              <w:spacing w:line="254" w:lineRule="auto" w:before="8"/>
              <w:ind w:left="397" w:right="392"/>
              <w:rPr>
                <w:sz w:val="17"/>
              </w:rPr>
            </w:pPr>
            <w:r>
              <w:rPr>
                <w:w w:val="105"/>
                <w:sz w:val="17"/>
              </w:rPr>
              <w:t>Ley de planeación del Estado de México y Municipios</w:t>
            </w:r>
          </w:p>
        </w:tc>
        <w:tc>
          <w:tcPr>
            <w:tcW w:w="1699" w:type="dxa"/>
            <w:tcBorders>
              <w:top w:val="nil"/>
              <w:left w:val="nil"/>
              <w:bottom w:val="nil"/>
              <w:right w:val="nil"/>
            </w:tcBorders>
            <w:shd w:val="clear" w:color="auto" w:fill="E0E0E0"/>
          </w:tcPr>
          <w:p>
            <w:pPr>
              <w:pStyle w:val="TableParagraph"/>
              <w:spacing w:line="254" w:lineRule="auto" w:before="109"/>
              <w:ind w:left="202" w:firstLine="160"/>
              <w:jc w:val="left"/>
              <w:rPr>
                <w:sz w:val="17"/>
              </w:rPr>
            </w:pPr>
            <w:r>
              <w:rPr>
                <w:w w:val="105"/>
                <w:sz w:val="17"/>
              </w:rPr>
              <w:t>Desarrollo y Medio ambiente</w:t>
            </w:r>
          </w:p>
        </w:tc>
        <w:tc>
          <w:tcPr>
            <w:tcW w:w="3970" w:type="dxa"/>
            <w:tcBorders>
              <w:top w:val="nil"/>
              <w:left w:val="nil"/>
              <w:bottom w:val="nil"/>
            </w:tcBorders>
            <w:shd w:val="clear" w:color="auto" w:fill="E0E0E0"/>
          </w:tcPr>
          <w:p>
            <w:pPr>
              <w:pStyle w:val="TableParagraph"/>
              <w:spacing w:line="254" w:lineRule="auto" w:before="109"/>
              <w:ind w:left="100" w:right="108"/>
              <w:jc w:val="left"/>
              <w:rPr>
                <w:sz w:val="17"/>
              </w:rPr>
            </w:pPr>
            <w:r>
              <w:rPr>
                <w:w w:val="105"/>
                <w:sz w:val="17"/>
              </w:rPr>
              <w:t>La planeación considerar el medio ambiente. Art. 4.</w:t>
            </w:r>
          </w:p>
        </w:tc>
      </w:tr>
      <w:tr>
        <w:trPr>
          <w:trHeight w:val="624" w:hRule="exact"/>
        </w:trPr>
        <w:tc>
          <w:tcPr>
            <w:tcW w:w="2551" w:type="dxa"/>
            <w:tcBorders>
              <w:top w:val="nil"/>
              <w:bottom w:val="nil"/>
              <w:right w:val="nil"/>
            </w:tcBorders>
            <w:shd w:val="clear" w:color="auto" w:fill="F3F3F3"/>
          </w:tcPr>
          <w:p>
            <w:pPr>
              <w:pStyle w:val="TableParagraph"/>
              <w:spacing w:line="254" w:lineRule="auto" w:before="8"/>
              <w:ind w:left="132" w:right="128"/>
              <w:rPr>
                <w:sz w:val="17"/>
              </w:rPr>
            </w:pPr>
            <w:r>
              <w:rPr>
                <w:w w:val="105"/>
                <w:sz w:val="17"/>
              </w:rPr>
              <w:t>Libro 4to del Código Administrativo del Estado de México. (CA).</w:t>
            </w:r>
          </w:p>
        </w:tc>
        <w:tc>
          <w:tcPr>
            <w:tcW w:w="1699" w:type="dxa"/>
            <w:tcBorders>
              <w:top w:val="nil"/>
              <w:left w:val="nil"/>
              <w:bottom w:val="nil"/>
              <w:right w:val="nil"/>
            </w:tcBorders>
            <w:shd w:val="clear" w:color="auto" w:fill="F3F3F3"/>
          </w:tcPr>
          <w:p>
            <w:pPr>
              <w:pStyle w:val="TableParagraph"/>
              <w:spacing w:before="7"/>
              <w:jc w:val="left"/>
              <w:rPr>
                <w:sz w:val="18"/>
              </w:rPr>
            </w:pPr>
          </w:p>
          <w:p>
            <w:pPr>
              <w:pStyle w:val="TableParagraph"/>
              <w:spacing w:before="1"/>
              <w:ind w:right="365"/>
              <w:jc w:val="right"/>
              <w:rPr>
                <w:sz w:val="17"/>
              </w:rPr>
            </w:pPr>
            <w:r>
              <w:rPr>
                <w:w w:val="105"/>
                <w:sz w:val="17"/>
              </w:rPr>
              <w:t>Sustentable</w:t>
            </w:r>
          </w:p>
        </w:tc>
        <w:tc>
          <w:tcPr>
            <w:tcW w:w="3970" w:type="dxa"/>
            <w:tcBorders>
              <w:top w:val="nil"/>
              <w:left w:val="nil"/>
              <w:bottom w:val="nil"/>
            </w:tcBorders>
            <w:shd w:val="clear" w:color="auto" w:fill="F3F3F3"/>
          </w:tcPr>
          <w:p>
            <w:pPr>
              <w:pStyle w:val="TableParagraph"/>
              <w:spacing w:before="7"/>
              <w:jc w:val="left"/>
              <w:rPr>
                <w:sz w:val="18"/>
              </w:rPr>
            </w:pPr>
          </w:p>
          <w:p>
            <w:pPr>
              <w:pStyle w:val="TableParagraph"/>
              <w:spacing w:before="1"/>
              <w:ind w:left="100" w:right="108"/>
              <w:jc w:val="left"/>
              <w:rPr>
                <w:sz w:val="17"/>
              </w:rPr>
            </w:pPr>
            <w:r>
              <w:rPr>
                <w:w w:val="105"/>
                <w:sz w:val="17"/>
              </w:rPr>
              <w:t>Referente al turismo.</w:t>
            </w:r>
          </w:p>
        </w:tc>
      </w:tr>
      <w:tr>
        <w:trPr>
          <w:trHeight w:val="1032" w:hRule="exact"/>
        </w:trPr>
        <w:tc>
          <w:tcPr>
            <w:tcW w:w="2551" w:type="dxa"/>
            <w:tcBorders>
              <w:top w:val="nil"/>
              <w:bottom w:val="nil"/>
              <w:right w:val="nil"/>
            </w:tcBorders>
            <w:shd w:val="clear" w:color="auto" w:fill="E0E0E0"/>
          </w:tcPr>
          <w:p>
            <w:pPr>
              <w:pStyle w:val="TableParagraph"/>
              <w:jc w:val="left"/>
              <w:rPr>
                <w:sz w:val="18"/>
              </w:rPr>
            </w:pPr>
          </w:p>
          <w:p>
            <w:pPr>
              <w:pStyle w:val="TableParagraph"/>
              <w:spacing w:before="7"/>
              <w:jc w:val="left"/>
              <w:rPr>
                <w:sz w:val="18"/>
              </w:rPr>
            </w:pPr>
          </w:p>
          <w:p>
            <w:pPr>
              <w:pStyle w:val="TableParagraph"/>
              <w:ind w:left="393" w:right="392"/>
              <w:rPr>
                <w:sz w:val="17"/>
              </w:rPr>
            </w:pPr>
            <w:r>
              <w:rPr>
                <w:w w:val="105"/>
                <w:sz w:val="17"/>
              </w:rPr>
              <w:t>Libro 5to del CA.</w:t>
            </w:r>
          </w:p>
        </w:tc>
        <w:tc>
          <w:tcPr>
            <w:tcW w:w="1699" w:type="dxa"/>
            <w:tcBorders>
              <w:top w:val="nil"/>
              <w:left w:val="nil"/>
              <w:bottom w:val="nil"/>
              <w:right w:val="nil"/>
            </w:tcBorders>
            <w:shd w:val="clear" w:color="auto" w:fill="E0E0E0"/>
          </w:tcPr>
          <w:p>
            <w:pPr>
              <w:pStyle w:val="TableParagraph"/>
              <w:jc w:val="left"/>
              <w:rPr>
                <w:sz w:val="18"/>
              </w:rPr>
            </w:pPr>
          </w:p>
          <w:p>
            <w:pPr>
              <w:pStyle w:val="TableParagraph"/>
              <w:spacing w:line="254" w:lineRule="auto" w:before="108"/>
              <w:ind w:left="242" w:firstLine="55"/>
              <w:jc w:val="left"/>
              <w:rPr>
                <w:sz w:val="17"/>
              </w:rPr>
            </w:pPr>
            <w:r>
              <w:rPr>
                <w:w w:val="105"/>
                <w:sz w:val="17"/>
              </w:rPr>
              <w:t>Sustentable y sustentabilidad</w:t>
            </w:r>
          </w:p>
        </w:tc>
        <w:tc>
          <w:tcPr>
            <w:tcW w:w="3970" w:type="dxa"/>
            <w:tcBorders>
              <w:top w:val="nil"/>
              <w:left w:val="nil"/>
              <w:bottom w:val="nil"/>
            </w:tcBorders>
            <w:shd w:val="clear" w:color="auto" w:fill="E0E0E0"/>
          </w:tcPr>
          <w:p>
            <w:pPr>
              <w:pStyle w:val="TableParagraph"/>
              <w:spacing w:line="254" w:lineRule="auto" w:before="8"/>
              <w:ind w:left="100" w:right="108"/>
              <w:jc w:val="left"/>
              <w:rPr>
                <w:sz w:val="17"/>
              </w:rPr>
            </w:pPr>
            <w:r>
              <w:rPr>
                <w:w w:val="105"/>
                <w:sz w:val="17"/>
              </w:rPr>
              <w:t>Se incluye el término de desarrollo urbano sustentable y la sustentabilidad ambiental de los centros de población. El término se maneja de manera generalizada en los siguientes artículos 5.1, 5.2, 5.12, 5.16, 5.19 y 5.28.</w:t>
            </w:r>
          </w:p>
        </w:tc>
      </w:tr>
      <w:tr>
        <w:trPr>
          <w:trHeight w:val="830" w:hRule="exact"/>
        </w:trPr>
        <w:tc>
          <w:tcPr>
            <w:tcW w:w="2551" w:type="dxa"/>
            <w:tcBorders>
              <w:top w:val="nil"/>
              <w:bottom w:val="nil"/>
              <w:right w:val="nil"/>
            </w:tcBorders>
            <w:shd w:val="clear" w:color="auto" w:fill="F3F3F3"/>
          </w:tcPr>
          <w:p>
            <w:pPr>
              <w:pStyle w:val="TableParagraph"/>
              <w:jc w:val="left"/>
              <w:rPr>
                <w:sz w:val="18"/>
              </w:rPr>
            </w:pPr>
          </w:p>
          <w:p>
            <w:pPr>
              <w:pStyle w:val="TableParagraph"/>
              <w:spacing w:before="113"/>
              <w:ind w:left="394" w:right="392"/>
              <w:rPr>
                <w:sz w:val="17"/>
              </w:rPr>
            </w:pPr>
            <w:r>
              <w:rPr>
                <w:w w:val="105"/>
                <w:sz w:val="17"/>
              </w:rPr>
              <w:t>Reglamento del L5to.</w:t>
            </w:r>
          </w:p>
        </w:tc>
        <w:tc>
          <w:tcPr>
            <w:tcW w:w="1699" w:type="dxa"/>
            <w:tcBorders>
              <w:top w:val="nil"/>
              <w:left w:val="nil"/>
              <w:bottom w:val="nil"/>
              <w:right w:val="nil"/>
            </w:tcBorders>
            <w:shd w:val="clear" w:color="auto" w:fill="F3F3F3"/>
          </w:tcPr>
          <w:p>
            <w:pPr>
              <w:pStyle w:val="TableParagraph"/>
              <w:jc w:val="left"/>
              <w:rPr>
                <w:sz w:val="18"/>
              </w:rPr>
            </w:pPr>
          </w:p>
          <w:p>
            <w:pPr>
              <w:pStyle w:val="TableParagraph"/>
              <w:spacing w:before="113"/>
              <w:ind w:right="365"/>
              <w:jc w:val="right"/>
              <w:rPr>
                <w:sz w:val="17"/>
              </w:rPr>
            </w:pPr>
            <w:r>
              <w:rPr>
                <w:w w:val="105"/>
                <w:sz w:val="17"/>
              </w:rPr>
              <w:t>Sustentable</w:t>
            </w:r>
          </w:p>
        </w:tc>
        <w:tc>
          <w:tcPr>
            <w:tcW w:w="3970" w:type="dxa"/>
            <w:tcBorders>
              <w:top w:val="nil"/>
              <w:left w:val="nil"/>
              <w:bottom w:val="nil"/>
            </w:tcBorders>
            <w:shd w:val="clear" w:color="auto" w:fill="F3F3F3"/>
          </w:tcPr>
          <w:p>
            <w:pPr>
              <w:pStyle w:val="TableParagraph"/>
              <w:spacing w:line="254" w:lineRule="auto" w:before="8"/>
              <w:ind w:left="100" w:right="108"/>
              <w:jc w:val="left"/>
              <w:rPr>
                <w:sz w:val="17"/>
              </w:rPr>
            </w:pPr>
            <w:r>
              <w:rPr>
                <w:w w:val="105"/>
                <w:sz w:val="17"/>
              </w:rPr>
              <w:t>Referente a los conjuntos urbanos de tipo residencial campestre. Refiere a un programa de desarrollo sustentable que aprobará otra instancia.</w:t>
            </w:r>
          </w:p>
        </w:tc>
      </w:tr>
      <w:tr>
        <w:trPr>
          <w:trHeight w:val="413" w:hRule="exact"/>
        </w:trPr>
        <w:tc>
          <w:tcPr>
            <w:tcW w:w="2551" w:type="dxa"/>
            <w:tcBorders>
              <w:top w:val="nil"/>
              <w:bottom w:val="nil"/>
              <w:right w:val="nil"/>
            </w:tcBorders>
            <w:shd w:val="clear" w:color="auto" w:fill="E0E0E0"/>
          </w:tcPr>
          <w:p>
            <w:pPr>
              <w:pStyle w:val="TableParagraph"/>
              <w:spacing w:before="114"/>
              <w:ind w:left="393" w:right="392"/>
              <w:rPr>
                <w:sz w:val="17"/>
              </w:rPr>
            </w:pPr>
            <w:r>
              <w:rPr>
                <w:w w:val="105"/>
                <w:sz w:val="17"/>
              </w:rPr>
              <w:t>Libro 6to. CA.</w:t>
            </w:r>
          </w:p>
        </w:tc>
        <w:tc>
          <w:tcPr>
            <w:tcW w:w="1699" w:type="dxa"/>
            <w:tcBorders>
              <w:top w:val="nil"/>
              <w:left w:val="nil"/>
              <w:bottom w:val="nil"/>
              <w:right w:val="nil"/>
            </w:tcBorders>
            <w:shd w:val="clear" w:color="auto" w:fill="E0E0E0"/>
          </w:tcPr>
          <w:p>
            <w:pPr>
              <w:pStyle w:val="TableParagraph"/>
              <w:spacing w:before="114"/>
              <w:ind w:right="420"/>
              <w:jc w:val="right"/>
              <w:rPr>
                <w:sz w:val="17"/>
              </w:rPr>
            </w:pPr>
            <w:r>
              <w:rPr>
                <w:w w:val="105"/>
                <w:sz w:val="17"/>
              </w:rPr>
              <w:t>Sostenible</w:t>
            </w:r>
          </w:p>
        </w:tc>
        <w:tc>
          <w:tcPr>
            <w:tcW w:w="3970" w:type="dxa"/>
            <w:tcBorders>
              <w:top w:val="nil"/>
              <w:left w:val="nil"/>
              <w:bottom w:val="nil"/>
            </w:tcBorders>
            <w:shd w:val="clear" w:color="auto" w:fill="E0E0E0"/>
          </w:tcPr>
          <w:p>
            <w:pPr>
              <w:pStyle w:val="TableParagraph"/>
              <w:spacing w:line="254" w:lineRule="auto" w:before="8"/>
              <w:ind w:left="100" w:right="108"/>
              <w:jc w:val="left"/>
              <w:rPr>
                <w:sz w:val="17"/>
              </w:rPr>
            </w:pPr>
            <w:r>
              <w:rPr>
                <w:w w:val="105"/>
                <w:sz w:val="17"/>
              </w:rPr>
              <w:t>Referente a los proyectos en materia de protección civil.</w:t>
            </w:r>
          </w:p>
        </w:tc>
      </w:tr>
      <w:tr>
        <w:trPr>
          <w:trHeight w:val="283" w:hRule="exact"/>
        </w:trPr>
        <w:tc>
          <w:tcPr>
            <w:tcW w:w="2551" w:type="dxa"/>
            <w:tcBorders>
              <w:top w:val="nil"/>
              <w:bottom w:val="nil"/>
              <w:right w:val="nil"/>
            </w:tcBorders>
            <w:shd w:val="clear" w:color="auto" w:fill="F3F3F3"/>
          </w:tcPr>
          <w:p>
            <w:pPr>
              <w:pStyle w:val="TableParagraph"/>
              <w:spacing w:before="47"/>
              <w:ind w:left="393" w:right="392"/>
              <w:rPr>
                <w:sz w:val="17"/>
              </w:rPr>
            </w:pPr>
            <w:r>
              <w:rPr>
                <w:w w:val="105"/>
                <w:sz w:val="17"/>
              </w:rPr>
              <w:t>Libro 7mo CA.</w:t>
            </w:r>
          </w:p>
        </w:tc>
        <w:tc>
          <w:tcPr>
            <w:tcW w:w="1699" w:type="dxa"/>
            <w:tcBorders>
              <w:top w:val="nil"/>
              <w:left w:val="nil"/>
              <w:bottom w:val="nil"/>
              <w:right w:val="nil"/>
            </w:tcBorders>
            <w:shd w:val="clear" w:color="auto" w:fill="F3F3F3"/>
          </w:tcPr>
          <w:p>
            <w:pPr>
              <w:pStyle w:val="TableParagraph"/>
              <w:spacing w:before="47"/>
              <w:ind w:right="365"/>
              <w:jc w:val="right"/>
              <w:rPr>
                <w:sz w:val="17"/>
              </w:rPr>
            </w:pPr>
            <w:r>
              <w:rPr>
                <w:w w:val="105"/>
                <w:sz w:val="17"/>
              </w:rPr>
              <w:t>Sustentable</w:t>
            </w:r>
          </w:p>
        </w:tc>
        <w:tc>
          <w:tcPr>
            <w:tcW w:w="3970" w:type="dxa"/>
            <w:tcBorders>
              <w:top w:val="nil"/>
              <w:left w:val="nil"/>
              <w:bottom w:val="nil"/>
            </w:tcBorders>
            <w:shd w:val="clear" w:color="auto" w:fill="F3F3F3"/>
          </w:tcPr>
          <w:p>
            <w:pPr>
              <w:pStyle w:val="TableParagraph"/>
              <w:spacing w:before="47"/>
              <w:ind w:left="100" w:right="108"/>
              <w:jc w:val="left"/>
              <w:rPr>
                <w:sz w:val="17"/>
              </w:rPr>
            </w:pPr>
            <w:r>
              <w:rPr>
                <w:w w:val="105"/>
                <w:sz w:val="17"/>
              </w:rPr>
              <w:t>Transporte público de manera general.</w:t>
            </w:r>
          </w:p>
        </w:tc>
      </w:tr>
      <w:tr>
        <w:trPr>
          <w:trHeight w:val="554" w:hRule="exact"/>
        </w:trPr>
        <w:tc>
          <w:tcPr>
            <w:tcW w:w="2551" w:type="dxa"/>
            <w:tcBorders>
              <w:top w:val="nil"/>
              <w:bottom w:val="nil"/>
              <w:right w:val="nil"/>
            </w:tcBorders>
            <w:shd w:val="clear" w:color="auto" w:fill="E0E0E0"/>
          </w:tcPr>
          <w:p>
            <w:pPr>
              <w:pStyle w:val="TableParagraph"/>
              <w:spacing w:before="8"/>
              <w:jc w:val="left"/>
              <w:rPr>
                <w:sz w:val="15"/>
              </w:rPr>
            </w:pPr>
          </w:p>
          <w:p>
            <w:pPr>
              <w:pStyle w:val="TableParagraph"/>
              <w:spacing w:before="1"/>
              <w:ind w:left="393" w:right="392"/>
              <w:rPr>
                <w:sz w:val="17"/>
              </w:rPr>
            </w:pPr>
            <w:r>
              <w:rPr>
                <w:w w:val="105"/>
                <w:sz w:val="17"/>
              </w:rPr>
              <w:t>Libro 8vo CA.</w:t>
            </w:r>
          </w:p>
        </w:tc>
        <w:tc>
          <w:tcPr>
            <w:tcW w:w="1699" w:type="dxa"/>
            <w:tcBorders>
              <w:top w:val="nil"/>
              <w:left w:val="nil"/>
              <w:bottom w:val="nil"/>
              <w:right w:val="nil"/>
            </w:tcBorders>
            <w:shd w:val="clear" w:color="auto" w:fill="E0E0E0"/>
          </w:tcPr>
          <w:p>
            <w:pPr>
              <w:pStyle w:val="TableParagraph"/>
              <w:spacing w:before="8"/>
              <w:jc w:val="left"/>
              <w:rPr>
                <w:sz w:val="15"/>
              </w:rPr>
            </w:pPr>
          </w:p>
          <w:p>
            <w:pPr>
              <w:pStyle w:val="TableParagraph"/>
              <w:spacing w:before="1"/>
              <w:ind w:right="365"/>
              <w:jc w:val="right"/>
              <w:rPr>
                <w:sz w:val="17"/>
              </w:rPr>
            </w:pPr>
            <w:r>
              <w:rPr>
                <w:w w:val="105"/>
                <w:sz w:val="17"/>
              </w:rPr>
              <w:t>Sustentable</w:t>
            </w:r>
          </w:p>
        </w:tc>
        <w:tc>
          <w:tcPr>
            <w:tcW w:w="3970" w:type="dxa"/>
            <w:tcBorders>
              <w:top w:val="nil"/>
              <w:left w:val="nil"/>
              <w:bottom w:val="nil"/>
            </w:tcBorders>
            <w:shd w:val="clear" w:color="auto" w:fill="E0E0E0"/>
          </w:tcPr>
          <w:p>
            <w:pPr>
              <w:pStyle w:val="TableParagraph"/>
              <w:spacing w:line="254" w:lineRule="auto" w:before="80"/>
              <w:ind w:left="100" w:right="108"/>
              <w:jc w:val="left"/>
              <w:rPr>
                <w:sz w:val="17"/>
              </w:rPr>
            </w:pPr>
            <w:r>
              <w:rPr>
                <w:w w:val="105"/>
                <w:sz w:val="17"/>
              </w:rPr>
              <w:t>Fomento y desarrollo agropecuario y acuícola. Lo menciona de manera general.</w:t>
            </w:r>
          </w:p>
        </w:tc>
      </w:tr>
      <w:tr>
        <w:trPr>
          <w:trHeight w:val="266" w:hRule="exact"/>
        </w:trPr>
        <w:tc>
          <w:tcPr>
            <w:tcW w:w="2551" w:type="dxa"/>
            <w:tcBorders>
              <w:top w:val="nil"/>
              <w:bottom w:val="nil"/>
              <w:right w:val="nil"/>
            </w:tcBorders>
            <w:shd w:val="clear" w:color="auto" w:fill="F3F3F3"/>
          </w:tcPr>
          <w:p>
            <w:pPr>
              <w:pStyle w:val="TableParagraph"/>
              <w:spacing w:before="37"/>
              <w:ind w:left="393" w:right="392"/>
              <w:rPr>
                <w:sz w:val="17"/>
              </w:rPr>
            </w:pPr>
            <w:r>
              <w:rPr>
                <w:w w:val="105"/>
                <w:sz w:val="17"/>
              </w:rPr>
              <w:t>Libro 18vo CA.</w:t>
            </w:r>
          </w:p>
        </w:tc>
        <w:tc>
          <w:tcPr>
            <w:tcW w:w="1699" w:type="dxa"/>
            <w:tcBorders>
              <w:top w:val="nil"/>
              <w:left w:val="nil"/>
              <w:bottom w:val="nil"/>
              <w:right w:val="nil"/>
            </w:tcBorders>
            <w:shd w:val="clear" w:color="auto" w:fill="F3F3F3"/>
          </w:tcPr>
          <w:p>
            <w:pPr>
              <w:pStyle w:val="TableParagraph"/>
              <w:spacing w:before="37"/>
              <w:ind w:right="365"/>
              <w:jc w:val="right"/>
              <w:rPr>
                <w:sz w:val="17"/>
              </w:rPr>
            </w:pPr>
            <w:r>
              <w:rPr>
                <w:w w:val="105"/>
                <w:sz w:val="17"/>
              </w:rPr>
              <w:t>Sustentable</w:t>
            </w:r>
          </w:p>
        </w:tc>
        <w:tc>
          <w:tcPr>
            <w:tcW w:w="3970" w:type="dxa"/>
            <w:tcBorders>
              <w:top w:val="nil"/>
              <w:left w:val="nil"/>
              <w:bottom w:val="nil"/>
            </w:tcBorders>
            <w:shd w:val="clear" w:color="auto" w:fill="F3F3F3"/>
          </w:tcPr>
          <w:p>
            <w:pPr>
              <w:pStyle w:val="TableParagraph"/>
              <w:spacing w:before="37"/>
              <w:ind w:left="100" w:right="108"/>
              <w:jc w:val="left"/>
              <w:rPr>
                <w:sz w:val="17"/>
              </w:rPr>
            </w:pPr>
            <w:r>
              <w:rPr>
                <w:w w:val="105"/>
                <w:sz w:val="17"/>
              </w:rPr>
              <w:t>De las construcciones. Generalidades.</w:t>
            </w:r>
          </w:p>
        </w:tc>
      </w:tr>
      <w:tr>
        <w:trPr>
          <w:trHeight w:val="619" w:hRule="exact"/>
        </w:trPr>
        <w:tc>
          <w:tcPr>
            <w:tcW w:w="2551" w:type="dxa"/>
            <w:tcBorders>
              <w:top w:val="nil"/>
              <w:bottom w:val="nil"/>
              <w:right w:val="nil"/>
            </w:tcBorders>
            <w:shd w:val="clear" w:color="auto" w:fill="E0E0E0"/>
          </w:tcPr>
          <w:p>
            <w:pPr>
              <w:pStyle w:val="TableParagraph"/>
              <w:spacing w:line="254" w:lineRule="auto" w:before="8"/>
              <w:ind w:left="182" w:right="179" w:firstLine="2"/>
              <w:rPr>
                <w:sz w:val="17"/>
              </w:rPr>
            </w:pPr>
            <w:r>
              <w:rPr>
                <w:w w:val="105"/>
                <w:sz w:val="17"/>
              </w:rPr>
              <w:t>Ley de protección al ambiente para el desarrollo sustentable.</w:t>
            </w:r>
          </w:p>
        </w:tc>
        <w:tc>
          <w:tcPr>
            <w:tcW w:w="1699" w:type="dxa"/>
            <w:tcBorders>
              <w:top w:val="nil"/>
              <w:left w:val="nil"/>
              <w:bottom w:val="nil"/>
              <w:right w:val="nil"/>
            </w:tcBorders>
            <w:shd w:val="clear" w:color="auto" w:fill="E0E0E0"/>
          </w:tcPr>
          <w:p>
            <w:pPr>
              <w:pStyle w:val="TableParagraph"/>
              <w:spacing w:before="7"/>
              <w:jc w:val="left"/>
              <w:rPr>
                <w:sz w:val="18"/>
              </w:rPr>
            </w:pPr>
          </w:p>
          <w:p>
            <w:pPr>
              <w:pStyle w:val="TableParagraph"/>
              <w:spacing w:before="1"/>
              <w:ind w:right="365"/>
              <w:jc w:val="right"/>
              <w:rPr>
                <w:sz w:val="17"/>
              </w:rPr>
            </w:pPr>
            <w:r>
              <w:rPr>
                <w:w w:val="105"/>
                <w:sz w:val="17"/>
              </w:rPr>
              <w:t>Sustentable</w:t>
            </w:r>
          </w:p>
        </w:tc>
        <w:tc>
          <w:tcPr>
            <w:tcW w:w="3970" w:type="dxa"/>
            <w:tcBorders>
              <w:top w:val="nil"/>
              <w:left w:val="nil"/>
              <w:bottom w:val="nil"/>
            </w:tcBorders>
            <w:shd w:val="clear" w:color="auto" w:fill="E0E0E0"/>
          </w:tcPr>
          <w:p>
            <w:pPr>
              <w:pStyle w:val="TableParagraph"/>
              <w:spacing w:line="259" w:lineRule="auto" w:before="109"/>
              <w:ind w:left="100" w:right="188"/>
              <w:jc w:val="left"/>
              <w:rPr>
                <w:sz w:val="17"/>
              </w:rPr>
            </w:pPr>
            <w:r>
              <w:rPr>
                <w:w w:val="105"/>
                <w:sz w:val="17"/>
              </w:rPr>
              <w:t>El medio ambiente y del desarrollo sustentable.</w:t>
            </w:r>
          </w:p>
        </w:tc>
      </w:tr>
      <w:tr>
        <w:trPr>
          <w:trHeight w:val="410" w:hRule="exact"/>
        </w:trPr>
        <w:tc>
          <w:tcPr>
            <w:tcW w:w="2551" w:type="dxa"/>
            <w:tcBorders>
              <w:top w:val="nil"/>
              <w:right w:val="nil"/>
            </w:tcBorders>
            <w:shd w:val="clear" w:color="auto" w:fill="F3F3F3"/>
          </w:tcPr>
          <w:p>
            <w:pPr>
              <w:pStyle w:val="TableParagraph"/>
              <w:spacing w:before="114"/>
              <w:ind w:left="395" w:right="392"/>
              <w:rPr>
                <w:sz w:val="17"/>
              </w:rPr>
            </w:pPr>
            <w:r>
              <w:rPr>
                <w:w w:val="105"/>
                <w:sz w:val="17"/>
              </w:rPr>
              <w:t>Ley de vivienda.</w:t>
            </w:r>
          </w:p>
        </w:tc>
        <w:tc>
          <w:tcPr>
            <w:tcW w:w="1699" w:type="dxa"/>
            <w:tcBorders>
              <w:top w:val="nil"/>
              <w:left w:val="nil"/>
              <w:right w:val="nil"/>
            </w:tcBorders>
            <w:shd w:val="clear" w:color="auto" w:fill="F3F3F3"/>
          </w:tcPr>
          <w:p>
            <w:pPr>
              <w:pStyle w:val="TableParagraph"/>
              <w:spacing w:before="114"/>
              <w:ind w:right="365"/>
              <w:jc w:val="right"/>
              <w:rPr>
                <w:sz w:val="17"/>
              </w:rPr>
            </w:pPr>
            <w:r>
              <w:rPr>
                <w:w w:val="105"/>
                <w:sz w:val="17"/>
              </w:rPr>
              <w:t>Sustentable</w:t>
            </w:r>
          </w:p>
        </w:tc>
        <w:tc>
          <w:tcPr>
            <w:tcW w:w="3970" w:type="dxa"/>
            <w:tcBorders>
              <w:top w:val="nil"/>
              <w:left w:val="nil"/>
            </w:tcBorders>
            <w:shd w:val="clear" w:color="auto" w:fill="F3F3F3"/>
          </w:tcPr>
          <w:p>
            <w:pPr>
              <w:pStyle w:val="TableParagraph"/>
              <w:spacing w:line="259" w:lineRule="auto" w:before="8"/>
              <w:ind w:left="100" w:right="188"/>
              <w:jc w:val="left"/>
              <w:rPr>
                <w:sz w:val="17"/>
              </w:rPr>
            </w:pPr>
            <w:r>
              <w:rPr>
                <w:w w:val="105"/>
                <w:sz w:val="17"/>
              </w:rPr>
              <w:t>Construcción en relación al medio ambiente. Art 29.</w:t>
            </w:r>
          </w:p>
        </w:tc>
      </w:tr>
    </w:tbl>
    <w:p>
      <w:pPr>
        <w:spacing w:before="144"/>
        <w:ind w:left="268" w:right="0" w:firstLine="0"/>
        <w:jc w:val="both"/>
        <w:rPr>
          <w:sz w:val="21"/>
        </w:rPr>
      </w:pPr>
      <w:r>
        <w:rPr>
          <w:w w:val="105"/>
          <w:sz w:val="21"/>
        </w:rPr>
        <w:t>Fuente: Elaboración propia, con base en LEGISTEL.</w:t>
      </w:r>
    </w:p>
    <w:p>
      <w:pPr>
        <w:pStyle w:val="BodyText"/>
        <w:spacing w:before="2"/>
        <w:rPr>
          <w:sz w:val="21"/>
        </w:rPr>
      </w:pPr>
    </w:p>
    <w:p>
      <w:pPr>
        <w:pStyle w:val="BodyText"/>
        <w:spacing w:line="360" w:lineRule="auto"/>
        <w:ind w:left="268" w:right="231"/>
        <w:jc w:val="both"/>
      </w:pPr>
      <w:r>
        <w:rPr/>
        <w:t>Para el análisis de la conceptualización de la sustentabilidad en la normatividad para la autorización de conjuntos urbanos se consideró enfocarse en el Código Administrativo del Estado de México haciendo mayor énfasis al libro quinto “Del ordenamiento territorial de los asentamientos humanos y del desarrollo urbano de los centros de población” y su reglamento. Ya que, con entrevistas derivadas del trabajo de campo y datos de una investigación más extensa, así como, por el conocimiento previo de manera empírica se observa que la SEDUM a través de la DGOU, sus direcciones técnicas y jefaturas de departamento en coordinación  con</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5488" from="93.199997pt,-19.614155pt" to="546.799997pt,-19.614155pt" stroked="true" strokeweight=".479981pt" strokecolor="#000000">
            <w10:wrap type="none"/>
          </v:line>
        </w:pict>
      </w:r>
      <w:r>
        <w:rPr/>
        <w:t>las diferentes instancias gubernamentales desarrollan las actividades antes descritas y compete la CEDUV; integran, analizar, valorar y autorizar los proyectos de conjuntos urbanos en el Estado de México.</w:t>
      </w:r>
    </w:p>
    <w:p>
      <w:pPr>
        <w:pStyle w:val="BodyText"/>
        <w:spacing w:line="360" w:lineRule="auto" w:before="122"/>
        <w:ind w:left="268" w:right="231"/>
        <w:jc w:val="both"/>
      </w:pPr>
      <w:r>
        <w:rPr/>
        <w:t>De manera operativa la revisión de los proyectos de conjuntos urbanos ya sean de tipo mixto, habitacionales, comerciales, industriales y o de servicios. Deben de considerar los aspectos técnicos que se estipulan en el L5to y su reglamento, cabe hacer mención que el L5to de septiembre de 2001 fue reformado el 1ro de septiembre de 2011 por lo que para el presente documento se analiza la última versión del L5to; sin embargo, el RL5to no ha sido reformado y se continua trabajando con la versión publicada en gaceta el 13 de marzo de 2002, aunque de manera activa existe una interpretación para la autorización de los conjuntos urbanos entre ambos documentos.</w:t>
      </w:r>
    </w:p>
    <w:p>
      <w:pPr>
        <w:pStyle w:val="BodyText"/>
        <w:spacing w:line="360" w:lineRule="auto" w:before="122"/>
        <w:ind w:left="268" w:right="231"/>
        <w:jc w:val="both"/>
      </w:pPr>
      <w:r>
        <w:rPr/>
        <w:t>En este sentido, el L5to hace referencia al desarrollo urbano sustentable, a la sustentabilidad ambiental y la ordenación sustentable del territorio. Un avance significativo es la inserción del termino de sustentabilidad en la normatividad para la ordenación del territorio, a continuación, se analiza la conceptualización de la sustentabilidad en el L5to: “Del ordenamiento territorial de los asentamientos humanos y del desarrollo urbano de los centros de población”</w:t>
      </w:r>
    </w:p>
    <w:p>
      <w:pPr>
        <w:spacing w:line="360" w:lineRule="auto" w:before="122"/>
        <w:ind w:left="976" w:right="231" w:firstLine="0"/>
        <w:jc w:val="both"/>
        <w:rPr>
          <w:i/>
          <w:sz w:val="24"/>
        </w:rPr>
      </w:pPr>
      <w:r>
        <w:rPr>
          <w:i/>
          <w:sz w:val="24"/>
        </w:rPr>
        <w:t>“Artículo 5.1.- Este Libro tiene por objeto fijar las bases para planear, </w:t>
      </w:r>
      <w:r>
        <w:rPr>
          <w:i/>
          <w:sz w:val="24"/>
        </w:rPr>
        <w:t>ordenar, regular, controlar, vigilar y fomentar el ordenamiento territorial de los asentamientos humanos y el desarrollo urbano de los centros de población en la entidad, procurando garantizar los derechos de la población en materia de desarrollo urbano sustentable.”</w:t>
      </w:r>
    </w:p>
    <w:p>
      <w:pPr>
        <w:pStyle w:val="BodyText"/>
        <w:spacing w:line="360" w:lineRule="auto" w:before="122"/>
        <w:ind w:left="268" w:right="231"/>
        <w:jc w:val="both"/>
      </w:pPr>
      <w:r>
        <w:rPr/>
        <w:t>Observación: El libro busca garantizar los derechos de la población en materia desarrollo urbano sustentable; sin embargo, queda ausente en el libro la definición y/o explicación del desarrollo urbano sustentable. En lo que refiere al reglamento este carece de una descripción en relación con los elementos que se consideran para el desarrollo urbano sustentable.</w:t>
      </w:r>
    </w:p>
    <w:p>
      <w:pPr>
        <w:spacing w:after="0" w:line="360" w:lineRule="auto"/>
        <w:jc w:val="both"/>
        <w:sectPr>
          <w:footerReference w:type="default" r:id="rId92"/>
          <w:pgSz w:w="12240" w:h="15840"/>
          <w:pgMar w:footer="1066" w:header="730" w:top="1320" w:bottom="1260" w:left="1720" w:right="1180"/>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5512" from="93.199997pt,-19.614155pt" to="546.799997pt,-19.614155pt" stroked="true" strokeweight=".479981pt" strokecolor="#000000">
            <w10:wrap type="none"/>
          </v:line>
        </w:pict>
      </w:r>
      <w:r>
        <w:rPr/>
        <w:t>Existe un avance en considerar de manera general el desarrollo urbano sustentable; sin embargo, éste puede ser interpretado a juicio de la administración en turno ya sea de carácter estatal y/o municipal.</w:t>
      </w:r>
    </w:p>
    <w:p>
      <w:pPr>
        <w:spacing w:line="360" w:lineRule="auto" w:before="122"/>
        <w:ind w:left="976" w:right="231" w:firstLine="0"/>
        <w:jc w:val="both"/>
        <w:rPr>
          <w:i/>
          <w:sz w:val="24"/>
        </w:rPr>
      </w:pPr>
      <w:r>
        <w:rPr>
          <w:i/>
          <w:sz w:val="24"/>
        </w:rPr>
        <w:t>“Artículo 5.2.- En el ordenamiento territorial de los asentamientos humanos  </w:t>
      </w:r>
      <w:r>
        <w:rPr>
          <w:i/>
          <w:sz w:val="24"/>
        </w:rPr>
        <w:t>y el desarrollo urbano de los centros de población, se deben observar los principios siguientes:</w:t>
      </w:r>
    </w:p>
    <w:p>
      <w:pPr>
        <w:pStyle w:val="ListParagraph"/>
        <w:numPr>
          <w:ilvl w:val="3"/>
          <w:numId w:val="17"/>
        </w:numPr>
        <w:tabs>
          <w:tab w:pos="1177" w:val="left" w:leader="none"/>
        </w:tabs>
        <w:spacing w:line="240" w:lineRule="auto" w:before="122" w:after="0"/>
        <w:ind w:left="976" w:right="0" w:firstLine="0"/>
        <w:jc w:val="both"/>
        <w:rPr>
          <w:i/>
          <w:sz w:val="24"/>
        </w:rPr>
      </w:pPr>
      <w:r>
        <w:rPr>
          <w:i/>
          <w:sz w:val="24"/>
        </w:rPr>
        <w:t>El ordenamiento territorial de los asentamientos humanos</w:t>
      </w:r>
      <w:r>
        <w:rPr>
          <w:i/>
          <w:spacing w:val="-1"/>
          <w:sz w:val="24"/>
        </w:rPr>
        <w:t> </w:t>
      </w:r>
      <w:r>
        <w:rPr>
          <w:i/>
          <w:sz w:val="24"/>
        </w:rPr>
        <w:t>atenderá:</w:t>
      </w:r>
    </w:p>
    <w:p>
      <w:pPr>
        <w:pStyle w:val="BodyText"/>
        <w:spacing w:before="3"/>
        <w:rPr>
          <w:i/>
          <w:sz w:val="22"/>
        </w:rPr>
      </w:pPr>
    </w:p>
    <w:p>
      <w:pPr>
        <w:spacing w:line="360" w:lineRule="auto" w:before="1"/>
        <w:ind w:left="976" w:right="231" w:firstLine="0"/>
        <w:jc w:val="both"/>
        <w:rPr>
          <w:i/>
          <w:sz w:val="24"/>
        </w:rPr>
      </w:pPr>
      <w:r>
        <w:rPr>
          <w:i/>
          <w:sz w:val="24"/>
        </w:rPr>
        <w:t>b) La distribución equilibrada de la población y sus actividades en el  </w:t>
      </w:r>
      <w:r>
        <w:rPr>
          <w:i/>
          <w:sz w:val="24"/>
        </w:rPr>
        <w:t>territorio estatal, en función de la sustentabilidad ambiental de los procesos de desarrollo económico y social;</w:t>
      </w:r>
    </w:p>
    <w:p>
      <w:pPr>
        <w:pStyle w:val="ListParagraph"/>
        <w:numPr>
          <w:ilvl w:val="3"/>
          <w:numId w:val="17"/>
        </w:numPr>
        <w:tabs>
          <w:tab w:pos="1244" w:val="left" w:leader="none"/>
        </w:tabs>
        <w:spacing w:line="240" w:lineRule="auto" w:before="122" w:after="0"/>
        <w:ind w:left="1243" w:right="0" w:hanging="267"/>
        <w:jc w:val="both"/>
        <w:rPr>
          <w:i/>
          <w:sz w:val="24"/>
        </w:rPr>
      </w:pPr>
      <w:r>
        <w:rPr>
          <w:i/>
          <w:sz w:val="24"/>
        </w:rPr>
        <w:t>El desarrollo urbano de los centros de población</w:t>
      </w:r>
      <w:r>
        <w:rPr>
          <w:i/>
          <w:spacing w:val="-2"/>
          <w:sz w:val="24"/>
        </w:rPr>
        <w:t> </w:t>
      </w:r>
      <w:r>
        <w:rPr>
          <w:i/>
          <w:sz w:val="24"/>
        </w:rPr>
        <w:t>garantizará:</w:t>
      </w:r>
    </w:p>
    <w:p>
      <w:pPr>
        <w:pStyle w:val="BodyText"/>
        <w:spacing w:before="3"/>
        <w:rPr>
          <w:i/>
          <w:sz w:val="22"/>
        </w:rPr>
      </w:pPr>
    </w:p>
    <w:p>
      <w:pPr>
        <w:spacing w:line="360" w:lineRule="auto" w:before="1"/>
        <w:ind w:left="976" w:right="231" w:firstLine="0"/>
        <w:jc w:val="both"/>
        <w:rPr>
          <w:i/>
          <w:sz w:val="24"/>
        </w:rPr>
      </w:pPr>
      <w:r>
        <w:rPr>
          <w:i/>
          <w:sz w:val="24"/>
        </w:rPr>
        <w:t>e) La sustentabilidad de los centros de población, vinculando su proceso de </w:t>
      </w:r>
      <w:r>
        <w:rPr>
          <w:i/>
          <w:sz w:val="24"/>
        </w:rPr>
        <w:t>crecimiento con los lineamientos y criterios de carácter ambiental;</w:t>
      </w:r>
    </w:p>
    <w:p>
      <w:pPr>
        <w:spacing w:line="360" w:lineRule="auto" w:before="127"/>
        <w:ind w:left="976" w:right="231" w:firstLine="0"/>
        <w:jc w:val="both"/>
        <w:rPr>
          <w:i/>
          <w:sz w:val="24"/>
        </w:rPr>
      </w:pPr>
      <w:r>
        <w:rPr>
          <w:i/>
          <w:sz w:val="24"/>
        </w:rPr>
        <w:t>o) El fomento de proyectos de desarrollo urbano sustentables que sean </w:t>
      </w:r>
      <w:r>
        <w:rPr>
          <w:i/>
          <w:sz w:val="24"/>
        </w:rPr>
        <w:t>acordes con la planeación urbana, atraigan inversión y generen rendimientos económicos y beneficios sociales a la población;”</w:t>
      </w:r>
    </w:p>
    <w:p>
      <w:pPr>
        <w:pStyle w:val="BodyText"/>
        <w:spacing w:line="360" w:lineRule="auto" w:before="122"/>
        <w:ind w:left="268" w:right="231"/>
        <w:jc w:val="both"/>
      </w:pPr>
      <w:r>
        <w:rPr/>
        <w:t>Observación: En la fracción I, inciso b) se considera la sustentabilidad ambiental  en los procesos de ordenamiento territorial y ésta se supone como un principio para el ordenamiento territorial de los asentamientos humanos. Sin embargo, la sustentabilidad se conceptualiza solo desde la perspectiva ambiental y nuevamente queda de manera general la inclusión del término, de este modo la responsabilidad recae nuevamente de la administración en turno y de la interpretación de estos elementos.</w:t>
      </w:r>
    </w:p>
    <w:p>
      <w:pPr>
        <w:pStyle w:val="BodyText"/>
        <w:spacing w:line="360" w:lineRule="auto" w:before="122"/>
        <w:ind w:left="268" w:right="231"/>
        <w:jc w:val="both"/>
      </w:pPr>
      <w:r>
        <w:rPr/>
        <w:t>La fracción II, en los incisos e) y o) se aborda la sustentabilidad de los centros de población al revisar el reglamento del L5to, no existen criterios que definan como evaluar la sustentabilidad, la sustentabilidad ambiental, el desarrollo urbano sustentable y los proyectos de desarrollo urbano sustentable. Por lo que pudiera parecer que bastara con escribir en la memoria descriptiva de un proyecto de</w:t>
      </w:r>
    </w:p>
    <w:p>
      <w:pPr>
        <w:spacing w:after="0" w:line="360" w:lineRule="auto"/>
        <w:jc w:val="both"/>
        <w:sectPr>
          <w:footerReference w:type="default" r:id="rId93"/>
          <w:pgSz w:w="12240" w:h="15840"/>
          <w:pgMar w:footer="1066" w:header="730" w:top="1320" w:bottom="1260" w:left="1720" w:right="1180"/>
          <w:pgNumType w:start="131"/>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5536" from="93.199997pt,-19.614155pt" to="546.799997pt,-19.614155pt" stroked="true" strokeweight=".479981pt" strokecolor="#000000">
            <w10:wrap type="none"/>
          </v:line>
        </w:pict>
      </w:r>
      <w:r>
        <w:rPr/>
        <w:t>desarrollo urbano como el de conjunto urbano de tipo habitacional, que éste será sustentable, sin un fundamento jurídico que valide él porque es sustentable y de esta manera en automático solo por mencionarlo es un proyecto sustentable.</w:t>
      </w:r>
    </w:p>
    <w:p>
      <w:pPr>
        <w:spacing w:line="360" w:lineRule="auto" w:before="122"/>
        <w:ind w:left="976" w:right="231" w:firstLine="0"/>
        <w:jc w:val="both"/>
        <w:rPr>
          <w:i/>
          <w:sz w:val="24"/>
        </w:rPr>
      </w:pPr>
      <w:r>
        <w:rPr>
          <w:i/>
          <w:sz w:val="24"/>
        </w:rPr>
        <w:t>“Artículo 5.12.- La planeación y regulación del ordenamiento territorial de los </w:t>
      </w:r>
      <w:r>
        <w:rPr>
          <w:i/>
          <w:sz w:val="24"/>
        </w:rPr>
        <w:t>asentamientos humanos y el desarrollo urbano de los centros de población, tiene por objeto lograr una distribución equilibrada y sustentable de la población y de las actividades económicas en el territorio estatal…”</w:t>
      </w:r>
    </w:p>
    <w:p>
      <w:pPr>
        <w:pStyle w:val="BodyText"/>
        <w:spacing w:line="360" w:lineRule="auto" w:before="122"/>
        <w:ind w:left="268" w:right="231"/>
        <w:jc w:val="both"/>
      </w:pPr>
      <w:r>
        <w:rPr/>
        <w:t>Observación: En este artículo se refiere a la distribución sustentable de la población en el territorio; no obstante, las ciudades crecen a un ritmo acelerado y de manera vertical y horizontal. Los planes de desarrollo urbano contemplan el territorio de un municipio el cual cuenta con distintos usos del suelo; sin embargo, los mecanismos establecidos en los planes de desarrollo urbano no han garantizado la distribución equilibrada de la población y en relación a lo sustentable la imprecisión actual seria más de otra índole.</w:t>
      </w:r>
    </w:p>
    <w:p>
      <w:pPr>
        <w:spacing w:line="360" w:lineRule="auto" w:before="122"/>
        <w:ind w:left="976" w:right="231" w:firstLine="0"/>
        <w:jc w:val="both"/>
        <w:rPr>
          <w:i/>
          <w:sz w:val="24"/>
        </w:rPr>
      </w:pPr>
      <w:r>
        <w:rPr>
          <w:i/>
          <w:sz w:val="24"/>
        </w:rPr>
        <w:t>Artículo 5.16.- Corresponde al Consejo Consultivo Estatal de Desarrollo </w:t>
      </w:r>
      <w:r>
        <w:rPr>
          <w:i/>
          <w:sz w:val="24"/>
        </w:rPr>
        <w:t>Urbano:</w:t>
      </w:r>
    </w:p>
    <w:p>
      <w:pPr>
        <w:pStyle w:val="ListParagraph"/>
        <w:numPr>
          <w:ilvl w:val="3"/>
          <w:numId w:val="17"/>
        </w:numPr>
        <w:tabs>
          <w:tab w:pos="1396" w:val="left" w:leader="none"/>
        </w:tabs>
        <w:spacing w:line="379" w:lineRule="auto" w:before="122" w:after="0"/>
        <w:ind w:left="976" w:right="231" w:firstLine="0"/>
        <w:jc w:val="both"/>
        <w:rPr>
          <w:i/>
          <w:sz w:val="24"/>
        </w:rPr>
      </w:pPr>
      <w:r>
        <w:rPr>
          <w:i/>
          <w:sz w:val="24"/>
        </w:rPr>
        <w:t>Proponer medidas para la ordenación sustentable del territorio del </w:t>
      </w:r>
      <w:r>
        <w:rPr>
          <w:i/>
          <w:sz w:val="24"/>
        </w:rPr>
        <w:t>Estado;</w:t>
      </w:r>
    </w:p>
    <w:p>
      <w:pPr>
        <w:pStyle w:val="BodyText"/>
        <w:spacing w:line="360" w:lineRule="auto" w:before="135"/>
        <w:ind w:left="268" w:right="231"/>
        <w:jc w:val="both"/>
      </w:pPr>
      <w:r>
        <w:rPr/>
        <w:t>Observación: Es importante mencionar que el Consejo como figura que se menciona en este artículo, carece de participación en las actividades de CEDUV y de igual modo no forma parte en los procesos administrativos para la autorización de conjuntos urbanos, por lo que la relación entre el libro y su reglamento es ambigua y sin consecuencia a lo correspondiente en la ordenación sustentable.</w:t>
      </w:r>
    </w:p>
    <w:p>
      <w:pPr>
        <w:spacing w:line="362" w:lineRule="auto" w:before="122"/>
        <w:ind w:left="976" w:right="231" w:firstLine="66"/>
        <w:jc w:val="both"/>
        <w:rPr>
          <w:i/>
          <w:sz w:val="24"/>
        </w:rPr>
      </w:pPr>
      <w:r>
        <w:rPr>
          <w:i/>
          <w:sz w:val="24"/>
        </w:rPr>
        <w:t>“Artículo 5.19.- Los planes de desarrollo urbano tendrán un carácter  </w:t>
      </w:r>
      <w:r>
        <w:rPr>
          <w:i/>
          <w:sz w:val="24"/>
        </w:rPr>
        <w:t>integral y contendrán por lo menos lo siguiente:</w:t>
      </w:r>
    </w:p>
    <w:p>
      <w:pPr>
        <w:spacing w:line="360" w:lineRule="auto" w:before="120"/>
        <w:ind w:left="976" w:right="231" w:firstLine="0"/>
        <w:jc w:val="both"/>
        <w:rPr>
          <w:i/>
          <w:sz w:val="24"/>
        </w:rPr>
      </w:pPr>
      <w:r>
        <w:rPr>
          <w:i/>
          <w:sz w:val="24"/>
        </w:rPr>
        <w:t>II. La determinación de sus objetivos, políticas, estrategias en materia de </w:t>
      </w:r>
      <w:r>
        <w:rPr>
          <w:i/>
          <w:sz w:val="24"/>
        </w:rPr>
        <w:t>población, suelo, protección al ambiente, vialidad y transporte, comunicaciones, agua potable, alcantarillado, drenaje, tratamiento y disposición   de   aguas   residuales   y   residuos   sólidos,   protección civil,</w:t>
      </w:r>
    </w:p>
    <w:p>
      <w:pPr>
        <w:spacing w:after="0" w:line="360" w:lineRule="auto"/>
        <w:jc w:val="both"/>
        <w:rPr>
          <w:sz w:val="24"/>
        </w:rPr>
        <w:sectPr>
          <w:pgSz w:w="12240" w:h="15840"/>
          <w:pgMar w:header="730" w:footer="1066" w:top="1320" w:bottom="1260" w:left="1720" w:right="1180"/>
        </w:sectPr>
      </w:pPr>
    </w:p>
    <w:p>
      <w:pPr>
        <w:pStyle w:val="BodyText"/>
        <w:spacing w:before="1"/>
        <w:rPr>
          <w:i/>
          <w:sz w:val="18"/>
        </w:rPr>
      </w:pPr>
    </w:p>
    <w:p>
      <w:pPr>
        <w:spacing w:line="360" w:lineRule="auto" w:before="69"/>
        <w:ind w:left="976" w:right="231" w:firstLine="0"/>
        <w:jc w:val="both"/>
        <w:rPr>
          <w:i/>
          <w:sz w:val="24"/>
        </w:rPr>
      </w:pPr>
      <w:r>
        <w:rPr/>
        <w:pict>
          <v:line style="position:absolute;mso-position-horizontal-relative:page;mso-position-vertical-relative:paragraph;z-index:5560" from="93.199997pt,-19.614155pt" to="546.799997pt,-19.614155pt" stroked="true" strokeweight=".479981pt" strokecolor="#000000">
            <w10:wrap type="none"/>
          </v:line>
        </w:pict>
      </w:r>
      <w:r>
        <w:rPr>
          <w:i/>
          <w:sz w:val="24"/>
        </w:rPr>
        <w:t>vivienda, desarrollo agropecuario, salud, educación, seguridad pública, </w:t>
      </w:r>
      <w:r>
        <w:rPr>
          <w:i/>
          <w:sz w:val="24"/>
        </w:rPr>
        <w:t>desarrollo económico, industria y conservación del patrimonio inmobiliario histórico, artístico y cultural, así como las demás materias que resulten necesarias, con el fin de imprimirles un carácter integral para propiciar el desarrollo urbano sustentable del Estado.”</w:t>
      </w:r>
    </w:p>
    <w:p>
      <w:pPr>
        <w:spacing w:line="360" w:lineRule="auto" w:before="122"/>
        <w:ind w:left="976" w:right="231" w:firstLine="0"/>
        <w:jc w:val="both"/>
        <w:rPr>
          <w:i/>
          <w:sz w:val="24"/>
        </w:rPr>
      </w:pPr>
      <w:r>
        <w:rPr>
          <w:i/>
          <w:sz w:val="24"/>
        </w:rPr>
        <w:t>“Artículo 5.28.- El Gobierno del Estado y los municipios deberán celebrar </w:t>
      </w:r>
      <w:r>
        <w:rPr>
          <w:i/>
          <w:sz w:val="24"/>
        </w:rPr>
        <w:t>convenios de conurbación en el que se acordarán, por lo menos, los aspectos siguientes:</w:t>
      </w:r>
    </w:p>
    <w:p>
      <w:pPr>
        <w:spacing w:line="360" w:lineRule="auto" w:before="127"/>
        <w:ind w:left="976" w:right="231" w:firstLine="0"/>
        <w:jc w:val="both"/>
        <w:rPr>
          <w:i/>
          <w:sz w:val="24"/>
        </w:rPr>
      </w:pPr>
      <w:r>
        <w:rPr>
          <w:i/>
          <w:sz w:val="24"/>
        </w:rPr>
        <w:t>VI. Los demás aspectos que sean necesarios para coordinar acciones o </w:t>
      </w:r>
      <w:r>
        <w:rPr>
          <w:i/>
          <w:sz w:val="24"/>
        </w:rPr>
        <w:t>inversiones que permitan el desarrollo urbano sustentable, equitativo y armónico de los municipios y centros de población involucrados.”</w:t>
      </w:r>
    </w:p>
    <w:p>
      <w:pPr>
        <w:pStyle w:val="BodyText"/>
        <w:spacing w:line="360" w:lineRule="auto" w:before="122"/>
        <w:ind w:left="268" w:right="231"/>
        <w:jc w:val="both"/>
      </w:pPr>
      <w:r>
        <w:rPr/>
        <w:t>Observación: En los artículos anteriores se menciona el desarrollo urbano sustentable del Estado y de sus municipios, de nuevo la conceptualización de la sustentabilidad se encuentra de manera generalizada y sin fundamentos jurídicos y/o normativos que garanticen o den la pauta para evaluar y determinar qué tan sustentable es el desarrollo urbano del Estado de México y de sus municipios, aún más definir y valorar si el desarrollo urbano es sustentable.</w:t>
      </w:r>
    </w:p>
    <w:p>
      <w:pPr>
        <w:pStyle w:val="BodyText"/>
        <w:spacing w:line="360" w:lineRule="auto" w:before="127"/>
        <w:ind w:left="268" w:right="231"/>
        <w:jc w:val="both"/>
      </w:pPr>
      <w:r>
        <w:rPr/>
        <w:t>En lo que respecta al reglamento del L5to, es innecesario referir y observar los artículos que éste contiene, ya que el término de sustentabilidad aún no era una prioridad en la agenda política y por lo tanto se encuentra ausente dentro del cuerpo del mismo, sin omitir señalar que de manera enunciativa se menciona en el artículo 42, fracción XII el cual señala lo conducente a un programa de desarrollo sustentable para la autorización de un conjunto urbano de tipo campestre y las atribuciones recaen en la SEDUM y la Secretaría de Ecología (SE).</w:t>
      </w:r>
    </w:p>
    <w:p>
      <w:pPr>
        <w:pStyle w:val="BodyText"/>
        <w:spacing w:line="360" w:lineRule="auto" w:before="122"/>
        <w:ind w:left="268" w:right="231"/>
        <w:jc w:val="both"/>
      </w:pPr>
      <w:r>
        <w:rPr/>
        <w:t>Con base a lo anterior en relación a la normatividad que regula las autorizaciones de conjuntos urbanos, en los que se encuentran los de tipo habitacional interés del presente documento. Se puede apreciar que con la reforma del L5to se han consideraron algunas adecuaciones de manera general y sin un fundamento de peso que evalué los referentes a la sustentabilidad del territorio y la ordenación</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5584" from="93.199997pt,-19.614155pt" to="546.799997pt,-19.614155pt" stroked="true" strokeweight=".479981pt" strokecolor="#000000">
            <w10:wrap type="none"/>
          </v:line>
        </w:pict>
      </w:r>
      <w:r>
        <w:rPr/>
        <w:t>sustentable del mismo. Solo se menciona y se hace alusión al término sin una conceptualización y entendimiento del mismo dentro del mismo precepto normativo.</w:t>
      </w:r>
    </w:p>
    <w:p>
      <w:pPr>
        <w:pStyle w:val="BodyText"/>
        <w:spacing w:line="360" w:lineRule="auto" w:before="122"/>
        <w:ind w:left="268" w:right="231"/>
        <w:jc w:val="both"/>
      </w:pPr>
      <w:r>
        <w:rPr/>
        <w:t>En lo que respecta a los artículos del L5to relacionados para la autorización de conjuntos urbanos de tipo habitacional se puede apreciar que la conceptualización de la sustentabilidad se encuentra ambigua y general lo que pudiera estar generando una imprecisión de su aplicación como norma para la autorización de estos proyectos habitacionales. Esto nos lleva a cuestionar sí los criterios de sustentabilidad que se pudieran estar utilizando para la autorización de proyectos habitacionales están a consideración de las autoridades y de los funcionarios que participan en la CEDUV y la propia SEDUM.</w:t>
      </w:r>
    </w:p>
    <w:p>
      <w:pPr>
        <w:pStyle w:val="BodyText"/>
        <w:spacing w:line="360" w:lineRule="auto" w:before="122"/>
        <w:ind w:left="268" w:right="231"/>
        <w:jc w:val="both"/>
      </w:pPr>
      <w:r>
        <w:rPr/>
        <w:t>Una vez descrita y observada la normatividad con la que regula la CEDUV y la SEDUM, se puede apreciar la carencia de criterios, indicadores o procedimientos específicos para la autorización de conjuntos urbanos de tipo habitacional sustentables, esto no solo es reflejado en este tipo de autorizaciones ya que el L5to refiere al ordenamiento territorial, los asentamientos humanos y los centros  de población.</w:t>
      </w:r>
    </w:p>
    <w:p>
      <w:pPr>
        <w:pStyle w:val="BodyText"/>
        <w:spacing w:line="360" w:lineRule="auto" w:before="127"/>
        <w:ind w:left="268" w:right="231"/>
        <w:jc w:val="both"/>
      </w:pPr>
      <w:r>
        <w:rPr/>
        <w:t>Como ya se describió con anterioridad, la emisión de la constancia de viabilidad es una actividad de la CEDUV y en el proceso de integración y evaluación del proyecto habitacional a desarrollar participan diversas instancias de carácter estatal, municipal y de ser necesario de nivel federal, estas dependencias gubernamentales evalúan los proyectos de conjuntos urbanos con la normatividad que les confiere en relación a la propia esencia de su razón de ser, como en el caso de la Secretaría del Medio Ambiente (SMA), la cual además de observar el L5to y su reglamento deben observar normas como el Código de Biodiversidad, el Libro 4to y la Ley de protección al ambiente para el desarrollo sustentable.</w:t>
      </w:r>
    </w:p>
    <w:p>
      <w:pPr>
        <w:pStyle w:val="BodyText"/>
        <w:spacing w:line="360" w:lineRule="auto" w:before="122"/>
        <w:ind w:left="268" w:right="231"/>
        <w:jc w:val="both"/>
      </w:pPr>
      <w:r>
        <w:rPr/>
        <w:t>Con la participación de la SMA en la evaluación de un proyecto de conjunto urbano de tipo habitacional y dependiendo del tipo de proyecto se puede convocar en coparticipación a la Secretaría de Medio Ambiente y Recursos Naturales (SEMARNAT),</w:t>
      </w:r>
      <w:r>
        <w:rPr>
          <w:spacing w:val="39"/>
        </w:rPr>
        <w:t> </w:t>
      </w:r>
      <w:r>
        <w:rPr/>
        <w:t>quien</w:t>
      </w:r>
      <w:r>
        <w:rPr>
          <w:spacing w:val="39"/>
        </w:rPr>
        <w:t> </w:t>
      </w:r>
      <w:r>
        <w:rPr/>
        <w:t>en</w:t>
      </w:r>
      <w:r>
        <w:rPr>
          <w:spacing w:val="39"/>
        </w:rPr>
        <w:t> </w:t>
      </w:r>
      <w:r>
        <w:rPr/>
        <w:t>un</w:t>
      </w:r>
      <w:r>
        <w:rPr>
          <w:spacing w:val="39"/>
        </w:rPr>
        <w:t> </w:t>
      </w:r>
      <w:r>
        <w:rPr/>
        <w:t>contexto</w:t>
      </w:r>
      <w:r>
        <w:rPr>
          <w:spacing w:val="39"/>
        </w:rPr>
        <w:t> </w:t>
      </w:r>
      <w:r>
        <w:rPr/>
        <w:t>en</w:t>
      </w:r>
      <w:r>
        <w:rPr>
          <w:spacing w:val="39"/>
        </w:rPr>
        <w:t> </w:t>
      </w:r>
      <w:r>
        <w:rPr/>
        <w:t>cuidado</w:t>
      </w:r>
      <w:r>
        <w:rPr>
          <w:spacing w:val="39"/>
        </w:rPr>
        <w:t> </w:t>
      </w:r>
      <w:r>
        <w:rPr/>
        <w:t>al</w:t>
      </w:r>
      <w:r>
        <w:rPr>
          <w:spacing w:val="39"/>
        </w:rPr>
        <w:t> </w:t>
      </w:r>
      <w:r>
        <w:rPr/>
        <w:t>medio</w:t>
      </w:r>
      <w:r>
        <w:rPr>
          <w:spacing w:val="39"/>
        </w:rPr>
        <w:t> </w:t>
      </w:r>
      <w:r>
        <w:rPr/>
        <w:t>ambiente</w:t>
      </w:r>
      <w:r>
        <w:rPr>
          <w:spacing w:val="39"/>
        </w:rPr>
        <w:t> </w:t>
      </w:r>
      <w:r>
        <w:rPr/>
        <w:t>contemplan</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5608" from="93.199997pt,-19.614155pt" to="546.799997pt,-19.614155pt" stroked="true" strokeweight=".479981pt" strokecolor="#000000">
            <w10:wrap type="none"/>
          </v:line>
        </w:pict>
      </w:r>
      <w:r>
        <w:rPr/>
        <w:t>como requisito para la emisión de dictamen de factibilidad contar con la manifestación de impacto ambiental, mejor conocida como MIA, la cual consiste  en una evaluación de impacto ambiental cuyo objetivo es prevenir, mitigar y restaurar los posibles daños al ambiente y regular las actividades y obras para reducir los efectos negativos en el ambiente y la salud humana. (SEMARNAT, 2015).</w:t>
      </w:r>
    </w:p>
    <w:p>
      <w:pPr>
        <w:pStyle w:val="BodyText"/>
        <w:spacing w:line="360" w:lineRule="auto" w:before="122"/>
        <w:ind w:left="268" w:right="231"/>
        <w:jc w:val="both"/>
      </w:pPr>
      <w:r>
        <w:rPr/>
        <w:t>Si un proyecto de conjunto urbano habitacional requiere la MIA (manifestación de impacto ambiental), el enfoque de ésta es tendiente a la sustentabilidad del medio ambiente y refiere a efectos e impactos ambientales, tanto para el ecosistema, los recursos naturales y el ser humano en relación con su medio ambiente.</w:t>
      </w:r>
    </w:p>
    <w:p>
      <w:pPr>
        <w:pStyle w:val="BodyText"/>
        <w:spacing w:line="360" w:lineRule="auto" w:before="122"/>
        <w:ind w:left="268" w:right="231"/>
        <w:jc w:val="both"/>
      </w:pPr>
      <w:r>
        <w:rPr/>
        <w:t>Es un paso importante en materia de sustentabilidad el que la normatividad relacionada con el medio ambiente y los recursos naturales consideren elementos y criterios de sustentabilidad ambiental, sin embargo la conexión con el L5to y su reglamento poco refiere a procedimientos de sustentabilidad de un conjunto urbano habitacional ya que si bien se consideran elementos de sustentabilidad ambiental, se requiere que existan criterios que fundamenten y especifiquen los procedimientos para lograr que la normatividad de ordenamiento territorial y la propia autorización de conjuntos urbanos vaya más allá del solo hecho de mencionar la palabra sustentabilidad o desarrollo urbano</w:t>
      </w:r>
      <w:r>
        <w:rPr>
          <w:spacing w:val="-1"/>
        </w:rPr>
        <w:t> </w:t>
      </w:r>
      <w:r>
        <w:rPr/>
        <w:t>sustentable.</w:t>
      </w:r>
    </w:p>
    <w:p>
      <w:pPr>
        <w:pStyle w:val="BodyText"/>
        <w:spacing w:line="360" w:lineRule="auto" w:before="122"/>
        <w:ind w:left="268" w:right="231"/>
        <w:jc w:val="both"/>
      </w:pPr>
      <w:r>
        <w:rPr/>
        <w:t>En este orden de ideas y con base en lo abordado en las normas que regulan la autorización de conjuntos urbanos, podemos valorar la necesidad de realizar acciones que permitan contar con una legislación clara, precisa y eficiente que garantice la regulación para la evaluación de conjuntos urbanos realmente sustentables de fondo y sometidos a procedimientos que garanticen la sustentabilidad, buscando dejar atrás las prácticas y ciclos repetitivos que las administraciones urbanas en turno ejecutan, como ya lo menciona Wang (2014), Carrillo (2014), Moreno (2014) y Ahumada (2012).</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Heading5"/>
        <w:numPr>
          <w:ilvl w:val="2"/>
          <w:numId w:val="17"/>
        </w:numPr>
        <w:tabs>
          <w:tab w:pos="936" w:val="left" w:leader="none"/>
        </w:tabs>
        <w:spacing w:line="240" w:lineRule="auto" w:before="69" w:after="0"/>
        <w:ind w:left="935" w:right="0" w:hanging="667"/>
        <w:jc w:val="both"/>
        <w:rPr>
          <w:i/>
        </w:rPr>
      </w:pPr>
      <w:r>
        <w:rPr/>
        <w:pict>
          <v:line style="position:absolute;mso-position-horizontal-relative:page;mso-position-vertical-relative:paragraph;z-index:5632" from="93.199997pt,-19.614155pt" to="546.799997pt,-19.614155pt" stroked="true" strokeweight=".479981pt" strokecolor="#000000">
            <w10:wrap type="none"/>
          </v:line>
        </w:pict>
      </w:r>
      <w:r>
        <w:rPr>
          <w:i/>
        </w:rPr>
        <w:t>Autorizaciones para la</w:t>
      </w:r>
      <w:r>
        <w:rPr>
          <w:i/>
          <w:spacing w:val="-1"/>
        </w:rPr>
        <w:t> </w:t>
      </w:r>
      <w:r>
        <w:rPr>
          <w:i/>
        </w:rPr>
        <w:t>sustentabilidad</w:t>
      </w:r>
    </w:p>
    <w:p>
      <w:pPr>
        <w:pStyle w:val="BodyText"/>
        <w:spacing w:before="9"/>
        <w:rPr>
          <w:b/>
          <w:i/>
          <w:sz w:val="34"/>
        </w:rPr>
      </w:pPr>
    </w:p>
    <w:p>
      <w:pPr>
        <w:pStyle w:val="BodyText"/>
        <w:spacing w:line="360" w:lineRule="auto" w:before="1"/>
        <w:ind w:left="268" w:right="231"/>
        <w:jc w:val="both"/>
      </w:pPr>
      <w:r>
        <w:rPr/>
        <w:t>La diferencia existente en términos legislativos y normativos en relación a la conceptualización de la sustentabilidad va más allá de sólo conceptos y definiciones, su importancia radica en la ambigüedad, imprecisión y desintegración que existe en la norma, ya que esto refleja el poco entendimiento sobre lo que significa la sustentabilidad en las administraciones federales, estatales y municipales en México, aún más grave son las acciones políticas que se manifiestan en el territorio y que hoy en día continúan siendo no sustentables; y la sustentabilidad, el desarrollo sustentable, el medio ambiente y la biodiversidad,  son más una frase de campaña y de discurso político. (Carrillo, 2014)</w:t>
      </w:r>
    </w:p>
    <w:p>
      <w:pPr>
        <w:pStyle w:val="BodyText"/>
        <w:spacing w:line="360" w:lineRule="auto" w:before="122"/>
        <w:ind w:left="268" w:right="231"/>
        <w:jc w:val="both"/>
      </w:pPr>
      <w:r>
        <w:rPr/>
        <w:t>Huacuz (2014) refiere a la regulación ambiental (normas e instituciones) como reglas inmutables de nuestra sociedad, las cuales han generado que grupos ecologistas se planteen, si las acciones en materia de regulación del medio ambiente no han sido contraproductivas, especialmente para los individuos a quienes se les intenta garantizar el derecho a un medio ambiente sano.</w:t>
      </w:r>
    </w:p>
    <w:p>
      <w:pPr>
        <w:pStyle w:val="BodyText"/>
        <w:spacing w:line="360" w:lineRule="auto" w:before="122"/>
        <w:ind w:left="268" w:right="231"/>
        <w:jc w:val="both"/>
      </w:pPr>
      <w:r>
        <w:rPr/>
        <w:t>En relación a la normatividad que regula la producción de vivienda formal en el Estado de México a través de la figura de conjuntos urbanos pareciera que continúa una tendencia a nivel nacional. Como menciona Carreño (2014) quien hace referencia que en los últimos años se ha agudizado la complejidad de lo urbano por sus bifurcaciones en lo económico, social, ambiental, político y cultural.</w:t>
      </w:r>
    </w:p>
    <w:p>
      <w:pPr>
        <w:pStyle w:val="BodyText"/>
        <w:spacing w:line="360" w:lineRule="auto" w:before="127"/>
        <w:ind w:left="268" w:right="231"/>
        <w:jc w:val="both"/>
      </w:pPr>
      <w:r>
        <w:rPr/>
        <w:t>Esto ha traído sus consecuencias como la explosión de los conjuntos habitacionales en todo el territorio, no importando lo urbano, lo rural, las ciudades metropolitanas o medianas y el marco normativo des-regulador, fragmentado e impreciso ha contribuido a la ocupación del territorio de la misma manera y la sustentabilidad del territorio queda como un elemento más pendiente en la agenda para el desarrollo de México.</w:t>
      </w:r>
    </w:p>
    <w:p>
      <w:pPr>
        <w:pStyle w:val="BodyText"/>
        <w:spacing w:line="360" w:lineRule="auto" w:before="122"/>
        <w:ind w:left="268" w:right="231"/>
        <w:jc w:val="both"/>
      </w:pPr>
      <w:r>
        <w:rPr/>
        <w:t>Es por ello que la conceptualización de la sustentabilidad debe ser implementada de manera integral, precisa y clara en las normas que regulan la producción de vivienda  formal,  considerando  variables,  ambientales,  sociales,  económicas  </w:t>
      </w:r>
      <w:r>
        <w:rPr>
          <w:spacing w:val="52"/>
        </w:rPr>
        <w:t> </w:t>
      </w:r>
      <w:r>
        <w:rPr/>
        <w:t>y</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5656" from="93.199997pt,-19.614155pt" to="546.799997pt,-19.614155pt" stroked="true" strokeweight=".479981pt" strokecolor="#000000">
            <w10:wrap type="none"/>
          </v:line>
        </w:pict>
      </w:r>
      <w:r>
        <w:rPr/>
        <w:t>territoriales. Buscando dar el siguiente paso para la promoción de vivienda con  una visión de desarrollo sustentable en aspectos que garanticen la sustentabilidad en la autorización de conjuntos urbanos de tipo habitacional sustentables de manera integral y no solo considerando elementos</w:t>
      </w:r>
      <w:r>
        <w:rPr>
          <w:spacing w:val="-2"/>
        </w:rPr>
        <w:t> </w:t>
      </w:r>
      <w:r>
        <w:rPr/>
        <w:t>ambientales.</w:t>
      </w:r>
    </w:p>
    <w:p>
      <w:pPr>
        <w:pStyle w:val="BodyText"/>
        <w:spacing w:line="360" w:lineRule="auto" w:before="127"/>
        <w:ind w:left="268" w:right="231"/>
        <w:jc w:val="both"/>
      </w:pPr>
      <w:r>
        <w:rPr/>
        <w:t>La promoción y autorización de conjuntos urbanos por parte del Estado (instancias gubernamentales responsables) debe considerar ser sustentable para el mismo Estado, para la iniciativa privada y para la sociedad, es necesario tener la visión completa de la complejidad que abarca cada uno de estos tres agentes en su participación dentro del proceso para la promoción, producción y desarrollo de vivienda formal, puesto que la sustentabilidad no solo refiere a temas ambientales, del medio físico natural y ecosistemas.</w:t>
      </w:r>
    </w:p>
    <w:p>
      <w:pPr>
        <w:pStyle w:val="BodyText"/>
        <w:spacing w:line="360" w:lineRule="auto" w:before="122"/>
        <w:ind w:left="268" w:right="231"/>
        <w:jc w:val="both"/>
      </w:pPr>
      <w:r>
        <w:rPr/>
        <w:t>La regulación en materia de sustentabilidad para la autorización de conjuntos urbanos en el Estado de México es particular, segmentada y fragmentada, ésta alude a la sustentabilidad y el desarrollo urbano sustentable como un tema necesario a cubrir dentro de las tendencias de moda y presiones político administrativas para dar una respuesta emergente a los temas ambientales y sociales.</w:t>
      </w:r>
    </w:p>
    <w:p>
      <w:pPr>
        <w:pStyle w:val="BodyText"/>
        <w:spacing w:line="360" w:lineRule="auto" w:before="127"/>
        <w:ind w:left="268" w:right="231"/>
        <w:jc w:val="both"/>
      </w:pPr>
      <w:r>
        <w:rPr/>
        <w:t>Existen diversas propuestas desde la academia e investigación para ser consideradas como políticas públicas e instrumentos que permitan mejorar el marco regulatorio y vincular la sustentabilidad en el desarrollo urbano en los tres ámbitos nacionales; federal, estatal y municipal. (Eibenschutz y Goya, 2009; Rodríguez,</w:t>
      </w:r>
      <w:r>
        <w:rPr>
          <w:spacing w:val="51"/>
        </w:rPr>
        <w:t> </w:t>
      </w:r>
      <w:r>
        <w:rPr/>
        <w:t>2007;</w:t>
      </w:r>
      <w:r>
        <w:rPr>
          <w:spacing w:val="51"/>
        </w:rPr>
        <w:t> </w:t>
      </w:r>
      <w:r>
        <w:rPr/>
        <w:t>Gutiérrez,</w:t>
      </w:r>
      <w:r>
        <w:rPr>
          <w:spacing w:val="51"/>
        </w:rPr>
        <w:t> </w:t>
      </w:r>
      <w:r>
        <w:rPr/>
        <w:t>2012;</w:t>
      </w:r>
      <w:r>
        <w:rPr>
          <w:spacing w:val="51"/>
        </w:rPr>
        <w:t> </w:t>
      </w:r>
      <w:r>
        <w:rPr/>
        <w:t>Villasís,</w:t>
      </w:r>
      <w:r>
        <w:rPr>
          <w:spacing w:val="51"/>
        </w:rPr>
        <w:t> </w:t>
      </w:r>
      <w:r>
        <w:rPr/>
        <w:t>2011;</w:t>
      </w:r>
      <w:r>
        <w:rPr>
          <w:spacing w:val="51"/>
        </w:rPr>
        <w:t> </w:t>
      </w:r>
      <w:r>
        <w:rPr/>
        <w:t>Carrillo,</w:t>
      </w:r>
      <w:r>
        <w:rPr>
          <w:spacing w:val="51"/>
        </w:rPr>
        <w:t> </w:t>
      </w:r>
      <w:r>
        <w:rPr/>
        <w:t>2014;</w:t>
      </w:r>
      <w:r>
        <w:rPr>
          <w:spacing w:val="51"/>
        </w:rPr>
        <w:t> </w:t>
      </w:r>
      <w:r>
        <w:rPr/>
        <w:t>Huacuz,</w:t>
      </w:r>
      <w:r>
        <w:rPr>
          <w:spacing w:val="51"/>
        </w:rPr>
        <w:t> </w:t>
      </w:r>
      <w:r>
        <w:rPr/>
        <w:t>2014;</w:t>
      </w:r>
    </w:p>
    <w:p>
      <w:pPr>
        <w:pStyle w:val="BodyText"/>
        <w:spacing w:before="2"/>
        <w:ind w:left="268"/>
        <w:jc w:val="both"/>
      </w:pPr>
      <w:r>
        <w:rPr/>
        <w:t>Carreño, 2014).</w:t>
      </w:r>
    </w:p>
    <w:p>
      <w:pPr>
        <w:pStyle w:val="BodyText"/>
        <w:spacing w:before="3"/>
        <w:rPr>
          <w:sz w:val="22"/>
        </w:rPr>
      </w:pPr>
    </w:p>
    <w:p>
      <w:pPr>
        <w:pStyle w:val="BodyText"/>
        <w:spacing w:line="360" w:lineRule="auto" w:before="1"/>
        <w:ind w:left="268" w:right="231"/>
        <w:jc w:val="both"/>
      </w:pPr>
      <w:r>
        <w:rPr/>
        <w:t>Desde la participación del Estado (normatividad – instituciones gubernamentales), las autorizaciones de conjuntos urbanos con mayor énfasis las de tipo habitacional deben considerar principios, procesos e indicadores que faculten, evalúen, certifiquen y garanticen la promoción y autorización de proyectos habitacionales sustentables que consideren elementos sociales, ambientales, económicos y territoriales con una perspectiva de desarrollo.</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5680" from="93.199997pt,-19.614155pt" to="546.799997pt,-19.614155pt" stroked="true" strokeweight=".479981pt" strokecolor="#000000">
            <w10:wrap type="none"/>
          </v:line>
        </w:pict>
      </w:r>
      <w:r>
        <w:rPr/>
        <w:t>La producción de vivienda formal a través de conjuntos urbanos habitacionales mediante la participación de la iniciativa privada debe contribuir con el cumplimiento de la regulación existente, aportar innovadores esquemas para la producción de vivienda con perspectiva de desarrollo sustentable, considerando nuevos esquemas para su fabricación, el financiamiento, la legalización, la construcción y la oferta.</w:t>
      </w:r>
    </w:p>
    <w:p>
      <w:pPr>
        <w:pStyle w:val="BodyText"/>
        <w:spacing w:line="360" w:lineRule="auto" w:before="122"/>
        <w:ind w:left="268" w:right="231"/>
        <w:jc w:val="both"/>
      </w:pPr>
      <w:r>
        <w:rPr/>
        <w:t>Para el desarrollo de nuevos derroteros en relación a la promoción y producción  de la vivienda formal a través de los conjuntos urbanos habitacionales, es necesaria la participación real de la sociedad, la cual debe continuar pugnando  sus derechos y consiguiendo ser el voto de mayor peso en la regulación existente y sumarse para proponer, evaluar, observar, corregir, vigilar, controlar y certificar las acciones del Estado y la iniciativa privada.</w:t>
      </w:r>
    </w:p>
    <w:p>
      <w:pPr>
        <w:pStyle w:val="BodyText"/>
        <w:spacing w:line="360" w:lineRule="auto" w:before="122"/>
        <w:ind w:left="268" w:right="231"/>
        <w:jc w:val="both"/>
      </w:pPr>
      <w:r>
        <w:rPr/>
        <w:t>El marco normativo existente en el Estado de México muestra algunos avances en el proceso de incorporación del término de sustentabilidad quizá como sucede en otros Estados de la República Mexicana, diversas son las normas que ostentan incluir la palabra sustentable, sustentabilidad, sostenible, medio ambiente, desarrollo sustentable y desarrollo urbano sustentable.</w:t>
      </w:r>
    </w:p>
    <w:p>
      <w:pPr>
        <w:pStyle w:val="BodyText"/>
        <w:spacing w:line="360" w:lineRule="auto" w:before="127"/>
        <w:ind w:left="268" w:right="231"/>
        <w:jc w:val="both"/>
      </w:pPr>
      <w:r>
        <w:rPr/>
        <w:t>La importancia de anexar el vocablo de sustentabilidad en la normatividad del Estado de México puede ser relativa, ya que en la mayoría de los casos la conceptualización es menuda al ser incorporada en el cuerpo regulador, careciendo de raíces fundadas en descripciones, reglas, principios, procesos, lineamientos, evaluaciones o certificaciones, de inicio en el alcance del propio término, su tendencia y dimensiones, puesto que hablar de sustentabilidad en materia de turismo representa una visión distante de su entendimiento en  el ámbito de la salud o del ordenamiento territorial.</w:t>
      </w:r>
    </w:p>
    <w:p>
      <w:pPr>
        <w:pStyle w:val="BodyText"/>
        <w:spacing w:line="360" w:lineRule="auto" w:before="127"/>
        <w:ind w:left="268" w:right="231"/>
        <w:jc w:val="both"/>
      </w:pPr>
      <w:r>
        <w:rPr/>
        <w:t>El marco regulador que fundamenta las acciones de las dependencias gubernamentales que participan en la autorización de conjuntos urbanos en el Estado de México considera la sustentabilidad en alguna parte de sus articulados, éstos refieren al concepto desde diferentes perspectivas, en la mayoría de los casos la sustentabilidad es abordada desde el medio ambiente y su cuidado, el</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5704" from="93.199997pt,-19.614155pt" to="546.799997pt,-19.614155pt" stroked="true" strokeweight=".479981pt" strokecolor="#000000">
            <w10:wrap type="none"/>
          </v:line>
        </w:pict>
      </w:r>
      <w:r>
        <w:rPr/>
        <w:t>desarrollo urbano debe ser cuidadoso de los recursos naturales y del entorno natural existente desde el cuidado ecológico.</w:t>
      </w:r>
    </w:p>
    <w:p>
      <w:pPr>
        <w:pStyle w:val="BodyText"/>
        <w:spacing w:line="360" w:lineRule="auto" w:before="122"/>
        <w:ind w:left="268" w:right="231"/>
        <w:jc w:val="both"/>
      </w:pPr>
      <w:r>
        <w:rPr/>
        <w:t>Las dependencias en las que recae la responsabilidad de la sustentabilidad tradicionalmente y siendo ya un paradigma a cuestionar son las secretarías de ecología y/o medio ambiente y como el propio nombre lo sugiere el enfoque con el que se aborda la sustentabilidad en estas instancias gubernamentales es de igual modo tradicional y hasta cierto punto podemos decir limitado o parcial, puesto como ya se ha expresado en el apartado uno de este documento  la sustentabilidad debe ser abordada desde su misma complejidad y no de manera tradicional.</w:t>
      </w:r>
    </w:p>
    <w:p>
      <w:pPr>
        <w:pStyle w:val="BodyText"/>
        <w:spacing w:line="360" w:lineRule="auto" w:before="122"/>
        <w:ind w:left="268" w:right="231"/>
        <w:jc w:val="both"/>
      </w:pPr>
      <w:r>
        <w:rPr/>
        <w:t>En la revisión realizada de códigos, leyes, reglamentos que regulan la promoción, producción y desarrollo de vivienda formal, bajo la figura de conjunto urbano en el Estado de México, se observa que el reglamento del Libro Quinto del Código Administrativo del Estado de México es la norma con mayor peso para la legalización y/o autorización de conjuntos urbanos y en paralelo o a manera de apoyo, por la misma naturaleza de las dependencias gubernamentales que participan en la CEDUV la regulación relacionada con otras instancias también juega un papel importante por lo que se considera relevante sea actualizada realizando una integración de la misma.</w:t>
      </w:r>
    </w:p>
    <w:p>
      <w:pPr>
        <w:pStyle w:val="BodyText"/>
        <w:spacing w:line="360" w:lineRule="auto" w:before="122"/>
        <w:ind w:left="268" w:right="231"/>
        <w:jc w:val="both"/>
      </w:pPr>
      <w:r>
        <w:rPr/>
        <w:t>Existen estudios realizados en materia de índices de sustentabilidad desde diversas áreas de estudio, se han propuesto índices de sustentabilidad en el turismo, la agricultura y en materia de sustentabilidad urbana como los indicadores urbanos según la agenda ONU-HÁBITAT, o bien los diferentes indicadores que se trabajan en los observatorios urbanos.</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Heading4"/>
        <w:numPr>
          <w:ilvl w:val="1"/>
          <w:numId w:val="17"/>
        </w:numPr>
        <w:tabs>
          <w:tab w:pos="736" w:val="left" w:leader="none"/>
        </w:tabs>
        <w:spacing w:line="240" w:lineRule="auto" w:before="69" w:after="0"/>
        <w:ind w:left="735" w:right="0" w:hanging="467"/>
        <w:jc w:val="both"/>
      </w:pPr>
      <w:r>
        <w:rPr/>
        <w:pict>
          <v:line style="position:absolute;mso-position-horizontal-relative:page;mso-position-vertical-relative:paragraph;z-index:5728" from="93.199997pt,-19.614155pt" to="546.799997pt,-19.614155pt" stroked="true" strokeweight=".479981pt" strokecolor="#000000">
            <w10:wrap type="none"/>
          </v:line>
        </w:pict>
      </w:r>
      <w:r>
        <w:rPr/>
        <w:t>El proceso de promoción habitacional</w:t>
      </w:r>
    </w:p>
    <w:p>
      <w:pPr>
        <w:pStyle w:val="BodyText"/>
        <w:spacing w:before="5"/>
        <w:rPr>
          <w:b/>
          <w:sz w:val="34"/>
        </w:rPr>
      </w:pPr>
    </w:p>
    <w:p>
      <w:pPr>
        <w:pStyle w:val="Heading5"/>
        <w:numPr>
          <w:ilvl w:val="2"/>
          <w:numId w:val="17"/>
        </w:numPr>
        <w:tabs>
          <w:tab w:pos="936" w:val="left" w:leader="none"/>
        </w:tabs>
        <w:spacing w:line="240" w:lineRule="auto" w:before="0" w:after="0"/>
        <w:ind w:left="935" w:right="0" w:hanging="667"/>
        <w:jc w:val="both"/>
        <w:rPr>
          <w:i/>
        </w:rPr>
      </w:pPr>
      <w:r>
        <w:rPr>
          <w:i/>
        </w:rPr>
        <w:t>Gestión y legalización de la tierra</w:t>
      </w:r>
    </w:p>
    <w:p>
      <w:pPr>
        <w:pStyle w:val="BodyText"/>
        <w:rPr>
          <w:b/>
          <w:i/>
        </w:rPr>
      </w:pPr>
    </w:p>
    <w:p>
      <w:pPr>
        <w:pStyle w:val="BodyText"/>
        <w:spacing w:before="3"/>
        <w:rPr>
          <w:b/>
          <w:i/>
          <w:sz w:val="21"/>
        </w:rPr>
      </w:pPr>
    </w:p>
    <w:p>
      <w:pPr>
        <w:pStyle w:val="BodyText"/>
        <w:spacing w:line="360" w:lineRule="auto"/>
        <w:ind w:left="268" w:right="231"/>
        <w:jc w:val="both"/>
      </w:pPr>
      <w:r>
        <w:rPr/>
        <w:t>La normatividad en la materia menciona de manera enunciativa más no limitativa que para el desarrollo de proyectos habitacionales en el territorio de un municipio la tierra debe contar con un uso de suelo de tipo habitacional principalmente; sin embargo, existen clasificaciones de uso de suelo que no necesariamente son de tipo habitacional en los cuales se permite llevar a cabo un proyecto</w:t>
      </w:r>
      <w:r>
        <w:rPr>
          <w:spacing w:val="-1"/>
        </w:rPr>
        <w:t> </w:t>
      </w:r>
      <w:r>
        <w:rPr/>
        <w:t>habitacional.</w:t>
      </w:r>
    </w:p>
    <w:p>
      <w:pPr>
        <w:pStyle w:val="BodyText"/>
        <w:spacing w:line="360" w:lineRule="auto" w:before="122"/>
        <w:ind w:left="268" w:right="231"/>
        <w:jc w:val="both"/>
      </w:pPr>
      <w:r>
        <w:rPr/>
        <w:t>El conjunto de actividades relacionadas con la gestión y legalización de la tierra puede ser abordado desde distintas perspectivas y enfoques, éstos se definen   con base a las características del estudio, investigación, fenómeno o proyecto a desarrollar para este trabajo de investigación se abordan continuando el orden de ideas anteriormente mencionadas, las cuales buscan exponer el proceso que se lleva a cabo en el Estado de México para la autorización de un proyecto habitacional mediante la figura de conjunto</w:t>
      </w:r>
      <w:r>
        <w:rPr>
          <w:spacing w:val="-1"/>
        </w:rPr>
        <w:t> </w:t>
      </w:r>
      <w:r>
        <w:rPr/>
        <w:t>urbano.</w:t>
      </w:r>
    </w:p>
    <w:p>
      <w:pPr>
        <w:pStyle w:val="BodyText"/>
        <w:spacing w:line="360" w:lineRule="auto" w:before="122"/>
        <w:ind w:left="268" w:right="231"/>
        <w:jc w:val="both"/>
      </w:pPr>
      <w:r>
        <w:rPr/>
        <w:t>Partiendo del conocimiento previo en cuestión del suelo o conceptualizando el mismo en esta investigación como tierra, refiriendo con ello que en México existen principalmente dos tipos de tenencia de la tierra al cual tienen acceso de derecho de propiedad la sociedad en general; tierra con tenencia ejidal también conocida como comunal y la de tipo privada, entre estas dos clasificaciones existe la tierra propiedad del Estado que forma parte de la Nación y el erario público.</w:t>
      </w:r>
    </w:p>
    <w:p>
      <w:pPr>
        <w:pStyle w:val="BodyText"/>
        <w:spacing w:line="360" w:lineRule="auto" w:before="122"/>
        <w:ind w:left="268" w:right="231"/>
        <w:jc w:val="both"/>
      </w:pPr>
      <w:r>
        <w:rPr/>
        <w:t>El Estado a través del tiempo y con fundamento en el marco legislativo vigente a regulado la promoción y administración de la tenencia de la tierra, así como el proceso de autorizaciones de conjuntos urbanos ya sean de tipo habitacional, mixto, de servicios, comerciales o industriales. En el primer caso mediante la Ley Agraria y en el segundo mediante la Ley General de Asentamientos Humanos y  las diferentes leyes estatales, como el Libro Quinto del Código Administrativo del Estado  de  México  y  el  Reglamento  de  este  libro  que  refiere  al</w:t>
      </w:r>
      <w:r>
        <w:rPr>
          <w:spacing w:val="17"/>
        </w:rPr>
        <w:t> </w:t>
      </w:r>
      <w:r>
        <w:rPr/>
        <w:t>ordenamiento</w:t>
      </w:r>
    </w:p>
    <w:p>
      <w:pPr>
        <w:spacing w:after="0" w:line="360" w:lineRule="auto"/>
        <w:jc w:val="both"/>
        <w:sectPr>
          <w:footerReference w:type="default" r:id="rId94"/>
          <w:pgSz w:w="12240" w:h="15840"/>
          <w:pgMar w:footer="1066" w:header="730"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5752" from="93.199997pt,-19.614155pt" to="546.799997pt,-19.614155pt" stroked="true" strokeweight=".479981pt" strokecolor="#000000">
            <w10:wrap type="none"/>
          </v:line>
        </w:pict>
      </w:r>
      <w:r>
        <w:rPr/>
        <w:t>territorial de los asentamientos humanos y del desarrollo urbano de los centros de población.</w:t>
      </w:r>
    </w:p>
    <w:p>
      <w:pPr>
        <w:pStyle w:val="BodyText"/>
        <w:spacing w:line="360" w:lineRule="auto" w:before="122"/>
        <w:ind w:left="268" w:right="231"/>
        <w:jc w:val="both"/>
      </w:pPr>
      <w:r>
        <w:rPr/>
        <w:t>Por lo anterior para que un promotor inmobiliario pueda producir vivienda formal a través de la autorización de un proyecto habitacional, debe de contar con tierra  con algún tipo de tenencia, en la mayoría de los casos sino es que en el 100% de los mismos la iniciativa privada invierte en tierra con tenencia de propiedad privada esto se debe a la situación de certidumbre jurídica de la misma, al menor número de trámites y gestiones que involucra el contar con propiedad privada en lugar de tierra de tipo ejidal, aunque existen algunos promotores que han logrado encontrar un nicho de mercado exitoso en la adquisición, legalización e incorporación de tierra</w:t>
      </w:r>
      <w:r>
        <w:rPr>
          <w:spacing w:val="-1"/>
        </w:rPr>
        <w:t> </w:t>
      </w:r>
      <w:r>
        <w:rPr/>
        <w:t>ejidal.</w:t>
      </w:r>
    </w:p>
    <w:p>
      <w:pPr>
        <w:pStyle w:val="BodyText"/>
        <w:spacing w:line="360" w:lineRule="auto" w:before="122"/>
        <w:ind w:left="268" w:right="231"/>
        <w:jc w:val="both"/>
      </w:pPr>
      <w:r>
        <w:rPr/>
        <w:t>Una de las principales características de la tierra con potencial para el desarrollo inmobiliario como ya se mencionó, es la tenencia de la tierra, otro de los  elementos que se requieren para un proyecto habitacional es el uso de suelo con el que cuenta la tierra en la mayoría de los casos este elemento es igual o tan importante como el tipo de tenencia de tierra, el uso de suelo de una propiedad cual fuere su tipo de tenencia principalmente está determinado con base en el plan de desarrollo urbano municipal en el que se encuentre ubicada la tierra, existen otros planes como los de desarrollo urbano regional o parciales también de carácter municipal; sin embargo, de manera estandarizada cada municipio en  cada uno de los Estados de la República Mexicana cuenta con su plan de desarrollo urbano municipal, instrumento que regula el uso de suelo del territorio correspondiente al municipio de que se trate.</w:t>
      </w:r>
    </w:p>
    <w:p>
      <w:pPr>
        <w:pStyle w:val="BodyText"/>
        <w:spacing w:line="360" w:lineRule="auto" w:before="122"/>
        <w:ind w:left="268" w:right="231"/>
        <w:jc w:val="both"/>
      </w:pPr>
      <w:r>
        <w:rPr/>
        <w:t>El uso de suelo de la tierra existente en un territorio municipal cuenta con diferentes y variadas clasificaciones, los cuales principalmente tienen como base usos generales que son agrícola, agropecuario, áreas naturales, reservas naturales, habitacionales, centros de población, industriales, servicios, comerciales, educativos, por mencionar</w:t>
      </w:r>
      <w:r>
        <w:rPr>
          <w:spacing w:val="-1"/>
        </w:rPr>
        <w:t> </w:t>
      </w:r>
      <w:r>
        <w:rPr/>
        <w:t>algunos.</w:t>
      </w:r>
    </w:p>
    <w:p>
      <w:pPr>
        <w:pStyle w:val="BodyText"/>
        <w:spacing w:line="362" w:lineRule="auto" w:before="122"/>
        <w:ind w:left="268" w:right="231"/>
        <w:jc w:val="both"/>
      </w:pPr>
      <w:r>
        <w:rPr/>
        <w:t>En la practica el Estado a través de sus instancias gubernamentales regulan los planes de desarrollo urbano municipal y por ende el uso de suelo del territorio y </w:t>
      </w:r>
      <w:r>
        <w:rPr>
          <w:spacing w:val="53"/>
        </w:rPr>
        <w:t> </w:t>
      </w:r>
      <w:r>
        <w:rPr/>
        <w:t>la</w:t>
      </w:r>
    </w:p>
    <w:p>
      <w:pPr>
        <w:spacing w:after="0" w:line="362" w:lineRule="auto"/>
        <w:jc w:val="both"/>
        <w:sectPr>
          <w:footerReference w:type="default" r:id="rId95"/>
          <w:pgSz w:w="12240" w:h="15840"/>
          <w:pgMar w:footer="1066" w:header="730" w:top="1320" w:bottom="1260" w:left="1720" w:right="1180"/>
          <w:pgNumType w:start="141"/>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5776" from="93.199997pt,-19.614155pt" to="546.799997pt,-19.614155pt" stroked="true" strokeweight=".479981pt" strokecolor="#000000">
            <w10:wrap type="none"/>
          </v:line>
        </w:pict>
      </w:r>
      <w:r>
        <w:rPr/>
        <w:t>iniciativa privada realiza estudios de prospección de tierra para considerar su inversión y adquisición con el objetivo de llevar a cabo un proyecto habitacional. En este proceso de prospección de tierra un tercer elemento primordial entra en juego para la adquisición de tierra y éste es el costo por metro cuadrado de la misma, evidentemente la tierra que cuenta con las dos primeras características; tenencia privada y uso de suelo de tipo habitacional específico, representa un mayor precio de venta por metro cuadrado.</w:t>
      </w:r>
    </w:p>
    <w:p>
      <w:pPr>
        <w:pStyle w:val="BodyText"/>
        <w:spacing w:line="360" w:lineRule="auto" w:before="122"/>
        <w:ind w:left="268" w:right="232"/>
        <w:jc w:val="both"/>
      </w:pPr>
      <w:r>
        <w:rPr/>
        <w:t>Por lo anterior la tierra con un precio por metro cuadrado más bajo cuenta con otro tipo de características, como tenencia de tierra de tipo ejidal o comunal y/o un uso de suelo distinto al habitacional u otro que permita realizar un anteproyecto de conjunto urbano que sea considerado para el ingreso a la CEDUV.</w:t>
      </w:r>
    </w:p>
    <w:p>
      <w:pPr>
        <w:pStyle w:val="BodyText"/>
        <w:spacing w:line="360" w:lineRule="auto" w:before="122"/>
        <w:ind w:left="268" w:right="231"/>
        <w:jc w:val="both"/>
      </w:pPr>
      <w:r>
        <w:rPr/>
        <w:t>Cabe hacer mención que la tierra con usos adecuados para el desarrollo de proyectos habitacionales regularmente se encuentra ubicada en los centros urbanos reconocidos o en otras palabras en los asentamientos urbanos en los que el precio de la tierra es mucho más elevado que en las afueras de éstos un fenómeno que al parecer se replica en todas las ciudades de México.</w:t>
      </w:r>
    </w:p>
    <w:p>
      <w:pPr>
        <w:pStyle w:val="BodyText"/>
        <w:spacing w:line="360" w:lineRule="auto" w:before="122"/>
        <w:ind w:left="268" w:right="231"/>
        <w:jc w:val="both"/>
      </w:pPr>
      <w:r>
        <w:rPr/>
        <w:t>Con base en lo anterior, los promotores inmobiliarios realizan estudios de prospección de tierra que les permiten discernir y elaborar una planeación estratégica para continuar con las gestiones y la legalización de la tierra en la cual el proyecto de inversión resulta rentable con base a las políticas de las empresas las cuales siempre buscan maximizar sus activos.</w:t>
      </w:r>
    </w:p>
    <w:p>
      <w:pPr>
        <w:pStyle w:val="BodyText"/>
        <w:spacing w:line="360" w:lineRule="auto" w:before="127"/>
        <w:ind w:left="268" w:right="231"/>
        <w:jc w:val="both"/>
      </w:pPr>
      <w:r>
        <w:rPr/>
        <w:t>Toda vez que el estudio de inversión realizado sobre un predio determina la rentabilidad del mismo considerando las principales características que son; tenencia, uso de suelo y precio por metro cuadrado. La continuidad de su legalización radica en las gestiones que se requerirán para su legalización y éstas son las siguientes:</w:t>
      </w:r>
    </w:p>
    <w:p>
      <w:pPr>
        <w:pStyle w:val="ListParagraph"/>
        <w:numPr>
          <w:ilvl w:val="0"/>
          <w:numId w:val="18"/>
        </w:numPr>
        <w:tabs>
          <w:tab w:pos="988" w:val="left" w:leader="none"/>
          <w:tab w:pos="989" w:val="left" w:leader="none"/>
        </w:tabs>
        <w:spacing w:line="350" w:lineRule="auto" w:before="121" w:after="0"/>
        <w:ind w:left="988" w:right="231" w:hanging="360"/>
        <w:jc w:val="left"/>
        <w:rPr>
          <w:sz w:val="24"/>
        </w:rPr>
      </w:pPr>
      <w:r>
        <w:rPr>
          <w:sz w:val="24"/>
        </w:rPr>
        <w:t>Regularizar o incorporar un predio con tenencia ejidal o comunal a un  predio con características de propiedad privada.</w:t>
      </w:r>
    </w:p>
    <w:p>
      <w:pPr>
        <w:spacing w:after="0" w:line="350" w:lineRule="auto"/>
        <w:jc w:val="left"/>
        <w:rPr>
          <w:sz w:val="24"/>
        </w:rPr>
        <w:sectPr>
          <w:pgSz w:w="12240" w:h="15840"/>
          <w:pgMar w:header="730" w:footer="1066" w:top="1320" w:bottom="1260" w:left="1720" w:right="1180"/>
        </w:sectPr>
      </w:pPr>
    </w:p>
    <w:p>
      <w:pPr>
        <w:pStyle w:val="BodyText"/>
        <w:spacing w:before="4"/>
        <w:rPr>
          <w:sz w:val="19"/>
        </w:rPr>
      </w:pPr>
    </w:p>
    <w:p>
      <w:pPr>
        <w:pStyle w:val="ListParagraph"/>
        <w:numPr>
          <w:ilvl w:val="0"/>
          <w:numId w:val="18"/>
        </w:numPr>
        <w:tabs>
          <w:tab w:pos="988" w:val="left" w:leader="none"/>
          <w:tab w:pos="989" w:val="left" w:leader="none"/>
        </w:tabs>
        <w:spacing w:line="350" w:lineRule="auto" w:before="53" w:after="0"/>
        <w:ind w:left="988" w:right="231" w:hanging="360"/>
        <w:jc w:val="left"/>
        <w:rPr>
          <w:sz w:val="24"/>
        </w:rPr>
      </w:pPr>
      <w:r>
        <w:rPr/>
        <w:pict>
          <v:line style="position:absolute;mso-position-horizontal-relative:page;mso-position-vertical-relative:paragraph;z-index:5800" from="93.199997pt,-20.325533pt" to="546.799997pt,-20.325533pt" stroked="true" strokeweight=".479981pt" strokecolor="#000000">
            <w10:wrap type="none"/>
          </v:line>
        </w:pict>
      </w:r>
      <w:r>
        <w:rPr>
          <w:sz w:val="24"/>
        </w:rPr>
        <w:t>Procedimiento que se lleva a cabo en el Registro Agrario Nacional y en el Registro Público de la Propiedad.</w:t>
      </w:r>
    </w:p>
    <w:p>
      <w:pPr>
        <w:pStyle w:val="ListParagraph"/>
        <w:numPr>
          <w:ilvl w:val="0"/>
          <w:numId w:val="18"/>
        </w:numPr>
        <w:tabs>
          <w:tab w:pos="988" w:val="left" w:leader="none"/>
          <w:tab w:pos="989" w:val="left" w:leader="none"/>
        </w:tabs>
        <w:spacing w:line="355" w:lineRule="auto" w:before="11" w:after="0"/>
        <w:ind w:left="988" w:right="231" w:hanging="360"/>
        <w:jc w:val="left"/>
        <w:rPr>
          <w:sz w:val="24"/>
        </w:rPr>
      </w:pPr>
      <w:r>
        <w:rPr>
          <w:sz w:val="24"/>
        </w:rPr>
        <w:t>Contar con el uso de suelo que permita desarrollar el proyecto habitacional que se pretende.</w:t>
      </w:r>
    </w:p>
    <w:p>
      <w:pPr>
        <w:pStyle w:val="BodyText"/>
        <w:spacing w:line="360" w:lineRule="auto" w:before="128"/>
        <w:ind w:left="268" w:right="231"/>
        <w:jc w:val="both"/>
      </w:pPr>
      <w:r>
        <w:rPr/>
        <w:t>Esta gestión puede contar con un índice de complejidad aún mayor a la anterior y esto normalmente depende del tipo de uso de suelo con el que cuenta el predio. Puesto que para realizar un cambio de uso de suelo se requieren una serie de trámites específicos y especiales para su autorización.</w:t>
      </w:r>
    </w:p>
    <w:p>
      <w:pPr>
        <w:pStyle w:val="BodyText"/>
        <w:spacing w:line="360" w:lineRule="auto" w:before="122"/>
        <w:ind w:left="268" w:right="231"/>
        <w:jc w:val="both"/>
      </w:pPr>
      <w:r>
        <w:rPr/>
        <w:t>El proceso de negociación para el precio de compra por metro cuadrado del  predio. Este es un trabajo exclusivo entre los interesados; los inversores y los que venden. Actualmente la mayoría de los promotores inmobiliarios no adquieren tierra comprándola en su totalidad, sino generar contratos de promesa de compra venta parcial que son cubiertos con base al avance de venta y conclusión de etapas de sus</w:t>
      </w:r>
      <w:r>
        <w:rPr>
          <w:spacing w:val="-1"/>
        </w:rPr>
        <w:t> </w:t>
      </w:r>
      <w:r>
        <w:rPr/>
        <w:t>proyectos.</w:t>
      </w:r>
    </w:p>
    <w:p>
      <w:pPr>
        <w:pStyle w:val="BodyText"/>
        <w:spacing w:line="360" w:lineRule="auto" w:before="127"/>
        <w:ind w:left="268" w:right="232"/>
        <w:jc w:val="both"/>
      </w:pPr>
      <w:r>
        <w:rPr/>
        <w:t>Cabe resaltar que el proceso de gestión y legalización de la tierra es incluido en  las corridas financieras, proformas y/o proyectos de inversión realizados por los promotores inmobiliarios, lo que conlleva a que el costo que estas gestiones les genera sean consideradas en el precio final de la vivienda, por lo que el  incremento del precio debe considerarse recíproco a las características de la tierra en la que se desarrolla un proyecto habitacional.</w:t>
      </w:r>
    </w:p>
    <w:p>
      <w:pPr>
        <w:pStyle w:val="BodyText"/>
        <w:spacing w:line="360" w:lineRule="auto" w:before="122"/>
        <w:ind w:left="268" w:right="231"/>
        <w:jc w:val="both"/>
      </w:pPr>
      <w:r>
        <w:rPr/>
        <w:t>Existen una serie de temas relevantes e inquietantes, pero de cierta fineza y algidez en la correlación que parece existir entre las tres características de la tierra que anteriormente se mencionan que impactan de manera significativa tanto en el territorio como en el precio de la vivienda. Y éstos pueden o no ser demostrados puesto que pareciera que existe un paradigma entorno a ellos.</w:t>
      </w:r>
    </w:p>
    <w:p>
      <w:pPr>
        <w:pStyle w:val="BodyText"/>
      </w:pPr>
    </w:p>
    <w:p>
      <w:pPr>
        <w:pStyle w:val="Heading5"/>
        <w:numPr>
          <w:ilvl w:val="2"/>
          <w:numId w:val="17"/>
        </w:numPr>
        <w:tabs>
          <w:tab w:pos="936" w:val="left" w:leader="none"/>
        </w:tabs>
        <w:spacing w:line="240" w:lineRule="auto" w:before="211" w:after="0"/>
        <w:ind w:left="935" w:right="0" w:hanging="667"/>
        <w:jc w:val="both"/>
        <w:rPr>
          <w:i/>
        </w:rPr>
      </w:pPr>
      <w:r>
        <w:rPr>
          <w:i/>
        </w:rPr>
        <w:t>Pre factibilidad de la tierra y del proyecto de conjunto urbano</w:t>
      </w:r>
    </w:p>
    <w:p>
      <w:pPr>
        <w:pStyle w:val="BodyText"/>
        <w:spacing w:before="8"/>
        <w:rPr>
          <w:b/>
          <w:i/>
          <w:sz w:val="27"/>
        </w:rPr>
      </w:pPr>
    </w:p>
    <w:p>
      <w:pPr>
        <w:pStyle w:val="BodyText"/>
        <w:spacing w:line="362" w:lineRule="auto"/>
        <w:ind w:left="268" w:right="231"/>
        <w:jc w:val="both"/>
      </w:pPr>
      <w:r>
        <w:rPr/>
        <w:t>En el apartado anterior se hizo referencia a tres características importantes para la adquisición   de   tierra   por   parte   de   un   promotor   inmobiliario   que  influyen</w:t>
      </w:r>
    </w:p>
    <w:p>
      <w:pPr>
        <w:spacing w:after="0" w:line="362"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5824" from="93.199997pt,-19.614155pt" to="546.799997pt,-19.614155pt" stroked="true" strokeweight=".479981pt" strokecolor="#000000">
            <w10:wrap type="none"/>
          </v:line>
        </w:pict>
      </w:r>
      <w:r>
        <w:rPr/>
        <w:t>radicalmente en la planeación de un proyecto de inversión para el desarrollo de un anteproyecto de conjunto urbano. Continuando con ese orden de ideas, la pre factibilidad de la tierra y del proyecto de conjunto urbano obedece a elementos  que están ligados con el proceso de obtención de la constancia de viabilidad por parte de la CEDUV que da inicio al proceso de autorización de un conjunto urbano cual fuere su tipo.</w:t>
      </w:r>
    </w:p>
    <w:p>
      <w:pPr>
        <w:pStyle w:val="BodyText"/>
        <w:spacing w:line="360" w:lineRule="auto" w:before="122"/>
        <w:ind w:left="268" w:right="231"/>
        <w:jc w:val="both"/>
      </w:pPr>
      <w:r>
        <w:rPr/>
        <w:t>Según refieren la mayoría de los promotores inmobiliarios y los servidores públicos del medio, ambos considerados expertos en el tema, son tres características esenciales con las que un predio debe contar para la pre factibilidad, éstas son:</w:t>
      </w:r>
    </w:p>
    <w:p>
      <w:pPr>
        <w:pStyle w:val="ListParagraph"/>
        <w:numPr>
          <w:ilvl w:val="0"/>
          <w:numId w:val="19"/>
        </w:numPr>
        <w:tabs>
          <w:tab w:pos="549" w:val="left" w:leader="none"/>
        </w:tabs>
        <w:spacing w:line="240" w:lineRule="auto" w:before="122" w:after="0"/>
        <w:ind w:left="548" w:right="0" w:hanging="280"/>
        <w:jc w:val="both"/>
        <w:rPr>
          <w:sz w:val="24"/>
        </w:rPr>
      </w:pPr>
      <w:r>
        <w:rPr>
          <w:sz w:val="24"/>
        </w:rPr>
        <w:t>Propiedad libre de</w:t>
      </w:r>
      <w:r>
        <w:rPr>
          <w:spacing w:val="-1"/>
          <w:sz w:val="24"/>
        </w:rPr>
        <w:t> </w:t>
      </w:r>
      <w:r>
        <w:rPr>
          <w:sz w:val="24"/>
        </w:rPr>
        <w:t>gravamen.</w:t>
      </w:r>
    </w:p>
    <w:p>
      <w:pPr>
        <w:pStyle w:val="BodyText"/>
        <w:spacing w:before="3"/>
        <w:rPr>
          <w:sz w:val="22"/>
        </w:rPr>
      </w:pPr>
    </w:p>
    <w:p>
      <w:pPr>
        <w:pStyle w:val="ListParagraph"/>
        <w:numPr>
          <w:ilvl w:val="0"/>
          <w:numId w:val="19"/>
        </w:numPr>
        <w:tabs>
          <w:tab w:pos="549" w:val="left" w:leader="none"/>
        </w:tabs>
        <w:spacing w:line="240" w:lineRule="auto" w:before="1" w:after="0"/>
        <w:ind w:left="548" w:right="0" w:hanging="280"/>
        <w:jc w:val="both"/>
        <w:rPr>
          <w:sz w:val="24"/>
        </w:rPr>
      </w:pPr>
      <w:r>
        <w:rPr>
          <w:sz w:val="24"/>
        </w:rPr>
        <w:t>Constancia de factibilidad de energía eléctrica,</w:t>
      </w:r>
      <w:r>
        <w:rPr>
          <w:spacing w:val="-2"/>
          <w:sz w:val="24"/>
        </w:rPr>
        <w:t> </w:t>
      </w:r>
      <w:r>
        <w:rPr>
          <w:sz w:val="24"/>
        </w:rPr>
        <w:t>y;</w:t>
      </w:r>
    </w:p>
    <w:p>
      <w:pPr>
        <w:pStyle w:val="BodyText"/>
        <w:spacing w:before="3"/>
        <w:rPr>
          <w:sz w:val="22"/>
        </w:rPr>
      </w:pPr>
    </w:p>
    <w:p>
      <w:pPr>
        <w:pStyle w:val="ListParagraph"/>
        <w:numPr>
          <w:ilvl w:val="0"/>
          <w:numId w:val="19"/>
        </w:numPr>
        <w:tabs>
          <w:tab w:pos="549" w:val="left" w:leader="none"/>
        </w:tabs>
        <w:spacing w:line="240" w:lineRule="auto" w:before="1" w:after="0"/>
        <w:ind w:left="548" w:right="0" w:hanging="280"/>
        <w:jc w:val="both"/>
        <w:rPr>
          <w:sz w:val="24"/>
        </w:rPr>
      </w:pPr>
      <w:r>
        <w:rPr>
          <w:sz w:val="24"/>
        </w:rPr>
        <w:t>Constancia de factibilidad de agua potable.</w:t>
      </w:r>
    </w:p>
    <w:p>
      <w:pPr>
        <w:pStyle w:val="BodyText"/>
        <w:spacing w:before="3"/>
        <w:rPr>
          <w:sz w:val="22"/>
        </w:rPr>
      </w:pPr>
    </w:p>
    <w:p>
      <w:pPr>
        <w:pStyle w:val="BodyText"/>
        <w:spacing w:line="360" w:lineRule="auto" w:before="1"/>
        <w:ind w:left="268" w:right="231"/>
        <w:jc w:val="both"/>
      </w:pPr>
      <w:r>
        <w:rPr/>
        <w:t>La pre factibilidad de la tierra puede considerarse una práctica sencilla de medición del riesgo desde dos perspectivas; la primera como un análisis en el proceso de prospección de tierra por parte de la iniciativa privada y la segunda, como un análisis previo por parte de las instituciones gubernamentales del Estado para orientar al promotor inmobiliario dando a conocer el potencial de la tierra así como las posibles acciones de gestión, promoción y legalización que el promotor inmobiliario debe llevar a cabo para legalizar e incorporar la tierra en un proceso  de autorización de conjunto</w:t>
      </w:r>
      <w:r>
        <w:rPr>
          <w:spacing w:val="-1"/>
        </w:rPr>
        <w:t> </w:t>
      </w:r>
      <w:r>
        <w:rPr/>
        <w:t>urbano.</w:t>
      </w:r>
    </w:p>
    <w:p>
      <w:pPr>
        <w:pStyle w:val="BodyText"/>
        <w:spacing w:line="362" w:lineRule="auto" w:before="122"/>
        <w:ind w:left="268" w:right="231"/>
        <w:jc w:val="both"/>
      </w:pPr>
      <w:r>
        <w:rPr/>
        <w:t>Para realizar la práctica de pre factibilidad es necesario que el promotor inmobiliario cuente con los documentos básicos de la propiedad los cuales son:</w:t>
      </w:r>
    </w:p>
    <w:p>
      <w:pPr>
        <w:pStyle w:val="ListParagraph"/>
        <w:numPr>
          <w:ilvl w:val="1"/>
          <w:numId w:val="19"/>
        </w:numPr>
        <w:tabs>
          <w:tab w:pos="988" w:val="left" w:leader="none"/>
          <w:tab w:pos="989" w:val="left" w:leader="none"/>
        </w:tabs>
        <w:spacing w:line="355" w:lineRule="auto" w:before="118" w:after="0"/>
        <w:ind w:left="988" w:right="232" w:hanging="360"/>
        <w:jc w:val="left"/>
        <w:rPr>
          <w:sz w:val="24"/>
        </w:rPr>
      </w:pPr>
      <w:r>
        <w:rPr>
          <w:sz w:val="24"/>
        </w:rPr>
        <w:t>Documentos que acrediten la propiedad, inscritos en el registro público de  la propiedad.</w:t>
      </w:r>
    </w:p>
    <w:p>
      <w:pPr>
        <w:pStyle w:val="ListParagraph"/>
        <w:numPr>
          <w:ilvl w:val="1"/>
          <w:numId w:val="19"/>
        </w:numPr>
        <w:tabs>
          <w:tab w:pos="988" w:val="left" w:leader="none"/>
          <w:tab w:pos="989" w:val="left" w:leader="none"/>
        </w:tabs>
        <w:spacing w:line="240" w:lineRule="auto" w:before="6" w:after="0"/>
        <w:ind w:left="988" w:right="0" w:hanging="360"/>
        <w:jc w:val="left"/>
        <w:rPr>
          <w:sz w:val="24"/>
        </w:rPr>
      </w:pPr>
      <w:r>
        <w:rPr>
          <w:sz w:val="24"/>
        </w:rPr>
        <w:t>Recibo de pago del impuesto predial.</w:t>
      </w:r>
    </w:p>
    <w:p>
      <w:pPr>
        <w:pStyle w:val="ListParagraph"/>
        <w:numPr>
          <w:ilvl w:val="1"/>
          <w:numId w:val="19"/>
        </w:numPr>
        <w:tabs>
          <w:tab w:pos="988" w:val="left" w:leader="none"/>
          <w:tab w:pos="989" w:val="left" w:leader="none"/>
        </w:tabs>
        <w:spacing w:line="240" w:lineRule="auto" w:before="133" w:after="0"/>
        <w:ind w:left="988" w:right="0" w:hanging="360"/>
        <w:jc w:val="left"/>
        <w:rPr>
          <w:sz w:val="24"/>
        </w:rPr>
      </w:pPr>
      <w:r>
        <w:rPr>
          <w:sz w:val="24"/>
        </w:rPr>
        <w:t>Alineamiento y número</w:t>
      </w:r>
      <w:r>
        <w:rPr>
          <w:spacing w:val="-1"/>
          <w:sz w:val="24"/>
        </w:rPr>
        <w:t> </w:t>
      </w:r>
      <w:r>
        <w:rPr>
          <w:sz w:val="24"/>
        </w:rPr>
        <w:t>oficial.</w:t>
      </w:r>
    </w:p>
    <w:p>
      <w:pPr>
        <w:pStyle w:val="BodyText"/>
        <w:spacing w:before="6"/>
        <w:rPr>
          <w:sz w:val="22"/>
        </w:rPr>
      </w:pPr>
    </w:p>
    <w:p>
      <w:pPr>
        <w:pStyle w:val="BodyText"/>
        <w:spacing w:line="360" w:lineRule="auto"/>
        <w:ind w:left="268" w:right="232"/>
        <w:jc w:val="both"/>
      </w:pPr>
      <w:r>
        <w:rPr/>
        <w:t>Al contar con los documentos básicos de la propiedad es posible obtener los documentos oficiales que den certidumbre en la pre factibilidad de la tierra, así</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5848" from="93.199997pt,-19.614155pt" to="546.799997pt,-19.614155pt" stroked="true" strokeweight=".479981pt" strokecolor="#000000">
            <w10:wrap type="none"/>
          </v:line>
        </w:pict>
      </w:r>
      <w:r>
        <w:rPr/>
        <w:t>como las características con las que se puede elaborar un anteproyecto de conjunto urbano con base en la normatividad vigente en la materia, así como a posibles observaciones y características propias del proyecto.</w:t>
      </w:r>
    </w:p>
    <w:p>
      <w:pPr>
        <w:pStyle w:val="ListParagraph"/>
        <w:numPr>
          <w:ilvl w:val="0"/>
          <w:numId w:val="20"/>
        </w:numPr>
        <w:tabs>
          <w:tab w:pos="549" w:val="left" w:leader="none"/>
        </w:tabs>
        <w:spacing w:line="240" w:lineRule="auto" w:before="122" w:after="0"/>
        <w:ind w:left="548" w:right="0" w:hanging="280"/>
        <w:jc w:val="both"/>
        <w:rPr>
          <w:sz w:val="24"/>
        </w:rPr>
      </w:pPr>
      <w:r>
        <w:rPr>
          <w:sz w:val="24"/>
        </w:rPr>
        <w:t>Certificado de libertad de gravamen.</w:t>
      </w:r>
    </w:p>
    <w:p>
      <w:pPr>
        <w:pStyle w:val="BodyText"/>
        <w:spacing w:before="8"/>
        <w:rPr>
          <w:sz w:val="22"/>
        </w:rPr>
      </w:pPr>
    </w:p>
    <w:p>
      <w:pPr>
        <w:pStyle w:val="BodyText"/>
        <w:spacing w:line="360" w:lineRule="auto"/>
        <w:ind w:left="268" w:right="232"/>
        <w:jc w:val="both"/>
      </w:pPr>
      <w:r>
        <w:rPr/>
        <w:t>Este documento puede obtenerse en el Registro Público de la Propiedad, en las oficinas regionales de carácter estatal a las que pertenezca el municipio de acuerdo a la ubicación del predio.</w:t>
      </w:r>
    </w:p>
    <w:p>
      <w:pPr>
        <w:pStyle w:val="BodyText"/>
        <w:spacing w:line="360" w:lineRule="auto" w:before="122"/>
        <w:ind w:left="268" w:right="231"/>
        <w:jc w:val="both"/>
      </w:pPr>
      <w:r>
        <w:rPr/>
        <w:t>El certificado de libertad de graven informa la situación actual en materia de gravámenes en la que se encuentra la propiedad. En este sentido, sí la propiedad reporta un gravamen y se debe considerar la naturaleza de este para valorar continuar o no, con las gestiones de la de la tierra.</w:t>
      </w:r>
    </w:p>
    <w:p>
      <w:pPr>
        <w:pStyle w:val="ListParagraph"/>
        <w:numPr>
          <w:ilvl w:val="0"/>
          <w:numId w:val="20"/>
        </w:numPr>
        <w:tabs>
          <w:tab w:pos="549" w:val="left" w:leader="none"/>
        </w:tabs>
        <w:spacing w:line="240" w:lineRule="auto" w:before="122" w:after="0"/>
        <w:ind w:left="548" w:right="0" w:hanging="280"/>
        <w:jc w:val="both"/>
        <w:rPr>
          <w:sz w:val="24"/>
        </w:rPr>
      </w:pPr>
      <w:r>
        <w:rPr>
          <w:sz w:val="24"/>
        </w:rPr>
        <w:t>Cédula informativa de zonificación.</w:t>
      </w:r>
    </w:p>
    <w:p>
      <w:pPr>
        <w:pStyle w:val="BodyText"/>
        <w:spacing w:before="3"/>
        <w:rPr>
          <w:sz w:val="22"/>
        </w:rPr>
      </w:pPr>
    </w:p>
    <w:p>
      <w:pPr>
        <w:pStyle w:val="BodyText"/>
        <w:spacing w:line="360" w:lineRule="auto" w:before="1"/>
        <w:ind w:left="268" w:right="233"/>
        <w:jc w:val="both"/>
      </w:pPr>
      <w:r>
        <w:rPr/>
        <w:t>La cédula de zonificación se tramita en las oficinas de desarrollo urbano del municipio que corresponda siempre y cuando éste cuente con atribuciones o bien puede obtenerse en la Dirección Regional de Operación Urbana del Estado de México a la que pertenezca el municipio en el que se ubique el predio.</w:t>
      </w:r>
    </w:p>
    <w:p>
      <w:pPr>
        <w:pStyle w:val="BodyText"/>
        <w:spacing w:line="360" w:lineRule="auto" w:before="122"/>
        <w:ind w:left="268" w:right="233"/>
        <w:jc w:val="both"/>
      </w:pPr>
      <w:r>
        <w:rPr/>
        <w:t>Este documento permite al promotor inmobiliario y a las instancias gubernamentales conocer las características generales y normas básicas que aplican al predio con base al plan de desarrollo urbano municipal y las leyes en materia de ordenamiento territorial de los asentamientos humanos y del desarrollo urbano de los centros urbanos.</w:t>
      </w:r>
    </w:p>
    <w:p>
      <w:pPr>
        <w:pStyle w:val="BodyText"/>
        <w:spacing w:line="360" w:lineRule="auto" w:before="127"/>
        <w:ind w:left="268" w:right="232"/>
        <w:jc w:val="both"/>
      </w:pPr>
      <w:r>
        <w:rPr/>
        <w:t>Al contar con la cédula se puede fundamentar con base en la norma vigente un anteproyecto de lotificación de conjunto urbano con ello se determina el número máximo de lotes y/o viviendas con las que el anteproyecto contará.</w:t>
      </w:r>
    </w:p>
    <w:p>
      <w:pPr>
        <w:pStyle w:val="ListParagraph"/>
        <w:numPr>
          <w:ilvl w:val="0"/>
          <w:numId w:val="20"/>
        </w:numPr>
        <w:tabs>
          <w:tab w:pos="536" w:val="left" w:leader="none"/>
        </w:tabs>
        <w:spacing w:line="240" w:lineRule="auto" w:before="122" w:after="0"/>
        <w:ind w:left="535" w:right="0" w:hanging="267"/>
        <w:jc w:val="both"/>
        <w:rPr>
          <w:sz w:val="24"/>
        </w:rPr>
      </w:pPr>
      <w:r>
        <w:rPr>
          <w:sz w:val="24"/>
        </w:rPr>
        <w:t>Constancia de factibilidad de energía eléctrica.</w:t>
      </w:r>
    </w:p>
    <w:p>
      <w:pPr>
        <w:pStyle w:val="BodyText"/>
        <w:spacing w:before="8"/>
        <w:rPr>
          <w:sz w:val="22"/>
        </w:rPr>
      </w:pPr>
    </w:p>
    <w:p>
      <w:pPr>
        <w:pStyle w:val="BodyText"/>
        <w:spacing w:line="360" w:lineRule="auto"/>
        <w:ind w:left="268" w:right="231"/>
        <w:jc w:val="both"/>
      </w:pPr>
      <w:r>
        <w:rPr/>
        <w:t>Esta factibilidad se obtiene en la Dirección Regional de la Comisión Federal de Electricidad (CFE) a la que pertenezca el municipio en el que se encuentre la propiedad. Contar con la factibilidad de CFE determina uno de los documentos</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5872" from="93.199997pt,-19.614155pt" to="546.799997pt,-19.614155pt" stroked="true" strokeweight=".479981pt" strokecolor="#000000">
            <w10:wrap type="none"/>
          </v:line>
        </w:pict>
      </w:r>
      <w:r>
        <w:rPr/>
        <w:t>principales que da certidumbre al potencial de un predio para el desarrollo de un conjunto urbano.</w:t>
      </w:r>
    </w:p>
    <w:p>
      <w:pPr>
        <w:pStyle w:val="BodyText"/>
        <w:spacing w:line="360" w:lineRule="auto" w:before="122"/>
        <w:ind w:left="268" w:right="231"/>
        <w:jc w:val="both"/>
      </w:pPr>
      <w:r>
        <w:rPr/>
        <w:t>Cabe hacer mención que para contar con esta factibilidad se requieren documentos básicos de la propiedad y normalmente no se requieren estudios técnicos o complejos, siempre y cuando el predio en el que se pretenda realizar el proyecto no cuente con una afectación o restricción de algún tipo.</w:t>
      </w:r>
    </w:p>
    <w:p>
      <w:pPr>
        <w:pStyle w:val="ListParagraph"/>
        <w:numPr>
          <w:ilvl w:val="0"/>
          <w:numId w:val="20"/>
        </w:numPr>
        <w:tabs>
          <w:tab w:pos="549" w:val="left" w:leader="none"/>
        </w:tabs>
        <w:spacing w:line="240" w:lineRule="auto" w:before="122" w:after="0"/>
        <w:ind w:left="548" w:right="0" w:hanging="280"/>
        <w:jc w:val="both"/>
        <w:rPr>
          <w:sz w:val="24"/>
        </w:rPr>
      </w:pPr>
      <w:r>
        <w:rPr>
          <w:sz w:val="24"/>
        </w:rPr>
        <w:t>Constancia de factibilidad de agua potable.</w:t>
      </w:r>
    </w:p>
    <w:p>
      <w:pPr>
        <w:pStyle w:val="BodyText"/>
        <w:spacing w:before="3"/>
        <w:rPr>
          <w:sz w:val="22"/>
        </w:rPr>
      </w:pPr>
    </w:p>
    <w:p>
      <w:pPr>
        <w:pStyle w:val="BodyText"/>
        <w:spacing w:line="360" w:lineRule="auto" w:before="1"/>
        <w:ind w:left="268" w:right="231"/>
        <w:jc w:val="both"/>
      </w:pPr>
      <w:r>
        <w:rPr/>
        <w:t>Para la obtención de esta constancia es necesario identificar qué tipo de organismo o administración existe en el municipio en el que se encuentre la propiedad puesto que en algunos municipios se cuenta con juntas de agua, organizaciones vecinales o agrupaciones de colonos que administran el agua potable. En otros municipios existe un organismo operador de agua que desempeña sus actividades de manera autónoma. De igual modo es necesario contar y realizar la obtención de la opinión técnica con la Comisión del Agua del Estado de México (CAEM).</w:t>
      </w:r>
    </w:p>
    <w:p>
      <w:pPr>
        <w:pStyle w:val="BodyText"/>
        <w:spacing w:line="360" w:lineRule="auto" w:before="122"/>
        <w:ind w:left="268" w:right="231"/>
        <w:jc w:val="both"/>
      </w:pPr>
      <w:r>
        <w:rPr/>
        <w:t>Resulta imperante mencionar que para obtener esta factibilidad se recomienda, o en otras palabras se requiere contar con los derechos de un título de concesión de aguas nacionales, preferentemente con un volumen excedente del requerido para el proyecto de conjunto urbano del que se trate el anteproyecto, cabe hacer mención que los volúmenes de agua requeridos varían conforme al tipo de conjunto urbano, así como al tipo de vivienda.</w:t>
      </w:r>
    </w:p>
    <w:p>
      <w:pPr>
        <w:pStyle w:val="BodyText"/>
        <w:spacing w:line="360" w:lineRule="auto" w:before="127"/>
        <w:ind w:left="268" w:right="231"/>
        <w:jc w:val="both"/>
      </w:pPr>
      <w:r>
        <w:rPr/>
        <w:t>Los derechos de un título de concesión de aguas nacionales se pueden adquirir por diferentes formas; sin embargo, se recomienda tener sumo cuidado en la adquisición de los mismos. Existen diversos factores, tanto de carácter interno en la Comisión Nacional del Agua (CONAGUA), como de carácter externo como los usuarios, que impactan en la transmisión de derechos y estos factores derivan en prácticas informales de trasmisión de derechos, ajenas a la autoridad del agua, lo cual ha provocado la existencia de un mercado del recurso hídrico no regulado  que genera incertidumbre y acaparamiento. (CONAGUA,</w:t>
      </w:r>
      <w:r>
        <w:rPr>
          <w:spacing w:val="-3"/>
        </w:rPr>
        <w:t> </w:t>
      </w:r>
      <w:r>
        <w:rPr/>
        <w:t>2012)</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5896" from="93.199997pt,-19.614155pt" to="546.799997pt,-19.614155pt" stroked="true" strokeweight=".479981pt" strokecolor="#000000">
            <w10:wrap type="none"/>
          </v:line>
        </w:pict>
      </w:r>
      <w:r>
        <w:rPr/>
        <w:t>La Comisión Nacional del Agua cuenta con el Registro Público de Derechos de Agua (Repda) en el cual se recomienda realizar una investigación previa del título de derechos con el que se cuenta de igual modo es recomendable fundamentar  los mismos en el marco de la Ley de Aguas Nacionales y los Bancos del Agua en México.</w:t>
      </w:r>
    </w:p>
    <w:p>
      <w:pPr>
        <w:pStyle w:val="BodyText"/>
        <w:spacing w:line="360" w:lineRule="auto" w:before="122"/>
        <w:ind w:left="268" w:right="231"/>
        <w:jc w:val="both"/>
      </w:pPr>
      <w:r>
        <w:rPr/>
        <w:t>La constancia de factibilidad de agua es uno de los documentos más importantes para determinar si un proyecto cuenta con pre factibilidad y establece en gran medida la obtención de la opinión técnica positiva por parte de CAEM, ambos documentos requeridos para la obtención de constancia de viabilidad.</w:t>
      </w:r>
    </w:p>
    <w:p>
      <w:pPr>
        <w:pStyle w:val="BodyText"/>
        <w:spacing w:line="360" w:lineRule="auto" w:before="122"/>
        <w:ind w:left="268" w:right="231"/>
        <w:jc w:val="both"/>
      </w:pPr>
      <w:r>
        <w:rPr/>
        <w:t>Es pertinente aclarar que la tierra y/o un predio no cuentan con derechos de un título de aguas nacionales y por tal motivo los propietarios de una tierra no tienen por qué ofrecer o ser condicionados para la adquisición de su propiedad en contar con un título de esta índole.</w:t>
      </w:r>
    </w:p>
    <w:p>
      <w:pPr>
        <w:pStyle w:val="BodyText"/>
      </w:pPr>
    </w:p>
    <w:p>
      <w:pPr>
        <w:pStyle w:val="Heading5"/>
        <w:numPr>
          <w:ilvl w:val="2"/>
          <w:numId w:val="17"/>
        </w:numPr>
        <w:tabs>
          <w:tab w:pos="936" w:val="left" w:leader="none"/>
        </w:tabs>
        <w:spacing w:line="240" w:lineRule="auto" w:before="211" w:after="0"/>
        <w:ind w:left="935" w:right="0" w:hanging="667"/>
        <w:jc w:val="both"/>
        <w:rPr>
          <w:i/>
        </w:rPr>
      </w:pPr>
      <w:r>
        <w:rPr>
          <w:i/>
        </w:rPr>
        <w:t>Legalización y autorización del conjunto urbano</w:t>
      </w:r>
    </w:p>
    <w:p>
      <w:pPr>
        <w:pStyle w:val="BodyText"/>
        <w:rPr>
          <w:b/>
          <w:i/>
        </w:rPr>
      </w:pPr>
    </w:p>
    <w:p>
      <w:pPr>
        <w:pStyle w:val="BodyText"/>
        <w:spacing w:before="3"/>
        <w:rPr>
          <w:b/>
          <w:i/>
          <w:sz w:val="21"/>
        </w:rPr>
      </w:pPr>
    </w:p>
    <w:p>
      <w:pPr>
        <w:pStyle w:val="BodyText"/>
        <w:spacing w:line="360" w:lineRule="auto"/>
        <w:ind w:left="268" w:right="231"/>
        <w:jc w:val="both"/>
      </w:pPr>
      <w:r>
        <w:rPr/>
        <w:t>El conjunto de gestiones, promociones y trámites que se realizan para la obtención de: constancias, dictámenes, factibilidades, opiniones técnicas, estudios técnicos, vistos buenos, informes técnicos, manifestaciones, licencias, permisos, anuencias, certificados, autorizaciones y demás permisiones se les denomina legalización de la tierra y/o del proyecto de conjunto urbano que a su vez es en consecuencia la autorización del mismo por parte de las diferentes instancias gubernamentales que intervienen en la CEDUV y de la propia Secretaría de Desarrollo Urbano del Estado de México.</w:t>
      </w:r>
    </w:p>
    <w:p>
      <w:pPr>
        <w:pStyle w:val="BodyText"/>
        <w:spacing w:line="360" w:lineRule="auto" w:before="122"/>
        <w:ind w:left="268" w:right="231"/>
        <w:jc w:val="both"/>
      </w:pPr>
      <w:r>
        <w:rPr/>
        <w:t>En el apartado anterior se escribió de los cuatro documentos básicos a considerar para evaluar la pre factibilidad de un predio, toda vez que esto resulta una parte primordial en la planeación de un anteproyecto de conjunto urbano y da la pauta para continuar con la legalización de la tierra y/o predio en el que se pretenda realizar el conjunto urbano, cabe destacar que en la mayoría de los anteproyectos de conjunto urbano que ingresan en la CEDUV, los documentos obtenidos en la</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5920" from="93.199997pt,-19.614155pt" to="546.799997pt,-19.614155pt" stroked="true" strokeweight=".479981pt" strokecolor="#000000">
            <w10:wrap type="none"/>
          </v:line>
        </w:pict>
      </w:r>
      <w:r>
        <w:rPr/>
        <w:t>pre factibilidad son los que implican un alto riesgo en tiempo e inversión y una vez obtenidos facilitan y agilizan el resto de las opiniones técnicas que se requieren para la obtención de la constancia de viabilidad.</w:t>
      </w:r>
    </w:p>
    <w:p>
      <w:pPr>
        <w:pStyle w:val="BodyText"/>
        <w:spacing w:line="360" w:lineRule="auto" w:before="122"/>
        <w:ind w:left="268" w:right="231"/>
        <w:jc w:val="both"/>
      </w:pPr>
      <w:r>
        <w:rPr/>
        <w:t>Para contar con la autorización de un conjunto urbano se debe de continuar con las gestiones de la tierra en diferentes instancias gubernamentales, para la obtención de cinco documentos que fundamentan la legalización y autorización  con base en el Reglamento y Libro Quinto del Código Administrativo del Estado de México y estos son:</w:t>
      </w:r>
    </w:p>
    <w:p>
      <w:pPr>
        <w:pStyle w:val="ListParagraph"/>
        <w:numPr>
          <w:ilvl w:val="0"/>
          <w:numId w:val="21"/>
        </w:numPr>
        <w:tabs>
          <w:tab w:pos="549" w:val="left" w:leader="none"/>
        </w:tabs>
        <w:spacing w:line="240" w:lineRule="auto" w:before="127" w:after="0"/>
        <w:ind w:left="548" w:right="0" w:hanging="280"/>
        <w:jc w:val="both"/>
        <w:rPr>
          <w:sz w:val="24"/>
        </w:rPr>
      </w:pPr>
      <w:r>
        <w:rPr>
          <w:sz w:val="24"/>
        </w:rPr>
        <w:t>Constancia de viabilidad.</w:t>
      </w:r>
    </w:p>
    <w:p>
      <w:pPr>
        <w:pStyle w:val="BodyText"/>
        <w:spacing w:before="3"/>
        <w:rPr>
          <w:sz w:val="22"/>
        </w:rPr>
      </w:pPr>
    </w:p>
    <w:p>
      <w:pPr>
        <w:pStyle w:val="BodyText"/>
        <w:spacing w:line="360" w:lineRule="auto" w:before="1"/>
        <w:ind w:left="268" w:right="231"/>
        <w:jc w:val="both"/>
      </w:pPr>
      <w:r>
        <w:rPr/>
        <w:t>En el artículo 5.3 fracción XVIII del L5to, se define a la constancia de viabilidad como “Al acto administrativo por el que se hace constar la aptitud de un determinado predio para el desarrollo de un conjunto urbano, subdivisión o condominio, con base en las opiniones técnicas de las instancias  gubernamentales que intervienen en la Comisión;”</w:t>
      </w:r>
    </w:p>
    <w:p>
      <w:pPr>
        <w:pStyle w:val="ListParagraph"/>
        <w:numPr>
          <w:ilvl w:val="0"/>
          <w:numId w:val="21"/>
        </w:numPr>
        <w:tabs>
          <w:tab w:pos="549" w:val="left" w:leader="none"/>
        </w:tabs>
        <w:spacing w:line="240" w:lineRule="auto" w:before="122" w:after="0"/>
        <w:ind w:left="548" w:right="0" w:hanging="280"/>
        <w:jc w:val="both"/>
        <w:rPr>
          <w:sz w:val="24"/>
        </w:rPr>
      </w:pPr>
      <w:r>
        <w:rPr>
          <w:sz w:val="24"/>
        </w:rPr>
        <w:t>Informe técnico.</w:t>
      </w:r>
    </w:p>
    <w:p>
      <w:pPr>
        <w:pStyle w:val="BodyText"/>
        <w:spacing w:before="3"/>
        <w:rPr>
          <w:sz w:val="22"/>
        </w:rPr>
      </w:pPr>
    </w:p>
    <w:p>
      <w:pPr>
        <w:pStyle w:val="BodyText"/>
        <w:spacing w:line="360" w:lineRule="auto" w:before="1"/>
        <w:ind w:left="268" w:right="231"/>
        <w:jc w:val="both"/>
      </w:pPr>
      <w:r>
        <w:rPr/>
        <w:t>Este documento forma parte del expediente del proceso de autorización, la CEDUV es encargada de expedir este documento toda vez que cuente con todos  y cada uno de los dictámenes técnicos y opiniones positivas por parte de las dependencias involucradas. Se refiere en el artículo 47 del</w:t>
      </w:r>
      <w:r>
        <w:rPr>
          <w:spacing w:val="-1"/>
        </w:rPr>
        <w:t> </w:t>
      </w:r>
      <w:r>
        <w:rPr/>
        <w:t>RL5to.</w:t>
      </w:r>
    </w:p>
    <w:p>
      <w:pPr>
        <w:pStyle w:val="ListParagraph"/>
        <w:numPr>
          <w:ilvl w:val="0"/>
          <w:numId w:val="21"/>
        </w:numPr>
        <w:tabs>
          <w:tab w:pos="536" w:val="left" w:leader="none"/>
        </w:tabs>
        <w:spacing w:line="240" w:lineRule="auto" w:before="122" w:after="0"/>
        <w:ind w:left="535" w:right="0" w:hanging="267"/>
        <w:jc w:val="both"/>
        <w:rPr>
          <w:sz w:val="24"/>
        </w:rPr>
      </w:pPr>
      <w:r>
        <w:rPr>
          <w:sz w:val="24"/>
        </w:rPr>
        <w:t>Aprobación del anteproyecto de plano de lotificación y memoria</w:t>
      </w:r>
      <w:r>
        <w:rPr>
          <w:spacing w:val="-2"/>
          <w:sz w:val="24"/>
        </w:rPr>
        <w:t> </w:t>
      </w:r>
      <w:r>
        <w:rPr>
          <w:sz w:val="24"/>
        </w:rPr>
        <w:t>descriptiva.</w:t>
      </w:r>
    </w:p>
    <w:p>
      <w:pPr>
        <w:pStyle w:val="BodyText"/>
        <w:spacing w:before="3"/>
        <w:rPr>
          <w:sz w:val="22"/>
        </w:rPr>
      </w:pPr>
    </w:p>
    <w:p>
      <w:pPr>
        <w:pStyle w:val="BodyText"/>
        <w:spacing w:line="360" w:lineRule="auto" w:before="1"/>
        <w:ind w:left="268" w:right="231"/>
        <w:jc w:val="both"/>
      </w:pPr>
      <w:r>
        <w:rPr/>
        <w:t>La aprobación del anteproyecto de lotificación y la memoria descriptiva referidos  en el artículo 45 y 46 del RL5to, respectivamente, son documentos elaborados por el promotor inmobiliario que deben estar basados en la reglamentación del RL5to, los dictámenes, opiniones técnicas y los lineamientos indicados por los servidores públicos en la administración en turno de la Secretaría de Desarrollo Urbano y Metropolitano (SEDUM) y su Dirección General de Operación Urbana (DGOU), así como de sus direcciones y subdirecciones técnicas, quienes aprobarán y autorizarán dichos documentos en términos normativos</w:t>
      </w:r>
      <w:r>
        <w:rPr>
          <w:spacing w:val="-1"/>
        </w:rPr>
        <w:t> </w:t>
      </w:r>
      <w:r>
        <w:rPr/>
        <w:t>respectivos.</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ListParagraph"/>
        <w:numPr>
          <w:ilvl w:val="0"/>
          <w:numId w:val="21"/>
        </w:numPr>
        <w:tabs>
          <w:tab w:pos="549" w:val="left" w:leader="none"/>
        </w:tabs>
        <w:spacing w:line="240" w:lineRule="auto" w:before="69" w:after="0"/>
        <w:ind w:left="548" w:right="0" w:hanging="280"/>
        <w:jc w:val="both"/>
        <w:rPr>
          <w:sz w:val="24"/>
        </w:rPr>
      </w:pPr>
      <w:r>
        <w:rPr/>
        <w:pict>
          <v:line style="position:absolute;mso-position-horizontal-relative:page;mso-position-vertical-relative:paragraph;z-index:5944" from="93.199997pt,-19.614155pt" to="546.799997pt,-19.614155pt" stroked="true" strokeweight=".479981pt" strokecolor="#000000">
            <w10:wrap type="none"/>
          </v:line>
        </w:pict>
      </w:r>
      <w:r>
        <w:rPr>
          <w:sz w:val="24"/>
        </w:rPr>
        <w:t>Autorización de conjunto</w:t>
      </w:r>
      <w:r>
        <w:rPr>
          <w:spacing w:val="-2"/>
          <w:sz w:val="24"/>
        </w:rPr>
        <w:t> </w:t>
      </w:r>
      <w:r>
        <w:rPr>
          <w:sz w:val="24"/>
        </w:rPr>
        <w:t>urbano.</w:t>
      </w:r>
    </w:p>
    <w:p>
      <w:pPr>
        <w:pStyle w:val="BodyText"/>
        <w:spacing w:before="3"/>
        <w:rPr>
          <w:sz w:val="22"/>
        </w:rPr>
      </w:pPr>
    </w:p>
    <w:p>
      <w:pPr>
        <w:pStyle w:val="BodyText"/>
        <w:spacing w:line="360" w:lineRule="auto" w:before="1"/>
        <w:ind w:left="268" w:right="231"/>
        <w:jc w:val="both"/>
      </w:pPr>
      <w:r>
        <w:rPr/>
        <w:t>Con la aprobación y autorización de los documentos que describe el numeral 3, solo se requiere el certificado de libertad de gravamen y en su caso la carta anuencia de existir algún acreedor y la acreditación de su personalidad. El artículo 50 del RL5to hace referencia al procedimiento para la autorización.</w:t>
      </w:r>
    </w:p>
    <w:p>
      <w:pPr>
        <w:pStyle w:val="BodyText"/>
        <w:spacing w:line="360" w:lineRule="auto" w:before="122"/>
        <w:ind w:left="268" w:right="231"/>
        <w:jc w:val="both"/>
      </w:pPr>
      <w:r>
        <w:rPr/>
        <w:t>La SEDUM a través de la DGOU una vez que verifican, analizan y cabildean el procedimiento y el expediente, generan el acuerdo de autorización del conjunto urbano en cuestión mismo que es ordenado y turnado para su publicación en Gaceta del Gobierno del Estado de México.</w:t>
      </w:r>
    </w:p>
    <w:p>
      <w:pPr>
        <w:pStyle w:val="ListParagraph"/>
        <w:numPr>
          <w:ilvl w:val="0"/>
          <w:numId w:val="21"/>
        </w:numPr>
        <w:tabs>
          <w:tab w:pos="549" w:val="left" w:leader="none"/>
        </w:tabs>
        <w:spacing w:line="240" w:lineRule="auto" w:before="122" w:after="0"/>
        <w:ind w:left="548" w:right="0" w:hanging="280"/>
        <w:jc w:val="both"/>
        <w:rPr>
          <w:sz w:val="24"/>
        </w:rPr>
      </w:pPr>
      <w:r>
        <w:rPr>
          <w:sz w:val="24"/>
        </w:rPr>
        <w:t>Publicación en gaceta.</w:t>
      </w:r>
    </w:p>
    <w:p>
      <w:pPr>
        <w:pStyle w:val="BodyText"/>
        <w:spacing w:before="3"/>
        <w:rPr>
          <w:sz w:val="22"/>
        </w:rPr>
      </w:pPr>
    </w:p>
    <w:p>
      <w:pPr>
        <w:pStyle w:val="BodyText"/>
        <w:spacing w:line="360" w:lineRule="auto" w:before="1"/>
        <w:ind w:left="268" w:right="231"/>
        <w:jc w:val="both"/>
      </w:pPr>
      <w:r>
        <w:rPr/>
        <w:t>Con el acuerdo de autorización turnado por la SEDUM al Departamento Jurídico  de la Secretaría de Gobernación se ordena al departamento de la Gaceta del Gobierno su publicación, misma que es acosta del promotor</w:t>
      </w:r>
      <w:r>
        <w:rPr>
          <w:spacing w:val="-1"/>
        </w:rPr>
        <w:t> </w:t>
      </w:r>
      <w:r>
        <w:rPr/>
        <w:t>inmobiliario.</w:t>
      </w:r>
    </w:p>
    <w:p>
      <w:pPr>
        <w:pStyle w:val="BodyText"/>
        <w:spacing w:line="360" w:lineRule="auto" w:before="127"/>
        <w:ind w:left="268" w:right="231"/>
        <w:jc w:val="both"/>
      </w:pPr>
      <w:r>
        <w:rPr/>
        <w:t>Una vez que en la Gaceta del Gobierno del Estado de México aparece publicado  el acuerdo de autorización del conjunto urbano, éste se encuentra completamente autorizado y legalizado.</w:t>
      </w:r>
    </w:p>
    <w:p>
      <w:pPr>
        <w:pStyle w:val="BodyText"/>
      </w:pPr>
    </w:p>
    <w:p>
      <w:pPr>
        <w:pStyle w:val="Heading5"/>
        <w:numPr>
          <w:ilvl w:val="2"/>
          <w:numId w:val="17"/>
        </w:numPr>
        <w:tabs>
          <w:tab w:pos="936" w:val="left" w:leader="none"/>
        </w:tabs>
        <w:spacing w:line="240" w:lineRule="auto" w:before="211" w:after="0"/>
        <w:ind w:left="935" w:right="0" w:hanging="667"/>
        <w:jc w:val="both"/>
        <w:rPr>
          <w:i/>
        </w:rPr>
      </w:pPr>
      <w:r>
        <w:rPr>
          <w:i/>
        </w:rPr>
        <w:t>Urbanización y edificación: derechos y obligaciones</w:t>
      </w:r>
    </w:p>
    <w:p>
      <w:pPr>
        <w:pStyle w:val="BodyText"/>
        <w:rPr>
          <w:b/>
          <w:i/>
        </w:rPr>
      </w:pPr>
    </w:p>
    <w:p>
      <w:pPr>
        <w:pStyle w:val="BodyText"/>
        <w:spacing w:before="3"/>
        <w:rPr>
          <w:b/>
          <w:i/>
          <w:sz w:val="21"/>
        </w:rPr>
      </w:pPr>
    </w:p>
    <w:p>
      <w:pPr>
        <w:pStyle w:val="BodyText"/>
        <w:spacing w:line="360" w:lineRule="auto"/>
        <w:ind w:left="268" w:right="231"/>
        <w:jc w:val="both"/>
      </w:pPr>
      <w:r>
        <w:rPr/>
        <w:t>Con la publicación del conjunto urbano en Gaceta del Gobierno el promotor inmobiliario y/o representante legal cuenta con derechos y obligaciones  legalmente instituidos para continuar con los procesos administrativos y operativos que le permitan la producción de vivienda formal; sin embargo, el proceso de promoción y gestión ante el Estado continúa hasta el cumplimiento de las nuevas obligaciones adquiridas.</w:t>
      </w:r>
    </w:p>
    <w:p>
      <w:pPr>
        <w:pStyle w:val="BodyText"/>
        <w:spacing w:line="360" w:lineRule="auto" w:before="127"/>
        <w:ind w:left="268" w:right="231"/>
        <w:jc w:val="both"/>
      </w:pPr>
      <w:r>
        <w:rPr/>
        <w:t>Por otro lado, el Estado a través de las instancias gubernamentales que participaron en la CEDUV y los diferentes procesos de promoción para la obtención de las autorizaciones respectivas de determinado proyecto de conjunto urbano continúan con una segunda etapa derivada de las obligaciones </w:t>
      </w:r>
      <w:r>
        <w:rPr>
          <w:spacing w:val="40"/>
        </w:rPr>
        <w:t> </w:t>
      </w:r>
      <w:r>
        <w:rPr/>
        <w:t>generadas</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5968" from="93.199997pt,-19.614155pt" to="546.799997pt,-19.614155pt" stroked="true" strokeweight=".479981pt" strokecolor="#000000">
            <w10:wrap type="none"/>
          </v:line>
        </w:pict>
      </w:r>
      <w:r>
        <w:rPr/>
        <w:t>y adquiridas por el promotor inmobiliario y el Estado, en el idioma de los especialistas en la materia tanto del sector público como privado a esta segunda fase se le conoce como los trámites subsecuentes a la autorización de conjuntos urbanos y refiere a los diferentes procesos de gestión, promoción y legalización conforme al tipo de autorización obtenida que debe de cumplir el promotor inmobiliario para garantizar el termino y cumplimiento del conjunto urbano.</w:t>
      </w:r>
    </w:p>
    <w:p>
      <w:pPr>
        <w:pStyle w:val="BodyText"/>
        <w:spacing w:line="360" w:lineRule="auto" w:before="122"/>
        <w:ind w:left="268" w:right="232"/>
        <w:jc w:val="both"/>
      </w:pPr>
      <w:r>
        <w:rPr/>
        <w:t>La urbanización de un conjunto urbano consiste en dar cumplimiento a las obras primarias de infraestructura, de equipamiento y llevar a cabo la construcción física en el predio de las obras de infraestructura e introducción de servicios básicos, ver en anexos la tabla 38 que muestra las obras de urbanización requeridas con base en la normatividad vigente.</w:t>
      </w:r>
    </w:p>
    <w:p>
      <w:pPr>
        <w:pStyle w:val="BodyText"/>
        <w:spacing w:line="360" w:lineRule="auto" w:before="122"/>
        <w:ind w:left="268" w:right="231"/>
        <w:jc w:val="both"/>
      </w:pPr>
      <w:r>
        <w:rPr/>
        <w:t>Para que el promotor inmobiliario pueda comenzar con las obras de urbanización, la promoción y venta de vivienda debe obtener a nivel estatal la autorización del inicio y apertura de bitácora, así como el primer permiso de promoción, enajenación y/o gravamen de lotes a nivel estatal, el cual será del 25% del total de viviendas o superficie enajenable de la autorización correspondiente y a nivel municipal deberá tramitar la licencia de construcción correspondiente en el mismo sentido para el primer 25% del total de las viviendas y/o área enajenable.</w:t>
      </w:r>
    </w:p>
    <w:p>
      <w:pPr>
        <w:pStyle w:val="BodyText"/>
        <w:spacing w:line="360" w:lineRule="auto" w:before="122"/>
        <w:ind w:left="268" w:right="231"/>
        <w:jc w:val="both"/>
      </w:pPr>
      <w:r>
        <w:rPr/>
        <w:t>Para la obtención de la autorización del inicio y apertura de bitácora, así como el 1er permiso de promoción y la primer licencia de construcción del proyecto a desarrollar se debe contar con la autorización de los proyectos ejecutivos de obras de urbanización, infraestructura y equipamiento, mismos que son autorizados por las dependencias participantes durante el proceso de la CEDUV y la autorización del conjunto urbano, adicional a esto el promotor deberá cumplir con los requisitos del artículo 66 del RL5to para comenzar a edificar, promover, vender y escriturar.</w:t>
      </w:r>
    </w:p>
    <w:p>
      <w:pPr>
        <w:pStyle w:val="BodyText"/>
        <w:spacing w:line="360" w:lineRule="auto" w:before="127"/>
        <w:ind w:left="268" w:right="231"/>
        <w:jc w:val="both"/>
      </w:pPr>
      <w:r>
        <w:rPr/>
        <w:t>El RL5to refiere los procesos y requisitos a cubrir para contar con la autorización y permisos correspondientes a nivel estatal que permitan dar inicio a las obras de urbanización y edificación de vivienda; sin embargo, es importante mencionar por los menos dos puntos significativos a resaltar en los procesos. El primero es que  el  Libro  Quinto  del  Código  Administrativo  del  Estado  de  México  (L5to)     </w:t>
      </w:r>
      <w:r>
        <w:rPr>
          <w:spacing w:val="29"/>
        </w:rPr>
        <w:t> </w:t>
      </w:r>
      <w:r>
        <w:rPr/>
        <w:t>fue</w:t>
      </w:r>
    </w:p>
    <w:p>
      <w:pPr>
        <w:spacing w:after="0" w:line="360" w:lineRule="auto"/>
        <w:jc w:val="both"/>
        <w:sectPr>
          <w:footerReference w:type="default" r:id="rId96"/>
          <w:pgSz w:w="12240" w:h="15840"/>
          <w:pgMar w:footer="1066" w:header="730" w:top="1320" w:bottom="1260" w:left="1720" w:right="1180"/>
          <w:pgNumType w:start="150"/>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5992" from="93.199997pt,-19.614155pt" to="546.799997pt,-19.614155pt" stroked="true" strokeweight=".479981pt" strokecolor="#000000">
            <w10:wrap type="none"/>
          </v:line>
        </w:pict>
      </w:r>
      <w:r>
        <w:rPr/>
        <w:t>reformado y publicado en Gaceta del Gobierno del Estado de México el 1ro de septiembre de 2011 y el RL5to con el que se continúa trabajando sigue siendo de fecha anterior con la última reforma del 21 de febrero de 2006 el cual aún refiere al L5to del año 2001; lo cual refleja el rezago que prevalece.</w:t>
      </w:r>
    </w:p>
    <w:p>
      <w:pPr>
        <w:pStyle w:val="BodyText"/>
        <w:spacing w:line="360" w:lineRule="auto" w:before="127"/>
        <w:ind w:left="268" w:right="231"/>
        <w:jc w:val="both"/>
      </w:pPr>
      <w:r>
        <w:rPr/>
        <w:t>El segundo punto es señalar que existen procedimientos y requisitos a seguir y llevar a cabo para la obtención de las autorizaciones y permisos correspondientes que no necesariamente se encuentran fundados y motivados en la normatividad aplicable y éstos en el mejor de los casos son políticas, criterios y formas de trabajo de los servidores públicos de la administración en turno.</w:t>
      </w:r>
    </w:p>
    <w:p>
      <w:pPr>
        <w:pStyle w:val="BodyText"/>
        <w:spacing w:line="360" w:lineRule="auto" w:before="122"/>
        <w:ind w:left="268" w:right="231"/>
        <w:jc w:val="both"/>
      </w:pPr>
      <w:r>
        <w:rPr/>
        <w:t>Por lo que corresponde al ámbito municipal, se requiere contar con la licencia de construcción para la cual los requisitos suelen variar dependiendo del municipio  del que se trate sobre todo sí el municipio cuenta con una Dirección de Administración Urbana, Desarrollo Urbano u Operación Urbana, aunque por lo general los requisitos básicos para otorgar una licencia de construcción (ver tabla 40 en anexos) se han obtenido de manera paralela o colateral a los procesos de constancia de viabilidad, autorización de conjunto urbano y el inicio y primer permiso de enajenación y promoción del conjunto urbano. Cabe hacer mención que en la mayoría de los municipios del Estado de México los requisitos a cumplir se encuentran estandarizados y que las variantes suelen ser mínimas y basadas en criterios y policitas de la administración en turno.</w:t>
      </w:r>
    </w:p>
    <w:p>
      <w:pPr>
        <w:pStyle w:val="BodyText"/>
        <w:spacing w:line="360" w:lineRule="auto" w:before="122"/>
        <w:ind w:left="268" w:right="231"/>
        <w:jc w:val="both"/>
      </w:pPr>
      <w:r>
        <w:rPr/>
        <w:t>Al contar con las autorizaciones, permisos y licencias correspondientes para dar inicio a las obras de urbanización y permisos de venta, el promotor inmobiliario adquiere derechos y obligaciones y están sujetos a cada uno de los dictámenes que integran la autorización, al acuerdo de autorización obtenido y publicado en gaceta del gobierno.</w:t>
      </w:r>
    </w:p>
    <w:p>
      <w:pPr>
        <w:pStyle w:val="BodyText"/>
        <w:spacing w:line="360" w:lineRule="auto" w:before="127"/>
        <w:ind w:left="268" w:right="233"/>
        <w:jc w:val="both"/>
      </w:pPr>
      <w:r>
        <w:rPr/>
        <w:t>Quizá los derechos de mayor importancia para el promotor inmobiliario son el realizar la venta de las áreas e inmuebles enajenables que puede lotificar, urbanizar y edificar en la tierra adquirida y las obligaciones a las que se sujetará  se</w:t>
      </w:r>
      <w:r>
        <w:rPr>
          <w:spacing w:val="53"/>
        </w:rPr>
        <w:t> </w:t>
      </w:r>
      <w:r>
        <w:rPr/>
        <w:t>estipulan</w:t>
      </w:r>
      <w:r>
        <w:rPr>
          <w:spacing w:val="53"/>
        </w:rPr>
        <w:t> </w:t>
      </w:r>
      <w:r>
        <w:rPr/>
        <w:t>en</w:t>
      </w:r>
      <w:r>
        <w:rPr>
          <w:spacing w:val="53"/>
        </w:rPr>
        <w:t> </w:t>
      </w:r>
      <w:r>
        <w:rPr/>
        <w:t>el</w:t>
      </w:r>
      <w:r>
        <w:rPr>
          <w:spacing w:val="53"/>
        </w:rPr>
        <w:t> </w:t>
      </w:r>
      <w:r>
        <w:rPr/>
        <w:t>artículo</w:t>
      </w:r>
      <w:r>
        <w:rPr>
          <w:spacing w:val="53"/>
        </w:rPr>
        <w:t> </w:t>
      </w:r>
      <w:r>
        <w:rPr/>
        <w:t>5.38</w:t>
      </w:r>
      <w:r>
        <w:rPr>
          <w:spacing w:val="53"/>
        </w:rPr>
        <w:t> </w:t>
      </w:r>
      <w:r>
        <w:rPr/>
        <w:t>del</w:t>
      </w:r>
      <w:r>
        <w:rPr>
          <w:spacing w:val="53"/>
        </w:rPr>
        <w:t> </w:t>
      </w:r>
      <w:r>
        <w:rPr/>
        <w:t>Libro</w:t>
      </w:r>
      <w:r>
        <w:rPr>
          <w:spacing w:val="53"/>
        </w:rPr>
        <w:t> </w:t>
      </w:r>
      <w:r>
        <w:rPr/>
        <w:t>Quinto</w:t>
      </w:r>
      <w:r>
        <w:rPr>
          <w:spacing w:val="53"/>
        </w:rPr>
        <w:t> </w:t>
      </w:r>
      <w:r>
        <w:rPr/>
        <w:t>del</w:t>
      </w:r>
      <w:r>
        <w:rPr>
          <w:spacing w:val="53"/>
        </w:rPr>
        <w:t> </w:t>
      </w:r>
      <w:r>
        <w:rPr/>
        <w:t>Código</w:t>
      </w:r>
      <w:r>
        <w:rPr>
          <w:spacing w:val="53"/>
        </w:rPr>
        <w:t> </w:t>
      </w:r>
      <w:r>
        <w:rPr/>
        <w:t>Administrativo</w:t>
      </w:r>
      <w:r>
        <w:rPr>
          <w:spacing w:val="53"/>
        </w:rPr>
        <w:t> </w:t>
      </w:r>
      <w:r>
        <w:rPr/>
        <w:t>del</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41"/>
      </w:pPr>
      <w:r>
        <w:rPr/>
        <w:pict>
          <v:line style="position:absolute;mso-position-horizontal-relative:page;mso-position-vertical-relative:paragraph;z-index:6016" from="93.199997pt,-19.614155pt" to="546.799997pt,-19.614155pt" stroked="true" strokeweight=".479981pt" strokecolor="#000000">
            <w10:wrap type="none"/>
          </v:line>
        </w:pict>
      </w:r>
      <w:r>
        <w:rPr/>
        <w:t>Estado de México, la tabla 12 muestra los derechos y obligaciones básicas al contar con la autorización de un conjunto urbano.</w:t>
      </w:r>
    </w:p>
    <w:p>
      <w:pPr>
        <w:pStyle w:val="BodyText"/>
        <w:spacing w:before="122" w:after="12"/>
        <w:ind w:left="268"/>
      </w:pPr>
      <w:r>
        <w:rPr/>
        <w:t>Tabla 12. Derechos y obligaciones por la autorización de un conjunto urbano.</w:t>
      </w:r>
    </w:p>
    <w:tbl>
      <w:tblPr>
        <w:tblW w:w="0" w:type="auto"/>
        <w:jc w:val="left"/>
        <w:tblInd w:w="364"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2256"/>
        <w:gridCol w:w="2140"/>
        <w:gridCol w:w="4234"/>
      </w:tblGrid>
      <w:tr>
        <w:trPr>
          <w:trHeight w:val="854" w:hRule="exact"/>
        </w:trPr>
        <w:tc>
          <w:tcPr>
            <w:tcW w:w="4397" w:type="dxa"/>
            <w:gridSpan w:val="2"/>
            <w:tcBorders>
              <w:top w:val="nil"/>
              <w:right w:val="nil"/>
            </w:tcBorders>
            <w:shd w:val="clear" w:color="auto" w:fill="191919"/>
          </w:tcPr>
          <w:p>
            <w:pPr>
              <w:pStyle w:val="TableParagraph"/>
              <w:jc w:val="left"/>
              <w:rPr>
                <w:sz w:val="27"/>
              </w:rPr>
            </w:pPr>
          </w:p>
          <w:p>
            <w:pPr>
              <w:pStyle w:val="TableParagraph"/>
              <w:spacing w:before="1"/>
              <w:ind w:left="2699"/>
              <w:jc w:val="left"/>
              <w:rPr>
                <w:sz w:val="19"/>
              </w:rPr>
            </w:pPr>
            <w:r>
              <w:rPr>
                <w:color w:val="FFFFFF"/>
                <w:w w:val="105"/>
                <w:sz w:val="19"/>
              </w:rPr>
              <w:t>Autorización de un</w:t>
            </w:r>
          </w:p>
        </w:tc>
        <w:tc>
          <w:tcPr>
            <w:tcW w:w="4234" w:type="dxa"/>
            <w:tcBorders>
              <w:top w:val="nil"/>
              <w:left w:val="nil"/>
              <w:right w:val="nil"/>
            </w:tcBorders>
            <w:shd w:val="clear" w:color="auto" w:fill="191919"/>
          </w:tcPr>
          <w:p>
            <w:pPr>
              <w:pStyle w:val="TableParagraph"/>
              <w:jc w:val="left"/>
              <w:rPr>
                <w:sz w:val="27"/>
              </w:rPr>
            </w:pPr>
          </w:p>
          <w:p>
            <w:pPr>
              <w:pStyle w:val="TableParagraph"/>
              <w:spacing w:before="1"/>
              <w:ind w:left="18"/>
              <w:jc w:val="left"/>
              <w:rPr>
                <w:sz w:val="19"/>
              </w:rPr>
            </w:pPr>
            <w:r>
              <w:rPr>
                <w:color w:val="FFFFFF"/>
                <w:w w:val="105"/>
                <w:sz w:val="19"/>
              </w:rPr>
              <w:t>Conjunto Urbano</w:t>
            </w:r>
          </w:p>
        </w:tc>
      </w:tr>
      <w:tr>
        <w:trPr>
          <w:trHeight w:val="276" w:hRule="exact"/>
        </w:trPr>
        <w:tc>
          <w:tcPr>
            <w:tcW w:w="4397" w:type="dxa"/>
            <w:gridSpan w:val="2"/>
            <w:tcBorders>
              <w:bottom w:val="single" w:sz="6" w:space="0" w:color="FFFFFF"/>
            </w:tcBorders>
            <w:shd w:val="clear" w:color="auto" w:fill="606060"/>
          </w:tcPr>
          <w:p>
            <w:pPr>
              <w:pStyle w:val="TableParagraph"/>
              <w:spacing w:before="37"/>
              <w:ind w:left="1791" w:right="1791"/>
              <w:rPr>
                <w:sz w:val="17"/>
              </w:rPr>
            </w:pPr>
            <w:r>
              <w:rPr>
                <w:color w:val="FFFFFF"/>
                <w:w w:val="105"/>
                <w:sz w:val="17"/>
              </w:rPr>
              <w:t>Derechos</w:t>
            </w:r>
          </w:p>
        </w:tc>
        <w:tc>
          <w:tcPr>
            <w:tcW w:w="4234" w:type="dxa"/>
            <w:tcBorders>
              <w:bottom w:val="single" w:sz="6" w:space="0" w:color="FFFFFF"/>
              <w:right w:val="nil"/>
            </w:tcBorders>
            <w:shd w:val="clear" w:color="auto" w:fill="606060"/>
          </w:tcPr>
          <w:p>
            <w:pPr>
              <w:pStyle w:val="TableParagraph"/>
              <w:spacing w:before="37"/>
              <w:ind w:left="1576" w:right="1580"/>
              <w:rPr>
                <w:sz w:val="17"/>
              </w:rPr>
            </w:pPr>
            <w:r>
              <w:rPr>
                <w:color w:val="FFFFFF"/>
                <w:w w:val="105"/>
                <w:sz w:val="17"/>
              </w:rPr>
              <w:t>Obligaciones</w:t>
            </w:r>
          </w:p>
        </w:tc>
      </w:tr>
      <w:tr>
        <w:trPr>
          <w:trHeight w:val="631" w:hRule="exact"/>
        </w:trPr>
        <w:tc>
          <w:tcPr>
            <w:tcW w:w="4397" w:type="dxa"/>
            <w:gridSpan w:val="2"/>
            <w:tcBorders>
              <w:top w:val="single" w:sz="6" w:space="0" w:color="FFFFFF"/>
            </w:tcBorders>
            <w:shd w:val="clear" w:color="auto" w:fill="F3F3F3"/>
          </w:tcPr>
          <w:p>
            <w:pPr>
              <w:pStyle w:val="TableParagraph"/>
              <w:spacing w:line="254" w:lineRule="auto" w:before="109"/>
              <w:ind w:left="100" w:right="100"/>
              <w:jc w:val="left"/>
              <w:rPr>
                <w:sz w:val="17"/>
              </w:rPr>
            </w:pPr>
            <w:r>
              <w:rPr>
                <w:w w:val="105"/>
                <w:sz w:val="17"/>
              </w:rPr>
              <w:t>Superficie habitacional vendible, igual al número de viviendas vendibles.</w:t>
            </w:r>
          </w:p>
        </w:tc>
        <w:tc>
          <w:tcPr>
            <w:tcW w:w="4234" w:type="dxa"/>
            <w:tcBorders>
              <w:top w:val="single" w:sz="6" w:space="0" w:color="FFFFFF"/>
              <w:right w:val="nil"/>
            </w:tcBorders>
            <w:shd w:val="clear" w:color="auto" w:fill="F3F3F3"/>
          </w:tcPr>
          <w:p>
            <w:pPr>
              <w:pStyle w:val="TableParagraph"/>
              <w:spacing w:line="254" w:lineRule="auto" w:before="8"/>
              <w:ind w:left="100" w:right="169"/>
              <w:jc w:val="left"/>
              <w:rPr>
                <w:sz w:val="17"/>
              </w:rPr>
            </w:pPr>
            <w:r>
              <w:rPr>
                <w:w w:val="105"/>
                <w:sz w:val="17"/>
              </w:rPr>
              <w:t>Ceder la superficie correspondiente de donación al municipio y al estado, dentro o fuera del conjunto urbano.</w:t>
            </w:r>
          </w:p>
        </w:tc>
      </w:tr>
      <w:tr>
        <w:trPr>
          <w:trHeight w:val="629" w:hRule="exact"/>
        </w:trPr>
        <w:tc>
          <w:tcPr>
            <w:tcW w:w="2256" w:type="dxa"/>
            <w:tcBorders>
              <w:right w:val="nil"/>
            </w:tcBorders>
            <w:shd w:val="clear" w:color="auto" w:fill="E6E6E6"/>
          </w:tcPr>
          <w:p>
            <w:pPr>
              <w:pStyle w:val="TableParagraph"/>
              <w:spacing w:line="254" w:lineRule="auto" w:before="8"/>
              <w:ind w:left="100" w:right="45"/>
              <w:jc w:val="left"/>
              <w:rPr>
                <w:sz w:val="17"/>
              </w:rPr>
            </w:pPr>
            <w:r>
              <w:rPr>
                <w:w w:val="105"/>
                <w:sz w:val="17"/>
              </w:rPr>
              <w:t>Superficie de comercio, básicos vendible, igual vendibles.</w:t>
            </w:r>
          </w:p>
        </w:tc>
        <w:tc>
          <w:tcPr>
            <w:tcW w:w="2140" w:type="dxa"/>
            <w:tcBorders>
              <w:left w:val="nil"/>
            </w:tcBorders>
            <w:shd w:val="clear" w:color="auto" w:fill="E6E6E6"/>
          </w:tcPr>
          <w:p>
            <w:pPr>
              <w:pStyle w:val="TableParagraph"/>
              <w:spacing w:line="254" w:lineRule="auto" w:before="8"/>
              <w:ind w:left="41" w:right="100" w:firstLine="82"/>
              <w:jc w:val="left"/>
              <w:rPr>
                <w:sz w:val="17"/>
              </w:rPr>
            </w:pPr>
            <w:r>
              <w:rPr>
                <w:w w:val="105"/>
                <w:sz w:val="17"/>
              </w:rPr>
              <w:t>productos</w:t>
            </w:r>
            <w:r>
              <w:rPr>
                <w:spacing w:val="49"/>
                <w:w w:val="105"/>
                <w:sz w:val="17"/>
              </w:rPr>
              <w:t> </w:t>
            </w:r>
            <w:r>
              <w:rPr>
                <w:w w:val="105"/>
                <w:sz w:val="17"/>
              </w:rPr>
              <w:t>y</w:t>
            </w:r>
            <w:r>
              <w:rPr>
                <w:spacing w:val="49"/>
                <w:w w:val="105"/>
                <w:sz w:val="17"/>
              </w:rPr>
              <w:t> </w:t>
            </w:r>
            <w:r>
              <w:rPr>
                <w:w w:val="105"/>
                <w:sz w:val="17"/>
              </w:rPr>
              <w:t>servicios al   número   de  </w:t>
            </w:r>
            <w:r>
              <w:rPr>
                <w:spacing w:val="41"/>
                <w:w w:val="105"/>
                <w:sz w:val="17"/>
              </w:rPr>
              <w:t> </w:t>
            </w:r>
            <w:r>
              <w:rPr>
                <w:w w:val="105"/>
                <w:sz w:val="17"/>
              </w:rPr>
              <w:t>locales</w:t>
            </w:r>
          </w:p>
        </w:tc>
        <w:tc>
          <w:tcPr>
            <w:tcW w:w="4234" w:type="dxa"/>
            <w:tcBorders>
              <w:right w:val="nil"/>
            </w:tcBorders>
            <w:shd w:val="clear" w:color="auto" w:fill="E6E6E6"/>
          </w:tcPr>
          <w:p>
            <w:pPr>
              <w:pStyle w:val="TableParagraph"/>
              <w:spacing w:line="254" w:lineRule="auto" w:before="114"/>
              <w:ind w:left="100" w:right="169"/>
              <w:jc w:val="left"/>
              <w:rPr>
                <w:sz w:val="17"/>
              </w:rPr>
            </w:pPr>
            <w:r>
              <w:rPr>
                <w:w w:val="105"/>
                <w:sz w:val="17"/>
              </w:rPr>
              <w:t>Superficie de restricciones, federales, estatales y municipales.</w:t>
            </w:r>
          </w:p>
        </w:tc>
      </w:tr>
      <w:tr>
        <w:trPr>
          <w:trHeight w:val="427" w:hRule="exact"/>
        </w:trPr>
        <w:tc>
          <w:tcPr>
            <w:tcW w:w="4397" w:type="dxa"/>
            <w:gridSpan w:val="2"/>
            <w:shd w:val="clear" w:color="auto" w:fill="F3F3F3"/>
          </w:tcPr>
          <w:p>
            <w:pPr>
              <w:pStyle w:val="TableParagraph"/>
              <w:spacing w:before="114"/>
              <w:ind w:left="100" w:right="100"/>
              <w:jc w:val="left"/>
              <w:rPr>
                <w:sz w:val="17"/>
              </w:rPr>
            </w:pPr>
            <w:r>
              <w:rPr>
                <w:w w:val="105"/>
                <w:sz w:val="17"/>
              </w:rPr>
              <w:t>Supervisión de obras de infraestructura primaria.</w:t>
            </w:r>
          </w:p>
        </w:tc>
        <w:tc>
          <w:tcPr>
            <w:tcW w:w="4234" w:type="dxa"/>
            <w:tcBorders>
              <w:right w:val="nil"/>
            </w:tcBorders>
            <w:shd w:val="clear" w:color="auto" w:fill="F3F3F3"/>
          </w:tcPr>
          <w:p>
            <w:pPr>
              <w:pStyle w:val="TableParagraph"/>
              <w:spacing w:line="259" w:lineRule="auto" w:before="8"/>
              <w:ind w:left="100" w:right="169"/>
              <w:jc w:val="left"/>
              <w:rPr>
                <w:sz w:val="17"/>
              </w:rPr>
            </w:pPr>
            <w:r>
              <w:rPr>
                <w:w w:val="105"/>
                <w:sz w:val="17"/>
              </w:rPr>
              <w:t>Superficie fuera de autorización; regularmente reserva territorial para una futura autorización.</w:t>
            </w:r>
          </w:p>
        </w:tc>
      </w:tr>
      <w:tr>
        <w:trPr>
          <w:trHeight w:val="422" w:hRule="exact"/>
        </w:trPr>
        <w:tc>
          <w:tcPr>
            <w:tcW w:w="2256" w:type="dxa"/>
            <w:tcBorders>
              <w:right w:val="nil"/>
            </w:tcBorders>
            <w:shd w:val="clear" w:color="auto" w:fill="E6E6E6"/>
          </w:tcPr>
          <w:p>
            <w:pPr>
              <w:pStyle w:val="TableParagraph"/>
              <w:tabs>
                <w:tab w:pos="1297" w:val="left" w:leader="none"/>
                <w:tab w:pos="1754" w:val="left" w:leader="none"/>
              </w:tabs>
              <w:spacing w:line="254" w:lineRule="auto" w:before="8"/>
              <w:ind w:left="100" w:right="45"/>
              <w:jc w:val="left"/>
              <w:rPr>
                <w:sz w:val="17"/>
              </w:rPr>
            </w:pPr>
            <w:r>
              <w:rPr>
                <w:w w:val="105"/>
                <w:sz w:val="17"/>
              </w:rPr>
              <w:t>Supervisión</w:t>
              <w:tab/>
              <w:t>de</w:t>
              <w:tab/>
              <w:t>obras equipamiento.</w:t>
            </w:r>
          </w:p>
        </w:tc>
        <w:tc>
          <w:tcPr>
            <w:tcW w:w="2140" w:type="dxa"/>
            <w:tcBorders>
              <w:left w:val="nil"/>
            </w:tcBorders>
            <w:shd w:val="clear" w:color="auto" w:fill="E6E6E6"/>
          </w:tcPr>
          <w:p>
            <w:pPr>
              <w:pStyle w:val="TableParagraph"/>
              <w:tabs>
                <w:tab w:pos="456" w:val="left" w:leader="none"/>
                <w:tab w:pos="1734" w:val="left" w:leader="none"/>
              </w:tabs>
              <w:spacing w:before="8"/>
              <w:ind w:right="100"/>
              <w:jc w:val="right"/>
              <w:rPr>
                <w:sz w:val="17"/>
              </w:rPr>
            </w:pPr>
            <w:r>
              <w:rPr>
                <w:w w:val="105"/>
                <w:sz w:val="17"/>
              </w:rPr>
              <w:t>de</w:t>
              <w:tab/>
              <w:t>urbanización</w:t>
              <w:tab/>
            </w:r>
            <w:r>
              <w:rPr>
                <w:spacing w:val="-1"/>
                <w:w w:val="105"/>
                <w:sz w:val="17"/>
              </w:rPr>
              <w:t>y</w:t>
            </w:r>
          </w:p>
        </w:tc>
        <w:tc>
          <w:tcPr>
            <w:tcW w:w="4234" w:type="dxa"/>
            <w:tcBorders>
              <w:right w:val="nil"/>
            </w:tcBorders>
            <w:shd w:val="clear" w:color="auto" w:fill="E6E6E6"/>
          </w:tcPr>
          <w:p>
            <w:pPr>
              <w:pStyle w:val="TableParagraph"/>
              <w:spacing w:before="109"/>
              <w:ind w:left="100" w:right="169"/>
              <w:jc w:val="left"/>
              <w:rPr>
                <w:sz w:val="17"/>
              </w:rPr>
            </w:pPr>
            <w:r>
              <w:rPr>
                <w:w w:val="105"/>
                <w:sz w:val="17"/>
              </w:rPr>
              <w:t>Superficie de vías públicas.</w:t>
            </w:r>
          </w:p>
        </w:tc>
      </w:tr>
      <w:tr>
        <w:trPr>
          <w:trHeight w:val="631" w:hRule="exact"/>
        </w:trPr>
        <w:tc>
          <w:tcPr>
            <w:tcW w:w="4397" w:type="dxa"/>
            <w:gridSpan w:val="2"/>
            <w:tcBorders>
              <w:bottom w:val="single" w:sz="6" w:space="0" w:color="FFFFFF"/>
            </w:tcBorders>
            <w:shd w:val="clear" w:color="auto" w:fill="F3F3F3"/>
          </w:tcPr>
          <w:p>
            <w:pPr>
              <w:pStyle w:val="TableParagraph"/>
              <w:spacing w:line="254" w:lineRule="auto" w:before="8"/>
              <w:ind w:left="100" w:right="101"/>
              <w:jc w:val="both"/>
              <w:rPr>
                <w:sz w:val="17"/>
              </w:rPr>
            </w:pPr>
            <w:r>
              <w:rPr>
                <w:w w:val="105"/>
                <w:sz w:val="17"/>
              </w:rPr>
              <w:t>Solicitar prórroga para terminar y entregar las obras de infraestructura primaria, de urbanización y equipamiento del desarrollo.</w:t>
            </w:r>
          </w:p>
        </w:tc>
        <w:tc>
          <w:tcPr>
            <w:tcW w:w="4234" w:type="dxa"/>
            <w:tcBorders>
              <w:bottom w:val="single" w:sz="6" w:space="0" w:color="FFFFFF"/>
              <w:right w:val="nil"/>
            </w:tcBorders>
            <w:shd w:val="clear" w:color="auto" w:fill="F3F3F3"/>
          </w:tcPr>
          <w:p>
            <w:pPr>
              <w:pStyle w:val="TableParagraph"/>
              <w:spacing w:before="7"/>
              <w:jc w:val="left"/>
              <w:rPr>
                <w:sz w:val="18"/>
              </w:rPr>
            </w:pPr>
          </w:p>
          <w:p>
            <w:pPr>
              <w:pStyle w:val="TableParagraph"/>
              <w:spacing w:before="1"/>
              <w:ind w:left="100" w:right="169"/>
              <w:jc w:val="left"/>
              <w:rPr>
                <w:sz w:val="17"/>
              </w:rPr>
            </w:pPr>
            <w:r>
              <w:rPr>
                <w:w w:val="105"/>
                <w:sz w:val="17"/>
              </w:rPr>
              <w:t>Obras de urbanización.</w:t>
            </w:r>
          </w:p>
        </w:tc>
      </w:tr>
      <w:tr>
        <w:trPr>
          <w:trHeight w:val="631" w:hRule="exact"/>
        </w:trPr>
        <w:tc>
          <w:tcPr>
            <w:tcW w:w="4397" w:type="dxa"/>
            <w:gridSpan w:val="2"/>
            <w:tcBorders>
              <w:top w:val="single" w:sz="6" w:space="0" w:color="FFFFFF"/>
            </w:tcBorders>
            <w:shd w:val="clear" w:color="auto" w:fill="E6E6E6"/>
          </w:tcPr>
          <w:p>
            <w:pPr>
              <w:pStyle w:val="TableParagraph"/>
              <w:tabs>
                <w:tab w:pos="1197" w:val="left" w:leader="none"/>
                <w:tab w:pos="1784" w:val="left" w:leader="none"/>
                <w:tab w:pos="2521" w:val="left" w:leader="none"/>
                <w:tab w:pos="2837" w:val="left" w:leader="none"/>
                <w:tab w:pos="3924" w:val="left" w:leader="none"/>
              </w:tabs>
              <w:spacing w:line="254" w:lineRule="auto" w:before="109"/>
              <w:ind w:left="100" w:right="100"/>
              <w:jc w:val="left"/>
              <w:rPr>
                <w:sz w:val="17"/>
              </w:rPr>
            </w:pPr>
            <w:r>
              <w:rPr>
                <w:w w:val="105"/>
                <w:sz w:val="17"/>
              </w:rPr>
              <w:t>Posibilidad</w:t>
              <w:tab/>
              <w:t>para</w:t>
              <w:tab/>
              <w:t>gravar</w:t>
              <w:tab/>
              <w:t>y</w:t>
              <w:tab/>
              <w:t>fideicomitir</w:t>
              <w:tab/>
              <w:t>área enajenable, previa</w:t>
            </w:r>
            <w:r>
              <w:rPr>
                <w:spacing w:val="9"/>
                <w:w w:val="105"/>
                <w:sz w:val="17"/>
              </w:rPr>
              <w:t> </w:t>
            </w:r>
            <w:r>
              <w:rPr>
                <w:w w:val="105"/>
                <w:sz w:val="17"/>
              </w:rPr>
              <w:t>autorización.</w:t>
            </w:r>
          </w:p>
        </w:tc>
        <w:tc>
          <w:tcPr>
            <w:tcW w:w="4234" w:type="dxa"/>
            <w:tcBorders>
              <w:top w:val="single" w:sz="6" w:space="0" w:color="FFFFFF"/>
              <w:right w:val="nil"/>
            </w:tcBorders>
            <w:shd w:val="clear" w:color="auto" w:fill="E6E6E6"/>
          </w:tcPr>
          <w:p>
            <w:pPr>
              <w:pStyle w:val="TableParagraph"/>
              <w:spacing w:line="254" w:lineRule="auto" w:before="8"/>
              <w:ind w:left="100" w:right="169"/>
              <w:jc w:val="left"/>
              <w:rPr>
                <w:sz w:val="17"/>
              </w:rPr>
            </w:pPr>
            <w:r>
              <w:rPr>
                <w:w w:val="105"/>
                <w:sz w:val="17"/>
              </w:rPr>
              <w:t>Obras de infraestructura primaria, suministro de agua potable y descarga de aguas negras y pluviales, obras e infraestructura vial requerida.</w:t>
            </w:r>
          </w:p>
        </w:tc>
      </w:tr>
      <w:tr>
        <w:trPr>
          <w:trHeight w:val="629" w:hRule="exact"/>
        </w:trPr>
        <w:tc>
          <w:tcPr>
            <w:tcW w:w="2256" w:type="dxa"/>
            <w:tcBorders>
              <w:right w:val="nil"/>
            </w:tcBorders>
            <w:shd w:val="clear" w:color="auto" w:fill="F3F3F3"/>
          </w:tcPr>
          <w:p>
            <w:pPr>
              <w:pStyle w:val="TableParagraph"/>
              <w:spacing w:line="254" w:lineRule="auto" w:before="114"/>
              <w:ind w:left="100" w:right="45"/>
              <w:jc w:val="left"/>
              <w:rPr>
                <w:sz w:val="17"/>
              </w:rPr>
            </w:pPr>
            <w:r>
              <w:rPr>
                <w:w w:val="105"/>
                <w:sz w:val="17"/>
              </w:rPr>
              <w:t>Posibilidad de transferir previa autorización.</w:t>
            </w:r>
          </w:p>
        </w:tc>
        <w:tc>
          <w:tcPr>
            <w:tcW w:w="2140" w:type="dxa"/>
            <w:tcBorders>
              <w:left w:val="nil"/>
            </w:tcBorders>
            <w:shd w:val="clear" w:color="auto" w:fill="F3F3F3"/>
          </w:tcPr>
          <w:p>
            <w:pPr>
              <w:pStyle w:val="TableParagraph"/>
              <w:spacing w:before="114"/>
              <w:ind w:right="99"/>
              <w:jc w:val="right"/>
              <w:rPr>
                <w:sz w:val="17"/>
              </w:rPr>
            </w:pPr>
            <w:r>
              <w:rPr>
                <w:w w:val="105"/>
                <w:sz w:val="17"/>
              </w:rPr>
              <w:t>o   ceder   los  derechos,</w:t>
            </w:r>
          </w:p>
        </w:tc>
        <w:tc>
          <w:tcPr>
            <w:tcW w:w="4234" w:type="dxa"/>
            <w:tcBorders>
              <w:right w:val="nil"/>
            </w:tcBorders>
            <w:shd w:val="clear" w:color="auto" w:fill="F3F3F3"/>
          </w:tcPr>
          <w:p>
            <w:pPr>
              <w:pStyle w:val="TableParagraph"/>
              <w:spacing w:line="254" w:lineRule="auto" w:before="8"/>
              <w:ind w:left="100" w:right="169"/>
              <w:jc w:val="left"/>
              <w:rPr>
                <w:sz w:val="17"/>
              </w:rPr>
            </w:pPr>
            <w:r>
              <w:rPr>
                <w:w w:val="105"/>
                <w:sz w:val="17"/>
              </w:rPr>
              <w:t>Obras de equipamiento, en correspondencia con el número de viviendas autorizadas y/o superficie enajenable.</w:t>
            </w:r>
          </w:p>
        </w:tc>
      </w:tr>
      <w:tr>
        <w:trPr>
          <w:trHeight w:val="427" w:hRule="exact"/>
        </w:trPr>
        <w:tc>
          <w:tcPr>
            <w:tcW w:w="4397" w:type="dxa"/>
            <w:gridSpan w:val="2"/>
            <w:shd w:val="clear" w:color="auto" w:fill="E6E6E6"/>
          </w:tcPr>
          <w:p>
            <w:pPr>
              <w:pStyle w:val="TableParagraph"/>
              <w:spacing w:line="259" w:lineRule="auto" w:before="8"/>
              <w:ind w:left="100" w:right="100"/>
              <w:jc w:val="left"/>
              <w:rPr>
                <w:sz w:val="17"/>
              </w:rPr>
            </w:pPr>
            <w:r>
              <w:rPr>
                <w:w w:val="105"/>
                <w:sz w:val="17"/>
              </w:rPr>
              <w:t>Posibilidad de la extinción por renuncia de la autorización, previa autorización.</w:t>
            </w:r>
          </w:p>
        </w:tc>
        <w:tc>
          <w:tcPr>
            <w:tcW w:w="4234" w:type="dxa"/>
            <w:tcBorders>
              <w:right w:val="nil"/>
            </w:tcBorders>
            <w:shd w:val="clear" w:color="auto" w:fill="E6E6E6"/>
          </w:tcPr>
          <w:p>
            <w:pPr>
              <w:pStyle w:val="TableParagraph"/>
              <w:spacing w:line="259" w:lineRule="auto" w:before="8"/>
              <w:ind w:left="100" w:right="169"/>
              <w:jc w:val="left"/>
              <w:rPr>
                <w:sz w:val="17"/>
              </w:rPr>
            </w:pPr>
            <w:r>
              <w:rPr>
                <w:w w:val="105"/>
                <w:sz w:val="17"/>
              </w:rPr>
              <w:t>Cumplimientos condicionantes ambientales y medidos de seguridad de protección civil.</w:t>
            </w:r>
          </w:p>
        </w:tc>
      </w:tr>
      <w:tr>
        <w:trPr>
          <w:trHeight w:val="629" w:hRule="exact"/>
        </w:trPr>
        <w:tc>
          <w:tcPr>
            <w:tcW w:w="4397" w:type="dxa"/>
            <w:gridSpan w:val="2"/>
            <w:shd w:val="clear" w:color="auto" w:fill="F3F3F3"/>
          </w:tcPr>
          <w:p>
            <w:pPr/>
          </w:p>
        </w:tc>
        <w:tc>
          <w:tcPr>
            <w:tcW w:w="4234" w:type="dxa"/>
            <w:tcBorders>
              <w:right w:val="nil"/>
            </w:tcBorders>
            <w:shd w:val="clear" w:color="auto" w:fill="F3F3F3"/>
          </w:tcPr>
          <w:p>
            <w:pPr>
              <w:pStyle w:val="TableParagraph"/>
              <w:spacing w:line="254" w:lineRule="auto" w:before="8"/>
              <w:ind w:left="100" w:right="104"/>
              <w:jc w:val="both"/>
              <w:rPr>
                <w:sz w:val="17"/>
              </w:rPr>
            </w:pPr>
            <w:r>
              <w:rPr>
                <w:w w:val="105"/>
                <w:sz w:val="17"/>
              </w:rPr>
              <w:t>Pago de impuestos municipales y estatales, se otorgan 90 días hábiles para el cumplimiento de estos.</w:t>
            </w:r>
          </w:p>
        </w:tc>
      </w:tr>
      <w:tr>
        <w:trPr>
          <w:trHeight w:val="634" w:hRule="exact"/>
        </w:trPr>
        <w:tc>
          <w:tcPr>
            <w:tcW w:w="4397" w:type="dxa"/>
            <w:gridSpan w:val="2"/>
            <w:shd w:val="clear" w:color="auto" w:fill="E6E6E6"/>
          </w:tcPr>
          <w:p>
            <w:pPr/>
          </w:p>
        </w:tc>
        <w:tc>
          <w:tcPr>
            <w:tcW w:w="4234" w:type="dxa"/>
            <w:tcBorders>
              <w:right w:val="nil"/>
            </w:tcBorders>
            <w:shd w:val="clear" w:color="auto" w:fill="E6E6E6"/>
          </w:tcPr>
          <w:p>
            <w:pPr>
              <w:pStyle w:val="TableParagraph"/>
              <w:spacing w:line="254" w:lineRule="auto" w:before="8"/>
              <w:ind w:left="100" w:right="103"/>
              <w:jc w:val="both"/>
              <w:rPr>
                <w:sz w:val="17"/>
              </w:rPr>
            </w:pPr>
            <w:r>
              <w:rPr>
                <w:w w:val="105"/>
                <w:sz w:val="17"/>
              </w:rPr>
              <w:t>Aprobación de documentos y proyectos técnicos ejecutivos del equipamiento a  desarrollar,  plazo de 90 días hábiles para el cumplimiento.</w:t>
            </w:r>
          </w:p>
        </w:tc>
      </w:tr>
      <w:tr>
        <w:trPr>
          <w:trHeight w:val="629" w:hRule="exact"/>
        </w:trPr>
        <w:tc>
          <w:tcPr>
            <w:tcW w:w="4397" w:type="dxa"/>
            <w:gridSpan w:val="2"/>
            <w:shd w:val="clear" w:color="auto" w:fill="F3F3F3"/>
          </w:tcPr>
          <w:p>
            <w:pPr/>
          </w:p>
        </w:tc>
        <w:tc>
          <w:tcPr>
            <w:tcW w:w="4234" w:type="dxa"/>
            <w:tcBorders>
              <w:right w:val="nil"/>
            </w:tcBorders>
            <w:shd w:val="clear" w:color="auto" w:fill="F3F3F3"/>
          </w:tcPr>
          <w:p>
            <w:pPr>
              <w:pStyle w:val="TableParagraph"/>
              <w:spacing w:line="254" w:lineRule="auto" w:before="8"/>
              <w:ind w:left="100" w:right="103"/>
              <w:jc w:val="both"/>
              <w:rPr>
                <w:sz w:val="17"/>
              </w:rPr>
            </w:pPr>
            <w:r>
              <w:rPr>
                <w:w w:val="105"/>
                <w:sz w:val="17"/>
              </w:rPr>
              <w:t>Plazo para el término y entrega de las obras del acuerdo de autorización, variable de acuerdo al programa.</w:t>
            </w:r>
          </w:p>
        </w:tc>
      </w:tr>
      <w:tr>
        <w:trPr>
          <w:trHeight w:val="1253" w:hRule="exact"/>
        </w:trPr>
        <w:tc>
          <w:tcPr>
            <w:tcW w:w="4397" w:type="dxa"/>
            <w:gridSpan w:val="2"/>
            <w:shd w:val="clear" w:color="auto" w:fill="E6E6E6"/>
          </w:tcPr>
          <w:p>
            <w:pPr/>
          </w:p>
        </w:tc>
        <w:tc>
          <w:tcPr>
            <w:tcW w:w="4234" w:type="dxa"/>
            <w:tcBorders>
              <w:right w:val="nil"/>
            </w:tcBorders>
            <w:shd w:val="clear" w:color="auto" w:fill="E6E6E6"/>
          </w:tcPr>
          <w:p>
            <w:pPr>
              <w:pStyle w:val="TableParagraph"/>
              <w:spacing w:line="254" w:lineRule="auto" w:before="8"/>
              <w:ind w:left="100" w:right="103"/>
              <w:jc w:val="both"/>
              <w:rPr>
                <w:sz w:val="17"/>
              </w:rPr>
            </w:pPr>
            <w:r>
              <w:rPr>
                <w:w w:val="105"/>
                <w:sz w:val="17"/>
              </w:rPr>
              <w:t>Otorgar fianzas a favor del Gobierno del Estado</w:t>
            </w:r>
            <w:r>
              <w:rPr>
                <w:spacing w:val="49"/>
                <w:w w:val="105"/>
                <w:sz w:val="17"/>
              </w:rPr>
              <w:t> </w:t>
            </w:r>
            <w:r>
              <w:rPr>
                <w:w w:val="105"/>
                <w:sz w:val="17"/>
              </w:rPr>
              <w:t>de México por el 100% del valor de las obras de urbanización y equipamiento, así como por las obras de infraestructura primaria por realizar, se cuenta con un plazo de 90 días hábiles para presentar ambas</w:t>
            </w:r>
            <w:r>
              <w:rPr>
                <w:spacing w:val="8"/>
                <w:w w:val="105"/>
                <w:sz w:val="17"/>
              </w:rPr>
              <w:t> </w:t>
            </w:r>
            <w:r>
              <w:rPr>
                <w:w w:val="105"/>
                <w:sz w:val="17"/>
              </w:rPr>
              <w:t>fianzas.</w:t>
            </w:r>
          </w:p>
        </w:tc>
      </w:tr>
      <w:tr>
        <w:trPr>
          <w:trHeight w:val="1253" w:hRule="exact"/>
        </w:trPr>
        <w:tc>
          <w:tcPr>
            <w:tcW w:w="4397" w:type="dxa"/>
            <w:gridSpan w:val="2"/>
            <w:shd w:val="clear" w:color="auto" w:fill="F3F3F3"/>
          </w:tcPr>
          <w:p>
            <w:pPr/>
          </w:p>
        </w:tc>
        <w:tc>
          <w:tcPr>
            <w:tcW w:w="4234" w:type="dxa"/>
            <w:tcBorders>
              <w:right w:val="nil"/>
            </w:tcBorders>
            <w:shd w:val="clear" w:color="auto" w:fill="F3F3F3"/>
          </w:tcPr>
          <w:p>
            <w:pPr>
              <w:pStyle w:val="TableParagraph"/>
              <w:spacing w:line="254" w:lineRule="auto" w:before="8"/>
              <w:ind w:left="100" w:right="103"/>
              <w:jc w:val="both"/>
              <w:rPr>
                <w:sz w:val="17"/>
              </w:rPr>
            </w:pPr>
            <w:r>
              <w:rPr>
                <w:w w:val="105"/>
                <w:sz w:val="17"/>
              </w:rPr>
              <w:t>Otorgar fianzas a favor del Gobierno del Estado</w:t>
            </w:r>
            <w:r>
              <w:rPr>
                <w:spacing w:val="49"/>
                <w:w w:val="105"/>
                <w:sz w:val="17"/>
              </w:rPr>
              <w:t> </w:t>
            </w:r>
            <w:r>
              <w:rPr>
                <w:w w:val="105"/>
                <w:sz w:val="17"/>
              </w:rPr>
              <w:t>de México por el 20% del valor de las obras de urbanización y equipamiento, así como por las obras de infraestructura primaria realizadas, por una vigencia de 2 años contados a partir de la fecha de acta de entrega total y</w:t>
            </w:r>
            <w:r>
              <w:rPr>
                <w:spacing w:val="13"/>
                <w:w w:val="105"/>
                <w:sz w:val="17"/>
              </w:rPr>
              <w:t> </w:t>
            </w:r>
            <w:r>
              <w:rPr>
                <w:w w:val="105"/>
                <w:sz w:val="17"/>
              </w:rPr>
              <w:t>definitiva.</w:t>
            </w:r>
          </w:p>
        </w:tc>
      </w:tr>
      <w:tr>
        <w:trPr>
          <w:trHeight w:val="1042" w:hRule="exact"/>
        </w:trPr>
        <w:tc>
          <w:tcPr>
            <w:tcW w:w="4397" w:type="dxa"/>
            <w:gridSpan w:val="2"/>
            <w:shd w:val="clear" w:color="auto" w:fill="E6E6E6"/>
          </w:tcPr>
          <w:p>
            <w:pPr/>
          </w:p>
        </w:tc>
        <w:tc>
          <w:tcPr>
            <w:tcW w:w="4234" w:type="dxa"/>
            <w:tcBorders>
              <w:right w:val="nil"/>
            </w:tcBorders>
            <w:shd w:val="clear" w:color="auto" w:fill="E6E6E6"/>
          </w:tcPr>
          <w:p>
            <w:pPr>
              <w:pStyle w:val="TableParagraph"/>
              <w:spacing w:line="254" w:lineRule="auto" w:before="8"/>
              <w:ind w:left="100" w:right="104"/>
              <w:jc w:val="both"/>
              <w:rPr>
                <w:sz w:val="17"/>
              </w:rPr>
            </w:pPr>
            <w:r>
              <w:rPr>
                <w:w w:val="105"/>
                <w:sz w:val="17"/>
              </w:rPr>
              <w:t>Insertar en los actos o contratos de traslado de dominio de los lotes, así como en la publicidad comercial del conjunto urbano, el tipo y fecha de su autorización y de su publicación en la Gaceta del Gobierno del Estado de</w:t>
            </w:r>
            <w:r>
              <w:rPr>
                <w:spacing w:val="14"/>
                <w:w w:val="105"/>
                <w:sz w:val="17"/>
              </w:rPr>
              <w:t> </w:t>
            </w:r>
            <w:r>
              <w:rPr>
                <w:w w:val="105"/>
                <w:sz w:val="17"/>
              </w:rPr>
              <w:t>México.</w:t>
            </w:r>
          </w:p>
        </w:tc>
      </w:tr>
      <w:tr>
        <w:trPr>
          <w:trHeight w:val="422" w:hRule="exact"/>
        </w:trPr>
        <w:tc>
          <w:tcPr>
            <w:tcW w:w="4397" w:type="dxa"/>
            <w:gridSpan w:val="2"/>
            <w:tcBorders>
              <w:bottom w:val="nil"/>
            </w:tcBorders>
            <w:shd w:val="clear" w:color="auto" w:fill="F3F3F3"/>
          </w:tcPr>
          <w:p>
            <w:pPr/>
          </w:p>
        </w:tc>
        <w:tc>
          <w:tcPr>
            <w:tcW w:w="4234" w:type="dxa"/>
            <w:tcBorders>
              <w:bottom w:val="nil"/>
              <w:right w:val="nil"/>
            </w:tcBorders>
            <w:shd w:val="clear" w:color="auto" w:fill="F3F3F3"/>
          </w:tcPr>
          <w:p>
            <w:pPr>
              <w:pStyle w:val="TableParagraph"/>
              <w:spacing w:line="259" w:lineRule="auto" w:before="8"/>
              <w:ind w:left="100"/>
              <w:jc w:val="left"/>
              <w:rPr>
                <w:sz w:val="17"/>
              </w:rPr>
            </w:pPr>
            <w:r>
              <w:rPr>
                <w:w w:val="105"/>
                <w:sz w:val="17"/>
              </w:rPr>
              <w:t>Mantener y conservar las obras de infraestructura primaria,   de   urbanización   y   equipamiento, así</w:t>
            </w:r>
          </w:p>
        </w:tc>
      </w:tr>
    </w:tbl>
    <w:p>
      <w:pPr>
        <w:spacing w:after="0" w:line="259" w:lineRule="auto"/>
        <w:jc w:val="left"/>
        <w:rPr>
          <w:sz w:val="17"/>
        </w:rPr>
        <w:sectPr>
          <w:pgSz w:w="12240" w:h="15840"/>
          <w:pgMar w:header="730" w:footer="1066" w:top="1320" w:bottom="1260" w:left="1720" w:right="1180"/>
        </w:sectPr>
      </w:pPr>
    </w:p>
    <w:p>
      <w:pPr>
        <w:pStyle w:val="BodyText"/>
        <w:spacing w:before="10"/>
      </w:pPr>
      <w:r>
        <w:rPr/>
        <w:pict>
          <v:line style="position:absolute;mso-position-horizontal-relative:page;mso-position-vertical-relative:page;z-index:6040" from="93.199997pt,57.080009pt" to="546.799997pt,57.080009pt" stroked="true" strokeweight=".479981pt" strokecolor="#000000">
            <w10:wrap type="none"/>
          </v:line>
        </w:pict>
      </w:r>
    </w:p>
    <w:tbl>
      <w:tblPr>
        <w:tblCellSpacing w:w="4" w:type="dxa"/>
        <w:tblW w:w="0" w:type="auto"/>
        <w:jc w:val="left"/>
        <w:tblInd w:w="36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97"/>
        <w:gridCol w:w="4234"/>
      </w:tblGrid>
      <w:tr>
        <w:trPr>
          <w:trHeight w:val="1234" w:hRule="exact"/>
        </w:trPr>
        <w:tc>
          <w:tcPr>
            <w:tcW w:w="4397" w:type="dxa"/>
            <w:tcBorders>
              <w:left w:val="single" w:sz="4" w:space="0" w:color="FFFFFF"/>
              <w:bottom w:val="nil"/>
              <w:right w:val="nil"/>
            </w:tcBorders>
            <w:shd w:val="clear" w:color="auto" w:fill="F3F3F3"/>
          </w:tcPr>
          <w:p>
            <w:pPr/>
          </w:p>
        </w:tc>
        <w:tc>
          <w:tcPr>
            <w:tcW w:w="4234" w:type="dxa"/>
            <w:tcBorders>
              <w:left w:val="nil"/>
              <w:bottom w:val="nil"/>
            </w:tcBorders>
            <w:shd w:val="clear" w:color="auto" w:fill="F3F3F3"/>
          </w:tcPr>
          <w:p>
            <w:pPr>
              <w:pStyle w:val="TableParagraph"/>
              <w:spacing w:line="254" w:lineRule="auto" w:before="8"/>
              <w:ind w:left="100" w:right="103"/>
              <w:jc w:val="both"/>
              <w:rPr>
                <w:sz w:val="17"/>
              </w:rPr>
            </w:pPr>
            <w:r>
              <w:rPr>
                <w:w w:val="105"/>
                <w:sz w:val="17"/>
              </w:rPr>
              <w:t>como presentar gratuitamente los servicios públicos de agua potable, drenaje, alumbrado público y recolección de basura del desarrollo, hasta que dichas obras sean recibidas a entera satisfacción por la SEDUR y el H. Ayuntamiento que corresponda.</w:t>
            </w:r>
          </w:p>
        </w:tc>
      </w:tr>
      <w:tr>
        <w:trPr>
          <w:trHeight w:val="826" w:hRule="exact"/>
        </w:trPr>
        <w:tc>
          <w:tcPr>
            <w:tcW w:w="4397" w:type="dxa"/>
            <w:tcBorders>
              <w:top w:val="nil"/>
              <w:left w:val="single" w:sz="4" w:space="0" w:color="FFFFFF"/>
              <w:right w:val="nil"/>
            </w:tcBorders>
            <w:shd w:val="clear" w:color="auto" w:fill="E6E6E6"/>
          </w:tcPr>
          <w:p>
            <w:pPr/>
          </w:p>
        </w:tc>
        <w:tc>
          <w:tcPr>
            <w:tcW w:w="4234" w:type="dxa"/>
            <w:tcBorders>
              <w:top w:val="nil"/>
              <w:left w:val="nil"/>
            </w:tcBorders>
            <w:shd w:val="clear" w:color="auto" w:fill="E6E6E6"/>
          </w:tcPr>
          <w:p>
            <w:pPr>
              <w:pStyle w:val="TableParagraph"/>
              <w:spacing w:line="254" w:lineRule="auto" w:before="8"/>
              <w:ind w:left="100" w:right="104"/>
              <w:jc w:val="both"/>
              <w:rPr>
                <w:sz w:val="17"/>
              </w:rPr>
            </w:pPr>
            <w:r>
              <w:rPr>
                <w:w w:val="105"/>
                <w:sz w:val="17"/>
              </w:rPr>
              <w:t>Colocar una placa metálica de al menos 80X80 </w:t>
            </w:r>
            <w:r>
              <w:rPr>
                <w:spacing w:val="49"/>
                <w:w w:val="105"/>
                <w:sz w:val="17"/>
              </w:rPr>
              <w:t> </w:t>
            </w:r>
            <w:r>
              <w:rPr>
                <w:w w:val="105"/>
                <w:sz w:val="17"/>
              </w:rPr>
              <w:t>en un murete en el cual se consigne  como</w:t>
            </w:r>
            <w:r>
              <w:rPr>
                <w:spacing w:val="49"/>
                <w:w w:val="105"/>
                <w:sz w:val="17"/>
              </w:rPr>
              <w:t> </w:t>
            </w:r>
            <w:r>
              <w:rPr>
                <w:w w:val="105"/>
                <w:sz w:val="17"/>
              </w:rPr>
              <w:t>mínimo la fecha de publicación en la Gaceta del Gobierno el acuerdo de</w:t>
            </w:r>
            <w:r>
              <w:rPr>
                <w:spacing w:val="13"/>
                <w:w w:val="105"/>
                <w:sz w:val="17"/>
              </w:rPr>
              <w:t> </w:t>
            </w:r>
            <w:r>
              <w:rPr>
                <w:w w:val="105"/>
                <w:sz w:val="17"/>
              </w:rPr>
              <w:t>autorización.</w:t>
            </w:r>
          </w:p>
        </w:tc>
      </w:tr>
    </w:tbl>
    <w:p>
      <w:pPr>
        <w:spacing w:line="376" w:lineRule="auto" w:before="134"/>
        <w:ind w:left="268" w:right="232" w:firstLine="0"/>
        <w:jc w:val="both"/>
        <w:rPr>
          <w:sz w:val="21"/>
        </w:rPr>
      </w:pPr>
      <w:r>
        <w:rPr>
          <w:w w:val="105"/>
          <w:sz w:val="21"/>
        </w:rPr>
        <w:t>Fuente: Elaboración propia con base en el Libro Quinto del Código Administrativo del Estado de México, Reglamento del L5to y el Código Financiero del Estado de México.</w:t>
      </w:r>
    </w:p>
    <w:p>
      <w:pPr>
        <w:pStyle w:val="BodyText"/>
        <w:spacing w:line="360" w:lineRule="auto" w:before="110"/>
        <w:ind w:left="268" w:right="231"/>
        <w:jc w:val="both"/>
      </w:pPr>
      <w:r>
        <w:rPr/>
        <w:t>Dentro de las obligaciones adquiridas en la autorización del conjunto urbano existen impuestos de carácter estatal y municipal mismos que son adicionales y completamente ajenos a los costos e impuestos generados durante los diferentes procesos de gestión, promoción y legalización de la tierra. Los impuestos de autorización de un conjunto urbano (ver tabla 13) se consideran como una obligación adquirida por el promotor inmobiliario y deben ser cubiertos en los tiempos y formas que estipula la norma y el acuerdo de autorización.</w:t>
      </w:r>
    </w:p>
    <w:p>
      <w:pPr>
        <w:pStyle w:val="BodyText"/>
        <w:spacing w:line="360" w:lineRule="auto" w:before="122"/>
        <w:ind w:left="268" w:right="231"/>
        <w:jc w:val="both"/>
      </w:pPr>
      <w:r>
        <w:rPr/>
        <w:t>Los montos varían en razón del tipo de conjunto urbano de que se trate y de igual modo de la superficie y lotes enajenables con las que sea autorizado, esto quiere decir que mientras mayor sea el área o el número de lotes enajenables mayor será el monto a cubrir por derechos e impuestos, cabe destacar que por la autorización de vivienda de tipo social progresiva existen ciertas exenciones de impuestos.</w:t>
      </w:r>
    </w:p>
    <w:p>
      <w:pPr>
        <w:pStyle w:val="BodyText"/>
        <w:spacing w:before="122" w:after="16"/>
        <w:ind w:left="268"/>
        <w:jc w:val="both"/>
      </w:pPr>
      <w:r>
        <w:rPr/>
        <w:t>Tabla 13. Impuestos por la autorización de conjunto urbano.</w:t>
      </w:r>
    </w:p>
    <w:tbl>
      <w:tblPr>
        <w:tblCellSpacing w:w="6" w:type="dxa"/>
        <w:tblW w:w="0" w:type="auto"/>
        <w:jc w:val="left"/>
        <w:tblInd w:w="93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14"/>
        <w:gridCol w:w="3674"/>
      </w:tblGrid>
      <w:tr>
        <w:trPr>
          <w:trHeight w:val="443" w:hRule="exact"/>
        </w:trPr>
        <w:tc>
          <w:tcPr>
            <w:tcW w:w="7488" w:type="dxa"/>
            <w:gridSpan w:val="2"/>
            <w:tcBorders>
              <w:left w:val="single" w:sz="4" w:space="0" w:color="FFFFFF"/>
              <w:bottom w:val="nil"/>
            </w:tcBorders>
            <w:shd w:val="clear" w:color="auto" w:fill="191919"/>
          </w:tcPr>
          <w:p>
            <w:pPr>
              <w:pStyle w:val="TableParagraph"/>
              <w:spacing w:before="114"/>
              <w:ind w:left="1656"/>
              <w:jc w:val="left"/>
              <w:rPr>
                <w:sz w:val="19"/>
              </w:rPr>
            </w:pPr>
            <w:r>
              <w:rPr>
                <w:color w:val="FFFFFF"/>
                <w:w w:val="105"/>
                <w:sz w:val="19"/>
              </w:rPr>
              <w:t>Impuestos por autorización de conjunto urbano</w:t>
            </w:r>
          </w:p>
        </w:tc>
      </w:tr>
      <w:tr>
        <w:trPr>
          <w:trHeight w:val="206" w:hRule="exact"/>
        </w:trPr>
        <w:tc>
          <w:tcPr>
            <w:tcW w:w="3814" w:type="dxa"/>
            <w:tcBorders>
              <w:top w:val="nil"/>
              <w:left w:val="single" w:sz="4" w:space="0" w:color="FFFFFF"/>
              <w:bottom w:val="nil"/>
              <w:right w:val="nil"/>
            </w:tcBorders>
            <w:shd w:val="clear" w:color="auto" w:fill="606060"/>
          </w:tcPr>
          <w:p>
            <w:pPr>
              <w:pStyle w:val="TableParagraph"/>
              <w:spacing w:before="8"/>
              <w:ind w:left="1517" w:right="1516"/>
              <w:rPr>
                <w:sz w:val="17"/>
              </w:rPr>
            </w:pPr>
            <w:r>
              <w:rPr>
                <w:color w:val="FFFFFF"/>
                <w:w w:val="105"/>
                <w:sz w:val="17"/>
              </w:rPr>
              <w:t>Estatales</w:t>
            </w:r>
          </w:p>
        </w:tc>
        <w:tc>
          <w:tcPr>
            <w:tcW w:w="3674" w:type="dxa"/>
            <w:tcBorders>
              <w:top w:val="nil"/>
              <w:left w:val="nil"/>
              <w:bottom w:val="nil"/>
            </w:tcBorders>
            <w:shd w:val="clear" w:color="auto" w:fill="606060"/>
          </w:tcPr>
          <w:p>
            <w:pPr>
              <w:pStyle w:val="TableParagraph"/>
              <w:spacing w:before="8"/>
              <w:ind w:left="1345" w:right="1346"/>
              <w:rPr>
                <w:sz w:val="17"/>
              </w:rPr>
            </w:pPr>
            <w:r>
              <w:rPr>
                <w:color w:val="FFFFFF"/>
                <w:w w:val="105"/>
                <w:sz w:val="17"/>
              </w:rPr>
              <w:t>Municipales</w:t>
            </w:r>
          </w:p>
        </w:tc>
      </w:tr>
      <w:tr>
        <w:trPr>
          <w:trHeight w:val="412" w:hRule="exact"/>
        </w:trPr>
        <w:tc>
          <w:tcPr>
            <w:tcW w:w="3814" w:type="dxa"/>
            <w:tcBorders>
              <w:top w:val="nil"/>
              <w:left w:val="single" w:sz="4" w:space="0" w:color="FFFFFF"/>
              <w:bottom w:val="nil"/>
              <w:right w:val="nil"/>
            </w:tcBorders>
            <w:shd w:val="clear" w:color="auto" w:fill="F3F3F3"/>
          </w:tcPr>
          <w:p>
            <w:pPr>
              <w:pStyle w:val="TableParagraph"/>
              <w:spacing w:line="254" w:lineRule="auto" w:before="8"/>
              <w:ind w:left="100"/>
              <w:jc w:val="left"/>
              <w:rPr>
                <w:sz w:val="17"/>
              </w:rPr>
            </w:pPr>
            <w:r>
              <w:rPr>
                <w:w w:val="105"/>
                <w:sz w:val="17"/>
              </w:rPr>
              <w:t>Derechos de supervisión de obras de infraestructura primaria.</w:t>
            </w:r>
          </w:p>
        </w:tc>
        <w:tc>
          <w:tcPr>
            <w:tcW w:w="3674" w:type="dxa"/>
            <w:tcBorders>
              <w:top w:val="nil"/>
              <w:left w:val="nil"/>
              <w:bottom w:val="nil"/>
            </w:tcBorders>
            <w:shd w:val="clear" w:color="auto" w:fill="F3F3F3"/>
          </w:tcPr>
          <w:p>
            <w:pPr>
              <w:pStyle w:val="TableParagraph"/>
              <w:spacing w:line="254" w:lineRule="auto" w:before="8"/>
              <w:ind w:left="100" w:right="92"/>
              <w:jc w:val="left"/>
              <w:rPr>
                <w:sz w:val="17"/>
              </w:rPr>
            </w:pPr>
            <w:r>
              <w:rPr>
                <w:w w:val="105"/>
                <w:sz w:val="17"/>
              </w:rPr>
              <w:t>Por autorización en salario mínimo (vsm) por cada una de las viviendas autorizadas.</w:t>
            </w:r>
          </w:p>
        </w:tc>
      </w:tr>
      <w:tr>
        <w:trPr>
          <w:trHeight w:val="616" w:hRule="exact"/>
        </w:trPr>
        <w:tc>
          <w:tcPr>
            <w:tcW w:w="3814" w:type="dxa"/>
            <w:tcBorders>
              <w:top w:val="nil"/>
              <w:left w:val="single" w:sz="4" w:space="0" w:color="FFFFFF"/>
              <w:bottom w:val="nil"/>
              <w:right w:val="nil"/>
            </w:tcBorders>
            <w:shd w:val="clear" w:color="auto" w:fill="E6E6E6"/>
          </w:tcPr>
          <w:p>
            <w:pPr>
              <w:pStyle w:val="TableParagraph"/>
              <w:spacing w:line="254" w:lineRule="auto" w:before="8"/>
              <w:ind w:left="100" w:right="96"/>
              <w:jc w:val="both"/>
              <w:rPr>
                <w:sz w:val="17"/>
              </w:rPr>
            </w:pPr>
            <w:r>
              <w:rPr>
                <w:w w:val="105"/>
                <w:sz w:val="17"/>
              </w:rPr>
              <w:t>Derechos de supervisión de obras de urbanización y de equipamiento a razón del 1% del valor de las obras a realizar.</w:t>
            </w:r>
          </w:p>
        </w:tc>
        <w:tc>
          <w:tcPr>
            <w:tcW w:w="3674" w:type="dxa"/>
            <w:tcBorders>
              <w:top w:val="nil"/>
              <w:left w:val="nil"/>
              <w:bottom w:val="nil"/>
            </w:tcBorders>
            <w:shd w:val="clear" w:color="auto" w:fill="E6E6E6"/>
          </w:tcPr>
          <w:p>
            <w:pPr>
              <w:pStyle w:val="TableParagraph"/>
              <w:spacing w:line="206" w:lineRule="exact" w:before="3"/>
              <w:ind w:left="100" w:right="101"/>
              <w:jc w:val="both"/>
              <w:rPr>
                <w:sz w:val="17"/>
              </w:rPr>
            </w:pPr>
            <w:r>
              <w:rPr>
                <w:w w:val="105"/>
                <w:sz w:val="17"/>
              </w:rPr>
              <w:t>Por autorización en salario mínimo (vsm) por cada 100m</w:t>
            </w:r>
            <w:r>
              <w:rPr>
                <w:w w:val="105"/>
                <w:position w:val="9"/>
                <w:sz w:val="12"/>
              </w:rPr>
              <w:t>2 </w:t>
            </w:r>
            <w:r>
              <w:rPr>
                <w:w w:val="105"/>
                <w:sz w:val="17"/>
              </w:rPr>
              <w:t>de superficie vendible de uso comercial.</w:t>
            </w:r>
          </w:p>
        </w:tc>
      </w:tr>
      <w:tr>
        <w:trPr>
          <w:trHeight w:val="621" w:hRule="exact"/>
        </w:trPr>
        <w:tc>
          <w:tcPr>
            <w:tcW w:w="3814" w:type="dxa"/>
            <w:tcBorders>
              <w:top w:val="nil"/>
              <w:left w:val="single" w:sz="4" w:space="0" w:color="FFFFFF"/>
              <w:bottom w:val="nil"/>
              <w:right w:val="nil"/>
            </w:tcBorders>
            <w:shd w:val="clear" w:color="auto" w:fill="F3F3F3"/>
          </w:tcPr>
          <w:p>
            <w:pPr/>
          </w:p>
        </w:tc>
        <w:tc>
          <w:tcPr>
            <w:tcW w:w="3674" w:type="dxa"/>
            <w:tcBorders>
              <w:top w:val="nil"/>
              <w:left w:val="nil"/>
              <w:bottom w:val="nil"/>
            </w:tcBorders>
            <w:shd w:val="clear" w:color="auto" w:fill="F3F3F3"/>
          </w:tcPr>
          <w:p>
            <w:pPr>
              <w:pStyle w:val="TableParagraph"/>
              <w:spacing w:line="256" w:lineRule="auto" w:before="8"/>
              <w:ind w:left="100" w:right="102"/>
              <w:jc w:val="both"/>
              <w:rPr>
                <w:sz w:val="17"/>
              </w:rPr>
            </w:pPr>
            <w:r>
              <w:rPr>
                <w:w w:val="105"/>
                <w:sz w:val="17"/>
              </w:rPr>
              <w:t>Por el establecimiento del sistema de agua potable, por tipo comercial y de servicios y por el tipo habitacional.</w:t>
            </w:r>
          </w:p>
        </w:tc>
      </w:tr>
      <w:tr>
        <w:trPr>
          <w:trHeight w:val="616" w:hRule="exact"/>
        </w:trPr>
        <w:tc>
          <w:tcPr>
            <w:tcW w:w="3814" w:type="dxa"/>
            <w:tcBorders>
              <w:top w:val="nil"/>
              <w:left w:val="single" w:sz="4" w:space="0" w:color="FFFFFF"/>
              <w:bottom w:val="nil"/>
              <w:right w:val="nil"/>
            </w:tcBorders>
            <w:shd w:val="clear" w:color="auto" w:fill="E6E6E6"/>
          </w:tcPr>
          <w:p>
            <w:pPr/>
          </w:p>
        </w:tc>
        <w:tc>
          <w:tcPr>
            <w:tcW w:w="3674" w:type="dxa"/>
            <w:tcBorders>
              <w:top w:val="nil"/>
              <w:left w:val="nil"/>
              <w:bottom w:val="nil"/>
            </w:tcBorders>
            <w:shd w:val="clear" w:color="auto" w:fill="E6E6E6"/>
          </w:tcPr>
          <w:p>
            <w:pPr>
              <w:pStyle w:val="TableParagraph"/>
              <w:spacing w:line="254" w:lineRule="auto" w:before="8"/>
              <w:ind w:left="100" w:right="101"/>
              <w:jc w:val="both"/>
              <w:rPr>
                <w:sz w:val="17"/>
              </w:rPr>
            </w:pPr>
            <w:r>
              <w:rPr>
                <w:w w:val="105"/>
                <w:sz w:val="17"/>
              </w:rPr>
              <w:t>Por el establecimiento del sistema de alcantarillado, por el tipo comercial y de servicios y por el tipo habitacional.</w:t>
            </w:r>
          </w:p>
        </w:tc>
      </w:tr>
      <w:tr>
        <w:trPr>
          <w:trHeight w:val="405" w:hRule="exact"/>
        </w:trPr>
        <w:tc>
          <w:tcPr>
            <w:tcW w:w="3814" w:type="dxa"/>
            <w:tcBorders>
              <w:top w:val="nil"/>
              <w:left w:val="single" w:sz="4" w:space="0" w:color="FFFFFF"/>
              <w:right w:val="nil"/>
            </w:tcBorders>
            <w:shd w:val="clear" w:color="auto" w:fill="F3F3F3"/>
          </w:tcPr>
          <w:p>
            <w:pPr/>
          </w:p>
        </w:tc>
        <w:tc>
          <w:tcPr>
            <w:tcW w:w="3674" w:type="dxa"/>
            <w:tcBorders>
              <w:top w:val="nil"/>
              <w:left w:val="nil"/>
            </w:tcBorders>
            <w:shd w:val="clear" w:color="auto" w:fill="F3F3F3"/>
          </w:tcPr>
          <w:p>
            <w:pPr>
              <w:pStyle w:val="TableParagraph"/>
              <w:spacing w:line="254" w:lineRule="auto" w:before="8"/>
              <w:ind w:left="100" w:right="92"/>
              <w:jc w:val="left"/>
              <w:rPr>
                <w:sz w:val="17"/>
              </w:rPr>
            </w:pPr>
            <w:r>
              <w:rPr>
                <w:w w:val="105"/>
                <w:sz w:val="17"/>
              </w:rPr>
              <w:t>Por la conexión de la toma para el suministro de agua en bloque.</w:t>
            </w:r>
          </w:p>
        </w:tc>
      </w:tr>
    </w:tbl>
    <w:p>
      <w:pPr>
        <w:spacing w:line="376" w:lineRule="auto" w:before="139"/>
        <w:ind w:left="268" w:right="241" w:firstLine="0"/>
        <w:jc w:val="left"/>
        <w:rPr>
          <w:sz w:val="21"/>
        </w:rPr>
      </w:pPr>
      <w:r>
        <w:rPr>
          <w:w w:val="105"/>
          <w:sz w:val="21"/>
        </w:rPr>
        <w:t>Fuente: Elaboración propia con base al Libro Quinto del Código Administrativo del Estado de México, Reglamento del L5to y el Código Financiero del Estado de México.</w:t>
      </w:r>
    </w:p>
    <w:p>
      <w:pPr>
        <w:spacing w:after="0" w:line="376" w:lineRule="auto"/>
        <w:jc w:val="left"/>
        <w:rPr>
          <w:sz w:val="21"/>
        </w:rPr>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6064" from="93.199997pt,-19.614155pt" to="546.799997pt,-19.614155pt" stroked="true" strokeweight=".479981pt" strokecolor="#000000">
            <w10:wrap type="none"/>
          </v:line>
        </w:pict>
      </w:r>
      <w:r>
        <w:rPr/>
        <w:t>Las cifras que logran alcanzar los impuestos y derechos por la autorización de un conjunto urbano de tipo mixto; habitacional y comercio y servicios básicos en algunos casos son demasiado altas, por lo que la mayoría de los promotores se encuentran en grandes riesgos financieros para cubrir dichos impuestos y estar en posibilidad de iniciar con la urbanización y edificación de vivienda.</w:t>
      </w:r>
    </w:p>
    <w:p>
      <w:pPr>
        <w:pStyle w:val="BodyText"/>
        <w:spacing w:line="360" w:lineRule="auto" w:before="122"/>
        <w:ind w:left="268" w:right="231"/>
        <w:jc w:val="both"/>
      </w:pPr>
      <w:r>
        <w:rPr/>
        <w:t>En la gran mayoría de casos se generan acuerdos y/o convenios de pago de dichos impuestos con las autoridades correspondientes conforme lo establece el Código Financiero del Estado de México, por lo que los impuestos pueden ser pagados por los promotores inmobiliarios en parcialidades, considerando sus respectivos intereses. Sin embargo, generalmente las parcialidades de igual modo son directamente proporcionales a las cifras totales generadas en el acuerdo de autorización y aún que exista un apoyo en el pago de éstas aún representan un riesgo financiero para las empresas.</w:t>
      </w:r>
    </w:p>
    <w:p>
      <w:pPr>
        <w:pStyle w:val="BodyText"/>
        <w:spacing w:line="360" w:lineRule="auto" w:before="127"/>
        <w:ind w:left="268" w:right="231"/>
        <w:jc w:val="both"/>
      </w:pPr>
      <w:r>
        <w:rPr/>
        <w:t>Con base a la normatividad las empresas inmobiliarias pueden comenzar su proceso de urbanización y edificación toda vez que cuenten con los permisos, licencias y autorizaciones correspondiente, así como cumplimiento parcial de sus obligaciones además de garantizar el término de las mismas.</w:t>
      </w:r>
    </w:p>
    <w:p>
      <w:pPr>
        <w:pStyle w:val="BodyText"/>
        <w:spacing w:line="360" w:lineRule="auto" w:before="127"/>
        <w:ind w:left="268" w:right="231"/>
        <w:jc w:val="both"/>
      </w:pPr>
      <w:r>
        <w:rPr/>
        <w:t>En la práctica para las empresas inmobiliarias resulta prioritario comenzar cuanto antes con la urbanización de la infraestructura primaria, esto sucede porque la mayoría de los desarrollos habitacionales se encuentran en zonas no urbanizadas, por lo que resulta imperante conectar sus proyectos con la urbanización existente, puesto que sin urbanización primaria sería más costoso realizar la urbanización y obras de equipamiento al interior de los conjuntos urbanos.</w:t>
      </w:r>
    </w:p>
    <w:p>
      <w:pPr>
        <w:pStyle w:val="BodyText"/>
        <w:spacing w:line="360" w:lineRule="auto" w:before="122"/>
        <w:ind w:left="268" w:right="231"/>
        <w:jc w:val="both"/>
      </w:pPr>
      <w:r>
        <w:rPr/>
        <w:t>Para las empresas inmobiliarias es suficiente que la infraestructura primaria  cuente con un avance parcial para que continúen y den prioridad a la edificación  de vivienda, la cual en la mayoría de las empresas siempre mostrará un avance significativo en sus bitácoras de obra, este fenómeno se verifica en las bitácoras  de supervisión de obras de urbanización y equipamiento que el Estado a través de la Dirección de Control Urbano dependiente de la SEDUM realiza  </w:t>
      </w:r>
      <w:r>
        <w:rPr>
          <w:spacing w:val="25"/>
        </w:rPr>
        <w:t> </w:t>
      </w:r>
      <w:r>
        <w:rPr/>
        <w:t>periódicamente</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6088" from="93.199997pt,-19.614155pt" to="546.799997pt,-19.614155pt" stroked="true" strokeweight=".479981pt" strokecolor="#000000">
            <w10:wrap type="none"/>
          </v:line>
        </w:pict>
      </w:r>
      <w:r>
        <w:rPr/>
        <w:t>a los conjuntos urbanos autorizados y que se encuentran en la etapa de trámites subsecuentes.</w:t>
      </w:r>
    </w:p>
    <w:p>
      <w:pPr>
        <w:pStyle w:val="BodyText"/>
        <w:spacing w:line="360" w:lineRule="auto" w:before="122"/>
        <w:ind w:left="268" w:right="231"/>
        <w:jc w:val="both"/>
      </w:pPr>
      <w:r>
        <w:rPr/>
        <w:t>El avance en mayor porcentaje en la edificación de vivienda incluso sobrepasando las autorizaciones obtenidas garantiza parcialmente a las empresas inmobiliarias que el flujo de recursos financieros para la continuidad y funcionamiento del proyecto sea continuo y permita llevar a buen término la conclusión del proyecto  de manera adecuada. Es en este punto donde existen diversos temas a resolver para las empresas inmobiliarias.</w:t>
      </w:r>
    </w:p>
    <w:p>
      <w:pPr>
        <w:pStyle w:val="BodyText"/>
      </w:pPr>
    </w:p>
    <w:p>
      <w:pPr>
        <w:pStyle w:val="Heading5"/>
        <w:numPr>
          <w:ilvl w:val="2"/>
          <w:numId w:val="17"/>
        </w:numPr>
        <w:tabs>
          <w:tab w:pos="936" w:val="left" w:leader="none"/>
        </w:tabs>
        <w:spacing w:line="240" w:lineRule="auto" w:before="211" w:after="0"/>
        <w:ind w:left="935" w:right="0" w:hanging="667"/>
        <w:jc w:val="both"/>
        <w:rPr>
          <w:i/>
        </w:rPr>
      </w:pPr>
      <w:r>
        <w:rPr>
          <w:i/>
        </w:rPr>
        <w:t>Escrituración y habitabilidad</w:t>
      </w:r>
    </w:p>
    <w:p>
      <w:pPr>
        <w:pStyle w:val="BodyText"/>
        <w:rPr>
          <w:b/>
          <w:i/>
        </w:rPr>
      </w:pPr>
    </w:p>
    <w:p>
      <w:pPr>
        <w:pStyle w:val="BodyText"/>
        <w:spacing w:before="3"/>
        <w:rPr>
          <w:b/>
          <w:i/>
          <w:sz w:val="21"/>
        </w:rPr>
      </w:pPr>
    </w:p>
    <w:p>
      <w:pPr>
        <w:pStyle w:val="BodyText"/>
        <w:spacing w:line="360" w:lineRule="auto"/>
        <w:ind w:left="268" w:right="231"/>
        <w:jc w:val="both"/>
      </w:pPr>
      <w:r>
        <w:rPr/>
        <w:t>El proceso de escrituración de vivienda y áreas comerciales, así como la habitabilidad de la vivienda y en consecuencia del conjunto urbano en su mayor parte es un tema en el que las empresas desarrolladoras de vivienda de igual modo deben de continuar con gestiones y legalización de papeles y documentos, en los que continua involucrado el Estado a través de instancias gubernamentales de carácter estatal y municipal, adicionalmente se involucran organismos e instituciones financieras y administrativas, como es el caso de Infonavit, Fovissste, instituciones bancarias y notarias públicas.</w:t>
      </w:r>
    </w:p>
    <w:p>
      <w:pPr>
        <w:pStyle w:val="BodyText"/>
        <w:spacing w:line="360" w:lineRule="auto" w:before="122"/>
        <w:ind w:left="268" w:right="231"/>
        <w:jc w:val="both"/>
      </w:pPr>
      <w:r>
        <w:rPr/>
        <w:t>Las notarías públicas que forman parte del aparato administrativo del Estado son las encargadas de realizar la escrituración de las viviendas y áreas comerciales o enajenables de un conjunto urbano. Para ello las empresas deben dar cumplimiento a distintos requerimientos que regula la normatividad al respecto y gestionar los insumos legales (ver tabla 14) que requieren los instrumentos jurídicos de las instituciones financieras y organismos financieros que otorgarán un crédito al comprador de la vivienda.</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before="69" w:after="12"/>
        <w:ind w:left="268"/>
      </w:pPr>
      <w:r>
        <w:rPr/>
        <w:pict>
          <v:line style="position:absolute;mso-position-horizontal-relative:page;mso-position-vertical-relative:paragraph;z-index:6112" from="93.199997pt,-19.614155pt" to="546.799997pt,-19.614155pt" stroked="true" strokeweight=".479981pt" strokecolor="#000000">
            <w10:wrap type="none"/>
          </v:line>
        </w:pict>
      </w:r>
      <w:r>
        <w:rPr/>
        <w:t>Tabla 14. Documentos para la escrituración.</w:t>
      </w:r>
    </w:p>
    <w:tbl>
      <w:tblPr>
        <w:tblW w:w="0" w:type="auto"/>
        <w:jc w:val="left"/>
        <w:tblInd w:w="364"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2467"/>
        <w:gridCol w:w="1675"/>
        <w:gridCol w:w="2021"/>
        <w:gridCol w:w="2467"/>
      </w:tblGrid>
      <w:tr>
        <w:trPr>
          <w:trHeight w:val="854" w:hRule="exact"/>
        </w:trPr>
        <w:tc>
          <w:tcPr>
            <w:tcW w:w="8630" w:type="dxa"/>
            <w:gridSpan w:val="4"/>
            <w:tcBorders>
              <w:top w:val="nil"/>
              <w:bottom w:val="nil"/>
              <w:right w:val="nil"/>
            </w:tcBorders>
            <w:shd w:val="clear" w:color="auto" w:fill="191919"/>
          </w:tcPr>
          <w:p>
            <w:pPr>
              <w:pStyle w:val="TableParagraph"/>
              <w:spacing w:before="5"/>
              <w:jc w:val="left"/>
              <w:rPr>
                <w:sz w:val="27"/>
              </w:rPr>
            </w:pPr>
          </w:p>
          <w:p>
            <w:pPr>
              <w:pStyle w:val="TableParagraph"/>
              <w:ind w:left="2355"/>
              <w:jc w:val="left"/>
              <w:rPr>
                <w:sz w:val="19"/>
              </w:rPr>
            </w:pPr>
            <w:r>
              <w:rPr>
                <w:color w:val="FFFFFF"/>
                <w:w w:val="105"/>
                <w:sz w:val="19"/>
              </w:rPr>
              <w:t>Documentos generales para la escrituración</w:t>
            </w:r>
          </w:p>
        </w:tc>
      </w:tr>
      <w:tr>
        <w:trPr>
          <w:trHeight w:val="427" w:hRule="exact"/>
        </w:trPr>
        <w:tc>
          <w:tcPr>
            <w:tcW w:w="2467" w:type="dxa"/>
            <w:shd w:val="clear" w:color="auto" w:fill="606060"/>
          </w:tcPr>
          <w:p>
            <w:pPr>
              <w:pStyle w:val="TableParagraph"/>
              <w:spacing w:before="114"/>
              <w:ind w:left="125" w:right="128"/>
              <w:rPr>
                <w:sz w:val="17"/>
              </w:rPr>
            </w:pPr>
            <w:r>
              <w:rPr>
                <w:color w:val="FFFFFF"/>
                <w:w w:val="105"/>
                <w:sz w:val="17"/>
              </w:rPr>
              <w:t>Estatales</w:t>
            </w:r>
          </w:p>
        </w:tc>
        <w:tc>
          <w:tcPr>
            <w:tcW w:w="1675" w:type="dxa"/>
            <w:shd w:val="clear" w:color="auto" w:fill="606060"/>
          </w:tcPr>
          <w:p>
            <w:pPr>
              <w:pStyle w:val="TableParagraph"/>
              <w:spacing w:before="114"/>
              <w:ind w:left="157" w:right="158"/>
              <w:rPr>
                <w:sz w:val="17"/>
              </w:rPr>
            </w:pPr>
            <w:r>
              <w:rPr>
                <w:color w:val="FFFFFF"/>
                <w:w w:val="105"/>
                <w:sz w:val="17"/>
              </w:rPr>
              <w:t>Municipales</w:t>
            </w:r>
          </w:p>
        </w:tc>
        <w:tc>
          <w:tcPr>
            <w:tcW w:w="2021" w:type="dxa"/>
            <w:shd w:val="clear" w:color="auto" w:fill="606060"/>
          </w:tcPr>
          <w:p>
            <w:pPr>
              <w:pStyle w:val="TableParagraph"/>
              <w:spacing w:before="114"/>
              <w:ind w:left="88" w:right="91"/>
              <w:rPr>
                <w:sz w:val="17"/>
              </w:rPr>
            </w:pPr>
            <w:r>
              <w:rPr>
                <w:color w:val="FFFFFF"/>
                <w:w w:val="105"/>
                <w:sz w:val="17"/>
              </w:rPr>
              <w:t>Bancos</w:t>
            </w:r>
          </w:p>
        </w:tc>
        <w:tc>
          <w:tcPr>
            <w:tcW w:w="2467" w:type="dxa"/>
            <w:tcBorders>
              <w:right w:val="nil"/>
            </w:tcBorders>
            <w:shd w:val="clear" w:color="auto" w:fill="606060"/>
          </w:tcPr>
          <w:p>
            <w:pPr>
              <w:pStyle w:val="TableParagraph"/>
              <w:spacing w:line="254" w:lineRule="auto" w:before="8"/>
              <w:ind w:left="848" w:right="852" w:firstLine="1"/>
              <w:rPr>
                <w:sz w:val="17"/>
              </w:rPr>
            </w:pPr>
            <w:r>
              <w:rPr>
                <w:color w:val="FFFFFF"/>
                <w:w w:val="105"/>
                <w:sz w:val="17"/>
              </w:rPr>
              <w:t>Infonavit Fovissste</w:t>
            </w:r>
          </w:p>
        </w:tc>
      </w:tr>
      <w:tr>
        <w:trPr>
          <w:trHeight w:val="912" w:hRule="exact"/>
        </w:trPr>
        <w:tc>
          <w:tcPr>
            <w:tcW w:w="2467" w:type="dxa"/>
            <w:shd w:val="clear" w:color="auto" w:fill="F3F3F3"/>
          </w:tcPr>
          <w:p>
            <w:pPr>
              <w:pStyle w:val="TableParagraph"/>
              <w:spacing w:line="254" w:lineRule="auto" w:before="47"/>
              <w:ind w:left="125" w:right="129"/>
              <w:rPr>
                <w:sz w:val="17"/>
              </w:rPr>
            </w:pPr>
            <w:r>
              <w:rPr>
                <w:w w:val="105"/>
                <w:sz w:val="17"/>
              </w:rPr>
              <w:t>Protocolización del permiso de inicio de obras y/o enajenación correspondiente</w:t>
            </w:r>
          </w:p>
        </w:tc>
        <w:tc>
          <w:tcPr>
            <w:tcW w:w="1675" w:type="dxa"/>
            <w:shd w:val="clear" w:color="auto" w:fill="F3F3F3"/>
          </w:tcPr>
          <w:p>
            <w:pPr>
              <w:pStyle w:val="TableParagraph"/>
              <w:jc w:val="left"/>
              <w:rPr>
                <w:sz w:val="18"/>
              </w:rPr>
            </w:pPr>
          </w:p>
          <w:p>
            <w:pPr>
              <w:pStyle w:val="TableParagraph"/>
              <w:spacing w:before="147"/>
              <w:ind w:left="157" w:right="158"/>
              <w:rPr>
                <w:sz w:val="17"/>
              </w:rPr>
            </w:pPr>
            <w:r>
              <w:rPr>
                <w:w w:val="105"/>
                <w:sz w:val="17"/>
              </w:rPr>
              <w:t>Termino de obra</w:t>
            </w:r>
          </w:p>
        </w:tc>
        <w:tc>
          <w:tcPr>
            <w:tcW w:w="2021" w:type="dxa"/>
            <w:shd w:val="clear" w:color="auto" w:fill="F3F3F3"/>
          </w:tcPr>
          <w:p>
            <w:pPr>
              <w:pStyle w:val="TableParagraph"/>
              <w:jc w:val="left"/>
              <w:rPr>
                <w:sz w:val="22"/>
              </w:rPr>
            </w:pPr>
          </w:p>
          <w:p>
            <w:pPr>
              <w:pStyle w:val="TableParagraph"/>
              <w:spacing w:line="254" w:lineRule="auto"/>
              <w:ind w:left="798" w:right="108" w:hanging="691"/>
              <w:jc w:val="left"/>
              <w:rPr>
                <w:sz w:val="17"/>
              </w:rPr>
            </w:pPr>
            <w:r>
              <w:rPr>
                <w:w w:val="105"/>
                <w:sz w:val="17"/>
              </w:rPr>
              <w:t>Avaluó con término de obra.</w:t>
            </w:r>
          </w:p>
        </w:tc>
        <w:tc>
          <w:tcPr>
            <w:tcW w:w="2467" w:type="dxa"/>
            <w:tcBorders>
              <w:right w:val="nil"/>
            </w:tcBorders>
            <w:shd w:val="clear" w:color="auto" w:fill="F3F3F3"/>
          </w:tcPr>
          <w:p>
            <w:pPr>
              <w:pStyle w:val="TableParagraph"/>
              <w:jc w:val="left"/>
              <w:rPr>
                <w:sz w:val="18"/>
              </w:rPr>
            </w:pPr>
          </w:p>
          <w:p>
            <w:pPr>
              <w:pStyle w:val="TableParagraph"/>
              <w:spacing w:before="147"/>
              <w:ind w:left="353" w:right="300"/>
              <w:jc w:val="left"/>
              <w:rPr>
                <w:sz w:val="17"/>
              </w:rPr>
            </w:pPr>
            <w:r>
              <w:rPr>
                <w:w w:val="105"/>
                <w:sz w:val="17"/>
              </w:rPr>
              <w:t>Aprobación de crédito</w:t>
            </w:r>
          </w:p>
        </w:tc>
      </w:tr>
      <w:tr>
        <w:trPr>
          <w:trHeight w:val="840" w:hRule="exact"/>
        </w:trPr>
        <w:tc>
          <w:tcPr>
            <w:tcW w:w="2467" w:type="dxa"/>
            <w:shd w:val="clear" w:color="auto" w:fill="E6E6E6"/>
          </w:tcPr>
          <w:p>
            <w:pPr>
              <w:pStyle w:val="TableParagraph"/>
              <w:spacing w:line="254" w:lineRule="auto" w:before="8"/>
              <w:ind w:left="125" w:right="130" w:firstLine="1"/>
              <w:rPr>
                <w:sz w:val="17"/>
              </w:rPr>
            </w:pPr>
            <w:r>
              <w:rPr>
                <w:w w:val="105"/>
                <w:sz w:val="17"/>
              </w:rPr>
              <w:t>Bitácora de obra con el avance de obras de urbanización, equipamiento y servicios</w:t>
            </w:r>
          </w:p>
        </w:tc>
        <w:tc>
          <w:tcPr>
            <w:tcW w:w="1675" w:type="dxa"/>
            <w:shd w:val="clear" w:color="auto" w:fill="E6E6E6"/>
          </w:tcPr>
          <w:p>
            <w:pPr>
              <w:pStyle w:val="TableParagraph"/>
              <w:spacing w:before="1"/>
              <w:jc w:val="left"/>
              <w:rPr>
                <w:sz w:val="19"/>
              </w:rPr>
            </w:pPr>
          </w:p>
          <w:p>
            <w:pPr>
              <w:pStyle w:val="TableParagraph"/>
              <w:spacing w:line="254" w:lineRule="auto"/>
              <w:ind w:left="271" w:right="234" w:hanging="31"/>
              <w:jc w:val="left"/>
              <w:rPr>
                <w:sz w:val="17"/>
              </w:rPr>
            </w:pPr>
            <w:r>
              <w:rPr>
                <w:w w:val="105"/>
                <w:sz w:val="17"/>
              </w:rPr>
              <w:t>Alineamiento y número oficial</w:t>
            </w:r>
          </w:p>
        </w:tc>
        <w:tc>
          <w:tcPr>
            <w:tcW w:w="2021" w:type="dxa"/>
            <w:shd w:val="clear" w:color="auto" w:fill="E6E6E6"/>
          </w:tcPr>
          <w:p>
            <w:pPr>
              <w:pStyle w:val="TableParagraph"/>
              <w:jc w:val="left"/>
              <w:rPr>
                <w:sz w:val="18"/>
              </w:rPr>
            </w:pPr>
          </w:p>
          <w:p>
            <w:pPr>
              <w:pStyle w:val="TableParagraph"/>
              <w:spacing w:before="113"/>
              <w:ind w:left="88" w:right="145"/>
              <w:rPr>
                <w:sz w:val="17"/>
              </w:rPr>
            </w:pPr>
            <w:r>
              <w:rPr>
                <w:w w:val="105"/>
                <w:sz w:val="17"/>
              </w:rPr>
              <w:t>Aprobación de crédito</w:t>
            </w:r>
          </w:p>
        </w:tc>
        <w:tc>
          <w:tcPr>
            <w:tcW w:w="2467" w:type="dxa"/>
            <w:tcBorders>
              <w:right w:val="nil"/>
            </w:tcBorders>
            <w:shd w:val="clear" w:color="auto" w:fill="E6E6E6"/>
          </w:tcPr>
          <w:p>
            <w:pPr>
              <w:pStyle w:val="TableParagraph"/>
              <w:spacing w:before="1"/>
              <w:jc w:val="left"/>
              <w:rPr>
                <w:sz w:val="19"/>
              </w:rPr>
            </w:pPr>
          </w:p>
          <w:p>
            <w:pPr>
              <w:pStyle w:val="TableParagraph"/>
              <w:spacing w:line="254" w:lineRule="auto"/>
              <w:ind w:left="623" w:right="432" w:hanging="191"/>
              <w:jc w:val="left"/>
              <w:rPr>
                <w:sz w:val="17"/>
              </w:rPr>
            </w:pPr>
            <w:r>
              <w:rPr>
                <w:w w:val="105"/>
                <w:sz w:val="17"/>
              </w:rPr>
              <w:t>Registro único de la vivienda (RUV)</w:t>
            </w:r>
          </w:p>
        </w:tc>
      </w:tr>
      <w:tr>
        <w:trPr>
          <w:trHeight w:val="422" w:hRule="exact"/>
        </w:trPr>
        <w:tc>
          <w:tcPr>
            <w:tcW w:w="2467" w:type="dxa"/>
            <w:shd w:val="clear" w:color="auto" w:fill="F3F3F3"/>
          </w:tcPr>
          <w:p>
            <w:pPr>
              <w:pStyle w:val="TableParagraph"/>
              <w:spacing w:line="254" w:lineRule="auto" w:before="8"/>
              <w:ind w:left="825" w:hanging="601"/>
              <w:jc w:val="left"/>
              <w:rPr>
                <w:sz w:val="17"/>
              </w:rPr>
            </w:pPr>
            <w:r>
              <w:rPr>
                <w:w w:val="105"/>
                <w:sz w:val="17"/>
              </w:rPr>
              <w:t>Certificado de libertad de gravamen</w:t>
            </w:r>
          </w:p>
        </w:tc>
        <w:tc>
          <w:tcPr>
            <w:tcW w:w="1675" w:type="dxa"/>
            <w:shd w:val="clear" w:color="auto" w:fill="F3F3F3"/>
          </w:tcPr>
          <w:p>
            <w:pPr>
              <w:pStyle w:val="TableParagraph"/>
              <w:spacing w:line="254" w:lineRule="auto" w:before="8"/>
              <w:ind w:left="286" w:right="278" w:firstLine="190"/>
              <w:jc w:val="left"/>
              <w:rPr>
                <w:sz w:val="17"/>
              </w:rPr>
            </w:pPr>
            <w:r>
              <w:rPr>
                <w:w w:val="105"/>
                <w:sz w:val="17"/>
              </w:rPr>
              <w:t>Plano de nomenclatura</w:t>
            </w:r>
          </w:p>
        </w:tc>
        <w:tc>
          <w:tcPr>
            <w:tcW w:w="2021" w:type="dxa"/>
            <w:shd w:val="clear" w:color="auto" w:fill="F3F3F3"/>
          </w:tcPr>
          <w:p>
            <w:pPr/>
          </w:p>
        </w:tc>
        <w:tc>
          <w:tcPr>
            <w:tcW w:w="2467" w:type="dxa"/>
            <w:tcBorders>
              <w:right w:val="nil"/>
            </w:tcBorders>
            <w:shd w:val="clear" w:color="auto" w:fill="F3F3F3"/>
          </w:tcPr>
          <w:p>
            <w:pPr>
              <w:pStyle w:val="TableParagraph"/>
              <w:spacing w:line="254" w:lineRule="auto" w:before="8"/>
              <w:ind w:left="983" w:right="300" w:hanging="686"/>
              <w:jc w:val="left"/>
              <w:rPr>
                <w:sz w:val="17"/>
              </w:rPr>
            </w:pPr>
            <w:r>
              <w:rPr>
                <w:w w:val="105"/>
                <w:sz w:val="17"/>
              </w:rPr>
              <w:t>Dictamen técnico único (DTU)</w:t>
            </w:r>
          </w:p>
        </w:tc>
      </w:tr>
      <w:tr>
        <w:trPr>
          <w:trHeight w:val="427" w:hRule="exact"/>
        </w:trPr>
        <w:tc>
          <w:tcPr>
            <w:tcW w:w="2467" w:type="dxa"/>
            <w:shd w:val="clear" w:color="auto" w:fill="E6E6E6"/>
          </w:tcPr>
          <w:p>
            <w:pPr/>
          </w:p>
        </w:tc>
        <w:tc>
          <w:tcPr>
            <w:tcW w:w="1675" w:type="dxa"/>
            <w:shd w:val="clear" w:color="auto" w:fill="E6E6E6"/>
          </w:tcPr>
          <w:p>
            <w:pPr>
              <w:pStyle w:val="TableParagraph"/>
              <w:spacing w:line="254" w:lineRule="auto" w:before="8"/>
              <w:ind w:left="376" w:right="366" w:firstLine="175"/>
              <w:jc w:val="left"/>
              <w:rPr>
                <w:sz w:val="17"/>
              </w:rPr>
            </w:pPr>
            <w:r>
              <w:rPr>
                <w:w w:val="105"/>
                <w:sz w:val="17"/>
              </w:rPr>
              <w:t>Predial actualizado</w:t>
            </w:r>
          </w:p>
        </w:tc>
        <w:tc>
          <w:tcPr>
            <w:tcW w:w="2021" w:type="dxa"/>
            <w:shd w:val="clear" w:color="auto" w:fill="E6E6E6"/>
          </w:tcPr>
          <w:p>
            <w:pPr/>
          </w:p>
        </w:tc>
        <w:tc>
          <w:tcPr>
            <w:tcW w:w="2467" w:type="dxa"/>
            <w:tcBorders>
              <w:right w:val="nil"/>
            </w:tcBorders>
            <w:shd w:val="clear" w:color="auto" w:fill="E6E6E6"/>
          </w:tcPr>
          <w:p>
            <w:pPr/>
          </w:p>
        </w:tc>
      </w:tr>
      <w:tr>
        <w:trPr>
          <w:trHeight w:val="629" w:hRule="exact"/>
        </w:trPr>
        <w:tc>
          <w:tcPr>
            <w:tcW w:w="2467" w:type="dxa"/>
            <w:shd w:val="clear" w:color="auto" w:fill="F3F3F3"/>
          </w:tcPr>
          <w:p>
            <w:pPr/>
          </w:p>
        </w:tc>
        <w:tc>
          <w:tcPr>
            <w:tcW w:w="1675" w:type="dxa"/>
            <w:shd w:val="clear" w:color="auto" w:fill="F3F3F3"/>
          </w:tcPr>
          <w:p>
            <w:pPr>
              <w:pStyle w:val="TableParagraph"/>
              <w:spacing w:line="254" w:lineRule="auto" w:before="8"/>
              <w:ind w:left="157" w:right="158"/>
              <w:rPr>
                <w:sz w:val="17"/>
              </w:rPr>
            </w:pPr>
            <w:r>
              <w:rPr>
                <w:w w:val="105"/>
                <w:sz w:val="17"/>
              </w:rPr>
              <w:t>Certificado de aportación y mejoras</w:t>
            </w:r>
          </w:p>
        </w:tc>
        <w:tc>
          <w:tcPr>
            <w:tcW w:w="2021" w:type="dxa"/>
            <w:shd w:val="clear" w:color="auto" w:fill="F3F3F3"/>
          </w:tcPr>
          <w:p>
            <w:pPr/>
          </w:p>
        </w:tc>
        <w:tc>
          <w:tcPr>
            <w:tcW w:w="2467" w:type="dxa"/>
            <w:tcBorders>
              <w:right w:val="nil"/>
            </w:tcBorders>
            <w:shd w:val="clear" w:color="auto" w:fill="F3F3F3"/>
          </w:tcPr>
          <w:p>
            <w:pPr/>
          </w:p>
        </w:tc>
      </w:tr>
      <w:tr>
        <w:trPr>
          <w:trHeight w:val="422" w:hRule="exact"/>
        </w:trPr>
        <w:tc>
          <w:tcPr>
            <w:tcW w:w="2467" w:type="dxa"/>
            <w:shd w:val="clear" w:color="auto" w:fill="E6E6E6"/>
          </w:tcPr>
          <w:p>
            <w:pPr/>
          </w:p>
        </w:tc>
        <w:tc>
          <w:tcPr>
            <w:tcW w:w="1675" w:type="dxa"/>
            <w:shd w:val="clear" w:color="auto" w:fill="E6E6E6"/>
          </w:tcPr>
          <w:p>
            <w:pPr>
              <w:pStyle w:val="TableParagraph"/>
              <w:spacing w:line="254" w:lineRule="auto" w:before="8"/>
              <w:ind w:left="531" w:right="146" w:hanging="381"/>
              <w:jc w:val="left"/>
              <w:rPr>
                <w:sz w:val="17"/>
              </w:rPr>
            </w:pPr>
            <w:r>
              <w:rPr>
                <w:w w:val="105"/>
                <w:sz w:val="17"/>
              </w:rPr>
              <w:t>Certificado de no adeudo</w:t>
            </w:r>
          </w:p>
        </w:tc>
        <w:tc>
          <w:tcPr>
            <w:tcW w:w="2021" w:type="dxa"/>
            <w:shd w:val="clear" w:color="auto" w:fill="E6E6E6"/>
          </w:tcPr>
          <w:p>
            <w:pPr/>
          </w:p>
        </w:tc>
        <w:tc>
          <w:tcPr>
            <w:tcW w:w="2467" w:type="dxa"/>
            <w:tcBorders>
              <w:right w:val="nil"/>
            </w:tcBorders>
            <w:shd w:val="clear" w:color="auto" w:fill="E6E6E6"/>
          </w:tcPr>
          <w:p>
            <w:pPr/>
          </w:p>
        </w:tc>
      </w:tr>
      <w:tr>
        <w:trPr>
          <w:trHeight w:val="427" w:hRule="exact"/>
        </w:trPr>
        <w:tc>
          <w:tcPr>
            <w:tcW w:w="2467" w:type="dxa"/>
            <w:shd w:val="clear" w:color="auto" w:fill="F3F3F3"/>
          </w:tcPr>
          <w:p>
            <w:pPr/>
          </w:p>
        </w:tc>
        <w:tc>
          <w:tcPr>
            <w:tcW w:w="1675" w:type="dxa"/>
            <w:shd w:val="clear" w:color="auto" w:fill="F3F3F3"/>
          </w:tcPr>
          <w:p>
            <w:pPr>
              <w:pStyle w:val="TableParagraph"/>
              <w:spacing w:line="259" w:lineRule="auto" w:before="8"/>
              <w:ind w:left="256" w:right="248" w:firstLine="19"/>
              <w:jc w:val="left"/>
              <w:rPr>
                <w:sz w:val="17"/>
              </w:rPr>
            </w:pPr>
            <w:r>
              <w:rPr>
                <w:w w:val="105"/>
                <w:sz w:val="17"/>
              </w:rPr>
              <w:t>Certificado de clave catastral</w:t>
            </w:r>
          </w:p>
        </w:tc>
        <w:tc>
          <w:tcPr>
            <w:tcW w:w="2021" w:type="dxa"/>
            <w:shd w:val="clear" w:color="auto" w:fill="F3F3F3"/>
          </w:tcPr>
          <w:p>
            <w:pPr/>
          </w:p>
        </w:tc>
        <w:tc>
          <w:tcPr>
            <w:tcW w:w="2467" w:type="dxa"/>
            <w:tcBorders>
              <w:right w:val="nil"/>
            </w:tcBorders>
            <w:shd w:val="clear" w:color="auto" w:fill="F3F3F3"/>
          </w:tcPr>
          <w:p>
            <w:pPr/>
          </w:p>
        </w:tc>
      </w:tr>
      <w:tr>
        <w:trPr>
          <w:trHeight w:val="418" w:hRule="exact"/>
        </w:trPr>
        <w:tc>
          <w:tcPr>
            <w:tcW w:w="2467" w:type="dxa"/>
            <w:tcBorders>
              <w:bottom w:val="nil"/>
            </w:tcBorders>
            <w:shd w:val="clear" w:color="auto" w:fill="E6E6E6"/>
          </w:tcPr>
          <w:p>
            <w:pPr/>
          </w:p>
        </w:tc>
        <w:tc>
          <w:tcPr>
            <w:tcW w:w="1675" w:type="dxa"/>
            <w:tcBorders>
              <w:bottom w:val="nil"/>
            </w:tcBorders>
            <w:shd w:val="clear" w:color="auto" w:fill="E6E6E6"/>
          </w:tcPr>
          <w:p>
            <w:pPr>
              <w:pStyle w:val="TableParagraph"/>
              <w:spacing w:line="254" w:lineRule="auto" w:before="8"/>
              <w:ind w:left="181" w:right="125" w:hanging="50"/>
              <w:jc w:val="left"/>
              <w:rPr>
                <w:sz w:val="17"/>
              </w:rPr>
            </w:pPr>
            <w:r>
              <w:rPr>
                <w:w w:val="105"/>
                <w:sz w:val="17"/>
              </w:rPr>
              <w:t>Constancia de no adeudo de agua</w:t>
            </w:r>
          </w:p>
        </w:tc>
        <w:tc>
          <w:tcPr>
            <w:tcW w:w="2021" w:type="dxa"/>
            <w:tcBorders>
              <w:bottom w:val="nil"/>
            </w:tcBorders>
            <w:shd w:val="clear" w:color="auto" w:fill="E6E6E6"/>
          </w:tcPr>
          <w:p>
            <w:pPr/>
          </w:p>
        </w:tc>
        <w:tc>
          <w:tcPr>
            <w:tcW w:w="2467" w:type="dxa"/>
            <w:tcBorders>
              <w:bottom w:val="nil"/>
              <w:right w:val="nil"/>
            </w:tcBorders>
            <w:shd w:val="clear" w:color="auto" w:fill="E6E6E6"/>
          </w:tcPr>
          <w:p>
            <w:pPr/>
          </w:p>
        </w:tc>
      </w:tr>
    </w:tbl>
    <w:p>
      <w:pPr>
        <w:spacing w:line="376" w:lineRule="auto" w:before="134"/>
        <w:ind w:left="268" w:right="326" w:firstLine="0"/>
        <w:jc w:val="both"/>
        <w:rPr>
          <w:sz w:val="21"/>
        </w:rPr>
      </w:pPr>
      <w:r>
        <w:rPr>
          <w:w w:val="105"/>
          <w:sz w:val="21"/>
        </w:rPr>
        <w:t>Fuente: Elaboración propia con base al Libro Quinto del Código Administrativo del</w:t>
      </w:r>
      <w:r>
        <w:rPr>
          <w:spacing w:val="-43"/>
          <w:w w:val="105"/>
          <w:sz w:val="21"/>
        </w:rPr>
        <w:t> </w:t>
      </w:r>
      <w:r>
        <w:rPr>
          <w:w w:val="105"/>
          <w:sz w:val="21"/>
        </w:rPr>
        <w:t>Estado de México, Reglamento del L5to y el Código Financiero del Estado de</w:t>
      </w:r>
      <w:r>
        <w:rPr>
          <w:spacing w:val="-42"/>
          <w:w w:val="105"/>
          <w:sz w:val="21"/>
        </w:rPr>
        <w:t> </w:t>
      </w:r>
      <w:r>
        <w:rPr>
          <w:w w:val="105"/>
          <w:sz w:val="21"/>
        </w:rPr>
        <w:t>México.</w:t>
      </w:r>
    </w:p>
    <w:p>
      <w:pPr>
        <w:pStyle w:val="BodyText"/>
        <w:spacing w:line="360" w:lineRule="auto" w:before="110"/>
        <w:ind w:left="268" w:right="231"/>
        <w:jc w:val="both"/>
      </w:pPr>
      <w:r>
        <w:rPr/>
        <w:t>Los tiempos para la escrituración de la vivienda en la mayoría de los casos depende del tipo de crédito al que el adquiriente tiene acceso puesto que derivado del tipo de institución con la que obtenga su financiamiento serán los documentos y trámites que la empresa inmobiliaria tendrá que gestionar para escriturar la vivienda.</w:t>
      </w:r>
    </w:p>
    <w:p>
      <w:pPr>
        <w:pStyle w:val="BodyText"/>
        <w:spacing w:line="360" w:lineRule="auto" w:before="122"/>
        <w:ind w:left="268" w:right="231"/>
        <w:jc w:val="both"/>
      </w:pPr>
      <w:r>
        <w:rPr/>
        <w:t>Para las empresas inmobiliarias lograr la escrituración de las viviendas continúa siendo una carrera contra el tiempo como lo han sido el resto de las gestiones  para la legalización y autorización del proyecto, la diferencia de la etapa de escrituración radica en que una vez que logran la escrituración de las viviendas las empresas reciben el ingreso por parte de la institución con la que el cliente decidió o tuvo acceso a su</w:t>
      </w:r>
      <w:r>
        <w:rPr>
          <w:spacing w:val="-1"/>
        </w:rPr>
        <w:t> </w:t>
      </w:r>
      <w:r>
        <w:rPr/>
        <w:t>crédito.</w:t>
      </w:r>
    </w:p>
    <w:p>
      <w:pPr>
        <w:pStyle w:val="BodyText"/>
        <w:spacing w:line="360" w:lineRule="auto" w:before="122"/>
        <w:ind w:left="268" w:right="231"/>
        <w:jc w:val="both"/>
      </w:pPr>
      <w:r>
        <w:rPr/>
        <w:t>Las instituciones y organismos que otorgan créditos a la población para acceder a la compra de una vivienda cuentan con una serie de recomendaciones respecto</w:t>
      </w:r>
      <w:r>
        <w:rPr>
          <w:spacing w:val="59"/>
        </w:rPr>
        <w:t> </w:t>
      </w:r>
      <w:r>
        <w:rPr/>
        <w:t>al</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6136" from="93.199997pt,-19.614155pt" to="546.799997pt,-19.614155pt" stroked="true" strokeweight=".479981pt" strokecolor="#000000">
            <w10:wrap type="none"/>
          </v:line>
        </w:pict>
      </w:r>
      <w:r>
        <w:rPr/>
        <w:t>tipo de créditos que se ofertan, así como al tipo de vivienda al que se puede acceder tomando como base el ahorro y el ingreso con el que cuenta el derechohabiente o trabajador.</w:t>
      </w:r>
    </w:p>
    <w:p>
      <w:pPr>
        <w:pStyle w:val="BodyText"/>
        <w:spacing w:line="360" w:lineRule="auto" w:before="122"/>
        <w:ind w:left="268" w:right="231"/>
        <w:jc w:val="both"/>
      </w:pPr>
      <w:r>
        <w:rPr/>
        <w:t>Los esfuerzos que han realizado el Infonavit y el Fovissste en materia de prevención, información y educación para sus derechohabientes han permitido  que la escrituración de viviendas se realice de acuerdo al avance real de la edificación de la vivienda y en consecuencia la habitabilidad de ésta y del conjunto urbano del que se trate. Sin embargo, continúan existiendo temas relevantes como la falta de servicios básicos en viviendas y conjuntos urbanos que ya son habitados, la teoría y la normatividad refieren que este tipo de situaciones no suceden sin embargo existen.</w:t>
      </w:r>
    </w:p>
    <w:p>
      <w:pPr>
        <w:pStyle w:val="BodyText"/>
        <w:spacing w:line="360" w:lineRule="auto" w:before="122"/>
        <w:ind w:left="268" w:right="231"/>
        <w:jc w:val="both"/>
      </w:pPr>
      <w:r>
        <w:rPr/>
        <w:t>Es evidente que los mecanismos que existen para la escrituración de vivienda deben de continuar mejorándose para que la escrituración de vivienda solo se dé cuando la vivienda esté completamente habitada, así como el conjunto urbano.</w:t>
      </w:r>
    </w:p>
    <w:p>
      <w:pPr>
        <w:pStyle w:val="BodyText"/>
        <w:spacing w:line="360" w:lineRule="auto" w:before="122"/>
        <w:ind w:left="268" w:right="231"/>
        <w:jc w:val="both"/>
      </w:pPr>
      <w:r>
        <w:rPr/>
        <w:t>Por otro lado, existen temas importantes a ser analizados como lo son los costos que genera la escrituración de la vivienda mismos que no son parte de la investigación; sin embargo, se considera importante ya que estos repercuten en el presupuesto del cliente puesto que debe de tener presente los costos que las notarías generan, así como las comisiones de los bancos por apertura de créditos por sus servicios que finalmente termina pagando el comprador ya que las empresas inmobiliarias y el Estado no asumen estos gastos.</w:t>
      </w:r>
    </w:p>
    <w:p>
      <w:pPr>
        <w:pStyle w:val="BodyText"/>
      </w:pPr>
    </w:p>
    <w:p>
      <w:pPr>
        <w:pStyle w:val="Heading5"/>
        <w:numPr>
          <w:ilvl w:val="2"/>
          <w:numId w:val="17"/>
        </w:numPr>
        <w:tabs>
          <w:tab w:pos="936" w:val="left" w:leader="none"/>
        </w:tabs>
        <w:spacing w:line="240" w:lineRule="auto" w:before="211" w:after="0"/>
        <w:ind w:left="935" w:right="0" w:hanging="667"/>
        <w:jc w:val="both"/>
        <w:rPr>
          <w:i/>
        </w:rPr>
      </w:pPr>
      <w:r>
        <w:rPr>
          <w:i/>
        </w:rPr>
        <w:t>Municipalización y entrega del conjunto urbano.</w:t>
      </w:r>
    </w:p>
    <w:p>
      <w:pPr>
        <w:pStyle w:val="BodyText"/>
        <w:rPr>
          <w:b/>
          <w:i/>
        </w:rPr>
      </w:pPr>
    </w:p>
    <w:p>
      <w:pPr>
        <w:pStyle w:val="BodyText"/>
        <w:spacing w:before="3"/>
        <w:rPr>
          <w:b/>
          <w:i/>
          <w:sz w:val="21"/>
        </w:rPr>
      </w:pPr>
    </w:p>
    <w:p>
      <w:pPr>
        <w:pStyle w:val="BodyText"/>
        <w:spacing w:line="360" w:lineRule="auto"/>
        <w:ind w:left="268" w:right="231"/>
        <w:jc w:val="both"/>
      </w:pPr>
      <w:r>
        <w:rPr/>
        <w:t>El inicio de las gestiones y legalización de un conjunto urbano comienza su cierre con la municipalización y entrega del conjunto urbano, la cual debe de realizarse al Estado, así como al municipio que corresponde y a la asociación de colonos que exista en el conjunto urbano. Finalmente existe un periodo de dos años en los que las últimas obras y equipamientos realizados y entregados por la empresa inmobiliaria quedan garantizadas con una fianza de vicios ocultos.</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6160" from="93.199997pt,-19.614155pt" to="546.799997pt,-19.614155pt" stroked="true" strokeweight=".479981pt" strokecolor="#000000">
            <w10:wrap type="none"/>
          </v:line>
        </w:pict>
      </w:r>
      <w:r>
        <w:rPr/>
        <w:t>En el Estado de México a través de la Dirección de General de Control Urbano (DGCU) perteneciente a la SEDUM, el Estado tiene la facultad de realizar y verificar el proceso de municipalización de obras de urbanización, equipamiento e infraestructura de los conjuntos urbanos, subdivisiones y lotificaciones en condominio.</w:t>
      </w:r>
    </w:p>
    <w:p>
      <w:pPr>
        <w:pStyle w:val="BodyText"/>
        <w:spacing w:line="360" w:lineRule="auto" w:before="122"/>
        <w:ind w:left="268" w:right="231"/>
        <w:jc w:val="both"/>
      </w:pPr>
      <w:r>
        <w:rPr/>
        <w:t>Cuando el desarrollador inmobiliario ha concluido las obras de urbanización, equipamiento e infraestructura que fueron estipuladas en el acuerdo de autorización del conjunto urbano, se encuentra en posibilidades de comenzar con el proceso de liberación de fianzas por el cumplimientos de las obras a las que estaba obligado, de igual modo puede comenzar con la liberación y cumplimiento  a las obligaciones y los dictámenes emitidos por las diferentes instancias involucradas en la constancia de viabilidad y en el acuerdo de autorización.</w:t>
      </w:r>
    </w:p>
    <w:p>
      <w:pPr>
        <w:pStyle w:val="BodyText"/>
        <w:spacing w:line="360" w:lineRule="auto" w:before="122"/>
        <w:ind w:left="268" w:right="231"/>
        <w:jc w:val="both"/>
      </w:pPr>
      <w:r>
        <w:rPr/>
        <w:t>La empresa inmobiliaria podrá solicitar a la DGCU realizar el acta de entrega – recepción del conjunto urbano, toda vez que compruebe la obtención e integración de los requisitos que se requieren para ésta, con base al L5to del Código Administrativo del Estado de México y al RL5to, la tabla 15 muestra los requisitos necesarios para solicitar el acta de entrega-recepción del conjunto urbano. Cabe señalar que muchos de los requisitos para realizar la entrega del conjunto urbano son documentos con los que las empresas ya cuentan y en la mayoría de los casos las empresas inmobiliarias que realizan una buena administración, continuidad y seguimiento de sus proyectos pueden llevar a buen término la municipalización de sus conjuntos</w:t>
      </w:r>
      <w:r>
        <w:rPr>
          <w:spacing w:val="-1"/>
        </w:rPr>
        <w:t> </w:t>
      </w:r>
      <w:r>
        <w:rPr/>
        <w:t>urbanos.</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before="69" w:after="12"/>
        <w:ind w:left="268"/>
      </w:pPr>
      <w:r>
        <w:rPr/>
        <w:pict>
          <v:line style="position:absolute;mso-position-horizontal-relative:page;mso-position-vertical-relative:paragraph;z-index:6184" from="93.199997pt,-19.614155pt" to="546.799997pt,-19.614155pt" stroked="true" strokeweight=".479981pt" strokecolor="#000000">
            <w10:wrap type="none"/>
          </v:line>
        </w:pict>
      </w:r>
      <w:r>
        <w:rPr/>
        <w:t>Tabla 15. Documentos y norma para entrega y recepción.</w:t>
      </w:r>
    </w:p>
    <w:tbl>
      <w:tblPr>
        <w:tblW w:w="0" w:type="auto"/>
        <w:jc w:val="left"/>
        <w:tblInd w:w="364"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4152"/>
        <w:gridCol w:w="1133"/>
        <w:gridCol w:w="3346"/>
      </w:tblGrid>
      <w:tr>
        <w:trPr>
          <w:trHeight w:val="854" w:hRule="exact"/>
        </w:trPr>
        <w:tc>
          <w:tcPr>
            <w:tcW w:w="8630" w:type="dxa"/>
            <w:gridSpan w:val="3"/>
            <w:tcBorders>
              <w:top w:val="nil"/>
              <w:bottom w:val="nil"/>
              <w:right w:val="nil"/>
            </w:tcBorders>
            <w:shd w:val="clear" w:color="auto" w:fill="191919"/>
          </w:tcPr>
          <w:p>
            <w:pPr>
              <w:pStyle w:val="TableParagraph"/>
              <w:spacing w:before="5"/>
              <w:jc w:val="left"/>
              <w:rPr>
                <w:sz w:val="27"/>
              </w:rPr>
            </w:pPr>
          </w:p>
          <w:p>
            <w:pPr>
              <w:pStyle w:val="TableParagraph"/>
              <w:ind w:left="2605"/>
              <w:jc w:val="left"/>
              <w:rPr>
                <w:sz w:val="19"/>
              </w:rPr>
            </w:pPr>
            <w:r>
              <w:rPr>
                <w:color w:val="FFFFFF"/>
                <w:w w:val="105"/>
                <w:sz w:val="19"/>
              </w:rPr>
              <w:t>Requisitos para la entrega y recepción</w:t>
            </w:r>
          </w:p>
        </w:tc>
      </w:tr>
      <w:tr>
        <w:trPr>
          <w:trHeight w:val="427" w:hRule="exact"/>
        </w:trPr>
        <w:tc>
          <w:tcPr>
            <w:tcW w:w="4152" w:type="dxa"/>
            <w:shd w:val="clear" w:color="auto" w:fill="606060"/>
          </w:tcPr>
          <w:p>
            <w:pPr>
              <w:pStyle w:val="TableParagraph"/>
              <w:spacing w:before="114"/>
              <w:ind w:left="1593" w:right="1595"/>
              <w:rPr>
                <w:sz w:val="17"/>
              </w:rPr>
            </w:pPr>
            <w:r>
              <w:rPr>
                <w:color w:val="FFFFFF"/>
                <w:w w:val="105"/>
                <w:sz w:val="17"/>
              </w:rPr>
              <w:t>Documento</w:t>
            </w:r>
          </w:p>
        </w:tc>
        <w:tc>
          <w:tcPr>
            <w:tcW w:w="1133" w:type="dxa"/>
            <w:shd w:val="clear" w:color="auto" w:fill="606060"/>
          </w:tcPr>
          <w:p>
            <w:pPr>
              <w:pStyle w:val="TableParagraph"/>
              <w:spacing w:line="254" w:lineRule="auto" w:before="8"/>
              <w:ind w:left="384" w:right="102" w:hanging="276"/>
              <w:jc w:val="left"/>
              <w:rPr>
                <w:sz w:val="17"/>
              </w:rPr>
            </w:pPr>
            <w:r>
              <w:rPr>
                <w:color w:val="FFFFFF"/>
                <w:w w:val="105"/>
                <w:sz w:val="17"/>
              </w:rPr>
              <w:t>Artículo del L5to</w:t>
            </w:r>
          </w:p>
        </w:tc>
        <w:tc>
          <w:tcPr>
            <w:tcW w:w="3346" w:type="dxa"/>
            <w:tcBorders>
              <w:right w:val="nil"/>
            </w:tcBorders>
            <w:shd w:val="clear" w:color="auto" w:fill="606060"/>
          </w:tcPr>
          <w:p>
            <w:pPr>
              <w:pStyle w:val="TableParagraph"/>
              <w:spacing w:before="114"/>
              <w:ind w:left="822"/>
              <w:jc w:val="left"/>
              <w:rPr>
                <w:sz w:val="17"/>
              </w:rPr>
            </w:pPr>
            <w:r>
              <w:rPr>
                <w:color w:val="FFFFFF"/>
                <w:w w:val="105"/>
                <w:sz w:val="17"/>
              </w:rPr>
              <w:t>Instancia involucrada</w:t>
            </w:r>
          </w:p>
        </w:tc>
      </w:tr>
      <w:tr>
        <w:trPr>
          <w:trHeight w:val="422" w:hRule="exact"/>
        </w:trPr>
        <w:tc>
          <w:tcPr>
            <w:tcW w:w="4152" w:type="dxa"/>
            <w:shd w:val="clear" w:color="auto" w:fill="F3F3F3"/>
          </w:tcPr>
          <w:p>
            <w:pPr>
              <w:pStyle w:val="TableParagraph"/>
              <w:spacing w:line="254" w:lineRule="auto" w:before="8"/>
              <w:ind w:left="100" w:right="123"/>
              <w:jc w:val="left"/>
              <w:rPr>
                <w:sz w:val="17"/>
              </w:rPr>
            </w:pPr>
            <w:r>
              <w:rPr>
                <w:w w:val="105"/>
                <w:sz w:val="17"/>
              </w:rPr>
              <w:t>1. Bitácora correspondiente de supervisión para entrega parcial, total o cierre para entrega total.</w:t>
            </w:r>
          </w:p>
        </w:tc>
        <w:tc>
          <w:tcPr>
            <w:tcW w:w="1133" w:type="dxa"/>
            <w:shd w:val="clear" w:color="auto" w:fill="F3F3F3"/>
          </w:tcPr>
          <w:p>
            <w:pPr>
              <w:pStyle w:val="TableParagraph"/>
              <w:spacing w:before="109"/>
              <w:ind w:left="149" w:right="150"/>
              <w:rPr>
                <w:sz w:val="17"/>
              </w:rPr>
            </w:pPr>
            <w:r>
              <w:rPr>
                <w:w w:val="105"/>
                <w:sz w:val="17"/>
              </w:rPr>
              <w:t>120 y 121</w:t>
            </w:r>
          </w:p>
        </w:tc>
        <w:tc>
          <w:tcPr>
            <w:tcW w:w="3346" w:type="dxa"/>
            <w:tcBorders>
              <w:right w:val="nil"/>
            </w:tcBorders>
            <w:shd w:val="clear" w:color="auto" w:fill="F3F3F3"/>
          </w:tcPr>
          <w:p>
            <w:pPr>
              <w:pStyle w:val="TableParagraph"/>
              <w:spacing w:line="254" w:lineRule="auto" w:before="8"/>
              <w:ind w:left="100"/>
              <w:jc w:val="left"/>
              <w:rPr>
                <w:sz w:val="17"/>
              </w:rPr>
            </w:pPr>
            <w:r>
              <w:rPr>
                <w:w w:val="105"/>
                <w:sz w:val="17"/>
              </w:rPr>
              <w:t>Estado Dirección general de control urbano (DGCU).</w:t>
            </w:r>
          </w:p>
        </w:tc>
      </w:tr>
      <w:tr>
        <w:trPr>
          <w:trHeight w:val="629" w:hRule="exact"/>
        </w:trPr>
        <w:tc>
          <w:tcPr>
            <w:tcW w:w="4152" w:type="dxa"/>
            <w:shd w:val="clear" w:color="auto" w:fill="E6E6E6"/>
          </w:tcPr>
          <w:p>
            <w:pPr>
              <w:pStyle w:val="TableParagraph"/>
              <w:spacing w:line="254" w:lineRule="auto" w:before="114"/>
              <w:ind w:left="100" w:right="123"/>
              <w:jc w:val="left"/>
              <w:rPr>
                <w:sz w:val="17"/>
              </w:rPr>
            </w:pPr>
            <w:r>
              <w:rPr>
                <w:w w:val="105"/>
                <w:sz w:val="17"/>
              </w:rPr>
              <w:t>2. Comprobantes certificados de pago de impuestos, derechos y/o pagos sustitutivos.</w:t>
            </w:r>
          </w:p>
        </w:tc>
        <w:tc>
          <w:tcPr>
            <w:tcW w:w="1133" w:type="dxa"/>
            <w:shd w:val="clear" w:color="auto" w:fill="E6E6E6"/>
          </w:tcPr>
          <w:p>
            <w:pPr>
              <w:pStyle w:val="TableParagraph"/>
              <w:spacing w:before="7"/>
              <w:jc w:val="left"/>
              <w:rPr>
                <w:sz w:val="18"/>
              </w:rPr>
            </w:pPr>
          </w:p>
          <w:p>
            <w:pPr>
              <w:pStyle w:val="TableParagraph"/>
              <w:spacing w:before="1"/>
              <w:ind w:left="149" w:right="150"/>
              <w:rPr>
                <w:sz w:val="17"/>
              </w:rPr>
            </w:pPr>
            <w:r>
              <w:rPr>
                <w:w w:val="105"/>
                <w:sz w:val="17"/>
              </w:rPr>
              <w:t>121</w:t>
            </w:r>
          </w:p>
        </w:tc>
        <w:tc>
          <w:tcPr>
            <w:tcW w:w="3346" w:type="dxa"/>
            <w:tcBorders>
              <w:right w:val="nil"/>
            </w:tcBorders>
            <w:shd w:val="clear" w:color="auto" w:fill="E6E6E6"/>
          </w:tcPr>
          <w:p>
            <w:pPr>
              <w:pStyle w:val="TableParagraph"/>
              <w:spacing w:line="254" w:lineRule="auto" w:before="8"/>
              <w:ind w:left="100" w:right="103"/>
              <w:jc w:val="both"/>
              <w:rPr>
                <w:sz w:val="17"/>
              </w:rPr>
            </w:pPr>
            <w:r>
              <w:rPr>
                <w:w w:val="105"/>
                <w:sz w:val="17"/>
              </w:rPr>
              <w:t>Estado (Secretaría de Finanzas), Municipio (tesorería) y organismo de agua.</w:t>
            </w:r>
          </w:p>
        </w:tc>
      </w:tr>
      <w:tr>
        <w:trPr>
          <w:trHeight w:val="427" w:hRule="exact"/>
        </w:trPr>
        <w:tc>
          <w:tcPr>
            <w:tcW w:w="4152" w:type="dxa"/>
            <w:shd w:val="clear" w:color="auto" w:fill="F3F3F3"/>
          </w:tcPr>
          <w:p>
            <w:pPr>
              <w:pStyle w:val="TableParagraph"/>
              <w:spacing w:line="259" w:lineRule="auto" w:before="8"/>
              <w:ind w:left="100" w:right="123"/>
              <w:jc w:val="left"/>
              <w:rPr>
                <w:sz w:val="17"/>
              </w:rPr>
            </w:pPr>
            <w:r>
              <w:rPr>
                <w:w w:val="105"/>
                <w:sz w:val="17"/>
              </w:rPr>
              <w:t>3. Fianza o hipoteca contra vicios ocultos (por dos</w:t>
            </w:r>
            <w:r>
              <w:rPr>
                <w:spacing w:val="3"/>
                <w:w w:val="105"/>
                <w:sz w:val="17"/>
              </w:rPr>
              <w:t> </w:t>
            </w:r>
            <w:r>
              <w:rPr>
                <w:w w:val="105"/>
                <w:sz w:val="17"/>
              </w:rPr>
              <w:t>años)</w:t>
            </w:r>
          </w:p>
        </w:tc>
        <w:tc>
          <w:tcPr>
            <w:tcW w:w="1133" w:type="dxa"/>
            <w:shd w:val="clear" w:color="auto" w:fill="F3F3F3"/>
          </w:tcPr>
          <w:p>
            <w:pPr>
              <w:pStyle w:val="TableParagraph"/>
              <w:spacing w:before="114"/>
              <w:ind w:left="149" w:right="150"/>
              <w:rPr>
                <w:sz w:val="17"/>
              </w:rPr>
            </w:pPr>
            <w:r>
              <w:rPr>
                <w:w w:val="105"/>
                <w:sz w:val="17"/>
              </w:rPr>
              <w:t>121</w:t>
            </w:r>
          </w:p>
        </w:tc>
        <w:tc>
          <w:tcPr>
            <w:tcW w:w="3346" w:type="dxa"/>
            <w:tcBorders>
              <w:right w:val="nil"/>
            </w:tcBorders>
            <w:shd w:val="clear" w:color="auto" w:fill="F3F3F3"/>
          </w:tcPr>
          <w:p>
            <w:pPr>
              <w:pStyle w:val="TableParagraph"/>
              <w:spacing w:before="114"/>
              <w:ind w:left="100"/>
              <w:jc w:val="left"/>
              <w:rPr>
                <w:sz w:val="17"/>
              </w:rPr>
            </w:pPr>
            <w:r>
              <w:rPr>
                <w:w w:val="105"/>
                <w:sz w:val="17"/>
              </w:rPr>
              <w:t>Afianzadora ó Estado (DGCU).</w:t>
            </w:r>
          </w:p>
        </w:tc>
      </w:tr>
      <w:tr>
        <w:trPr>
          <w:trHeight w:val="422" w:hRule="exact"/>
        </w:trPr>
        <w:tc>
          <w:tcPr>
            <w:tcW w:w="4152" w:type="dxa"/>
            <w:shd w:val="clear" w:color="auto" w:fill="E6E6E6"/>
          </w:tcPr>
          <w:p>
            <w:pPr>
              <w:pStyle w:val="TableParagraph"/>
              <w:tabs>
                <w:tab w:pos="482" w:val="left" w:leader="none"/>
                <w:tab w:pos="1403" w:val="left" w:leader="none"/>
                <w:tab w:pos="2675" w:val="left" w:leader="none"/>
                <w:tab w:pos="3837" w:val="left" w:leader="none"/>
              </w:tabs>
              <w:spacing w:line="254" w:lineRule="auto" w:before="8"/>
              <w:ind w:left="100" w:right="102"/>
              <w:jc w:val="left"/>
              <w:rPr>
                <w:sz w:val="17"/>
              </w:rPr>
            </w:pPr>
            <w:r>
              <w:rPr>
                <w:w w:val="105"/>
                <w:sz w:val="17"/>
              </w:rPr>
              <w:t>4.</w:t>
              <w:tab/>
              <w:t>Contrato</w:t>
              <w:tab/>
              <w:t>debidamente</w:t>
              <w:tab/>
              <w:t>formalizado</w:t>
              <w:tab/>
              <w:t>de transferencia de áreas de donación al</w:t>
            </w:r>
            <w:r>
              <w:rPr>
                <w:spacing w:val="14"/>
                <w:w w:val="105"/>
                <w:sz w:val="17"/>
              </w:rPr>
              <w:t> </w:t>
            </w:r>
            <w:r>
              <w:rPr>
                <w:w w:val="105"/>
                <w:sz w:val="17"/>
              </w:rPr>
              <w:t>Estado.</w:t>
            </w:r>
          </w:p>
        </w:tc>
        <w:tc>
          <w:tcPr>
            <w:tcW w:w="1133" w:type="dxa"/>
            <w:shd w:val="clear" w:color="auto" w:fill="E6E6E6"/>
          </w:tcPr>
          <w:p>
            <w:pPr>
              <w:pStyle w:val="TableParagraph"/>
              <w:spacing w:before="109"/>
              <w:ind w:left="149" w:right="150"/>
              <w:rPr>
                <w:sz w:val="17"/>
              </w:rPr>
            </w:pPr>
            <w:r>
              <w:rPr>
                <w:w w:val="105"/>
                <w:sz w:val="17"/>
              </w:rPr>
              <w:t>56 y 121</w:t>
            </w:r>
          </w:p>
        </w:tc>
        <w:tc>
          <w:tcPr>
            <w:tcW w:w="3346" w:type="dxa"/>
            <w:tcBorders>
              <w:right w:val="nil"/>
            </w:tcBorders>
            <w:shd w:val="clear" w:color="auto" w:fill="E6E6E6"/>
          </w:tcPr>
          <w:p>
            <w:pPr>
              <w:pStyle w:val="TableParagraph"/>
              <w:spacing w:before="109"/>
              <w:ind w:left="100"/>
              <w:jc w:val="left"/>
              <w:rPr>
                <w:sz w:val="17"/>
              </w:rPr>
            </w:pPr>
            <w:r>
              <w:rPr>
                <w:w w:val="105"/>
                <w:sz w:val="17"/>
              </w:rPr>
              <w:t>Estado (Secretaria de Finanzas).</w:t>
            </w:r>
          </w:p>
        </w:tc>
      </w:tr>
      <w:tr>
        <w:trPr>
          <w:trHeight w:val="631" w:hRule="exact"/>
        </w:trPr>
        <w:tc>
          <w:tcPr>
            <w:tcW w:w="4152" w:type="dxa"/>
            <w:tcBorders>
              <w:bottom w:val="single" w:sz="6" w:space="0" w:color="FFFFFF"/>
            </w:tcBorders>
            <w:shd w:val="clear" w:color="auto" w:fill="F3F3F3"/>
          </w:tcPr>
          <w:p>
            <w:pPr>
              <w:pStyle w:val="TableParagraph"/>
              <w:spacing w:line="254" w:lineRule="auto" w:before="8"/>
              <w:ind w:left="100" w:right="102"/>
              <w:jc w:val="both"/>
              <w:rPr>
                <w:sz w:val="17"/>
              </w:rPr>
            </w:pPr>
            <w:r>
              <w:rPr>
                <w:w w:val="105"/>
                <w:sz w:val="17"/>
              </w:rPr>
              <w:t>5. Contrato debidamente formalizado de transferencia de áreas de donación al municipio incluyendo la superficie vial.</w:t>
            </w:r>
          </w:p>
        </w:tc>
        <w:tc>
          <w:tcPr>
            <w:tcW w:w="1133" w:type="dxa"/>
            <w:tcBorders>
              <w:bottom w:val="single" w:sz="6" w:space="0" w:color="FFFFFF"/>
            </w:tcBorders>
            <w:shd w:val="clear" w:color="auto" w:fill="F3F3F3"/>
          </w:tcPr>
          <w:p>
            <w:pPr>
              <w:pStyle w:val="TableParagraph"/>
              <w:spacing w:before="7"/>
              <w:jc w:val="left"/>
              <w:rPr>
                <w:sz w:val="18"/>
              </w:rPr>
            </w:pPr>
          </w:p>
          <w:p>
            <w:pPr>
              <w:pStyle w:val="TableParagraph"/>
              <w:spacing w:before="1"/>
              <w:ind w:left="149" w:right="150"/>
              <w:rPr>
                <w:sz w:val="17"/>
              </w:rPr>
            </w:pPr>
            <w:r>
              <w:rPr>
                <w:w w:val="105"/>
                <w:sz w:val="17"/>
              </w:rPr>
              <w:t>56 y 121</w:t>
            </w:r>
          </w:p>
        </w:tc>
        <w:tc>
          <w:tcPr>
            <w:tcW w:w="3346" w:type="dxa"/>
            <w:tcBorders>
              <w:bottom w:val="single" w:sz="6" w:space="0" w:color="FFFFFF"/>
              <w:right w:val="nil"/>
            </w:tcBorders>
            <w:shd w:val="clear" w:color="auto" w:fill="F3F3F3"/>
          </w:tcPr>
          <w:p>
            <w:pPr>
              <w:pStyle w:val="TableParagraph"/>
              <w:spacing w:line="254" w:lineRule="auto" w:before="114"/>
              <w:ind w:left="100"/>
              <w:jc w:val="left"/>
              <w:rPr>
                <w:sz w:val="17"/>
              </w:rPr>
            </w:pPr>
            <w:r>
              <w:rPr>
                <w:w w:val="105"/>
                <w:sz w:val="17"/>
              </w:rPr>
              <w:t>Municipio (Dirección de Administración Urbana).</w:t>
            </w:r>
          </w:p>
        </w:tc>
      </w:tr>
      <w:tr>
        <w:trPr>
          <w:trHeight w:val="310" w:hRule="exact"/>
        </w:trPr>
        <w:tc>
          <w:tcPr>
            <w:tcW w:w="4152" w:type="dxa"/>
            <w:tcBorders>
              <w:top w:val="single" w:sz="6" w:space="0" w:color="FFFFFF"/>
            </w:tcBorders>
            <w:shd w:val="clear" w:color="auto" w:fill="E6E6E6"/>
          </w:tcPr>
          <w:p>
            <w:pPr>
              <w:pStyle w:val="TableParagraph"/>
              <w:spacing w:before="51"/>
              <w:ind w:left="100" w:right="123"/>
              <w:jc w:val="left"/>
              <w:rPr>
                <w:sz w:val="17"/>
              </w:rPr>
            </w:pPr>
            <w:r>
              <w:rPr>
                <w:w w:val="105"/>
                <w:sz w:val="17"/>
              </w:rPr>
              <w:t>6. Aviso de terminación de obras.</w:t>
            </w:r>
          </w:p>
        </w:tc>
        <w:tc>
          <w:tcPr>
            <w:tcW w:w="1133" w:type="dxa"/>
            <w:tcBorders>
              <w:top w:val="single" w:sz="6" w:space="0" w:color="FFFFFF"/>
            </w:tcBorders>
            <w:shd w:val="clear" w:color="auto" w:fill="E6E6E6"/>
          </w:tcPr>
          <w:p>
            <w:pPr>
              <w:pStyle w:val="TableParagraph"/>
              <w:spacing w:before="51"/>
              <w:ind w:left="149" w:right="150"/>
              <w:rPr>
                <w:sz w:val="17"/>
              </w:rPr>
            </w:pPr>
            <w:r>
              <w:rPr>
                <w:w w:val="105"/>
                <w:sz w:val="17"/>
              </w:rPr>
              <w:t>122</w:t>
            </w:r>
          </w:p>
        </w:tc>
        <w:tc>
          <w:tcPr>
            <w:tcW w:w="3346" w:type="dxa"/>
            <w:tcBorders>
              <w:top w:val="single" w:sz="6" w:space="0" w:color="FFFFFF"/>
              <w:right w:val="nil"/>
            </w:tcBorders>
            <w:shd w:val="clear" w:color="auto" w:fill="E6E6E6"/>
          </w:tcPr>
          <w:p>
            <w:pPr>
              <w:pStyle w:val="TableParagraph"/>
              <w:spacing w:before="51"/>
              <w:ind w:left="100"/>
              <w:jc w:val="left"/>
              <w:rPr>
                <w:sz w:val="17"/>
              </w:rPr>
            </w:pPr>
            <w:r>
              <w:rPr>
                <w:w w:val="105"/>
                <w:sz w:val="17"/>
              </w:rPr>
              <w:t>Titular del conjunto urbano.</w:t>
            </w:r>
          </w:p>
        </w:tc>
      </w:tr>
      <w:tr>
        <w:trPr>
          <w:trHeight w:val="631" w:hRule="exact"/>
        </w:trPr>
        <w:tc>
          <w:tcPr>
            <w:tcW w:w="4152" w:type="dxa"/>
            <w:tcBorders>
              <w:bottom w:val="single" w:sz="6" w:space="0" w:color="FFFFFF"/>
            </w:tcBorders>
            <w:shd w:val="clear" w:color="auto" w:fill="F3F3F3"/>
          </w:tcPr>
          <w:p>
            <w:pPr>
              <w:pStyle w:val="TableParagraph"/>
              <w:spacing w:line="254" w:lineRule="auto" w:before="8"/>
              <w:ind w:left="100" w:right="102"/>
              <w:jc w:val="both"/>
              <w:rPr>
                <w:sz w:val="17"/>
              </w:rPr>
            </w:pPr>
            <w:r>
              <w:rPr>
                <w:w w:val="105"/>
                <w:sz w:val="17"/>
              </w:rPr>
              <w:t>7. Plano actualizado del desarrollo: relotificaciones, cambios de uso de suelo e intensidad de aprovechamiento.</w:t>
            </w:r>
          </w:p>
        </w:tc>
        <w:tc>
          <w:tcPr>
            <w:tcW w:w="1133" w:type="dxa"/>
            <w:tcBorders>
              <w:bottom w:val="single" w:sz="6" w:space="0" w:color="FFFFFF"/>
            </w:tcBorders>
            <w:shd w:val="clear" w:color="auto" w:fill="F3F3F3"/>
          </w:tcPr>
          <w:p>
            <w:pPr>
              <w:pStyle w:val="TableParagraph"/>
              <w:spacing w:before="7"/>
              <w:jc w:val="left"/>
              <w:rPr>
                <w:sz w:val="18"/>
              </w:rPr>
            </w:pPr>
          </w:p>
          <w:p>
            <w:pPr>
              <w:pStyle w:val="TableParagraph"/>
              <w:spacing w:before="1"/>
              <w:ind w:left="149" w:right="150"/>
              <w:rPr>
                <w:sz w:val="17"/>
              </w:rPr>
            </w:pPr>
            <w:r>
              <w:rPr>
                <w:w w:val="105"/>
                <w:sz w:val="17"/>
              </w:rPr>
              <w:t>122</w:t>
            </w:r>
          </w:p>
        </w:tc>
        <w:tc>
          <w:tcPr>
            <w:tcW w:w="3346" w:type="dxa"/>
            <w:tcBorders>
              <w:bottom w:val="single" w:sz="6" w:space="0" w:color="FFFFFF"/>
              <w:right w:val="nil"/>
            </w:tcBorders>
            <w:shd w:val="clear" w:color="auto" w:fill="F3F3F3"/>
          </w:tcPr>
          <w:p>
            <w:pPr>
              <w:pStyle w:val="TableParagraph"/>
              <w:spacing w:line="254" w:lineRule="auto" w:before="8"/>
              <w:ind w:left="100" w:right="101"/>
              <w:jc w:val="both"/>
              <w:rPr>
                <w:sz w:val="17"/>
              </w:rPr>
            </w:pPr>
            <w:r>
              <w:rPr>
                <w:w w:val="105"/>
                <w:sz w:val="17"/>
              </w:rPr>
              <w:t>Titular del conjunto urbano y Estado (Dirección General de Operación Urbana).</w:t>
            </w:r>
          </w:p>
        </w:tc>
      </w:tr>
      <w:tr>
        <w:trPr>
          <w:trHeight w:val="420" w:hRule="exact"/>
        </w:trPr>
        <w:tc>
          <w:tcPr>
            <w:tcW w:w="4152" w:type="dxa"/>
            <w:tcBorders>
              <w:top w:val="single" w:sz="6" w:space="0" w:color="FFFFFF"/>
              <w:bottom w:val="nil"/>
            </w:tcBorders>
            <w:shd w:val="clear" w:color="auto" w:fill="E6E6E6"/>
          </w:tcPr>
          <w:p>
            <w:pPr>
              <w:pStyle w:val="TableParagraph"/>
              <w:spacing w:line="254" w:lineRule="auto" w:before="8"/>
              <w:ind w:left="100" w:right="123"/>
              <w:jc w:val="left"/>
              <w:rPr>
                <w:sz w:val="17"/>
              </w:rPr>
            </w:pPr>
            <w:r>
              <w:rPr>
                <w:w w:val="105"/>
                <w:sz w:val="17"/>
              </w:rPr>
              <w:t>8. Costo total de construcción de las obras a la fecha de la solicitud.</w:t>
            </w:r>
          </w:p>
        </w:tc>
        <w:tc>
          <w:tcPr>
            <w:tcW w:w="1133" w:type="dxa"/>
            <w:tcBorders>
              <w:top w:val="single" w:sz="6" w:space="0" w:color="FFFFFF"/>
              <w:bottom w:val="nil"/>
            </w:tcBorders>
            <w:shd w:val="clear" w:color="auto" w:fill="E6E6E6"/>
          </w:tcPr>
          <w:p>
            <w:pPr>
              <w:pStyle w:val="TableParagraph"/>
              <w:spacing w:before="109"/>
              <w:ind w:left="149" w:right="150"/>
              <w:rPr>
                <w:sz w:val="17"/>
              </w:rPr>
            </w:pPr>
            <w:r>
              <w:rPr>
                <w:w w:val="105"/>
                <w:sz w:val="17"/>
              </w:rPr>
              <w:t>122</w:t>
            </w:r>
          </w:p>
        </w:tc>
        <w:tc>
          <w:tcPr>
            <w:tcW w:w="3346" w:type="dxa"/>
            <w:tcBorders>
              <w:top w:val="single" w:sz="6" w:space="0" w:color="FFFFFF"/>
              <w:bottom w:val="nil"/>
              <w:right w:val="nil"/>
            </w:tcBorders>
            <w:shd w:val="clear" w:color="auto" w:fill="E6E6E6"/>
          </w:tcPr>
          <w:p>
            <w:pPr>
              <w:pStyle w:val="TableParagraph"/>
              <w:spacing w:before="109"/>
              <w:ind w:left="100"/>
              <w:jc w:val="left"/>
              <w:rPr>
                <w:sz w:val="17"/>
              </w:rPr>
            </w:pPr>
            <w:r>
              <w:rPr>
                <w:w w:val="105"/>
                <w:sz w:val="17"/>
              </w:rPr>
              <w:t>Titular del conjunto urbano.</w:t>
            </w:r>
          </w:p>
        </w:tc>
      </w:tr>
    </w:tbl>
    <w:p>
      <w:pPr>
        <w:spacing w:line="376" w:lineRule="auto" w:before="134"/>
        <w:ind w:left="268" w:right="300" w:firstLine="0"/>
        <w:jc w:val="both"/>
        <w:rPr>
          <w:sz w:val="21"/>
        </w:rPr>
      </w:pPr>
      <w:r>
        <w:rPr>
          <w:w w:val="105"/>
          <w:sz w:val="21"/>
        </w:rPr>
        <w:t>Fuente:</w:t>
      </w:r>
      <w:r>
        <w:rPr>
          <w:spacing w:val="-4"/>
          <w:w w:val="105"/>
          <w:sz w:val="21"/>
        </w:rPr>
        <w:t> </w:t>
      </w:r>
      <w:r>
        <w:rPr>
          <w:w w:val="105"/>
          <w:sz w:val="21"/>
        </w:rPr>
        <w:t>Elaboración</w:t>
      </w:r>
      <w:r>
        <w:rPr>
          <w:spacing w:val="-3"/>
          <w:w w:val="105"/>
          <w:sz w:val="21"/>
        </w:rPr>
        <w:t> </w:t>
      </w:r>
      <w:r>
        <w:rPr>
          <w:w w:val="105"/>
          <w:sz w:val="21"/>
        </w:rPr>
        <w:t>propia,</w:t>
      </w:r>
      <w:r>
        <w:rPr>
          <w:spacing w:val="-4"/>
          <w:w w:val="105"/>
          <w:sz w:val="21"/>
        </w:rPr>
        <w:t> </w:t>
      </w:r>
      <w:r>
        <w:rPr>
          <w:w w:val="105"/>
          <w:sz w:val="21"/>
        </w:rPr>
        <w:t>con</w:t>
      </w:r>
      <w:r>
        <w:rPr>
          <w:spacing w:val="-3"/>
          <w:w w:val="105"/>
          <w:sz w:val="21"/>
        </w:rPr>
        <w:t> </w:t>
      </w:r>
      <w:r>
        <w:rPr>
          <w:w w:val="105"/>
          <w:sz w:val="21"/>
        </w:rPr>
        <w:t>base</w:t>
      </w:r>
      <w:r>
        <w:rPr>
          <w:spacing w:val="-3"/>
          <w:w w:val="105"/>
          <w:sz w:val="21"/>
        </w:rPr>
        <w:t> </w:t>
      </w:r>
      <w:r>
        <w:rPr>
          <w:w w:val="105"/>
          <w:sz w:val="21"/>
        </w:rPr>
        <w:t>en</w:t>
      </w:r>
      <w:r>
        <w:rPr>
          <w:spacing w:val="-3"/>
          <w:w w:val="105"/>
          <w:sz w:val="21"/>
        </w:rPr>
        <w:t> </w:t>
      </w:r>
      <w:r>
        <w:rPr>
          <w:w w:val="105"/>
          <w:sz w:val="21"/>
        </w:rPr>
        <w:t>el</w:t>
      </w:r>
      <w:r>
        <w:rPr>
          <w:spacing w:val="-5"/>
          <w:w w:val="105"/>
          <w:sz w:val="21"/>
        </w:rPr>
        <w:t> </w:t>
      </w:r>
      <w:r>
        <w:rPr>
          <w:w w:val="105"/>
          <w:sz w:val="21"/>
        </w:rPr>
        <w:t>Libro</w:t>
      </w:r>
      <w:r>
        <w:rPr>
          <w:spacing w:val="-4"/>
          <w:w w:val="105"/>
          <w:sz w:val="21"/>
        </w:rPr>
        <w:t> </w:t>
      </w:r>
      <w:r>
        <w:rPr>
          <w:w w:val="105"/>
          <w:sz w:val="21"/>
        </w:rPr>
        <w:t>5to</w:t>
      </w:r>
      <w:r>
        <w:rPr>
          <w:spacing w:val="-4"/>
          <w:w w:val="105"/>
          <w:sz w:val="21"/>
        </w:rPr>
        <w:t> </w:t>
      </w:r>
      <w:r>
        <w:rPr>
          <w:w w:val="105"/>
          <w:sz w:val="21"/>
        </w:rPr>
        <w:t>del</w:t>
      </w:r>
      <w:r>
        <w:rPr>
          <w:spacing w:val="-5"/>
          <w:w w:val="105"/>
          <w:sz w:val="21"/>
        </w:rPr>
        <w:t> </w:t>
      </w:r>
      <w:r>
        <w:rPr>
          <w:w w:val="105"/>
          <w:sz w:val="21"/>
        </w:rPr>
        <w:t>Código</w:t>
      </w:r>
      <w:r>
        <w:rPr>
          <w:spacing w:val="-4"/>
          <w:w w:val="105"/>
          <w:sz w:val="21"/>
        </w:rPr>
        <w:t> </w:t>
      </w:r>
      <w:r>
        <w:rPr>
          <w:w w:val="105"/>
          <w:sz w:val="21"/>
        </w:rPr>
        <w:t>Administrativo</w:t>
      </w:r>
      <w:r>
        <w:rPr>
          <w:spacing w:val="-4"/>
          <w:w w:val="105"/>
          <w:sz w:val="21"/>
        </w:rPr>
        <w:t> </w:t>
      </w:r>
      <w:r>
        <w:rPr>
          <w:w w:val="105"/>
          <w:sz w:val="21"/>
        </w:rPr>
        <w:t>del</w:t>
      </w:r>
      <w:r>
        <w:rPr>
          <w:spacing w:val="-5"/>
          <w:w w:val="105"/>
          <w:sz w:val="21"/>
        </w:rPr>
        <w:t> </w:t>
      </w:r>
      <w:r>
        <w:rPr>
          <w:w w:val="105"/>
          <w:sz w:val="21"/>
        </w:rPr>
        <w:t>Estado de</w:t>
      </w:r>
      <w:r>
        <w:rPr>
          <w:spacing w:val="-5"/>
          <w:w w:val="105"/>
          <w:sz w:val="21"/>
        </w:rPr>
        <w:t> </w:t>
      </w:r>
      <w:r>
        <w:rPr>
          <w:w w:val="105"/>
          <w:sz w:val="21"/>
        </w:rPr>
        <w:t>México.</w:t>
      </w:r>
    </w:p>
    <w:p>
      <w:pPr>
        <w:pStyle w:val="BodyText"/>
        <w:spacing w:line="360" w:lineRule="auto" w:before="110"/>
        <w:ind w:left="268" w:right="231"/>
        <w:jc w:val="both"/>
      </w:pPr>
      <w:r>
        <w:rPr/>
        <w:t>El proceso que la mayoría de las empresas inmobiliarias llevan a cabo para la entrega y recepción de las obras de urbanización, es realizarlo mediante entregas parciales con actas de entrega parcial, esto les permite ir cediendo al municipio y al Estado por etapas el total de las obras a realizar en el conjunto urbano y con  ello reducir los costos que implica el dar mantenimiento a estas obras y permitir que el municipio y los habitantes de las etapas ya edificadas y concluidas  absorban los costos de mantenimiento que implican las obras de equipamiento e infraestructura, así como el equipamiento urbano existente.</w:t>
      </w:r>
    </w:p>
    <w:p>
      <w:pPr>
        <w:pStyle w:val="BodyText"/>
        <w:spacing w:line="360" w:lineRule="auto" w:before="122"/>
        <w:ind w:left="268" w:right="231"/>
        <w:jc w:val="both"/>
      </w:pPr>
      <w:r>
        <w:rPr/>
        <w:t>La municipalización de conjuntos urbanos es una de las tareas más difíciles para las empresas desarrolladoras puesto que han “concluido” con el proyecto habitacional, en el mejor de los casos han terminado con la edificación y venta de las viviendas y áreas enajenables que implicaba el negocio de conjunto urbano y aparentemente han terminado el total de las obras de urbanización, equipamiento e infraestructura de manera eficiente y adecuada. Por lo que cualquier acción realizada posterior al término de ventas implica costos</w:t>
      </w:r>
      <w:r>
        <w:rPr>
          <w:spacing w:val="-3"/>
        </w:rPr>
        <w:t> </w:t>
      </w:r>
      <w:r>
        <w:rPr/>
        <w:t>extraordinarios.</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6208" from="93.199997pt,-19.614155pt" to="546.799997pt,-19.614155pt" stroked="true" strokeweight=".479981pt" strokecolor="#000000">
            <w10:wrap type="none"/>
          </v:line>
        </w:pict>
      </w:r>
      <w:r>
        <w:rPr/>
        <w:t>Este tipo de fenómeno, en el que las instituciones del Estado especialmente los municipios no cuentan con los recursos financieros para la administración de la infraestructura primaria y mucho menos para infraestructura específica como plantas de tratamiento y el equipamiento urbano, ha sido aprovechado por los desarrolladores inmobiliarios para que exista un número importante de conjuntos urbanos no municipalizados. Lo anterior genera problemas de carácter social de todo tipo, que puede detonar en el abandono de la vivienda adquirida o bien en conjuntos urbanos sin servicios que se convierten en desarrollos urbanos insustentables que impactan el territorio en el que se encuentran.</w:t>
      </w:r>
    </w:p>
    <w:p>
      <w:pPr>
        <w:pStyle w:val="BodyText"/>
        <w:spacing w:line="360" w:lineRule="auto" w:before="122"/>
        <w:ind w:left="268" w:right="231"/>
        <w:jc w:val="both"/>
      </w:pPr>
      <w:r>
        <w:rPr/>
        <w:t>Existen algunos esfuerzos por parte de la SEDUM respecto a estos temas, uno de ellos es la implementación de un control y seguimiento respecto a las empresas inmobiliarias que cuentan con autorizaciones no municipalizadas, para limitar su participación en futuros anteproyectos de conjuntos urbanos, hasta su regularización, es decir, que las empresas inmobiliarias que cuentan con conjuntos urbanos sin municipalizar no pueden solicitar una nueva autorización debido al incumplimiento de obligaciones adquiridas.</w:t>
      </w:r>
    </w:p>
    <w:p>
      <w:pPr>
        <w:spacing w:after="0" w:line="360" w:lineRule="auto"/>
        <w:jc w:val="both"/>
        <w:sectPr>
          <w:footerReference w:type="default" r:id="rId97"/>
          <w:pgSz w:w="12240" w:h="15840"/>
          <w:pgMar w:footer="1066" w:header="730" w:top="1320" w:bottom="1260" w:left="1720" w:right="1180"/>
        </w:sectPr>
      </w:pPr>
    </w:p>
    <w:p>
      <w:pPr>
        <w:pStyle w:val="BodyText"/>
        <w:rPr>
          <w:sz w:val="20"/>
        </w:rPr>
      </w:pPr>
      <w:r>
        <w:rPr/>
        <w:pict>
          <v:line style="position:absolute;mso-position-horizontal-relative:page;mso-position-vertical-relative:page;z-index:6232" from="93.199997pt,57.080009pt" to="546.799997pt,57.080009pt" stroked="true" strokeweight=".479981pt" strokecolor="#000000">
            <w10:wrap type="none"/>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8"/>
        </w:rPr>
      </w:pPr>
    </w:p>
    <w:p>
      <w:pPr>
        <w:pStyle w:val="Heading4"/>
        <w:spacing w:before="70"/>
        <w:ind w:left="1860" w:right="1762"/>
        <w:jc w:val="center"/>
      </w:pPr>
      <w:r>
        <w:rPr/>
        <w:pict>
          <v:group style="position:absolute;margin-left:14pt;margin-top:-178.614151pt;width:584pt;height:433.2pt;mso-position-horizontal-relative:page;mso-position-vertical-relative:paragraph;z-index:-1151776" coordorigin="280,-3572" coordsize="11680,8664">
            <v:shape style="position:absolute;left:362;top:-3572;width:11597;height:8664" type="#_x0000_t75" stroked="false">
              <v:imagedata r:id="rId99" o:title=""/>
            </v:shape>
            <v:shape style="position:absolute;left:280;top:-1049;width:11680;height:3720" type="#_x0000_t75" stroked="false">
              <v:imagedata r:id="rId27" o:title=""/>
            </v:shape>
            <w10:wrap type="none"/>
          </v:group>
        </w:pict>
      </w:r>
      <w:r>
        <w:rPr/>
        <w:t>Capítulo 4</w:t>
      </w:r>
    </w:p>
    <w:p>
      <w:pPr>
        <w:pStyle w:val="BodyText"/>
        <w:spacing w:before="8"/>
        <w:rPr>
          <w:b/>
          <w:sz w:val="22"/>
        </w:rPr>
      </w:pPr>
    </w:p>
    <w:p>
      <w:pPr>
        <w:spacing w:line="463" w:lineRule="auto" w:before="0"/>
        <w:ind w:left="2610" w:right="2505" w:firstLine="0"/>
        <w:jc w:val="center"/>
        <w:rPr>
          <w:b/>
          <w:sz w:val="24"/>
        </w:rPr>
      </w:pPr>
      <w:r>
        <w:rPr>
          <w:b/>
          <w:sz w:val="24"/>
        </w:rPr>
        <w:t>Aplicación del modelo metodológico en conjuntos urbanos del municipio de Calimaya, Estado de México</w:t>
      </w:r>
    </w:p>
    <w:p>
      <w:pPr>
        <w:spacing w:after="0" w:line="463" w:lineRule="auto"/>
        <w:jc w:val="center"/>
        <w:rPr>
          <w:sz w:val="24"/>
        </w:rPr>
        <w:sectPr>
          <w:footerReference w:type="default" r:id="rId98"/>
          <w:pgSz w:w="12240" w:h="15840"/>
          <w:pgMar w:footer="1066" w:header="730" w:top="1320" w:bottom="1260" w:left="180" w:right="180"/>
          <w:pgNumType w:start="161"/>
        </w:sectPr>
      </w:pPr>
    </w:p>
    <w:p>
      <w:pPr>
        <w:pStyle w:val="BodyText"/>
        <w:spacing w:before="1"/>
        <w:rPr>
          <w:b/>
          <w:sz w:val="18"/>
        </w:rPr>
      </w:pPr>
    </w:p>
    <w:p>
      <w:pPr>
        <w:spacing w:line="276" w:lineRule="auto" w:before="69"/>
        <w:ind w:left="268" w:right="584" w:firstLine="0"/>
        <w:jc w:val="left"/>
        <w:rPr>
          <w:b/>
          <w:sz w:val="24"/>
        </w:rPr>
      </w:pPr>
      <w:r>
        <w:rPr/>
        <w:pict>
          <v:line style="position:absolute;mso-position-horizontal-relative:page;mso-position-vertical-relative:paragraph;z-index:6280" from="93.199997pt,-19.614155pt" to="546.799997pt,-19.614155pt" stroked="true" strokeweight=".479981pt" strokecolor="#000000">
            <w10:wrap type="none"/>
          </v:line>
        </w:pict>
      </w:r>
      <w:r>
        <w:rPr>
          <w:b/>
          <w:sz w:val="24"/>
        </w:rPr>
        <w:t>Capítulo 4. Aplicación del modelo metodológico en conjuntos urbanos del municipio de Calimaya, Estado de México</w:t>
      </w:r>
    </w:p>
    <w:p>
      <w:pPr>
        <w:pStyle w:val="BodyText"/>
        <w:spacing w:before="4"/>
        <w:rPr>
          <w:b/>
          <w:sz w:val="31"/>
        </w:rPr>
      </w:pPr>
    </w:p>
    <w:p>
      <w:pPr>
        <w:pStyle w:val="BodyText"/>
        <w:spacing w:line="360" w:lineRule="auto"/>
        <w:ind w:left="268" w:right="231"/>
        <w:jc w:val="both"/>
      </w:pPr>
      <w:r>
        <w:rPr/>
        <w:t>El objetivo del presente capítulo es aplicar la metodología e indicadores de medición de la sustentabilidad en los conjuntos urbanos habitacionales desarrollados en el municipio de Calimaya, Estado de México, por ser este el cuarto municipio de la Zona Metropolitana de Toluca (ZMT) con mayor porcentaje de territorio con uso de suelo urbano al igual de encontrarce en proceso de conurbación con los municipios de Toluca y Metepec.</w:t>
      </w:r>
    </w:p>
    <w:p>
      <w:pPr>
        <w:pStyle w:val="BodyText"/>
        <w:spacing w:line="360" w:lineRule="auto" w:before="127"/>
        <w:ind w:left="268" w:right="231"/>
        <w:jc w:val="both"/>
      </w:pPr>
      <w:r>
        <w:rPr/>
        <w:t>El análisis de la sustentabilidad del territorio mediante el sistema de indicadores permite obtener un índice de sustentabilidad para conjuntos urbanos de tipo habitacional, conformado por cuatro índices de sustentabilidad relacionados cada uno con un eje social, ambiental, económico y territorial.</w:t>
      </w:r>
    </w:p>
    <w:p>
      <w:pPr>
        <w:pStyle w:val="BodyText"/>
        <w:spacing w:line="360" w:lineRule="auto" w:before="127"/>
        <w:ind w:left="268" w:right="231"/>
        <w:jc w:val="both"/>
      </w:pPr>
      <w:r>
        <w:rPr/>
        <w:t>El municipio de Calimaya que pertenece a la Zona Metropolitana de Toluca en el Estado de México, se tomó como caso de estudio para la aplicación del modelo, por lo que se analizaron los conjuntos urbanos autorizados en el territorio de Calimaya en un periodo de 13 años desde el año 2002 al año 2015.</w:t>
      </w:r>
    </w:p>
    <w:p>
      <w:pPr>
        <w:pStyle w:val="BodyText"/>
        <w:spacing w:line="360" w:lineRule="auto" w:before="127"/>
        <w:ind w:left="268" w:right="231"/>
        <w:jc w:val="both"/>
      </w:pPr>
      <w:r>
        <w:rPr/>
        <w:t>En los subcapítulos se abordan la descripción y características del caso de estudio, se expone la forma en que se aplicó, así como el desarrollo del mismo,  los resultados obtenidos corroboran la hipótesis y las preguntas de investigación planteadas que contribuyen con un peldaño al conocimiento y razón de ser de la investigación, se describe la contribución de la metodología dando pauta a las ideas y aportaciones conformando las conclusiones y recomendaciones de la investigación.</w:t>
      </w:r>
    </w:p>
    <w:p>
      <w:pPr>
        <w:pStyle w:val="BodyText"/>
      </w:pPr>
    </w:p>
    <w:p>
      <w:pPr>
        <w:pStyle w:val="BodyText"/>
        <w:rPr>
          <w:sz w:val="33"/>
        </w:rPr>
      </w:pPr>
    </w:p>
    <w:p>
      <w:pPr>
        <w:pStyle w:val="Heading4"/>
        <w:numPr>
          <w:ilvl w:val="1"/>
          <w:numId w:val="22"/>
        </w:numPr>
        <w:tabs>
          <w:tab w:pos="736" w:val="left" w:leader="none"/>
        </w:tabs>
        <w:spacing w:line="240" w:lineRule="auto" w:before="0" w:after="0"/>
        <w:ind w:left="735" w:right="0" w:hanging="467"/>
        <w:jc w:val="both"/>
      </w:pPr>
      <w:r>
        <w:rPr/>
        <w:t>Selección y descripción del estudio</w:t>
      </w:r>
    </w:p>
    <w:p>
      <w:pPr>
        <w:pStyle w:val="BodyText"/>
        <w:rPr>
          <w:b/>
        </w:rPr>
      </w:pPr>
    </w:p>
    <w:p>
      <w:pPr>
        <w:pStyle w:val="BodyText"/>
        <w:spacing w:line="360" w:lineRule="auto"/>
        <w:ind w:left="268" w:right="231"/>
        <w:jc w:val="both"/>
      </w:pPr>
      <w:r>
        <w:rPr/>
        <w:t>El modelo metodológico para el análisis de conjuntos urbanos en el Estado de México, a través de la evaluación de un sistema de indicadores para la obtención de un índice de sustentabilidad para conjuntos urbanos compuesto por cuatro índices; social, ambiental, económico y territorial, fue aplicado en el territorio del</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6304" from="93.199997pt,-19.614155pt" to="546.799997pt,-19.614155pt" stroked="true" strokeweight=".479981pt" strokecolor="#000000">
            <w10:wrap type="none"/>
          </v:line>
        </w:pict>
      </w:r>
      <w:r>
        <w:rPr/>
        <w:t>municipio de Calimaya, para el análisis de los conjuntos urbanos autorizados en  un periodo de tiempo de 13 años comprendido en el periodo</w:t>
      </w:r>
      <w:r>
        <w:rPr>
          <w:spacing w:val="-8"/>
        </w:rPr>
        <w:t> </w:t>
      </w:r>
      <w:r>
        <w:rPr/>
        <w:t>2002-2015.</w:t>
      </w:r>
    </w:p>
    <w:p>
      <w:pPr>
        <w:pStyle w:val="BodyText"/>
        <w:spacing w:line="360" w:lineRule="auto" w:before="122"/>
        <w:ind w:left="268" w:right="231"/>
        <w:jc w:val="both"/>
      </w:pPr>
      <w:r>
        <w:rPr/>
        <w:t>El periodo de tiempo de análisis obedece a la normatividad vigente y operativa que regula las acciones de los desarrolladores inmobiliarios y los procesos administrativos y de control de las dependencias del Gobierno del Estado de México, ya que en el año 2002 entró en vigor el Código Administrativo del Estado de México y el Libro Quinto: del Ordenamiento Territorial de los Asentamientos Humanos y del Desarrollo Urbano de los centros de población, así como su reglamento.</w:t>
      </w:r>
    </w:p>
    <w:p>
      <w:pPr>
        <w:pStyle w:val="BodyText"/>
        <w:spacing w:line="360" w:lineRule="auto" w:before="122"/>
        <w:ind w:left="268" w:right="231"/>
        <w:jc w:val="both"/>
      </w:pPr>
      <w:r>
        <w:rPr/>
        <w:t>Con la nueva normatividad en el año 2002 se organiza, restructura y clasifica el desarrollo urbano en el Estado de México y sus municipios, por lo que en materia de desarrollo habitacional se crea la figura de Conjunto Urbano, la cual en cierto modo sustituye a la figura de fraccionamiento que se manejaba en la Ley de Asentamientos Humanos que regulaba la promoción de vivienda en años anteriores al 2002.</w:t>
      </w:r>
    </w:p>
    <w:p>
      <w:pPr>
        <w:pStyle w:val="BodyText"/>
        <w:spacing w:line="360" w:lineRule="auto" w:before="122"/>
        <w:ind w:left="268" w:right="231"/>
        <w:jc w:val="both"/>
      </w:pPr>
      <w:r>
        <w:rPr/>
        <w:t>Con las nuevas disposiciones normativas para la autorización de proyectos habitacionales en el Estado de México, los municipios colindantes con el Distrito Federal que conforman la zona metropolitana de México, así como los municipios pertenecientes a la zona metropolitana de Toluca, continuaron siendo los principales territorios atractivos para el desarrollo de vivienda a través de la figura de Conjuntos Urbanos.</w:t>
      </w:r>
    </w:p>
    <w:p>
      <w:pPr>
        <w:pStyle w:val="BodyText"/>
        <w:spacing w:line="360" w:lineRule="auto" w:before="127"/>
        <w:ind w:left="268" w:right="231"/>
        <w:jc w:val="both"/>
      </w:pPr>
      <w:r>
        <w:rPr/>
        <w:t>El desarrollo de numerosos proyectos habitacionales en las zonas metropolitanas al igual que en otras zonas metropolitanas de México ha traído consigo diversos problemas que han sido caso de estudio de investigaciones realizadas por especialistas en el tema, quienes han analizado el fenómeno a través de distintas perspectivas como se describe en el capítulo uno de esta investigación.</w:t>
      </w:r>
    </w:p>
    <w:p>
      <w:pPr>
        <w:pStyle w:val="BodyText"/>
        <w:spacing w:line="360" w:lineRule="auto" w:before="122"/>
        <w:ind w:left="268" w:right="231"/>
        <w:jc w:val="both"/>
      </w:pPr>
      <w:r>
        <w:rPr/>
        <w:t>Tomando como referente los distintos análisis en la Zona Metropolitana del Valle de México (ZMVM) y en búsqueda de las investigaciones realizadas en el Estado de</w:t>
      </w:r>
      <w:r>
        <w:rPr>
          <w:spacing w:val="50"/>
        </w:rPr>
        <w:t> </w:t>
      </w:r>
      <w:r>
        <w:rPr/>
        <w:t>México</w:t>
      </w:r>
      <w:r>
        <w:rPr>
          <w:spacing w:val="50"/>
        </w:rPr>
        <w:t> </w:t>
      </w:r>
      <w:r>
        <w:rPr/>
        <w:t>y</w:t>
      </w:r>
      <w:r>
        <w:rPr>
          <w:spacing w:val="51"/>
        </w:rPr>
        <w:t> </w:t>
      </w:r>
      <w:r>
        <w:rPr/>
        <w:t>en</w:t>
      </w:r>
      <w:r>
        <w:rPr>
          <w:spacing w:val="50"/>
        </w:rPr>
        <w:t> </w:t>
      </w:r>
      <w:r>
        <w:rPr/>
        <w:t>particular</w:t>
      </w:r>
      <w:r>
        <w:rPr>
          <w:spacing w:val="50"/>
        </w:rPr>
        <w:t> </w:t>
      </w:r>
      <w:r>
        <w:rPr/>
        <w:t>los</w:t>
      </w:r>
      <w:r>
        <w:rPr>
          <w:spacing w:val="50"/>
        </w:rPr>
        <w:t> </w:t>
      </w:r>
      <w:r>
        <w:rPr/>
        <w:t>estudios</w:t>
      </w:r>
      <w:r>
        <w:rPr>
          <w:spacing w:val="50"/>
        </w:rPr>
        <w:t> </w:t>
      </w:r>
      <w:r>
        <w:rPr/>
        <w:t>realizados</w:t>
      </w:r>
      <w:r>
        <w:rPr>
          <w:spacing w:val="50"/>
        </w:rPr>
        <w:t> </w:t>
      </w:r>
      <w:r>
        <w:rPr/>
        <w:t>en</w:t>
      </w:r>
      <w:r>
        <w:rPr>
          <w:spacing w:val="50"/>
        </w:rPr>
        <w:t> </w:t>
      </w:r>
      <w:r>
        <w:rPr/>
        <w:t>la</w:t>
      </w:r>
      <w:r>
        <w:rPr>
          <w:spacing w:val="50"/>
        </w:rPr>
        <w:t> </w:t>
      </w:r>
      <w:r>
        <w:rPr/>
        <w:t>Zona</w:t>
      </w:r>
      <w:r>
        <w:rPr>
          <w:spacing w:val="50"/>
        </w:rPr>
        <w:t> </w:t>
      </w:r>
      <w:r>
        <w:rPr/>
        <w:t>Metropolitana</w:t>
      </w:r>
      <w:r>
        <w:rPr>
          <w:spacing w:val="50"/>
        </w:rPr>
        <w:t> </w:t>
      </w:r>
      <w:r>
        <w:rPr/>
        <w:t>de</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6328" from="93.199997pt,-19.614155pt" to="546.799997pt,-19.614155pt" stroked="true" strokeweight=".479981pt" strokecolor="#000000">
            <w10:wrap type="none"/>
          </v:line>
        </w:pict>
      </w:r>
      <w:r>
        <w:rPr/>
        <w:t>Toluca (ZMT) y sus municipios, en específico los estudios del impacto del desarrollo habitacional en la ZMT; se identificó que los estudios realizados para la ZMVM son muchos y diversos, naturalmente obedecen al estudio específico de la ZMVM; por otro lado la ZMT cuenta con diversos estudios para el análisis de población, marginada, vulnerabilidad, segregación e indicadores urbanos; sin embargo, por las propias características de la ZMT aún existen diferentes áreas del estudio que requieren ser abordadas; como lo es el desarrollo de proyectos habitacionales y su impacto en el territorio, entre otros temas</w:t>
      </w:r>
      <w:r>
        <w:rPr>
          <w:spacing w:val="-2"/>
        </w:rPr>
        <w:t> </w:t>
      </w:r>
      <w:r>
        <w:rPr/>
        <w:t>estratégicos.</w:t>
      </w:r>
    </w:p>
    <w:p>
      <w:pPr>
        <w:spacing w:before="136" w:after="7"/>
        <w:ind w:left="268" w:right="0" w:firstLine="0"/>
        <w:jc w:val="both"/>
        <w:rPr>
          <w:sz w:val="21"/>
        </w:rPr>
      </w:pPr>
      <w:r>
        <w:rPr>
          <w:w w:val="105"/>
          <w:sz w:val="21"/>
        </w:rPr>
        <w:t>Mapa 1. Ubicación del Estado de México.</w:t>
      </w:r>
    </w:p>
    <w:p>
      <w:pPr>
        <w:pStyle w:val="BodyText"/>
        <w:ind w:left="270"/>
        <w:rPr>
          <w:sz w:val="20"/>
        </w:rPr>
      </w:pPr>
      <w:r>
        <w:rPr>
          <w:sz w:val="20"/>
        </w:rPr>
        <w:drawing>
          <wp:inline distT="0" distB="0" distL="0" distR="0">
            <wp:extent cx="5576990" cy="4207192"/>
            <wp:effectExtent l="0" t="0" r="0" b="0"/>
            <wp:docPr id="19" name="image37.jpeg" descr=""/>
            <wp:cNvGraphicFramePr>
              <a:graphicFrameLocks noChangeAspect="1"/>
            </wp:cNvGraphicFramePr>
            <a:graphic>
              <a:graphicData uri="http://schemas.openxmlformats.org/drawingml/2006/picture">
                <pic:pic>
                  <pic:nvPicPr>
                    <pic:cNvPr id="20" name="image37.jpeg"/>
                    <pic:cNvPicPr/>
                  </pic:nvPicPr>
                  <pic:blipFill>
                    <a:blip r:embed="rId100" cstate="print"/>
                    <a:stretch>
                      <a:fillRect/>
                    </a:stretch>
                  </pic:blipFill>
                  <pic:spPr>
                    <a:xfrm>
                      <a:off x="0" y="0"/>
                      <a:ext cx="5576990" cy="4207192"/>
                    </a:xfrm>
                    <a:prstGeom prst="rect">
                      <a:avLst/>
                    </a:prstGeom>
                  </pic:spPr>
                </pic:pic>
              </a:graphicData>
            </a:graphic>
          </wp:inline>
        </w:drawing>
      </w:r>
      <w:r>
        <w:rPr>
          <w:sz w:val="20"/>
        </w:rPr>
      </w:r>
    </w:p>
    <w:p>
      <w:pPr>
        <w:spacing w:before="181"/>
        <w:ind w:left="268" w:right="0" w:firstLine="0"/>
        <w:jc w:val="both"/>
        <w:rPr>
          <w:sz w:val="21"/>
        </w:rPr>
      </w:pPr>
      <w:r>
        <w:rPr>
          <w:w w:val="105"/>
          <w:sz w:val="21"/>
        </w:rPr>
        <w:t>Fuente: Elaboración propia con base al INEGI, 2016.</w:t>
      </w:r>
    </w:p>
    <w:p>
      <w:pPr>
        <w:spacing w:after="0"/>
        <w:jc w:val="both"/>
        <w:rPr>
          <w:sz w:val="21"/>
        </w:rPr>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6352" from="93.199997pt,-19.614155pt" to="546.799997pt,-19.614155pt" stroked="true" strokeweight=".479981pt" strokecolor="#000000">
            <w10:wrap type="none"/>
          </v:line>
        </w:pict>
      </w:r>
      <w:r>
        <w:rPr/>
        <w:t>Por lo que refiere a la ZMT, ésta se encuentra ubicada en el centro del Estado de México y al año 2015 existen tres principales propuestas de los municipios que la integran como se muestra en la tabla 16.</w:t>
      </w:r>
    </w:p>
    <w:p>
      <w:pPr>
        <w:pStyle w:val="BodyText"/>
        <w:spacing w:before="122"/>
        <w:ind w:left="268"/>
        <w:jc w:val="both"/>
      </w:pPr>
      <w:r>
        <w:rPr/>
        <w:t>Tabla 16. Municipios que conforman la zona metropolitana de Toluca.</w:t>
      </w:r>
    </w:p>
    <w:p>
      <w:pPr>
        <w:pStyle w:val="BodyText"/>
        <w:spacing w:before="10"/>
        <w:rPr>
          <w:sz w:val="10"/>
        </w:rPr>
      </w:pP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65"/>
        <w:gridCol w:w="720"/>
        <w:gridCol w:w="4943"/>
      </w:tblGrid>
      <w:tr>
        <w:trPr>
          <w:trHeight w:val="330" w:hRule="exact"/>
        </w:trPr>
        <w:tc>
          <w:tcPr>
            <w:tcW w:w="3165" w:type="dxa"/>
            <w:shd w:val="clear" w:color="auto" w:fill="000000"/>
          </w:tcPr>
          <w:p>
            <w:pPr>
              <w:pStyle w:val="TableParagraph"/>
              <w:spacing w:before="9"/>
              <w:jc w:val="left"/>
              <w:rPr>
                <w:sz w:val="8"/>
              </w:rPr>
            </w:pPr>
          </w:p>
          <w:p>
            <w:pPr>
              <w:pStyle w:val="TableParagraph"/>
              <w:ind w:left="1238" w:right="1232"/>
              <w:rPr>
                <w:b/>
                <w:sz w:val="10"/>
              </w:rPr>
            </w:pPr>
            <w:r>
              <w:rPr>
                <w:b/>
                <w:color w:val="FFFFFF"/>
                <w:w w:val="105"/>
                <w:sz w:val="10"/>
              </w:rPr>
              <w:t>Dependencia</w:t>
            </w:r>
          </w:p>
        </w:tc>
        <w:tc>
          <w:tcPr>
            <w:tcW w:w="720" w:type="dxa"/>
            <w:shd w:val="clear" w:color="auto" w:fill="000000"/>
          </w:tcPr>
          <w:p>
            <w:pPr>
              <w:pStyle w:val="TableParagraph"/>
              <w:spacing w:line="271" w:lineRule="auto" w:before="32"/>
              <w:ind w:left="81" w:firstLine="122"/>
              <w:jc w:val="left"/>
              <w:rPr>
                <w:b/>
                <w:sz w:val="10"/>
              </w:rPr>
            </w:pPr>
            <w:r>
              <w:rPr>
                <w:b/>
                <w:color w:val="FFFFFF"/>
                <w:w w:val="105"/>
                <w:sz w:val="10"/>
              </w:rPr>
              <w:t>No. de </w:t>
            </w:r>
            <w:r>
              <w:rPr>
                <w:b/>
                <w:color w:val="FFFFFF"/>
                <w:sz w:val="10"/>
              </w:rPr>
              <w:t>Municipios</w:t>
            </w:r>
          </w:p>
        </w:tc>
        <w:tc>
          <w:tcPr>
            <w:tcW w:w="4943" w:type="dxa"/>
            <w:shd w:val="clear" w:color="auto" w:fill="000000"/>
          </w:tcPr>
          <w:p>
            <w:pPr>
              <w:pStyle w:val="TableParagraph"/>
              <w:spacing w:before="9"/>
              <w:jc w:val="left"/>
              <w:rPr>
                <w:sz w:val="8"/>
              </w:rPr>
            </w:pPr>
          </w:p>
          <w:p>
            <w:pPr>
              <w:pStyle w:val="TableParagraph"/>
              <w:ind w:left="2177" w:right="2177"/>
              <w:rPr>
                <w:b/>
                <w:sz w:val="10"/>
              </w:rPr>
            </w:pPr>
            <w:r>
              <w:rPr>
                <w:b/>
                <w:color w:val="FFFFFF"/>
                <w:w w:val="105"/>
                <w:sz w:val="10"/>
              </w:rPr>
              <w:t>Municipios</w:t>
            </w:r>
          </w:p>
        </w:tc>
      </w:tr>
      <w:tr>
        <w:trPr>
          <w:trHeight w:val="507" w:hRule="exact"/>
        </w:trPr>
        <w:tc>
          <w:tcPr>
            <w:tcW w:w="3165" w:type="dxa"/>
            <w:tcBorders>
              <w:left w:val="single" w:sz="3" w:space="0" w:color="000000"/>
              <w:bottom w:val="single" w:sz="3" w:space="0" w:color="000000"/>
              <w:right w:val="single" w:sz="3" w:space="0" w:color="000000"/>
            </w:tcBorders>
          </w:tcPr>
          <w:p>
            <w:pPr>
              <w:pStyle w:val="TableParagraph"/>
              <w:spacing w:line="271" w:lineRule="auto" w:before="58"/>
              <w:ind w:left="581" w:right="577" w:firstLine="3"/>
              <w:rPr>
                <w:sz w:val="10"/>
              </w:rPr>
            </w:pPr>
            <w:r>
              <w:rPr>
                <w:w w:val="105"/>
                <w:sz w:val="10"/>
              </w:rPr>
              <w:t>Secretaría de Desarrollo Social (Sedesol) Consejo Nacional de Población</w:t>
            </w:r>
            <w:r>
              <w:rPr>
                <w:spacing w:val="-19"/>
                <w:w w:val="105"/>
                <w:sz w:val="10"/>
              </w:rPr>
              <w:t> </w:t>
            </w:r>
            <w:r>
              <w:rPr>
                <w:w w:val="105"/>
                <w:sz w:val="10"/>
              </w:rPr>
              <w:t>(CONAPO)</w:t>
            </w:r>
          </w:p>
          <w:p>
            <w:pPr>
              <w:pStyle w:val="TableParagraph"/>
              <w:ind w:left="38" w:right="38"/>
              <w:rPr>
                <w:sz w:val="10"/>
              </w:rPr>
            </w:pPr>
            <w:r>
              <w:rPr>
                <w:w w:val="105"/>
                <w:sz w:val="10"/>
              </w:rPr>
              <w:t>Instituto Nacional de Estadística, Geografía e Informática (INEGI)</w:t>
            </w:r>
          </w:p>
        </w:tc>
        <w:tc>
          <w:tcPr>
            <w:tcW w:w="720" w:type="dxa"/>
            <w:tcBorders>
              <w:left w:val="single" w:sz="3" w:space="0" w:color="000000"/>
              <w:bottom w:val="single" w:sz="3" w:space="0" w:color="000000"/>
              <w:right w:val="single" w:sz="3" w:space="0" w:color="000000"/>
            </w:tcBorders>
          </w:tcPr>
          <w:p>
            <w:pPr>
              <w:pStyle w:val="TableParagraph"/>
              <w:jc w:val="left"/>
              <w:rPr>
                <w:sz w:val="10"/>
              </w:rPr>
            </w:pPr>
          </w:p>
          <w:p>
            <w:pPr>
              <w:pStyle w:val="TableParagraph"/>
              <w:spacing w:before="73"/>
              <w:ind w:right="298"/>
              <w:jc w:val="right"/>
              <w:rPr>
                <w:sz w:val="10"/>
              </w:rPr>
            </w:pPr>
            <w:r>
              <w:rPr>
                <w:w w:val="105"/>
                <w:sz w:val="10"/>
              </w:rPr>
              <w:t>14</w:t>
            </w:r>
          </w:p>
        </w:tc>
        <w:tc>
          <w:tcPr>
            <w:tcW w:w="4943" w:type="dxa"/>
            <w:tcBorders>
              <w:left w:val="single" w:sz="3" w:space="0" w:color="000000"/>
              <w:bottom w:val="single" w:sz="3" w:space="0" w:color="000000"/>
              <w:right w:val="single" w:sz="3" w:space="0" w:color="000000"/>
            </w:tcBorders>
          </w:tcPr>
          <w:p>
            <w:pPr>
              <w:pStyle w:val="TableParagraph"/>
              <w:spacing w:before="3"/>
              <w:jc w:val="left"/>
              <w:rPr>
                <w:sz w:val="10"/>
              </w:rPr>
            </w:pPr>
          </w:p>
          <w:p>
            <w:pPr>
              <w:pStyle w:val="TableParagraph"/>
              <w:spacing w:line="271" w:lineRule="auto"/>
              <w:ind w:left="17"/>
              <w:jc w:val="left"/>
              <w:rPr>
                <w:sz w:val="10"/>
              </w:rPr>
            </w:pPr>
            <w:r>
              <w:rPr>
                <w:w w:val="105"/>
                <w:sz w:val="10"/>
              </w:rPr>
              <w:t>Almoloya de Juárez, Calimaya, Chapultepec, Lerma, Metepec, Mexicaltzingo, Ocoyoacac, Otzolotepec, Rayón, San Antonio la Isla, San Mateo Atenco, Toluca, Xonacatlán y Zinacantepec.</w:t>
            </w:r>
          </w:p>
        </w:tc>
      </w:tr>
      <w:tr>
        <w:trPr>
          <w:trHeight w:val="356" w:hRule="exact"/>
        </w:trPr>
        <w:tc>
          <w:tcPr>
            <w:tcW w:w="3165" w:type="dxa"/>
            <w:tcBorders>
              <w:top w:val="single" w:sz="3" w:space="0" w:color="000000"/>
              <w:left w:val="single" w:sz="3" w:space="0" w:color="000000"/>
              <w:bottom w:val="single" w:sz="3" w:space="0" w:color="000000"/>
              <w:right w:val="single" w:sz="3" w:space="0" w:color="000000"/>
            </w:tcBorders>
          </w:tcPr>
          <w:p>
            <w:pPr>
              <w:pStyle w:val="TableParagraph"/>
              <w:spacing w:before="6"/>
              <w:jc w:val="left"/>
              <w:rPr>
                <w:sz w:val="9"/>
              </w:rPr>
            </w:pPr>
          </w:p>
          <w:p>
            <w:pPr>
              <w:pStyle w:val="TableParagraph"/>
              <w:ind w:left="36" w:right="38"/>
              <w:rPr>
                <w:sz w:val="10"/>
              </w:rPr>
            </w:pPr>
            <w:r>
              <w:rPr>
                <w:w w:val="105"/>
                <w:sz w:val="10"/>
              </w:rPr>
              <w:t>Consejo Estatal de Población (COESPO)</w:t>
            </w:r>
          </w:p>
        </w:tc>
        <w:tc>
          <w:tcPr>
            <w:tcW w:w="720" w:type="dxa"/>
            <w:tcBorders>
              <w:top w:val="single" w:sz="3" w:space="0" w:color="000000"/>
              <w:left w:val="single" w:sz="3" w:space="0" w:color="000000"/>
              <w:bottom w:val="single" w:sz="3" w:space="0" w:color="000000"/>
              <w:right w:val="single" w:sz="3" w:space="0" w:color="000000"/>
            </w:tcBorders>
          </w:tcPr>
          <w:p>
            <w:pPr>
              <w:pStyle w:val="TableParagraph"/>
              <w:spacing w:before="6"/>
              <w:jc w:val="left"/>
              <w:rPr>
                <w:sz w:val="9"/>
              </w:rPr>
            </w:pPr>
          </w:p>
          <w:p>
            <w:pPr>
              <w:pStyle w:val="TableParagraph"/>
              <w:ind w:right="298"/>
              <w:jc w:val="right"/>
              <w:rPr>
                <w:sz w:val="10"/>
              </w:rPr>
            </w:pPr>
            <w:r>
              <w:rPr>
                <w:sz w:val="10"/>
              </w:rPr>
              <w:t>15</w:t>
            </w:r>
          </w:p>
        </w:tc>
        <w:tc>
          <w:tcPr>
            <w:tcW w:w="4943" w:type="dxa"/>
            <w:tcBorders>
              <w:top w:val="single" w:sz="3" w:space="0" w:color="000000"/>
              <w:left w:val="single" w:sz="3" w:space="0" w:color="000000"/>
              <w:bottom w:val="single" w:sz="3" w:space="0" w:color="000000"/>
              <w:right w:val="single" w:sz="3" w:space="0" w:color="000000"/>
            </w:tcBorders>
          </w:tcPr>
          <w:p>
            <w:pPr>
              <w:pStyle w:val="TableParagraph"/>
              <w:spacing w:line="271" w:lineRule="auto" w:before="40"/>
              <w:ind w:left="17"/>
              <w:jc w:val="left"/>
              <w:rPr>
                <w:sz w:val="10"/>
              </w:rPr>
            </w:pPr>
            <w:r>
              <w:rPr>
                <w:w w:val="105"/>
                <w:sz w:val="10"/>
              </w:rPr>
              <w:t>Almoloya de Juárez, Calimaya, Chapultepec, Lerma, Metepec, Mexicaltzingo, Ocoyoacac, Otzolotepec, Rayón, San Antonio la Isla, San Mateo Atenco, </w:t>
            </w:r>
            <w:r>
              <w:rPr>
                <w:b/>
                <w:w w:val="105"/>
                <w:sz w:val="10"/>
              </w:rPr>
              <w:t>Temoaya, </w:t>
            </w:r>
            <w:r>
              <w:rPr>
                <w:w w:val="105"/>
                <w:sz w:val="10"/>
              </w:rPr>
              <w:t>Toluca, Xonacatlán y Zinacantepec.</w:t>
            </w:r>
          </w:p>
        </w:tc>
      </w:tr>
      <w:tr>
        <w:trPr>
          <w:trHeight w:val="520" w:hRule="exact"/>
        </w:trPr>
        <w:tc>
          <w:tcPr>
            <w:tcW w:w="3165" w:type="dxa"/>
            <w:tcBorders>
              <w:top w:val="single" w:sz="3" w:space="0" w:color="000000"/>
              <w:left w:val="single" w:sz="3" w:space="0" w:color="000000"/>
              <w:bottom w:val="single" w:sz="3" w:space="0" w:color="000000"/>
              <w:right w:val="single" w:sz="3" w:space="0" w:color="000000"/>
            </w:tcBorders>
          </w:tcPr>
          <w:p>
            <w:pPr>
              <w:pStyle w:val="TableParagraph"/>
              <w:jc w:val="left"/>
              <w:rPr>
                <w:sz w:val="11"/>
              </w:rPr>
            </w:pPr>
          </w:p>
          <w:p>
            <w:pPr>
              <w:pStyle w:val="TableParagraph"/>
              <w:spacing w:line="271" w:lineRule="auto" w:before="1"/>
              <w:ind w:left="320" w:hanging="26"/>
              <w:jc w:val="left"/>
              <w:rPr>
                <w:sz w:val="10"/>
              </w:rPr>
            </w:pPr>
            <w:r>
              <w:rPr>
                <w:w w:val="105"/>
                <w:sz w:val="10"/>
              </w:rPr>
              <w:t>Plan Regional de Desarrollo Urbano del Valle de Toluca Programa para Mejorar la Calidad del Aire (PROAIRE)</w:t>
            </w:r>
          </w:p>
        </w:tc>
        <w:tc>
          <w:tcPr>
            <w:tcW w:w="720" w:type="dxa"/>
            <w:tcBorders>
              <w:top w:val="single" w:sz="3" w:space="0" w:color="000000"/>
              <w:left w:val="single" w:sz="3" w:space="0" w:color="000000"/>
              <w:bottom w:val="single" w:sz="3" w:space="0" w:color="000000"/>
              <w:right w:val="single" w:sz="3" w:space="0" w:color="000000"/>
            </w:tcBorders>
          </w:tcPr>
          <w:p>
            <w:pPr>
              <w:pStyle w:val="TableParagraph"/>
              <w:jc w:val="left"/>
              <w:rPr>
                <w:sz w:val="10"/>
              </w:rPr>
            </w:pPr>
          </w:p>
          <w:p>
            <w:pPr>
              <w:pStyle w:val="TableParagraph"/>
              <w:spacing w:before="73"/>
              <w:ind w:right="298"/>
              <w:jc w:val="right"/>
              <w:rPr>
                <w:sz w:val="10"/>
              </w:rPr>
            </w:pPr>
            <w:r>
              <w:rPr>
                <w:w w:val="105"/>
                <w:sz w:val="10"/>
              </w:rPr>
              <w:t>22</w:t>
            </w:r>
          </w:p>
        </w:tc>
        <w:tc>
          <w:tcPr>
            <w:tcW w:w="4943" w:type="dxa"/>
            <w:tcBorders>
              <w:top w:val="single" w:sz="3" w:space="0" w:color="000000"/>
              <w:left w:val="single" w:sz="3" w:space="0" w:color="000000"/>
              <w:bottom w:val="single" w:sz="3" w:space="0" w:color="000000"/>
              <w:right w:val="single" w:sz="3" w:space="0" w:color="000000"/>
            </w:tcBorders>
          </w:tcPr>
          <w:p>
            <w:pPr>
              <w:pStyle w:val="TableParagraph"/>
              <w:spacing w:line="271" w:lineRule="auto" w:before="58"/>
              <w:ind w:left="16" w:right="11" w:firstLine="1"/>
              <w:jc w:val="both"/>
              <w:rPr>
                <w:sz w:val="10"/>
              </w:rPr>
            </w:pPr>
            <w:r>
              <w:rPr>
                <w:w w:val="105"/>
                <w:sz w:val="10"/>
              </w:rPr>
              <w:t>Almoloya de Juárez, </w:t>
            </w:r>
            <w:r>
              <w:rPr>
                <w:b/>
                <w:w w:val="105"/>
                <w:sz w:val="10"/>
              </w:rPr>
              <w:t>Almoloya del Río, Atizapán</w:t>
            </w:r>
            <w:r>
              <w:rPr>
                <w:w w:val="105"/>
                <w:sz w:val="10"/>
              </w:rPr>
              <w:t>, Calimaya, </w:t>
            </w:r>
            <w:r>
              <w:rPr>
                <w:b/>
                <w:w w:val="105"/>
                <w:sz w:val="10"/>
              </w:rPr>
              <w:t>Capulhuac, </w:t>
            </w:r>
            <w:r>
              <w:rPr>
                <w:w w:val="105"/>
                <w:sz w:val="10"/>
              </w:rPr>
              <w:t>Chapultepec, Lerma,</w:t>
            </w:r>
            <w:r>
              <w:rPr>
                <w:spacing w:val="-17"/>
                <w:w w:val="105"/>
                <w:sz w:val="10"/>
              </w:rPr>
              <w:t> </w:t>
            </w:r>
            <w:r>
              <w:rPr>
                <w:w w:val="105"/>
                <w:sz w:val="10"/>
              </w:rPr>
              <w:t>Metepec, Mexicaltzingo, Ocoyoacac, Otzolotepec, Rayón, San Antonio la Isla, San Mateo Atenco, Temoaya, </w:t>
            </w:r>
            <w:r>
              <w:rPr>
                <w:b/>
                <w:w w:val="105"/>
                <w:sz w:val="10"/>
              </w:rPr>
              <w:t>Tenango</w:t>
            </w:r>
            <w:r>
              <w:rPr>
                <w:b/>
                <w:spacing w:val="-9"/>
                <w:w w:val="105"/>
                <w:sz w:val="10"/>
              </w:rPr>
              <w:t> </w:t>
            </w:r>
            <w:r>
              <w:rPr>
                <w:b/>
                <w:w w:val="105"/>
                <w:sz w:val="10"/>
              </w:rPr>
              <w:t>del</w:t>
            </w:r>
            <w:r>
              <w:rPr>
                <w:b/>
                <w:spacing w:val="-9"/>
                <w:w w:val="105"/>
                <w:sz w:val="10"/>
              </w:rPr>
              <w:t> </w:t>
            </w:r>
            <w:r>
              <w:rPr>
                <w:b/>
                <w:w w:val="105"/>
                <w:sz w:val="10"/>
              </w:rPr>
              <w:t>Valle,</w:t>
            </w:r>
            <w:r>
              <w:rPr>
                <w:b/>
                <w:spacing w:val="-9"/>
                <w:w w:val="105"/>
                <w:sz w:val="10"/>
              </w:rPr>
              <w:t> </w:t>
            </w:r>
            <w:r>
              <w:rPr>
                <w:b/>
                <w:w w:val="105"/>
                <w:sz w:val="10"/>
              </w:rPr>
              <w:t>Texcalyacac,</w:t>
            </w:r>
            <w:r>
              <w:rPr>
                <w:b/>
                <w:spacing w:val="-9"/>
                <w:w w:val="105"/>
                <w:sz w:val="10"/>
              </w:rPr>
              <w:t> </w:t>
            </w:r>
            <w:r>
              <w:rPr>
                <w:b/>
                <w:w w:val="105"/>
                <w:sz w:val="10"/>
              </w:rPr>
              <w:t>Tianguistenco</w:t>
            </w:r>
            <w:r>
              <w:rPr>
                <w:w w:val="105"/>
                <w:sz w:val="10"/>
              </w:rPr>
              <w:t>,</w:t>
            </w:r>
            <w:r>
              <w:rPr>
                <w:spacing w:val="-10"/>
                <w:w w:val="105"/>
                <w:sz w:val="10"/>
              </w:rPr>
              <w:t> </w:t>
            </w:r>
            <w:r>
              <w:rPr>
                <w:w w:val="105"/>
                <w:sz w:val="10"/>
              </w:rPr>
              <w:t>Toluca,</w:t>
            </w:r>
            <w:r>
              <w:rPr>
                <w:spacing w:val="-7"/>
                <w:w w:val="105"/>
                <w:sz w:val="10"/>
              </w:rPr>
              <w:t> </w:t>
            </w:r>
            <w:r>
              <w:rPr>
                <w:b/>
                <w:w w:val="105"/>
                <w:sz w:val="10"/>
              </w:rPr>
              <w:t>Xalatlaco</w:t>
            </w:r>
            <w:r>
              <w:rPr>
                <w:w w:val="105"/>
                <w:sz w:val="10"/>
              </w:rPr>
              <w:t>,</w:t>
            </w:r>
            <w:r>
              <w:rPr>
                <w:spacing w:val="-9"/>
                <w:w w:val="105"/>
                <w:sz w:val="10"/>
              </w:rPr>
              <w:t> </w:t>
            </w:r>
            <w:r>
              <w:rPr>
                <w:w w:val="105"/>
                <w:sz w:val="10"/>
              </w:rPr>
              <w:t>Xonacatlán</w:t>
            </w:r>
            <w:r>
              <w:rPr>
                <w:spacing w:val="-9"/>
                <w:w w:val="105"/>
                <w:sz w:val="10"/>
              </w:rPr>
              <w:t> </w:t>
            </w:r>
            <w:r>
              <w:rPr>
                <w:w w:val="105"/>
                <w:sz w:val="10"/>
              </w:rPr>
              <w:t>y</w:t>
            </w:r>
            <w:r>
              <w:rPr>
                <w:spacing w:val="-9"/>
                <w:w w:val="105"/>
                <w:sz w:val="10"/>
              </w:rPr>
              <w:t> </w:t>
            </w:r>
            <w:r>
              <w:rPr>
                <w:w w:val="105"/>
                <w:sz w:val="10"/>
              </w:rPr>
              <w:t>Zinacantepec.</w:t>
            </w:r>
          </w:p>
        </w:tc>
      </w:tr>
    </w:tbl>
    <w:p>
      <w:pPr>
        <w:spacing w:before="11"/>
        <w:ind w:left="268" w:right="0" w:firstLine="0"/>
        <w:jc w:val="both"/>
        <w:rPr>
          <w:sz w:val="21"/>
        </w:rPr>
      </w:pPr>
      <w:r>
        <w:rPr>
          <w:w w:val="105"/>
          <w:sz w:val="21"/>
        </w:rPr>
        <w:t>Fuente: Elaboración propia con base en COESPO, SEDESOL y SEDUM, 2016.</w:t>
      </w:r>
    </w:p>
    <w:p>
      <w:pPr>
        <w:pStyle w:val="BodyText"/>
        <w:spacing w:before="2"/>
        <w:rPr>
          <w:sz w:val="21"/>
        </w:rPr>
      </w:pPr>
    </w:p>
    <w:p>
      <w:pPr>
        <w:pStyle w:val="BodyText"/>
        <w:spacing w:line="360" w:lineRule="auto"/>
        <w:ind w:left="268" w:right="231"/>
        <w:jc w:val="both"/>
      </w:pPr>
      <w:r>
        <w:rPr/>
        <w:t>Para el estudio realizado se tomó como referencia la configuración del Consejo Estatal de Población (COESPO) considerando los 15 municipios conurbados; sin embargo, el análisis de la ZMT en relación a la aplicación del sistema de indicadores representaría un estudio que requiere mayor tiempo de investigación, así como recursos económicos para la obtención de resultados globales en la ZMT, que bien podía ser abordada en una investigación posterior con otras características en tiempo y financiamiento.</w:t>
      </w:r>
    </w:p>
    <w:p>
      <w:pPr>
        <w:pStyle w:val="BodyText"/>
        <w:spacing w:line="360" w:lineRule="auto" w:before="122"/>
        <w:ind w:left="268" w:right="232"/>
        <w:jc w:val="both"/>
      </w:pPr>
      <w:r>
        <w:rPr/>
        <w:t>Por lo que de los 15 municipios que integran la ZMT, según COESPO, se seleccionó el municipio de Calimaya como caso de estudio, para la aplicación del modelo metodológico para el análisis mediante el sistema de indicadores, aplicándolo en los conjuntos urbanos autorizados en su territorio.</w:t>
      </w:r>
    </w:p>
    <w:p>
      <w:pPr>
        <w:pStyle w:val="BodyText"/>
        <w:spacing w:line="360" w:lineRule="auto" w:before="122"/>
        <w:ind w:left="268" w:right="231"/>
        <w:jc w:val="both"/>
      </w:pPr>
      <w:r>
        <w:rPr/>
        <w:t>La selección del municipio de Calimaya en lugar de otro de los municipios de la ZMT observa diversos factores como la continuidad del proceso de urbanización y conurbación al sur-oste de la ZMT en especial los municipios de Toluca, Metepec  y Calimaya estos tres conectados por la vialidad primaria de carácter regional Toluca – Tenango, el proceso de conurbación existente entre Toluca y Metepec se encuentra prácticamente consolidado, la continuidad y mejor acceso de esta vialidad es el municipio de Calimaya a diferencia del municipio de Mexicaltzingo el cuál también colinda con Metepec, sin embargo la extención territorial de Mexicaltzingo es</w:t>
      </w:r>
      <w:r>
        <w:rPr>
          <w:spacing w:val="-1"/>
        </w:rPr>
        <w:t> </w:t>
      </w:r>
      <w:r>
        <w:rPr/>
        <w:t>menor.</w:t>
      </w:r>
    </w:p>
    <w:p>
      <w:pPr>
        <w:spacing w:after="0" w:line="360" w:lineRule="auto"/>
        <w:jc w:val="both"/>
        <w:sectPr>
          <w:pgSz w:w="12240" w:h="15840"/>
          <w:pgMar w:header="730" w:footer="1066" w:top="1320" w:bottom="1260" w:left="1720" w:right="1180"/>
        </w:sectPr>
      </w:pPr>
    </w:p>
    <w:p>
      <w:pPr>
        <w:pStyle w:val="BodyText"/>
        <w:spacing w:before="1"/>
        <w:rPr>
          <w:sz w:val="18"/>
        </w:rPr>
      </w:pPr>
    </w:p>
    <w:p>
      <w:pPr>
        <w:spacing w:before="78"/>
        <w:ind w:left="268" w:right="0" w:firstLine="0"/>
        <w:jc w:val="both"/>
        <w:rPr>
          <w:sz w:val="21"/>
        </w:rPr>
      </w:pPr>
      <w:r>
        <w:rPr/>
        <w:pict>
          <v:group style="position:absolute;margin-left:99.629997pt;margin-top:21.368874pt;width:445.4pt;height:344.35pt;mso-position-horizontal-relative:page;mso-position-vertical-relative:paragraph;z-index:6376;mso-wrap-distance-left:0;mso-wrap-distance-right:0" coordorigin="1993,427" coordsize="8908,6887">
            <v:shape style="position:absolute;left:1993;top:427;width:8908;height:6887" type="#_x0000_t75" stroked="false">
              <v:imagedata r:id="rId101" o:title=""/>
            </v:shape>
            <v:shape style="position:absolute;left:3429;top:5937;width:353;height:432" type="#_x0000_t75" stroked="false">
              <v:imagedata r:id="rId102" o:title=""/>
            </v:shape>
            <v:shape style="position:absolute;left:2388;top:5890;width:501;height:479" type="#_x0000_t75" stroked="false">
              <v:imagedata r:id="rId103" o:title=""/>
            </v:shape>
            <v:shape style="position:absolute;left:2763;top:6369;width:846;height:541" type="#_x0000_t75" stroked="false">
              <v:imagedata r:id="rId104" o:title=""/>
            </v:shape>
            <w10:wrap type="topAndBottom"/>
          </v:group>
        </w:pict>
      </w:r>
      <w:r>
        <w:rPr/>
        <w:pict>
          <v:line style="position:absolute;mso-position-horizontal-relative:page;mso-position-vertical-relative:paragraph;z-index:6400" from="93.199997pt,-19.611116pt" to="546.799997pt,-19.611116pt" stroked="true" strokeweight=".479981pt" strokecolor="#000000">
            <w10:wrap type="none"/>
          </v:line>
        </w:pict>
      </w:r>
      <w:r>
        <w:rPr>
          <w:w w:val="105"/>
          <w:sz w:val="21"/>
        </w:rPr>
        <w:t>Mapa 2. Usos de suelo de la ZMT 2016.</w:t>
      </w:r>
    </w:p>
    <w:p>
      <w:pPr>
        <w:pStyle w:val="BodyText"/>
        <w:spacing w:before="3"/>
        <w:rPr>
          <w:sz w:val="17"/>
        </w:rPr>
      </w:pPr>
    </w:p>
    <w:p>
      <w:pPr>
        <w:spacing w:before="0"/>
        <w:ind w:left="635" w:right="0" w:firstLine="0"/>
        <w:jc w:val="left"/>
        <w:rPr>
          <w:sz w:val="21"/>
        </w:rPr>
      </w:pPr>
      <w:r>
        <w:rPr>
          <w:w w:val="105"/>
          <w:sz w:val="21"/>
        </w:rPr>
        <w:t>Fuente: Elaboración propia con base en INEGI, 2016.</w:t>
      </w:r>
    </w:p>
    <w:p>
      <w:pPr>
        <w:pStyle w:val="BodyText"/>
        <w:rPr>
          <w:sz w:val="22"/>
        </w:rPr>
      </w:pPr>
    </w:p>
    <w:p>
      <w:pPr>
        <w:pStyle w:val="BodyText"/>
        <w:rPr>
          <w:sz w:val="23"/>
        </w:rPr>
      </w:pPr>
    </w:p>
    <w:p>
      <w:pPr>
        <w:pStyle w:val="BodyText"/>
        <w:spacing w:line="360" w:lineRule="auto"/>
        <w:ind w:left="268" w:right="231"/>
        <w:jc w:val="both"/>
      </w:pPr>
      <w:r>
        <w:rPr/>
        <w:t>El mapa 2 muestra la expansión del área urbana en la ZMT en el 2016, se puede apreciar gráficamente en la tabla 17 que Toluca el municipio con mayor territorio con asentamientos humanos de igual modo se puede apreciar la conurbación que existe es el municipio de Metepec al sur-este y por el este la conurbación con el municipio de Lerma y este a su vez con San Mateo Atento.</w:t>
      </w:r>
    </w:p>
    <w:p>
      <w:pPr>
        <w:pStyle w:val="BodyText"/>
        <w:spacing w:line="360" w:lineRule="auto" w:before="122"/>
        <w:ind w:left="268" w:right="231"/>
        <w:jc w:val="both"/>
      </w:pPr>
      <w:r>
        <w:rPr/>
        <w:t>El municipio que refleja gráficamente y con datos un área importante de asentamientos humanos y urbanización de su territorio es Calimaya al sur-oeste  de la ZMT, dicho incremento de territorio urbanizado se debe a la autorización de 11,837 viviendas que continúan desarrollándose a través de la figura de conjunto urbano.</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before="69"/>
        <w:ind w:left="268"/>
        <w:jc w:val="both"/>
      </w:pPr>
      <w:r>
        <w:rPr/>
        <w:pict>
          <v:line style="position:absolute;mso-position-horizontal-relative:page;mso-position-vertical-relative:paragraph;z-index:6424" from="93.199997pt,-19.614155pt" to="546.799997pt,-19.614155pt" stroked="true" strokeweight=".479981pt" strokecolor="#000000">
            <w10:wrap type="none"/>
          </v:line>
        </w:pict>
      </w:r>
      <w:r>
        <w:rPr/>
        <w:t>Tabla 17. Datos del territorio urbano en los municipios de la ZMT.</w:t>
      </w:r>
    </w:p>
    <w:tbl>
      <w:tblPr>
        <w:tblW w:w="0" w:type="auto"/>
        <w:jc w:val="left"/>
        <w:tblInd w:w="26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1"/>
        <w:gridCol w:w="2119"/>
        <w:gridCol w:w="1581"/>
        <w:gridCol w:w="2351"/>
        <w:gridCol w:w="2351"/>
      </w:tblGrid>
      <w:tr>
        <w:trPr>
          <w:trHeight w:val="850" w:hRule="exact"/>
        </w:trPr>
        <w:tc>
          <w:tcPr>
            <w:tcW w:w="421" w:type="dxa"/>
            <w:shd w:val="clear" w:color="auto" w:fill="000000"/>
          </w:tcPr>
          <w:p>
            <w:pPr>
              <w:pStyle w:val="TableParagraph"/>
              <w:spacing w:before="4"/>
              <w:jc w:val="left"/>
              <w:rPr>
                <w:sz w:val="24"/>
              </w:rPr>
            </w:pPr>
          </w:p>
          <w:p>
            <w:pPr>
              <w:pStyle w:val="TableParagraph"/>
              <w:ind w:left="13"/>
              <w:rPr>
                <w:b/>
                <w:sz w:val="23"/>
              </w:rPr>
            </w:pPr>
            <w:r>
              <w:rPr>
                <w:b/>
                <w:color w:val="FFFFFF"/>
                <w:sz w:val="23"/>
              </w:rPr>
              <w:t>No.</w:t>
            </w:r>
          </w:p>
        </w:tc>
        <w:tc>
          <w:tcPr>
            <w:tcW w:w="2119" w:type="dxa"/>
            <w:shd w:val="clear" w:color="auto" w:fill="000000"/>
          </w:tcPr>
          <w:p>
            <w:pPr>
              <w:pStyle w:val="TableParagraph"/>
              <w:spacing w:before="4"/>
              <w:jc w:val="left"/>
              <w:rPr>
                <w:sz w:val="24"/>
              </w:rPr>
            </w:pPr>
          </w:p>
          <w:p>
            <w:pPr>
              <w:pStyle w:val="TableParagraph"/>
              <w:ind w:left="533"/>
              <w:jc w:val="left"/>
              <w:rPr>
                <w:b/>
                <w:sz w:val="23"/>
              </w:rPr>
            </w:pPr>
            <w:r>
              <w:rPr>
                <w:b/>
                <w:color w:val="FFFFFF"/>
                <w:sz w:val="23"/>
              </w:rPr>
              <w:t>Municipio</w:t>
            </w:r>
          </w:p>
        </w:tc>
        <w:tc>
          <w:tcPr>
            <w:tcW w:w="1581" w:type="dxa"/>
            <w:shd w:val="clear" w:color="auto" w:fill="000000"/>
          </w:tcPr>
          <w:p>
            <w:pPr>
              <w:pStyle w:val="TableParagraph"/>
              <w:spacing w:before="2"/>
              <w:jc w:val="left"/>
              <w:rPr>
                <w:sz w:val="22"/>
              </w:rPr>
            </w:pPr>
          </w:p>
          <w:p>
            <w:pPr>
              <w:pStyle w:val="TableParagraph"/>
              <w:ind w:left="66" w:right="64"/>
              <w:rPr>
                <w:b/>
                <w:sz w:val="23"/>
              </w:rPr>
            </w:pPr>
            <w:r>
              <w:rPr>
                <w:b/>
                <w:color w:val="FFFFFF"/>
                <w:sz w:val="23"/>
              </w:rPr>
              <w:t>Km</w:t>
            </w:r>
            <w:r>
              <w:rPr>
                <w:b/>
                <w:color w:val="FFFFFF"/>
                <w:position w:val="12"/>
                <w:sz w:val="16"/>
              </w:rPr>
              <w:t>2 </w:t>
            </w:r>
            <w:r>
              <w:rPr>
                <w:b/>
                <w:color w:val="FFFFFF"/>
                <w:sz w:val="23"/>
              </w:rPr>
              <w:t>urbanos</w:t>
            </w:r>
          </w:p>
        </w:tc>
        <w:tc>
          <w:tcPr>
            <w:tcW w:w="2351" w:type="dxa"/>
            <w:shd w:val="clear" w:color="auto" w:fill="000000"/>
          </w:tcPr>
          <w:p>
            <w:pPr>
              <w:pStyle w:val="TableParagraph"/>
              <w:spacing w:line="276" w:lineRule="auto" w:before="120"/>
              <w:ind w:left="141" w:firstLine="304"/>
              <w:jc w:val="left"/>
              <w:rPr>
                <w:b/>
                <w:sz w:val="23"/>
              </w:rPr>
            </w:pPr>
            <w:r>
              <w:rPr>
                <w:b/>
                <w:color w:val="FFFFFF"/>
                <w:sz w:val="23"/>
              </w:rPr>
              <w:t>% urbano del territorio municipal</w:t>
            </w:r>
          </w:p>
        </w:tc>
        <w:tc>
          <w:tcPr>
            <w:tcW w:w="2351" w:type="dxa"/>
            <w:shd w:val="clear" w:color="auto" w:fill="000000"/>
          </w:tcPr>
          <w:p>
            <w:pPr>
              <w:pStyle w:val="TableParagraph"/>
              <w:spacing w:line="276" w:lineRule="auto" w:before="120"/>
              <w:ind w:left="257" w:firstLine="217"/>
              <w:jc w:val="left"/>
              <w:rPr>
                <w:b/>
                <w:sz w:val="23"/>
              </w:rPr>
            </w:pPr>
            <w:r>
              <w:rPr>
                <w:b/>
                <w:color w:val="FFFFFF"/>
                <w:sz w:val="23"/>
              </w:rPr>
              <w:t>% urbano en relación a la ZMT</w:t>
            </w:r>
          </w:p>
        </w:tc>
      </w:tr>
      <w:tr>
        <w:trPr>
          <w:trHeight w:val="283" w:hRule="exact"/>
        </w:trPr>
        <w:tc>
          <w:tcPr>
            <w:tcW w:w="421" w:type="dxa"/>
            <w:tcBorders>
              <w:left w:val="single" w:sz="6" w:space="0" w:color="000000"/>
              <w:bottom w:val="single" w:sz="6" w:space="0" w:color="000000"/>
              <w:right w:val="single" w:sz="6" w:space="0" w:color="000000"/>
            </w:tcBorders>
          </w:tcPr>
          <w:p>
            <w:pPr>
              <w:pStyle w:val="TableParagraph"/>
              <w:spacing w:line="262" w:lineRule="exact"/>
              <w:ind w:left="21"/>
              <w:rPr>
                <w:sz w:val="23"/>
              </w:rPr>
            </w:pPr>
            <w:r>
              <w:rPr>
                <w:w w:val="100"/>
                <w:sz w:val="23"/>
              </w:rPr>
              <w:t>1</w:t>
            </w:r>
          </w:p>
        </w:tc>
        <w:tc>
          <w:tcPr>
            <w:tcW w:w="2119" w:type="dxa"/>
            <w:tcBorders>
              <w:left w:val="single" w:sz="6" w:space="0" w:color="000000"/>
              <w:bottom w:val="single" w:sz="6" w:space="0" w:color="000000"/>
              <w:right w:val="single" w:sz="6" w:space="0" w:color="000000"/>
            </w:tcBorders>
          </w:tcPr>
          <w:p>
            <w:pPr>
              <w:pStyle w:val="TableParagraph"/>
              <w:spacing w:line="262" w:lineRule="exact"/>
              <w:ind w:left="47"/>
              <w:jc w:val="left"/>
              <w:rPr>
                <w:sz w:val="23"/>
              </w:rPr>
            </w:pPr>
            <w:r>
              <w:rPr>
                <w:sz w:val="23"/>
              </w:rPr>
              <w:t>Toluca</w:t>
            </w:r>
          </w:p>
        </w:tc>
        <w:tc>
          <w:tcPr>
            <w:tcW w:w="1581" w:type="dxa"/>
            <w:tcBorders>
              <w:left w:val="single" w:sz="6" w:space="0" w:color="000000"/>
              <w:bottom w:val="single" w:sz="6" w:space="0" w:color="000000"/>
              <w:right w:val="single" w:sz="6" w:space="0" w:color="000000"/>
            </w:tcBorders>
          </w:tcPr>
          <w:p>
            <w:pPr>
              <w:pStyle w:val="TableParagraph"/>
              <w:spacing w:line="262" w:lineRule="exact"/>
              <w:ind w:left="420" w:right="402"/>
              <w:rPr>
                <w:sz w:val="23"/>
              </w:rPr>
            </w:pPr>
            <w:r>
              <w:rPr>
                <w:sz w:val="23"/>
              </w:rPr>
              <w:t>123.14</w:t>
            </w:r>
          </w:p>
        </w:tc>
        <w:tc>
          <w:tcPr>
            <w:tcW w:w="2351" w:type="dxa"/>
            <w:tcBorders>
              <w:left w:val="single" w:sz="6" w:space="0" w:color="000000"/>
              <w:bottom w:val="single" w:sz="6" w:space="0" w:color="000000"/>
              <w:right w:val="single" w:sz="6" w:space="0" w:color="000000"/>
            </w:tcBorders>
          </w:tcPr>
          <w:p>
            <w:pPr>
              <w:pStyle w:val="TableParagraph"/>
              <w:spacing w:line="262" w:lineRule="exact"/>
              <w:ind w:left="888"/>
              <w:jc w:val="left"/>
              <w:rPr>
                <w:sz w:val="23"/>
              </w:rPr>
            </w:pPr>
            <w:r>
              <w:rPr>
                <w:sz w:val="23"/>
              </w:rPr>
              <w:t>28.77</w:t>
            </w:r>
          </w:p>
        </w:tc>
        <w:tc>
          <w:tcPr>
            <w:tcW w:w="2351" w:type="dxa"/>
            <w:tcBorders>
              <w:left w:val="single" w:sz="6" w:space="0" w:color="000000"/>
              <w:bottom w:val="single" w:sz="6" w:space="0" w:color="000000"/>
              <w:right w:val="single" w:sz="6" w:space="0" w:color="000000"/>
            </w:tcBorders>
          </w:tcPr>
          <w:p>
            <w:pPr>
              <w:pStyle w:val="TableParagraph"/>
              <w:spacing w:line="262" w:lineRule="exact"/>
              <w:ind w:left="869" w:right="850"/>
              <w:rPr>
                <w:sz w:val="23"/>
              </w:rPr>
            </w:pPr>
            <w:r>
              <w:rPr>
                <w:sz w:val="23"/>
              </w:rPr>
              <w:t>41.38</w:t>
            </w:r>
          </w:p>
        </w:tc>
      </w:tr>
      <w:tr>
        <w:trPr>
          <w:trHeight w:val="291" w:hRule="exact"/>
        </w:trPr>
        <w:tc>
          <w:tcPr>
            <w:tcW w:w="421" w:type="dxa"/>
            <w:tcBorders>
              <w:top w:val="single" w:sz="6" w:space="0" w:color="000000"/>
              <w:left w:val="single" w:sz="6" w:space="0" w:color="000000"/>
              <w:bottom w:val="single" w:sz="6" w:space="0" w:color="000000"/>
              <w:right w:val="single" w:sz="6" w:space="0" w:color="000000"/>
            </w:tcBorders>
          </w:tcPr>
          <w:p>
            <w:pPr>
              <w:pStyle w:val="TableParagraph"/>
              <w:spacing w:line="261" w:lineRule="exact"/>
              <w:ind w:left="21"/>
              <w:rPr>
                <w:sz w:val="23"/>
              </w:rPr>
            </w:pPr>
            <w:r>
              <w:rPr>
                <w:w w:val="100"/>
                <w:sz w:val="23"/>
              </w:rPr>
              <w:t>2</w:t>
            </w:r>
          </w:p>
        </w:tc>
        <w:tc>
          <w:tcPr>
            <w:tcW w:w="2119" w:type="dxa"/>
            <w:tcBorders>
              <w:top w:val="single" w:sz="6" w:space="0" w:color="000000"/>
              <w:left w:val="single" w:sz="6" w:space="0" w:color="000000"/>
              <w:bottom w:val="single" w:sz="6" w:space="0" w:color="000000"/>
              <w:right w:val="single" w:sz="6" w:space="0" w:color="000000"/>
            </w:tcBorders>
          </w:tcPr>
          <w:p>
            <w:pPr>
              <w:pStyle w:val="TableParagraph"/>
              <w:spacing w:line="261" w:lineRule="exact"/>
              <w:ind w:left="47"/>
              <w:jc w:val="left"/>
              <w:rPr>
                <w:sz w:val="23"/>
              </w:rPr>
            </w:pPr>
            <w:r>
              <w:rPr>
                <w:sz w:val="23"/>
              </w:rPr>
              <w:t>Metepec</w:t>
            </w:r>
          </w:p>
        </w:tc>
        <w:tc>
          <w:tcPr>
            <w:tcW w:w="1581" w:type="dxa"/>
            <w:tcBorders>
              <w:top w:val="single" w:sz="6" w:space="0" w:color="000000"/>
              <w:left w:val="single" w:sz="6" w:space="0" w:color="000000"/>
              <w:bottom w:val="single" w:sz="6" w:space="0" w:color="000000"/>
              <w:right w:val="single" w:sz="6" w:space="0" w:color="000000"/>
            </w:tcBorders>
          </w:tcPr>
          <w:p>
            <w:pPr>
              <w:pStyle w:val="TableParagraph"/>
              <w:spacing w:line="261" w:lineRule="exact"/>
              <w:ind w:left="406" w:right="402"/>
              <w:rPr>
                <w:sz w:val="23"/>
              </w:rPr>
            </w:pPr>
            <w:r>
              <w:rPr>
                <w:sz w:val="23"/>
              </w:rPr>
              <w:t>32.93</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1" w:lineRule="exact"/>
              <w:ind w:left="888"/>
              <w:jc w:val="left"/>
              <w:rPr>
                <w:sz w:val="23"/>
              </w:rPr>
            </w:pPr>
            <w:r>
              <w:rPr>
                <w:sz w:val="23"/>
              </w:rPr>
              <w:t>48.80</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1" w:lineRule="exact"/>
              <w:ind w:left="869" w:right="850"/>
              <w:rPr>
                <w:sz w:val="23"/>
              </w:rPr>
            </w:pPr>
            <w:r>
              <w:rPr>
                <w:sz w:val="23"/>
              </w:rPr>
              <w:t>11.06</w:t>
            </w:r>
          </w:p>
        </w:tc>
      </w:tr>
      <w:tr>
        <w:trPr>
          <w:trHeight w:val="290" w:hRule="exact"/>
        </w:trPr>
        <w:tc>
          <w:tcPr>
            <w:tcW w:w="42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21"/>
              <w:rPr>
                <w:sz w:val="23"/>
              </w:rPr>
            </w:pPr>
            <w:r>
              <w:rPr>
                <w:w w:val="100"/>
                <w:sz w:val="23"/>
              </w:rPr>
              <w:t>3</w:t>
            </w:r>
          </w:p>
        </w:tc>
        <w:tc>
          <w:tcPr>
            <w:tcW w:w="2119"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47"/>
              <w:jc w:val="left"/>
              <w:rPr>
                <w:sz w:val="23"/>
              </w:rPr>
            </w:pPr>
            <w:r>
              <w:rPr>
                <w:sz w:val="23"/>
              </w:rPr>
              <w:t>Lerma</w:t>
            </w:r>
          </w:p>
        </w:tc>
        <w:tc>
          <w:tcPr>
            <w:tcW w:w="158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406" w:right="402"/>
              <w:rPr>
                <w:sz w:val="23"/>
              </w:rPr>
            </w:pPr>
            <w:r>
              <w:rPr>
                <w:sz w:val="23"/>
              </w:rPr>
              <w:t>31.26</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888"/>
              <w:jc w:val="left"/>
              <w:rPr>
                <w:sz w:val="23"/>
              </w:rPr>
            </w:pPr>
            <w:r>
              <w:rPr>
                <w:sz w:val="23"/>
              </w:rPr>
              <w:t>13.57</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869" w:right="850"/>
              <w:rPr>
                <w:sz w:val="23"/>
              </w:rPr>
            </w:pPr>
            <w:r>
              <w:rPr>
                <w:sz w:val="23"/>
              </w:rPr>
              <w:t>10.50</w:t>
            </w:r>
          </w:p>
        </w:tc>
      </w:tr>
      <w:tr>
        <w:trPr>
          <w:trHeight w:val="291" w:hRule="exact"/>
        </w:trPr>
        <w:tc>
          <w:tcPr>
            <w:tcW w:w="42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21"/>
              <w:rPr>
                <w:sz w:val="23"/>
              </w:rPr>
            </w:pPr>
            <w:r>
              <w:rPr>
                <w:w w:val="100"/>
                <w:sz w:val="23"/>
              </w:rPr>
              <w:t>4</w:t>
            </w:r>
          </w:p>
        </w:tc>
        <w:tc>
          <w:tcPr>
            <w:tcW w:w="2119"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47"/>
              <w:jc w:val="left"/>
              <w:rPr>
                <w:sz w:val="23"/>
              </w:rPr>
            </w:pPr>
            <w:r>
              <w:rPr>
                <w:sz w:val="23"/>
              </w:rPr>
              <w:t>Calimaya</w:t>
            </w:r>
          </w:p>
        </w:tc>
        <w:tc>
          <w:tcPr>
            <w:tcW w:w="158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406" w:right="402"/>
              <w:rPr>
                <w:sz w:val="23"/>
              </w:rPr>
            </w:pPr>
            <w:r>
              <w:rPr>
                <w:sz w:val="23"/>
              </w:rPr>
              <w:t>23.56</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888"/>
              <w:jc w:val="left"/>
              <w:rPr>
                <w:sz w:val="23"/>
              </w:rPr>
            </w:pPr>
            <w:r>
              <w:rPr>
                <w:sz w:val="23"/>
              </w:rPr>
              <w:t>22.96</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855" w:right="850"/>
              <w:rPr>
                <w:sz w:val="23"/>
              </w:rPr>
            </w:pPr>
            <w:r>
              <w:rPr>
                <w:sz w:val="23"/>
              </w:rPr>
              <w:t>7.92</w:t>
            </w:r>
          </w:p>
        </w:tc>
      </w:tr>
      <w:tr>
        <w:trPr>
          <w:trHeight w:val="291" w:hRule="exact"/>
        </w:trPr>
        <w:tc>
          <w:tcPr>
            <w:tcW w:w="42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21"/>
              <w:rPr>
                <w:sz w:val="23"/>
              </w:rPr>
            </w:pPr>
            <w:r>
              <w:rPr>
                <w:w w:val="100"/>
                <w:sz w:val="23"/>
              </w:rPr>
              <w:t>5</w:t>
            </w:r>
          </w:p>
        </w:tc>
        <w:tc>
          <w:tcPr>
            <w:tcW w:w="2119"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47"/>
              <w:jc w:val="left"/>
              <w:rPr>
                <w:sz w:val="23"/>
              </w:rPr>
            </w:pPr>
            <w:r>
              <w:rPr>
                <w:sz w:val="23"/>
              </w:rPr>
              <w:t>Almoloya de Juárez</w:t>
            </w:r>
          </w:p>
        </w:tc>
        <w:tc>
          <w:tcPr>
            <w:tcW w:w="158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406" w:right="402"/>
              <w:rPr>
                <w:sz w:val="23"/>
              </w:rPr>
            </w:pPr>
            <w:r>
              <w:rPr>
                <w:sz w:val="23"/>
              </w:rPr>
              <w:t>17.93</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946"/>
              <w:jc w:val="left"/>
              <w:rPr>
                <w:sz w:val="23"/>
              </w:rPr>
            </w:pPr>
            <w:r>
              <w:rPr>
                <w:sz w:val="23"/>
              </w:rPr>
              <w:t>3.75</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855" w:right="850"/>
              <w:rPr>
                <w:sz w:val="23"/>
              </w:rPr>
            </w:pPr>
            <w:r>
              <w:rPr>
                <w:sz w:val="23"/>
              </w:rPr>
              <w:t>6.02</w:t>
            </w:r>
          </w:p>
        </w:tc>
      </w:tr>
      <w:tr>
        <w:trPr>
          <w:trHeight w:val="290" w:hRule="exact"/>
        </w:trPr>
        <w:tc>
          <w:tcPr>
            <w:tcW w:w="421" w:type="dxa"/>
            <w:tcBorders>
              <w:top w:val="single" w:sz="6" w:space="0" w:color="000000"/>
              <w:left w:val="single" w:sz="6" w:space="0" w:color="000000"/>
              <w:bottom w:val="single" w:sz="6" w:space="0" w:color="000000"/>
              <w:right w:val="single" w:sz="6" w:space="0" w:color="000000"/>
            </w:tcBorders>
          </w:tcPr>
          <w:p>
            <w:pPr>
              <w:pStyle w:val="TableParagraph"/>
              <w:spacing w:line="261" w:lineRule="exact"/>
              <w:ind w:left="21"/>
              <w:rPr>
                <w:sz w:val="23"/>
              </w:rPr>
            </w:pPr>
            <w:r>
              <w:rPr>
                <w:w w:val="100"/>
                <w:sz w:val="23"/>
              </w:rPr>
              <w:t>6</w:t>
            </w:r>
          </w:p>
        </w:tc>
        <w:tc>
          <w:tcPr>
            <w:tcW w:w="2119" w:type="dxa"/>
            <w:tcBorders>
              <w:top w:val="single" w:sz="6" w:space="0" w:color="000000"/>
              <w:left w:val="single" w:sz="6" w:space="0" w:color="000000"/>
              <w:bottom w:val="single" w:sz="6" w:space="0" w:color="000000"/>
              <w:right w:val="single" w:sz="6" w:space="0" w:color="000000"/>
            </w:tcBorders>
          </w:tcPr>
          <w:p>
            <w:pPr>
              <w:pStyle w:val="TableParagraph"/>
              <w:spacing w:line="261" w:lineRule="exact"/>
              <w:ind w:left="47"/>
              <w:jc w:val="left"/>
              <w:rPr>
                <w:sz w:val="23"/>
              </w:rPr>
            </w:pPr>
            <w:r>
              <w:rPr>
                <w:sz w:val="23"/>
              </w:rPr>
              <w:t>Zinacantepec</w:t>
            </w:r>
          </w:p>
        </w:tc>
        <w:tc>
          <w:tcPr>
            <w:tcW w:w="1581" w:type="dxa"/>
            <w:tcBorders>
              <w:top w:val="single" w:sz="6" w:space="0" w:color="000000"/>
              <w:left w:val="single" w:sz="6" w:space="0" w:color="000000"/>
              <w:bottom w:val="single" w:sz="6" w:space="0" w:color="000000"/>
              <w:right w:val="single" w:sz="6" w:space="0" w:color="000000"/>
            </w:tcBorders>
          </w:tcPr>
          <w:p>
            <w:pPr>
              <w:pStyle w:val="TableParagraph"/>
              <w:spacing w:line="261" w:lineRule="exact"/>
              <w:ind w:left="406" w:right="402"/>
              <w:rPr>
                <w:sz w:val="23"/>
              </w:rPr>
            </w:pPr>
            <w:r>
              <w:rPr>
                <w:sz w:val="23"/>
              </w:rPr>
              <w:t>15.96</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1" w:lineRule="exact"/>
              <w:ind w:left="946"/>
              <w:jc w:val="left"/>
              <w:rPr>
                <w:sz w:val="23"/>
              </w:rPr>
            </w:pPr>
            <w:r>
              <w:rPr>
                <w:sz w:val="23"/>
              </w:rPr>
              <w:t>5.16</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1" w:lineRule="exact"/>
              <w:ind w:left="855" w:right="850"/>
              <w:rPr>
                <w:sz w:val="23"/>
              </w:rPr>
            </w:pPr>
            <w:r>
              <w:rPr>
                <w:sz w:val="23"/>
              </w:rPr>
              <w:t>5.36</w:t>
            </w:r>
          </w:p>
        </w:tc>
      </w:tr>
      <w:tr>
        <w:trPr>
          <w:trHeight w:val="291" w:hRule="exact"/>
        </w:trPr>
        <w:tc>
          <w:tcPr>
            <w:tcW w:w="42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21"/>
              <w:rPr>
                <w:sz w:val="23"/>
              </w:rPr>
            </w:pPr>
            <w:r>
              <w:rPr>
                <w:w w:val="100"/>
                <w:sz w:val="23"/>
              </w:rPr>
              <w:t>7</w:t>
            </w:r>
          </w:p>
        </w:tc>
        <w:tc>
          <w:tcPr>
            <w:tcW w:w="2119"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47"/>
              <w:jc w:val="left"/>
              <w:rPr>
                <w:sz w:val="23"/>
              </w:rPr>
            </w:pPr>
            <w:r>
              <w:rPr>
                <w:sz w:val="23"/>
              </w:rPr>
              <w:t>San Mateo</w:t>
            </w:r>
          </w:p>
        </w:tc>
        <w:tc>
          <w:tcPr>
            <w:tcW w:w="158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406" w:right="402"/>
              <w:rPr>
                <w:sz w:val="23"/>
              </w:rPr>
            </w:pPr>
            <w:r>
              <w:rPr>
                <w:sz w:val="23"/>
              </w:rPr>
              <w:t>12.15</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888"/>
              <w:jc w:val="left"/>
              <w:rPr>
                <w:sz w:val="23"/>
              </w:rPr>
            </w:pPr>
            <w:r>
              <w:rPr>
                <w:sz w:val="23"/>
              </w:rPr>
              <w:t>64.94</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855" w:right="850"/>
              <w:rPr>
                <w:sz w:val="23"/>
              </w:rPr>
            </w:pPr>
            <w:r>
              <w:rPr>
                <w:sz w:val="23"/>
              </w:rPr>
              <w:t>4.08</w:t>
            </w:r>
          </w:p>
        </w:tc>
      </w:tr>
      <w:tr>
        <w:trPr>
          <w:trHeight w:val="290" w:hRule="exact"/>
        </w:trPr>
        <w:tc>
          <w:tcPr>
            <w:tcW w:w="42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21"/>
              <w:rPr>
                <w:sz w:val="23"/>
              </w:rPr>
            </w:pPr>
            <w:r>
              <w:rPr>
                <w:w w:val="100"/>
                <w:sz w:val="23"/>
              </w:rPr>
              <w:t>8</w:t>
            </w:r>
          </w:p>
        </w:tc>
        <w:tc>
          <w:tcPr>
            <w:tcW w:w="2119"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47"/>
              <w:jc w:val="left"/>
              <w:rPr>
                <w:sz w:val="23"/>
              </w:rPr>
            </w:pPr>
            <w:r>
              <w:rPr>
                <w:sz w:val="23"/>
              </w:rPr>
              <w:t>Ocoyoacac</w:t>
            </w:r>
          </w:p>
        </w:tc>
        <w:tc>
          <w:tcPr>
            <w:tcW w:w="158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420" w:right="401"/>
              <w:rPr>
                <w:sz w:val="23"/>
              </w:rPr>
            </w:pPr>
            <w:r>
              <w:rPr>
                <w:sz w:val="23"/>
              </w:rPr>
              <w:t>8.52</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946"/>
              <w:jc w:val="left"/>
              <w:rPr>
                <w:sz w:val="23"/>
              </w:rPr>
            </w:pPr>
            <w:r>
              <w:rPr>
                <w:sz w:val="23"/>
              </w:rPr>
              <w:t>6.20</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855" w:right="850"/>
              <w:rPr>
                <w:sz w:val="23"/>
              </w:rPr>
            </w:pPr>
            <w:r>
              <w:rPr>
                <w:sz w:val="23"/>
              </w:rPr>
              <w:t>2.86</w:t>
            </w:r>
          </w:p>
        </w:tc>
      </w:tr>
      <w:tr>
        <w:trPr>
          <w:trHeight w:val="291" w:hRule="exact"/>
        </w:trPr>
        <w:tc>
          <w:tcPr>
            <w:tcW w:w="42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21"/>
              <w:rPr>
                <w:sz w:val="23"/>
              </w:rPr>
            </w:pPr>
            <w:r>
              <w:rPr>
                <w:w w:val="100"/>
                <w:sz w:val="23"/>
              </w:rPr>
              <w:t>9</w:t>
            </w:r>
          </w:p>
        </w:tc>
        <w:tc>
          <w:tcPr>
            <w:tcW w:w="2119"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47"/>
              <w:jc w:val="left"/>
              <w:rPr>
                <w:sz w:val="23"/>
              </w:rPr>
            </w:pPr>
            <w:r>
              <w:rPr>
                <w:sz w:val="23"/>
              </w:rPr>
              <w:t>Temoaya</w:t>
            </w:r>
          </w:p>
        </w:tc>
        <w:tc>
          <w:tcPr>
            <w:tcW w:w="158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420" w:right="401"/>
              <w:rPr>
                <w:sz w:val="23"/>
              </w:rPr>
            </w:pPr>
            <w:r>
              <w:rPr>
                <w:sz w:val="23"/>
              </w:rPr>
              <w:t>8.03</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946"/>
              <w:jc w:val="left"/>
              <w:rPr>
                <w:sz w:val="23"/>
              </w:rPr>
            </w:pPr>
            <w:r>
              <w:rPr>
                <w:sz w:val="23"/>
              </w:rPr>
              <w:t>4.29</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855" w:right="850"/>
              <w:rPr>
                <w:sz w:val="23"/>
              </w:rPr>
            </w:pPr>
            <w:r>
              <w:rPr>
                <w:sz w:val="23"/>
              </w:rPr>
              <w:t>2.70</w:t>
            </w:r>
          </w:p>
        </w:tc>
      </w:tr>
      <w:tr>
        <w:trPr>
          <w:trHeight w:val="291" w:hRule="exact"/>
        </w:trPr>
        <w:tc>
          <w:tcPr>
            <w:tcW w:w="421" w:type="dxa"/>
            <w:tcBorders>
              <w:top w:val="single" w:sz="6" w:space="0" w:color="000000"/>
              <w:left w:val="single" w:sz="6" w:space="0" w:color="000000"/>
              <w:bottom w:val="single" w:sz="6" w:space="0" w:color="000000"/>
              <w:right w:val="single" w:sz="6" w:space="0" w:color="000000"/>
            </w:tcBorders>
          </w:tcPr>
          <w:p>
            <w:pPr>
              <w:pStyle w:val="TableParagraph"/>
              <w:spacing w:line="261" w:lineRule="exact"/>
              <w:ind w:left="58" w:right="52"/>
              <w:rPr>
                <w:sz w:val="23"/>
              </w:rPr>
            </w:pPr>
            <w:r>
              <w:rPr>
                <w:sz w:val="23"/>
              </w:rPr>
              <w:t>10</w:t>
            </w:r>
          </w:p>
        </w:tc>
        <w:tc>
          <w:tcPr>
            <w:tcW w:w="2119" w:type="dxa"/>
            <w:tcBorders>
              <w:top w:val="single" w:sz="6" w:space="0" w:color="000000"/>
              <w:left w:val="single" w:sz="6" w:space="0" w:color="000000"/>
              <w:bottom w:val="single" w:sz="6" w:space="0" w:color="000000"/>
              <w:right w:val="single" w:sz="6" w:space="0" w:color="000000"/>
            </w:tcBorders>
          </w:tcPr>
          <w:p>
            <w:pPr>
              <w:pStyle w:val="TableParagraph"/>
              <w:spacing w:line="261" w:lineRule="exact"/>
              <w:ind w:left="47"/>
              <w:jc w:val="left"/>
              <w:rPr>
                <w:sz w:val="23"/>
              </w:rPr>
            </w:pPr>
            <w:r>
              <w:rPr>
                <w:sz w:val="23"/>
              </w:rPr>
              <w:t>San Antonio</w:t>
            </w:r>
          </w:p>
        </w:tc>
        <w:tc>
          <w:tcPr>
            <w:tcW w:w="1581" w:type="dxa"/>
            <w:tcBorders>
              <w:top w:val="single" w:sz="6" w:space="0" w:color="000000"/>
              <w:left w:val="single" w:sz="6" w:space="0" w:color="000000"/>
              <w:bottom w:val="single" w:sz="6" w:space="0" w:color="000000"/>
              <w:right w:val="single" w:sz="6" w:space="0" w:color="000000"/>
            </w:tcBorders>
          </w:tcPr>
          <w:p>
            <w:pPr>
              <w:pStyle w:val="TableParagraph"/>
              <w:spacing w:line="261" w:lineRule="exact"/>
              <w:ind w:left="420" w:right="401"/>
              <w:rPr>
                <w:sz w:val="23"/>
              </w:rPr>
            </w:pPr>
            <w:r>
              <w:rPr>
                <w:sz w:val="23"/>
              </w:rPr>
              <w:t>5.80</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1" w:lineRule="exact"/>
              <w:ind w:left="888"/>
              <w:jc w:val="left"/>
              <w:rPr>
                <w:sz w:val="23"/>
              </w:rPr>
            </w:pPr>
            <w:r>
              <w:rPr>
                <w:sz w:val="23"/>
              </w:rPr>
              <w:t>23.04</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1" w:lineRule="exact"/>
              <w:ind w:left="855" w:right="850"/>
              <w:rPr>
                <w:sz w:val="23"/>
              </w:rPr>
            </w:pPr>
            <w:r>
              <w:rPr>
                <w:sz w:val="23"/>
              </w:rPr>
              <w:t>1.95</w:t>
            </w:r>
          </w:p>
        </w:tc>
      </w:tr>
      <w:tr>
        <w:trPr>
          <w:trHeight w:val="290" w:hRule="exact"/>
        </w:trPr>
        <w:tc>
          <w:tcPr>
            <w:tcW w:w="42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58" w:right="52"/>
              <w:rPr>
                <w:sz w:val="23"/>
              </w:rPr>
            </w:pPr>
            <w:r>
              <w:rPr>
                <w:sz w:val="23"/>
              </w:rPr>
              <w:t>11</w:t>
            </w:r>
          </w:p>
        </w:tc>
        <w:tc>
          <w:tcPr>
            <w:tcW w:w="2119"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47"/>
              <w:jc w:val="left"/>
              <w:rPr>
                <w:sz w:val="23"/>
              </w:rPr>
            </w:pPr>
            <w:r>
              <w:rPr>
                <w:sz w:val="23"/>
              </w:rPr>
              <w:t>Rayón</w:t>
            </w:r>
          </w:p>
        </w:tc>
        <w:tc>
          <w:tcPr>
            <w:tcW w:w="158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420" w:right="401"/>
              <w:rPr>
                <w:sz w:val="23"/>
              </w:rPr>
            </w:pPr>
            <w:r>
              <w:rPr>
                <w:sz w:val="23"/>
              </w:rPr>
              <w:t>5.17</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888"/>
              <w:jc w:val="left"/>
              <w:rPr>
                <w:sz w:val="23"/>
              </w:rPr>
            </w:pPr>
            <w:r>
              <w:rPr>
                <w:sz w:val="23"/>
              </w:rPr>
              <w:t>22.71</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855" w:right="850"/>
              <w:rPr>
                <w:sz w:val="23"/>
              </w:rPr>
            </w:pPr>
            <w:r>
              <w:rPr>
                <w:sz w:val="23"/>
              </w:rPr>
              <w:t>1.74</w:t>
            </w:r>
          </w:p>
        </w:tc>
      </w:tr>
      <w:tr>
        <w:trPr>
          <w:trHeight w:val="291" w:hRule="exact"/>
        </w:trPr>
        <w:tc>
          <w:tcPr>
            <w:tcW w:w="42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58" w:right="52"/>
              <w:rPr>
                <w:sz w:val="23"/>
              </w:rPr>
            </w:pPr>
            <w:r>
              <w:rPr>
                <w:sz w:val="23"/>
              </w:rPr>
              <w:t>12</w:t>
            </w:r>
          </w:p>
        </w:tc>
        <w:tc>
          <w:tcPr>
            <w:tcW w:w="2119"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47"/>
              <w:jc w:val="left"/>
              <w:rPr>
                <w:sz w:val="23"/>
              </w:rPr>
            </w:pPr>
            <w:r>
              <w:rPr>
                <w:sz w:val="23"/>
              </w:rPr>
              <w:t>Xonacatlán</w:t>
            </w:r>
          </w:p>
        </w:tc>
        <w:tc>
          <w:tcPr>
            <w:tcW w:w="158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420" w:right="401"/>
              <w:rPr>
                <w:sz w:val="23"/>
              </w:rPr>
            </w:pPr>
            <w:r>
              <w:rPr>
                <w:sz w:val="23"/>
              </w:rPr>
              <w:t>4.90</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946"/>
              <w:jc w:val="left"/>
              <w:rPr>
                <w:sz w:val="23"/>
              </w:rPr>
            </w:pPr>
            <w:r>
              <w:rPr>
                <w:sz w:val="23"/>
              </w:rPr>
              <w:t>9.17</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855" w:right="850"/>
              <w:rPr>
                <w:sz w:val="23"/>
              </w:rPr>
            </w:pPr>
            <w:r>
              <w:rPr>
                <w:sz w:val="23"/>
              </w:rPr>
              <w:t>1.65</w:t>
            </w:r>
          </w:p>
        </w:tc>
      </w:tr>
      <w:tr>
        <w:trPr>
          <w:trHeight w:val="291" w:hRule="exact"/>
        </w:trPr>
        <w:tc>
          <w:tcPr>
            <w:tcW w:w="42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58" w:right="52"/>
              <w:rPr>
                <w:sz w:val="23"/>
              </w:rPr>
            </w:pPr>
            <w:r>
              <w:rPr>
                <w:sz w:val="23"/>
              </w:rPr>
              <w:t>13</w:t>
            </w:r>
          </w:p>
        </w:tc>
        <w:tc>
          <w:tcPr>
            <w:tcW w:w="2119"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47"/>
              <w:jc w:val="left"/>
              <w:rPr>
                <w:sz w:val="23"/>
              </w:rPr>
            </w:pPr>
            <w:r>
              <w:rPr>
                <w:sz w:val="23"/>
              </w:rPr>
              <w:t>Otzolotepec</w:t>
            </w:r>
          </w:p>
        </w:tc>
        <w:tc>
          <w:tcPr>
            <w:tcW w:w="158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420" w:right="401"/>
              <w:rPr>
                <w:sz w:val="23"/>
              </w:rPr>
            </w:pPr>
            <w:r>
              <w:rPr>
                <w:sz w:val="23"/>
              </w:rPr>
              <w:t>4.83</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946"/>
              <w:jc w:val="left"/>
              <w:rPr>
                <w:sz w:val="23"/>
              </w:rPr>
            </w:pPr>
            <w:r>
              <w:rPr>
                <w:sz w:val="23"/>
              </w:rPr>
              <w:t>4.30</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855" w:right="850"/>
              <w:rPr>
                <w:sz w:val="23"/>
              </w:rPr>
            </w:pPr>
            <w:r>
              <w:rPr>
                <w:sz w:val="23"/>
              </w:rPr>
              <w:t>1.62</w:t>
            </w:r>
          </w:p>
        </w:tc>
      </w:tr>
      <w:tr>
        <w:trPr>
          <w:trHeight w:val="290" w:hRule="exact"/>
        </w:trPr>
        <w:tc>
          <w:tcPr>
            <w:tcW w:w="42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58" w:right="52"/>
              <w:rPr>
                <w:sz w:val="23"/>
              </w:rPr>
            </w:pPr>
            <w:r>
              <w:rPr>
                <w:sz w:val="23"/>
              </w:rPr>
              <w:t>14</w:t>
            </w:r>
          </w:p>
        </w:tc>
        <w:tc>
          <w:tcPr>
            <w:tcW w:w="2119"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47"/>
              <w:jc w:val="left"/>
              <w:rPr>
                <w:sz w:val="23"/>
              </w:rPr>
            </w:pPr>
            <w:r>
              <w:rPr>
                <w:sz w:val="23"/>
              </w:rPr>
              <w:t>Mexicaltzingo</w:t>
            </w:r>
          </w:p>
        </w:tc>
        <w:tc>
          <w:tcPr>
            <w:tcW w:w="158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420" w:right="401"/>
              <w:rPr>
                <w:sz w:val="23"/>
              </w:rPr>
            </w:pPr>
            <w:r>
              <w:rPr>
                <w:sz w:val="23"/>
              </w:rPr>
              <w:t>2.16</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888"/>
              <w:jc w:val="left"/>
              <w:rPr>
                <w:sz w:val="23"/>
              </w:rPr>
            </w:pPr>
            <w:r>
              <w:rPr>
                <w:sz w:val="23"/>
              </w:rPr>
              <w:t>19.13</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855" w:right="850"/>
              <w:rPr>
                <w:sz w:val="23"/>
              </w:rPr>
            </w:pPr>
            <w:r>
              <w:rPr>
                <w:sz w:val="23"/>
              </w:rPr>
              <w:t>0.72</w:t>
            </w:r>
          </w:p>
        </w:tc>
      </w:tr>
      <w:tr>
        <w:trPr>
          <w:trHeight w:val="287" w:hRule="exact"/>
        </w:trPr>
        <w:tc>
          <w:tcPr>
            <w:tcW w:w="42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58" w:right="52"/>
              <w:rPr>
                <w:sz w:val="23"/>
              </w:rPr>
            </w:pPr>
            <w:r>
              <w:rPr>
                <w:sz w:val="23"/>
              </w:rPr>
              <w:t>15</w:t>
            </w:r>
          </w:p>
        </w:tc>
        <w:tc>
          <w:tcPr>
            <w:tcW w:w="2119"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47"/>
              <w:jc w:val="left"/>
              <w:rPr>
                <w:sz w:val="23"/>
              </w:rPr>
            </w:pPr>
            <w:r>
              <w:rPr>
                <w:sz w:val="23"/>
              </w:rPr>
              <w:t>Chapultepec</w:t>
            </w:r>
          </w:p>
        </w:tc>
        <w:tc>
          <w:tcPr>
            <w:tcW w:w="158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420" w:right="401"/>
              <w:rPr>
                <w:sz w:val="23"/>
              </w:rPr>
            </w:pPr>
            <w:r>
              <w:rPr>
                <w:sz w:val="23"/>
              </w:rPr>
              <w:t>1.29</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888"/>
              <w:jc w:val="left"/>
              <w:rPr>
                <w:sz w:val="23"/>
              </w:rPr>
            </w:pPr>
            <w:r>
              <w:rPr>
                <w:sz w:val="23"/>
              </w:rPr>
              <w:t>10.80</w:t>
            </w:r>
          </w:p>
        </w:tc>
        <w:tc>
          <w:tcPr>
            <w:tcW w:w="2351" w:type="dxa"/>
            <w:tcBorders>
              <w:top w:val="single" w:sz="6" w:space="0" w:color="000000"/>
              <w:left w:val="single" w:sz="6" w:space="0" w:color="000000"/>
              <w:bottom w:val="single" w:sz="6" w:space="0" w:color="000000"/>
              <w:right w:val="single" w:sz="6" w:space="0" w:color="000000"/>
            </w:tcBorders>
          </w:tcPr>
          <w:p>
            <w:pPr>
              <w:pStyle w:val="TableParagraph"/>
              <w:spacing w:line="262" w:lineRule="exact"/>
              <w:ind w:left="855" w:right="850"/>
              <w:rPr>
                <w:sz w:val="23"/>
              </w:rPr>
            </w:pPr>
            <w:r>
              <w:rPr>
                <w:sz w:val="23"/>
              </w:rPr>
              <w:t>0.43</w:t>
            </w:r>
          </w:p>
        </w:tc>
      </w:tr>
      <w:tr>
        <w:trPr>
          <w:trHeight w:val="305" w:hRule="exact"/>
        </w:trPr>
        <w:tc>
          <w:tcPr>
            <w:tcW w:w="2540" w:type="dxa"/>
            <w:gridSpan w:val="2"/>
            <w:tcBorders>
              <w:top w:val="single" w:sz="6" w:space="0" w:color="000000"/>
              <w:left w:val="single" w:sz="6" w:space="0" w:color="000000"/>
              <w:bottom w:val="single" w:sz="6" w:space="0" w:color="000000"/>
              <w:right w:val="single" w:sz="6" w:space="0" w:color="000000"/>
            </w:tcBorders>
          </w:tcPr>
          <w:p>
            <w:pPr>
              <w:pStyle w:val="TableParagraph"/>
              <w:ind w:left="993" w:right="979"/>
              <w:rPr>
                <w:sz w:val="23"/>
              </w:rPr>
            </w:pPr>
            <w:r>
              <w:rPr>
                <w:sz w:val="23"/>
              </w:rPr>
              <w:t>Total</w:t>
            </w:r>
          </w:p>
        </w:tc>
        <w:tc>
          <w:tcPr>
            <w:tcW w:w="1581" w:type="dxa"/>
            <w:tcBorders>
              <w:top w:val="single" w:sz="6" w:space="0" w:color="000000"/>
              <w:left w:val="single" w:sz="6" w:space="0" w:color="000000"/>
              <w:bottom w:val="single" w:sz="6" w:space="0" w:color="000000"/>
              <w:right w:val="single" w:sz="6" w:space="0" w:color="000000"/>
            </w:tcBorders>
          </w:tcPr>
          <w:p>
            <w:pPr>
              <w:pStyle w:val="TableParagraph"/>
              <w:ind w:left="420" w:right="402"/>
              <w:rPr>
                <w:sz w:val="23"/>
              </w:rPr>
            </w:pPr>
            <w:r>
              <w:rPr>
                <w:sz w:val="23"/>
              </w:rPr>
              <w:t>297.62</w:t>
            </w:r>
          </w:p>
        </w:tc>
        <w:tc>
          <w:tcPr>
            <w:tcW w:w="4702" w:type="dxa"/>
            <w:gridSpan w:val="2"/>
            <w:tcBorders>
              <w:top w:val="single" w:sz="6" w:space="0" w:color="000000"/>
              <w:left w:val="single" w:sz="6" w:space="0" w:color="000000"/>
            </w:tcBorders>
          </w:tcPr>
          <w:p>
            <w:pPr/>
          </w:p>
        </w:tc>
      </w:tr>
    </w:tbl>
    <w:p>
      <w:pPr>
        <w:pStyle w:val="BodyText"/>
        <w:spacing w:before="5"/>
      </w:pPr>
    </w:p>
    <w:p>
      <w:pPr>
        <w:spacing w:line="376" w:lineRule="auto" w:before="1"/>
        <w:ind w:left="268" w:right="241" w:firstLine="0"/>
        <w:jc w:val="left"/>
        <w:rPr>
          <w:sz w:val="21"/>
        </w:rPr>
      </w:pPr>
      <w:r>
        <w:rPr>
          <w:w w:val="105"/>
          <w:sz w:val="21"/>
        </w:rPr>
        <w:t>Fuente: Elaboración propia con base análisis de clasificación de usos de suelo, INEGI, 2016.</w:t>
      </w:r>
    </w:p>
    <w:p>
      <w:pPr>
        <w:pStyle w:val="BodyText"/>
        <w:spacing w:line="360" w:lineRule="auto" w:before="110"/>
        <w:ind w:left="268" w:right="231"/>
        <w:jc w:val="both"/>
      </w:pPr>
      <w:r>
        <w:rPr/>
        <w:t>Camilaya ocupa el lugar número cuatro de los quince municipios de la ZMT con mayor porcentaje de territorio urbano de la superficie total del municipio como se puede apreciar en la tabla 17. Asimismo, los municipios con mayor porcentaje de territorio urbano son Toluca, Metepec y Lerma, en lo que respecta al municipio de Lerma éste último ubicado al Este de la ZMT y solo colinda con Toluca por lo que para el estudio es de mayor interés el municipio de Calimaya.</w:t>
      </w:r>
    </w:p>
    <w:p>
      <w:pPr>
        <w:pStyle w:val="BodyText"/>
        <w:spacing w:line="360" w:lineRule="auto" w:before="122"/>
        <w:ind w:left="268" w:right="231"/>
        <w:jc w:val="both"/>
      </w:pPr>
      <w:r>
        <w:rPr/>
        <w:t>El municipio de Calimaya comezó siendo atractivo para los desarrolladores inmobiliarios locales y nacionales, como grupo ZERO, GEO, Homex y Urbi respectivamente, el principal potencial del municipio empezó siendo el precio de metro cuadrado de la tierra y la conectividad con Metepec y Toluca, a través de la vialidad primaria. En comparación con Metepec donde la escasa tierra disponible incremento su precio por metro cuadrado por el desarrollo de proyectos habitacionales en condominio, es decir vivienda formal en proyectos menores a 60 viviendas, propiedades de tipo residencial que han generado mayor   especulación</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6448" from="93.199997pt,-19.614155pt" to="546.799997pt,-19.614155pt" stroked="true" strokeweight=".479981pt" strokecolor="#000000">
            <w10:wrap type="none"/>
          </v:line>
        </w:pict>
      </w:r>
      <w:r>
        <w:rPr/>
        <w:t>e incrementó del costo de la tierra lo cuál es menos atractivo para el desarrollo de conjuntos urbanos de tipo interés social, popular o medio, siendo los de mayor rentabilidad los de tipo residencial y residencial alto, los cuales son desarrollos menores a las 30 viviendas.</w:t>
      </w:r>
    </w:p>
    <w:p>
      <w:pPr>
        <w:pStyle w:val="BodyText"/>
        <w:spacing w:line="360" w:lineRule="auto" w:before="127"/>
        <w:ind w:left="268" w:right="231"/>
        <w:jc w:val="both"/>
      </w:pPr>
      <w:r>
        <w:rPr/>
        <w:t>Las características de los usos de suelo en Calimaya contemplan menor número de zonas industriales de tipo contaminate (estas zonas industriales se ubican al norte de la ZMT), este es un factor relevante para el impulso de proyectos habitacionales de tipo popular, medio y residencial por lo que los desarrolladores inmobiliarios utilizan la mercadotecnia para promover viviendas con calidad de  vida en armonía con la naturaleza y el campo, una de las proyecciones de  mercado más recurrentes por las empresas que participan en Metepec y  Calimaya.</w:t>
      </w:r>
    </w:p>
    <w:p>
      <w:pPr>
        <w:pStyle w:val="BodyText"/>
        <w:spacing w:line="360" w:lineRule="auto" w:before="122"/>
        <w:ind w:left="268" w:right="231"/>
        <w:jc w:val="both"/>
      </w:pPr>
      <w:r>
        <w:rPr/>
        <w:t>Un factor más de importancia para seleccionar Calimaya es la vigencia en la autorización y ejecución de los conjuntos urbanos que existen adicionalmente éstos se encuentran mejor pocicionados en el mercado en relación con los conjuntos urbanos de otros municipios de la ZMT, este fenómeno se da por la cercanía con el municipio de Metepec el cual cuenta con servicios y comercios más atractivos que en otros municipios de la</w:t>
      </w:r>
      <w:r>
        <w:rPr>
          <w:spacing w:val="-3"/>
        </w:rPr>
        <w:t> </w:t>
      </w:r>
      <w:r>
        <w:rPr/>
        <w:t>ZMT.</w:t>
      </w:r>
    </w:p>
    <w:p>
      <w:pPr>
        <w:pStyle w:val="BodyText"/>
        <w:spacing w:line="360" w:lineRule="auto" w:before="122"/>
        <w:ind w:left="268" w:right="231"/>
        <w:jc w:val="both"/>
      </w:pPr>
      <w:r>
        <w:rPr/>
        <w:t>La vigencia en la ejecución de los conjuntos urbanos en Calimaya ha permitido a los desarrolladores inmobiliarios “corregir” errores que han realizado (en años posteriores a las autorizaciones en Calimaya), en proyectos habitacionales en  otros municipios de la ZMT, Estado e incluso a nivel nacional. Y con ello los conjuntos urbanos en Calimaya cuentan con mejor diseño urbano, estilo arquitectónico, urbanizaciones de mejor calidad, equipamiento y áreas verdes que solo se encuentran en proyectos habitacionales de más de sesenta viviendas.</w:t>
      </w:r>
    </w:p>
    <w:p>
      <w:pPr>
        <w:spacing w:after="0" w:line="360" w:lineRule="auto"/>
        <w:jc w:val="both"/>
        <w:sectPr>
          <w:pgSz w:w="12240" w:h="15840"/>
          <w:pgMar w:header="730" w:footer="1066" w:top="1320" w:bottom="1260" w:left="1720" w:right="1180"/>
        </w:sectPr>
      </w:pPr>
    </w:p>
    <w:p>
      <w:pPr>
        <w:pStyle w:val="BodyText"/>
        <w:spacing w:before="1"/>
        <w:rPr>
          <w:sz w:val="18"/>
        </w:rPr>
      </w:pPr>
    </w:p>
    <w:p>
      <w:pPr>
        <w:spacing w:before="78"/>
        <w:ind w:left="268" w:right="0" w:firstLine="0"/>
        <w:jc w:val="both"/>
        <w:rPr>
          <w:sz w:val="21"/>
        </w:rPr>
      </w:pPr>
      <w:r>
        <w:rPr/>
        <w:drawing>
          <wp:anchor distT="0" distB="0" distL="0" distR="0" allowOverlap="1" layoutInCell="1" locked="0" behindDoc="0" simplePos="0" relativeHeight="6472">
            <wp:simplePos x="0" y="0"/>
            <wp:positionH relativeFrom="page">
              <wp:posOffset>1264030</wp:posOffset>
            </wp:positionH>
            <wp:positionV relativeFrom="paragraph">
              <wp:posOffset>221854</wp:posOffset>
            </wp:positionV>
            <wp:extent cx="5630716" cy="4301109"/>
            <wp:effectExtent l="0" t="0" r="0" b="0"/>
            <wp:wrapTopAndBottom/>
            <wp:docPr id="21" name="image42.jpeg" descr=""/>
            <wp:cNvGraphicFramePr>
              <a:graphicFrameLocks noChangeAspect="1"/>
            </wp:cNvGraphicFramePr>
            <a:graphic>
              <a:graphicData uri="http://schemas.openxmlformats.org/drawingml/2006/picture">
                <pic:pic>
                  <pic:nvPicPr>
                    <pic:cNvPr id="22" name="image42.jpeg"/>
                    <pic:cNvPicPr/>
                  </pic:nvPicPr>
                  <pic:blipFill>
                    <a:blip r:embed="rId105" cstate="print"/>
                    <a:stretch>
                      <a:fillRect/>
                    </a:stretch>
                  </pic:blipFill>
                  <pic:spPr>
                    <a:xfrm>
                      <a:off x="0" y="0"/>
                      <a:ext cx="5630716" cy="4301109"/>
                    </a:xfrm>
                    <a:prstGeom prst="rect">
                      <a:avLst/>
                    </a:prstGeom>
                  </pic:spPr>
                </pic:pic>
              </a:graphicData>
            </a:graphic>
          </wp:anchor>
        </w:drawing>
      </w:r>
      <w:r>
        <w:rPr/>
        <w:pict>
          <v:line style="position:absolute;mso-position-horizontal-relative:page;mso-position-vertical-relative:paragraph;z-index:6520" from="93.199997pt,-19.611116pt" to="546.799997pt,-19.611116pt" stroked="true" strokeweight=".479981pt" strokecolor="#000000">
            <w10:wrap type="none"/>
          </v:line>
        </w:pict>
      </w:r>
      <w:r>
        <w:rPr>
          <w:w w:val="105"/>
          <w:sz w:val="21"/>
        </w:rPr>
        <w:t>Mapa 3. Ubicación de la Zona Metropolitana de Toluca.</w:t>
      </w:r>
    </w:p>
    <w:p>
      <w:pPr>
        <w:spacing w:before="78"/>
        <w:ind w:left="268" w:right="0" w:firstLine="0"/>
        <w:jc w:val="both"/>
        <w:rPr>
          <w:sz w:val="21"/>
        </w:rPr>
      </w:pPr>
      <w:r>
        <w:rPr>
          <w:w w:val="105"/>
          <w:sz w:val="21"/>
        </w:rPr>
        <w:t>Fuente: Elaboración propia con base en INEGI, 2016.</w:t>
      </w:r>
    </w:p>
    <w:p>
      <w:pPr>
        <w:pStyle w:val="BodyText"/>
        <w:spacing w:before="2"/>
        <w:rPr>
          <w:sz w:val="21"/>
        </w:rPr>
      </w:pPr>
    </w:p>
    <w:p>
      <w:pPr>
        <w:pStyle w:val="BodyText"/>
        <w:spacing w:line="355" w:lineRule="auto"/>
        <w:ind w:left="268" w:right="231"/>
        <w:jc w:val="both"/>
      </w:pPr>
      <w:r>
        <w:rPr/>
        <w:t>La colindancia con los municipios de Toluca y Metepec se encuentran en proceso de consolidación urbana, adicionalmente las características de ordenamiento territorial que considera su plan de desarrollo urbano municipal y en específico los usos de suelo que se incluyen en el plano de estrategias marcado como E2</w:t>
      </w:r>
      <w:r>
        <w:rPr>
          <w:position w:val="11"/>
          <w:sz w:val="16"/>
        </w:rPr>
        <w:t>8</w:t>
      </w:r>
      <w:r>
        <w:rPr/>
        <w:t>, los cuales contempla usos habitacionales de tipo popular, medio y residencial, destacando que solo presenta un polígono para el desarrollo de vivienda  de interés social.</w:t>
      </w:r>
    </w:p>
    <w:p>
      <w:pPr>
        <w:pStyle w:val="BodyText"/>
        <w:spacing w:line="360" w:lineRule="auto" w:before="133"/>
        <w:ind w:left="268" w:right="231"/>
        <w:jc w:val="both"/>
      </w:pPr>
      <w:r>
        <w:rPr/>
        <w:t>Se realizó la depuración de las bases de datos obtenidas y realizadas en la investigación de campo y gabinete, con el análisis realizado se buscó conocer</w:t>
      </w:r>
    </w:p>
    <w:p>
      <w:pPr>
        <w:pStyle w:val="BodyText"/>
        <w:rPr>
          <w:sz w:val="18"/>
        </w:rPr>
      </w:pPr>
      <w:r>
        <w:rPr/>
        <w:pict>
          <v:line style="position:absolute;mso-position-horizontal-relative:page;mso-position-vertical-relative:paragraph;z-index:6496;mso-wrap-distance-left:0;mso-wrap-distance-right:0" from="99.440002pt,12.593898pt" to="243.440002pt,12.593898pt" stroked="true" strokeweight=".480003pt" strokecolor="#000000">
            <w10:wrap type="topAndBottom"/>
          </v:line>
        </w:pict>
      </w:r>
    </w:p>
    <w:p>
      <w:pPr>
        <w:pStyle w:val="BodyText"/>
        <w:spacing w:before="1"/>
      </w:pPr>
    </w:p>
    <w:p>
      <w:pPr>
        <w:spacing w:line="252" w:lineRule="auto" w:before="82"/>
        <w:ind w:left="268" w:right="231" w:firstLine="0"/>
        <w:jc w:val="both"/>
        <w:rPr>
          <w:sz w:val="19"/>
        </w:rPr>
      </w:pPr>
      <w:r>
        <w:rPr>
          <w:w w:val="105"/>
          <w:sz w:val="16"/>
        </w:rPr>
        <w:t>8 </w:t>
      </w:r>
      <w:r>
        <w:rPr>
          <w:w w:val="105"/>
          <w:sz w:val="19"/>
        </w:rPr>
        <w:t>El plano E2 refiere a la estructura urbana y usos del suelo del municipio de Calimaya forma parte de los seis planos de estrategia que considera el plan de desarrollo urbano municipal actual de fecha abril 2011.</w:t>
      </w:r>
    </w:p>
    <w:p>
      <w:pPr>
        <w:spacing w:after="0" w:line="252" w:lineRule="auto"/>
        <w:jc w:val="both"/>
        <w:rPr>
          <w:sz w:val="19"/>
        </w:rPr>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6568" from="93.199997pt,-19.614155pt" to="546.799997pt,-19.614155pt" stroked="true" strokeweight=".479981pt" strokecolor="#000000">
            <w10:wrap type="none"/>
          </v:line>
        </w:pict>
      </w:r>
      <w:r>
        <w:rPr/>
        <w:t>datos generales del municipio, características territoriales, estadísticas de pertinencia, así como de relevancia para el estudio.</w:t>
      </w:r>
    </w:p>
    <w:p>
      <w:pPr>
        <w:pStyle w:val="BodyText"/>
        <w:spacing w:line="360" w:lineRule="auto" w:before="122"/>
        <w:ind w:left="268" w:right="231"/>
        <w:jc w:val="both"/>
      </w:pPr>
      <w:r>
        <w:rPr/>
        <w:t>La investigación realizada mostró un universo de diferentes proyectos habitacionales los cuales son clasificados con base en la normatividad, en proyectos habitacionales en condominio, subdivisiones y conjuntos urbanos de  tipo mixto dentro, clasificados en; vivienda, servicios básicos y/o comercio. Los conjuntos urbanos en el municipio en su mayoría son de tipo medio, pero también existen de tipo interés social, popular y residencial, por lo que la muestra para el análisis de la metodología fue representativa en el municipio al contar con tres principales tipos de desarrollos habitacionales, que existen en los municipios de la ZMT y en el Estado de</w:t>
      </w:r>
      <w:r>
        <w:rPr>
          <w:spacing w:val="-1"/>
        </w:rPr>
        <w:t> </w:t>
      </w:r>
      <w:r>
        <w:rPr/>
        <w:t>México.</w:t>
      </w:r>
    </w:p>
    <w:p>
      <w:pPr>
        <w:spacing w:before="131"/>
        <w:ind w:left="268" w:right="0" w:firstLine="0"/>
        <w:jc w:val="both"/>
        <w:rPr>
          <w:sz w:val="21"/>
        </w:rPr>
      </w:pPr>
      <w:r>
        <w:rPr>
          <w:w w:val="105"/>
          <w:sz w:val="21"/>
        </w:rPr>
        <w:t>Mapa 4. Ubicación del municipio de Calimaya.</w:t>
      </w:r>
    </w:p>
    <w:p>
      <w:pPr>
        <w:pStyle w:val="BodyText"/>
        <w:spacing w:before="6"/>
        <w:rPr>
          <w:sz w:val="16"/>
        </w:rPr>
      </w:pPr>
      <w:r>
        <w:rPr/>
        <w:drawing>
          <wp:anchor distT="0" distB="0" distL="0" distR="0" allowOverlap="1" layoutInCell="1" locked="0" behindDoc="0" simplePos="0" relativeHeight="6544">
            <wp:simplePos x="0" y="0"/>
            <wp:positionH relativeFrom="page">
              <wp:posOffset>1261491</wp:posOffset>
            </wp:positionH>
            <wp:positionV relativeFrom="paragraph">
              <wp:posOffset>145731</wp:posOffset>
            </wp:positionV>
            <wp:extent cx="5621485" cy="4280820"/>
            <wp:effectExtent l="0" t="0" r="0" b="0"/>
            <wp:wrapTopAndBottom/>
            <wp:docPr id="23" name="image43.jpeg" descr=""/>
            <wp:cNvGraphicFramePr>
              <a:graphicFrameLocks noChangeAspect="1"/>
            </wp:cNvGraphicFramePr>
            <a:graphic>
              <a:graphicData uri="http://schemas.openxmlformats.org/drawingml/2006/picture">
                <pic:pic>
                  <pic:nvPicPr>
                    <pic:cNvPr id="24" name="image43.jpeg"/>
                    <pic:cNvPicPr/>
                  </pic:nvPicPr>
                  <pic:blipFill>
                    <a:blip r:embed="rId107" cstate="print"/>
                    <a:stretch>
                      <a:fillRect/>
                    </a:stretch>
                  </pic:blipFill>
                  <pic:spPr>
                    <a:xfrm>
                      <a:off x="0" y="0"/>
                      <a:ext cx="5621485" cy="4280820"/>
                    </a:xfrm>
                    <a:prstGeom prst="rect">
                      <a:avLst/>
                    </a:prstGeom>
                  </pic:spPr>
                </pic:pic>
              </a:graphicData>
            </a:graphic>
          </wp:anchor>
        </w:drawing>
      </w:r>
    </w:p>
    <w:p>
      <w:pPr>
        <w:spacing w:before="78"/>
        <w:ind w:left="268" w:right="0" w:firstLine="0"/>
        <w:jc w:val="both"/>
        <w:rPr>
          <w:sz w:val="21"/>
        </w:rPr>
      </w:pPr>
      <w:r>
        <w:rPr>
          <w:w w:val="105"/>
          <w:sz w:val="21"/>
        </w:rPr>
        <w:t>Fuente: Elaboración propia con base en CONEVAL, 2016.</w:t>
      </w:r>
    </w:p>
    <w:p>
      <w:pPr>
        <w:spacing w:after="0"/>
        <w:jc w:val="both"/>
        <w:rPr>
          <w:sz w:val="21"/>
        </w:rPr>
        <w:sectPr>
          <w:footerReference w:type="default" r:id="rId106"/>
          <w:pgSz w:w="12240" w:h="15840"/>
          <w:pgMar w:footer="1066" w:header="730"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6592" from="93.199997pt,-19.614155pt" to="546.799997pt,-19.614155pt" stroked="true" strokeweight=".479981pt" strokecolor="#000000">
            <w10:wrap type="none"/>
          </v:line>
        </w:pict>
      </w:r>
      <w:r>
        <w:rPr/>
        <w:t>La muestra de los desarrollos habitacionales con los que cuenta el territorio de Calimaya, representa los diferentes tipos de conjuntos urbanos que permiten demostrar el análisis con indicadores en distintos tipos de desarrollos habitacionales en un mismo territorio, adicionalmente dos de ellos habitacionales han sido proyectos con un alto índice de aceptación y reconocimientos dentro de  la administración que regula la producción de vivienda en el Estado de México, así como con los desarrolladores inmobiliarios y la sociedad que ha comprado en estos conjuntos urbanos, por su modelo innovador de desarrollo urbano y proyecto habitacional.</w:t>
      </w:r>
    </w:p>
    <w:p>
      <w:pPr>
        <w:pStyle w:val="BodyText"/>
        <w:spacing w:line="360" w:lineRule="auto" w:before="122"/>
        <w:ind w:left="268" w:right="232"/>
        <w:jc w:val="both"/>
      </w:pPr>
      <w:r>
        <w:rPr/>
        <w:t>Por otro lado, la, política nacional urbana y de vivienda, propuesta en el año 2014 por la administración de Enrique Peña Nieto (diciembre 2012 – diciembre 2018) favorece y apuntala entre otros rubros, el desarrollo de vivienda de tipo medio, por lo que la vivienda y los subsidios para la de tipo interés social tienden a ser menores en el territorio nacional.</w:t>
      </w:r>
    </w:p>
    <w:p>
      <w:pPr>
        <w:pStyle w:val="BodyText"/>
        <w:spacing w:line="360" w:lineRule="auto" w:before="122"/>
        <w:ind w:left="268" w:right="231"/>
        <w:jc w:val="both"/>
      </w:pPr>
      <w:r>
        <w:rPr/>
        <w:t>El 67% de los desarrollos habitacionales en el municipio estudiado son de tipo medio por lo que resulta relevante para el análisis en relación a la política de vivienda adoptada por el Estado en el ámbito Federal.</w:t>
      </w:r>
    </w:p>
    <w:p>
      <w:pPr>
        <w:pStyle w:val="BodyText"/>
        <w:spacing w:line="360" w:lineRule="auto" w:before="127"/>
        <w:ind w:left="268" w:right="231"/>
        <w:jc w:val="both"/>
      </w:pPr>
      <w:r>
        <w:rPr/>
        <w:t>De igual modo los desarrollos habitacionales de tipo medio “poseen características” que la teoría sugiere, ser desarrollos habitacionales sustentables, con mayores estándares de calidad y elementos urbanos destacables, que se derivan por el costo de la vivienda de este tipo. Y de este modo se supondría que estos desarrollos habitacionales son ejemplo para los de tipo popular e interés social.</w:t>
      </w:r>
    </w:p>
    <w:p>
      <w:pPr>
        <w:pStyle w:val="BodyText"/>
        <w:spacing w:line="360" w:lineRule="auto" w:before="122"/>
        <w:ind w:left="268" w:right="232"/>
        <w:jc w:val="both"/>
      </w:pPr>
      <w:r>
        <w:rPr/>
        <w:t>Por lo que el estudio realizado abarcó los nueve conjuntos urbanos autorizados en el municipio de Calimaya y con ello se logró contar con datos variados de acuerdo a las características de los desarrollos habitacionales que se aprecian en la continuación del capítulo.</w:t>
      </w:r>
    </w:p>
    <w:p>
      <w:pPr>
        <w:spacing w:after="0" w:line="360" w:lineRule="auto"/>
        <w:jc w:val="both"/>
        <w:sectPr>
          <w:footerReference w:type="default" r:id="rId108"/>
          <w:pgSz w:w="12240" w:h="15840"/>
          <w:pgMar w:footer="1066" w:header="730" w:top="1320" w:bottom="1260" w:left="1720" w:right="1180"/>
          <w:pgNumType w:start="171"/>
        </w:sectPr>
      </w:pPr>
    </w:p>
    <w:p>
      <w:pPr>
        <w:pStyle w:val="BodyText"/>
        <w:spacing w:before="1"/>
        <w:rPr>
          <w:sz w:val="18"/>
        </w:rPr>
      </w:pPr>
    </w:p>
    <w:p>
      <w:pPr>
        <w:pStyle w:val="Heading4"/>
        <w:numPr>
          <w:ilvl w:val="1"/>
          <w:numId w:val="22"/>
        </w:numPr>
        <w:tabs>
          <w:tab w:pos="736" w:val="left" w:leader="none"/>
        </w:tabs>
        <w:spacing w:line="240" w:lineRule="auto" w:before="69" w:after="0"/>
        <w:ind w:left="735" w:right="0" w:hanging="467"/>
        <w:jc w:val="both"/>
      </w:pPr>
      <w:r>
        <w:rPr/>
        <w:pict>
          <v:line style="position:absolute;mso-position-horizontal-relative:page;mso-position-vertical-relative:paragraph;z-index:6616" from="93.199997pt,-19.614155pt" to="546.799997pt,-19.614155pt" stroked="true" strokeweight=".479981pt" strokecolor="#000000">
            <w10:wrap type="none"/>
          </v:line>
        </w:pict>
      </w:r>
      <w:r>
        <w:rPr/>
        <w:t>La evaluación y</w:t>
      </w:r>
      <w:r>
        <w:rPr>
          <w:spacing w:val="-17"/>
        </w:rPr>
        <w:t> </w:t>
      </w:r>
      <w:r>
        <w:rPr/>
        <w:t>análisis</w:t>
      </w:r>
    </w:p>
    <w:p>
      <w:pPr>
        <w:pStyle w:val="BodyText"/>
        <w:spacing w:before="1"/>
        <w:rPr>
          <w:b/>
          <w:sz w:val="31"/>
        </w:rPr>
      </w:pPr>
    </w:p>
    <w:p>
      <w:pPr>
        <w:pStyle w:val="BodyText"/>
        <w:spacing w:line="360" w:lineRule="auto"/>
        <w:ind w:left="268" w:right="232"/>
        <w:jc w:val="both"/>
      </w:pPr>
      <w:r>
        <w:rPr/>
        <w:t>El universo de desarrollos habitacionales en el municipio de Calimaya, con base  en la clasificación de la norma abarca vivienda autorizada bajo lotificaciones en: condominio, subdivisiones y conjuntos urbanos, como se mencionó en el subcapítulo anterior.</w:t>
      </w:r>
    </w:p>
    <w:p>
      <w:pPr>
        <w:pStyle w:val="BodyText"/>
        <w:spacing w:line="360" w:lineRule="auto" w:before="122"/>
        <w:ind w:left="268" w:right="231"/>
        <w:jc w:val="both"/>
      </w:pPr>
      <w:r>
        <w:rPr/>
        <w:t>Del análisis de las fuentes de investigación primarias y secundarias, así como el trabajo documental y de campo se determinó analizar los nueve conjuntos urbanos autorizados en el territorio de Calimaya en el periodo de tiempo 2002-2015, la  tabla 18 muestra los desarrollos habitacionales que fueron caso de estudio, ya que éstos poseen diferencias significativas para su comparación y análisis, lo que permitió mostrar la variedad que existe en el tipo de vivienda que se desarrolla en el Estado de México, tomando como muestra el municipio de</w:t>
      </w:r>
      <w:r>
        <w:rPr>
          <w:spacing w:val="-1"/>
        </w:rPr>
        <w:t> </w:t>
      </w:r>
      <w:r>
        <w:rPr/>
        <w:t>Calimaya.</w:t>
      </w:r>
    </w:p>
    <w:p>
      <w:pPr>
        <w:pStyle w:val="BodyText"/>
        <w:spacing w:before="122"/>
        <w:ind w:left="268"/>
        <w:jc w:val="both"/>
      </w:pPr>
      <w:r>
        <w:rPr/>
        <w:t>Tabla 18. Conjuntos Urbanos en el territorio de Calimaya.</w:t>
      </w:r>
    </w:p>
    <w:p>
      <w:pPr>
        <w:pStyle w:val="BodyText"/>
        <w:spacing w:before="5"/>
        <w:rPr>
          <w:sz w:val="16"/>
        </w:rPr>
      </w:pP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9"/>
        <w:gridCol w:w="2271"/>
        <w:gridCol w:w="1272"/>
        <w:gridCol w:w="2051"/>
        <w:gridCol w:w="1752"/>
        <w:gridCol w:w="1090"/>
      </w:tblGrid>
      <w:tr>
        <w:trPr>
          <w:trHeight w:val="616" w:hRule="exact"/>
        </w:trPr>
        <w:tc>
          <w:tcPr>
            <w:tcW w:w="389" w:type="dxa"/>
            <w:shd w:val="clear" w:color="auto" w:fill="000000"/>
          </w:tcPr>
          <w:p>
            <w:pPr>
              <w:pStyle w:val="TableParagraph"/>
              <w:spacing w:before="1"/>
              <w:jc w:val="left"/>
              <w:rPr>
                <w:sz w:val="17"/>
              </w:rPr>
            </w:pPr>
          </w:p>
          <w:p>
            <w:pPr>
              <w:pStyle w:val="TableParagraph"/>
              <w:ind w:left="38" w:right="57"/>
              <w:rPr>
                <w:b/>
                <w:sz w:val="15"/>
              </w:rPr>
            </w:pPr>
            <w:r>
              <w:rPr>
                <w:b/>
                <w:color w:val="FFFFFF"/>
                <w:w w:val="105"/>
                <w:sz w:val="15"/>
              </w:rPr>
              <w:t>No.</w:t>
            </w:r>
          </w:p>
        </w:tc>
        <w:tc>
          <w:tcPr>
            <w:tcW w:w="2271" w:type="dxa"/>
            <w:shd w:val="clear" w:color="auto" w:fill="000000"/>
          </w:tcPr>
          <w:p>
            <w:pPr>
              <w:pStyle w:val="TableParagraph"/>
              <w:spacing w:before="1"/>
              <w:jc w:val="left"/>
              <w:rPr>
                <w:sz w:val="17"/>
              </w:rPr>
            </w:pPr>
          </w:p>
          <w:p>
            <w:pPr>
              <w:pStyle w:val="TableParagraph"/>
              <w:ind w:left="45"/>
              <w:jc w:val="left"/>
              <w:rPr>
                <w:b/>
                <w:sz w:val="15"/>
              </w:rPr>
            </w:pPr>
            <w:r>
              <w:rPr>
                <w:b/>
                <w:color w:val="FFFFFF"/>
                <w:w w:val="105"/>
                <w:sz w:val="15"/>
              </w:rPr>
              <w:t>Nombre del Conjunto Urbano</w:t>
            </w:r>
          </w:p>
        </w:tc>
        <w:tc>
          <w:tcPr>
            <w:tcW w:w="1272" w:type="dxa"/>
            <w:shd w:val="clear" w:color="auto" w:fill="000000"/>
          </w:tcPr>
          <w:p>
            <w:pPr>
              <w:pStyle w:val="TableParagraph"/>
              <w:spacing w:line="271" w:lineRule="auto" w:before="105"/>
              <w:ind w:left="200" w:firstLine="104"/>
              <w:jc w:val="left"/>
              <w:rPr>
                <w:b/>
                <w:sz w:val="15"/>
              </w:rPr>
            </w:pPr>
            <w:r>
              <w:rPr>
                <w:b/>
                <w:color w:val="FFFFFF"/>
                <w:w w:val="105"/>
                <w:sz w:val="15"/>
              </w:rPr>
              <w:t>Fecha de </w:t>
            </w:r>
            <w:r>
              <w:rPr>
                <w:b/>
                <w:color w:val="FFFFFF"/>
                <w:sz w:val="15"/>
              </w:rPr>
              <w:t>publicación</w:t>
            </w:r>
          </w:p>
        </w:tc>
        <w:tc>
          <w:tcPr>
            <w:tcW w:w="2051" w:type="dxa"/>
            <w:shd w:val="clear" w:color="auto" w:fill="000000"/>
          </w:tcPr>
          <w:p>
            <w:pPr>
              <w:pStyle w:val="TableParagraph"/>
              <w:spacing w:before="1"/>
              <w:jc w:val="left"/>
              <w:rPr>
                <w:sz w:val="17"/>
              </w:rPr>
            </w:pPr>
          </w:p>
          <w:p>
            <w:pPr>
              <w:pStyle w:val="TableParagraph"/>
              <w:ind w:left="252" w:right="253"/>
              <w:rPr>
                <w:b/>
                <w:sz w:val="15"/>
              </w:rPr>
            </w:pPr>
            <w:r>
              <w:rPr>
                <w:b/>
                <w:color w:val="FFFFFF"/>
                <w:w w:val="105"/>
                <w:sz w:val="15"/>
              </w:rPr>
              <w:t>Empresa / Promotor</w:t>
            </w:r>
          </w:p>
        </w:tc>
        <w:tc>
          <w:tcPr>
            <w:tcW w:w="1752" w:type="dxa"/>
            <w:shd w:val="clear" w:color="auto" w:fill="000000"/>
          </w:tcPr>
          <w:p>
            <w:pPr>
              <w:pStyle w:val="TableParagraph"/>
              <w:spacing w:before="1"/>
              <w:jc w:val="left"/>
              <w:rPr>
                <w:sz w:val="17"/>
              </w:rPr>
            </w:pPr>
          </w:p>
          <w:p>
            <w:pPr>
              <w:pStyle w:val="TableParagraph"/>
              <w:ind w:left="239" w:right="239"/>
              <w:rPr>
                <w:b/>
                <w:sz w:val="15"/>
              </w:rPr>
            </w:pPr>
            <w:r>
              <w:rPr>
                <w:b/>
                <w:color w:val="FFFFFF"/>
                <w:w w:val="105"/>
                <w:sz w:val="15"/>
              </w:rPr>
              <w:t>Tipo de vivienda</w:t>
            </w:r>
          </w:p>
        </w:tc>
        <w:tc>
          <w:tcPr>
            <w:tcW w:w="1090" w:type="dxa"/>
            <w:shd w:val="clear" w:color="auto" w:fill="000000"/>
          </w:tcPr>
          <w:p>
            <w:pPr>
              <w:pStyle w:val="TableParagraph"/>
              <w:spacing w:line="271" w:lineRule="auto" w:before="105"/>
              <w:ind w:left="174" w:firstLine="130"/>
              <w:jc w:val="left"/>
              <w:rPr>
                <w:b/>
                <w:sz w:val="15"/>
              </w:rPr>
            </w:pPr>
            <w:r>
              <w:rPr>
                <w:b/>
                <w:color w:val="FFFFFF"/>
                <w:w w:val="105"/>
                <w:sz w:val="15"/>
              </w:rPr>
              <w:t>No. de </w:t>
            </w:r>
            <w:r>
              <w:rPr>
                <w:b/>
                <w:color w:val="FFFFFF"/>
                <w:sz w:val="15"/>
              </w:rPr>
              <w:t>Viviendas</w:t>
            </w:r>
          </w:p>
        </w:tc>
      </w:tr>
      <w:tr>
        <w:trPr>
          <w:trHeight w:val="421" w:hRule="exact"/>
        </w:trPr>
        <w:tc>
          <w:tcPr>
            <w:tcW w:w="389" w:type="dxa"/>
            <w:tcBorders>
              <w:left w:val="single" w:sz="5" w:space="0" w:color="000000"/>
              <w:bottom w:val="single" w:sz="5" w:space="0" w:color="000000"/>
              <w:right w:val="single" w:sz="5" w:space="0" w:color="000000"/>
            </w:tcBorders>
          </w:tcPr>
          <w:p>
            <w:pPr>
              <w:pStyle w:val="TableParagraph"/>
              <w:spacing w:before="97"/>
              <w:ind w:right="9"/>
              <w:rPr>
                <w:rFonts w:ascii="Calibri"/>
                <w:sz w:val="15"/>
              </w:rPr>
            </w:pPr>
            <w:r>
              <w:rPr>
                <w:rFonts w:ascii="Calibri"/>
                <w:w w:val="103"/>
                <w:sz w:val="15"/>
              </w:rPr>
              <w:t>1</w:t>
            </w:r>
          </w:p>
        </w:tc>
        <w:tc>
          <w:tcPr>
            <w:tcW w:w="2271" w:type="dxa"/>
            <w:tcBorders>
              <w:left w:val="single" w:sz="5" w:space="0" w:color="000000"/>
              <w:bottom w:val="single" w:sz="5" w:space="0" w:color="000000"/>
              <w:right w:val="single" w:sz="5" w:space="0" w:color="000000"/>
            </w:tcBorders>
          </w:tcPr>
          <w:p>
            <w:pPr>
              <w:pStyle w:val="TableParagraph"/>
              <w:spacing w:before="106"/>
              <w:ind w:left="25"/>
              <w:jc w:val="left"/>
              <w:rPr>
                <w:rFonts w:ascii="Calibri"/>
                <w:b/>
                <w:sz w:val="14"/>
              </w:rPr>
            </w:pPr>
            <w:r>
              <w:rPr>
                <w:rFonts w:ascii="Calibri"/>
                <w:b/>
                <w:sz w:val="14"/>
              </w:rPr>
              <w:t>"Villas del Campo"</w:t>
            </w:r>
          </w:p>
        </w:tc>
        <w:tc>
          <w:tcPr>
            <w:tcW w:w="1272" w:type="dxa"/>
            <w:tcBorders>
              <w:left w:val="single" w:sz="5" w:space="0" w:color="000000"/>
              <w:bottom w:val="single" w:sz="5" w:space="0" w:color="000000"/>
              <w:right w:val="single" w:sz="5" w:space="0" w:color="000000"/>
            </w:tcBorders>
          </w:tcPr>
          <w:p>
            <w:pPr>
              <w:pStyle w:val="TableParagraph"/>
              <w:spacing w:before="97"/>
              <w:ind w:left="302" w:right="316"/>
              <w:rPr>
                <w:rFonts w:ascii="Calibri"/>
                <w:sz w:val="15"/>
              </w:rPr>
            </w:pPr>
            <w:r>
              <w:rPr>
                <w:rFonts w:ascii="Calibri"/>
                <w:w w:val="105"/>
                <w:sz w:val="15"/>
              </w:rPr>
              <w:t>02/01/07</w:t>
            </w:r>
          </w:p>
        </w:tc>
        <w:tc>
          <w:tcPr>
            <w:tcW w:w="2051" w:type="dxa"/>
            <w:tcBorders>
              <w:left w:val="single" w:sz="5" w:space="0" w:color="000000"/>
              <w:bottom w:val="single" w:sz="5" w:space="0" w:color="000000"/>
              <w:right w:val="single" w:sz="5" w:space="0" w:color="000000"/>
            </w:tcBorders>
          </w:tcPr>
          <w:p>
            <w:pPr>
              <w:pStyle w:val="TableParagraph"/>
              <w:spacing w:before="97"/>
              <w:ind w:right="94"/>
              <w:rPr>
                <w:rFonts w:ascii="Calibri"/>
                <w:sz w:val="15"/>
              </w:rPr>
            </w:pPr>
            <w:r>
              <w:rPr>
                <w:rFonts w:ascii="Calibri"/>
                <w:w w:val="105"/>
                <w:sz w:val="15"/>
              </w:rPr>
              <w:t>GEO Edificaciones S.A. de C.V.</w:t>
            </w:r>
          </w:p>
        </w:tc>
        <w:tc>
          <w:tcPr>
            <w:tcW w:w="1752" w:type="dxa"/>
            <w:tcBorders>
              <w:left w:val="single" w:sz="5" w:space="0" w:color="000000"/>
              <w:bottom w:val="single" w:sz="5" w:space="0" w:color="000000"/>
              <w:right w:val="single" w:sz="5" w:space="0" w:color="000000"/>
            </w:tcBorders>
          </w:tcPr>
          <w:p>
            <w:pPr>
              <w:pStyle w:val="TableParagraph"/>
              <w:spacing w:line="254" w:lineRule="auto" w:before="6"/>
              <w:ind w:left="389" w:hanging="221"/>
              <w:jc w:val="left"/>
              <w:rPr>
                <w:rFonts w:ascii="Calibri"/>
                <w:sz w:val="15"/>
              </w:rPr>
            </w:pPr>
            <w:r>
              <w:rPr>
                <w:rFonts w:ascii="Calibri"/>
                <w:w w:val="105"/>
                <w:sz w:val="15"/>
              </w:rPr>
              <w:t>Mixto: (Medio 3,112 y Residencial 93)</w:t>
            </w:r>
          </w:p>
        </w:tc>
        <w:tc>
          <w:tcPr>
            <w:tcW w:w="1090" w:type="dxa"/>
            <w:tcBorders>
              <w:left w:val="single" w:sz="5" w:space="0" w:color="000000"/>
              <w:bottom w:val="single" w:sz="5" w:space="0" w:color="000000"/>
              <w:right w:val="single" w:sz="5" w:space="0" w:color="000000"/>
            </w:tcBorders>
          </w:tcPr>
          <w:p>
            <w:pPr>
              <w:pStyle w:val="TableParagraph"/>
              <w:spacing w:before="97"/>
              <w:ind w:left="329" w:right="347"/>
              <w:rPr>
                <w:rFonts w:ascii="Calibri"/>
                <w:b/>
                <w:sz w:val="15"/>
              </w:rPr>
            </w:pPr>
            <w:r>
              <w:rPr>
                <w:rFonts w:ascii="Calibri"/>
                <w:b/>
                <w:w w:val="105"/>
                <w:sz w:val="15"/>
              </w:rPr>
              <w:t>3,205</w:t>
            </w:r>
          </w:p>
        </w:tc>
      </w:tr>
      <w:tr>
        <w:trPr>
          <w:trHeight w:val="441" w:hRule="exact"/>
        </w:trPr>
        <w:tc>
          <w:tcPr>
            <w:tcW w:w="389" w:type="dxa"/>
            <w:tcBorders>
              <w:top w:val="single" w:sz="5" w:space="0" w:color="000000"/>
              <w:left w:val="single" w:sz="5" w:space="0" w:color="000000"/>
              <w:bottom w:val="single" w:sz="5" w:space="0" w:color="000000"/>
              <w:right w:val="single" w:sz="5" w:space="0" w:color="000000"/>
            </w:tcBorders>
          </w:tcPr>
          <w:p>
            <w:pPr>
              <w:pStyle w:val="TableParagraph"/>
              <w:spacing w:before="110"/>
              <w:ind w:right="9"/>
              <w:rPr>
                <w:rFonts w:ascii="Calibri"/>
                <w:sz w:val="15"/>
              </w:rPr>
            </w:pPr>
            <w:r>
              <w:rPr>
                <w:rFonts w:ascii="Calibri"/>
                <w:w w:val="103"/>
                <w:sz w:val="15"/>
              </w:rPr>
              <w:t>2</w:t>
            </w:r>
          </w:p>
        </w:tc>
        <w:tc>
          <w:tcPr>
            <w:tcW w:w="2271" w:type="dxa"/>
            <w:tcBorders>
              <w:top w:val="single" w:sz="5" w:space="0" w:color="000000"/>
              <w:left w:val="single" w:sz="5" w:space="0" w:color="000000"/>
              <w:bottom w:val="single" w:sz="5" w:space="0" w:color="000000"/>
              <w:right w:val="single" w:sz="5" w:space="0" w:color="000000"/>
            </w:tcBorders>
          </w:tcPr>
          <w:p>
            <w:pPr>
              <w:pStyle w:val="TableParagraph"/>
              <w:spacing w:before="119"/>
              <w:ind w:left="25"/>
              <w:jc w:val="left"/>
              <w:rPr>
                <w:rFonts w:ascii="Calibri" w:hAnsi="Calibri"/>
                <w:b/>
                <w:sz w:val="14"/>
              </w:rPr>
            </w:pPr>
            <w:r>
              <w:rPr>
                <w:rFonts w:ascii="Calibri" w:hAnsi="Calibri"/>
                <w:b/>
                <w:sz w:val="14"/>
              </w:rPr>
              <w:t>"San Andrés"</w:t>
            </w:r>
          </w:p>
        </w:tc>
        <w:tc>
          <w:tcPr>
            <w:tcW w:w="1272" w:type="dxa"/>
            <w:tcBorders>
              <w:top w:val="single" w:sz="5" w:space="0" w:color="000000"/>
              <w:left w:val="single" w:sz="5" w:space="0" w:color="000000"/>
              <w:bottom w:val="single" w:sz="5" w:space="0" w:color="000000"/>
              <w:right w:val="single" w:sz="5" w:space="0" w:color="000000"/>
            </w:tcBorders>
          </w:tcPr>
          <w:p>
            <w:pPr>
              <w:pStyle w:val="TableParagraph"/>
              <w:spacing w:before="110"/>
              <w:ind w:left="302" w:right="316"/>
              <w:rPr>
                <w:rFonts w:ascii="Calibri"/>
                <w:sz w:val="15"/>
              </w:rPr>
            </w:pPr>
            <w:r>
              <w:rPr>
                <w:rFonts w:ascii="Calibri"/>
                <w:w w:val="105"/>
                <w:sz w:val="15"/>
              </w:rPr>
              <w:t>07/12/07</w:t>
            </w:r>
          </w:p>
        </w:tc>
        <w:tc>
          <w:tcPr>
            <w:tcW w:w="2051" w:type="dxa"/>
            <w:tcBorders>
              <w:top w:val="single" w:sz="5" w:space="0" w:color="000000"/>
              <w:left w:val="single" w:sz="5" w:space="0" w:color="000000"/>
              <w:bottom w:val="single" w:sz="5" w:space="0" w:color="000000"/>
              <w:right w:val="single" w:sz="5" w:space="0" w:color="000000"/>
            </w:tcBorders>
          </w:tcPr>
          <w:p>
            <w:pPr>
              <w:pStyle w:val="TableParagraph"/>
              <w:spacing w:line="254" w:lineRule="auto" w:before="19"/>
              <w:ind w:left="26" w:right="5" w:hanging="1"/>
              <w:jc w:val="left"/>
              <w:rPr>
                <w:rFonts w:ascii="Calibri"/>
                <w:sz w:val="15"/>
              </w:rPr>
            </w:pPr>
            <w:r>
              <w:rPr>
                <w:rFonts w:ascii="Calibri"/>
                <w:w w:val="105"/>
                <w:sz w:val="15"/>
              </w:rPr>
              <w:t>Inmobiliaria HEMAJO de Atlacomulco, S.A. de C.V.</w:t>
            </w:r>
          </w:p>
        </w:tc>
        <w:tc>
          <w:tcPr>
            <w:tcW w:w="1752" w:type="dxa"/>
            <w:tcBorders>
              <w:top w:val="single" w:sz="5" w:space="0" w:color="000000"/>
              <w:left w:val="single" w:sz="5" w:space="0" w:color="000000"/>
              <w:bottom w:val="single" w:sz="5" w:space="0" w:color="000000"/>
              <w:right w:val="single" w:sz="5" w:space="0" w:color="000000"/>
            </w:tcBorders>
          </w:tcPr>
          <w:p>
            <w:pPr>
              <w:pStyle w:val="TableParagraph"/>
              <w:spacing w:before="110"/>
              <w:ind w:left="417" w:right="419"/>
              <w:rPr>
                <w:rFonts w:ascii="Calibri"/>
                <w:sz w:val="15"/>
              </w:rPr>
            </w:pPr>
            <w:r>
              <w:rPr>
                <w:rFonts w:ascii="Calibri"/>
                <w:w w:val="105"/>
                <w:sz w:val="15"/>
              </w:rPr>
              <w:t>Medio</w:t>
            </w:r>
          </w:p>
        </w:tc>
        <w:tc>
          <w:tcPr>
            <w:tcW w:w="1090" w:type="dxa"/>
            <w:tcBorders>
              <w:top w:val="single" w:sz="5" w:space="0" w:color="000000"/>
              <w:left w:val="single" w:sz="5" w:space="0" w:color="000000"/>
              <w:bottom w:val="single" w:sz="5" w:space="0" w:color="000000"/>
              <w:right w:val="single" w:sz="5" w:space="0" w:color="000000"/>
            </w:tcBorders>
          </w:tcPr>
          <w:p>
            <w:pPr>
              <w:pStyle w:val="TableParagraph"/>
              <w:spacing w:before="110"/>
              <w:ind w:left="329" w:right="336"/>
              <w:rPr>
                <w:rFonts w:ascii="Calibri"/>
                <w:b/>
                <w:sz w:val="15"/>
              </w:rPr>
            </w:pPr>
            <w:r>
              <w:rPr>
                <w:rFonts w:ascii="Calibri"/>
                <w:b/>
                <w:w w:val="105"/>
                <w:sz w:val="15"/>
              </w:rPr>
              <w:t>121</w:t>
            </w:r>
          </w:p>
        </w:tc>
      </w:tr>
      <w:tr>
        <w:trPr>
          <w:trHeight w:val="389" w:hRule="exact"/>
        </w:trPr>
        <w:tc>
          <w:tcPr>
            <w:tcW w:w="389" w:type="dxa"/>
            <w:tcBorders>
              <w:top w:val="single" w:sz="5" w:space="0" w:color="000000"/>
              <w:left w:val="single" w:sz="5" w:space="0" w:color="000000"/>
              <w:bottom w:val="single" w:sz="5" w:space="0" w:color="000000"/>
              <w:right w:val="single" w:sz="5" w:space="0" w:color="000000"/>
            </w:tcBorders>
          </w:tcPr>
          <w:p>
            <w:pPr>
              <w:pStyle w:val="TableParagraph"/>
              <w:spacing w:before="84"/>
              <w:ind w:right="9"/>
              <w:rPr>
                <w:rFonts w:ascii="Calibri"/>
                <w:sz w:val="15"/>
              </w:rPr>
            </w:pPr>
            <w:r>
              <w:rPr>
                <w:rFonts w:ascii="Calibri"/>
                <w:w w:val="103"/>
                <w:sz w:val="15"/>
              </w:rPr>
              <w:t>3</w:t>
            </w:r>
          </w:p>
        </w:tc>
        <w:tc>
          <w:tcPr>
            <w:tcW w:w="2271" w:type="dxa"/>
            <w:tcBorders>
              <w:top w:val="single" w:sz="5" w:space="0" w:color="000000"/>
              <w:left w:val="single" w:sz="5" w:space="0" w:color="000000"/>
              <w:bottom w:val="single" w:sz="5" w:space="0" w:color="000000"/>
              <w:right w:val="single" w:sz="5" w:space="0" w:color="000000"/>
            </w:tcBorders>
          </w:tcPr>
          <w:p>
            <w:pPr>
              <w:pStyle w:val="TableParagraph"/>
              <w:spacing w:before="93"/>
              <w:ind w:left="25"/>
              <w:jc w:val="left"/>
              <w:rPr>
                <w:rFonts w:ascii="Calibri"/>
                <w:b/>
                <w:sz w:val="14"/>
              </w:rPr>
            </w:pPr>
            <w:r>
              <w:rPr>
                <w:rFonts w:ascii="Calibri"/>
                <w:b/>
                <w:sz w:val="14"/>
              </w:rPr>
              <w:t>"Villas del Campo II"</w:t>
            </w:r>
          </w:p>
        </w:tc>
        <w:tc>
          <w:tcPr>
            <w:tcW w:w="1272" w:type="dxa"/>
            <w:tcBorders>
              <w:top w:val="single" w:sz="5" w:space="0" w:color="000000"/>
              <w:left w:val="single" w:sz="5" w:space="0" w:color="000000"/>
              <w:bottom w:val="single" w:sz="5" w:space="0" w:color="000000"/>
              <w:right w:val="single" w:sz="5" w:space="0" w:color="000000"/>
            </w:tcBorders>
          </w:tcPr>
          <w:p>
            <w:pPr>
              <w:pStyle w:val="TableParagraph"/>
              <w:spacing w:before="84"/>
              <w:ind w:left="302" w:right="316"/>
              <w:rPr>
                <w:rFonts w:ascii="Calibri"/>
                <w:sz w:val="15"/>
              </w:rPr>
            </w:pPr>
            <w:r>
              <w:rPr>
                <w:rFonts w:ascii="Calibri"/>
                <w:w w:val="105"/>
                <w:sz w:val="15"/>
              </w:rPr>
              <w:t>28/08/09</w:t>
            </w:r>
          </w:p>
        </w:tc>
        <w:tc>
          <w:tcPr>
            <w:tcW w:w="2051" w:type="dxa"/>
            <w:tcBorders>
              <w:top w:val="single" w:sz="5" w:space="0" w:color="000000"/>
              <w:left w:val="single" w:sz="5" w:space="0" w:color="000000"/>
              <w:bottom w:val="single" w:sz="5" w:space="0" w:color="000000"/>
              <w:right w:val="single" w:sz="5" w:space="0" w:color="000000"/>
            </w:tcBorders>
          </w:tcPr>
          <w:p>
            <w:pPr>
              <w:pStyle w:val="TableParagraph"/>
              <w:spacing w:before="84"/>
              <w:ind w:right="94"/>
              <w:rPr>
                <w:rFonts w:ascii="Calibri"/>
                <w:sz w:val="15"/>
              </w:rPr>
            </w:pPr>
            <w:r>
              <w:rPr>
                <w:rFonts w:ascii="Calibri"/>
                <w:w w:val="105"/>
                <w:sz w:val="15"/>
              </w:rPr>
              <w:t>GEO Edificaciones S.A. de C.V.</w:t>
            </w:r>
          </w:p>
        </w:tc>
        <w:tc>
          <w:tcPr>
            <w:tcW w:w="1752" w:type="dxa"/>
            <w:tcBorders>
              <w:top w:val="single" w:sz="5" w:space="0" w:color="000000"/>
              <w:left w:val="single" w:sz="5" w:space="0" w:color="000000"/>
              <w:bottom w:val="single" w:sz="5" w:space="0" w:color="000000"/>
              <w:right w:val="single" w:sz="5" w:space="0" w:color="000000"/>
            </w:tcBorders>
          </w:tcPr>
          <w:p>
            <w:pPr>
              <w:pStyle w:val="TableParagraph"/>
              <w:spacing w:before="84"/>
              <w:ind w:left="417" w:right="419"/>
              <w:rPr>
                <w:rFonts w:ascii="Calibri"/>
                <w:sz w:val="15"/>
              </w:rPr>
            </w:pPr>
            <w:r>
              <w:rPr>
                <w:rFonts w:ascii="Calibri"/>
                <w:w w:val="105"/>
                <w:sz w:val="15"/>
              </w:rPr>
              <w:t>Medio</w:t>
            </w:r>
          </w:p>
        </w:tc>
        <w:tc>
          <w:tcPr>
            <w:tcW w:w="1090" w:type="dxa"/>
            <w:tcBorders>
              <w:top w:val="single" w:sz="5" w:space="0" w:color="000000"/>
              <w:left w:val="single" w:sz="5" w:space="0" w:color="000000"/>
              <w:bottom w:val="single" w:sz="5" w:space="0" w:color="000000"/>
              <w:right w:val="single" w:sz="5" w:space="0" w:color="000000"/>
            </w:tcBorders>
          </w:tcPr>
          <w:p>
            <w:pPr>
              <w:pStyle w:val="TableParagraph"/>
              <w:spacing w:before="84"/>
              <w:ind w:left="329" w:right="347"/>
              <w:rPr>
                <w:rFonts w:ascii="Calibri"/>
                <w:b/>
                <w:sz w:val="15"/>
              </w:rPr>
            </w:pPr>
            <w:r>
              <w:rPr>
                <w:rFonts w:ascii="Calibri"/>
                <w:b/>
                <w:w w:val="105"/>
                <w:sz w:val="15"/>
              </w:rPr>
              <w:t>1,892</w:t>
            </w:r>
          </w:p>
        </w:tc>
      </w:tr>
      <w:tr>
        <w:trPr>
          <w:trHeight w:val="506" w:hRule="exact"/>
        </w:trPr>
        <w:tc>
          <w:tcPr>
            <w:tcW w:w="389" w:type="dxa"/>
            <w:tcBorders>
              <w:top w:val="single" w:sz="5" w:space="0" w:color="000000"/>
              <w:left w:val="single" w:sz="5" w:space="0" w:color="000000"/>
              <w:bottom w:val="single" w:sz="5" w:space="0" w:color="000000"/>
              <w:right w:val="single" w:sz="5" w:space="0" w:color="000000"/>
            </w:tcBorders>
          </w:tcPr>
          <w:p>
            <w:pPr>
              <w:pStyle w:val="TableParagraph"/>
              <w:spacing w:before="11"/>
              <w:jc w:val="left"/>
              <w:rPr>
                <w:sz w:val="12"/>
              </w:rPr>
            </w:pPr>
          </w:p>
          <w:p>
            <w:pPr>
              <w:pStyle w:val="TableParagraph"/>
              <w:ind w:right="9"/>
              <w:rPr>
                <w:rFonts w:ascii="Calibri"/>
                <w:sz w:val="15"/>
              </w:rPr>
            </w:pPr>
            <w:r>
              <w:rPr>
                <w:rFonts w:ascii="Calibri"/>
                <w:w w:val="103"/>
                <w:sz w:val="15"/>
              </w:rPr>
              <w:t>4</w:t>
            </w:r>
          </w:p>
        </w:tc>
        <w:tc>
          <w:tcPr>
            <w:tcW w:w="2271" w:type="dxa"/>
            <w:tcBorders>
              <w:top w:val="single" w:sz="5" w:space="0" w:color="000000"/>
              <w:left w:val="single" w:sz="5" w:space="0" w:color="000000"/>
              <w:bottom w:val="single" w:sz="5" w:space="0" w:color="000000"/>
              <w:right w:val="single" w:sz="5" w:space="0" w:color="000000"/>
            </w:tcBorders>
          </w:tcPr>
          <w:p>
            <w:pPr>
              <w:pStyle w:val="TableParagraph"/>
              <w:spacing w:before="7"/>
              <w:jc w:val="left"/>
              <w:rPr>
                <w:sz w:val="12"/>
              </w:rPr>
            </w:pPr>
          </w:p>
          <w:p>
            <w:pPr>
              <w:pStyle w:val="TableParagraph"/>
              <w:ind w:left="25"/>
              <w:jc w:val="left"/>
              <w:rPr>
                <w:rFonts w:ascii="Calibri"/>
                <w:b/>
                <w:sz w:val="14"/>
              </w:rPr>
            </w:pPr>
            <w:r>
              <w:rPr>
                <w:rFonts w:ascii="Calibri"/>
                <w:b/>
                <w:sz w:val="14"/>
              </w:rPr>
              <w:t>"Valle del Nevado"</w:t>
            </w:r>
          </w:p>
        </w:tc>
        <w:tc>
          <w:tcPr>
            <w:tcW w:w="1272" w:type="dxa"/>
            <w:tcBorders>
              <w:top w:val="single" w:sz="5" w:space="0" w:color="000000"/>
              <w:left w:val="single" w:sz="5" w:space="0" w:color="000000"/>
              <w:bottom w:val="single" w:sz="5" w:space="0" w:color="000000"/>
              <w:right w:val="single" w:sz="5" w:space="0" w:color="000000"/>
            </w:tcBorders>
          </w:tcPr>
          <w:p>
            <w:pPr>
              <w:pStyle w:val="TableParagraph"/>
              <w:spacing w:before="11"/>
              <w:jc w:val="left"/>
              <w:rPr>
                <w:sz w:val="12"/>
              </w:rPr>
            </w:pPr>
          </w:p>
          <w:p>
            <w:pPr>
              <w:pStyle w:val="TableParagraph"/>
              <w:ind w:left="302" w:right="316"/>
              <w:rPr>
                <w:rFonts w:ascii="Calibri"/>
                <w:sz w:val="15"/>
              </w:rPr>
            </w:pPr>
            <w:r>
              <w:rPr>
                <w:rFonts w:ascii="Calibri"/>
                <w:w w:val="105"/>
                <w:sz w:val="15"/>
              </w:rPr>
              <w:t>02/10/09</w:t>
            </w:r>
          </w:p>
        </w:tc>
        <w:tc>
          <w:tcPr>
            <w:tcW w:w="2051" w:type="dxa"/>
            <w:tcBorders>
              <w:top w:val="single" w:sz="5" w:space="0" w:color="000000"/>
              <w:left w:val="single" w:sz="5" w:space="0" w:color="000000"/>
              <w:bottom w:val="single" w:sz="5" w:space="0" w:color="000000"/>
              <w:right w:val="single" w:sz="5" w:space="0" w:color="000000"/>
            </w:tcBorders>
          </w:tcPr>
          <w:p>
            <w:pPr>
              <w:pStyle w:val="TableParagraph"/>
              <w:spacing w:line="254" w:lineRule="auto" w:before="45"/>
              <w:ind w:left="24" w:right="5" w:firstLine="1"/>
              <w:jc w:val="left"/>
              <w:rPr>
                <w:rFonts w:ascii="Calibri" w:hAnsi="Calibri"/>
                <w:sz w:val="15"/>
              </w:rPr>
            </w:pPr>
            <w:r>
              <w:rPr>
                <w:rFonts w:ascii="Calibri" w:hAnsi="Calibri"/>
                <w:w w:val="105"/>
                <w:sz w:val="15"/>
              </w:rPr>
              <w:t>Proyectos Inmobiliarios de Culiacán, S.A. de C.V.</w:t>
            </w:r>
          </w:p>
        </w:tc>
        <w:tc>
          <w:tcPr>
            <w:tcW w:w="1752" w:type="dxa"/>
            <w:tcBorders>
              <w:top w:val="single" w:sz="5" w:space="0" w:color="000000"/>
              <w:left w:val="single" w:sz="5" w:space="0" w:color="000000"/>
              <w:bottom w:val="single" w:sz="5" w:space="0" w:color="000000"/>
              <w:right w:val="single" w:sz="5" w:space="0" w:color="000000"/>
            </w:tcBorders>
          </w:tcPr>
          <w:p>
            <w:pPr>
              <w:pStyle w:val="TableParagraph"/>
              <w:spacing w:before="11"/>
              <w:jc w:val="left"/>
              <w:rPr>
                <w:sz w:val="12"/>
              </w:rPr>
            </w:pPr>
          </w:p>
          <w:p>
            <w:pPr>
              <w:pStyle w:val="TableParagraph"/>
              <w:ind w:left="417" w:right="427"/>
              <w:rPr>
                <w:rFonts w:ascii="Calibri" w:hAnsi="Calibri"/>
                <w:sz w:val="15"/>
              </w:rPr>
            </w:pPr>
            <w:r>
              <w:rPr>
                <w:rFonts w:ascii="Calibri" w:hAnsi="Calibri"/>
                <w:w w:val="105"/>
                <w:sz w:val="15"/>
              </w:rPr>
              <w:t>Interés Social</w:t>
            </w:r>
          </w:p>
        </w:tc>
        <w:tc>
          <w:tcPr>
            <w:tcW w:w="1090" w:type="dxa"/>
            <w:tcBorders>
              <w:top w:val="single" w:sz="5" w:space="0" w:color="000000"/>
              <w:left w:val="single" w:sz="5" w:space="0" w:color="000000"/>
              <w:bottom w:val="single" w:sz="5" w:space="0" w:color="000000"/>
              <w:right w:val="single" w:sz="5" w:space="0" w:color="000000"/>
            </w:tcBorders>
          </w:tcPr>
          <w:p>
            <w:pPr>
              <w:pStyle w:val="TableParagraph"/>
              <w:spacing w:before="11"/>
              <w:jc w:val="left"/>
              <w:rPr>
                <w:sz w:val="12"/>
              </w:rPr>
            </w:pPr>
          </w:p>
          <w:p>
            <w:pPr>
              <w:pStyle w:val="TableParagraph"/>
              <w:ind w:left="329" w:right="347"/>
              <w:rPr>
                <w:rFonts w:ascii="Calibri"/>
                <w:b/>
                <w:sz w:val="15"/>
              </w:rPr>
            </w:pPr>
            <w:r>
              <w:rPr>
                <w:rFonts w:ascii="Calibri"/>
                <w:b/>
                <w:w w:val="105"/>
                <w:sz w:val="15"/>
              </w:rPr>
              <w:t>2,783</w:t>
            </w:r>
          </w:p>
        </w:tc>
      </w:tr>
      <w:tr>
        <w:trPr>
          <w:trHeight w:val="454" w:hRule="exact"/>
        </w:trPr>
        <w:tc>
          <w:tcPr>
            <w:tcW w:w="389" w:type="dxa"/>
            <w:tcBorders>
              <w:top w:val="single" w:sz="5" w:space="0" w:color="000000"/>
              <w:left w:val="single" w:sz="5" w:space="0" w:color="000000"/>
              <w:bottom w:val="single" w:sz="5" w:space="0" w:color="000000"/>
              <w:right w:val="single" w:sz="5" w:space="0" w:color="000000"/>
            </w:tcBorders>
          </w:tcPr>
          <w:p>
            <w:pPr>
              <w:pStyle w:val="TableParagraph"/>
              <w:spacing w:before="123"/>
              <w:ind w:right="9"/>
              <w:rPr>
                <w:rFonts w:ascii="Calibri"/>
                <w:sz w:val="15"/>
              </w:rPr>
            </w:pPr>
            <w:r>
              <w:rPr>
                <w:rFonts w:ascii="Calibri"/>
                <w:w w:val="103"/>
                <w:sz w:val="15"/>
              </w:rPr>
              <w:t>5</w:t>
            </w:r>
          </w:p>
        </w:tc>
        <w:tc>
          <w:tcPr>
            <w:tcW w:w="2271" w:type="dxa"/>
            <w:tcBorders>
              <w:top w:val="single" w:sz="5" w:space="0" w:color="000000"/>
              <w:left w:val="single" w:sz="5" w:space="0" w:color="000000"/>
              <w:bottom w:val="single" w:sz="5" w:space="0" w:color="000000"/>
              <w:right w:val="single" w:sz="5" w:space="0" w:color="000000"/>
            </w:tcBorders>
          </w:tcPr>
          <w:p>
            <w:pPr>
              <w:pStyle w:val="TableParagraph"/>
              <w:spacing w:before="119"/>
              <w:ind w:left="25"/>
              <w:jc w:val="left"/>
              <w:rPr>
                <w:rFonts w:ascii="Calibri"/>
                <w:b/>
                <w:sz w:val="14"/>
              </w:rPr>
            </w:pPr>
            <w:r>
              <w:rPr>
                <w:rFonts w:ascii="Calibri"/>
                <w:b/>
                <w:sz w:val="14"/>
              </w:rPr>
              <w:t>"Rancho la Providencia  1"</w:t>
            </w:r>
          </w:p>
        </w:tc>
        <w:tc>
          <w:tcPr>
            <w:tcW w:w="1272" w:type="dxa"/>
            <w:tcBorders>
              <w:top w:val="single" w:sz="5" w:space="0" w:color="000000"/>
              <w:left w:val="single" w:sz="5" w:space="0" w:color="000000"/>
              <w:bottom w:val="single" w:sz="5" w:space="0" w:color="000000"/>
              <w:right w:val="single" w:sz="5" w:space="0" w:color="000000"/>
            </w:tcBorders>
          </w:tcPr>
          <w:p>
            <w:pPr>
              <w:pStyle w:val="TableParagraph"/>
              <w:spacing w:before="123"/>
              <w:ind w:left="302" w:right="316"/>
              <w:rPr>
                <w:rFonts w:ascii="Calibri"/>
                <w:sz w:val="15"/>
              </w:rPr>
            </w:pPr>
            <w:r>
              <w:rPr>
                <w:rFonts w:ascii="Calibri"/>
                <w:w w:val="105"/>
                <w:sz w:val="15"/>
              </w:rPr>
              <w:t>23/02/10</w:t>
            </w:r>
          </w:p>
        </w:tc>
        <w:tc>
          <w:tcPr>
            <w:tcW w:w="2051" w:type="dxa"/>
            <w:tcBorders>
              <w:top w:val="single" w:sz="5" w:space="0" w:color="000000"/>
              <w:left w:val="single" w:sz="5" w:space="0" w:color="000000"/>
              <w:bottom w:val="single" w:sz="5" w:space="0" w:color="000000"/>
              <w:right w:val="single" w:sz="5" w:space="0" w:color="000000"/>
            </w:tcBorders>
          </w:tcPr>
          <w:p>
            <w:pPr>
              <w:pStyle w:val="TableParagraph"/>
              <w:spacing w:line="254" w:lineRule="auto" w:before="19"/>
              <w:ind w:left="24" w:right="5" w:firstLine="1"/>
              <w:jc w:val="left"/>
              <w:rPr>
                <w:rFonts w:ascii="Calibri" w:hAnsi="Calibri"/>
                <w:sz w:val="15"/>
              </w:rPr>
            </w:pPr>
            <w:r>
              <w:rPr>
                <w:rFonts w:ascii="Calibri" w:hAnsi="Calibri"/>
                <w:w w:val="105"/>
                <w:sz w:val="15"/>
              </w:rPr>
              <w:t>Proyectos Inmobiliarios de Culiacán, S.A. de C.V.</w:t>
            </w:r>
          </w:p>
        </w:tc>
        <w:tc>
          <w:tcPr>
            <w:tcW w:w="1752" w:type="dxa"/>
            <w:tcBorders>
              <w:top w:val="single" w:sz="5" w:space="0" w:color="000000"/>
              <w:left w:val="single" w:sz="5" w:space="0" w:color="000000"/>
              <w:bottom w:val="single" w:sz="5" w:space="0" w:color="000000"/>
              <w:right w:val="single" w:sz="5" w:space="0" w:color="000000"/>
            </w:tcBorders>
          </w:tcPr>
          <w:p>
            <w:pPr>
              <w:pStyle w:val="TableParagraph"/>
              <w:spacing w:before="123"/>
              <w:ind w:left="417" w:right="419"/>
              <w:rPr>
                <w:rFonts w:ascii="Calibri"/>
                <w:sz w:val="15"/>
              </w:rPr>
            </w:pPr>
            <w:r>
              <w:rPr>
                <w:rFonts w:ascii="Calibri"/>
                <w:w w:val="105"/>
                <w:sz w:val="15"/>
              </w:rPr>
              <w:t>Medio</w:t>
            </w:r>
          </w:p>
        </w:tc>
        <w:tc>
          <w:tcPr>
            <w:tcW w:w="1090" w:type="dxa"/>
            <w:tcBorders>
              <w:top w:val="single" w:sz="5" w:space="0" w:color="000000"/>
              <w:left w:val="single" w:sz="5" w:space="0" w:color="000000"/>
              <w:bottom w:val="single" w:sz="5" w:space="0" w:color="000000"/>
              <w:right w:val="single" w:sz="5" w:space="0" w:color="000000"/>
            </w:tcBorders>
          </w:tcPr>
          <w:p>
            <w:pPr>
              <w:pStyle w:val="TableParagraph"/>
              <w:spacing w:before="123"/>
              <w:ind w:left="329" w:right="336"/>
              <w:rPr>
                <w:rFonts w:ascii="Calibri"/>
                <w:b/>
                <w:sz w:val="15"/>
              </w:rPr>
            </w:pPr>
            <w:r>
              <w:rPr>
                <w:rFonts w:ascii="Calibri"/>
                <w:b/>
                <w:w w:val="105"/>
                <w:sz w:val="15"/>
              </w:rPr>
              <w:t>310</w:t>
            </w:r>
          </w:p>
        </w:tc>
      </w:tr>
      <w:tr>
        <w:trPr>
          <w:trHeight w:val="506" w:hRule="exact"/>
        </w:trPr>
        <w:tc>
          <w:tcPr>
            <w:tcW w:w="389" w:type="dxa"/>
            <w:tcBorders>
              <w:top w:val="single" w:sz="5" w:space="0" w:color="000000"/>
              <w:left w:val="single" w:sz="5" w:space="0" w:color="000000"/>
              <w:bottom w:val="single" w:sz="5" w:space="0" w:color="000000"/>
              <w:right w:val="single" w:sz="5" w:space="0" w:color="000000"/>
            </w:tcBorders>
          </w:tcPr>
          <w:p>
            <w:pPr>
              <w:pStyle w:val="TableParagraph"/>
              <w:spacing w:before="11"/>
              <w:jc w:val="left"/>
              <w:rPr>
                <w:sz w:val="12"/>
              </w:rPr>
            </w:pPr>
          </w:p>
          <w:p>
            <w:pPr>
              <w:pStyle w:val="TableParagraph"/>
              <w:ind w:right="9"/>
              <w:rPr>
                <w:rFonts w:ascii="Calibri"/>
                <w:sz w:val="15"/>
              </w:rPr>
            </w:pPr>
            <w:r>
              <w:rPr>
                <w:rFonts w:ascii="Calibri"/>
                <w:w w:val="103"/>
                <w:sz w:val="15"/>
              </w:rPr>
              <w:t>6</w:t>
            </w:r>
          </w:p>
        </w:tc>
        <w:tc>
          <w:tcPr>
            <w:tcW w:w="2271" w:type="dxa"/>
            <w:tcBorders>
              <w:top w:val="single" w:sz="5" w:space="0" w:color="000000"/>
              <w:left w:val="single" w:sz="5" w:space="0" w:color="000000"/>
              <w:bottom w:val="single" w:sz="5" w:space="0" w:color="000000"/>
              <w:right w:val="single" w:sz="5" w:space="0" w:color="000000"/>
            </w:tcBorders>
          </w:tcPr>
          <w:p>
            <w:pPr>
              <w:pStyle w:val="TableParagraph"/>
              <w:spacing w:before="7"/>
              <w:jc w:val="left"/>
              <w:rPr>
                <w:sz w:val="12"/>
              </w:rPr>
            </w:pPr>
          </w:p>
          <w:p>
            <w:pPr>
              <w:pStyle w:val="TableParagraph"/>
              <w:ind w:left="25"/>
              <w:jc w:val="left"/>
              <w:rPr>
                <w:rFonts w:ascii="Calibri"/>
                <w:b/>
                <w:sz w:val="14"/>
              </w:rPr>
            </w:pPr>
            <w:r>
              <w:rPr>
                <w:rFonts w:ascii="Calibri"/>
                <w:b/>
                <w:sz w:val="14"/>
              </w:rPr>
              <w:t>"URBI Hacienda Lomas"</w:t>
            </w:r>
          </w:p>
        </w:tc>
        <w:tc>
          <w:tcPr>
            <w:tcW w:w="1272" w:type="dxa"/>
            <w:tcBorders>
              <w:top w:val="single" w:sz="5" w:space="0" w:color="000000"/>
              <w:left w:val="single" w:sz="5" w:space="0" w:color="000000"/>
              <w:bottom w:val="single" w:sz="5" w:space="0" w:color="000000"/>
              <w:right w:val="single" w:sz="5" w:space="0" w:color="000000"/>
            </w:tcBorders>
          </w:tcPr>
          <w:p>
            <w:pPr>
              <w:pStyle w:val="TableParagraph"/>
              <w:spacing w:before="11"/>
              <w:jc w:val="left"/>
              <w:rPr>
                <w:sz w:val="12"/>
              </w:rPr>
            </w:pPr>
          </w:p>
          <w:p>
            <w:pPr>
              <w:pStyle w:val="TableParagraph"/>
              <w:ind w:left="302" w:right="316"/>
              <w:rPr>
                <w:rFonts w:ascii="Calibri"/>
                <w:sz w:val="15"/>
              </w:rPr>
            </w:pPr>
            <w:r>
              <w:rPr>
                <w:rFonts w:ascii="Calibri"/>
                <w:w w:val="105"/>
                <w:sz w:val="15"/>
              </w:rPr>
              <w:t>10/09/10</w:t>
            </w:r>
          </w:p>
        </w:tc>
        <w:tc>
          <w:tcPr>
            <w:tcW w:w="2051" w:type="dxa"/>
            <w:tcBorders>
              <w:top w:val="single" w:sz="5" w:space="0" w:color="000000"/>
              <w:left w:val="single" w:sz="5" w:space="0" w:color="000000"/>
              <w:bottom w:val="single" w:sz="5" w:space="0" w:color="000000"/>
              <w:right w:val="single" w:sz="5" w:space="0" w:color="000000"/>
            </w:tcBorders>
          </w:tcPr>
          <w:p>
            <w:pPr>
              <w:pStyle w:val="TableParagraph"/>
              <w:spacing w:before="45"/>
              <w:ind w:left="25" w:right="5"/>
              <w:jc w:val="left"/>
              <w:rPr>
                <w:rFonts w:ascii="Calibri" w:hAnsi="Calibri"/>
                <w:sz w:val="15"/>
              </w:rPr>
            </w:pPr>
            <w:r>
              <w:rPr>
                <w:rFonts w:ascii="Calibri" w:hAnsi="Calibri"/>
                <w:w w:val="105"/>
                <w:sz w:val="15"/>
              </w:rPr>
              <w:t>Promoción y Desarrollos URBI,</w:t>
            </w:r>
          </w:p>
          <w:p>
            <w:pPr>
              <w:pStyle w:val="TableParagraph"/>
              <w:spacing w:before="11"/>
              <w:ind w:left="25" w:right="5"/>
              <w:jc w:val="left"/>
              <w:rPr>
                <w:rFonts w:ascii="Calibri"/>
                <w:sz w:val="15"/>
              </w:rPr>
            </w:pPr>
            <w:r>
              <w:rPr>
                <w:rFonts w:ascii="Calibri"/>
                <w:w w:val="105"/>
                <w:sz w:val="15"/>
              </w:rPr>
              <w:t>S.A. de C.V.</w:t>
            </w:r>
          </w:p>
        </w:tc>
        <w:tc>
          <w:tcPr>
            <w:tcW w:w="1752" w:type="dxa"/>
            <w:tcBorders>
              <w:top w:val="single" w:sz="5" w:space="0" w:color="000000"/>
              <w:left w:val="single" w:sz="5" w:space="0" w:color="000000"/>
              <w:bottom w:val="single" w:sz="5" w:space="0" w:color="000000"/>
              <w:right w:val="single" w:sz="5" w:space="0" w:color="000000"/>
            </w:tcBorders>
          </w:tcPr>
          <w:p>
            <w:pPr>
              <w:pStyle w:val="TableParagraph"/>
              <w:spacing w:before="11"/>
              <w:jc w:val="left"/>
              <w:rPr>
                <w:sz w:val="12"/>
              </w:rPr>
            </w:pPr>
          </w:p>
          <w:p>
            <w:pPr>
              <w:pStyle w:val="TableParagraph"/>
              <w:ind w:left="417" w:right="419"/>
              <w:rPr>
                <w:rFonts w:ascii="Calibri"/>
                <w:sz w:val="15"/>
              </w:rPr>
            </w:pPr>
            <w:r>
              <w:rPr>
                <w:rFonts w:ascii="Calibri"/>
                <w:w w:val="105"/>
                <w:sz w:val="15"/>
              </w:rPr>
              <w:t>Medio</w:t>
            </w:r>
          </w:p>
        </w:tc>
        <w:tc>
          <w:tcPr>
            <w:tcW w:w="1090" w:type="dxa"/>
            <w:tcBorders>
              <w:top w:val="single" w:sz="5" w:space="0" w:color="000000"/>
              <w:left w:val="single" w:sz="5" w:space="0" w:color="000000"/>
              <w:bottom w:val="single" w:sz="5" w:space="0" w:color="000000"/>
              <w:right w:val="single" w:sz="5" w:space="0" w:color="000000"/>
            </w:tcBorders>
          </w:tcPr>
          <w:p>
            <w:pPr>
              <w:pStyle w:val="TableParagraph"/>
              <w:spacing w:before="11"/>
              <w:jc w:val="left"/>
              <w:rPr>
                <w:sz w:val="12"/>
              </w:rPr>
            </w:pPr>
          </w:p>
          <w:p>
            <w:pPr>
              <w:pStyle w:val="TableParagraph"/>
              <w:ind w:left="329" w:right="336"/>
              <w:rPr>
                <w:rFonts w:ascii="Calibri"/>
                <w:b/>
                <w:sz w:val="15"/>
              </w:rPr>
            </w:pPr>
            <w:r>
              <w:rPr>
                <w:rFonts w:ascii="Calibri"/>
                <w:b/>
                <w:w w:val="105"/>
                <w:sz w:val="15"/>
              </w:rPr>
              <w:t>325</w:t>
            </w:r>
          </w:p>
        </w:tc>
      </w:tr>
      <w:tr>
        <w:trPr>
          <w:trHeight w:val="895" w:hRule="exact"/>
        </w:trPr>
        <w:tc>
          <w:tcPr>
            <w:tcW w:w="389" w:type="dxa"/>
            <w:tcBorders>
              <w:top w:val="single" w:sz="5" w:space="0" w:color="000000"/>
              <w:left w:val="single" w:sz="5" w:space="0" w:color="000000"/>
              <w:bottom w:val="single" w:sz="5" w:space="0" w:color="000000"/>
              <w:right w:val="single" w:sz="5" w:space="0" w:color="000000"/>
            </w:tcBorders>
          </w:tcPr>
          <w:p>
            <w:pPr>
              <w:pStyle w:val="TableParagraph"/>
              <w:jc w:val="left"/>
              <w:rPr>
                <w:sz w:val="16"/>
              </w:rPr>
            </w:pPr>
          </w:p>
          <w:p>
            <w:pPr>
              <w:pStyle w:val="TableParagraph"/>
              <w:spacing w:before="10"/>
              <w:jc w:val="left"/>
              <w:rPr>
                <w:sz w:val="13"/>
              </w:rPr>
            </w:pPr>
          </w:p>
          <w:p>
            <w:pPr>
              <w:pStyle w:val="TableParagraph"/>
              <w:ind w:right="9"/>
              <w:rPr>
                <w:rFonts w:ascii="Calibri"/>
                <w:sz w:val="15"/>
              </w:rPr>
            </w:pPr>
            <w:r>
              <w:rPr>
                <w:rFonts w:ascii="Calibri"/>
                <w:w w:val="103"/>
                <w:sz w:val="15"/>
              </w:rPr>
              <w:t>7</w:t>
            </w:r>
          </w:p>
        </w:tc>
        <w:tc>
          <w:tcPr>
            <w:tcW w:w="2271" w:type="dxa"/>
            <w:tcBorders>
              <w:top w:val="single" w:sz="5" w:space="0" w:color="000000"/>
              <w:left w:val="single" w:sz="5" w:space="0" w:color="000000"/>
              <w:bottom w:val="single" w:sz="5" w:space="0" w:color="000000"/>
              <w:right w:val="single" w:sz="5" w:space="0" w:color="000000"/>
            </w:tcBorders>
          </w:tcPr>
          <w:p>
            <w:pPr>
              <w:pStyle w:val="TableParagraph"/>
              <w:jc w:val="left"/>
              <w:rPr>
                <w:sz w:val="14"/>
              </w:rPr>
            </w:pPr>
          </w:p>
          <w:p>
            <w:pPr>
              <w:pStyle w:val="TableParagraph"/>
              <w:spacing w:before="6"/>
              <w:jc w:val="left"/>
              <w:rPr>
                <w:sz w:val="15"/>
              </w:rPr>
            </w:pPr>
          </w:p>
          <w:p>
            <w:pPr>
              <w:pStyle w:val="TableParagraph"/>
              <w:ind w:left="25"/>
              <w:jc w:val="left"/>
              <w:rPr>
                <w:rFonts w:ascii="Calibri"/>
                <w:b/>
                <w:sz w:val="14"/>
              </w:rPr>
            </w:pPr>
            <w:r>
              <w:rPr>
                <w:rFonts w:ascii="Calibri"/>
                <w:b/>
                <w:sz w:val="14"/>
              </w:rPr>
              <w:t>"Bosque de las Fuentes"</w:t>
            </w:r>
          </w:p>
        </w:tc>
        <w:tc>
          <w:tcPr>
            <w:tcW w:w="1272" w:type="dxa"/>
            <w:tcBorders>
              <w:top w:val="single" w:sz="5" w:space="0" w:color="000000"/>
              <w:left w:val="single" w:sz="5" w:space="0" w:color="000000"/>
              <w:bottom w:val="single" w:sz="5" w:space="0" w:color="000000"/>
              <w:right w:val="single" w:sz="5" w:space="0" w:color="000000"/>
            </w:tcBorders>
          </w:tcPr>
          <w:p>
            <w:pPr>
              <w:pStyle w:val="TableParagraph"/>
              <w:jc w:val="left"/>
              <w:rPr>
                <w:sz w:val="16"/>
              </w:rPr>
            </w:pPr>
          </w:p>
          <w:p>
            <w:pPr>
              <w:pStyle w:val="TableParagraph"/>
              <w:spacing w:before="10"/>
              <w:jc w:val="left"/>
              <w:rPr>
                <w:sz w:val="13"/>
              </w:rPr>
            </w:pPr>
          </w:p>
          <w:p>
            <w:pPr>
              <w:pStyle w:val="TableParagraph"/>
              <w:ind w:left="302" w:right="316"/>
              <w:rPr>
                <w:rFonts w:ascii="Calibri"/>
                <w:sz w:val="15"/>
              </w:rPr>
            </w:pPr>
            <w:r>
              <w:rPr>
                <w:rFonts w:ascii="Calibri"/>
                <w:w w:val="105"/>
                <w:sz w:val="15"/>
              </w:rPr>
              <w:t>14/10/10</w:t>
            </w:r>
          </w:p>
        </w:tc>
        <w:tc>
          <w:tcPr>
            <w:tcW w:w="2051" w:type="dxa"/>
            <w:tcBorders>
              <w:top w:val="single" w:sz="5" w:space="0" w:color="000000"/>
              <w:left w:val="single" w:sz="5" w:space="0" w:color="000000"/>
              <w:bottom w:val="single" w:sz="5" w:space="0" w:color="000000"/>
              <w:right w:val="single" w:sz="5" w:space="0" w:color="000000"/>
            </w:tcBorders>
          </w:tcPr>
          <w:p>
            <w:pPr>
              <w:pStyle w:val="TableParagraph"/>
              <w:spacing w:before="9"/>
              <w:jc w:val="left"/>
              <w:rPr>
                <w:sz w:val="20"/>
              </w:rPr>
            </w:pPr>
          </w:p>
          <w:p>
            <w:pPr>
              <w:pStyle w:val="TableParagraph"/>
              <w:spacing w:line="254" w:lineRule="auto"/>
              <w:ind w:left="27" w:right="5" w:hanging="2"/>
              <w:jc w:val="left"/>
              <w:rPr>
                <w:rFonts w:ascii="Calibri"/>
                <w:sz w:val="15"/>
              </w:rPr>
            </w:pPr>
            <w:r>
              <w:rPr>
                <w:rFonts w:ascii="Calibri"/>
                <w:w w:val="105"/>
                <w:sz w:val="15"/>
              </w:rPr>
              <w:t>Inmobiliaria HATTIE, S.A. de C.V.</w:t>
            </w:r>
          </w:p>
        </w:tc>
        <w:tc>
          <w:tcPr>
            <w:tcW w:w="1752" w:type="dxa"/>
            <w:tcBorders>
              <w:top w:val="single" w:sz="5" w:space="0" w:color="000000"/>
              <w:left w:val="single" w:sz="5" w:space="0" w:color="000000"/>
              <w:bottom w:val="single" w:sz="5" w:space="0" w:color="000000"/>
              <w:right w:val="single" w:sz="5" w:space="0" w:color="000000"/>
            </w:tcBorders>
          </w:tcPr>
          <w:p>
            <w:pPr>
              <w:pStyle w:val="TableParagraph"/>
              <w:spacing w:before="11"/>
              <w:jc w:val="left"/>
              <w:rPr>
                <w:sz w:val="12"/>
              </w:rPr>
            </w:pPr>
          </w:p>
          <w:p>
            <w:pPr>
              <w:pStyle w:val="TableParagraph"/>
              <w:spacing w:line="254" w:lineRule="auto"/>
              <w:ind w:left="51" w:right="68" w:firstLine="17"/>
              <w:rPr>
                <w:rFonts w:ascii="Calibri"/>
                <w:sz w:val="15"/>
              </w:rPr>
            </w:pPr>
            <w:r>
              <w:rPr>
                <w:rFonts w:ascii="Calibri"/>
                <w:w w:val="105"/>
                <w:sz w:val="15"/>
              </w:rPr>
              <w:t>Tipo Mixto (Habitacional Residencial</w:t>
            </w:r>
            <w:r>
              <w:rPr>
                <w:rFonts w:ascii="Calibri"/>
                <w:spacing w:val="-10"/>
                <w:w w:val="105"/>
                <w:sz w:val="15"/>
              </w:rPr>
              <w:t> </w:t>
            </w:r>
            <w:r>
              <w:rPr>
                <w:rFonts w:ascii="Calibri"/>
                <w:w w:val="105"/>
                <w:sz w:val="15"/>
              </w:rPr>
              <w:t>con</w:t>
            </w:r>
            <w:r>
              <w:rPr>
                <w:rFonts w:ascii="Calibri"/>
                <w:spacing w:val="-10"/>
                <w:w w:val="105"/>
                <w:sz w:val="15"/>
              </w:rPr>
              <w:t> </w:t>
            </w:r>
            <w:r>
              <w:rPr>
                <w:rFonts w:ascii="Calibri"/>
                <w:w w:val="105"/>
                <w:sz w:val="15"/>
              </w:rPr>
              <w:t>Comercio</w:t>
            </w:r>
            <w:r>
              <w:rPr>
                <w:rFonts w:ascii="Calibri"/>
                <w:w w:val="103"/>
                <w:sz w:val="15"/>
              </w:rPr>
              <w:t> </w:t>
            </w:r>
            <w:r>
              <w:rPr>
                <w:rFonts w:ascii="Calibri"/>
                <w:w w:val="105"/>
                <w:sz w:val="15"/>
              </w:rPr>
              <w:t>y</w:t>
            </w:r>
            <w:r>
              <w:rPr>
                <w:rFonts w:ascii="Calibri"/>
                <w:spacing w:val="-10"/>
                <w:w w:val="105"/>
                <w:sz w:val="15"/>
              </w:rPr>
              <w:t> </w:t>
            </w:r>
            <w:r>
              <w:rPr>
                <w:rFonts w:ascii="Calibri"/>
                <w:w w:val="105"/>
                <w:sz w:val="15"/>
              </w:rPr>
              <w:t>Servicios)</w:t>
            </w:r>
          </w:p>
        </w:tc>
        <w:tc>
          <w:tcPr>
            <w:tcW w:w="1090" w:type="dxa"/>
            <w:tcBorders>
              <w:top w:val="single" w:sz="5" w:space="0" w:color="000000"/>
              <w:left w:val="single" w:sz="5" w:space="0" w:color="000000"/>
              <w:bottom w:val="single" w:sz="5" w:space="0" w:color="000000"/>
              <w:right w:val="single" w:sz="5" w:space="0" w:color="000000"/>
            </w:tcBorders>
          </w:tcPr>
          <w:p>
            <w:pPr>
              <w:pStyle w:val="TableParagraph"/>
              <w:jc w:val="left"/>
              <w:rPr>
                <w:sz w:val="16"/>
              </w:rPr>
            </w:pPr>
          </w:p>
          <w:p>
            <w:pPr>
              <w:pStyle w:val="TableParagraph"/>
              <w:spacing w:before="10"/>
              <w:jc w:val="left"/>
              <w:rPr>
                <w:sz w:val="13"/>
              </w:rPr>
            </w:pPr>
          </w:p>
          <w:p>
            <w:pPr>
              <w:pStyle w:val="TableParagraph"/>
              <w:ind w:left="329" w:right="336"/>
              <w:rPr>
                <w:rFonts w:ascii="Calibri"/>
                <w:b/>
                <w:sz w:val="15"/>
              </w:rPr>
            </w:pPr>
            <w:r>
              <w:rPr>
                <w:rFonts w:ascii="Calibri"/>
                <w:b/>
                <w:w w:val="105"/>
                <w:sz w:val="15"/>
              </w:rPr>
              <w:t>987</w:t>
            </w:r>
          </w:p>
        </w:tc>
      </w:tr>
      <w:tr>
        <w:trPr>
          <w:trHeight w:val="454" w:hRule="exact"/>
        </w:trPr>
        <w:tc>
          <w:tcPr>
            <w:tcW w:w="389" w:type="dxa"/>
            <w:tcBorders>
              <w:top w:val="single" w:sz="5" w:space="0" w:color="000000"/>
              <w:left w:val="single" w:sz="5" w:space="0" w:color="000000"/>
              <w:bottom w:val="single" w:sz="5" w:space="0" w:color="000000"/>
              <w:right w:val="single" w:sz="5" w:space="0" w:color="000000"/>
            </w:tcBorders>
          </w:tcPr>
          <w:p>
            <w:pPr>
              <w:pStyle w:val="TableParagraph"/>
              <w:spacing w:before="123"/>
              <w:ind w:right="9"/>
              <w:rPr>
                <w:rFonts w:ascii="Calibri"/>
                <w:sz w:val="15"/>
              </w:rPr>
            </w:pPr>
            <w:r>
              <w:rPr>
                <w:rFonts w:ascii="Calibri"/>
                <w:w w:val="103"/>
                <w:sz w:val="15"/>
              </w:rPr>
              <w:t>8</w:t>
            </w:r>
          </w:p>
        </w:tc>
        <w:tc>
          <w:tcPr>
            <w:tcW w:w="2271" w:type="dxa"/>
            <w:tcBorders>
              <w:top w:val="single" w:sz="5" w:space="0" w:color="000000"/>
              <w:left w:val="single" w:sz="5" w:space="0" w:color="000000"/>
              <w:bottom w:val="single" w:sz="5" w:space="0" w:color="000000"/>
              <w:right w:val="single" w:sz="5" w:space="0" w:color="000000"/>
            </w:tcBorders>
          </w:tcPr>
          <w:p>
            <w:pPr>
              <w:pStyle w:val="TableParagraph"/>
              <w:spacing w:before="119"/>
              <w:ind w:left="25"/>
              <w:jc w:val="left"/>
              <w:rPr>
                <w:rFonts w:ascii="Calibri"/>
                <w:b/>
                <w:sz w:val="14"/>
              </w:rPr>
            </w:pPr>
            <w:r>
              <w:rPr>
                <w:rFonts w:ascii="Calibri"/>
                <w:b/>
                <w:sz w:val="14"/>
              </w:rPr>
              <w:t>"Hacienda de las  Fuentes"</w:t>
            </w:r>
          </w:p>
        </w:tc>
        <w:tc>
          <w:tcPr>
            <w:tcW w:w="1272" w:type="dxa"/>
            <w:tcBorders>
              <w:top w:val="single" w:sz="5" w:space="0" w:color="000000"/>
              <w:left w:val="single" w:sz="5" w:space="0" w:color="000000"/>
              <w:bottom w:val="single" w:sz="5" w:space="0" w:color="000000"/>
              <w:right w:val="single" w:sz="5" w:space="0" w:color="000000"/>
            </w:tcBorders>
          </w:tcPr>
          <w:p>
            <w:pPr>
              <w:pStyle w:val="TableParagraph"/>
              <w:spacing w:before="123"/>
              <w:ind w:left="302" w:right="316"/>
              <w:rPr>
                <w:rFonts w:ascii="Calibri"/>
                <w:sz w:val="15"/>
              </w:rPr>
            </w:pPr>
            <w:r>
              <w:rPr>
                <w:rFonts w:ascii="Calibri"/>
                <w:w w:val="105"/>
                <w:sz w:val="15"/>
              </w:rPr>
              <w:t>22/10/10</w:t>
            </w:r>
          </w:p>
        </w:tc>
        <w:tc>
          <w:tcPr>
            <w:tcW w:w="2051" w:type="dxa"/>
            <w:tcBorders>
              <w:top w:val="single" w:sz="5" w:space="0" w:color="000000"/>
              <w:left w:val="single" w:sz="5" w:space="0" w:color="000000"/>
              <w:bottom w:val="single" w:sz="5" w:space="0" w:color="000000"/>
              <w:right w:val="single" w:sz="5" w:space="0" w:color="000000"/>
            </w:tcBorders>
          </w:tcPr>
          <w:p>
            <w:pPr>
              <w:pStyle w:val="TableParagraph"/>
              <w:spacing w:before="123"/>
              <w:ind w:right="94"/>
              <w:rPr>
                <w:rFonts w:ascii="Calibri"/>
                <w:sz w:val="15"/>
              </w:rPr>
            </w:pPr>
            <w:r>
              <w:rPr>
                <w:rFonts w:ascii="Calibri"/>
                <w:w w:val="105"/>
                <w:sz w:val="15"/>
              </w:rPr>
              <w:t>GEO Edificaciones S.A. de C.V.</w:t>
            </w:r>
          </w:p>
        </w:tc>
        <w:tc>
          <w:tcPr>
            <w:tcW w:w="1752" w:type="dxa"/>
            <w:tcBorders>
              <w:top w:val="single" w:sz="5" w:space="0" w:color="000000"/>
              <w:left w:val="single" w:sz="5" w:space="0" w:color="000000"/>
              <w:bottom w:val="single" w:sz="5" w:space="0" w:color="000000"/>
              <w:right w:val="single" w:sz="5" w:space="0" w:color="000000"/>
            </w:tcBorders>
          </w:tcPr>
          <w:p>
            <w:pPr>
              <w:pStyle w:val="TableParagraph"/>
              <w:spacing w:before="123"/>
              <w:ind w:left="417" w:right="419"/>
              <w:rPr>
                <w:rFonts w:ascii="Calibri"/>
                <w:sz w:val="15"/>
              </w:rPr>
            </w:pPr>
            <w:r>
              <w:rPr>
                <w:rFonts w:ascii="Calibri"/>
                <w:w w:val="105"/>
                <w:sz w:val="15"/>
              </w:rPr>
              <w:t>Medio</w:t>
            </w:r>
          </w:p>
        </w:tc>
        <w:tc>
          <w:tcPr>
            <w:tcW w:w="1090" w:type="dxa"/>
            <w:tcBorders>
              <w:top w:val="single" w:sz="5" w:space="0" w:color="000000"/>
              <w:left w:val="single" w:sz="5" w:space="0" w:color="000000"/>
              <w:bottom w:val="single" w:sz="5" w:space="0" w:color="000000"/>
              <w:right w:val="single" w:sz="5" w:space="0" w:color="000000"/>
            </w:tcBorders>
          </w:tcPr>
          <w:p>
            <w:pPr>
              <w:pStyle w:val="TableParagraph"/>
              <w:spacing w:before="123"/>
              <w:ind w:left="329" w:right="347"/>
              <w:rPr>
                <w:rFonts w:ascii="Calibri"/>
                <w:b/>
                <w:sz w:val="15"/>
              </w:rPr>
            </w:pPr>
            <w:r>
              <w:rPr>
                <w:rFonts w:ascii="Calibri"/>
                <w:b/>
                <w:w w:val="105"/>
                <w:sz w:val="15"/>
              </w:rPr>
              <w:t>1,750</w:t>
            </w:r>
          </w:p>
        </w:tc>
      </w:tr>
      <w:tr>
        <w:trPr>
          <w:trHeight w:val="869" w:hRule="exact"/>
        </w:trPr>
        <w:tc>
          <w:tcPr>
            <w:tcW w:w="389" w:type="dxa"/>
            <w:tcBorders>
              <w:top w:val="single" w:sz="5" w:space="0" w:color="000000"/>
              <w:left w:val="single" w:sz="5" w:space="0" w:color="000000"/>
              <w:bottom w:val="single" w:sz="5" w:space="0" w:color="000000"/>
              <w:right w:val="single" w:sz="5" w:space="0" w:color="000000"/>
            </w:tcBorders>
          </w:tcPr>
          <w:p>
            <w:pPr>
              <w:pStyle w:val="TableParagraph"/>
              <w:jc w:val="left"/>
              <w:rPr>
                <w:sz w:val="16"/>
              </w:rPr>
            </w:pPr>
          </w:p>
          <w:p>
            <w:pPr>
              <w:pStyle w:val="TableParagraph"/>
              <w:spacing w:before="8"/>
              <w:jc w:val="left"/>
              <w:rPr>
                <w:sz w:val="12"/>
              </w:rPr>
            </w:pPr>
          </w:p>
          <w:p>
            <w:pPr>
              <w:pStyle w:val="TableParagraph"/>
              <w:ind w:right="9"/>
              <w:rPr>
                <w:rFonts w:ascii="Calibri"/>
                <w:sz w:val="15"/>
              </w:rPr>
            </w:pPr>
            <w:r>
              <w:rPr>
                <w:rFonts w:ascii="Calibri"/>
                <w:w w:val="103"/>
                <w:sz w:val="15"/>
              </w:rPr>
              <w:t>9</w:t>
            </w:r>
          </w:p>
        </w:tc>
        <w:tc>
          <w:tcPr>
            <w:tcW w:w="2271" w:type="dxa"/>
            <w:tcBorders>
              <w:top w:val="single" w:sz="5" w:space="0" w:color="000000"/>
              <w:left w:val="single" w:sz="5" w:space="0" w:color="000000"/>
              <w:bottom w:val="single" w:sz="5" w:space="0" w:color="000000"/>
              <w:right w:val="single" w:sz="5" w:space="0" w:color="000000"/>
            </w:tcBorders>
          </w:tcPr>
          <w:p>
            <w:pPr>
              <w:pStyle w:val="TableParagraph"/>
              <w:jc w:val="left"/>
              <w:rPr>
                <w:sz w:val="14"/>
              </w:rPr>
            </w:pPr>
          </w:p>
          <w:p>
            <w:pPr>
              <w:pStyle w:val="TableParagraph"/>
              <w:spacing w:before="5"/>
              <w:jc w:val="left"/>
              <w:rPr>
                <w:sz w:val="14"/>
              </w:rPr>
            </w:pPr>
          </w:p>
          <w:p>
            <w:pPr>
              <w:pStyle w:val="TableParagraph"/>
              <w:ind w:left="25"/>
              <w:jc w:val="left"/>
              <w:rPr>
                <w:rFonts w:ascii="Calibri"/>
                <w:b/>
                <w:sz w:val="14"/>
              </w:rPr>
            </w:pPr>
            <w:r>
              <w:rPr>
                <w:rFonts w:ascii="Calibri"/>
                <w:b/>
                <w:sz w:val="14"/>
              </w:rPr>
              <w:t>"Valle de las Fuentes"</w:t>
            </w:r>
          </w:p>
        </w:tc>
        <w:tc>
          <w:tcPr>
            <w:tcW w:w="1272" w:type="dxa"/>
            <w:tcBorders>
              <w:top w:val="single" w:sz="5" w:space="0" w:color="000000"/>
              <w:left w:val="single" w:sz="5" w:space="0" w:color="000000"/>
              <w:bottom w:val="single" w:sz="5" w:space="0" w:color="000000"/>
              <w:right w:val="single" w:sz="5" w:space="0" w:color="000000"/>
            </w:tcBorders>
          </w:tcPr>
          <w:p>
            <w:pPr>
              <w:pStyle w:val="TableParagraph"/>
              <w:jc w:val="left"/>
              <w:rPr>
                <w:sz w:val="16"/>
              </w:rPr>
            </w:pPr>
          </w:p>
          <w:p>
            <w:pPr>
              <w:pStyle w:val="TableParagraph"/>
              <w:spacing w:before="8"/>
              <w:jc w:val="left"/>
              <w:rPr>
                <w:sz w:val="12"/>
              </w:rPr>
            </w:pPr>
          </w:p>
          <w:p>
            <w:pPr>
              <w:pStyle w:val="TableParagraph"/>
              <w:ind w:left="302" w:right="316"/>
              <w:rPr>
                <w:rFonts w:ascii="Calibri"/>
                <w:sz w:val="15"/>
              </w:rPr>
            </w:pPr>
            <w:r>
              <w:rPr>
                <w:rFonts w:ascii="Calibri"/>
                <w:w w:val="105"/>
                <w:sz w:val="15"/>
              </w:rPr>
              <w:t>21/12/10</w:t>
            </w:r>
          </w:p>
        </w:tc>
        <w:tc>
          <w:tcPr>
            <w:tcW w:w="2051" w:type="dxa"/>
            <w:tcBorders>
              <w:top w:val="single" w:sz="5" w:space="0" w:color="000000"/>
              <w:left w:val="single" w:sz="5" w:space="0" w:color="000000"/>
              <w:bottom w:val="single" w:sz="5" w:space="0" w:color="000000"/>
              <w:right w:val="single" w:sz="5" w:space="0" w:color="000000"/>
            </w:tcBorders>
          </w:tcPr>
          <w:p>
            <w:pPr>
              <w:pStyle w:val="TableParagraph"/>
              <w:spacing w:before="8"/>
              <w:jc w:val="left"/>
              <w:rPr>
                <w:sz w:val="19"/>
              </w:rPr>
            </w:pPr>
          </w:p>
          <w:p>
            <w:pPr>
              <w:pStyle w:val="TableParagraph"/>
              <w:ind w:left="25" w:right="5"/>
              <w:jc w:val="left"/>
              <w:rPr>
                <w:rFonts w:ascii="Calibri"/>
                <w:sz w:val="15"/>
              </w:rPr>
            </w:pPr>
            <w:r>
              <w:rPr>
                <w:rFonts w:ascii="Calibri"/>
                <w:w w:val="105"/>
                <w:sz w:val="15"/>
              </w:rPr>
              <w:t>Consorcio Inmobiliario ZERO,</w:t>
            </w:r>
          </w:p>
          <w:p>
            <w:pPr>
              <w:pStyle w:val="TableParagraph"/>
              <w:spacing w:before="11"/>
              <w:ind w:left="26" w:right="5"/>
              <w:jc w:val="left"/>
              <w:rPr>
                <w:rFonts w:ascii="Calibri"/>
                <w:sz w:val="15"/>
              </w:rPr>
            </w:pPr>
            <w:r>
              <w:rPr>
                <w:rFonts w:ascii="Calibri"/>
                <w:w w:val="105"/>
                <w:sz w:val="15"/>
              </w:rPr>
              <w:t>S.A. de C.V.</w:t>
            </w:r>
          </w:p>
        </w:tc>
        <w:tc>
          <w:tcPr>
            <w:tcW w:w="1752" w:type="dxa"/>
            <w:tcBorders>
              <w:top w:val="single" w:sz="5" w:space="0" w:color="000000"/>
              <w:left w:val="single" w:sz="5" w:space="0" w:color="000000"/>
              <w:bottom w:val="single" w:sz="5" w:space="0" w:color="000000"/>
              <w:right w:val="single" w:sz="5" w:space="0" w:color="000000"/>
            </w:tcBorders>
          </w:tcPr>
          <w:p>
            <w:pPr>
              <w:pStyle w:val="TableParagraph"/>
              <w:spacing w:line="254" w:lineRule="auto" w:before="136"/>
              <w:ind w:left="51" w:right="68" w:firstLine="17"/>
              <w:rPr>
                <w:rFonts w:ascii="Calibri"/>
                <w:sz w:val="15"/>
              </w:rPr>
            </w:pPr>
            <w:r>
              <w:rPr>
                <w:rFonts w:ascii="Calibri"/>
                <w:w w:val="105"/>
                <w:sz w:val="15"/>
              </w:rPr>
              <w:t>Tipo Mixto (Habitacional Residencial</w:t>
            </w:r>
            <w:r>
              <w:rPr>
                <w:rFonts w:ascii="Calibri"/>
                <w:spacing w:val="-10"/>
                <w:w w:val="105"/>
                <w:sz w:val="15"/>
              </w:rPr>
              <w:t> </w:t>
            </w:r>
            <w:r>
              <w:rPr>
                <w:rFonts w:ascii="Calibri"/>
                <w:w w:val="105"/>
                <w:sz w:val="15"/>
              </w:rPr>
              <w:t>con</w:t>
            </w:r>
            <w:r>
              <w:rPr>
                <w:rFonts w:ascii="Calibri"/>
                <w:spacing w:val="-10"/>
                <w:w w:val="105"/>
                <w:sz w:val="15"/>
              </w:rPr>
              <w:t> </w:t>
            </w:r>
            <w:r>
              <w:rPr>
                <w:rFonts w:ascii="Calibri"/>
                <w:w w:val="105"/>
                <w:sz w:val="15"/>
              </w:rPr>
              <w:t>Comercio</w:t>
            </w:r>
            <w:r>
              <w:rPr>
                <w:rFonts w:ascii="Calibri"/>
                <w:w w:val="103"/>
                <w:sz w:val="15"/>
              </w:rPr>
              <w:t> </w:t>
            </w:r>
            <w:r>
              <w:rPr>
                <w:rFonts w:ascii="Calibri"/>
                <w:w w:val="105"/>
                <w:sz w:val="15"/>
              </w:rPr>
              <w:t>y</w:t>
            </w:r>
            <w:r>
              <w:rPr>
                <w:rFonts w:ascii="Calibri"/>
                <w:spacing w:val="-10"/>
                <w:w w:val="105"/>
                <w:sz w:val="15"/>
              </w:rPr>
              <w:t> </w:t>
            </w:r>
            <w:r>
              <w:rPr>
                <w:rFonts w:ascii="Calibri"/>
                <w:w w:val="105"/>
                <w:sz w:val="15"/>
              </w:rPr>
              <w:t>Servicios)</w:t>
            </w:r>
          </w:p>
        </w:tc>
        <w:tc>
          <w:tcPr>
            <w:tcW w:w="1090" w:type="dxa"/>
            <w:tcBorders>
              <w:top w:val="single" w:sz="5" w:space="0" w:color="000000"/>
              <w:left w:val="single" w:sz="5" w:space="0" w:color="000000"/>
              <w:bottom w:val="single" w:sz="5" w:space="0" w:color="000000"/>
              <w:right w:val="single" w:sz="5" w:space="0" w:color="000000"/>
            </w:tcBorders>
          </w:tcPr>
          <w:p>
            <w:pPr>
              <w:pStyle w:val="TableParagraph"/>
              <w:jc w:val="left"/>
              <w:rPr>
                <w:sz w:val="16"/>
              </w:rPr>
            </w:pPr>
          </w:p>
          <w:p>
            <w:pPr>
              <w:pStyle w:val="TableParagraph"/>
              <w:spacing w:before="8"/>
              <w:jc w:val="left"/>
              <w:rPr>
                <w:sz w:val="12"/>
              </w:rPr>
            </w:pPr>
          </w:p>
          <w:p>
            <w:pPr>
              <w:pStyle w:val="TableParagraph"/>
              <w:ind w:left="329" w:right="336"/>
              <w:rPr>
                <w:rFonts w:ascii="Calibri"/>
                <w:b/>
                <w:sz w:val="15"/>
              </w:rPr>
            </w:pPr>
            <w:r>
              <w:rPr>
                <w:rFonts w:ascii="Calibri"/>
                <w:b/>
                <w:w w:val="105"/>
                <w:sz w:val="15"/>
              </w:rPr>
              <w:t>464</w:t>
            </w:r>
          </w:p>
        </w:tc>
      </w:tr>
    </w:tbl>
    <w:p>
      <w:pPr>
        <w:pStyle w:val="BodyText"/>
      </w:pPr>
    </w:p>
    <w:p>
      <w:pPr>
        <w:spacing w:before="176"/>
        <w:ind w:left="268" w:right="0" w:firstLine="0"/>
        <w:jc w:val="both"/>
        <w:rPr>
          <w:sz w:val="21"/>
        </w:rPr>
      </w:pPr>
      <w:r>
        <w:rPr/>
        <w:pict>
          <v:shape style="position:absolute;margin-left:398.471985pt;margin-top:-14.461027pt;width:142.8pt;height:16.9pt;mso-position-horizontal-relative:page;mso-position-vertical-relative:paragraph;z-index:-1151392" type="#_x0000_t202" filled="true" fillcolor="#000000" stroked="false">
            <v:textbox inset="0,0,0,0">
              <w:txbxContent>
                <w:p>
                  <w:pPr>
                    <w:tabs>
                      <w:tab w:pos="2089" w:val="left" w:leader="none"/>
                    </w:tabs>
                    <w:spacing w:before="71"/>
                    <w:ind w:left="713" w:right="0" w:firstLine="0"/>
                    <w:jc w:val="left"/>
                    <w:rPr>
                      <w:rFonts w:ascii="Calibri"/>
                      <w:b/>
                      <w:sz w:val="15"/>
                    </w:rPr>
                  </w:pPr>
                  <w:r>
                    <w:rPr>
                      <w:rFonts w:ascii="Calibri"/>
                      <w:b/>
                      <w:color w:val="FFFFFF"/>
                      <w:w w:val="105"/>
                      <w:sz w:val="15"/>
                    </w:rPr>
                    <w:t>Total</w:t>
                    <w:tab/>
                    <w:t>11,837</w:t>
                  </w:r>
                </w:p>
              </w:txbxContent>
            </v:textbox>
            <v:fill type="solid"/>
            <w10:wrap type="none"/>
          </v:shape>
        </w:pict>
      </w:r>
      <w:r>
        <w:rPr>
          <w:w w:val="105"/>
          <w:sz w:val="21"/>
        </w:rPr>
        <w:t>Fuente: Elaboración propia con base a gacetas del gobierno y tableros de control.</w:t>
      </w:r>
    </w:p>
    <w:p>
      <w:pPr>
        <w:spacing w:after="0"/>
        <w:jc w:val="both"/>
        <w:rPr>
          <w:sz w:val="21"/>
        </w:rPr>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6664" from="93.199997pt,-19.614155pt" to="546.799997pt,-19.614155pt" stroked="true" strokeweight=".479981pt" strokecolor="#000000">
            <w10:wrap type="none"/>
          </v:line>
        </w:pict>
      </w:r>
      <w:r>
        <w:rPr/>
        <w:t>De los nueve conjuntos urbanos autorizados en distintos años, el más antiguo fue autorizado en 2007 y el más reciente en el 2010, muestra que en tres años fue cuando existieron autorizaciones de este tipo, lo que refleja que el periodo de tiempo y estas autorizaciones tiene relación con las administraciones federales y estatales, así como con el impulso a la política de vivienda a nivel nacional que se dio en los sexenios de Vicente Fox y Felipe Calderón.</w:t>
      </w:r>
    </w:p>
    <w:p>
      <w:pPr>
        <w:pStyle w:val="BodyText"/>
        <w:spacing w:line="360" w:lineRule="auto" w:before="122"/>
        <w:ind w:left="268" w:right="231"/>
        <w:jc w:val="both"/>
      </w:pPr>
      <w:r>
        <w:rPr/>
        <w:t>Una vez identificados los nueve conjuntos urbanos se realizó la depuración de información respecto a los desarrollos habitacionales para contar con la información necesaria.</w:t>
      </w:r>
    </w:p>
    <w:p>
      <w:pPr>
        <w:pStyle w:val="BodyText"/>
        <w:spacing w:line="360" w:lineRule="auto" w:before="122"/>
        <w:ind w:left="268" w:right="231"/>
        <w:jc w:val="both"/>
      </w:pPr>
      <w:r>
        <w:rPr/>
        <w:t>Se aplicaron nueve evaluaciones mediante la captura y llenado de un tablero de control general, con el sistema de 67 indicadores el cual fue clasificado en los cuatro ejes; social, ambiental, económico y territorial.</w:t>
      </w:r>
    </w:p>
    <w:p>
      <w:pPr>
        <w:pStyle w:val="BodyText"/>
        <w:spacing w:line="360" w:lineRule="auto" w:before="122"/>
        <w:ind w:left="268" w:right="231"/>
        <w:jc w:val="both"/>
      </w:pPr>
      <w:r>
        <w:rPr/>
        <w:t>Las evaluaciones se efectuaron con visitas de campo y trabajo en los nueve desarrollos habitacionales mediante técnicas de observación ordinaria y participativa realizando encuestas y entrevistas no estructuradas, hechas aleatoriamente durante el trabajo de campo, las cuales se llevaron a cabo durante tres periodos distintos que comprendieron el segundo semestre de los años 2013, 2014 y 2015, con el objetivo de contar con datos en tres periodos de tiempo distintos y comparar la existencia de cambios significativos para la evaluación final del estudio.</w:t>
      </w:r>
    </w:p>
    <w:p>
      <w:pPr>
        <w:pStyle w:val="BodyText"/>
        <w:spacing w:line="360" w:lineRule="auto" w:before="122"/>
        <w:ind w:left="268" w:right="231"/>
        <w:jc w:val="both"/>
      </w:pPr>
      <w:r>
        <w:rPr/>
        <w:t>Para la estructura de los indicadores que conforman el sistema metodológico de evaluación se consideró información que solo se puede obtener con el trabajo de campo realizado, complementada con el análisis de información estadística de los casos de estudio.</w:t>
      </w:r>
    </w:p>
    <w:p>
      <w:pPr>
        <w:pStyle w:val="BodyText"/>
        <w:spacing w:line="360" w:lineRule="auto" w:before="122"/>
        <w:ind w:left="268" w:right="231"/>
        <w:jc w:val="both"/>
      </w:pPr>
      <w:r>
        <w:rPr/>
        <w:t>En el trabajo de campo y análisis desarrollado en cada conjunto urbano, se presentaron ciertas dificultades para la obtención de información tanto de carácter técnico como de accesibilidad a los desarrollos habitacionales, ya que el 90% de ellos  son  cerrados  y  cuentan  con  vigilancia  privada;  sin  embargo,  con     </w:t>
      </w:r>
      <w:r>
        <w:rPr>
          <w:spacing w:val="62"/>
        </w:rPr>
        <w:t> </w:t>
      </w:r>
      <w:r>
        <w:rPr/>
        <w:t>las</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6712" from="93.199997pt,-19.614155pt" to="546.799997pt,-19.614155pt" stroked="true" strokeweight=".479981pt" strokecolor="#000000">
            <w10:wrap type="none"/>
          </v:line>
        </w:pict>
      </w:r>
      <w:r>
        <w:rPr/>
        <w:t>actividades de investigación se logró mejorar el sistema de evaluación lo que permitió cumplir con los objetivos del estudio aplicado.</w:t>
      </w:r>
    </w:p>
    <w:p>
      <w:pPr>
        <w:pStyle w:val="BodyText"/>
        <w:spacing w:line="360" w:lineRule="auto" w:before="122"/>
        <w:ind w:left="268" w:right="231"/>
        <w:jc w:val="both"/>
      </w:pPr>
      <w:r>
        <w:rPr/>
        <w:t>El 80% de los conjuntos urbanos se encuentran localizados al noreste del municipio y como acceso principal utilizan la vialidad secundaria conocida como camino a Calimaya, la cual lleva a la cabecera municipal como lo muestra el mapa de ubicación de conjuntos. (Ver mapa 5)</w:t>
      </w:r>
    </w:p>
    <w:p>
      <w:pPr>
        <w:pStyle w:val="BodyText"/>
      </w:pPr>
    </w:p>
    <w:p>
      <w:pPr>
        <w:pStyle w:val="BodyText"/>
        <w:spacing w:before="2"/>
        <w:rPr>
          <w:sz w:val="19"/>
        </w:rPr>
      </w:pPr>
    </w:p>
    <w:p>
      <w:pPr>
        <w:spacing w:before="0"/>
        <w:ind w:left="268" w:right="0" w:firstLine="0"/>
        <w:jc w:val="both"/>
        <w:rPr>
          <w:sz w:val="21"/>
        </w:rPr>
      </w:pPr>
      <w:r>
        <w:rPr>
          <w:w w:val="105"/>
          <w:sz w:val="21"/>
        </w:rPr>
        <w:t>Mapa 5. Ubicación de Conjuntos Urbanos en Calimaya.</w:t>
      </w:r>
    </w:p>
    <w:p>
      <w:pPr>
        <w:pStyle w:val="BodyText"/>
        <w:spacing w:before="8"/>
        <w:rPr>
          <w:sz w:val="8"/>
        </w:rPr>
      </w:pPr>
      <w:r>
        <w:rPr/>
        <w:drawing>
          <wp:anchor distT="0" distB="0" distL="0" distR="0" allowOverlap="1" layoutInCell="1" locked="0" behindDoc="0" simplePos="0" relativeHeight="6688">
            <wp:simplePos x="0" y="0"/>
            <wp:positionH relativeFrom="page">
              <wp:posOffset>1261491</wp:posOffset>
            </wp:positionH>
            <wp:positionV relativeFrom="paragraph">
              <wp:posOffset>88581</wp:posOffset>
            </wp:positionV>
            <wp:extent cx="5617605" cy="4298251"/>
            <wp:effectExtent l="0" t="0" r="0" b="0"/>
            <wp:wrapTopAndBottom/>
            <wp:docPr id="25" name="image44.jpeg" descr=""/>
            <wp:cNvGraphicFramePr>
              <a:graphicFrameLocks noChangeAspect="1"/>
            </wp:cNvGraphicFramePr>
            <a:graphic>
              <a:graphicData uri="http://schemas.openxmlformats.org/drawingml/2006/picture">
                <pic:pic>
                  <pic:nvPicPr>
                    <pic:cNvPr id="26" name="image44.jpeg"/>
                    <pic:cNvPicPr/>
                  </pic:nvPicPr>
                  <pic:blipFill>
                    <a:blip r:embed="rId109" cstate="print"/>
                    <a:stretch>
                      <a:fillRect/>
                    </a:stretch>
                  </pic:blipFill>
                  <pic:spPr>
                    <a:xfrm>
                      <a:off x="0" y="0"/>
                      <a:ext cx="5617605" cy="4298251"/>
                    </a:xfrm>
                    <a:prstGeom prst="rect">
                      <a:avLst/>
                    </a:prstGeom>
                  </pic:spPr>
                </pic:pic>
              </a:graphicData>
            </a:graphic>
          </wp:anchor>
        </w:drawing>
      </w:r>
    </w:p>
    <w:p>
      <w:pPr>
        <w:spacing w:line="376" w:lineRule="auto" w:before="93"/>
        <w:ind w:left="268" w:right="645" w:firstLine="0"/>
        <w:jc w:val="left"/>
        <w:rPr>
          <w:sz w:val="21"/>
        </w:rPr>
      </w:pPr>
      <w:r>
        <w:rPr>
          <w:w w:val="105"/>
          <w:sz w:val="21"/>
        </w:rPr>
        <w:t>Fuente: elaboración propia con base en INEGI, Google Earth, 2015 y gacetas del gobierno del Estado de México.</w:t>
      </w:r>
    </w:p>
    <w:p>
      <w:pPr>
        <w:pStyle w:val="BodyText"/>
        <w:spacing w:line="360" w:lineRule="auto" w:before="110"/>
        <w:ind w:left="268" w:right="231"/>
        <w:jc w:val="both"/>
      </w:pPr>
      <w:r>
        <w:rPr/>
        <w:t>El análisis realizado a cada conjunto urbano abarcó el estudio de un eje social priorizando la dimensión de la sociedad y su relación con el desarrollo de su vida en la vivienda, el conjunto urbano y su entorno, por lo que las entrevistas, el sondeo y la observación de las actividades de sus residentes fue punto clave  para</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6736" from="93.199997pt,-19.614155pt" to="546.799997pt,-19.614155pt" stroked="true" strokeweight=".479981pt" strokecolor="#000000">
            <w10:wrap type="none"/>
          </v:line>
        </w:pict>
      </w:r>
      <w:r>
        <w:rPr/>
        <w:t>entender la dinámica social de cada unidad habitacional, para ello se desarrollaron visitas en distintos horarios del día, mañana 7:00 a 11:00, tarde 12:00 a 18:00 y noche 19:00 a 21:00 horas, lo que permitió identificar actividades y distintas facetas de la población</w:t>
      </w:r>
      <w:r>
        <w:rPr>
          <w:spacing w:val="-1"/>
        </w:rPr>
        <w:t> </w:t>
      </w:r>
      <w:r>
        <w:rPr/>
        <w:t>correspondiente.</w:t>
      </w:r>
    </w:p>
    <w:p>
      <w:pPr>
        <w:pStyle w:val="BodyText"/>
        <w:spacing w:line="360" w:lineRule="auto" w:before="127"/>
        <w:ind w:left="268" w:right="231"/>
        <w:jc w:val="both"/>
      </w:pPr>
      <w:r>
        <w:rPr/>
        <w:t>Para el análisis comprendido en el eje ambiental se requirió realizar estudios de supervisión al equipamiento, infraestructura, áreas verdes, urbanización y materiales de construcción utilizados en los conjuntos urbanos, al igual que en el análisis social, comprender e identificar organizaciones vecinales en materia de educación y cuidado ambiental.</w:t>
      </w:r>
    </w:p>
    <w:p>
      <w:pPr>
        <w:pStyle w:val="BodyText"/>
        <w:spacing w:line="360" w:lineRule="auto" w:before="122"/>
        <w:ind w:left="268" w:right="231"/>
        <w:jc w:val="both"/>
      </w:pPr>
      <w:r>
        <w:rPr/>
        <w:t>En el estudio respectivo al eje económico se identificaron aspectos socioeconómicos de la población de cada conjunto habitacional  que comprendieron los gastos en servicios como; agua, energía eléctrica, comunicación y el costo de la vivienda, adicionalmente a la investigación  de campo se corroboraron datos con información de empresas y dependencias que otorgan los servicios en la zona.</w:t>
      </w:r>
    </w:p>
    <w:p>
      <w:pPr>
        <w:pStyle w:val="BodyText"/>
        <w:spacing w:line="360" w:lineRule="auto" w:before="122"/>
        <w:ind w:left="268" w:right="231"/>
        <w:jc w:val="both"/>
      </w:pPr>
      <w:r>
        <w:rPr/>
        <w:t>En lo que refiere al eje territorial se trabajó mediante la aplicación de la técnica de supervisión de control urbano para simular la supervisión de bitácora y avance de obra, realizando un recorrido por los conjuntos urbanos y su entorno para verificar los datos de supervisión y entregas parciales con las que cuentan los desarrollos habitacionales.</w:t>
      </w:r>
    </w:p>
    <w:p>
      <w:pPr>
        <w:pStyle w:val="BodyText"/>
        <w:spacing w:line="360" w:lineRule="auto" w:before="122"/>
        <w:ind w:left="268" w:right="231"/>
        <w:jc w:val="both"/>
      </w:pPr>
      <w:r>
        <w:rPr/>
        <w:t>En el siguiente subcapítulo se presentan los resultados obtenidos, así como el valor de los índices en cada eje analizado, lo que permite una evaluación del  grado de sustentabilidad de los conjuntos</w:t>
      </w:r>
      <w:r>
        <w:rPr>
          <w:spacing w:val="-2"/>
        </w:rPr>
        <w:t> </w:t>
      </w:r>
      <w:r>
        <w:rPr/>
        <w:t>urbanos.</w:t>
      </w:r>
    </w:p>
    <w:p>
      <w:pPr>
        <w:spacing w:after="0" w:line="360" w:lineRule="auto"/>
        <w:jc w:val="both"/>
        <w:sectPr>
          <w:pgSz w:w="12240" w:h="15840"/>
          <w:pgMar w:header="730" w:footer="1066" w:top="1320" w:bottom="1260" w:left="1720" w:right="1180"/>
        </w:sectPr>
      </w:pPr>
    </w:p>
    <w:p>
      <w:pPr>
        <w:pStyle w:val="BodyText"/>
        <w:spacing w:before="8"/>
        <w:rPr>
          <w:sz w:val="17"/>
        </w:rPr>
      </w:pPr>
    </w:p>
    <w:p>
      <w:pPr>
        <w:pStyle w:val="Heading4"/>
        <w:numPr>
          <w:ilvl w:val="1"/>
          <w:numId w:val="22"/>
        </w:numPr>
        <w:tabs>
          <w:tab w:pos="736" w:val="left" w:leader="none"/>
        </w:tabs>
        <w:spacing w:line="240" w:lineRule="auto" w:before="69" w:after="0"/>
        <w:ind w:left="735" w:right="0" w:hanging="467"/>
        <w:jc w:val="both"/>
      </w:pPr>
      <w:r>
        <w:rPr/>
        <w:pict>
          <v:line style="position:absolute;mso-position-horizontal-relative:page;mso-position-vertical-relative:paragraph;z-index:6760" from="93.199997pt,-19.374104pt" to="546.799997pt,-19.374104pt" stroked="true" strokeweight=".479981pt" strokecolor="#000000">
            <w10:wrap type="none"/>
          </v:line>
        </w:pict>
      </w:r>
      <w:r>
        <w:rPr/>
        <w:t>Resultados del análisis</w:t>
      </w:r>
    </w:p>
    <w:p>
      <w:pPr>
        <w:pStyle w:val="BodyText"/>
        <w:spacing w:before="5"/>
        <w:rPr>
          <w:b/>
          <w:sz w:val="34"/>
        </w:rPr>
      </w:pPr>
    </w:p>
    <w:p>
      <w:pPr>
        <w:pStyle w:val="Heading5"/>
        <w:numPr>
          <w:ilvl w:val="2"/>
          <w:numId w:val="22"/>
        </w:numPr>
        <w:tabs>
          <w:tab w:pos="937" w:val="left" w:leader="none"/>
        </w:tabs>
        <w:spacing w:line="240" w:lineRule="auto" w:before="0" w:after="0"/>
        <w:ind w:left="936" w:right="0" w:hanging="668"/>
        <w:jc w:val="both"/>
        <w:rPr>
          <w:i/>
        </w:rPr>
      </w:pPr>
      <w:r>
        <w:rPr>
          <w:i/>
        </w:rPr>
        <w:t>Resultados de los conjuntos</w:t>
      </w:r>
      <w:r>
        <w:rPr>
          <w:i/>
          <w:spacing w:val="-1"/>
        </w:rPr>
        <w:t> </w:t>
      </w:r>
      <w:r>
        <w:rPr>
          <w:i/>
        </w:rPr>
        <w:t>urbanos</w:t>
      </w:r>
    </w:p>
    <w:p>
      <w:pPr>
        <w:pStyle w:val="BodyText"/>
        <w:spacing w:before="4"/>
        <w:rPr>
          <w:b/>
          <w:i/>
          <w:sz w:val="32"/>
        </w:rPr>
      </w:pPr>
    </w:p>
    <w:p>
      <w:pPr>
        <w:pStyle w:val="BodyText"/>
        <w:spacing w:line="360" w:lineRule="auto"/>
        <w:ind w:left="268" w:right="232"/>
        <w:jc w:val="both"/>
      </w:pPr>
      <w:r>
        <w:rPr/>
        <w:t>Para la presentación de los resultados obtenidos se comienza tomando como orden, la fecha de publicación en Gaceta del Gobierno del Estado de México (periódico oficial del Estado libre y soberano de México) comenzando con la publicación más antigua y terminando con la autorización más reciente.</w:t>
      </w:r>
    </w:p>
    <w:p>
      <w:pPr>
        <w:pStyle w:val="BodyText"/>
        <w:spacing w:line="360" w:lineRule="auto" w:before="122"/>
        <w:ind w:left="268" w:right="231"/>
        <w:jc w:val="both"/>
      </w:pPr>
      <w:r>
        <w:rPr/>
        <w:t>El conjunto urbano de tipo mixto (habitacional medio y residencial) denominado “Villas del Campo”, (ver mapa seis) autorizado a la empresa GEO Edificaciones,</w:t>
      </w:r>
    </w:p>
    <w:p>
      <w:pPr>
        <w:pStyle w:val="BodyText"/>
        <w:spacing w:line="360" w:lineRule="auto" w:before="2"/>
        <w:ind w:left="268" w:right="231"/>
        <w:jc w:val="both"/>
      </w:pPr>
      <w:r>
        <w:rPr/>
        <w:t>S.A. de C.V. en enero de 2007, toma en consideración rubros como; tipología de vivienda, clasificación del conjunto urbano, número de manzanas y dimensiones entre otros: ver tabla 19.</w:t>
      </w:r>
    </w:p>
    <w:p>
      <w:pPr>
        <w:pStyle w:val="BodyText"/>
        <w:spacing w:before="122"/>
        <w:ind w:left="268"/>
        <w:jc w:val="both"/>
      </w:pPr>
      <w:r>
        <w:rPr/>
        <w:t>Tabla 19. Datos del CU: Villas del Campo.</w:t>
      </w:r>
    </w:p>
    <w:p>
      <w:pPr>
        <w:pStyle w:val="BodyText"/>
        <w:spacing w:before="3"/>
        <w:rPr>
          <w:sz w:val="5"/>
        </w:rPr>
      </w:pPr>
    </w:p>
    <w:tbl>
      <w:tblPr>
        <w:tblW w:w="0" w:type="auto"/>
        <w:jc w:val="left"/>
        <w:tblInd w:w="13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16"/>
        <w:gridCol w:w="3904"/>
      </w:tblGrid>
      <w:tr>
        <w:trPr>
          <w:trHeight w:val="614" w:hRule="exact"/>
        </w:trPr>
        <w:tc>
          <w:tcPr>
            <w:tcW w:w="6521" w:type="dxa"/>
            <w:gridSpan w:val="2"/>
            <w:tcBorders>
              <w:left w:val="single" w:sz="8" w:space="0" w:color="000000"/>
              <w:bottom w:val="single" w:sz="8" w:space="0" w:color="BFBFBF"/>
              <w:right w:val="single" w:sz="8" w:space="0" w:color="000000"/>
            </w:tcBorders>
            <w:shd w:val="clear" w:color="auto" w:fill="0D0D0D"/>
          </w:tcPr>
          <w:p>
            <w:pPr>
              <w:pStyle w:val="TableParagraph"/>
              <w:spacing w:before="147"/>
              <w:ind w:left="2259" w:right="2281"/>
              <w:rPr>
                <w:b/>
                <w:sz w:val="24"/>
              </w:rPr>
            </w:pPr>
            <w:r>
              <w:rPr>
                <w:b/>
                <w:color w:val="FFFFFF"/>
                <w:sz w:val="24"/>
              </w:rPr>
              <w:t>Villas del Campo</w:t>
            </w:r>
          </w:p>
        </w:tc>
      </w:tr>
      <w:tr>
        <w:trPr>
          <w:trHeight w:val="302" w:hRule="exact"/>
        </w:trPr>
        <w:tc>
          <w:tcPr>
            <w:tcW w:w="2616" w:type="dxa"/>
            <w:tcBorders>
              <w:top w:val="single" w:sz="8" w:space="0" w:color="BFBFBF"/>
              <w:left w:val="single" w:sz="8" w:space="0" w:color="000000"/>
              <w:bottom w:val="single" w:sz="8" w:space="0" w:color="000000"/>
              <w:right w:val="single" w:sz="8" w:space="0" w:color="000000"/>
            </w:tcBorders>
          </w:tcPr>
          <w:p>
            <w:pPr>
              <w:pStyle w:val="TableParagraph"/>
              <w:spacing w:line="262" w:lineRule="exact"/>
              <w:ind w:left="40"/>
              <w:jc w:val="left"/>
              <w:rPr>
                <w:b/>
                <w:sz w:val="24"/>
              </w:rPr>
            </w:pPr>
            <w:r>
              <w:rPr>
                <w:b/>
                <w:sz w:val="24"/>
              </w:rPr>
              <w:t>Empresa</w:t>
            </w:r>
          </w:p>
        </w:tc>
        <w:tc>
          <w:tcPr>
            <w:tcW w:w="3904" w:type="dxa"/>
            <w:tcBorders>
              <w:top w:val="single" w:sz="8" w:space="0" w:color="BFBFBF"/>
              <w:left w:val="single" w:sz="8" w:space="0" w:color="000000"/>
              <w:bottom w:val="single" w:sz="8" w:space="0" w:color="000000"/>
              <w:right w:val="single" w:sz="8" w:space="0" w:color="000000"/>
            </w:tcBorders>
          </w:tcPr>
          <w:p>
            <w:pPr>
              <w:pStyle w:val="TableParagraph"/>
              <w:spacing w:line="276" w:lineRule="exact"/>
              <w:ind w:left="65" w:right="91"/>
              <w:rPr>
                <w:rFonts w:ascii="Calibri"/>
                <w:sz w:val="24"/>
              </w:rPr>
            </w:pPr>
            <w:r>
              <w:rPr>
                <w:rFonts w:ascii="Calibri"/>
                <w:sz w:val="24"/>
              </w:rPr>
              <w:t>GEO Edificaciones S.A. de C.V.</w:t>
            </w:r>
          </w:p>
        </w:tc>
      </w:tr>
      <w:tr>
        <w:trPr>
          <w:trHeight w:val="302" w:hRule="exact"/>
        </w:trPr>
        <w:tc>
          <w:tcPr>
            <w:tcW w:w="2616" w:type="dxa"/>
            <w:tcBorders>
              <w:top w:val="single" w:sz="8" w:space="0" w:color="000000"/>
              <w:left w:val="single" w:sz="8" w:space="0" w:color="000000"/>
              <w:bottom w:val="single" w:sz="8" w:space="0" w:color="000000"/>
              <w:right w:val="single" w:sz="8" w:space="0" w:color="000000"/>
            </w:tcBorders>
          </w:tcPr>
          <w:p>
            <w:pPr>
              <w:pStyle w:val="TableParagraph"/>
              <w:spacing w:line="262" w:lineRule="exact"/>
              <w:ind w:left="40"/>
              <w:jc w:val="left"/>
              <w:rPr>
                <w:b/>
                <w:sz w:val="24"/>
              </w:rPr>
            </w:pPr>
            <w:r>
              <w:rPr>
                <w:b/>
                <w:sz w:val="24"/>
              </w:rPr>
              <w:t>Tipo de vivienda</w:t>
            </w:r>
          </w:p>
        </w:tc>
        <w:tc>
          <w:tcPr>
            <w:tcW w:w="3904" w:type="dxa"/>
            <w:tcBorders>
              <w:top w:val="single" w:sz="8" w:space="0" w:color="000000"/>
              <w:left w:val="single" w:sz="8" w:space="0" w:color="000000"/>
              <w:bottom w:val="single" w:sz="8" w:space="0" w:color="000000"/>
              <w:right w:val="single" w:sz="8" w:space="0" w:color="000000"/>
            </w:tcBorders>
          </w:tcPr>
          <w:p>
            <w:pPr>
              <w:pStyle w:val="TableParagraph"/>
              <w:spacing w:line="276" w:lineRule="exact"/>
              <w:ind w:left="73" w:right="91"/>
              <w:rPr>
                <w:rFonts w:ascii="Calibri"/>
                <w:sz w:val="24"/>
              </w:rPr>
            </w:pPr>
            <w:r>
              <w:rPr>
                <w:rFonts w:ascii="Calibri"/>
                <w:sz w:val="24"/>
              </w:rPr>
              <w:t>Mixto: (Medio 3,112 y Residencial 93)</w:t>
            </w:r>
          </w:p>
        </w:tc>
      </w:tr>
      <w:tr>
        <w:trPr>
          <w:trHeight w:val="302" w:hRule="exact"/>
        </w:trPr>
        <w:tc>
          <w:tcPr>
            <w:tcW w:w="2616" w:type="dxa"/>
            <w:tcBorders>
              <w:top w:val="single" w:sz="8" w:space="0" w:color="000000"/>
              <w:left w:val="single" w:sz="8" w:space="0" w:color="000000"/>
              <w:bottom w:val="single" w:sz="8" w:space="0" w:color="000000"/>
              <w:right w:val="single" w:sz="8" w:space="0" w:color="000000"/>
            </w:tcBorders>
          </w:tcPr>
          <w:p>
            <w:pPr>
              <w:pStyle w:val="TableParagraph"/>
              <w:spacing w:line="262" w:lineRule="exact"/>
              <w:ind w:left="40"/>
              <w:jc w:val="left"/>
              <w:rPr>
                <w:b/>
                <w:sz w:val="24"/>
              </w:rPr>
            </w:pPr>
            <w:r>
              <w:rPr>
                <w:b/>
                <w:sz w:val="24"/>
              </w:rPr>
              <w:t>No. de viviendas</w:t>
            </w:r>
          </w:p>
        </w:tc>
        <w:tc>
          <w:tcPr>
            <w:tcW w:w="3904" w:type="dxa"/>
            <w:tcBorders>
              <w:top w:val="single" w:sz="8" w:space="0" w:color="000000"/>
              <w:left w:val="single" w:sz="8" w:space="0" w:color="000000"/>
              <w:bottom w:val="single" w:sz="8" w:space="0" w:color="000000"/>
              <w:right w:val="single" w:sz="8" w:space="0" w:color="000000"/>
            </w:tcBorders>
          </w:tcPr>
          <w:p>
            <w:pPr>
              <w:pStyle w:val="TableParagraph"/>
              <w:spacing w:line="276" w:lineRule="exact"/>
              <w:ind w:left="60" w:right="91"/>
              <w:rPr>
                <w:rFonts w:ascii="Calibri"/>
                <w:sz w:val="24"/>
              </w:rPr>
            </w:pPr>
            <w:r>
              <w:rPr>
                <w:rFonts w:ascii="Calibri"/>
                <w:sz w:val="24"/>
              </w:rPr>
              <w:t>3,205</w:t>
            </w:r>
          </w:p>
        </w:tc>
      </w:tr>
      <w:tr>
        <w:trPr>
          <w:trHeight w:val="302" w:hRule="exact"/>
        </w:trPr>
        <w:tc>
          <w:tcPr>
            <w:tcW w:w="2616" w:type="dxa"/>
            <w:tcBorders>
              <w:top w:val="single" w:sz="8" w:space="0" w:color="000000"/>
              <w:left w:val="single" w:sz="8" w:space="0" w:color="000000"/>
              <w:bottom w:val="single" w:sz="8" w:space="0" w:color="000000"/>
              <w:right w:val="single" w:sz="8" w:space="0" w:color="000000"/>
            </w:tcBorders>
          </w:tcPr>
          <w:p>
            <w:pPr>
              <w:pStyle w:val="TableParagraph"/>
              <w:spacing w:line="262" w:lineRule="exact"/>
              <w:ind w:left="40"/>
              <w:jc w:val="left"/>
              <w:rPr>
                <w:b/>
                <w:sz w:val="24"/>
              </w:rPr>
            </w:pPr>
            <w:r>
              <w:rPr>
                <w:b/>
                <w:sz w:val="24"/>
              </w:rPr>
              <w:t>V. Medio</w:t>
            </w:r>
          </w:p>
        </w:tc>
        <w:tc>
          <w:tcPr>
            <w:tcW w:w="3904" w:type="dxa"/>
            <w:tcBorders>
              <w:top w:val="single" w:sz="8" w:space="0" w:color="000000"/>
              <w:left w:val="single" w:sz="8" w:space="0" w:color="000000"/>
              <w:bottom w:val="single" w:sz="8" w:space="0" w:color="000000"/>
              <w:right w:val="single" w:sz="8" w:space="0" w:color="000000"/>
            </w:tcBorders>
          </w:tcPr>
          <w:p>
            <w:pPr>
              <w:pStyle w:val="TableParagraph"/>
              <w:spacing w:line="276" w:lineRule="exact"/>
              <w:ind w:left="60" w:right="91"/>
              <w:rPr>
                <w:rFonts w:ascii="Calibri"/>
                <w:sz w:val="24"/>
              </w:rPr>
            </w:pPr>
            <w:r>
              <w:rPr>
                <w:rFonts w:ascii="Calibri"/>
                <w:sz w:val="24"/>
              </w:rPr>
              <w:t>3,112</w:t>
            </w:r>
          </w:p>
        </w:tc>
      </w:tr>
      <w:tr>
        <w:trPr>
          <w:trHeight w:val="302" w:hRule="exact"/>
        </w:trPr>
        <w:tc>
          <w:tcPr>
            <w:tcW w:w="2616" w:type="dxa"/>
            <w:tcBorders>
              <w:top w:val="single" w:sz="8" w:space="0" w:color="000000"/>
              <w:left w:val="single" w:sz="8" w:space="0" w:color="000000"/>
              <w:bottom w:val="single" w:sz="8" w:space="0" w:color="000000"/>
              <w:right w:val="single" w:sz="8" w:space="0" w:color="000000"/>
            </w:tcBorders>
          </w:tcPr>
          <w:p>
            <w:pPr>
              <w:pStyle w:val="TableParagraph"/>
              <w:spacing w:line="262" w:lineRule="exact"/>
              <w:ind w:left="40"/>
              <w:jc w:val="left"/>
              <w:rPr>
                <w:b/>
                <w:sz w:val="24"/>
              </w:rPr>
            </w:pPr>
            <w:r>
              <w:rPr>
                <w:b/>
                <w:sz w:val="24"/>
              </w:rPr>
              <w:t>V. Interés Social</w:t>
            </w:r>
          </w:p>
        </w:tc>
        <w:tc>
          <w:tcPr>
            <w:tcW w:w="3904" w:type="dxa"/>
            <w:tcBorders>
              <w:top w:val="single" w:sz="8" w:space="0" w:color="000000"/>
              <w:left w:val="single" w:sz="8" w:space="0" w:color="000000"/>
              <w:bottom w:val="single" w:sz="8" w:space="0" w:color="000000"/>
              <w:right w:val="single" w:sz="8" w:space="0" w:color="000000"/>
            </w:tcBorders>
          </w:tcPr>
          <w:p>
            <w:pPr>
              <w:pStyle w:val="TableParagraph"/>
              <w:spacing w:line="276" w:lineRule="exact"/>
              <w:ind w:right="16"/>
              <w:rPr>
                <w:rFonts w:ascii="Calibri"/>
                <w:sz w:val="24"/>
              </w:rPr>
            </w:pPr>
            <w:r>
              <w:rPr>
                <w:rFonts w:ascii="Calibri"/>
                <w:w w:val="100"/>
                <w:sz w:val="24"/>
              </w:rPr>
              <w:t>0</w:t>
            </w:r>
          </w:p>
        </w:tc>
      </w:tr>
      <w:tr>
        <w:trPr>
          <w:trHeight w:val="302" w:hRule="exact"/>
        </w:trPr>
        <w:tc>
          <w:tcPr>
            <w:tcW w:w="2616" w:type="dxa"/>
            <w:tcBorders>
              <w:top w:val="single" w:sz="8" w:space="0" w:color="000000"/>
              <w:left w:val="single" w:sz="8" w:space="0" w:color="000000"/>
              <w:bottom w:val="single" w:sz="8" w:space="0" w:color="000000"/>
              <w:right w:val="single" w:sz="8" w:space="0" w:color="000000"/>
            </w:tcBorders>
          </w:tcPr>
          <w:p>
            <w:pPr>
              <w:pStyle w:val="TableParagraph"/>
              <w:spacing w:line="262" w:lineRule="exact"/>
              <w:ind w:left="40"/>
              <w:jc w:val="left"/>
              <w:rPr>
                <w:b/>
                <w:sz w:val="24"/>
              </w:rPr>
            </w:pPr>
            <w:r>
              <w:rPr>
                <w:b/>
                <w:sz w:val="24"/>
              </w:rPr>
              <w:t>V. Residencial</w:t>
            </w:r>
          </w:p>
        </w:tc>
        <w:tc>
          <w:tcPr>
            <w:tcW w:w="3904" w:type="dxa"/>
            <w:tcBorders>
              <w:top w:val="single" w:sz="8" w:space="0" w:color="000000"/>
              <w:left w:val="single" w:sz="8" w:space="0" w:color="000000"/>
              <w:bottom w:val="single" w:sz="8" w:space="0" w:color="000000"/>
              <w:right w:val="single" w:sz="8" w:space="0" w:color="000000"/>
            </w:tcBorders>
          </w:tcPr>
          <w:p>
            <w:pPr>
              <w:pStyle w:val="TableParagraph"/>
              <w:spacing w:line="276" w:lineRule="exact"/>
              <w:ind w:left="73" w:right="87"/>
              <w:rPr>
                <w:rFonts w:ascii="Calibri"/>
                <w:sz w:val="24"/>
              </w:rPr>
            </w:pPr>
            <w:r>
              <w:rPr>
                <w:rFonts w:ascii="Calibri"/>
                <w:sz w:val="24"/>
              </w:rPr>
              <w:t>93</w:t>
            </w:r>
          </w:p>
        </w:tc>
      </w:tr>
      <w:tr>
        <w:trPr>
          <w:trHeight w:val="302" w:hRule="exact"/>
        </w:trPr>
        <w:tc>
          <w:tcPr>
            <w:tcW w:w="2616" w:type="dxa"/>
            <w:tcBorders>
              <w:top w:val="single" w:sz="8" w:space="0" w:color="000000"/>
              <w:left w:val="single" w:sz="8" w:space="0" w:color="000000"/>
              <w:bottom w:val="single" w:sz="8" w:space="0" w:color="000000"/>
              <w:right w:val="single" w:sz="8" w:space="0" w:color="000000"/>
            </w:tcBorders>
          </w:tcPr>
          <w:p>
            <w:pPr>
              <w:pStyle w:val="TableParagraph"/>
              <w:spacing w:line="262" w:lineRule="exact"/>
              <w:ind w:left="40"/>
              <w:jc w:val="left"/>
              <w:rPr>
                <w:b/>
                <w:sz w:val="24"/>
              </w:rPr>
            </w:pPr>
            <w:r>
              <w:rPr>
                <w:b/>
                <w:sz w:val="24"/>
              </w:rPr>
              <w:t>Manzanas</w:t>
            </w:r>
          </w:p>
        </w:tc>
        <w:tc>
          <w:tcPr>
            <w:tcW w:w="3904" w:type="dxa"/>
            <w:tcBorders>
              <w:top w:val="single" w:sz="8" w:space="0" w:color="000000"/>
              <w:left w:val="single" w:sz="8" w:space="0" w:color="000000"/>
              <w:bottom w:val="single" w:sz="8" w:space="0" w:color="000000"/>
              <w:right w:val="single" w:sz="8" w:space="0" w:color="000000"/>
            </w:tcBorders>
          </w:tcPr>
          <w:p>
            <w:pPr>
              <w:pStyle w:val="TableParagraph"/>
              <w:spacing w:line="276" w:lineRule="exact"/>
              <w:ind w:left="73" w:right="87"/>
              <w:rPr>
                <w:rFonts w:ascii="Calibri"/>
                <w:sz w:val="24"/>
              </w:rPr>
            </w:pPr>
            <w:r>
              <w:rPr>
                <w:rFonts w:ascii="Calibri"/>
                <w:sz w:val="24"/>
              </w:rPr>
              <w:t>58</w:t>
            </w:r>
          </w:p>
        </w:tc>
      </w:tr>
      <w:tr>
        <w:trPr>
          <w:trHeight w:val="302" w:hRule="exact"/>
        </w:trPr>
        <w:tc>
          <w:tcPr>
            <w:tcW w:w="2616" w:type="dxa"/>
            <w:tcBorders>
              <w:top w:val="single" w:sz="8" w:space="0" w:color="000000"/>
              <w:left w:val="single" w:sz="8" w:space="0" w:color="000000"/>
              <w:bottom w:val="single" w:sz="8" w:space="0" w:color="000000"/>
              <w:right w:val="single" w:sz="8" w:space="0" w:color="000000"/>
            </w:tcBorders>
          </w:tcPr>
          <w:p>
            <w:pPr>
              <w:pStyle w:val="TableParagraph"/>
              <w:spacing w:line="262" w:lineRule="exact"/>
              <w:ind w:left="40"/>
              <w:jc w:val="left"/>
              <w:rPr>
                <w:b/>
                <w:sz w:val="24"/>
              </w:rPr>
            </w:pPr>
            <w:r>
              <w:rPr>
                <w:b/>
                <w:sz w:val="24"/>
              </w:rPr>
              <w:t>Lotes</w:t>
            </w:r>
          </w:p>
        </w:tc>
        <w:tc>
          <w:tcPr>
            <w:tcW w:w="3904" w:type="dxa"/>
            <w:tcBorders>
              <w:top w:val="single" w:sz="8" w:space="0" w:color="000000"/>
              <w:left w:val="single" w:sz="8" w:space="0" w:color="000000"/>
              <w:bottom w:val="single" w:sz="8" w:space="0" w:color="000000"/>
              <w:right w:val="single" w:sz="8" w:space="0" w:color="000000"/>
            </w:tcBorders>
          </w:tcPr>
          <w:p>
            <w:pPr>
              <w:pStyle w:val="TableParagraph"/>
              <w:spacing w:line="276" w:lineRule="exact"/>
              <w:ind w:left="60" w:right="91"/>
              <w:rPr>
                <w:rFonts w:ascii="Calibri"/>
                <w:sz w:val="24"/>
              </w:rPr>
            </w:pPr>
            <w:r>
              <w:rPr>
                <w:rFonts w:ascii="Calibri"/>
                <w:sz w:val="24"/>
              </w:rPr>
              <w:t>1,465</w:t>
            </w:r>
          </w:p>
        </w:tc>
      </w:tr>
      <w:tr>
        <w:trPr>
          <w:trHeight w:val="302" w:hRule="exact"/>
        </w:trPr>
        <w:tc>
          <w:tcPr>
            <w:tcW w:w="2616" w:type="dxa"/>
            <w:tcBorders>
              <w:top w:val="single" w:sz="8" w:space="0" w:color="000000"/>
              <w:left w:val="single" w:sz="8" w:space="0" w:color="000000"/>
              <w:bottom w:val="single" w:sz="8" w:space="0" w:color="000000"/>
              <w:right w:val="single" w:sz="8" w:space="0" w:color="000000"/>
            </w:tcBorders>
          </w:tcPr>
          <w:p>
            <w:pPr>
              <w:pStyle w:val="TableParagraph"/>
              <w:spacing w:line="262" w:lineRule="exact"/>
              <w:ind w:left="40"/>
              <w:jc w:val="left"/>
              <w:rPr>
                <w:b/>
                <w:sz w:val="24"/>
              </w:rPr>
            </w:pPr>
            <w:r>
              <w:rPr>
                <w:b/>
                <w:sz w:val="24"/>
              </w:rPr>
              <w:t>Superficie CU (m2)</w:t>
            </w:r>
          </w:p>
        </w:tc>
        <w:tc>
          <w:tcPr>
            <w:tcW w:w="3904" w:type="dxa"/>
            <w:tcBorders>
              <w:top w:val="single" w:sz="8" w:space="0" w:color="000000"/>
              <w:left w:val="single" w:sz="8" w:space="0" w:color="000000"/>
              <w:bottom w:val="single" w:sz="8" w:space="0" w:color="000000"/>
              <w:right w:val="single" w:sz="8" w:space="0" w:color="000000"/>
            </w:tcBorders>
          </w:tcPr>
          <w:p>
            <w:pPr>
              <w:pStyle w:val="TableParagraph"/>
              <w:spacing w:line="276" w:lineRule="exact"/>
              <w:ind w:left="70" w:right="91"/>
              <w:rPr>
                <w:rFonts w:ascii="Calibri"/>
                <w:sz w:val="24"/>
              </w:rPr>
            </w:pPr>
            <w:r>
              <w:rPr>
                <w:rFonts w:ascii="Calibri"/>
                <w:sz w:val="24"/>
              </w:rPr>
              <w:t>1,547,887.236</w:t>
            </w:r>
          </w:p>
        </w:tc>
      </w:tr>
      <w:tr>
        <w:trPr>
          <w:trHeight w:val="302" w:hRule="exact"/>
        </w:trPr>
        <w:tc>
          <w:tcPr>
            <w:tcW w:w="2616" w:type="dxa"/>
            <w:tcBorders>
              <w:top w:val="single" w:sz="8" w:space="0" w:color="000000"/>
              <w:left w:val="single" w:sz="8" w:space="0" w:color="000000"/>
              <w:bottom w:val="single" w:sz="8" w:space="0" w:color="000000"/>
              <w:right w:val="single" w:sz="8" w:space="0" w:color="000000"/>
            </w:tcBorders>
          </w:tcPr>
          <w:p>
            <w:pPr>
              <w:pStyle w:val="TableParagraph"/>
              <w:spacing w:line="262" w:lineRule="exact"/>
              <w:ind w:left="40"/>
              <w:jc w:val="left"/>
              <w:rPr>
                <w:b/>
                <w:sz w:val="24"/>
              </w:rPr>
            </w:pPr>
            <w:r>
              <w:rPr>
                <w:b/>
                <w:sz w:val="24"/>
              </w:rPr>
              <w:t>Pob. Beneficiada</w:t>
            </w:r>
          </w:p>
        </w:tc>
        <w:tc>
          <w:tcPr>
            <w:tcW w:w="3904" w:type="dxa"/>
            <w:tcBorders>
              <w:top w:val="single" w:sz="8" w:space="0" w:color="000000"/>
              <w:left w:val="single" w:sz="8" w:space="0" w:color="000000"/>
              <w:bottom w:val="single" w:sz="8" w:space="0" w:color="000000"/>
              <w:right w:val="single" w:sz="8" w:space="0" w:color="000000"/>
            </w:tcBorders>
          </w:tcPr>
          <w:p>
            <w:pPr>
              <w:pStyle w:val="TableParagraph"/>
              <w:spacing w:line="276" w:lineRule="exact"/>
              <w:ind w:left="61" w:right="91"/>
              <w:rPr>
                <w:rFonts w:ascii="Calibri"/>
                <w:sz w:val="24"/>
              </w:rPr>
            </w:pPr>
            <w:r>
              <w:rPr>
                <w:rFonts w:ascii="Calibri"/>
                <w:sz w:val="24"/>
              </w:rPr>
              <w:t>14,423</w:t>
            </w:r>
          </w:p>
        </w:tc>
      </w:tr>
      <w:tr>
        <w:trPr>
          <w:trHeight w:val="302" w:hRule="exact"/>
        </w:trPr>
        <w:tc>
          <w:tcPr>
            <w:tcW w:w="2616" w:type="dxa"/>
            <w:tcBorders>
              <w:top w:val="single" w:sz="8" w:space="0" w:color="000000"/>
              <w:left w:val="single" w:sz="8" w:space="0" w:color="000000"/>
              <w:bottom w:val="single" w:sz="8" w:space="0" w:color="000000"/>
              <w:right w:val="single" w:sz="8" w:space="0" w:color="000000"/>
            </w:tcBorders>
          </w:tcPr>
          <w:p>
            <w:pPr>
              <w:pStyle w:val="TableParagraph"/>
              <w:spacing w:line="262" w:lineRule="exact"/>
              <w:ind w:left="40"/>
              <w:jc w:val="left"/>
              <w:rPr>
                <w:b/>
                <w:sz w:val="24"/>
              </w:rPr>
            </w:pPr>
            <w:r>
              <w:rPr>
                <w:b/>
                <w:sz w:val="24"/>
              </w:rPr>
              <w:t>Fecha de publicación</w:t>
            </w:r>
          </w:p>
        </w:tc>
        <w:tc>
          <w:tcPr>
            <w:tcW w:w="3904" w:type="dxa"/>
            <w:tcBorders>
              <w:top w:val="single" w:sz="8" w:space="0" w:color="000000"/>
              <w:left w:val="single" w:sz="8" w:space="0" w:color="000000"/>
              <w:bottom w:val="single" w:sz="8" w:space="0" w:color="000000"/>
              <w:right w:val="single" w:sz="8" w:space="0" w:color="000000"/>
            </w:tcBorders>
          </w:tcPr>
          <w:p>
            <w:pPr>
              <w:pStyle w:val="TableParagraph"/>
              <w:spacing w:line="276" w:lineRule="exact"/>
              <w:ind w:left="67" w:right="91"/>
              <w:rPr>
                <w:rFonts w:ascii="Calibri"/>
                <w:sz w:val="24"/>
              </w:rPr>
            </w:pPr>
            <w:r>
              <w:rPr>
                <w:rFonts w:ascii="Calibri"/>
                <w:sz w:val="24"/>
              </w:rPr>
              <w:t>02/01/07</w:t>
            </w:r>
          </w:p>
        </w:tc>
      </w:tr>
    </w:tbl>
    <w:p>
      <w:pPr>
        <w:spacing w:before="131"/>
        <w:ind w:left="696" w:right="0" w:firstLine="0"/>
        <w:jc w:val="left"/>
        <w:rPr>
          <w:sz w:val="21"/>
        </w:rPr>
      </w:pP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spacing w:before="1"/>
        <w:rPr>
          <w:sz w:val="18"/>
        </w:rPr>
      </w:pPr>
    </w:p>
    <w:p>
      <w:pPr>
        <w:spacing w:before="78"/>
        <w:ind w:left="268" w:right="0" w:firstLine="0"/>
        <w:jc w:val="both"/>
        <w:rPr>
          <w:sz w:val="21"/>
        </w:rPr>
      </w:pPr>
      <w:r>
        <w:rPr/>
        <w:pict>
          <v:line style="position:absolute;mso-position-horizontal-relative:page;mso-position-vertical-relative:paragraph;z-index:6808" from="93.199997pt,-19.611116pt" to="546.799997pt,-19.611116pt" stroked="true" strokeweight=".479981pt" strokecolor="#000000">
            <w10:wrap type="none"/>
          </v:line>
        </w:pict>
      </w:r>
      <w:r>
        <w:rPr>
          <w:w w:val="105"/>
          <w:sz w:val="21"/>
        </w:rPr>
        <w:t>Mapa 6. Conjunto urbano: Villas del Campo I y II.</w:t>
      </w:r>
    </w:p>
    <w:p>
      <w:pPr>
        <w:pStyle w:val="BodyText"/>
        <w:spacing w:before="6"/>
        <w:rPr>
          <w:sz w:val="11"/>
        </w:rPr>
      </w:pPr>
      <w:r>
        <w:rPr/>
        <w:drawing>
          <wp:anchor distT="0" distB="0" distL="0" distR="0" allowOverlap="1" layoutInCell="1" locked="0" behindDoc="0" simplePos="0" relativeHeight="6784">
            <wp:simplePos x="0" y="0"/>
            <wp:positionH relativeFrom="page">
              <wp:posOffset>1765045</wp:posOffset>
            </wp:positionH>
            <wp:positionV relativeFrom="paragraph">
              <wp:posOffset>109155</wp:posOffset>
            </wp:positionV>
            <wp:extent cx="4931311" cy="3742944"/>
            <wp:effectExtent l="0" t="0" r="0" b="0"/>
            <wp:wrapTopAndBottom/>
            <wp:docPr id="27" name="image45.jpeg" descr=""/>
            <wp:cNvGraphicFramePr>
              <a:graphicFrameLocks noChangeAspect="1"/>
            </wp:cNvGraphicFramePr>
            <a:graphic>
              <a:graphicData uri="http://schemas.openxmlformats.org/drawingml/2006/picture">
                <pic:pic>
                  <pic:nvPicPr>
                    <pic:cNvPr id="28" name="image45.jpeg"/>
                    <pic:cNvPicPr/>
                  </pic:nvPicPr>
                  <pic:blipFill>
                    <a:blip r:embed="rId110" cstate="print"/>
                    <a:stretch>
                      <a:fillRect/>
                    </a:stretch>
                  </pic:blipFill>
                  <pic:spPr>
                    <a:xfrm>
                      <a:off x="0" y="0"/>
                      <a:ext cx="4931311" cy="3742944"/>
                    </a:xfrm>
                    <a:prstGeom prst="rect">
                      <a:avLst/>
                    </a:prstGeom>
                  </pic:spPr>
                </pic:pic>
              </a:graphicData>
            </a:graphic>
          </wp:anchor>
        </w:drawing>
      </w:r>
    </w:p>
    <w:p>
      <w:pPr>
        <w:spacing w:before="100"/>
        <w:ind w:left="452" w:right="0" w:firstLine="0"/>
        <w:jc w:val="left"/>
        <w:rPr>
          <w:sz w:val="21"/>
        </w:rPr>
      </w:pPr>
      <w:r>
        <w:rPr>
          <w:w w:val="105"/>
          <w:sz w:val="21"/>
        </w:rPr>
        <w:t>Fuente: Elaboración propia con base al estudio realizado.</w:t>
      </w:r>
    </w:p>
    <w:p>
      <w:pPr>
        <w:pStyle w:val="BodyText"/>
        <w:spacing w:before="2"/>
        <w:rPr>
          <w:sz w:val="21"/>
        </w:rPr>
      </w:pPr>
    </w:p>
    <w:p>
      <w:pPr>
        <w:pStyle w:val="BodyText"/>
        <w:spacing w:line="360" w:lineRule="auto"/>
        <w:ind w:left="268" w:right="231"/>
        <w:jc w:val="both"/>
      </w:pPr>
      <w:r>
        <w:rPr/>
        <w:t>Las características de Villas del Campo refieren a una mezcla de vivienda en la que la de tipo medio representa el 97% del desarrollo, contando con un 3% de vivienda de tipo residencial, los prototipos iniciales del proyecto fueron dos para cada uno de los tipos de vivienda, la diferencia que existe entre los dos tipos corresponde a los metros cuadrados con los que cuenta el terreno, así como los metros cuadrados de construcción y el precio de venta de cada vivienda.</w:t>
      </w:r>
    </w:p>
    <w:p>
      <w:pPr>
        <w:pStyle w:val="BodyText"/>
        <w:spacing w:line="360" w:lineRule="auto" w:before="122"/>
        <w:ind w:left="268" w:right="231"/>
        <w:jc w:val="both"/>
      </w:pPr>
      <w:r>
        <w:rPr/>
        <w:t>El desarrollo habitacional cuenta dos tipos de lotificaciones dentro de la figura de conjunto urbano; existe vivienda en lotes privativos que tienen acceso directo por vías públicas (internas y de uso exclusivo del conjunto urbano) y vivienda construida en lotificaciones en condominio en la que la vivienda se agrupa en privadas con acceso restringido a los residentes de estas privadas. Cabe hacer mención que el conjunto urbano es un desarrollo cerrado y aunque los planos de autorización marcan la continuidad de vías públicas, el desarrollo cuenta con  </w:t>
      </w:r>
      <w:r>
        <w:rPr>
          <w:spacing w:val="53"/>
        </w:rPr>
        <w:t> </w:t>
      </w:r>
      <w:r>
        <w:rPr/>
        <w:t>una</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3"/>
        <w:jc w:val="both"/>
      </w:pPr>
      <w:r>
        <w:rPr/>
        <w:pict>
          <v:line style="position:absolute;mso-position-horizontal-relative:page;mso-position-vertical-relative:paragraph;z-index:6832" from="93.199997pt,-19.614155pt" to="546.799997pt,-19.614155pt" stroked="true" strokeweight=".479981pt" strokecolor="#000000">
            <w10:wrap type="none"/>
          </v:line>
        </w:pict>
      </w:r>
      <w:r>
        <w:rPr/>
        <w:t>barda perimetral y un solo acceso controlado por seguridad privada que los residentes contratan.</w:t>
      </w:r>
    </w:p>
    <w:p>
      <w:pPr>
        <w:pStyle w:val="BodyText"/>
        <w:spacing w:line="360" w:lineRule="auto" w:before="122"/>
        <w:ind w:left="268" w:right="231"/>
        <w:jc w:val="both"/>
      </w:pPr>
      <w:r>
        <w:rPr/>
        <w:t>La evaluación del índice de sustentabilidad social del desarrollo expone que en lo que respecta al eje social el proyecto obtuvo una valoración positiva al estar por encima en dos décimas del resultado deseable, ver tabla 20. Este resultado indica que el conjunto urbano cuenta con cierto grado de sustentabilidad en los aspectos sociales los que abarcan temas relacionados con la vivienda, las oportunidades urbanas, la organización vecinal y su participación, así como la valoración de índices similares en la evaluación del desarrollo a nivel nacional.</w:t>
      </w:r>
    </w:p>
    <w:p>
      <w:pPr>
        <w:pStyle w:val="BodyText"/>
      </w:pPr>
    </w:p>
    <w:p>
      <w:pPr>
        <w:pStyle w:val="BodyText"/>
        <w:rPr>
          <w:sz w:val="33"/>
        </w:rPr>
      </w:pPr>
    </w:p>
    <w:p>
      <w:pPr>
        <w:pStyle w:val="BodyText"/>
        <w:ind w:left="268"/>
        <w:jc w:val="both"/>
      </w:pPr>
      <w:r>
        <w:rPr/>
        <w:pict>
          <v:group style="position:absolute;margin-left:361.979492pt;margin-top:116.498962pt;width:76pt;height:70.75pt;mso-position-horizontal-relative:page;mso-position-vertical-relative:paragraph;z-index:-1151176" coordorigin="7240,2330" coordsize="1520,1415">
            <v:line style="position:absolute" from="7246,2336" to="7246,2521" stroked="true" strokeweight=".579pt" strokecolor="#baf9f5"/>
            <v:rect style="position:absolute;left:7251;top:2336;width:1508;height:185" filled="true" fillcolor="#baf9f5" stroked="false">
              <v:fill type="solid"/>
            </v:rect>
            <v:line style="position:absolute" from="7246,2521" to="7246,2695" stroked="true" strokeweight=".579pt" strokecolor="#baf9f5"/>
            <v:rect style="position:absolute;left:7251;top:2521;width:1508;height:174" filled="true" fillcolor="#baf9f5" stroked="false">
              <v:fill type="solid"/>
            </v:rect>
            <v:line style="position:absolute" from="7246,2695" to="7246,2869" stroked="true" strokeweight=".579pt" strokecolor="#baf9f5"/>
            <v:rect style="position:absolute;left:7251;top:2695;width:1508;height:174" filled="true" fillcolor="#baf9f5" stroked="false">
              <v:fill type="solid"/>
            </v:rect>
            <v:line style="position:absolute" from="7246,2869" to="7246,3043" stroked="true" strokeweight=".579pt" strokecolor="#baf9f5"/>
            <v:rect style="position:absolute;left:7251;top:2869;width:1508;height:174" filled="true" fillcolor="#baf9f5" stroked="false">
              <v:fill type="solid"/>
            </v:rect>
            <v:line style="position:absolute" from="7246,3043" to="7246,3217" stroked="true" strokeweight=".579pt" strokecolor="#baf9f5"/>
            <v:rect style="position:absolute;left:7251;top:3043;width:1508;height:174" filled="true" fillcolor="#baf9f5" stroked="false">
              <v:fill type="solid"/>
            </v:rect>
            <v:line style="position:absolute" from="7246,3217" to="7246,3391" stroked="true" strokeweight=".579pt" strokecolor="#baf9f5"/>
            <v:rect style="position:absolute;left:7251;top:3217;width:1508;height:174" filled="true" fillcolor="#baf9f5" stroked="false">
              <v:fill type="solid"/>
            </v:rect>
            <v:line style="position:absolute" from="7246,3391" to="7246,3565" stroked="true" strokeweight=".579pt" strokecolor="#baf9f5"/>
            <v:rect style="position:absolute;left:7251;top:3391;width:1508;height:174" filled="true" fillcolor="#baf9f5" stroked="false">
              <v:fill type="solid"/>
            </v:rect>
            <v:line style="position:absolute" from="7246,3565" to="7246,3738" stroked="true" strokeweight=".579pt" strokecolor="#baf9f5"/>
            <v:rect style="position:absolute;left:7251;top:3565;width:1508;height:174" filled="true" fillcolor="#baf9f5" stroked="false">
              <v:fill type="solid"/>
            </v:rect>
            <w10:wrap type="none"/>
          </v:group>
        </w:pict>
      </w:r>
      <w:r>
        <w:rPr/>
        <w:pict>
          <v:shape style="position:absolute;margin-left:467.518036pt;margin-top:116.799843pt;width:37.7pt;height:78.850pt;mso-position-horizontal-relative:page;mso-position-vertical-relative:paragraph;z-index:-1151152" coordorigin="9350,2336" coordsize="754,1577" path="m10104,2695l9350,2695,9350,2869,9350,3043,9350,3217,9350,3391,9350,3565,9350,3727,9350,3738,9350,3912,10104,3912,10104,3738,10104,3727,10104,3565,10104,3391,10104,3217,10104,3043,10104,2869,10104,2695m10104,2336l9350,2336,9350,2521,9350,2695,10104,2695,10104,2521,10104,2336e" filled="true" fillcolor="#ffff00" stroked="false">
            <v:path arrowok="t"/>
            <v:fill type="solid"/>
            <w10:wrap type="none"/>
          </v:shape>
        </w:pict>
      </w:r>
      <w:r>
        <w:rPr/>
        <w:t>Tabla 20. Villas del Campo; Índice de Sustentabilidad Social.</w:t>
      </w:r>
    </w:p>
    <w:p>
      <w:pPr>
        <w:pStyle w:val="BodyText"/>
        <w:spacing w:before="9"/>
        <w:rPr>
          <w:sz w:val="11"/>
        </w:rPr>
      </w:pP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29"/>
        <w:gridCol w:w="2428"/>
        <w:gridCol w:w="2096"/>
        <w:gridCol w:w="1312"/>
        <w:gridCol w:w="201"/>
        <w:gridCol w:w="591"/>
        <w:gridCol w:w="743"/>
        <w:gridCol w:w="718"/>
      </w:tblGrid>
      <w:tr>
        <w:trPr>
          <w:trHeight w:val="400" w:hRule="exact"/>
        </w:trPr>
        <w:tc>
          <w:tcPr>
            <w:tcW w:w="8819" w:type="dxa"/>
            <w:gridSpan w:val="8"/>
            <w:tcBorders>
              <w:bottom w:val="nil"/>
            </w:tcBorders>
            <w:shd w:val="clear" w:color="auto" w:fill="000000"/>
          </w:tcPr>
          <w:p>
            <w:pPr>
              <w:pStyle w:val="TableParagraph"/>
              <w:spacing w:before="106"/>
              <w:ind w:left="3342" w:right="3328"/>
              <w:rPr>
                <w:b/>
                <w:sz w:val="14"/>
              </w:rPr>
            </w:pPr>
            <w:r>
              <w:rPr>
                <w:b/>
                <w:color w:val="FFFFFF"/>
                <w:sz w:val="14"/>
              </w:rPr>
              <w:t>Índice de sustentabilidad social</w:t>
            </w:r>
          </w:p>
        </w:tc>
      </w:tr>
      <w:tr>
        <w:trPr>
          <w:trHeight w:val="261" w:hRule="exact"/>
        </w:trPr>
        <w:tc>
          <w:tcPr>
            <w:tcW w:w="729" w:type="dxa"/>
            <w:tcBorders>
              <w:top w:val="single" w:sz="5" w:space="0" w:color="FFFFFF"/>
              <w:left w:val="single" w:sz="5" w:space="0" w:color="000000"/>
            </w:tcBorders>
            <w:shd w:val="clear" w:color="auto" w:fill="808080"/>
          </w:tcPr>
          <w:p>
            <w:pPr>
              <w:pStyle w:val="TableParagraph"/>
              <w:spacing w:before="25"/>
              <w:ind w:left="190" w:right="102"/>
              <w:rPr>
                <w:b/>
                <w:sz w:val="14"/>
              </w:rPr>
            </w:pPr>
            <w:r>
              <w:rPr>
                <w:b/>
                <w:color w:val="FFFFFF"/>
                <w:sz w:val="14"/>
              </w:rPr>
              <w:t>Eje</w:t>
            </w:r>
          </w:p>
        </w:tc>
        <w:tc>
          <w:tcPr>
            <w:tcW w:w="2428" w:type="dxa"/>
            <w:tcBorders>
              <w:top w:val="single" w:sz="5" w:space="0" w:color="FFFFFF"/>
            </w:tcBorders>
            <w:shd w:val="clear" w:color="auto" w:fill="808080"/>
          </w:tcPr>
          <w:p>
            <w:pPr>
              <w:pStyle w:val="TableParagraph"/>
              <w:spacing w:before="25"/>
              <w:ind w:left="123"/>
              <w:jc w:val="left"/>
              <w:rPr>
                <w:b/>
                <w:sz w:val="14"/>
              </w:rPr>
            </w:pPr>
            <w:r>
              <w:rPr>
                <w:b/>
                <w:color w:val="FFFFFF"/>
                <w:sz w:val="14"/>
              </w:rPr>
              <w:t>Subíndice</w:t>
            </w:r>
          </w:p>
        </w:tc>
        <w:tc>
          <w:tcPr>
            <w:tcW w:w="2096" w:type="dxa"/>
            <w:tcBorders>
              <w:top w:val="single" w:sz="5" w:space="0" w:color="FFFFFF"/>
            </w:tcBorders>
            <w:shd w:val="clear" w:color="auto" w:fill="808080"/>
          </w:tcPr>
          <w:p>
            <w:pPr>
              <w:pStyle w:val="TableParagraph"/>
              <w:spacing w:before="25"/>
              <w:ind w:left="61" w:right="1013"/>
              <w:jc w:val="left"/>
              <w:rPr>
                <w:b/>
                <w:sz w:val="14"/>
              </w:rPr>
            </w:pPr>
            <w:r>
              <w:rPr>
                <w:b/>
                <w:color w:val="FFFFFF"/>
                <w:sz w:val="14"/>
              </w:rPr>
              <w:t>Indicador</w:t>
            </w:r>
          </w:p>
        </w:tc>
        <w:tc>
          <w:tcPr>
            <w:tcW w:w="1312" w:type="dxa"/>
            <w:tcBorders>
              <w:top w:val="single" w:sz="5" w:space="0" w:color="FFFFFF"/>
            </w:tcBorders>
            <w:shd w:val="clear" w:color="auto" w:fill="808080"/>
          </w:tcPr>
          <w:p>
            <w:pPr/>
          </w:p>
        </w:tc>
        <w:tc>
          <w:tcPr>
            <w:tcW w:w="792" w:type="dxa"/>
            <w:gridSpan w:val="2"/>
            <w:tcBorders>
              <w:top w:val="single" w:sz="5" w:space="0" w:color="FFFFFF"/>
            </w:tcBorders>
            <w:shd w:val="clear" w:color="auto" w:fill="808080"/>
          </w:tcPr>
          <w:p>
            <w:pPr>
              <w:pStyle w:val="TableParagraph"/>
              <w:spacing w:before="25"/>
              <w:ind w:left="224" w:right="-12"/>
              <w:jc w:val="left"/>
              <w:rPr>
                <w:b/>
                <w:sz w:val="14"/>
              </w:rPr>
            </w:pPr>
            <w:r>
              <w:rPr>
                <w:b/>
                <w:color w:val="FFFFFF"/>
                <w:sz w:val="14"/>
              </w:rPr>
              <w:t>Valores</w:t>
            </w:r>
          </w:p>
        </w:tc>
        <w:tc>
          <w:tcPr>
            <w:tcW w:w="743" w:type="dxa"/>
            <w:tcBorders>
              <w:top w:val="single" w:sz="5" w:space="0" w:color="FFFFFF"/>
            </w:tcBorders>
            <w:shd w:val="clear" w:color="auto" w:fill="808080"/>
          </w:tcPr>
          <w:p>
            <w:pPr/>
          </w:p>
        </w:tc>
        <w:tc>
          <w:tcPr>
            <w:tcW w:w="718" w:type="dxa"/>
            <w:tcBorders>
              <w:top w:val="single" w:sz="5" w:space="0" w:color="FFFFFF"/>
              <w:right w:val="single" w:sz="9" w:space="0" w:color="000000"/>
            </w:tcBorders>
            <w:shd w:val="clear" w:color="auto" w:fill="808080"/>
          </w:tcPr>
          <w:p>
            <w:pPr/>
          </w:p>
        </w:tc>
      </w:tr>
      <w:tr>
        <w:trPr>
          <w:trHeight w:val="223" w:hRule="exact"/>
        </w:trPr>
        <w:tc>
          <w:tcPr>
            <w:tcW w:w="729" w:type="dxa"/>
            <w:tcBorders>
              <w:left w:val="single" w:sz="5" w:space="0" w:color="000000"/>
            </w:tcBorders>
          </w:tcPr>
          <w:p>
            <w:pPr/>
          </w:p>
        </w:tc>
        <w:tc>
          <w:tcPr>
            <w:tcW w:w="2428" w:type="dxa"/>
          </w:tcPr>
          <w:p>
            <w:pPr/>
          </w:p>
        </w:tc>
        <w:tc>
          <w:tcPr>
            <w:tcW w:w="2096" w:type="dxa"/>
            <w:tcBorders>
              <w:right w:val="single" w:sz="5" w:space="0" w:color="BAF9F5"/>
            </w:tcBorders>
          </w:tcPr>
          <w:p>
            <w:pPr/>
          </w:p>
        </w:tc>
        <w:tc>
          <w:tcPr>
            <w:tcW w:w="1513" w:type="dxa"/>
            <w:gridSpan w:val="2"/>
            <w:shd w:val="clear" w:color="auto" w:fill="BAF9F5"/>
          </w:tcPr>
          <w:p>
            <w:pPr>
              <w:pStyle w:val="TableParagraph"/>
              <w:spacing w:before="48"/>
              <w:ind w:left="388"/>
              <w:jc w:val="left"/>
              <w:rPr>
                <w:b/>
                <w:sz w:val="14"/>
              </w:rPr>
            </w:pPr>
            <w:r>
              <w:rPr>
                <w:b/>
                <w:sz w:val="14"/>
              </w:rPr>
              <w:t>Evaluación</w:t>
            </w:r>
          </w:p>
        </w:tc>
        <w:tc>
          <w:tcPr>
            <w:tcW w:w="591" w:type="dxa"/>
          </w:tcPr>
          <w:p>
            <w:pPr>
              <w:pStyle w:val="TableParagraph"/>
              <w:spacing w:before="48"/>
              <w:ind w:left="-12"/>
              <w:jc w:val="left"/>
              <w:rPr>
                <w:b/>
                <w:sz w:val="14"/>
              </w:rPr>
            </w:pPr>
            <w:r>
              <w:rPr>
                <w:b/>
                <w:w w:val="99"/>
                <w:sz w:val="14"/>
                <w:shd w:fill="F79646" w:color="auto" w:val="clear"/>
              </w:rPr>
              <w:t> </w:t>
            </w:r>
            <w:r>
              <w:rPr>
                <w:b/>
                <w:sz w:val="14"/>
                <w:shd w:fill="F79646" w:color="auto" w:val="clear"/>
              </w:rPr>
              <w:t>  </w:t>
            </w:r>
            <w:r>
              <w:rPr>
                <w:b/>
                <w:spacing w:val="7"/>
                <w:sz w:val="14"/>
                <w:shd w:fill="F79646" w:color="auto" w:val="clear"/>
              </w:rPr>
              <w:t> </w:t>
            </w:r>
            <w:r>
              <w:rPr>
                <w:b/>
                <w:sz w:val="14"/>
                <w:shd w:fill="F79646" w:color="auto" w:val="clear"/>
              </w:rPr>
              <w:t>Real</w:t>
            </w:r>
            <w:r>
              <w:rPr>
                <w:b/>
                <w:spacing w:val="2"/>
                <w:sz w:val="14"/>
                <w:shd w:fill="F79646" w:color="auto" w:val="clear"/>
              </w:rPr>
              <w:t> </w:t>
            </w:r>
          </w:p>
        </w:tc>
        <w:tc>
          <w:tcPr>
            <w:tcW w:w="743" w:type="dxa"/>
            <w:tcBorders>
              <w:right w:val="single" w:sz="5" w:space="0" w:color="FFFFFF"/>
            </w:tcBorders>
            <w:shd w:val="clear" w:color="auto" w:fill="FFFF00"/>
          </w:tcPr>
          <w:p>
            <w:pPr>
              <w:pStyle w:val="TableParagraph"/>
              <w:spacing w:before="48"/>
              <w:ind w:left="47" w:right="35"/>
              <w:rPr>
                <w:b/>
                <w:sz w:val="14"/>
              </w:rPr>
            </w:pPr>
            <w:r>
              <w:rPr>
                <w:b/>
                <w:sz w:val="14"/>
              </w:rPr>
              <w:t>Deseable</w:t>
            </w:r>
          </w:p>
        </w:tc>
        <w:tc>
          <w:tcPr>
            <w:tcW w:w="718" w:type="dxa"/>
            <w:tcBorders>
              <w:left w:val="single" w:sz="5" w:space="0" w:color="FFFFFF"/>
              <w:right w:val="single" w:sz="9" w:space="0" w:color="000000"/>
            </w:tcBorders>
            <w:shd w:val="clear" w:color="auto" w:fill="67ED4D"/>
          </w:tcPr>
          <w:p>
            <w:pPr>
              <w:pStyle w:val="TableParagraph"/>
              <w:spacing w:before="48"/>
              <w:ind w:left="98" w:right="71"/>
              <w:rPr>
                <w:b/>
                <w:sz w:val="14"/>
              </w:rPr>
            </w:pPr>
            <w:r>
              <w:rPr>
                <w:b/>
                <w:sz w:val="14"/>
              </w:rPr>
              <w:t>Óptimo</w:t>
            </w:r>
          </w:p>
        </w:tc>
      </w:tr>
      <w:tr>
        <w:trPr>
          <w:trHeight w:val="174" w:hRule="exact"/>
        </w:trPr>
        <w:tc>
          <w:tcPr>
            <w:tcW w:w="729" w:type="dxa"/>
            <w:tcBorders>
              <w:left w:val="single" w:sz="5" w:space="0" w:color="000000"/>
            </w:tcBorders>
          </w:tcPr>
          <w:p>
            <w:pPr/>
          </w:p>
        </w:tc>
        <w:tc>
          <w:tcPr>
            <w:tcW w:w="2428" w:type="dxa"/>
          </w:tcPr>
          <w:p>
            <w:pPr/>
          </w:p>
        </w:tc>
        <w:tc>
          <w:tcPr>
            <w:tcW w:w="2096" w:type="dxa"/>
            <w:tcBorders>
              <w:right w:val="single" w:sz="5" w:space="0" w:color="BAF9F5"/>
            </w:tcBorders>
          </w:tcPr>
          <w:p>
            <w:pPr>
              <w:pStyle w:val="TableParagraph"/>
              <w:spacing w:line="160" w:lineRule="exact"/>
              <w:ind w:left="61" w:right="174"/>
              <w:jc w:val="left"/>
              <w:rPr>
                <w:sz w:val="14"/>
              </w:rPr>
            </w:pPr>
            <w:r>
              <w:rPr>
                <w:sz w:val="14"/>
              </w:rPr>
              <w:t>Espacios habitables</w:t>
            </w:r>
          </w:p>
        </w:tc>
        <w:tc>
          <w:tcPr>
            <w:tcW w:w="1513" w:type="dxa"/>
            <w:gridSpan w:val="2"/>
            <w:shd w:val="clear" w:color="auto" w:fill="BAF9F5"/>
          </w:tcPr>
          <w:p>
            <w:pPr>
              <w:pStyle w:val="TableParagraph"/>
              <w:spacing w:line="160" w:lineRule="exact"/>
              <w:ind w:left="635" w:right="642"/>
              <w:rPr>
                <w:sz w:val="14"/>
              </w:rPr>
            </w:pPr>
            <w:r>
              <w:rPr>
                <w:sz w:val="14"/>
              </w:rPr>
              <w:t>0.6</w:t>
            </w:r>
          </w:p>
        </w:tc>
        <w:tc>
          <w:tcPr>
            <w:tcW w:w="591" w:type="dxa"/>
          </w:tcPr>
          <w:p>
            <w:pPr/>
          </w:p>
        </w:tc>
        <w:tc>
          <w:tcPr>
            <w:tcW w:w="743" w:type="dxa"/>
            <w:tcBorders>
              <w:right w:val="single" w:sz="5" w:space="0" w:color="FFFFFF"/>
            </w:tcBorders>
            <w:shd w:val="clear" w:color="auto" w:fill="FFFF00"/>
          </w:tcPr>
          <w:p>
            <w:pPr>
              <w:pStyle w:val="TableParagraph"/>
              <w:spacing w:line="160" w:lineRule="exact"/>
              <w:ind w:left="47" w:right="35"/>
              <w:rPr>
                <w:sz w:val="14"/>
              </w:rPr>
            </w:pPr>
            <w:r>
              <w:rPr>
                <w:sz w:val="14"/>
              </w:rPr>
              <w:t>0.7</w:t>
            </w:r>
          </w:p>
        </w:tc>
        <w:tc>
          <w:tcPr>
            <w:tcW w:w="718" w:type="dxa"/>
            <w:tcBorders>
              <w:left w:val="single" w:sz="5" w:space="0" w:color="FFFFFF"/>
              <w:right w:val="single" w:sz="9" w:space="0" w:color="000000"/>
            </w:tcBorders>
            <w:shd w:val="clear" w:color="auto" w:fill="67ED4D"/>
          </w:tcPr>
          <w:p>
            <w:pPr>
              <w:pStyle w:val="TableParagraph"/>
              <w:spacing w:line="160" w:lineRule="exact"/>
              <w:ind w:left="12"/>
              <w:rPr>
                <w:sz w:val="14"/>
              </w:rPr>
            </w:pPr>
            <w:r>
              <w:rPr>
                <w:w w:val="99"/>
                <w:sz w:val="14"/>
              </w:rPr>
              <w:t>1</w:t>
            </w:r>
          </w:p>
        </w:tc>
      </w:tr>
      <w:tr>
        <w:trPr>
          <w:trHeight w:val="348" w:hRule="exact"/>
        </w:trPr>
        <w:tc>
          <w:tcPr>
            <w:tcW w:w="729" w:type="dxa"/>
            <w:tcBorders>
              <w:left w:val="single" w:sz="5" w:space="0" w:color="000000"/>
            </w:tcBorders>
          </w:tcPr>
          <w:p>
            <w:pPr/>
          </w:p>
        </w:tc>
        <w:tc>
          <w:tcPr>
            <w:tcW w:w="2428" w:type="dxa"/>
          </w:tcPr>
          <w:p>
            <w:pPr>
              <w:pStyle w:val="TableParagraph"/>
              <w:spacing w:before="80"/>
              <w:ind w:left="123"/>
              <w:jc w:val="left"/>
              <w:rPr>
                <w:sz w:val="14"/>
              </w:rPr>
            </w:pPr>
            <w:r>
              <w:rPr>
                <w:sz w:val="14"/>
              </w:rPr>
              <w:t>Habitabilidad</w:t>
            </w:r>
          </w:p>
        </w:tc>
        <w:tc>
          <w:tcPr>
            <w:tcW w:w="2096" w:type="dxa"/>
            <w:tcBorders>
              <w:right w:val="single" w:sz="5" w:space="0" w:color="BAF9F5"/>
            </w:tcBorders>
          </w:tcPr>
          <w:p>
            <w:pPr>
              <w:pStyle w:val="TableParagraph"/>
              <w:spacing w:line="259" w:lineRule="auto"/>
              <w:ind w:left="61" w:right="174"/>
              <w:jc w:val="left"/>
              <w:rPr>
                <w:sz w:val="14"/>
              </w:rPr>
            </w:pPr>
            <w:r>
              <w:rPr>
                <w:sz w:val="14"/>
              </w:rPr>
              <w:t>Metros de construcción Metros de terreno</w:t>
            </w:r>
          </w:p>
        </w:tc>
        <w:tc>
          <w:tcPr>
            <w:tcW w:w="1513" w:type="dxa"/>
            <w:gridSpan w:val="2"/>
            <w:shd w:val="clear" w:color="auto" w:fill="BAF9F5"/>
          </w:tcPr>
          <w:p>
            <w:pPr>
              <w:pStyle w:val="TableParagraph"/>
              <w:spacing w:line="160" w:lineRule="exact"/>
              <w:ind w:left="635" w:right="642"/>
              <w:rPr>
                <w:sz w:val="14"/>
              </w:rPr>
            </w:pPr>
            <w:r>
              <w:rPr>
                <w:sz w:val="14"/>
              </w:rPr>
              <w:t>0.7</w:t>
            </w:r>
          </w:p>
          <w:p>
            <w:pPr>
              <w:pStyle w:val="TableParagraph"/>
              <w:spacing w:before="13"/>
              <w:ind w:right="7"/>
              <w:rPr>
                <w:sz w:val="14"/>
              </w:rPr>
            </w:pPr>
            <w:r>
              <w:rPr>
                <w:w w:val="99"/>
                <w:sz w:val="14"/>
              </w:rPr>
              <w:t>1</w:t>
            </w:r>
          </w:p>
        </w:tc>
        <w:tc>
          <w:tcPr>
            <w:tcW w:w="591" w:type="dxa"/>
          </w:tcPr>
          <w:p>
            <w:pPr/>
          </w:p>
        </w:tc>
        <w:tc>
          <w:tcPr>
            <w:tcW w:w="743" w:type="dxa"/>
            <w:tcBorders>
              <w:right w:val="single" w:sz="5" w:space="0" w:color="FFFFFF"/>
            </w:tcBorders>
            <w:shd w:val="clear" w:color="auto" w:fill="FFFF00"/>
          </w:tcPr>
          <w:p>
            <w:pPr>
              <w:pStyle w:val="TableParagraph"/>
              <w:spacing w:line="160" w:lineRule="exact"/>
              <w:ind w:left="47" w:right="35"/>
              <w:rPr>
                <w:sz w:val="14"/>
              </w:rPr>
            </w:pPr>
            <w:r>
              <w:rPr>
                <w:sz w:val="14"/>
              </w:rPr>
              <w:t>0.9</w:t>
            </w:r>
          </w:p>
          <w:p>
            <w:pPr>
              <w:pStyle w:val="TableParagraph"/>
              <w:spacing w:before="13"/>
              <w:ind w:left="47" w:right="35"/>
              <w:rPr>
                <w:sz w:val="14"/>
              </w:rPr>
            </w:pPr>
            <w:r>
              <w:rPr>
                <w:sz w:val="14"/>
              </w:rPr>
              <w:t>0.8</w:t>
            </w:r>
          </w:p>
        </w:tc>
        <w:tc>
          <w:tcPr>
            <w:tcW w:w="718" w:type="dxa"/>
            <w:tcBorders>
              <w:left w:val="single" w:sz="5" w:space="0" w:color="FFFFFF"/>
              <w:right w:val="single" w:sz="9" w:space="0" w:color="000000"/>
            </w:tcBorders>
            <w:shd w:val="clear" w:color="auto" w:fill="67ED4D"/>
          </w:tcPr>
          <w:p>
            <w:pPr>
              <w:pStyle w:val="TableParagraph"/>
              <w:spacing w:line="160" w:lineRule="exact"/>
              <w:ind w:left="12"/>
              <w:rPr>
                <w:sz w:val="14"/>
              </w:rPr>
            </w:pPr>
            <w:r>
              <w:rPr>
                <w:w w:val="99"/>
                <w:sz w:val="14"/>
              </w:rPr>
              <w:t>1</w:t>
            </w:r>
          </w:p>
          <w:p>
            <w:pPr>
              <w:pStyle w:val="TableParagraph"/>
              <w:spacing w:before="13"/>
              <w:ind w:left="12"/>
              <w:rPr>
                <w:sz w:val="14"/>
              </w:rPr>
            </w:pPr>
            <w:r>
              <w:rPr>
                <w:w w:val="99"/>
                <w:sz w:val="14"/>
              </w:rPr>
              <w:t>1</w:t>
            </w:r>
          </w:p>
        </w:tc>
      </w:tr>
      <w:tr>
        <w:trPr>
          <w:trHeight w:val="182" w:hRule="exact"/>
        </w:trPr>
        <w:tc>
          <w:tcPr>
            <w:tcW w:w="729" w:type="dxa"/>
            <w:tcBorders>
              <w:left w:val="single" w:sz="5" w:space="0" w:color="000000"/>
            </w:tcBorders>
          </w:tcPr>
          <w:p>
            <w:pPr/>
          </w:p>
        </w:tc>
        <w:tc>
          <w:tcPr>
            <w:tcW w:w="2428" w:type="dxa"/>
          </w:tcPr>
          <w:p>
            <w:pPr/>
          </w:p>
        </w:tc>
        <w:tc>
          <w:tcPr>
            <w:tcW w:w="2096" w:type="dxa"/>
            <w:tcBorders>
              <w:right w:val="single" w:sz="5" w:space="0" w:color="BAF9F5"/>
            </w:tcBorders>
          </w:tcPr>
          <w:p>
            <w:pPr>
              <w:pStyle w:val="TableParagraph"/>
              <w:spacing w:line="160" w:lineRule="exact"/>
              <w:ind w:left="61" w:right="174"/>
              <w:jc w:val="left"/>
              <w:rPr>
                <w:sz w:val="14"/>
              </w:rPr>
            </w:pPr>
            <w:r>
              <w:rPr>
                <w:sz w:val="14"/>
              </w:rPr>
              <w:t>Hacinamiento</w:t>
            </w:r>
          </w:p>
        </w:tc>
        <w:tc>
          <w:tcPr>
            <w:tcW w:w="1513" w:type="dxa"/>
            <w:gridSpan w:val="2"/>
            <w:shd w:val="clear" w:color="auto" w:fill="BAF9F5"/>
          </w:tcPr>
          <w:p>
            <w:pPr>
              <w:pStyle w:val="TableParagraph"/>
              <w:spacing w:line="160" w:lineRule="exact"/>
              <w:ind w:right="7"/>
              <w:rPr>
                <w:sz w:val="14"/>
              </w:rPr>
            </w:pPr>
            <w:r>
              <w:rPr>
                <w:w w:val="99"/>
                <w:sz w:val="14"/>
              </w:rPr>
              <w:t>1</w:t>
            </w:r>
          </w:p>
        </w:tc>
        <w:tc>
          <w:tcPr>
            <w:tcW w:w="591" w:type="dxa"/>
          </w:tcPr>
          <w:p>
            <w:pPr/>
          </w:p>
        </w:tc>
        <w:tc>
          <w:tcPr>
            <w:tcW w:w="743" w:type="dxa"/>
            <w:tcBorders>
              <w:right w:val="single" w:sz="5" w:space="0" w:color="FFFFFF"/>
            </w:tcBorders>
            <w:shd w:val="clear" w:color="auto" w:fill="FFFF00"/>
          </w:tcPr>
          <w:p>
            <w:pPr>
              <w:pStyle w:val="TableParagraph"/>
              <w:spacing w:line="160" w:lineRule="exact"/>
              <w:ind w:left="47" w:right="35"/>
              <w:rPr>
                <w:sz w:val="14"/>
              </w:rPr>
            </w:pPr>
            <w:r>
              <w:rPr>
                <w:sz w:val="14"/>
              </w:rPr>
              <w:t>0.5</w:t>
            </w:r>
          </w:p>
        </w:tc>
        <w:tc>
          <w:tcPr>
            <w:tcW w:w="718" w:type="dxa"/>
            <w:tcBorders>
              <w:left w:val="single" w:sz="5" w:space="0" w:color="FFFFFF"/>
              <w:right w:val="single" w:sz="9" w:space="0" w:color="000000"/>
            </w:tcBorders>
            <w:shd w:val="clear" w:color="auto" w:fill="67ED4D"/>
          </w:tcPr>
          <w:p>
            <w:pPr>
              <w:pStyle w:val="TableParagraph"/>
              <w:spacing w:line="160" w:lineRule="exact"/>
              <w:ind w:left="12"/>
              <w:rPr>
                <w:sz w:val="14"/>
              </w:rPr>
            </w:pPr>
            <w:r>
              <w:rPr>
                <w:w w:val="99"/>
                <w:sz w:val="14"/>
              </w:rPr>
              <w:t>1</w:t>
            </w:r>
          </w:p>
        </w:tc>
      </w:tr>
      <w:tr>
        <w:trPr>
          <w:trHeight w:val="174" w:hRule="exact"/>
        </w:trPr>
        <w:tc>
          <w:tcPr>
            <w:tcW w:w="729" w:type="dxa"/>
            <w:tcBorders>
              <w:left w:val="single" w:sz="5" w:space="0" w:color="000000"/>
            </w:tcBorders>
          </w:tcPr>
          <w:p>
            <w:pPr/>
          </w:p>
        </w:tc>
        <w:tc>
          <w:tcPr>
            <w:tcW w:w="2428" w:type="dxa"/>
          </w:tcPr>
          <w:p>
            <w:pPr/>
          </w:p>
        </w:tc>
        <w:tc>
          <w:tcPr>
            <w:tcW w:w="2096" w:type="dxa"/>
          </w:tcPr>
          <w:p>
            <w:pPr/>
          </w:p>
        </w:tc>
        <w:tc>
          <w:tcPr>
            <w:tcW w:w="1312" w:type="dxa"/>
          </w:tcPr>
          <w:p>
            <w:pPr>
              <w:pStyle w:val="TableParagraph"/>
              <w:spacing w:line="151" w:lineRule="exact"/>
              <w:ind w:left="470" w:right="287"/>
              <w:rPr>
                <w:sz w:val="14"/>
              </w:rPr>
            </w:pPr>
            <w:r>
              <w:rPr>
                <w:sz w:val="14"/>
              </w:rPr>
              <w:t>Subtotal</w:t>
            </w:r>
          </w:p>
        </w:tc>
        <w:tc>
          <w:tcPr>
            <w:tcW w:w="792" w:type="dxa"/>
            <w:gridSpan w:val="2"/>
          </w:tcPr>
          <w:p>
            <w:pPr>
              <w:pStyle w:val="TableParagraph"/>
              <w:tabs>
                <w:tab w:pos="803" w:val="left" w:leader="none"/>
              </w:tabs>
              <w:spacing w:line="151" w:lineRule="exact"/>
              <w:ind w:left="189" w:right="-12"/>
              <w:jc w:val="left"/>
              <w:rPr>
                <w:sz w:val="14"/>
              </w:rPr>
            </w:pPr>
            <w:r>
              <w:rPr>
                <w:w w:val="99"/>
                <w:sz w:val="14"/>
                <w:shd w:fill="F79646" w:color="auto" w:val="clear"/>
              </w:rPr>
              <w:t> </w:t>
            </w:r>
            <w:r>
              <w:rPr>
                <w:sz w:val="14"/>
                <w:shd w:fill="F79646" w:color="auto" w:val="clear"/>
              </w:rPr>
              <w:t>   </w:t>
            </w:r>
            <w:r>
              <w:rPr>
                <w:spacing w:val="14"/>
                <w:sz w:val="14"/>
                <w:shd w:fill="F79646" w:color="auto" w:val="clear"/>
              </w:rPr>
              <w:t> </w:t>
            </w:r>
            <w:r>
              <w:rPr>
                <w:sz w:val="14"/>
                <w:shd w:fill="F79646" w:color="auto" w:val="clear"/>
              </w:rPr>
              <w:t>3.3</w:t>
              <w:tab/>
            </w:r>
          </w:p>
        </w:tc>
        <w:tc>
          <w:tcPr>
            <w:tcW w:w="743" w:type="dxa"/>
            <w:tcBorders>
              <w:right w:val="single" w:sz="5" w:space="0" w:color="FFFFFF"/>
            </w:tcBorders>
            <w:shd w:val="clear" w:color="auto" w:fill="FFFF00"/>
          </w:tcPr>
          <w:p>
            <w:pPr>
              <w:pStyle w:val="TableParagraph"/>
              <w:spacing w:line="151" w:lineRule="exact"/>
              <w:ind w:left="47" w:right="35"/>
              <w:rPr>
                <w:sz w:val="14"/>
              </w:rPr>
            </w:pPr>
            <w:r>
              <w:rPr>
                <w:sz w:val="14"/>
              </w:rPr>
              <w:t>2.9</w:t>
            </w:r>
          </w:p>
        </w:tc>
        <w:tc>
          <w:tcPr>
            <w:tcW w:w="718" w:type="dxa"/>
            <w:tcBorders>
              <w:left w:val="single" w:sz="5" w:space="0" w:color="FFFFFF"/>
              <w:right w:val="single" w:sz="9" w:space="0" w:color="000000"/>
            </w:tcBorders>
            <w:shd w:val="clear" w:color="auto" w:fill="67ED4D"/>
          </w:tcPr>
          <w:p>
            <w:pPr>
              <w:pStyle w:val="TableParagraph"/>
              <w:spacing w:line="151" w:lineRule="exact"/>
              <w:ind w:left="12"/>
              <w:rPr>
                <w:sz w:val="14"/>
              </w:rPr>
            </w:pPr>
            <w:r>
              <w:rPr>
                <w:w w:val="99"/>
                <w:sz w:val="14"/>
              </w:rPr>
              <w:t>4</w:t>
            </w:r>
          </w:p>
        </w:tc>
      </w:tr>
      <w:tr>
        <w:trPr>
          <w:trHeight w:val="162" w:hRule="exact"/>
        </w:trPr>
        <w:tc>
          <w:tcPr>
            <w:tcW w:w="8819" w:type="dxa"/>
            <w:gridSpan w:val="8"/>
            <w:tcBorders>
              <w:left w:val="single" w:sz="5" w:space="0" w:color="000000"/>
              <w:right w:val="single" w:sz="9" w:space="0" w:color="000000"/>
            </w:tcBorders>
          </w:tcPr>
          <w:p>
            <w:pPr/>
          </w:p>
        </w:tc>
      </w:tr>
      <w:tr>
        <w:trPr>
          <w:trHeight w:val="177" w:hRule="exact"/>
        </w:trPr>
        <w:tc>
          <w:tcPr>
            <w:tcW w:w="729" w:type="dxa"/>
            <w:tcBorders>
              <w:left w:val="single" w:sz="5" w:space="0" w:color="000000"/>
            </w:tcBorders>
          </w:tcPr>
          <w:p>
            <w:pPr/>
          </w:p>
        </w:tc>
        <w:tc>
          <w:tcPr>
            <w:tcW w:w="2428" w:type="dxa"/>
          </w:tcPr>
          <w:p>
            <w:pPr/>
          </w:p>
        </w:tc>
        <w:tc>
          <w:tcPr>
            <w:tcW w:w="2096" w:type="dxa"/>
          </w:tcPr>
          <w:p>
            <w:pPr>
              <w:pStyle w:val="TableParagraph"/>
              <w:spacing w:before="2"/>
              <w:ind w:left="61" w:right="1013"/>
              <w:jc w:val="left"/>
              <w:rPr>
                <w:sz w:val="14"/>
              </w:rPr>
            </w:pPr>
            <w:r>
              <w:rPr>
                <w:sz w:val="14"/>
              </w:rPr>
              <w:t>Empleo</w:t>
            </w:r>
          </w:p>
        </w:tc>
        <w:tc>
          <w:tcPr>
            <w:tcW w:w="1312" w:type="dxa"/>
          </w:tcPr>
          <w:p>
            <w:pPr>
              <w:pStyle w:val="TableParagraph"/>
              <w:spacing w:before="2"/>
              <w:ind w:left="470" w:right="279"/>
              <w:rPr>
                <w:sz w:val="14"/>
              </w:rPr>
            </w:pPr>
            <w:r>
              <w:rPr>
                <w:sz w:val="14"/>
              </w:rPr>
              <w:t>0.6</w:t>
            </w:r>
          </w:p>
        </w:tc>
        <w:tc>
          <w:tcPr>
            <w:tcW w:w="792" w:type="dxa"/>
            <w:gridSpan w:val="2"/>
          </w:tcPr>
          <w:p>
            <w:pPr/>
          </w:p>
        </w:tc>
        <w:tc>
          <w:tcPr>
            <w:tcW w:w="743" w:type="dxa"/>
          </w:tcPr>
          <w:p>
            <w:pPr>
              <w:pStyle w:val="TableParagraph"/>
              <w:spacing w:before="2"/>
              <w:ind w:left="257" w:right="251"/>
              <w:rPr>
                <w:sz w:val="14"/>
              </w:rPr>
            </w:pPr>
            <w:r>
              <w:rPr>
                <w:sz w:val="14"/>
              </w:rPr>
              <w:t>0.8</w:t>
            </w:r>
          </w:p>
        </w:tc>
        <w:tc>
          <w:tcPr>
            <w:tcW w:w="718" w:type="dxa"/>
            <w:tcBorders>
              <w:right w:val="single" w:sz="9" w:space="0" w:color="000000"/>
            </w:tcBorders>
            <w:shd w:val="clear" w:color="auto" w:fill="67ED4D"/>
          </w:tcPr>
          <w:p>
            <w:pPr>
              <w:pStyle w:val="TableParagraph"/>
              <w:spacing w:before="2"/>
              <w:ind w:left="18"/>
              <w:rPr>
                <w:sz w:val="14"/>
              </w:rPr>
            </w:pPr>
            <w:r>
              <w:rPr>
                <w:w w:val="99"/>
                <w:sz w:val="14"/>
              </w:rPr>
              <w:t>1</w:t>
            </w:r>
          </w:p>
        </w:tc>
      </w:tr>
      <w:tr>
        <w:trPr>
          <w:trHeight w:val="174" w:hRule="exact"/>
        </w:trPr>
        <w:tc>
          <w:tcPr>
            <w:tcW w:w="729" w:type="dxa"/>
            <w:tcBorders>
              <w:left w:val="single" w:sz="5" w:space="0" w:color="000000"/>
            </w:tcBorders>
          </w:tcPr>
          <w:p>
            <w:pPr/>
          </w:p>
        </w:tc>
        <w:tc>
          <w:tcPr>
            <w:tcW w:w="2428" w:type="dxa"/>
          </w:tcPr>
          <w:p>
            <w:pPr/>
          </w:p>
        </w:tc>
        <w:tc>
          <w:tcPr>
            <w:tcW w:w="2096" w:type="dxa"/>
          </w:tcPr>
          <w:p>
            <w:pPr>
              <w:pStyle w:val="TableParagraph"/>
              <w:spacing w:line="160" w:lineRule="exact"/>
              <w:ind w:left="61" w:right="1013"/>
              <w:jc w:val="left"/>
              <w:rPr>
                <w:sz w:val="14"/>
              </w:rPr>
            </w:pPr>
            <w:r>
              <w:rPr>
                <w:sz w:val="14"/>
              </w:rPr>
              <w:t>Educación</w:t>
            </w:r>
          </w:p>
        </w:tc>
        <w:tc>
          <w:tcPr>
            <w:tcW w:w="1312" w:type="dxa"/>
          </w:tcPr>
          <w:p>
            <w:pPr>
              <w:pStyle w:val="TableParagraph"/>
              <w:spacing w:line="160" w:lineRule="exact"/>
              <w:ind w:left="470" w:right="279"/>
              <w:rPr>
                <w:sz w:val="14"/>
              </w:rPr>
            </w:pPr>
            <w:r>
              <w:rPr>
                <w:sz w:val="14"/>
              </w:rPr>
              <w:t>0.7</w:t>
            </w:r>
          </w:p>
        </w:tc>
        <w:tc>
          <w:tcPr>
            <w:tcW w:w="792" w:type="dxa"/>
            <w:gridSpan w:val="2"/>
          </w:tcPr>
          <w:p>
            <w:pPr/>
          </w:p>
        </w:tc>
        <w:tc>
          <w:tcPr>
            <w:tcW w:w="743" w:type="dxa"/>
          </w:tcPr>
          <w:p>
            <w:pPr>
              <w:pStyle w:val="TableParagraph"/>
              <w:spacing w:line="160" w:lineRule="exact"/>
              <w:ind w:left="257" w:right="251"/>
              <w:rPr>
                <w:sz w:val="14"/>
              </w:rPr>
            </w:pPr>
            <w:r>
              <w:rPr>
                <w:sz w:val="14"/>
              </w:rPr>
              <w:t>0.7</w:t>
            </w:r>
          </w:p>
        </w:tc>
        <w:tc>
          <w:tcPr>
            <w:tcW w:w="718" w:type="dxa"/>
            <w:tcBorders>
              <w:right w:val="single" w:sz="9" w:space="0" w:color="000000"/>
            </w:tcBorders>
            <w:shd w:val="clear" w:color="auto" w:fill="67ED4D"/>
          </w:tcPr>
          <w:p>
            <w:pPr>
              <w:pStyle w:val="TableParagraph"/>
              <w:spacing w:line="160" w:lineRule="exact"/>
              <w:ind w:left="18"/>
              <w:rPr>
                <w:sz w:val="14"/>
              </w:rPr>
            </w:pPr>
            <w:r>
              <w:rPr>
                <w:w w:val="99"/>
                <w:sz w:val="14"/>
              </w:rPr>
              <w:t>1</w:t>
            </w:r>
          </w:p>
        </w:tc>
      </w:tr>
      <w:tr>
        <w:trPr>
          <w:trHeight w:val="174" w:hRule="exact"/>
        </w:trPr>
        <w:tc>
          <w:tcPr>
            <w:tcW w:w="729" w:type="dxa"/>
            <w:tcBorders>
              <w:left w:val="single" w:sz="5" w:space="0" w:color="000000"/>
            </w:tcBorders>
          </w:tcPr>
          <w:p>
            <w:pPr/>
          </w:p>
        </w:tc>
        <w:tc>
          <w:tcPr>
            <w:tcW w:w="2428" w:type="dxa"/>
          </w:tcPr>
          <w:p>
            <w:pPr/>
          </w:p>
        </w:tc>
        <w:tc>
          <w:tcPr>
            <w:tcW w:w="2096" w:type="dxa"/>
          </w:tcPr>
          <w:p>
            <w:pPr>
              <w:pStyle w:val="TableParagraph"/>
              <w:spacing w:line="160" w:lineRule="exact"/>
              <w:ind w:left="61" w:right="1013"/>
              <w:jc w:val="left"/>
              <w:rPr>
                <w:sz w:val="14"/>
              </w:rPr>
            </w:pPr>
            <w:r>
              <w:rPr>
                <w:sz w:val="14"/>
              </w:rPr>
              <w:t>Salud</w:t>
            </w:r>
          </w:p>
        </w:tc>
        <w:tc>
          <w:tcPr>
            <w:tcW w:w="1312" w:type="dxa"/>
          </w:tcPr>
          <w:p>
            <w:pPr>
              <w:pStyle w:val="TableParagraph"/>
              <w:spacing w:line="160" w:lineRule="exact"/>
              <w:ind w:left="470" w:right="279"/>
              <w:rPr>
                <w:sz w:val="14"/>
              </w:rPr>
            </w:pPr>
            <w:r>
              <w:rPr>
                <w:sz w:val="14"/>
              </w:rPr>
              <w:t>0.7</w:t>
            </w:r>
          </w:p>
        </w:tc>
        <w:tc>
          <w:tcPr>
            <w:tcW w:w="792" w:type="dxa"/>
            <w:gridSpan w:val="2"/>
          </w:tcPr>
          <w:p>
            <w:pPr/>
          </w:p>
        </w:tc>
        <w:tc>
          <w:tcPr>
            <w:tcW w:w="743" w:type="dxa"/>
          </w:tcPr>
          <w:p>
            <w:pPr>
              <w:pStyle w:val="TableParagraph"/>
              <w:spacing w:line="160" w:lineRule="exact"/>
              <w:ind w:left="257" w:right="251"/>
              <w:rPr>
                <w:sz w:val="14"/>
              </w:rPr>
            </w:pPr>
            <w:r>
              <w:rPr>
                <w:sz w:val="14"/>
              </w:rPr>
              <w:t>0.9</w:t>
            </w:r>
          </w:p>
        </w:tc>
        <w:tc>
          <w:tcPr>
            <w:tcW w:w="718" w:type="dxa"/>
            <w:tcBorders>
              <w:right w:val="single" w:sz="9" w:space="0" w:color="000000"/>
            </w:tcBorders>
            <w:shd w:val="clear" w:color="auto" w:fill="67ED4D"/>
          </w:tcPr>
          <w:p>
            <w:pPr>
              <w:pStyle w:val="TableParagraph"/>
              <w:spacing w:line="160" w:lineRule="exact"/>
              <w:ind w:left="18"/>
              <w:rPr>
                <w:sz w:val="14"/>
              </w:rPr>
            </w:pPr>
            <w:r>
              <w:rPr>
                <w:w w:val="99"/>
                <w:sz w:val="14"/>
              </w:rPr>
              <w:t>1</w:t>
            </w:r>
          </w:p>
        </w:tc>
      </w:tr>
      <w:tr>
        <w:trPr>
          <w:trHeight w:val="348" w:hRule="exact"/>
        </w:trPr>
        <w:tc>
          <w:tcPr>
            <w:tcW w:w="729" w:type="dxa"/>
            <w:tcBorders>
              <w:left w:val="single" w:sz="5" w:space="0" w:color="000000"/>
            </w:tcBorders>
          </w:tcPr>
          <w:p>
            <w:pPr/>
          </w:p>
        </w:tc>
        <w:tc>
          <w:tcPr>
            <w:tcW w:w="2428" w:type="dxa"/>
          </w:tcPr>
          <w:p>
            <w:pPr>
              <w:pStyle w:val="TableParagraph"/>
              <w:spacing w:before="80"/>
              <w:ind w:left="123"/>
              <w:jc w:val="left"/>
              <w:rPr>
                <w:sz w:val="14"/>
              </w:rPr>
            </w:pPr>
            <w:r>
              <w:rPr>
                <w:sz w:val="14"/>
              </w:rPr>
              <w:t>Oportunidades urbanas</w:t>
            </w:r>
          </w:p>
        </w:tc>
        <w:tc>
          <w:tcPr>
            <w:tcW w:w="2096" w:type="dxa"/>
          </w:tcPr>
          <w:p>
            <w:pPr>
              <w:pStyle w:val="TableParagraph"/>
              <w:spacing w:line="259" w:lineRule="auto"/>
              <w:ind w:left="61" w:right="1013"/>
              <w:jc w:val="left"/>
              <w:rPr>
                <w:sz w:val="14"/>
              </w:rPr>
            </w:pPr>
            <w:r>
              <w:rPr>
                <w:w w:val="95"/>
                <w:sz w:val="14"/>
              </w:rPr>
              <w:t>Seguridad </w:t>
            </w:r>
            <w:r>
              <w:rPr>
                <w:sz w:val="14"/>
              </w:rPr>
              <w:t>Abasto</w:t>
            </w:r>
          </w:p>
        </w:tc>
        <w:tc>
          <w:tcPr>
            <w:tcW w:w="1312" w:type="dxa"/>
          </w:tcPr>
          <w:p>
            <w:pPr>
              <w:pStyle w:val="TableParagraph"/>
              <w:spacing w:line="160" w:lineRule="exact"/>
              <w:ind w:left="470" w:right="279"/>
              <w:rPr>
                <w:sz w:val="14"/>
              </w:rPr>
            </w:pPr>
            <w:r>
              <w:rPr>
                <w:sz w:val="14"/>
              </w:rPr>
              <w:t>0.9</w:t>
            </w:r>
          </w:p>
          <w:p>
            <w:pPr>
              <w:pStyle w:val="TableParagraph"/>
              <w:spacing w:before="13"/>
              <w:ind w:left="470" w:right="279"/>
              <w:rPr>
                <w:sz w:val="14"/>
              </w:rPr>
            </w:pPr>
            <w:r>
              <w:rPr>
                <w:sz w:val="14"/>
              </w:rPr>
              <w:t>0.9</w:t>
            </w:r>
          </w:p>
        </w:tc>
        <w:tc>
          <w:tcPr>
            <w:tcW w:w="792" w:type="dxa"/>
            <w:gridSpan w:val="2"/>
          </w:tcPr>
          <w:p>
            <w:pPr/>
          </w:p>
        </w:tc>
        <w:tc>
          <w:tcPr>
            <w:tcW w:w="743" w:type="dxa"/>
          </w:tcPr>
          <w:p>
            <w:pPr>
              <w:pStyle w:val="TableParagraph"/>
              <w:spacing w:line="160" w:lineRule="exact"/>
              <w:ind w:left="257" w:right="251"/>
              <w:rPr>
                <w:sz w:val="14"/>
              </w:rPr>
            </w:pPr>
            <w:r>
              <w:rPr>
                <w:sz w:val="14"/>
              </w:rPr>
              <w:t>0.9</w:t>
            </w:r>
          </w:p>
          <w:p>
            <w:pPr>
              <w:pStyle w:val="TableParagraph"/>
              <w:spacing w:before="13"/>
              <w:ind w:left="257" w:right="251"/>
              <w:rPr>
                <w:sz w:val="14"/>
              </w:rPr>
            </w:pPr>
            <w:r>
              <w:rPr>
                <w:sz w:val="14"/>
              </w:rPr>
              <w:t>0.9</w:t>
            </w:r>
          </w:p>
        </w:tc>
        <w:tc>
          <w:tcPr>
            <w:tcW w:w="718" w:type="dxa"/>
            <w:tcBorders>
              <w:right w:val="single" w:sz="9" w:space="0" w:color="000000"/>
            </w:tcBorders>
            <w:shd w:val="clear" w:color="auto" w:fill="67ED4D"/>
          </w:tcPr>
          <w:p>
            <w:pPr>
              <w:pStyle w:val="TableParagraph"/>
              <w:spacing w:line="160" w:lineRule="exact"/>
              <w:ind w:left="18"/>
              <w:rPr>
                <w:sz w:val="14"/>
              </w:rPr>
            </w:pPr>
            <w:r>
              <w:rPr>
                <w:w w:val="99"/>
                <w:sz w:val="14"/>
              </w:rPr>
              <w:t>1</w:t>
            </w:r>
          </w:p>
          <w:p>
            <w:pPr>
              <w:pStyle w:val="TableParagraph"/>
              <w:spacing w:before="13"/>
              <w:ind w:left="18"/>
              <w:rPr>
                <w:sz w:val="14"/>
              </w:rPr>
            </w:pPr>
            <w:r>
              <w:rPr>
                <w:w w:val="99"/>
                <w:sz w:val="14"/>
              </w:rPr>
              <w:t>1</w:t>
            </w:r>
          </w:p>
        </w:tc>
      </w:tr>
      <w:tr>
        <w:trPr>
          <w:trHeight w:val="174" w:hRule="exact"/>
        </w:trPr>
        <w:tc>
          <w:tcPr>
            <w:tcW w:w="729" w:type="dxa"/>
            <w:tcBorders>
              <w:left w:val="single" w:sz="5" w:space="0" w:color="000000"/>
            </w:tcBorders>
          </w:tcPr>
          <w:p>
            <w:pPr/>
          </w:p>
        </w:tc>
        <w:tc>
          <w:tcPr>
            <w:tcW w:w="2428" w:type="dxa"/>
          </w:tcPr>
          <w:p>
            <w:pPr/>
          </w:p>
        </w:tc>
        <w:tc>
          <w:tcPr>
            <w:tcW w:w="2096" w:type="dxa"/>
          </w:tcPr>
          <w:p>
            <w:pPr>
              <w:pStyle w:val="TableParagraph"/>
              <w:spacing w:line="160" w:lineRule="exact"/>
              <w:ind w:left="61" w:right="1013"/>
              <w:jc w:val="left"/>
              <w:rPr>
                <w:sz w:val="14"/>
              </w:rPr>
            </w:pPr>
            <w:r>
              <w:rPr>
                <w:sz w:val="14"/>
              </w:rPr>
              <w:t>Transporte</w:t>
            </w:r>
          </w:p>
        </w:tc>
        <w:tc>
          <w:tcPr>
            <w:tcW w:w="1312" w:type="dxa"/>
          </w:tcPr>
          <w:p>
            <w:pPr>
              <w:pStyle w:val="TableParagraph"/>
              <w:spacing w:line="160" w:lineRule="exact"/>
              <w:ind w:left="470" w:right="279"/>
              <w:rPr>
                <w:sz w:val="14"/>
              </w:rPr>
            </w:pPr>
            <w:r>
              <w:rPr>
                <w:sz w:val="14"/>
              </w:rPr>
              <w:t>0.3</w:t>
            </w:r>
          </w:p>
        </w:tc>
        <w:tc>
          <w:tcPr>
            <w:tcW w:w="792" w:type="dxa"/>
            <w:gridSpan w:val="2"/>
          </w:tcPr>
          <w:p>
            <w:pPr/>
          </w:p>
        </w:tc>
        <w:tc>
          <w:tcPr>
            <w:tcW w:w="743" w:type="dxa"/>
          </w:tcPr>
          <w:p>
            <w:pPr>
              <w:pStyle w:val="TableParagraph"/>
              <w:spacing w:line="160" w:lineRule="exact"/>
              <w:ind w:left="257" w:right="251"/>
              <w:rPr>
                <w:sz w:val="14"/>
              </w:rPr>
            </w:pPr>
            <w:r>
              <w:rPr>
                <w:sz w:val="14"/>
              </w:rPr>
              <w:t>0.6</w:t>
            </w:r>
          </w:p>
        </w:tc>
        <w:tc>
          <w:tcPr>
            <w:tcW w:w="718" w:type="dxa"/>
            <w:tcBorders>
              <w:right w:val="single" w:sz="9" w:space="0" w:color="000000"/>
            </w:tcBorders>
            <w:shd w:val="clear" w:color="auto" w:fill="67ED4D"/>
          </w:tcPr>
          <w:p>
            <w:pPr>
              <w:pStyle w:val="TableParagraph"/>
              <w:spacing w:line="160" w:lineRule="exact"/>
              <w:ind w:left="18"/>
              <w:rPr>
                <w:sz w:val="14"/>
              </w:rPr>
            </w:pPr>
            <w:r>
              <w:rPr>
                <w:w w:val="99"/>
                <w:sz w:val="14"/>
              </w:rPr>
              <w:t>1</w:t>
            </w:r>
          </w:p>
        </w:tc>
      </w:tr>
      <w:tr>
        <w:trPr>
          <w:trHeight w:val="348" w:hRule="exact"/>
        </w:trPr>
        <w:tc>
          <w:tcPr>
            <w:tcW w:w="729" w:type="dxa"/>
            <w:tcBorders>
              <w:left w:val="single" w:sz="5" w:space="0" w:color="000000"/>
            </w:tcBorders>
          </w:tcPr>
          <w:p>
            <w:pPr>
              <w:pStyle w:val="TableParagraph"/>
              <w:spacing w:before="80"/>
              <w:ind w:left="198" w:right="102"/>
              <w:rPr>
                <w:sz w:val="14"/>
              </w:rPr>
            </w:pPr>
            <w:r>
              <w:rPr>
                <w:sz w:val="14"/>
              </w:rPr>
              <w:t>Social</w:t>
            </w:r>
          </w:p>
        </w:tc>
        <w:tc>
          <w:tcPr>
            <w:tcW w:w="2428" w:type="dxa"/>
          </w:tcPr>
          <w:p>
            <w:pPr/>
          </w:p>
        </w:tc>
        <w:tc>
          <w:tcPr>
            <w:tcW w:w="2096" w:type="dxa"/>
          </w:tcPr>
          <w:p>
            <w:pPr>
              <w:pStyle w:val="TableParagraph"/>
              <w:spacing w:line="160" w:lineRule="exact"/>
              <w:ind w:left="61" w:right="1013"/>
              <w:jc w:val="left"/>
              <w:rPr>
                <w:sz w:val="14"/>
              </w:rPr>
            </w:pPr>
            <w:r>
              <w:rPr>
                <w:sz w:val="14"/>
              </w:rPr>
              <w:t>Recreación</w:t>
            </w:r>
          </w:p>
          <w:p>
            <w:pPr>
              <w:pStyle w:val="TableParagraph"/>
              <w:spacing w:before="13"/>
              <w:ind w:left="61"/>
              <w:jc w:val="left"/>
              <w:rPr>
                <w:sz w:val="14"/>
              </w:rPr>
            </w:pPr>
            <w:r>
              <w:rPr>
                <w:sz w:val="14"/>
              </w:rPr>
              <w:t>Servicios especializados</w:t>
            </w:r>
          </w:p>
        </w:tc>
        <w:tc>
          <w:tcPr>
            <w:tcW w:w="1312" w:type="dxa"/>
          </w:tcPr>
          <w:p>
            <w:pPr>
              <w:pStyle w:val="TableParagraph"/>
              <w:spacing w:line="160" w:lineRule="exact"/>
              <w:ind w:left="470" w:right="279"/>
              <w:rPr>
                <w:sz w:val="14"/>
              </w:rPr>
            </w:pPr>
            <w:r>
              <w:rPr>
                <w:sz w:val="14"/>
              </w:rPr>
              <w:t>0.9</w:t>
            </w:r>
          </w:p>
          <w:p>
            <w:pPr>
              <w:pStyle w:val="TableParagraph"/>
              <w:spacing w:before="13"/>
              <w:ind w:left="470" w:right="279"/>
              <w:rPr>
                <w:sz w:val="14"/>
              </w:rPr>
            </w:pPr>
            <w:r>
              <w:rPr>
                <w:sz w:val="14"/>
              </w:rPr>
              <w:t>0.6</w:t>
            </w:r>
          </w:p>
        </w:tc>
        <w:tc>
          <w:tcPr>
            <w:tcW w:w="792" w:type="dxa"/>
            <w:gridSpan w:val="2"/>
          </w:tcPr>
          <w:p>
            <w:pPr/>
          </w:p>
        </w:tc>
        <w:tc>
          <w:tcPr>
            <w:tcW w:w="743" w:type="dxa"/>
          </w:tcPr>
          <w:p>
            <w:pPr>
              <w:pStyle w:val="TableParagraph"/>
              <w:spacing w:line="160" w:lineRule="exact"/>
              <w:ind w:left="257" w:right="251"/>
              <w:rPr>
                <w:sz w:val="14"/>
              </w:rPr>
            </w:pPr>
            <w:r>
              <w:rPr>
                <w:sz w:val="14"/>
              </w:rPr>
              <w:t>0.8</w:t>
            </w:r>
          </w:p>
          <w:p>
            <w:pPr>
              <w:pStyle w:val="TableParagraph"/>
              <w:spacing w:before="13"/>
              <w:ind w:left="257" w:right="251"/>
              <w:rPr>
                <w:sz w:val="14"/>
              </w:rPr>
            </w:pPr>
            <w:r>
              <w:rPr>
                <w:sz w:val="14"/>
              </w:rPr>
              <w:t>0.7</w:t>
            </w:r>
          </w:p>
        </w:tc>
        <w:tc>
          <w:tcPr>
            <w:tcW w:w="718" w:type="dxa"/>
            <w:tcBorders>
              <w:right w:val="single" w:sz="9" w:space="0" w:color="000000"/>
            </w:tcBorders>
            <w:shd w:val="clear" w:color="auto" w:fill="67ED4D"/>
          </w:tcPr>
          <w:p>
            <w:pPr>
              <w:pStyle w:val="TableParagraph"/>
              <w:spacing w:line="160" w:lineRule="exact"/>
              <w:ind w:left="18"/>
              <w:rPr>
                <w:sz w:val="14"/>
              </w:rPr>
            </w:pPr>
            <w:r>
              <w:rPr>
                <w:w w:val="99"/>
                <w:sz w:val="14"/>
              </w:rPr>
              <w:t>1</w:t>
            </w:r>
          </w:p>
          <w:p>
            <w:pPr>
              <w:pStyle w:val="TableParagraph"/>
              <w:spacing w:before="13"/>
              <w:ind w:left="18"/>
              <w:rPr>
                <w:sz w:val="14"/>
              </w:rPr>
            </w:pPr>
            <w:r>
              <w:rPr>
                <w:w w:val="99"/>
                <w:sz w:val="14"/>
              </w:rPr>
              <w:t>1</w:t>
            </w:r>
          </w:p>
        </w:tc>
      </w:tr>
      <w:tr>
        <w:trPr>
          <w:trHeight w:val="182" w:hRule="exact"/>
        </w:trPr>
        <w:tc>
          <w:tcPr>
            <w:tcW w:w="729" w:type="dxa"/>
            <w:tcBorders>
              <w:left w:val="single" w:sz="5" w:space="0" w:color="000000"/>
            </w:tcBorders>
          </w:tcPr>
          <w:p>
            <w:pPr/>
          </w:p>
        </w:tc>
        <w:tc>
          <w:tcPr>
            <w:tcW w:w="2428" w:type="dxa"/>
          </w:tcPr>
          <w:p>
            <w:pPr/>
          </w:p>
        </w:tc>
        <w:tc>
          <w:tcPr>
            <w:tcW w:w="2096" w:type="dxa"/>
          </w:tcPr>
          <w:p>
            <w:pPr/>
          </w:p>
        </w:tc>
        <w:tc>
          <w:tcPr>
            <w:tcW w:w="1312" w:type="dxa"/>
          </w:tcPr>
          <w:p>
            <w:pPr>
              <w:pStyle w:val="TableParagraph"/>
              <w:spacing w:line="160" w:lineRule="exact"/>
              <w:ind w:left="470" w:right="287"/>
              <w:rPr>
                <w:sz w:val="14"/>
              </w:rPr>
            </w:pPr>
            <w:r>
              <w:rPr>
                <w:sz w:val="14"/>
              </w:rPr>
              <w:t>Subtotal</w:t>
            </w:r>
          </w:p>
        </w:tc>
        <w:tc>
          <w:tcPr>
            <w:tcW w:w="792" w:type="dxa"/>
            <w:gridSpan w:val="2"/>
          </w:tcPr>
          <w:p>
            <w:pPr>
              <w:pStyle w:val="TableParagraph"/>
              <w:tabs>
                <w:tab w:pos="803" w:val="left" w:leader="none"/>
              </w:tabs>
              <w:spacing w:line="160" w:lineRule="exact"/>
              <w:ind w:left="189" w:right="-12"/>
              <w:jc w:val="left"/>
              <w:rPr>
                <w:sz w:val="14"/>
              </w:rPr>
            </w:pPr>
            <w:r>
              <w:rPr>
                <w:w w:val="99"/>
                <w:sz w:val="14"/>
                <w:shd w:fill="F79646" w:color="auto" w:val="clear"/>
              </w:rPr>
              <w:t> </w:t>
            </w:r>
            <w:r>
              <w:rPr>
                <w:sz w:val="14"/>
                <w:shd w:fill="F79646" w:color="auto" w:val="clear"/>
              </w:rPr>
              <w:t>   </w:t>
            </w:r>
            <w:r>
              <w:rPr>
                <w:spacing w:val="14"/>
                <w:sz w:val="14"/>
                <w:shd w:fill="F79646" w:color="auto" w:val="clear"/>
              </w:rPr>
              <w:t> </w:t>
            </w:r>
            <w:r>
              <w:rPr>
                <w:sz w:val="14"/>
                <w:shd w:fill="F79646" w:color="auto" w:val="clear"/>
              </w:rPr>
              <w:t>5.6</w:t>
              <w:tab/>
            </w:r>
          </w:p>
        </w:tc>
        <w:tc>
          <w:tcPr>
            <w:tcW w:w="743" w:type="dxa"/>
          </w:tcPr>
          <w:p>
            <w:pPr>
              <w:pStyle w:val="TableParagraph"/>
              <w:spacing w:line="160" w:lineRule="exact"/>
              <w:ind w:left="257" w:right="251"/>
              <w:rPr>
                <w:sz w:val="14"/>
              </w:rPr>
            </w:pPr>
            <w:r>
              <w:rPr>
                <w:sz w:val="14"/>
              </w:rPr>
              <w:t>6.3</w:t>
            </w:r>
          </w:p>
        </w:tc>
        <w:tc>
          <w:tcPr>
            <w:tcW w:w="718" w:type="dxa"/>
            <w:tcBorders>
              <w:right w:val="single" w:sz="9" w:space="0" w:color="000000"/>
            </w:tcBorders>
            <w:shd w:val="clear" w:color="auto" w:fill="67ED4D"/>
          </w:tcPr>
          <w:p>
            <w:pPr>
              <w:pStyle w:val="TableParagraph"/>
              <w:spacing w:line="160" w:lineRule="exact"/>
              <w:ind w:left="18"/>
              <w:rPr>
                <w:sz w:val="14"/>
              </w:rPr>
            </w:pPr>
            <w:r>
              <w:rPr>
                <w:w w:val="99"/>
                <w:sz w:val="14"/>
              </w:rPr>
              <w:t>8</w:t>
            </w:r>
          </w:p>
        </w:tc>
      </w:tr>
      <w:tr>
        <w:trPr>
          <w:trHeight w:val="162" w:hRule="exact"/>
        </w:trPr>
        <w:tc>
          <w:tcPr>
            <w:tcW w:w="8819" w:type="dxa"/>
            <w:gridSpan w:val="8"/>
            <w:tcBorders>
              <w:left w:val="single" w:sz="5" w:space="0" w:color="000000"/>
              <w:right w:val="single" w:sz="9" w:space="0" w:color="000000"/>
            </w:tcBorders>
          </w:tcPr>
          <w:p>
            <w:pPr/>
          </w:p>
        </w:tc>
      </w:tr>
      <w:tr>
        <w:trPr>
          <w:trHeight w:val="177" w:hRule="exact"/>
        </w:trPr>
        <w:tc>
          <w:tcPr>
            <w:tcW w:w="729" w:type="dxa"/>
            <w:tcBorders>
              <w:left w:val="single" w:sz="5" w:space="0" w:color="000000"/>
            </w:tcBorders>
          </w:tcPr>
          <w:p>
            <w:pPr/>
          </w:p>
        </w:tc>
        <w:tc>
          <w:tcPr>
            <w:tcW w:w="2428" w:type="dxa"/>
          </w:tcPr>
          <w:p>
            <w:pPr>
              <w:pStyle w:val="TableParagraph"/>
              <w:spacing w:before="2"/>
              <w:ind w:left="123"/>
              <w:jc w:val="left"/>
              <w:rPr>
                <w:sz w:val="14"/>
              </w:rPr>
            </w:pPr>
            <w:r>
              <w:rPr>
                <w:sz w:val="14"/>
              </w:rPr>
              <w:t>Organización vecinal</w:t>
            </w:r>
          </w:p>
        </w:tc>
        <w:tc>
          <w:tcPr>
            <w:tcW w:w="2096" w:type="dxa"/>
          </w:tcPr>
          <w:p>
            <w:pPr>
              <w:pStyle w:val="TableParagraph"/>
              <w:spacing w:before="2"/>
              <w:ind w:left="61"/>
              <w:jc w:val="left"/>
              <w:rPr>
                <w:sz w:val="14"/>
              </w:rPr>
            </w:pPr>
            <w:r>
              <w:rPr>
                <w:sz w:val="14"/>
              </w:rPr>
              <w:t>Administración ciudadana</w:t>
            </w:r>
          </w:p>
        </w:tc>
        <w:tc>
          <w:tcPr>
            <w:tcW w:w="1312" w:type="dxa"/>
          </w:tcPr>
          <w:p>
            <w:pPr>
              <w:pStyle w:val="TableParagraph"/>
              <w:spacing w:before="2"/>
              <w:ind w:left="191"/>
              <w:rPr>
                <w:sz w:val="14"/>
              </w:rPr>
            </w:pPr>
            <w:r>
              <w:rPr>
                <w:w w:val="99"/>
                <w:sz w:val="14"/>
              </w:rPr>
              <w:t>1</w:t>
            </w:r>
          </w:p>
        </w:tc>
        <w:tc>
          <w:tcPr>
            <w:tcW w:w="792" w:type="dxa"/>
            <w:gridSpan w:val="2"/>
          </w:tcPr>
          <w:p>
            <w:pPr/>
          </w:p>
        </w:tc>
        <w:tc>
          <w:tcPr>
            <w:tcW w:w="743" w:type="dxa"/>
          </w:tcPr>
          <w:p>
            <w:pPr>
              <w:pStyle w:val="TableParagraph"/>
              <w:spacing w:before="2"/>
              <w:ind w:left="257" w:right="251"/>
              <w:rPr>
                <w:sz w:val="14"/>
              </w:rPr>
            </w:pPr>
            <w:r>
              <w:rPr>
                <w:sz w:val="14"/>
              </w:rPr>
              <w:t>0.8</w:t>
            </w:r>
          </w:p>
        </w:tc>
        <w:tc>
          <w:tcPr>
            <w:tcW w:w="718" w:type="dxa"/>
            <w:tcBorders>
              <w:right w:val="single" w:sz="9" w:space="0" w:color="000000"/>
            </w:tcBorders>
            <w:shd w:val="clear" w:color="auto" w:fill="67ED4D"/>
          </w:tcPr>
          <w:p>
            <w:pPr>
              <w:pStyle w:val="TableParagraph"/>
              <w:spacing w:before="2"/>
              <w:ind w:left="18"/>
              <w:rPr>
                <w:sz w:val="14"/>
              </w:rPr>
            </w:pPr>
            <w:r>
              <w:rPr>
                <w:w w:val="99"/>
                <w:sz w:val="14"/>
              </w:rPr>
              <w:t>1</w:t>
            </w:r>
          </w:p>
        </w:tc>
      </w:tr>
      <w:tr>
        <w:trPr>
          <w:trHeight w:val="182" w:hRule="exact"/>
        </w:trPr>
        <w:tc>
          <w:tcPr>
            <w:tcW w:w="729" w:type="dxa"/>
            <w:tcBorders>
              <w:left w:val="single" w:sz="5" w:space="0" w:color="000000"/>
            </w:tcBorders>
          </w:tcPr>
          <w:p>
            <w:pPr/>
          </w:p>
        </w:tc>
        <w:tc>
          <w:tcPr>
            <w:tcW w:w="2428" w:type="dxa"/>
          </w:tcPr>
          <w:p>
            <w:pPr/>
          </w:p>
        </w:tc>
        <w:tc>
          <w:tcPr>
            <w:tcW w:w="2096" w:type="dxa"/>
          </w:tcPr>
          <w:p>
            <w:pPr/>
          </w:p>
        </w:tc>
        <w:tc>
          <w:tcPr>
            <w:tcW w:w="1312" w:type="dxa"/>
          </w:tcPr>
          <w:p>
            <w:pPr>
              <w:pStyle w:val="TableParagraph"/>
              <w:spacing w:line="160" w:lineRule="exact"/>
              <w:ind w:left="470" w:right="287"/>
              <w:rPr>
                <w:sz w:val="14"/>
              </w:rPr>
            </w:pPr>
            <w:r>
              <w:rPr>
                <w:sz w:val="14"/>
              </w:rPr>
              <w:t>Subtotal</w:t>
            </w:r>
          </w:p>
        </w:tc>
        <w:tc>
          <w:tcPr>
            <w:tcW w:w="792" w:type="dxa"/>
            <w:gridSpan w:val="2"/>
          </w:tcPr>
          <w:p>
            <w:pPr>
              <w:pStyle w:val="TableParagraph"/>
              <w:tabs>
                <w:tab w:pos="455" w:val="left" w:leader="none"/>
                <w:tab w:pos="803" w:val="left" w:leader="none"/>
              </w:tabs>
              <w:spacing w:line="160" w:lineRule="exact"/>
              <w:ind w:left="189" w:right="-12"/>
              <w:jc w:val="left"/>
              <w:rPr>
                <w:sz w:val="14"/>
              </w:rPr>
            </w:pPr>
            <w:r>
              <w:rPr>
                <w:w w:val="99"/>
                <w:sz w:val="14"/>
                <w:shd w:fill="F79646" w:color="auto" w:val="clear"/>
              </w:rPr>
              <w:t> </w:t>
            </w:r>
            <w:r>
              <w:rPr>
                <w:sz w:val="14"/>
                <w:shd w:fill="F79646" w:color="auto" w:val="clear"/>
              </w:rPr>
              <w:tab/>
              <w:t>1</w:t>
              <w:tab/>
            </w:r>
          </w:p>
        </w:tc>
        <w:tc>
          <w:tcPr>
            <w:tcW w:w="743" w:type="dxa"/>
          </w:tcPr>
          <w:p>
            <w:pPr>
              <w:pStyle w:val="TableParagraph"/>
              <w:spacing w:line="160" w:lineRule="exact"/>
              <w:ind w:left="257" w:right="251"/>
              <w:rPr>
                <w:sz w:val="14"/>
              </w:rPr>
            </w:pPr>
            <w:r>
              <w:rPr>
                <w:sz w:val="14"/>
              </w:rPr>
              <w:t>0.8</w:t>
            </w:r>
          </w:p>
        </w:tc>
        <w:tc>
          <w:tcPr>
            <w:tcW w:w="718" w:type="dxa"/>
            <w:tcBorders>
              <w:right w:val="single" w:sz="9" w:space="0" w:color="000000"/>
            </w:tcBorders>
            <w:shd w:val="clear" w:color="auto" w:fill="67ED4D"/>
          </w:tcPr>
          <w:p>
            <w:pPr>
              <w:pStyle w:val="TableParagraph"/>
              <w:spacing w:line="160" w:lineRule="exact"/>
              <w:ind w:left="18"/>
              <w:rPr>
                <w:sz w:val="14"/>
              </w:rPr>
            </w:pPr>
            <w:r>
              <w:rPr>
                <w:w w:val="99"/>
                <w:sz w:val="14"/>
              </w:rPr>
              <w:t>1</w:t>
            </w:r>
          </w:p>
        </w:tc>
      </w:tr>
      <w:tr>
        <w:trPr>
          <w:trHeight w:val="162" w:hRule="exact"/>
        </w:trPr>
        <w:tc>
          <w:tcPr>
            <w:tcW w:w="8819" w:type="dxa"/>
            <w:gridSpan w:val="8"/>
            <w:tcBorders>
              <w:left w:val="single" w:sz="5" w:space="0" w:color="000000"/>
              <w:right w:val="single" w:sz="9" w:space="0" w:color="000000"/>
            </w:tcBorders>
          </w:tcPr>
          <w:p>
            <w:pPr/>
          </w:p>
        </w:tc>
      </w:tr>
      <w:tr>
        <w:trPr>
          <w:trHeight w:val="177" w:hRule="exact"/>
        </w:trPr>
        <w:tc>
          <w:tcPr>
            <w:tcW w:w="729" w:type="dxa"/>
            <w:tcBorders>
              <w:left w:val="single" w:sz="5" w:space="0" w:color="000000"/>
            </w:tcBorders>
          </w:tcPr>
          <w:p>
            <w:pPr/>
          </w:p>
        </w:tc>
        <w:tc>
          <w:tcPr>
            <w:tcW w:w="2428" w:type="dxa"/>
          </w:tcPr>
          <w:p>
            <w:pPr>
              <w:pStyle w:val="TableParagraph"/>
              <w:spacing w:before="2"/>
              <w:ind w:left="123"/>
              <w:jc w:val="left"/>
              <w:rPr>
                <w:sz w:val="14"/>
              </w:rPr>
            </w:pPr>
            <w:r>
              <w:rPr>
                <w:sz w:val="14"/>
              </w:rPr>
              <w:t>Índice de satisfacción del acreditado</w:t>
            </w:r>
          </w:p>
        </w:tc>
        <w:tc>
          <w:tcPr>
            <w:tcW w:w="2096" w:type="dxa"/>
          </w:tcPr>
          <w:p>
            <w:pPr>
              <w:pStyle w:val="TableParagraph"/>
              <w:spacing w:before="2"/>
              <w:ind w:left="61" w:right="1013"/>
              <w:jc w:val="left"/>
              <w:rPr>
                <w:sz w:val="14"/>
              </w:rPr>
            </w:pPr>
            <w:r>
              <w:rPr>
                <w:sz w:val="14"/>
              </w:rPr>
              <w:t>Infonavit</w:t>
            </w:r>
          </w:p>
        </w:tc>
        <w:tc>
          <w:tcPr>
            <w:tcW w:w="1312" w:type="dxa"/>
          </w:tcPr>
          <w:p>
            <w:pPr>
              <w:pStyle w:val="TableParagraph"/>
              <w:spacing w:before="2"/>
              <w:ind w:left="470" w:right="279"/>
              <w:rPr>
                <w:sz w:val="14"/>
              </w:rPr>
            </w:pPr>
            <w:r>
              <w:rPr>
                <w:sz w:val="14"/>
              </w:rPr>
              <w:t>0.7</w:t>
            </w:r>
          </w:p>
        </w:tc>
        <w:tc>
          <w:tcPr>
            <w:tcW w:w="792" w:type="dxa"/>
            <w:gridSpan w:val="2"/>
          </w:tcPr>
          <w:p>
            <w:pPr/>
          </w:p>
        </w:tc>
        <w:tc>
          <w:tcPr>
            <w:tcW w:w="743" w:type="dxa"/>
          </w:tcPr>
          <w:p>
            <w:pPr>
              <w:pStyle w:val="TableParagraph"/>
              <w:spacing w:before="2"/>
              <w:ind w:left="257" w:right="251"/>
              <w:rPr>
                <w:sz w:val="14"/>
              </w:rPr>
            </w:pPr>
            <w:r>
              <w:rPr>
                <w:sz w:val="14"/>
              </w:rPr>
              <w:t>0.7</w:t>
            </w:r>
          </w:p>
        </w:tc>
        <w:tc>
          <w:tcPr>
            <w:tcW w:w="718" w:type="dxa"/>
            <w:tcBorders>
              <w:right w:val="single" w:sz="9" w:space="0" w:color="000000"/>
            </w:tcBorders>
            <w:shd w:val="clear" w:color="auto" w:fill="67ED4D"/>
          </w:tcPr>
          <w:p>
            <w:pPr>
              <w:pStyle w:val="TableParagraph"/>
              <w:spacing w:before="2"/>
              <w:ind w:left="18"/>
              <w:rPr>
                <w:sz w:val="14"/>
              </w:rPr>
            </w:pPr>
            <w:r>
              <w:rPr>
                <w:w w:val="99"/>
                <w:sz w:val="14"/>
              </w:rPr>
              <w:t>1</w:t>
            </w:r>
          </w:p>
        </w:tc>
      </w:tr>
      <w:tr>
        <w:trPr>
          <w:trHeight w:val="182" w:hRule="exact"/>
        </w:trPr>
        <w:tc>
          <w:tcPr>
            <w:tcW w:w="729" w:type="dxa"/>
            <w:tcBorders>
              <w:left w:val="single" w:sz="5" w:space="0" w:color="000000"/>
            </w:tcBorders>
          </w:tcPr>
          <w:p>
            <w:pPr/>
          </w:p>
        </w:tc>
        <w:tc>
          <w:tcPr>
            <w:tcW w:w="2428" w:type="dxa"/>
          </w:tcPr>
          <w:p>
            <w:pPr/>
          </w:p>
        </w:tc>
        <w:tc>
          <w:tcPr>
            <w:tcW w:w="2096" w:type="dxa"/>
          </w:tcPr>
          <w:p>
            <w:pPr/>
          </w:p>
        </w:tc>
        <w:tc>
          <w:tcPr>
            <w:tcW w:w="1312" w:type="dxa"/>
          </w:tcPr>
          <w:p>
            <w:pPr>
              <w:pStyle w:val="TableParagraph"/>
              <w:spacing w:line="160" w:lineRule="exact"/>
              <w:ind w:left="470" w:right="287"/>
              <w:rPr>
                <w:sz w:val="14"/>
              </w:rPr>
            </w:pPr>
            <w:r>
              <w:rPr>
                <w:sz w:val="14"/>
              </w:rPr>
              <w:t>Subtotal</w:t>
            </w:r>
          </w:p>
        </w:tc>
        <w:tc>
          <w:tcPr>
            <w:tcW w:w="792" w:type="dxa"/>
            <w:gridSpan w:val="2"/>
          </w:tcPr>
          <w:p>
            <w:pPr>
              <w:pStyle w:val="TableParagraph"/>
              <w:tabs>
                <w:tab w:pos="803" w:val="left" w:leader="none"/>
              </w:tabs>
              <w:spacing w:line="160" w:lineRule="exact"/>
              <w:ind w:left="189" w:right="-12"/>
              <w:jc w:val="left"/>
              <w:rPr>
                <w:sz w:val="14"/>
              </w:rPr>
            </w:pPr>
            <w:r>
              <w:rPr>
                <w:w w:val="99"/>
                <w:sz w:val="14"/>
                <w:shd w:fill="F79646" w:color="auto" w:val="clear"/>
              </w:rPr>
              <w:t> </w:t>
            </w:r>
            <w:r>
              <w:rPr>
                <w:sz w:val="14"/>
                <w:shd w:fill="F79646" w:color="auto" w:val="clear"/>
              </w:rPr>
              <w:t>   </w:t>
            </w:r>
            <w:r>
              <w:rPr>
                <w:spacing w:val="14"/>
                <w:sz w:val="14"/>
                <w:shd w:fill="F79646" w:color="auto" w:val="clear"/>
              </w:rPr>
              <w:t> </w:t>
            </w:r>
            <w:r>
              <w:rPr>
                <w:sz w:val="14"/>
                <w:shd w:fill="F79646" w:color="auto" w:val="clear"/>
              </w:rPr>
              <w:t>0.7</w:t>
              <w:tab/>
            </w:r>
          </w:p>
        </w:tc>
        <w:tc>
          <w:tcPr>
            <w:tcW w:w="743" w:type="dxa"/>
          </w:tcPr>
          <w:p>
            <w:pPr>
              <w:pStyle w:val="TableParagraph"/>
              <w:spacing w:line="160" w:lineRule="exact"/>
              <w:ind w:left="257" w:right="251"/>
              <w:rPr>
                <w:sz w:val="14"/>
              </w:rPr>
            </w:pPr>
            <w:r>
              <w:rPr>
                <w:sz w:val="14"/>
              </w:rPr>
              <w:t>0.7</w:t>
            </w:r>
          </w:p>
        </w:tc>
        <w:tc>
          <w:tcPr>
            <w:tcW w:w="718" w:type="dxa"/>
            <w:tcBorders>
              <w:right w:val="single" w:sz="9" w:space="0" w:color="000000"/>
            </w:tcBorders>
            <w:shd w:val="clear" w:color="auto" w:fill="67ED4D"/>
          </w:tcPr>
          <w:p>
            <w:pPr>
              <w:pStyle w:val="TableParagraph"/>
              <w:spacing w:line="160" w:lineRule="exact"/>
              <w:ind w:left="18"/>
              <w:rPr>
                <w:sz w:val="14"/>
              </w:rPr>
            </w:pPr>
            <w:r>
              <w:rPr>
                <w:w w:val="99"/>
                <w:sz w:val="14"/>
              </w:rPr>
              <w:t>1</w:t>
            </w:r>
          </w:p>
        </w:tc>
      </w:tr>
      <w:tr>
        <w:trPr>
          <w:trHeight w:val="162" w:hRule="exact"/>
        </w:trPr>
        <w:tc>
          <w:tcPr>
            <w:tcW w:w="8819" w:type="dxa"/>
            <w:gridSpan w:val="8"/>
            <w:tcBorders>
              <w:left w:val="single" w:sz="5" w:space="0" w:color="000000"/>
              <w:right w:val="single" w:sz="9" w:space="0" w:color="000000"/>
            </w:tcBorders>
          </w:tcPr>
          <w:p>
            <w:pPr/>
          </w:p>
        </w:tc>
      </w:tr>
      <w:tr>
        <w:trPr>
          <w:trHeight w:val="177" w:hRule="exact"/>
        </w:trPr>
        <w:tc>
          <w:tcPr>
            <w:tcW w:w="729" w:type="dxa"/>
            <w:tcBorders>
              <w:left w:val="single" w:sz="5" w:space="0" w:color="000000"/>
            </w:tcBorders>
          </w:tcPr>
          <w:p>
            <w:pPr/>
          </w:p>
        </w:tc>
        <w:tc>
          <w:tcPr>
            <w:tcW w:w="2428" w:type="dxa"/>
          </w:tcPr>
          <w:p>
            <w:pPr>
              <w:pStyle w:val="TableParagraph"/>
              <w:spacing w:before="2"/>
              <w:ind w:left="123"/>
              <w:jc w:val="left"/>
              <w:rPr>
                <w:sz w:val="14"/>
              </w:rPr>
            </w:pPr>
            <w:r>
              <w:rPr>
                <w:sz w:val="14"/>
              </w:rPr>
              <w:t>Índice de satisfacción residencial</w:t>
            </w:r>
          </w:p>
        </w:tc>
        <w:tc>
          <w:tcPr>
            <w:tcW w:w="2096" w:type="dxa"/>
          </w:tcPr>
          <w:p>
            <w:pPr>
              <w:pStyle w:val="TableParagraph"/>
              <w:spacing w:before="2"/>
              <w:ind w:left="61"/>
              <w:jc w:val="left"/>
              <w:rPr>
                <w:sz w:val="14"/>
              </w:rPr>
            </w:pPr>
            <w:r>
              <w:rPr>
                <w:sz w:val="14"/>
              </w:rPr>
              <w:t>Sociedad Hipotecaria Federal</w:t>
            </w:r>
          </w:p>
        </w:tc>
        <w:tc>
          <w:tcPr>
            <w:tcW w:w="1312" w:type="dxa"/>
          </w:tcPr>
          <w:p>
            <w:pPr>
              <w:pStyle w:val="TableParagraph"/>
              <w:spacing w:before="2"/>
              <w:ind w:left="191"/>
              <w:rPr>
                <w:sz w:val="14"/>
              </w:rPr>
            </w:pPr>
            <w:r>
              <w:rPr>
                <w:w w:val="99"/>
                <w:sz w:val="14"/>
              </w:rPr>
              <w:t>1</w:t>
            </w:r>
          </w:p>
        </w:tc>
        <w:tc>
          <w:tcPr>
            <w:tcW w:w="792" w:type="dxa"/>
            <w:gridSpan w:val="2"/>
          </w:tcPr>
          <w:p>
            <w:pPr/>
          </w:p>
        </w:tc>
        <w:tc>
          <w:tcPr>
            <w:tcW w:w="743" w:type="dxa"/>
          </w:tcPr>
          <w:p>
            <w:pPr>
              <w:pStyle w:val="TableParagraph"/>
              <w:spacing w:before="2"/>
              <w:ind w:left="257" w:right="251"/>
              <w:rPr>
                <w:sz w:val="14"/>
              </w:rPr>
            </w:pPr>
            <w:r>
              <w:rPr>
                <w:sz w:val="14"/>
              </w:rPr>
              <w:t>0.7</w:t>
            </w:r>
          </w:p>
        </w:tc>
        <w:tc>
          <w:tcPr>
            <w:tcW w:w="718" w:type="dxa"/>
            <w:tcBorders>
              <w:right w:val="single" w:sz="9" w:space="0" w:color="000000"/>
            </w:tcBorders>
            <w:shd w:val="clear" w:color="auto" w:fill="67ED4D"/>
          </w:tcPr>
          <w:p>
            <w:pPr>
              <w:pStyle w:val="TableParagraph"/>
              <w:spacing w:before="2"/>
              <w:ind w:left="18"/>
              <w:rPr>
                <w:sz w:val="14"/>
              </w:rPr>
            </w:pPr>
            <w:r>
              <w:rPr>
                <w:w w:val="99"/>
                <w:sz w:val="14"/>
              </w:rPr>
              <w:t>1</w:t>
            </w:r>
          </w:p>
        </w:tc>
      </w:tr>
      <w:tr>
        <w:trPr>
          <w:trHeight w:val="182" w:hRule="exact"/>
        </w:trPr>
        <w:tc>
          <w:tcPr>
            <w:tcW w:w="729" w:type="dxa"/>
            <w:tcBorders>
              <w:left w:val="single" w:sz="5" w:space="0" w:color="000000"/>
            </w:tcBorders>
          </w:tcPr>
          <w:p>
            <w:pPr/>
          </w:p>
        </w:tc>
        <w:tc>
          <w:tcPr>
            <w:tcW w:w="2428" w:type="dxa"/>
          </w:tcPr>
          <w:p>
            <w:pPr/>
          </w:p>
        </w:tc>
        <w:tc>
          <w:tcPr>
            <w:tcW w:w="2096" w:type="dxa"/>
          </w:tcPr>
          <w:p>
            <w:pPr/>
          </w:p>
        </w:tc>
        <w:tc>
          <w:tcPr>
            <w:tcW w:w="1312" w:type="dxa"/>
          </w:tcPr>
          <w:p>
            <w:pPr>
              <w:pStyle w:val="TableParagraph"/>
              <w:spacing w:line="160" w:lineRule="exact"/>
              <w:ind w:left="470" w:right="287"/>
              <w:rPr>
                <w:sz w:val="14"/>
              </w:rPr>
            </w:pPr>
            <w:r>
              <w:rPr>
                <w:sz w:val="14"/>
              </w:rPr>
              <w:t>Subtotal</w:t>
            </w:r>
          </w:p>
        </w:tc>
        <w:tc>
          <w:tcPr>
            <w:tcW w:w="792" w:type="dxa"/>
            <w:gridSpan w:val="2"/>
          </w:tcPr>
          <w:p>
            <w:pPr>
              <w:pStyle w:val="TableParagraph"/>
              <w:tabs>
                <w:tab w:pos="455" w:val="left" w:leader="none"/>
                <w:tab w:pos="803" w:val="left" w:leader="none"/>
              </w:tabs>
              <w:spacing w:line="160" w:lineRule="exact"/>
              <w:ind w:left="189" w:right="-12"/>
              <w:jc w:val="left"/>
              <w:rPr>
                <w:sz w:val="14"/>
              </w:rPr>
            </w:pPr>
            <w:r>
              <w:rPr>
                <w:w w:val="99"/>
                <w:sz w:val="14"/>
                <w:shd w:fill="F79646" w:color="auto" w:val="clear"/>
              </w:rPr>
              <w:t> </w:t>
            </w:r>
            <w:r>
              <w:rPr>
                <w:sz w:val="14"/>
                <w:shd w:fill="F79646" w:color="auto" w:val="clear"/>
              </w:rPr>
              <w:tab/>
              <w:t>1</w:t>
              <w:tab/>
            </w:r>
          </w:p>
        </w:tc>
        <w:tc>
          <w:tcPr>
            <w:tcW w:w="743" w:type="dxa"/>
          </w:tcPr>
          <w:p>
            <w:pPr>
              <w:pStyle w:val="TableParagraph"/>
              <w:spacing w:line="160" w:lineRule="exact"/>
              <w:ind w:left="257" w:right="251"/>
              <w:rPr>
                <w:sz w:val="14"/>
              </w:rPr>
            </w:pPr>
            <w:r>
              <w:rPr>
                <w:sz w:val="14"/>
              </w:rPr>
              <w:t>0.7</w:t>
            </w:r>
          </w:p>
        </w:tc>
        <w:tc>
          <w:tcPr>
            <w:tcW w:w="718" w:type="dxa"/>
            <w:tcBorders>
              <w:right w:val="single" w:sz="9" w:space="0" w:color="000000"/>
            </w:tcBorders>
            <w:shd w:val="clear" w:color="auto" w:fill="67ED4D"/>
          </w:tcPr>
          <w:p>
            <w:pPr>
              <w:pStyle w:val="TableParagraph"/>
              <w:spacing w:line="160" w:lineRule="exact"/>
              <w:ind w:left="18"/>
              <w:rPr>
                <w:sz w:val="14"/>
              </w:rPr>
            </w:pPr>
            <w:r>
              <w:rPr>
                <w:w w:val="99"/>
                <w:sz w:val="14"/>
              </w:rPr>
              <w:t>1</w:t>
            </w:r>
          </w:p>
        </w:tc>
      </w:tr>
      <w:tr>
        <w:trPr>
          <w:trHeight w:val="522" w:hRule="exact"/>
        </w:trPr>
        <w:tc>
          <w:tcPr>
            <w:tcW w:w="729" w:type="dxa"/>
            <w:tcBorders>
              <w:left w:val="single" w:sz="5" w:space="0" w:color="000000"/>
              <w:bottom w:val="single" w:sz="9" w:space="0" w:color="000000"/>
            </w:tcBorders>
          </w:tcPr>
          <w:p>
            <w:pPr/>
          </w:p>
        </w:tc>
        <w:tc>
          <w:tcPr>
            <w:tcW w:w="2428" w:type="dxa"/>
            <w:tcBorders>
              <w:bottom w:val="single" w:sz="9" w:space="0" w:color="000000"/>
            </w:tcBorders>
          </w:tcPr>
          <w:p>
            <w:pPr/>
          </w:p>
        </w:tc>
        <w:tc>
          <w:tcPr>
            <w:tcW w:w="2096" w:type="dxa"/>
            <w:tcBorders>
              <w:bottom w:val="single" w:sz="9" w:space="0" w:color="000000"/>
            </w:tcBorders>
          </w:tcPr>
          <w:p>
            <w:pPr/>
          </w:p>
        </w:tc>
        <w:tc>
          <w:tcPr>
            <w:tcW w:w="1312" w:type="dxa"/>
            <w:tcBorders>
              <w:bottom w:val="single" w:sz="9" w:space="0" w:color="000000"/>
            </w:tcBorders>
          </w:tcPr>
          <w:p>
            <w:pPr>
              <w:pStyle w:val="TableParagraph"/>
              <w:spacing w:before="3"/>
              <w:jc w:val="left"/>
              <w:rPr>
                <w:sz w:val="14"/>
              </w:rPr>
            </w:pPr>
          </w:p>
          <w:p>
            <w:pPr>
              <w:pStyle w:val="TableParagraph"/>
              <w:ind w:left="470" w:right="264"/>
              <w:rPr>
                <w:sz w:val="14"/>
              </w:rPr>
            </w:pPr>
            <w:r>
              <w:rPr>
                <w:sz w:val="14"/>
              </w:rPr>
              <w:t>Total IS</w:t>
            </w:r>
          </w:p>
        </w:tc>
        <w:tc>
          <w:tcPr>
            <w:tcW w:w="792" w:type="dxa"/>
            <w:gridSpan w:val="2"/>
            <w:tcBorders>
              <w:bottom w:val="single" w:sz="9" w:space="0" w:color="000000"/>
            </w:tcBorders>
          </w:tcPr>
          <w:p>
            <w:pPr>
              <w:pStyle w:val="TableParagraph"/>
              <w:spacing w:before="3"/>
              <w:jc w:val="left"/>
              <w:rPr>
                <w:sz w:val="14"/>
              </w:rPr>
            </w:pPr>
          </w:p>
          <w:p>
            <w:pPr>
              <w:pStyle w:val="TableParagraph"/>
              <w:ind w:left="189" w:right="-12"/>
              <w:jc w:val="left"/>
              <w:rPr>
                <w:sz w:val="14"/>
              </w:rPr>
            </w:pPr>
            <w:r>
              <w:rPr>
                <w:w w:val="99"/>
                <w:sz w:val="14"/>
                <w:shd w:fill="F79646" w:color="auto" w:val="clear"/>
              </w:rPr>
              <w:t> </w:t>
            </w:r>
            <w:r>
              <w:rPr>
                <w:sz w:val="14"/>
                <w:shd w:fill="F79646" w:color="auto" w:val="clear"/>
              </w:rPr>
              <w:t>  </w:t>
            </w:r>
            <w:r>
              <w:rPr>
                <w:spacing w:val="18"/>
                <w:sz w:val="14"/>
                <w:shd w:fill="F79646" w:color="auto" w:val="clear"/>
              </w:rPr>
              <w:t> </w:t>
            </w:r>
            <w:r>
              <w:rPr>
                <w:spacing w:val="-3"/>
                <w:sz w:val="14"/>
                <w:shd w:fill="F79646" w:color="auto" w:val="clear"/>
              </w:rPr>
              <w:t>11.6</w:t>
            </w:r>
            <w:r>
              <w:rPr>
                <w:spacing w:val="-15"/>
                <w:sz w:val="14"/>
                <w:shd w:fill="F79646" w:color="auto" w:val="clear"/>
              </w:rPr>
              <w:t> </w:t>
            </w:r>
          </w:p>
        </w:tc>
        <w:tc>
          <w:tcPr>
            <w:tcW w:w="743" w:type="dxa"/>
            <w:tcBorders>
              <w:bottom w:val="single" w:sz="9" w:space="0" w:color="000000"/>
            </w:tcBorders>
          </w:tcPr>
          <w:p>
            <w:pPr>
              <w:pStyle w:val="TableParagraph"/>
              <w:spacing w:before="3"/>
              <w:jc w:val="left"/>
              <w:rPr>
                <w:sz w:val="14"/>
              </w:rPr>
            </w:pPr>
          </w:p>
          <w:p>
            <w:pPr>
              <w:pStyle w:val="TableParagraph"/>
              <w:tabs>
                <w:tab w:pos="243" w:val="left" w:leader="none"/>
                <w:tab w:pos="753" w:val="left" w:leader="none"/>
              </w:tabs>
              <w:ind w:right="-11"/>
              <w:rPr>
                <w:sz w:val="14"/>
              </w:rPr>
            </w:pPr>
            <w:r>
              <w:rPr>
                <w:w w:val="99"/>
                <w:sz w:val="14"/>
                <w:shd w:fill="FFFF00" w:color="auto" w:val="clear"/>
              </w:rPr>
              <w:t> </w:t>
            </w:r>
            <w:r>
              <w:rPr>
                <w:sz w:val="14"/>
                <w:shd w:fill="FFFF00" w:color="auto" w:val="clear"/>
              </w:rPr>
              <w:tab/>
            </w:r>
            <w:r>
              <w:rPr>
                <w:spacing w:val="-3"/>
                <w:sz w:val="14"/>
                <w:shd w:fill="FFFF00" w:color="auto" w:val="clear"/>
              </w:rPr>
              <w:t>11.4</w:t>
              <w:tab/>
            </w:r>
          </w:p>
        </w:tc>
        <w:tc>
          <w:tcPr>
            <w:tcW w:w="718" w:type="dxa"/>
            <w:tcBorders>
              <w:bottom w:val="single" w:sz="9" w:space="0" w:color="000000"/>
              <w:right w:val="single" w:sz="9" w:space="0" w:color="000000"/>
            </w:tcBorders>
          </w:tcPr>
          <w:p>
            <w:pPr>
              <w:pStyle w:val="TableParagraph"/>
              <w:spacing w:before="3"/>
              <w:jc w:val="left"/>
              <w:rPr>
                <w:sz w:val="14"/>
              </w:rPr>
            </w:pPr>
          </w:p>
          <w:p>
            <w:pPr>
              <w:pStyle w:val="TableParagraph"/>
              <w:ind w:left="268" w:right="242"/>
              <w:rPr>
                <w:sz w:val="14"/>
              </w:rPr>
            </w:pPr>
            <w:r>
              <w:rPr>
                <w:sz w:val="14"/>
              </w:rPr>
              <w:t>15</w:t>
            </w:r>
          </w:p>
        </w:tc>
      </w:tr>
    </w:tbl>
    <w:p>
      <w:pPr>
        <w:spacing w:before="8"/>
        <w:ind w:left="268" w:right="0" w:firstLine="0"/>
        <w:jc w:val="both"/>
        <w:rPr>
          <w:sz w:val="21"/>
        </w:rPr>
      </w:pPr>
      <w:r>
        <w:rPr/>
        <w:pict>
          <v:group style="position:absolute;margin-left:361.979492pt;margin-top:-97.095863pt;width:76pt;height:9.9pt;mso-position-horizontal-relative:page;mso-position-vertical-relative:paragraph;z-index:-1151128" coordorigin="7240,-1942" coordsize="1520,198">
            <v:line style="position:absolute" from="7246,-1936" to="7246,-1750" stroked="true" strokeweight=".579pt" strokecolor="#baf9f5"/>
            <v:rect style="position:absolute;left:7251;top:-1936;width:1508;height:185" filled="true" fillcolor="#baf9f5" stroked="false">
              <v:fill type="solid"/>
            </v:rect>
            <w10:wrap type="none"/>
          </v:group>
        </w:pict>
      </w:r>
      <w:r>
        <w:rPr/>
        <w:pict>
          <v:group style="position:absolute;margin-left:361.979492pt;margin-top:-71.016838pt;width:76pt;height:9.9pt;mso-position-horizontal-relative:page;mso-position-vertical-relative:paragraph;z-index:-1151104" coordorigin="7240,-1420" coordsize="1520,198">
            <v:line style="position:absolute" from="7246,-1414" to="7246,-1229" stroked="true" strokeweight=".579pt" strokecolor="#baf9f5"/>
            <v:rect style="position:absolute;left:7251;top:-1414;width:1508;height:185" filled="true" fillcolor="#baf9f5" stroked="false">
              <v:fill type="solid"/>
            </v:rect>
            <w10:wrap type="none"/>
          </v:group>
        </w:pict>
      </w:r>
      <w:r>
        <w:rPr/>
        <w:pict>
          <v:group style="position:absolute;margin-left:361.979492pt;margin-top:-44.936867pt;width:76pt;height:9.9pt;mso-position-horizontal-relative:page;mso-position-vertical-relative:paragraph;z-index:-1151080" coordorigin="7240,-899" coordsize="1520,198">
            <v:line style="position:absolute" from="7246,-893" to="7246,-707" stroked="true" strokeweight=".579pt" strokecolor="#baf9f5"/>
            <v:rect style="position:absolute;left:7251;top:-893;width:1508;height:185" filled="true" fillcolor="#baf9f5" stroked="false">
              <v:fill type="solid"/>
            </v:rect>
            <w10:wrap type="none"/>
          </v:group>
        </w:pict>
      </w:r>
      <w:r>
        <w:rPr/>
        <w:pict>
          <v:shape style="position:absolute;margin-left:467.518036pt;margin-top:-96.795143pt;width:37.7pt;height:18pt;mso-position-horizontal-relative:page;mso-position-vertical-relative:paragraph;z-index:-1151056" coordorigin="9350,-1936" coordsize="754,360" path="m10104,-1936l9350,-1936,9350,-1762,9350,-1750,9350,-1577,10104,-1577,10104,-1750,10104,-1762,10104,-1936e" filled="true" fillcolor="#ffff00" stroked="false">
            <v:path arrowok="t"/>
            <v:fill type="solid"/>
            <w10:wrap type="none"/>
          </v:shape>
        </w:pict>
      </w:r>
      <w:r>
        <w:rPr/>
        <w:pict>
          <v:shape style="position:absolute;margin-left:467.518036pt;margin-top:-70.716141pt;width:37.7pt;height:18pt;mso-position-horizontal-relative:page;mso-position-vertical-relative:paragraph;z-index:-1151032" coordorigin="9350,-1414" coordsize="754,360" path="m10104,-1414l9350,-1414,9350,-1240,9350,-1229,9350,-1055,10104,-1055,10104,-1229,10104,-1240,10104,-1414e" filled="true" fillcolor="#ffff00" stroked="false">
            <v:path arrowok="t"/>
            <v:fill type="solid"/>
            <w10:wrap type="none"/>
          </v:shape>
        </w:pict>
      </w:r>
      <w:r>
        <w:rPr/>
        <w:pict>
          <v:shape style="position:absolute;margin-left:467.518036pt;margin-top:-44.636139pt;width:37.7pt;height:18pt;mso-position-horizontal-relative:page;mso-position-vertical-relative:paragraph;z-index:-1151008" coordorigin="9350,-893" coordsize="754,360" path="m10104,-893l9350,-893,9350,-719,9350,-707,9350,-533,10104,-533,10104,-707,10104,-719,10104,-893e" filled="true" fillcolor="#ffff00" stroked="false">
            <v:path arrowok="t"/>
            <v:fill type="solid"/>
            <w10:wrap type="none"/>
          </v:shape>
        </w:pict>
      </w:r>
      <w:r>
        <w:rPr/>
        <w:pict>
          <v:rect style="position:absolute;margin-left:504.626007pt;margin-top:-18.556866pt;width:36.5289pt;height:9.272740pt;mso-position-horizontal-relative:page;mso-position-vertical-relative:paragraph;z-index:-1150984" filled="true" fillcolor="#67ed4d" stroked="false">
            <v:fill type="solid"/>
            <w10:wrap type="none"/>
          </v:rect>
        </w:pict>
      </w:r>
      <w:r>
        <w:rPr>
          <w:w w:val="105"/>
          <w:sz w:val="21"/>
        </w:rPr>
        <w:t>Fuente: Elaboración propia con base al estudio realizado.</w:t>
      </w:r>
    </w:p>
    <w:p>
      <w:pPr>
        <w:spacing w:after="0"/>
        <w:jc w:val="both"/>
        <w:rPr>
          <w:sz w:val="21"/>
        </w:rPr>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7072" from="93.199997pt,-19.614155pt" to="546.799997pt,-19.614155pt" stroked="true" strokeweight=".479981pt" strokecolor="#000000">
            <w10:wrap type="none"/>
          </v:line>
        </w:pict>
      </w:r>
      <w:r>
        <w:rPr/>
        <w:t>En relación a la evaluación del índice de sustentabilidad ambiental se obtuvo un resultado con 9.5 puntos por debajo del valor deseable de la evaluación, por lo  que el proyecto habitacional refleja que en materia ambiental nos es sustentable, como se puede apreciar en la tabla</w:t>
      </w:r>
      <w:r>
        <w:rPr>
          <w:spacing w:val="-2"/>
        </w:rPr>
        <w:t> </w:t>
      </w:r>
      <w:r>
        <w:rPr/>
        <w:t>21.</w:t>
      </w:r>
    </w:p>
    <w:p>
      <w:pPr>
        <w:pStyle w:val="BodyText"/>
        <w:spacing w:before="127" w:after="14"/>
        <w:ind w:left="268"/>
        <w:jc w:val="both"/>
      </w:pPr>
      <w:r>
        <w:rPr/>
        <w:pict>
          <v:group style="position:absolute;margin-left:362.002014pt;margin-top:53.001846pt;width:76pt;height:44.7pt;mso-position-horizontal-relative:page;mso-position-vertical-relative:paragraph;z-index:-1150936" coordorigin="7240,1060" coordsize="1520,894">
            <v:line style="position:absolute" from="7246,1066" to="7246,1252" stroked="true" strokeweight=".580pt" strokecolor="#baf9f5"/>
            <v:shape style="position:absolute;left:7252;top:1066;width:1508;height:708" coordorigin="7252,1066" coordsize="1508,708" path="m8760,1066l7252,1066,7252,1240,7252,1252,7252,1425,7252,1599,7252,1773,8760,1773,8760,1599,8760,1425,8760,1252,8760,1240,8760,1066e" filled="true" fillcolor="#baf9f5" stroked="false">
              <v:path arrowok="t"/>
              <v:fill type="solid"/>
            </v:shape>
            <v:line style="position:absolute" from="7246,1240" to="7246,1947" stroked="true" strokeweight=".580pt" strokecolor="#baf9f5"/>
            <v:rect style="position:absolute;left:7252;top:1773;width:1508;height:174" filled="true" fillcolor="#baf9f5" stroked="false">
              <v:fill type="solid"/>
            </v:rect>
            <w10:wrap type="none"/>
          </v:group>
        </w:pict>
      </w:r>
      <w:r>
        <w:rPr/>
        <w:pict>
          <v:group style="position:absolute;margin-left:362.002014pt;margin-top:139.963654pt;width:76pt;height:62.1pt;mso-position-horizontal-relative:page;mso-position-vertical-relative:paragraph;z-index:-1150912" coordorigin="7240,2799" coordsize="1520,1242">
            <v:line style="position:absolute" from="7246,2805" to="7246,2991" stroked="true" strokeweight=".580pt" strokecolor="#baf9f5"/>
            <v:rect style="position:absolute;left:7252;top:2805;width:1508;height:186" filled="true" fillcolor="#baf9f5" stroked="false">
              <v:fill type="solid"/>
            </v:rect>
            <v:line style="position:absolute" from="7246,2991" to="7246,3165" stroked="true" strokeweight=".580pt" strokecolor="#baf9f5"/>
            <v:rect style="position:absolute;left:7252;top:2991;width:1508;height:174" filled="true" fillcolor="#baf9f5" stroked="false">
              <v:fill type="solid"/>
            </v:rect>
            <v:line style="position:absolute" from="7246,3165" to="7246,3339" stroked="true" strokeweight=".580pt" strokecolor="#baf9f5"/>
            <v:rect style="position:absolute;left:7252;top:3165;width:1508;height:174" filled="true" fillcolor="#baf9f5" stroked="false">
              <v:fill type="solid"/>
            </v:rect>
            <v:line style="position:absolute" from="7246,3339" to="7246,3513" stroked="true" strokeweight=".580pt" strokecolor="#baf9f5"/>
            <v:rect style="position:absolute;left:7252;top:3339;width:1508;height:174" filled="true" fillcolor="#baf9f5" stroked="false">
              <v:fill type="solid"/>
            </v:rect>
            <v:line style="position:absolute" from="7246,3513" to="7246,3686" stroked="true" strokeweight=".580pt" strokecolor="#baf9f5"/>
            <v:rect style="position:absolute;left:7252;top:3513;width:1508;height:174" filled="true" fillcolor="#baf9f5" stroked="false">
              <v:fill type="solid"/>
            </v:rect>
            <v:line style="position:absolute" from="7246,3686" to="7246,3860" stroked="true" strokeweight=".580pt" strokecolor="#baf9f5"/>
            <v:rect style="position:absolute;left:7252;top:3686;width:1508;height:174" filled="true" fillcolor="#baf9f5" stroked="false">
              <v:fill type="solid"/>
            </v:rect>
            <v:line style="position:absolute" from="7246,3860" to="7246,4034" stroked="true" strokeweight=".580pt" strokecolor="#baf9f5"/>
            <v:rect style="position:absolute;left:7252;top:3860;width:1508;height:174" filled="true" fillcolor="#baf9f5" stroked="false">
              <v:fill type="solid"/>
            </v:rect>
            <w10:wrap type="none"/>
          </v:group>
        </w:pict>
      </w:r>
      <w:r>
        <w:rPr/>
        <w:pict>
          <v:shape style="position:absolute;margin-left:467.549011pt;margin-top:114.175819pt;width:37.7pt;height:18pt;mso-position-horizontal-relative:page;mso-position-vertical-relative:paragraph;z-index:-1150888" coordorigin="9351,2284" coordsize="754,360" path="m10105,2284l9351,2284,9351,2457,9351,2469,9351,2643,10105,2643,10105,2469,10105,2457,10105,2284e" filled="true" fillcolor="#ffff00" stroked="false">
            <v:path arrowok="t"/>
            <v:fill type="solid"/>
            <w10:wrap type="none"/>
          </v:shape>
        </w:pict>
      </w:r>
      <w:r>
        <w:rPr/>
        <w:pict>
          <v:shape style="position:absolute;margin-left:467.549011pt;margin-top:140.263824pt;width:37.7pt;height:70.150pt;mso-position-horizontal-relative:page;mso-position-vertical-relative:paragraph;z-index:-1150864" coordorigin="9351,2805" coordsize="754,1403" path="m10105,3860l9351,3860,9351,4023,9351,4034,9351,4208,10105,4208,10105,4034,10105,4023,10105,3860m10105,3513l9351,3513,9351,3686,9351,3860,10105,3860,10105,3686,10105,3513m10105,2805l9351,2805,9351,2991,9351,3165,9351,3339,9351,3513,10105,3513,10105,3339,10105,3165,10105,2991,10105,2805e" filled="true" fillcolor="#ffff00" stroked="false">
            <v:path arrowok="t"/>
            <v:fill type="solid"/>
            <w10:wrap type="none"/>
          </v:shape>
        </w:pict>
      </w:r>
      <w:r>
        <w:rPr/>
        <w:pict>
          <v:group style="position:absolute;margin-left:362.002014pt;margin-top:218.229645pt;width:76pt;height:27.3pt;mso-position-horizontal-relative:page;mso-position-vertical-relative:paragraph;z-index:-1150840" coordorigin="7240,4365" coordsize="1520,546">
            <v:line style="position:absolute" from="7246,4371" to="7246,4556" stroked="true" strokeweight=".580pt" strokecolor="#baf9f5"/>
            <v:rect style="position:absolute;left:7252;top:4371;width:1508;height:186" filled="true" fillcolor="#baf9f5" stroked="false">
              <v:fill type="solid"/>
            </v:rect>
            <v:line style="position:absolute" from="7246,4556" to="7246,4730" stroked="true" strokeweight=".580pt" strokecolor="#baf9f5"/>
            <v:rect style="position:absolute;left:7252;top:4556;width:1508;height:174" filled="true" fillcolor="#baf9f5" stroked="false">
              <v:fill type="solid"/>
            </v:rect>
            <v:line style="position:absolute" from="7246,4730" to="7246,4904" stroked="true" strokeweight=".580pt" strokecolor="#baf9f5"/>
            <v:rect style="position:absolute;left:7252;top:4730;width:1508;height:174" filled="true" fillcolor="#baf9f5" stroked="false">
              <v:fill type="solid"/>
            </v:rect>
            <w10:wrap type="none"/>
          </v:group>
        </w:pict>
      </w:r>
      <w:r>
        <w:rPr/>
        <w:pict>
          <v:shape style="position:absolute;margin-left:467.549011pt;margin-top:218.529831pt;width:37.7pt;height:35.4pt;mso-position-horizontal-relative:page;mso-position-vertical-relative:paragraph;z-index:-1150816" coordorigin="9351,4371" coordsize="754,708" path="m10105,4730l9351,4730,9351,4892,9351,4904,9351,5078,10105,5078,10105,4904,10105,4892,10105,4730m10105,4371l9351,4371,9351,4556,9351,4730,10105,4730,10105,4556,10105,4371e" filled="true" fillcolor="#ffff00" stroked="false">
            <v:path arrowok="t"/>
            <v:fill type="solid"/>
            <w10:wrap type="none"/>
          </v:shape>
        </w:pict>
      </w:r>
      <w:r>
        <w:rPr/>
        <w:t>Tabla 21. Villas del Campo; Índice de Sustentabilidad Ambiental.</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9"/>
        <w:gridCol w:w="2027"/>
        <w:gridCol w:w="2159"/>
        <w:gridCol w:w="1601"/>
        <w:gridCol w:w="792"/>
        <w:gridCol w:w="743"/>
        <w:gridCol w:w="718"/>
      </w:tblGrid>
      <w:tr>
        <w:trPr>
          <w:trHeight w:val="412" w:hRule="exact"/>
        </w:trPr>
        <w:tc>
          <w:tcPr>
            <w:tcW w:w="8820" w:type="dxa"/>
            <w:gridSpan w:val="7"/>
            <w:tcBorders>
              <w:bottom w:val="nil"/>
            </w:tcBorders>
            <w:shd w:val="clear" w:color="auto" w:fill="000000"/>
          </w:tcPr>
          <w:p>
            <w:pPr>
              <w:pStyle w:val="TableParagraph"/>
              <w:spacing w:before="106"/>
              <w:ind w:left="3214" w:right="3200"/>
              <w:rPr>
                <w:b/>
                <w:sz w:val="14"/>
              </w:rPr>
            </w:pPr>
            <w:r>
              <w:rPr>
                <w:b/>
                <w:color w:val="FFFFFF"/>
                <w:sz w:val="14"/>
              </w:rPr>
              <w:t>Índice de sustentabilidad ambiental</w:t>
            </w:r>
          </w:p>
        </w:tc>
      </w:tr>
      <w:tr>
        <w:trPr>
          <w:trHeight w:val="180" w:hRule="exact"/>
        </w:trPr>
        <w:tc>
          <w:tcPr>
            <w:tcW w:w="779" w:type="dxa"/>
            <w:tcBorders>
              <w:top w:val="single" w:sz="5" w:space="0" w:color="FFFFFF"/>
              <w:left w:val="single" w:sz="5" w:space="0" w:color="000000"/>
            </w:tcBorders>
            <w:shd w:val="clear" w:color="auto" w:fill="808080"/>
          </w:tcPr>
          <w:p>
            <w:pPr>
              <w:pStyle w:val="TableParagraph"/>
              <w:spacing w:line="151" w:lineRule="exact"/>
              <w:ind w:left="89" w:right="51"/>
              <w:rPr>
                <w:b/>
                <w:sz w:val="14"/>
              </w:rPr>
            </w:pPr>
            <w:r>
              <w:rPr>
                <w:b/>
                <w:color w:val="FFFFFF"/>
                <w:sz w:val="14"/>
              </w:rPr>
              <w:t>Eje</w:t>
            </w:r>
          </w:p>
        </w:tc>
        <w:tc>
          <w:tcPr>
            <w:tcW w:w="2027" w:type="dxa"/>
            <w:tcBorders>
              <w:top w:val="single" w:sz="5" w:space="0" w:color="FFFFFF"/>
            </w:tcBorders>
            <w:shd w:val="clear" w:color="auto" w:fill="808080"/>
          </w:tcPr>
          <w:p>
            <w:pPr>
              <w:pStyle w:val="TableParagraph"/>
              <w:spacing w:line="151" w:lineRule="exact"/>
              <w:ind w:left="73"/>
              <w:jc w:val="left"/>
              <w:rPr>
                <w:b/>
                <w:sz w:val="14"/>
              </w:rPr>
            </w:pPr>
            <w:r>
              <w:rPr>
                <w:b/>
                <w:color w:val="FFFFFF"/>
                <w:sz w:val="14"/>
              </w:rPr>
              <w:t>Subíndice</w:t>
            </w:r>
          </w:p>
        </w:tc>
        <w:tc>
          <w:tcPr>
            <w:tcW w:w="2159" w:type="dxa"/>
            <w:tcBorders>
              <w:top w:val="single" w:sz="5" w:space="0" w:color="FFFFFF"/>
            </w:tcBorders>
            <w:shd w:val="clear" w:color="auto" w:fill="808080"/>
          </w:tcPr>
          <w:p>
            <w:pPr>
              <w:pStyle w:val="TableParagraph"/>
              <w:spacing w:line="151" w:lineRule="exact"/>
              <w:ind w:left="411" w:right="5"/>
              <w:jc w:val="left"/>
              <w:rPr>
                <w:b/>
                <w:sz w:val="14"/>
              </w:rPr>
            </w:pPr>
            <w:r>
              <w:rPr>
                <w:b/>
                <w:color w:val="FFFFFF"/>
                <w:sz w:val="14"/>
              </w:rPr>
              <w:t>Indicador</w:t>
            </w:r>
          </w:p>
        </w:tc>
        <w:tc>
          <w:tcPr>
            <w:tcW w:w="1601" w:type="dxa"/>
            <w:tcBorders>
              <w:top w:val="single" w:sz="5" w:space="0" w:color="FFFFFF"/>
            </w:tcBorders>
            <w:shd w:val="clear" w:color="auto" w:fill="808080"/>
          </w:tcPr>
          <w:p>
            <w:pPr/>
          </w:p>
        </w:tc>
        <w:tc>
          <w:tcPr>
            <w:tcW w:w="792" w:type="dxa"/>
            <w:tcBorders>
              <w:top w:val="single" w:sz="5" w:space="0" w:color="FFFFFF"/>
            </w:tcBorders>
            <w:shd w:val="clear" w:color="auto" w:fill="808080"/>
          </w:tcPr>
          <w:p>
            <w:pPr>
              <w:pStyle w:val="TableParagraph"/>
              <w:spacing w:line="151" w:lineRule="exact"/>
              <w:ind w:left="224" w:right="-12"/>
              <w:jc w:val="left"/>
              <w:rPr>
                <w:b/>
                <w:sz w:val="14"/>
              </w:rPr>
            </w:pPr>
            <w:r>
              <w:rPr>
                <w:b/>
                <w:color w:val="FFFFFF"/>
                <w:sz w:val="14"/>
              </w:rPr>
              <w:t>Valores</w:t>
            </w:r>
          </w:p>
        </w:tc>
        <w:tc>
          <w:tcPr>
            <w:tcW w:w="743" w:type="dxa"/>
            <w:tcBorders>
              <w:top w:val="single" w:sz="5" w:space="0" w:color="FFFFFF"/>
            </w:tcBorders>
            <w:shd w:val="clear" w:color="auto" w:fill="808080"/>
          </w:tcPr>
          <w:p>
            <w:pPr/>
          </w:p>
        </w:tc>
        <w:tc>
          <w:tcPr>
            <w:tcW w:w="718" w:type="dxa"/>
            <w:tcBorders>
              <w:top w:val="single" w:sz="5" w:space="0" w:color="FFFFFF"/>
              <w:right w:val="single" w:sz="9" w:space="0" w:color="000000"/>
            </w:tcBorders>
            <w:shd w:val="clear" w:color="auto" w:fill="808080"/>
          </w:tcPr>
          <w:p>
            <w:pPr/>
          </w:p>
        </w:tc>
      </w:tr>
      <w:tr>
        <w:trPr>
          <w:trHeight w:val="237" w:hRule="exact"/>
        </w:trPr>
        <w:tc>
          <w:tcPr>
            <w:tcW w:w="779" w:type="dxa"/>
            <w:vMerge w:val="restart"/>
            <w:tcBorders>
              <w:left w:val="single" w:sz="5" w:space="0" w:color="000000"/>
            </w:tcBorders>
          </w:tcPr>
          <w:p>
            <w:pPr/>
          </w:p>
        </w:tc>
        <w:tc>
          <w:tcPr>
            <w:tcW w:w="2027" w:type="dxa"/>
          </w:tcPr>
          <w:p>
            <w:pPr/>
          </w:p>
        </w:tc>
        <w:tc>
          <w:tcPr>
            <w:tcW w:w="2159" w:type="dxa"/>
          </w:tcPr>
          <w:p>
            <w:pPr/>
          </w:p>
        </w:tc>
        <w:tc>
          <w:tcPr>
            <w:tcW w:w="1601" w:type="dxa"/>
          </w:tcPr>
          <w:p>
            <w:pPr>
              <w:pStyle w:val="TableParagraph"/>
              <w:spacing w:before="60"/>
              <w:ind w:left="654" w:right="167"/>
              <w:rPr>
                <w:b/>
                <w:sz w:val="14"/>
              </w:rPr>
            </w:pPr>
            <w:r>
              <w:rPr>
                <w:b/>
                <w:sz w:val="14"/>
              </w:rPr>
              <w:t>Evaluación</w:t>
            </w:r>
          </w:p>
        </w:tc>
        <w:tc>
          <w:tcPr>
            <w:tcW w:w="792" w:type="dxa"/>
          </w:tcPr>
          <w:p>
            <w:pPr>
              <w:pStyle w:val="TableParagraph"/>
              <w:spacing w:before="60"/>
              <w:ind w:left="189" w:right="-12"/>
              <w:jc w:val="left"/>
              <w:rPr>
                <w:b/>
                <w:sz w:val="14"/>
              </w:rPr>
            </w:pPr>
            <w:r>
              <w:rPr>
                <w:b/>
                <w:w w:val="99"/>
                <w:sz w:val="14"/>
                <w:shd w:fill="F79646" w:color="auto" w:val="clear"/>
              </w:rPr>
              <w:t> </w:t>
            </w:r>
            <w:r>
              <w:rPr>
                <w:b/>
                <w:sz w:val="14"/>
                <w:shd w:fill="F79646" w:color="auto" w:val="clear"/>
              </w:rPr>
              <w:t>  </w:t>
            </w:r>
            <w:r>
              <w:rPr>
                <w:b/>
                <w:spacing w:val="7"/>
                <w:sz w:val="14"/>
                <w:shd w:fill="F79646" w:color="auto" w:val="clear"/>
              </w:rPr>
              <w:t> </w:t>
            </w:r>
            <w:r>
              <w:rPr>
                <w:b/>
                <w:sz w:val="14"/>
                <w:shd w:fill="F79646" w:color="auto" w:val="clear"/>
              </w:rPr>
              <w:t>Real</w:t>
            </w:r>
            <w:r>
              <w:rPr>
                <w:b/>
                <w:spacing w:val="2"/>
                <w:sz w:val="14"/>
                <w:shd w:fill="F79646" w:color="auto" w:val="clear"/>
              </w:rPr>
              <w:t> </w:t>
            </w:r>
          </w:p>
        </w:tc>
        <w:tc>
          <w:tcPr>
            <w:tcW w:w="743" w:type="dxa"/>
            <w:tcBorders>
              <w:right w:val="single" w:sz="5" w:space="0" w:color="FFFFFF"/>
            </w:tcBorders>
            <w:shd w:val="clear" w:color="auto" w:fill="FFFF00"/>
          </w:tcPr>
          <w:p>
            <w:pPr>
              <w:pStyle w:val="TableParagraph"/>
              <w:spacing w:before="60"/>
              <w:ind w:left="47" w:right="34"/>
              <w:rPr>
                <w:b/>
                <w:sz w:val="14"/>
              </w:rPr>
            </w:pPr>
            <w:r>
              <w:rPr>
                <w:b/>
                <w:sz w:val="14"/>
              </w:rPr>
              <w:t>Deseable</w:t>
            </w:r>
          </w:p>
        </w:tc>
        <w:tc>
          <w:tcPr>
            <w:tcW w:w="718" w:type="dxa"/>
            <w:tcBorders>
              <w:left w:val="single" w:sz="5" w:space="0" w:color="FFFFFF"/>
              <w:right w:val="single" w:sz="9" w:space="0" w:color="000000"/>
            </w:tcBorders>
            <w:shd w:val="clear" w:color="auto" w:fill="67ED4D"/>
          </w:tcPr>
          <w:p>
            <w:pPr>
              <w:pStyle w:val="TableParagraph"/>
              <w:spacing w:before="60"/>
              <w:ind w:left="99" w:right="71"/>
              <w:rPr>
                <w:b/>
                <w:sz w:val="14"/>
              </w:rPr>
            </w:pPr>
            <w:r>
              <w:rPr>
                <w:b/>
                <w:sz w:val="14"/>
              </w:rPr>
              <w:t>Óptimo</w:t>
            </w:r>
          </w:p>
        </w:tc>
      </w:tr>
      <w:tr>
        <w:trPr>
          <w:trHeight w:val="176" w:hRule="exact"/>
        </w:trPr>
        <w:tc>
          <w:tcPr>
            <w:tcW w:w="779" w:type="dxa"/>
            <w:vMerge/>
            <w:tcBorders>
              <w:left w:val="single" w:sz="5" w:space="0" w:color="000000"/>
            </w:tcBorders>
          </w:tcPr>
          <w:p>
            <w:pPr/>
          </w:p>
        </w:tc>
        <w:tc>
          <w:tcPr>
            <w:tcW w:w="2027" w:type="dxa"/>
          </w:tcPr>
          <w:p>
            <w:pPr/>
          </w:p>
        </w:tc>
        <w:tc>
          <w:tcPr>
            <w:tcW w:w="2159" w:type="dxa"/>
          </w:tcPr>
          <w:p>
            <w:pPr>
              <w:pStyle w:val="TableParagraph"/>
              <w:spacing w:line="166" w:lineRule="exact"/>
              <w:ind w:left="411" w:right="5"/>
              <w:jc w:val="left"/>
              <w:rPr>
                <w:rFonts w:ascii="Calibri"/>
                <w:sz w:val="14"/>
              </w:rPr>
            </w:pPr>
            <w:r>
              <w:rPr>
                <w:rFonts w:ascii="Calibri"/>
                <w:sz w:val="14"/>
              </w:rPr>
              <w:t>Tipo de la vivienda</w:t>
            </w:r>
          </w:p>
        </w:tc>
        <w:tc>
          <w:tcPr>
            <w:tcW w:w="1601" w:type="dxa"/>
          </w:tcPr>
          <w:p>
            <w:pPr>
              <w:pStyle w:val="TableParagraph"/>
              <w:spacing w:line="166" w:lineRule="exact"/>
              <w:ind w:left="496"/>
              <w:rPr>
                <w:rFonts w:ascii="Calibri"/>
                <w:sz w:val="14"/>
              </w:rPr>
            </w:pPr>
            <w:r>
              <w:rPr>
                <w:rFonts w:ascii="Calibri"/>
                <w:w w:val="99"/>
                <w:sz w:val="14"/>
              </w:rPr>
              <w:t>0</w:t>
            </w:r>
          </w:p>
        </w:tc>
        <w:tc>
          <w:tcPr>
            <w:tcW w:w="792" w:type="dxa"/>
          </w:tcPr>
          <w:p>
            <w:pPr/>
          </w:p>
        </w:tc>
        <w:tc>
          <w:tcPr>
            <w:tcW w:w="743" w:type="dxa"/>
            <w:tcBorders>
              <w:right w:val="single" w:sz="5" w:space="0" w:color="FFFFFF"/>
            </w:tcBorders>
            <w:shd w:val="clear" w:color="auto" w:fill="FFFF00"/>
          </w:tcPr>
          <w:p>
            <w:pPr>
              <w:pStyle w:val="TableParagraph"/>
              <w:spacing w:line="166" w:lineRule="exact"/>
              <w:ind w:left="47" w:right="29"/>
              <w:rPr>
                <w:rFonts w:ascii="Calibri"/>
                <w:sz w:val="14"/>
              </w:rPr>
            </w:pPr>
            <w:r>
              <w:rPr>
                <w:rFonts w:ascii="Calibri"/>
                <w:sz w:val="14"/>
              </w:rPr>
              <w:t>0.6</w:t>
            </w:r>
          </w:p>
        </w:tc>
        <w:tc>
          <w:tcPr>
            <w:tcW w:w="718" w:type="dxa"/>
            <w:tcBorders>
              <w:left w:val="single" w:sz="5" w:space="0" w:color="FFFFFF"/>
              <w:right w:val="single" w:sz="9" w:space="0" w:color="000000"/>
            </w:tcBorders>
            <w:shd w:val="clear" w:color="auto" w:fill="67ED4D"/>
          </w:tcPr>
          <w:p>
            <w:pPr>
              <w:pStyle w:val="TableParagraph"/>
              <w:spacing w:line="166" w:lineRule="exact"/>
              <w:ind w:left="29"/>
              <w:rPr>
                <w:rFonts w:ascii="Calibri"/>
                <w:sz w:val="14"/>
              </w:rPr>
            </w:pPr>
            <w:r>
              <w:rPr>
                <w:rFonts w:ascii="Calibri"/>
                <w:w w:val="99"/>
                <w:sz w:val="14"/>
              </w:rPr>
              <w:t>1</w:t>
            </w:r>
          </w:p>
        </w:tc>
      </w:tr>
      <w:tr>
        <w:trPr>
          <w:trHeight w:val="174" w:hRule="exact"/>
        </w:trPr>
        <w:tc>
          <w:tcPr>
            <w:tcW w:w="779" w:type="dxa"/>
            <w:vMerge/>
            <w:tcBorders>
              <w:left w:val="single" w:sz="5" w:space="0" w:color="000000"/>
            </w:tcBorders>
          </w:tcPr>
          <w:p>
            <w:pPr/>
          </w:p>
        </w:tc>
        <w:tc>
          <w:tcPr>
            <w:tcW w:w="2027" w:type="dxa"/>
            <w:vMerge w:val="restart"/>
          </w:tcPr>
          <w:p>
            <w:pPr>
              <w:pStyle w:val="TableParagraph"/>
              <w:spacing w:before="73"/>
              <w:ind w:left="73"/>
              <w:jc w:val="left"/>
              <w:rPr>
                <w:rFonts w:ascii="Calibri"/>
                <w:sz w:val="14"/>
              </w:rPr>
            </w:pPr>
            <w:r>
              <w:rPr>
                <w:rFonts w:ascii="Calibri"/>
                <w:sz w:val="14"/>
              </w:rPr>
              <w:t>Autorizaciones</w:t>
            </w:r>
          </w:p>
        </w:tc>
        <w:tc>
          <w:tcPr>
            <w:tcW w:w="2159" w:type="dxa"/>
            <w:vMerge w:val="restart"/>
          </w:tcPr>
          <w:p>
            <w:pPr>
              <w:pStyle w:val="TableParagraph"/>
              <w:spacing w:line="244" w:lineRule="auto"/>
              <w:ind w:left="411" w:right="5"/>
              <w:jc w:val="left"/>
              <w:rPr>
                <w:rFonts w:ascii="Calibri" w:hAnsi="Calibri"/>
                <w:sz w:val="14"/>
              </w:rPr>
            </w:pPr>
            <w:r>
              <w:rPr>
                <w:rFonts w:ascii="Calibri" w:hAnsi="Calibri"/>
                <w:sz w:val="14"/>
              </w:rPr>
              <w:t>Metros de construcción Metros de terreno</w:t>
            </w:r>
          </w:p>
        </w:tc>
        <w:tc>
          <w:tcPr>
            <w:tcW w:w="1601" w:type="dxa"/>
            <w:vMerge w:val="restart"/>
          </w:tcPr>
          <w:p>
            <w:pPr>
              <w:pStyle w:val="TableParagraph"/>
              <w:spacing w:line="164" w:lineRule="exact"/>
              <w:ind w:left="1013"/>
              <w:jc w:val="left"/>
              <w:rPr>
                <w:rFonts w:ascii="Calibri"/>
                <w:sz w:val="14"/>
              </w:rPr>
            </w:pPr>
            <w:r>
              <w:rPr>
                <w:rFonts w:ascii="Calibri"/>
                <w:w w:val="99"/>
                <w:sz w:val="14"/>
              </w:rPr>
              <w:t>0</w:t>
            </w:r>
          </w:p>
          <w:p>
            <w:pPr>
              <w:pStyle w:val="TableParagraph"/>
              <w:spacing w:before="3"/>
              <w:ind w:left="1013"/>
              <w:jc w:val="left"/>
              <w:rPr>
                <w:rFonts w:ascii="Calibri"/>
                <w:sz w:val="14"/>
              </w:rPr>
            </w:pPr>
            <w:r>
              <w:rPr>
                <w:rFonts w:ascii="Calibri"/>
                <w:w w:val="99"/>
                <w:sz w:val="14"/>
              </w:rPr>
              <w:t>1</w:t>
            </w:r>
          </w:p>
        </w:tc>
        <w:tc>
          <w:tcPr>
            <w:tcW w:w="792" w:type="dxa"/>
            <w:vMerge w:val="restart"/>
          </w:tcPr>
          <w:p>
            <w:pPr/>
          </w:p>
        </w:tc>
        <w:tc>
          <w:tcPr>
            <w:tcW w:w="743" w:type="dxa"/>
            <w:tcBorders>
              <w:right w:val="single" w:sz="5" w:space="0" w:color="FFFFFF"/>
            </w:tcBorders>
            <w:shd w:val="clear" w:color="auto" w:fill="FFFF00"/>
          </w:tcPr>
          <w:p>
            <w:pPr>
              <w:pStyle w:val="TableParagraph"/>
              <w:spacing w:line="164" w:lineRule="exact"/>
              <w:ind w:left="29"/>
              <w:rPr>
                <w:rFonts w:ascii="Calibri"/>
                <w:sz w:val="14"/>
              </w:rPr>
            </w:pPr>
            <w:r>
              <w:rPr>
                <w:rFonts w:ascii="Calibri"/>
                <w:w w:val="99"/>
                <w:sz w:val="14"/>
              </w:rPr>
              <w:t>1</w:t>
            </w:r>
          </w:p>
        </w:tc>
        <w:tc>
          <w:tcPr>
            <w:tcW w:w="718" w:type="dxa"/>
            <w:tcBorders>
              <w:left w:val="single" w:sz="5" w:space="0" w:color="FFFFFF"/>
              <w:right w:val="single" w:sz="9" w:space="0" w:color="000000"/>
            </w:tcBorders>
            <w:shd w:val="clear" w:color="auto" w:fill="67ED4D"/>
          </w:tcPr>
          <w:p>
            <w:pPr>
              <w:pStyle w:val="TableParagraph"/>
              <w:spacing w:line="164" w:lineRule="exact"/>
              <w:ind w:left="29"/>
              <w:rPr>
                <w:rFonts w:ascii="Calibri"/>
                <w:sz w:val="14"/>
              </w:rPr>
            </w:pPr>
            <w:r>
              <w:rPr>
                <w:rFonts w:ascii="Calibri"/>
                <w:w w:val="99"/>
                <w:sz w:val="14"/>
              </w:rPr>
              <w:t>1</w:t>
            </w:r>
          </w:p>
        </w:tc>
      </w:tr>
      <w:tr>
        <w:trPr>
          <w:trHeight w:val="174" w:hRule="exact"/>
        </w:trPr>
        <w:tc>
          <w:tcPr>
            <w:tcW w:w="779" w:type="dxa"/>
            <w:vMerge/>
            <w:tcBorders>
              <w:left w:val="single" w:sz="5" w:space="0" w:color="000000"/>
            </w:tcBorders>
          </w:tcPr>
          <w:p>
            <w:pPr/>
          </w:p>
        </w:tc>
        <w:tc>
          <w:tcPr>
            <w:tcW w:w="2027" w:type="dxa"/>
            <w:vMerge/>
          </w:tcPr>
          <w:p>
            <w:pPr/>
          </w:p>
        </w:tc>
        <w:tc>
          <w:tcPr>
            <w:tcW w:w="2159" w:type="dxa"/>
            <w:vMerge/>
          </w:tcPr>
          <w:p>
            <w:pPr/>
          </w:p>
        </w:tc>
        <w:tc>
          <w:tcPr>
            <w:tcW w:w="1601" w:type="dxa"/>
            <w:vMerge/>
          </w:tcPr>
          <w:p>
            <w:pPr/>
          </w:p>
        </w:tc>
        <w:tc>
          <w:tcPr>
            <w:tcW w:w="792" w:type="dxa"/>
            <w:vMerge/>
          </w:tcPr>
          <w:p>
            <w:pPr/>
          </w:p>
        </w:tc>
        <w:tc>
          <w:tcPr>
            <w:tcW w:w="743" w:type="dxa"/>
            <w:tcBorders>
              <w:right w:val="single" w:sz="5" w:space="0" w:color="FFFFFF"/>
            </w:tcBorders>
            <w:shd w:val="clear" w:color="auto" w:fill="FFFF00"/>
          </w:tcPr>
          <w:p>
            <w:pPr>
              <w:pStyle w:val="TableParagraph"/>
              <w:spacing w:line="164" w:lineRule="exact"/>
              <w:ind w:left="29"/>
              <w:rPr>
                <w:rFonts w:ascii="Calibri"/>
                <w:sz w:val="14"/>
              </w:rPr>
            </w:pPr>
            <w:r>
              <w:rPr>
                <w:rFonts w:ascii="Calibri"/>
                <w:w w:val="99"/>
                <w:sz w:val="14"/>
              </w:rPr>
              <w:t>1</w:t>
            </w:r>
          </w:p>
        </w:tc>
        <w:tc>
          <w:tcPr>
            <w:tcW w:w="718" w:type="dxa"/>
            <w:tcBorders>
              <w:left w:val="single" w:sz="5" w:space="0" w:color="FFFFFF"/>
              <w:right w:val="single" w:sz="9" w:space="0" w:color="000000"/>
            </w:tcBorders>
            <w:shd w:val="clear" w:color="auto" w:fill="67ED4D"/>
          </w:tcPr>
          <w:p>
            <w:pPr>
              <w:pStyle w:val="TableParagraph"/>
              <w:spacing w:line="164" w:lineRule="exact"/>
              <w:ind w:left="29"/>
              <w:rPr>
                <w:rFonts w:ascii="Calibri"/>
                <w:sz w:val="14"/>
              </w:rPr>
            </w:pPr>
            <w:r>
              <w:rPr>
                <w:rFonts w:ascii="Calibri"/>
                <w:w w:val="99"/>
                <w:sz w:val="14"/>
              </w:rPr>
              <w:t>1</w:t>
            </w:r>
          </w:p>
        </w:tc>
      </w:tr>
      <w:tr>
        <w:trPr>
          <w:trHeight w:val="174" w:hRule="exact"/>
        </w:trPr>
        <w:tc>
          <w:tcPr>
            <w:tcW w:w="779" w:type="dxa"/>
            <w:vMerge/>
            <w:tcBorders>
              <w:left w:val="single" w:sz="5" w:space="0" w:color="000000"/>
            </w:tcBorders>
          </w:tcPr>
          <w:p>
            <w:pPr/>
          </w:p>
        </w:tc>
        <w:tc>
          <w:tcPr>
            <w:tcW w:w="2027" w:type="dxa"/>
          </w:tcPr>
          <w:p>
            <w:pPr/>
          </w:p>
        </w:tc>
        <w:tc>
          <w:tcPr>
            <w:tcW w:w="2159" w:type="dxa"/>
          </w:tcPr>
          <w:p>
            <w:pPr>
              <w:pStyle w:val="TableParagraph"/>
              <w:spacing w:line="164" w:lineRule="exact"/>
              <w:ind w:left="411" w:right="5"/>
              <w:jc w:val="left"/>
              <w:rPr>
                <w:rFonts w:ascii="Calibri"/>
                <w:sz w:val="14"/>
              </w:rPr>
            </w:pPr>
            <w:r>
              <w:rPr>
                <w:rFonts w:ascii="Calibri"/>
                <w:sz w:val="14"/>
              </w:rPr>
              <w:t>Plan ambiental</w:t>
            </w:r>
          </w:p>
        </w:tc>
        <w:tc>
          <w:tcPr>
            <w:tcW w:w="1601" w:type="dxa"/>
          </w:tcPr>
          <w:p>
            <w:pPr>
              <w:pStyle w:val="TableParagraph"/>
              <w:spacing w:line="164" w:lineRule="exact"/>
              <w:ind w:left="496"/>
              <w:rPr>
                <w:rFonts w:ascii="Calibri"/>
                <w:sz w:val="14"/>
              </w:rPr>
            </w:pPr>
            <w:r>
              <w:rPr>
                <w:rFonts w:ascii="Calibri"/>
                <w:w w:val="99"/>
                <w:sz w:val="14"/>
              </w:rPr>
              <w:t>0</w:t>
            </w:r>
          </w:p>
        </w:tc>
        <w:tc>
          <w:tcPr>
            <w:tcW w:w="792" w:type="dxa"/>
          </w:tcPr>
          <w:p>
            <w:pPr/>
          </w:p>
        </w:tc>
        <w:tc>
          <w:tcPr>
            <w:tcW w:w="743" w:type="dxa"/>
            <w:tcBorders>
              <w:right w:val="single" w:sz="5" w:space="0" w:color="FFFFFF"/>
            </w:tcBorders>
            <w:shd w:val="clear" w:color="auto" w:fill="FFFF00"/>
          </w:tcPr>
          <w:p>
            <w:pPr>
              <w:pStyle w:val="TableParagraph"/>
              <w:spacing w:line="164" w:lineRule="exact"/>
              <w:ind w:left="29"/>
              <w:rPr>
                <w:rFonts w:ascii="Calibri"/>
                <w:sz w:val="14"/>
              </w:rPr>
            </w:pPr>
            <w:r>
              <w:rPr>
                <w:rFonts w:ascii="Calibri"/>
                <w:w w:val="99"/>
                <w:sz w:val="14"/>
              </w:rPr>
              <w:t>1</w:t>
            </w:r>
          </w:p>
        </w:tc>
        <w:tc>
          <w:tcPr>
            <w:tcW w:w="718" w:type="dxa"/>
            <w:tcBorders>
              <w:left w:val="single" w:sz="5" w:space="0" w:color="FFFFFF"/>
              <w:right w:val="single" w:sz="9" w:space="0" w:color="000000"/>
            </w:tcBorders>
            <w:shd w:val="clear" w:color="auto" w:fill="67ED4D"/>
          </w:tcPr>
          <w:p>
            <w:pPr>
              <w:pStyle w:val="TableParagraph"/>
              <w:spacing w:line="164" w:lineRule="exact"/>
              <w:ind w:left="29"/>
              <w:rPr>
                <w:rFonts w:ascii="Calibri"/>
                <w:sz w:val="14"/>
              </w:rPr>
            </w:pPr>
            <w:r>
              <w:rPr>
                <w:rFonts w:ascii="Calibri"/>
                <w:w w:val="99"/>
                <w:sz w:val="14"/>
              </w:rPr>
              <w:t>1</w:t>
            </w:r>
          </w:p>
        </w:tc>
      </w:tr>
      <w:tr>
        <w:trPr>
          <w:trHeight w:val="178" w:hRule="exact"/>
        </w:trPr>
        <w:tc>
          <w:tcPr>
            <w:tcW w:w="779" w:type="dxa"/>
            <w:vMerge/>
            <w:tcBorders>
              <w:left w:val="single" w:sz="5" w:space="0" w:color="000000"/>
            </w:tcBorders>
          </w:tcPr>
          <w:p>
            <w:pPr/>
          </w:p>
        </w:tc>
        <w:tc>
          <w:tcPr>
            <w:tcW w:w="2027" w:type="dxa"/>
          </w:tcPr>
          <w:p>
            <w:pPr/>
          </w:p>
        </w:tc>
        <w:tc>
          <w:tcPr>
            <w:tcW w:w="2159" w:type="dxa"/>
          </w:tcPr>
          <w:p>
            <w:pPr/>
          </w:p>
        </w:tc>
        <w:tc>
          <w:tcPr>
            <w:tcW w:w="1601" w:type="dxa"/>
          </w:tcPr>
          <w:p>
            <w:pPr>
              <w:pStyle w:val="TableParagraph"/>
              <w:spacing w:line="165" w:lineRule="exact"/>
              <w:ind w:left="650" w:right="167"/>
              <w:rPr>
                <w:rFonts w:ascii="Calibri"/>
                <w:sz w:val="14"/>
              </w:rPr>
            </w:pPr>
            <w:r>
              <w:rPr>
                <w:rFonts w:ascii="Calibri"/>
                <w:sz w:val="14"/>
              </w:rPr>
              <w:t>Subtotal</w:t>
            </w:r>
          </w:p>
        </w:tc>
        <w:tc>
          <w:tcPr>
            <w:tcW w:w="792" w:type="dxa"/>
          </w:tcPr>
          <w:p>
            <w:pPr>
              <w:pStyle w:val="TableParagraph"/>
              <w:tabs>
                <w:tab w:pos="467" w:val="left" w:leader="none"/>
                <w:tab w:pos="803" w:val="left" w:leader="none"/>
              </w:tabs>
              <w:spacing w:line="165" w:lineRule="exact"/>
              <w:ind w:left="189" w:right="-12"/>
              <w:jc w:val="left"/>
              <w:rPr>
                <w:rFonts w:ascii="Calibri"/>
                <w:sz w:val="14"/>
              </w:rPr>
            </w:pPr>
            <w:r>
              <w:rPr>
                <w:rFonts w:ascii="Times New Roman"/>
                <w:w w:val="99"/>
                <w:sz w:val="14"/>
                <w:shd w:fill="F79646" w:color="auto" w:val="clear"/>
              </w:rPr>
              <w:t> </w:t>
            </w:r>
            <w:r>
              <w:rPr>
                <w:rFonts w:ascii="Times New Roman"/>
                <w:sz w:val="14"/>
                <w:shd w:fill="F79646" w:color="auto" w:val="clear"/>
              </w:rPr>
              <w:tab/>
            </w:r>
            <w:r>
              <w:rPr>
                <w:rFonts w:ascii="Calibri"/>
                <w:sz w:val="14"/>
                <w:shd w:fill="F79646" w:color="auto" w:val="clear"/>
              </w:rPr>
              <w:t>1</w:t>
              <w:tab/>
            </w:r>
          </w:p>
        </w:tc>
        <w:tc>
          <w:tcPr>
            <w:tcW w:w="743" w:type="dxa"/>
            <w:tcBorders>
              <w:right w:val="single" w:sz="5" w:space="0" w:color="FFFFFF"/>
            </w:tcBorders>
            <w:shd w:val="clear" w:color="auto" w:fill="FFFF00"/>
          </w:tcPr>
          <w:p>
            <w:pPr>
              <w:pStyle w:val="TableParagraph"/>
              <w:spacing w:line="164" w:lineRule="exact"/>
              <w:ind w:left="47" w:right="29"/>
              <w:rPr>
                <w:rFonts w:ascii="Calibri"/>
                <w:sz w:val="14"/>
              </w:rPr>
            </w:pPr>
            <w:r>
              <w:rPr>
                <w:rFonts w:ascii="Calibri"/>
                <w:sz w:val="14"/>
              </w:rPr>
              <w:t>3.6</w:t>
            </w:r>
          </w:p>
        </w:tc>
        <w:tc>
          <w:tcPr>
            <w:tcW w:w="718" w:type="dxa"/>
            <w:tcBorders>
              <w:left w:val="single" w:sz="5" w:space="0" w:color="FFFFFF"/>
              <w:right w:val="single" w:sz="9" w:space="0" w:color="000000"/>
            </w:tcBorders>
            <w:shd w:val="clear" w:color="auto" w:fill="67ED4D"/>
          </w:tcPr>
          <w:p>
            <w:pPr>
              <w:pStyle w:val="TableParagraph"/>
              <w:spacing w:line="164" w:lineRule="exact"/>
              <w:ind w:left="29"/>
              <w:rPr>
                <w:rFonts w:ascii="Calibri"/>
                <w:sz w:val="14"/>
              </w:rPr>
            </w:pPr>
            <w:r>
              <w:rPr>
                <w:rFonts w:ascii="Calibri"/>
                <w:w w:val="99"/>
                <w:sz w:val="14"/>
              </w:rPr>
              <w:t>4</w:t>
            </w:r>
          </w:p>
        </w:tc>
      </w:tr>
      <w:tr>
        <w:trPr>
          <w:trHeight w:val="162" w:hRule="exact"/>
        </w:trPr>
        <w:tc>
          <w:tcPr>
            <w:tcW w:w="8820" w:type="dxa"/>
            <w:gridSpan w:val="7"/>
            <w:tcBorders>
              <w:left w:val="single" w:sz="5" w:space="0" w:color="000000"/>
              <w:right w:val="single" w:sz="9" w:space="0" w:color="000000"/>
            </w:tcBorders>
          </w:tcPr>
          <w:p>
            <w:pPr/>
          </w:p>
        </w:tc>
      </w:tr>
      <w:tr>
        <w:trPr>
          <w:trHeight w:val="180" w:hRule="exact"/>
        </w:trPr>
        <w:tc>
          <w:tcPr>
            <w:tcW w:w="779" w:type="dxa"/>
            <w:tcBorders>
              <w:left w:val="single" w:sz="5" w:space="0" w:color="000000"/>
            </w:tcBorders>
          </w:tcPr>
          <w:p>
            <w:pPr/>
          </w:p>
        </w:tc>
        <w:tc>
          <w:tcPr>
            <w:tcW w:w="2027" w:type="dxa"/>
          </w:tcPr>
          <w:p>
            <w:pPr>
              <w:pStyle w:val="TableParagraph"/>
              <w:ind w:left="73"/>
              <w:jc w:val="left"/>
              <w:rPr>
                <w:rFonts w:ascii="Calibri"/>
                <w:sz w:val="14"/>
              </w:rPr>
            </w:pPr>
            <w:r>
              <w:rPr>
                <w:rFonts w:ascii="Calibri"/>
                <w:sz w:val="14"/>
              </w:rPr>
              <w:t>Agua</w:t>
            </w:r>
          </w:p>
        </w:tc>
        <w:tc>
          <w:tcPr>
            <w:tcW w:w="2159" w:type="dxa"/>
          </w:tcPr>
          <w:p>
            <w:pPr>
              <w:pStyle w:val="TableParagraph"/>
              <w:ind w:left="411" w:right="5"/>
              <w:jc w:val="left"/>
              <w:rPr>
                <w:rFonts w:ascii="Calibri"/>
                <w:sz w:val="14"/>
              </w:rPr>
            </w:pPr>
            <w:r>
              <w:rPr>
                <w:rFonts w:ascii="Calibri"/>
                <w:sz w:val="14"/>
              </w:rPr>
              <w:t>Tipo de abastecimiento</w:t>
            </w:r>
          </w:p>
        </w:tc>
        <w:tc>
          <w:tcPr>
            <w:tcW w:w="1601" w:type="dxa"/>
          </w:tcPr>
          <w:p>
            <w:pPr>
              <w:pStyle w:val="TableParagraph"/>
              <w:tabs>
                <w:tab w:pos="1013" w:val="left" w:leader="none"/>
                <w:tab w:pos="1801" w:val="left" w:leader="none"/>
              </w:tabs>
              <w:ind w:left="282" w:right="-201"/>
              <w:rPr>
                <w:rFonts w:ascii="Calibri"/>
                <w:sz w:val="14"/>
              </w:rPr>
            </w:pPr>
            <w:r>
              <w:rPr>
                <w:rFonts w:ascii="Times New Roman"/>
                <w:w w:val="99"/>
                <w:sz w:val="14"/>
                <w:shd w:fill="BAF9F5" w:color="auto" w:val="clear"/>
              </w:rPr>
              <w:t> </w:t>
            </w:r>
            <w:r>
              <w:rPr>
                <w:rFonts w:ascii="Times New Roman"/>
                <w:sz w:val="14"/>
                <w:shd w:fill="BAF9F5" w:color="auto" w:val="clear"/>
              </w:rPr>
              <w:tab/>
            </w:r>
            <w:r>
              <w:rPr>
                <w:rFonts w:ascii="Calibri"/>
                <w:sz w:val="14"/>
                <w:shd w:fill="BAF9F5" w:color="auto" w:val="clear"/>
              </w:rPr>
              <w:t>1</w:t>
              <w:tab/>
            </w:r>
          </w:p>
        </w:tc>
        <w:tc>
          <w:tcPr>
            <w:tcW w:w="792" w:type="dxa"/>
          </w:tcPr>
          <w:p>
            <w:pPr/>
          </w:p>
        </w:tc>
        <w:tc>
          <w:tcPr>
            <w:tcW w:w="743" w:type="dxa"/>
          </w:tcPr>
          <w:p>
            <w:pPr>
              <w:pStyle w:val="TableParagraph"/>
              <w:ind w:left="269" w:right="256"/>
              <w:rPr>
                <w:rFonts w:ascii="Calibri"/>
                <w:sz w:val="14"/>
              </w:rPr>
            </w:pPr>
            <w:r>
              <w:rPr>
                <w:rFonts w:ascii="Calibri"/>
                <w:sz w:val="14"/>
              </w:rPr>
              <w:t>0.7</w:t>
            </w:r>
          </w:p>
        </w:tc>
        <w:tc>
          <w:tcPr>
            <w:tcW w:w="718" w:type="dxa"/>
            <w:tcBorders>
              <w:right w:val="single" w:sz="9" w:space="0" w:color="000000"/>
            </w:tcBorders>
            <w:shd w:val="clear" w:color="auto" w:fill="67ED4D"/>
          </w:tcPr>
          <w:p>
            <w:pPr>
              <w:pStyle w:val="TableParagraph"/>
              <w:ind w:left="34"/>
              <w:rPr>
                <w:rFonts w:ascii="Calibri"/>
                <w:sz w:val="14"/>
              </w:rPr>
            </w:pPr>
            <w:r>
              <w:rPr>
                <w:rFonts w:ascii="Calibri"/>
                <w:w w:val="99"/>
                <w:sz w:val="14"/>
              </w:rPr>
              <w:t>1</w:t>
            </w:r>
          </w:p>
        </w:tc>
      </w:tr>
      <w:tr>
        <w:trPr>
          <w:trHeight w:val="180" w:hRule="exact"/>
        </w:trPr>
        <w:tc>
          <w:tcPr>
            <w:tcW w:w="779" w:type="dxa"/>
            <w:tcBorders>
              <w:left w:val="single" w:sz="5" w:space="0" w:color="000000"/>
            </w:tcBorders>
          </w:tcPr>
          <w:p>
            <w:pPr/>
          </w:p>
        </w:tc>
        <w:tc>
          <w:tcPr>
            <w:tcW w:w="2027" w:type="dxa"/>
          </w:tcPr>
          <w:p>
            <w:pPr/>
          </w:p>
        </w:tc>
        <w:tc>
          <w:tcPr>
            <w:tcW w:w="2159" w:type="dxa"/>
          </w:tcPr>
          <w:p>
            <w:pPr/>
          </w:p>
        </w:tc>
        <w:tc>
          <w:tcPr>
            <w:tcW w:w="1601" w:type="dxa"/>
          </w:tcPr>
          <w:p>
            <w:pPr>
              <w:pStyle w:val="TableParagraph"/>
              <w:spacing w:line="165" w:lineRule="exact"/>
              <w:ind w:left="650" w:right="167"/>
              <w:rPr>
                <w:rFonts w:ascii="Calibri"/>
                <w:sz w:val="14"/>
              </w:rPr>
            </w:pPr>
            <w:r>
              <w:rPr>
                <w:rFonts w:ascii="Calibri"/>
                <w:sz w:val="14"/>
              </w:rPr>
              <w:t>Subtotal</w:t>
            </w:r>
          </w:p>
        </w:tc>
        <w:tc>
          <w:tcPr>
            <w:tcW w:w="792" w:type="dxa"/>
          </w:tcPr>
          <w:p>
            <w:pPr>
              <w:pStyle w:val="TableParagraph"/>
              <w:tabs>
                <w:tab w:pos="467" w:val="left" w:leader="none"/>
                <w:tab w:pos="803" w:val="left" w:leader="none"/>
              </w:tabs>
              <w:spacing w:line="165" w:lineRule="exact"/>
              <w:ind w:left="189" w:right="-12"/>
              <w:jc w:val="left"/>
              <w:rPr>
                <w:rFonts w:ascii="Calibri"/>
                <w:sz w:val="14"/>
              </w:rPr>
            </w:pPr>
            <w:r>
              <w:rPr>
                <w:rFonts w:ascii="Times New Roman"/>
                <w:w w:val="99"/>
                <w:sz w:val="14"/>
                <w:shd w:fill="F79646" w:color="auto" w:val="clear"/>
              </w:rPr>
              <w:t> </w:t>
            </w:r>
            <w:r>
              <w:rPr>
                <w:rFonts w:ascii="Times New Roman"/>
                <w:sz w:val="14"/>
                <w:shd w:fill="F79646" w:color="auto" w:val="clear"/>
              </w:rPr>
              <w:tab/>
            </w:r>
            <w:r>
              <w:rPr>
                <w:rFonts w:ascii="Calibri"/>
                <w:sz w:val="14"/>
                <w:shd w:fill="F79646" w:color="auto" w:val="clear"/>
              </w:rPr>
              <w:t>1</w:t>
              <w:tab/>
            </w:r>
          </w:p>
        </w:tc>
        <w:tc>
          <w:tcPr>
            <w:tcW w:w="743" w:type="dxa"/>
          </w:tcPr>
          <w:p>
            <w:pPr>
              <w:pStyle w:val="TableParagraph"/>
              <w:spacing w:line="165" w:lineRule="exact"/>
              <w:ind w:left="269" w:right="256"/>
              <w:rPr>
                <w:rFonts w:ascii="Calibri"/>
                <w:sz w:val="14"/>
              </w:rPr>
            </w:pPr>
            <w:r>
              <w:rPr>
                <w:rFonts w:ascii="Calibri"/>
                <w:sz w:val="14"/>
              </w:rPr>
              <w:t>0.7</w:t>
            </w:r>
          </w:p>
        </w:tc>
        <w:tc>
          <w:tcPr>
            <w:tcW w:w="718" w:type="dxa"/>
            <w:tcBorders>
              <w:right w:val="single" w:sz="9" w:space="0" w:color="000000"/>
            </w:tcBorders>
            <w:shd w:val="clear" w:color="auto" w:fill="67ED4D"/>
          </w:tcPr>
          <w:p>
            <w:pPr>
              <w:pStyle w:val="TableParagraph"/>
              <w:spacing w:line="165" w:lineRule="exact"/>
              <w:ind w:left="34"/>
              <w:rPr>
                <w:rFonts w:ascii="Calibri"/>
                <w:sz w:val="14"/>
              </w:rPr>
            </w:pPr>
            <w:r>
              <w:rPr>
                <w:rFonts w:ascii="Calibri"/>
                <w:w w:val="99"/>
                <w:sz w:val="14"/>
              </w:rPr>
              <w:t>1</w:t>
            </w:r>
          </w:p>
        </w:tc>
      </w:tr>
      <w:tr>
        <w:trPr>
          <w:trHeight w:val="162" w:hRule="exact"/>
        </w:trPr>
        <w:tc>
          <w:tcPr>
            <w:tcW w:w="8820" w:type="dxa"/>
            <w:gridSpan w:val="7"/>
            <w:tcBorders>
              <w:left w:val="single" w:sz="5" w:space="0" w:color="000000"/>
              <w:right w:val="single" w:sz="9" w:space="0" w:color="000000"/>
            </w:tcBorders>
          </w:tcPr>
          <w:p>
            <w:pPr/>
          </w:p>
        </w:tc>
      </w:tr>
      <w:tr>
        <w:trPr>
          <w:trHeight w:val="181" w:hRule="exact"/>
        </w:trPr>
        <w:tc>
          <w:tcPr>
            <w:tcW w:w="779" w:type="dxa"/>
            <w:tcBorders>
              <w:left w:val="single" w:sz="5" w:space="0" w:color="000000"/>
            </w:tcBorders>
          </w:tcPr>
          <w:p>
            <w:pPr/>
          </w:p>
        </w:tc>
        <w:tc>
          <w:tcPr>
            <w:tcW w:w="2027" w:type="dxa"/>
          </w:tcPr>
          <w:p>
            <w:pPr/>
          </w:p>
        </w:tc>
        <w:tc>
          <w:tcPr>
            <w:tcW w:w="2159" w:type="dxa"/>
          </w:tcPr>
          <w:p>
            <w:pPr>
              <w:pStyle w:val="TableParagraph"/>
              <w:ind w:left="411" w:right="5"/>
              <w:jc w:val="left"/>
              <w:rPr>
                <w:rFonts w:ascii="Calibri"/>
                <w:sz w:val="14"/>
              </w:rPr>
            </w:pPr>
            <w:r>
              <w:rPr>
                <w:rFonts w:ascii="Calibri"/>
                <w:sz w:val="14"/>
              </w:rPr>
              <w:t>Agua potable</w:t>
            </w:r>
          </w:p>
        </w:tc>
        <w:tc>
          <w:tcPr>
            <w:tcW w:w="1601" w:type="dxa"/>
          </w:tcPr>
          <w:p>
            <w:pPr>
              <w:pStyle w:val="TableParagraph"/>
              <w:ind w:left="496"/>
              <w:rPr>
                <w:rFonts w:ascii="Calibri"/>
                <w:sz w:val="14"/>
              </w:rPr>
            </w:pPr>
            <w:r>
              <w:rPr>
                <w:rFonts w:ascii="Calibri"/>
                <w:w w:val="99"/>
                <w:sz w:val="14"/>
              </w:rPr>
              <w:t>0</w:t>
            </w:r>
          </w:p>
        </w:tc>
        <w:tc>
          <w:tcPr>
            <w:tcW w:w="792" w:type="dxa"/>
          </w:tcPr>
          <w:p>
            <w:pPr/>
          </w:p>
        </w:tc>
        <w:tc>
          <w:tcPr>
            <w:tcW w:w="743" w:type="dxa"/>
          </w:tcPr>
          <w:p>
            <w:pPr>
              <w:pStyle w:val="TableParagraph"/>
              <w:ind w:left="269" w:right="256"/>
              <w:rPr>
                <w:rFonts w:ascii="Calibri"/>
                <w:sz w:val="14"/>
              </w:rPr>
            </w:pPr>
            <w:r>
              <w:rPr>
                <w:rFonts w:ascii="Calibri"/>
                <w:sz w:val="14"/>
              </w:rPr>
              <w:t>0.5</w:t>
            </w:r>
          </w:p>
        </w:tc>
        <w:tc>
          <w:tcPr>
            <w:tcW w:w="718" w:type="dxa"/>
            <w:tcBorders>
              <w:right w:val="single" w:sz="9" w:space="0" w:color="000000"/>
            </w:tcBorders>
            <w:shd w:val="clear" w:color="auto" w:fill="67ED4D"/>
          </w:tcPr>
          <w:p>
            <w:pPr>
              <w:pStyle w:val="TableParagraph"/>
              <w:ind w:left="34"/>
              <w:rPr>
                <w:rFonts w:ascii="Calibri"/>
                <w:sz w:val="14"/>
              </w:rPr>
            </w:pPr>
            <w:r>
              <w:rPr>
                <w:rFonts w:ascii="Calibri"/>
                <w:w w:val="99"/>
                <w:sz w:val="14"/>
              </w:rPr>
              <w:t>1</w:t>
            </w:r>
          </w:p>
        </w:tc>
      </w:tr>
      <w:tr>
        <w:trPr>
          <w:trHeight w:val="174" w:hRule="exact"/>
        </w:trPr>
        <w:tc>
          <w:tcPr>
            <w:tcW w:w="779" w:type="dxa"/>
            <w:tcBorders>
              <w:left w:val="single" w:sz="5" w:space="0" w:color="000000"/>
            </w:tcBorders>
          </w:tcPr>
          <w:p>
            <w:pPr/>
          </w:p>
        </w:tc>
        <w:tc>
          <w:tcPr>
            <w:tcW w:w="2027" w:type="dxa"/>
          </w:tcPr>
          <w:p>
            <w:pPr/>
          </w:p>
        </w:tc>
        <w:tc>
          <w:tcPr>
            <w:tcW w:w="2159" w:type="dxa"/>
          </w:tcPr>
          <w:p>
            <w:pPr>
              <w:pStyle w:val="TableParagraph"/>
              <w:spacing w:line="164" w:lineRule="exact"/>
              <w:ind w:left="411" w:right="5"/>
              <w:jc w:val="left"/>
              <w:rPr>
                <w:rFonts w:ascii="Calibri" w:hAnsi="Calibri"/>
                <w:sz w:val="14"/>
              </w:rPr>
            </w:pPr>
            <w:r>
              <w:rPr>
                <w:rFonts w:ascii="Calibri" w:hAnsi="Calibri"/>
                <w:sz w:val="14"/>
              </w:rPr>
              <w:t>Energía eléctrica</w:t>
            </w:r>
          </w:p>
        </w:tc>
        <w:tc>
          <w:tcPr>
            <w:tcW w:w="1601" w:type="dxa"/>
          </w:tcPr>
          <w:p>
            <w:pPr>
              <w:pStyle w:val="TableParagraph"/>
              <w:spacing w:line="164" w:lineRule="exact"/>
              <w:ind w:left="652" w:right="167"/>
              <w:rPr>
                <w:rFonts w:ascii="Calibri"/>
                <w:sz w:val="14"/>
              </w:rPr>
            </w:pPr>
            <w:r>
              <w:rPr>
                <w:rFonts w:ascii="Calibri"/>
                <w:sz w:val="14"/>
              </w:rPr>
              <w:t>0.5</w:t>
            </w:r>
          </w:p>
        </w:tc>
        <w:tc>
          <w:tcPr>
            <w:tcW w:w="792" w:type="dxa"/>
          </w:tcPr>
          <w:p>
            <w:pPr/>
          </w:p>
        </w:tc>
        <w:tc>
          <w:tcPr>
            <w:tcW w:w="743" w:type="dxa"/>
          </w:tcPr>
          <w:p>
            <w:pPr>
              <w:pStyle w:val="TableParagraph"/>
              <w:spacing w:line="164" w:lineRule="exact"/>
              <w:ind w:left="269" w:right="256"/>
              <w:rPr>
                <w:rFonts w:ascii="Calibri"/>
                <w:sz w:val="14"/>
              </w:rPr>
            </w:pPr>
            <w:r>
              <w:rPr>
                <w:rFonts w:ascii="Calibri"/>
                <w:sz w:val="14"/>
              </w:rPr>
              <w:t>0.5</w:t>
            </w:r>
          </w:p>
        </w:tc>
        <w:tc>
          <w:tcPr>
            <w:tcW w:w="718" w:type="dxa"/>
            <w:tcBorders>
              <w:right w:val="single" w:sz="9" w:space="0" w:color="000000"/>
            </w:tcBorders>
            <w:shd w:val="clear" w:color="auto" w:fill="67ED4D"/>
          </w:tcPr>
          <w:p>
            <w:pPr>
              <w:pStyle w:val="TableParagraph"/>
              <w:spacing w:line="164" w:lineRule="exact"/>
              <w:ind w:left="34"/>
              <w:rPr>
                <w:rFonts w:ascii="Calibri"/>
                <w:sz w:val="14"/>
              </w:rPr>
            </w:pPr>
            <w:r>
              <w:rPr>
                <w:rFonts w:ascii="Calibri"/>
                <w:w w:val="99"/>
                <w:sz w:val="14"/>
              </w:rPr>
              <w:t>1</w:t>
            </w:r>
          </w:p>
        </w:tc>
      </w:tr>
      <w:tr>
        <w:trPr>
          <w:trHeight w:val="174" w:hRule="exact"/>
        </w:trPr>
        <w:tc>
          <w:tcPr>
            <w:tcW w:w="779" w:type="dxa"/>
            <w:tcBorders>
              <w:left w:val="single" w:sz="5" w:space="0" w:color="000000"/>
            </w:tcBorders>
          </w:tcPr>
          <w:p>
            <w:pPr/>
          </w:p>
        </w:tc>
        <w:tc>
          <w:tcPr>
            <w:tcW w:w="2027" w:type="dxa"/>
          </w:tcPr>
          <w:p>
            <w:pPr/>
          </w:p>
        </w:tc>
        <w:tc>
          <w:tcPr>
            <w:tcW w:w="2159" w:type="dxa"/>
          </w:tcPr>
          <w:p>
            <w:pPr>
              <w:pStyle w:val="TableParagraph"/>
              <w:spacing w:line="164" w:lineRule="exact"/>
              <w:ind w:left="411" w:right="5"/>
              <w:jc w:val="left"/>
              <w:rPr>
                <w:rFonts w:ascii="Calibri"/>
                <w:sz w:val="14"/>
              </w:rPr>
            </w:pPr>
            <w:r>
              <w:rPr>
                <w:rFonts w:ascii="Calibri"/>
                <w:sz w:val="14"/>
              </w:rPr>
              <w:t>Drenaje sanitario</w:t>
            </w:r>
          </w:p>
        </w:tc>
        <w:tc>
          <w:tcPr>
            <w:tcW w:w="1601" w:type="dxa"/>
          </w:tcPr>
          <w:p>
            <w:pPr>
              <w:pStyle w:val="TableParagraph"/>
              <w:spacing w:line="164" w:lineRule="exact"/>
              <w:ind w:left="652" w:right="167"/>
              <w:rPr>
                <w:rFonts w:ascii="Calibri"/>
                <w:sz w:val="14"/>
              </w:rPr>
            </w:pPr>
            <w:r>
              <w:rPr>
                <w:rFonts w:ascii="Calibri"/>
                <w:sz w:val="14"/>
              </w:rPr>
              <w:t>0.5</w:t>
            </w:r>
          </w:p>
        </w:tc>
        <w:tc>
          <w:tcPr>
            <w:tcW w:w="792" w:type="dxa"/>
          </w:tcPr>
          <w:p>
            <w:pPr/>
          </w:p>
        </w:tc>
        <w:tc>
          <w:tcPr>
            <w:tcW w:w="743" w:type="dxa"/>
          </w:tcPr>
          <w:p>
            <w:pPr>
              <w:pStyle w:val="TableParagraph"/>
              <w:spacing w:line="164" w:lineRule="exact"/>
              <w:ind w:left="269" w:right="256"/>
              <w:rPr>
                <w:rFonts w:ascii="Calibri"/>
                <w:sz w:val="14"/>
              </w:rPr>
            </w:pPr>
            <w:r>
              <w:rPr>
                <w:rFonts w:ascii="Calibri"/>
                <w:sz w:val="14"/>
              </w:rPr>
              <w:t>0.5</w:t>
            </w:r>
          </w:p>
        </w:tc>
        <w:tc>
          <w:tcPr>
            <w:tcW w:w="718" w:type="dxa"/>
            <w:tcBorders>
              <w:right w:val="single" w:sz="9" w:space="0" w:color="000000"/>
            </w:tcBorders>
            <w:shd w:val="clear" w:color="auto" w:fill="67ED4D"/>
          </w:tcPr>
          <w:p>
            <w:pPr>
              <w:pStyle w:val="TableParagraph"/>
              <w:spacing w:line="164" w:lineRule="exact"/>
              <w:ind w:left="34"/>
              <w:rPr>
                <w:rFonts w:ascii="Calibri"/>
                <w:sz w:val="14"/>
              </w:rPr>
            </w:pPr>
            <w:r>
              <w:rPr>
                <w:rFonts w:ascii="Calibri"/>
                <w:w w:val="99"/>
                <w:sz w:val="14"/>
              </w:rPr>
              <w:t>1</w:t>
            </w:r>
          </w:p>
        </w:tc>
      </w:tr>
      <w:tr>
        <w:trPr>
          <w:trHeight w:val="174" w:hRule="exact"/>
        </w:trPr>
        <w:tc>
          <w:tcPr>
            <w:tcW w:w="779" w:type="dxa"/>
            <w:tcBorders>
              <w:left w:val="single" w:sz="5" w:space="0" w:color="000000"/>
            </w:tcBorders>
          </w:tcPr>
          <w:p>
            <w:pPr/>
          </w:p>
        </w:tc>
        <w:tc>
          <w:tcPr>
            <w:tcW w:w="2027" w:type="dxa"/>
          </w:tcPr>
          <w:p>
            <w:pPr>
              <w:pStyle w:val="TableParagraph"/>
              <w:spacing w:line="164" w:lineRule="exact"/>
              <w:ind w:left="73"/>
              <w:jc w:val="left"/>
              <w:rPr>
                <w:rFonts w:ascii="Calibri"/>
                <w:sz w:val="14"/>
              </w:rPr>
            </w:pPr>
            <w:r>
              <w:rPr>
                <w:rFonts w:ascii="Calibri"/>
                <w:sz w:val="14"/>
              </w:rPr>
              <w:t>Infraestructura</w:t>
            </w:r>
          </w:p>
        </w:tc>
        <w:tc>
          <w:tcPr>
            <w:tcW w:w="2159" w:type="dxa"/>
          </w:tcPr>
          <w:p>
            <w:pPr>
              <w:pStyle w:val="TableParagraph"/>
              <w:spacing w:line="164" w:lineRule="exact"/>
              <w:ind w:left="411" w:right="5"/>
              <w:jc w:val="left"/>
              <w:rPr>
                <w:rFonts w:ascii="Calibri"/>
                <w:sz w:val="14"/>
              </w:rPr>
            </w:pPr>
            <w:r>
              <w:rPr>
                <w:rFonts w:ascii="Calibri"/>
                <w:sz w:val="14"/>
              </w:rPr>
              <w:t>Drenaje pluvial</w:t>
            </w:r>
          </w:p>
        </w:tc>
        <w:tc>
          <w:tcPr>
            <w:tcW w:w="1601" w:type="dxa"/>
          </w:tcPr>
          <w:p>
            <w:pPr>
              <w:pStyle w:val="TableParagraph"/>
              <w:spacing w:line="164" w:lineRule="exact"/>
              <w:ind w:left="652" w:right="167"/>
              <w:rPr>
                <w:rFonts w:ascii="Calibri"/>
                <w:sz w:val="14"/>
              </w:rPr>
            </w:pPr>
            <w:r>
              <w:rPr>
                <w:rFonts w:ascii="Calibri"/>
                <w:sz w:val="14"/>
              </w:rPr>
              <w:t>0.5</w:t>
            </w:r>
          </w:p>
        </w:tc>
        <w:tc>
          <w:tcPr>
            <w:tcW w:w="792" w:type="dxa"/>
          </w:tcPr>
          <w:p>
            <w:pPr/>
          </w:p>
        </w:tc>
        <w:tc>
          <w:tcPr>
            <w:tcW w:w="743" w:type="dxa"/>
          </w:tcPr>
          <w:p>
            <w:pPr>
              <w:pStyle w:val="TableParagraph"/>
              <w:spacing w:line="164" w:lineRule="exact"/>
              <w:ind w:left="269" w:right="256"/>
              <w:rPr>
                <w:rFonts w:ascii="Calibri"/>
                <w:sz w:val="14"/>
              </w:rPr>
            </w:pPr>
            <w:r>
              <w:rPr>
                <w:rFonts w:ascii="Calibri"/>
                <w:sz w:val="14"/>
              </w:rPr>
              <w:t>0.5</w:t>
            </w:r>
          </w:p>
        </w:tc>
        <w:tc>
          <w:tcPr>
            <w:tcW w:w="718" w:type="dxa"/>
            <w:tcBorders>
              <w:right w:val="single" w:sz="9" w:space="0" w:color="000000"/>
            </w:tcBorders>
            <w:shd w:val="clear" w:color="auto" w:fill="67ED4D"/>
          </w:tcPr>
          <w:p>
            <w:pPr>
              <w:pStyle w:val="TableParagraph"/>
              <w:spacing w:line="164" w:lineRule="exact"/>
              <w:ind w:left="34"/>
              <w:rPr>
                <w:rFonts w:ascii="Calibri"/>
                <w:sz w:val="14"/>
              </w:rPr>
            </w:pPr>
            <w:r>
              <w:rPr>
                <w:rFonts w:ascii="Calibri"/>
                <w:w w:val="99"/>
                <w:sz w:val="14"/>
              </w:rPr>
              <w:t>1</w:t>
            </w:r>
          </w:p>
        </w:tc>
      </w:tr>
      <w:tr>
        <w:trPr>
          <w:trHeight w:val="174" w:hRule="exact"/>
        </w:trPr>
        <w:tc>
          <w:tcPr>
            <w:tcW w:w="779" w:type="dxa"/>
            <w:tcBorders>
              <w:left w:val="single" w:sz="5" w:space="0" w:color="000000"/>
            </w:tcBorders>
          </w:tcPr>
          <w:p>
            <w:pPr/>
          </w:p>
        </w:tc>
        <w:tc>
          <w:tcPr>
            <w:tcW w:w="2027" w:type="dxa"/>
          </w:tcPr>
          <w:p>
            <w:pPr/>
          </w:p>
        </w:tc>
        <w:tc>
          <w:tcPr>
            <w:tcW w:w="2159" w:type="dxa"/>
          </w:tcPr>
          <w:p>
            <w:pPr>
              <w:pStyle w:val="TableParagraph"/>
              <w:spacing w:line="164" w:lineRule="exact"/>
              <w:ind w:left="411" w:right="5"/>
              <w:jc w:val="left"/>
              <w:rPr>
                <w:rFonts w:ascii="Calibri"/>
                <w:sz w:val="14"/>
              </w:rPr>
            </w:pPr>
            <w:r>
              <w:rPr>
                <w:rFonts w:ascii="Calibri"/>
                <w:sz w:val="14"/>
              </w:rPr>
              <w:t>Guarniciones y banquetas</w:t>
            </w:r>
          </w:p>
        </w:tc>
        <w:tc>
          <w:tcPr>
            <w:tcW w:w="1601" w:type="dxa"/>
          </w:tcPr>
          <w:p>
            <w:pPr>
              <w:pStyle w:val="TableParagraph"/>
              <w:spacing w:line="164" w:lineRule="exact"/>
              <w:ind w:left="652" w:right="167"/>
              <w:rPr>
                <w:rFonts w:ascii="Calibri"/>
                <w:sz w:val="14"/>
              </w:rPr>
            </w:pPr>
            <w:r>
              <w:rPr>
                <w:rFonts w:ascii="Calibri"/>
                <w:sz w:val="14"/>
              </w:rPr>
              <w:t>0.5</w:t>
            </w:r>
          </w:p>
        </w:tc>
        <w:tc>
          <w:tcPr>
            <w:tcW w:w="792" w:type="dxa"/>
          </w:tcPr>
          <w:p>
            <w:pPr/>
          </w:p>
        </w:tc>
        <w:tc>
          <w:tcPr>
            <w:tcW w:w="743" w:type="dxa"/>
          </w:tcPr>
          <w:p>
            <w:pPr>
              <w:pStyle w:val="TableParagraph"/>
              <w:spacing w:line="164" w:lineRule="exact"/>
              <w:ind w:left="269" w:right="256"/>
              <w:rPr>
                <w:rFonts w:ascii="Calibri"/>
                <w:sz w:val="14"/>
              </w:rPr>
            </w:pPr>
            <w:r>
              <w:rPr>
                <w:rFonts w:ascii="Calibri"/>
                <w:sz w:val="14"/>
              </w:rPr>
              <w:t>0.5</w:t>
            </w:r>
          </w:p>
        </w:tc>
        <w:tc>
          <w:tcPr>
            <w:tcW w:w="718" w:type="dxa"/>
            <w:tcBorders>
              <w:right w:val="single" w:sz="9" w:space="0" w:color="000000"/>
            </w:tcBorders>
            <w:shd w:val="clear" w:color="auto" w:fill="67ED4D"/>
          </w:tcPr>
          <w:p>
            <w:pPr>
              <w:pStyle w:val="TableParagraph"/>
              <w:spacing w:line="164" w:lineRule="exact"/>
              <w:ind w:left="34"/>
              <w:rPr>
                <w:rFonts w:ascii="Calibri"/>
                <w:sz w:val="14"/>
              </w:rPr>
            </w:pPr>
            <w:r>
              <w:rPr>
                <w:rFonts w:ascii="Calibri"/>
                <w:w w:val="99"/>
                <w:sz w:val="14"/>
              </w:rPr>
              <w:t>1</w:t>
            </w:r>
          </w:p>
        </w:tc>
      </w:tr>
      <w:tr>
        <w:trPr>
          <w:trHeight w:val="174" w:hRule="exact"/>
        </w:trPr>
        <w:tc>
          <w:tcPr>
            <w:tcW w:w="779" w:type="dxa"/>
            <w:tcBorders>
              <w:left w:val="single" w:sz="5" w:space="0" w:color="000000"/>
            </w:tcBorders>
          </w:tcPr>
          <w:p>
            <w:pPr/>
          </w:p>
        </w:tc>
        <w:tc>
          <w:tcPr>
            <w:tcW w:w="2027" w:type="dxa"/>
          </w:tcPr>
          <w:p>
            <w:pPr/>
          </w:p>
        </w:tc>
        <w:tc>
          <w:tcPr>
            <w:tcW w:w="2159" w:type="dxa"/>
          </w:tcPr>
          <w:p>
            <w:pPr>
              <w:pStyle w:val="TableParagraph"/>
              <w:spacing w:line="164" w:lineRule="exact"/>
              <w:ind w:left="411" w:right="5"/>
              <w:jc w:val="left"/>
              <w:rPr>
                <w:rFonts w:ascii="Calibri"/>
                <w:sz w:val="14"/>
              </w:rPr>
            </w:pPr>
            <w:r>
              <w:rPr>
                <w:rFonts w:ascii="Calibri"/>
                <w:sz w:val="14"/>
              </w:rPr>
              <w:t>Vialidades y calles</w:t>
            </w:r>
          </w:p>
        </w:tc>
        <w:tc>
          <w:tcPr>
            <w:tcW w:w="1601" w:type="dxa"/>
          </w:tcPr>
          <w:p>
            <w:pPr>
              <w:pStyle w:val="TableParagraph"/>
              <w:spacing w:line="164" w:lineRule="exact"/>
              <w:ind w:left="652" w:right="167"/>
              <w:rPr>
                <w:rFonts w:ascii="Calibri"/>
                <w:sz w:val="14"/>
              </w:rPr>
            </w:pPr>
            <w:r>
              <w:rPr>
                <w:rFonts w:ascii="Calibri"/>
                <w:sz w:val="14"/>
              </w:rPr>
              <w:t>0.5</w:t>
            </w:r>
          </w:p>
        </w:tc>
        <w:tc>
          <w:tcPr>
            <w:tcW w:w="792" w:type="dxa"/>
          </w:tcPr>
          <w:p>
            <w:pPr/>
          </w:p>
        </w:tc>
        <w:tc>
          <w:tcPr>
            <w:tcW w:w="743" w:type="dxa"/>
          </w:tcPr>
          <w:p>
            <w:pPr>
              <w:pStyle w:val="TableParagraph"/>
              <w:spacing w:line="164" w:lineRule="exact"/>
              <w:ind w:left="269" w:right="256"/>
              <w:rPr>
                <w:rFonts w:ascii="Calibri"/>
                <w:sz w:val="14"/>
              </w:rPr>
            </w:pPr>
            <w:r>
              <w:rPr>
                <w:rFonts w:ascii="Calibri"/>
                <w:sz w:val="14"/>
              </w:rPr>
              <w:t>0.5</w:t>
            </w:r>
          </w:p>
        </w:tc>
        <w:tc>
          <w:tcPr>
            <w:tcW w:w="718" w:type="dxa"/>
            <w:tcBorders>
              <w:right w:val="single" w:sz="9" w:space="0" w:color="000000"/>
            </w:tcBorders>
            <w:shd w:val="clear" w:color="auto" w:fill="67ED4D"/>
          </w:tcPr>
          <w:p>
            <w:pPr>
              <w:pStyle w:val="TableParagraph"/>
              <w:spacing w:line="164" w:lineRule="exact"/>
              <w:ind w:left="34"/>
              <w:rPr>
                <w:rFonts w:ascii="Calibri"/>
                <w:sz w:val="14"/>
              </w:rPr>
            </w:pPr>
            <w:r>
              <w:rPr>
                <w:rFonts w:ascii="Calibri"/>
                <w:w w:val="99"/>
                <w:sz w:val="14"/>
              </w:rPr>
              <w:t>1</w:t>
            </w:r>
          </w:p>
        </w:tc>
      </w:tr>
      <w:tr>
        <w:trPr>
          <w:trHeight w:val="172" w:hRule="exact"/>
        </w:trPr>
        <w:tc>
          <w:tcPr>
            <w:tcW w:w="779" w:type="dxa"/>
            <w:tcBorders>
              <w:left w:val="single" w:sz="5" w:space="0" w:color="000000"/>
            </w:tcBorders>
          </w:tcPr>
          <w:p>
            <w:pPr/>
          </w:p>
        </w:tc>
        <w:tc>
          <w:tcPr>
            <w:tcW w:w="2027" w:type="dxa"/>
          </w:tcPr>
          <w:p>
            <w:pPr/>
          </w:p>
        </w:tc>
        <w:tc>
          <w:tcPr>
            <w:tcW w:w="2159" w:type="dxa"/>
          </w:tcPr>
          <w:p>
            <w:pPr>
              <w:pStyle w:val="TableParagraph"/>
              <w:spacing w:line="164" w:lineRule="exact"/>
              <w:ind w:left="411" w:right="5"/>
              <w:jc w:val="left"/>
              <w:rPr>
                <w:rFonts w:ascii="Calibri" w:hAnsi="Calibri"/>
                <w:sz w:val="14"/>
              </w:rPr>
            </w:pPr>
            <w:r>
              <w:rPr>
                <w:rFonts w:ascii="Calibri" w:hAnsi="Calibri"/>
                <w:sz w:val="14"/>
              </w:rPr>
              <w:t>Señalización</w:t>
            </w:r>
          </w:p>
        </w:tc>
        <w:tc>
          <w:tcPr>
            <w:tcW w:w="1601" w:type="dxa"/>
          </w:tcPr>
          <w:p>
            <w:pPr>
              <w:pStyle w:val="TableParagraph"/>
              <w:spacing w:line="164" w:lineRule="exact"/>
              <w:ind w:left="652" w:right="167"/>
              <w:rPr>
                <w:rFonts w:ascii="Calibri"/>
                <w:sz w:val="14"/>
              </w:rPr>
            </w:pPr>
            <w:r>
              <w:rPr>
                <w:rFonts w:ascii="Calibri"/>
                <w:sz w:val="14"/>
              </w:rPr>
              <w:t>0.5</w:t>
            </w:r>
          </w:p>
        </w:tc>
        <w:tc>
          <w:tcPr>
            <w:tcW w:w="792" w:type="dxa"/>
          </w:tcPr>
          <w:p>
            <w:pPr/>
          </w:p>
        </w:tc>
        <w:tc>
          <w:tcPr>
            <w:tcW w:w="743" w:type="dxa"/>
          </w:tcPr>
          <w:p>
            <w:pPr>
              <w:pStyle w:val="TableParagraph"/>
              <w:spacing w:line="164" w:lineRule="exact"/>
              <w:ind w:left="269" w:right="256"/>
              <w:rPr>
                <w:rFonts w:ascii="Calibri"/>
                <w:sz w:val="14"/>
              </w:rPr>
            </w:pPr>
            <w:r>
              <w:rPr>
                <w:rFonts w:ascii="Calibri"/>
                <w:sz w:val="14"/>
              </w:rPr>
              <w:t>0.5</w:t>
            </w:r>
          </w:p>
        </w:tc>
        <w:tc>
          <w:tcPr>
            <w:tcW w:w="718" w:type="dxa"/>
            <w:tcBorders>
              <w:right w:val="single" w:sz="9" w:space="0" w:color="000000"/>
            </w:tcBorders>
            <w:shd w:val="clear" w:color="auto" w:fill="67ED4D"/>
          </w:tcPr>
          <w:p>
            <w:pPr>
              <w:pStyle w:val="TableParagraph"/>
              <w:spacing w:line="164" w:lineRule="exact"/>
              <w:ind w:left="34"/>
              <w:rPr>
                <w:rFonts w:ascii="Calibri"/>
                <w:sz w:val="14"/>
              </w:rPr>
            </w:pPr>
            <w:r>
              <w:rPr>
                <w:rFonts w:ascii="Calibri"/>
                <w:w w:val="99"/>
                <w:sz w:val="14"/>
              </w:rPr>
              <w:t>1</w:t>
            </w:r>
          </w:p>
        </w:tc>
      </w:tr>
      <w:tr>
        <w:trPr>
          <w:trHeight w:val="180" w:hRule="exact"/>
        </w:trPr>
        <w:tc>
          <w:tcPr>
            <w:tcW w:w="779" w:type="dxa"/>
            <w:tcBorders>
              <w:left w:val="single" w:sz="5" w:space="0" w:color="000000"/>
            </w:tcBorders>
          </w:tcPr>
          <w:p>
            <w:pPr/>
          </w:p>
        </w:tc>
        <w:tc>
          <w:tcPr>
            <w:tcW w:w="2027" w:type="dxa"/>
          </w:tcPr>
          <w:p>
            <w:pPr/>
          </w:p>
        </w:tc>
        <w:tc>
          <w:tcPr>
            <w:tcW w:w="2159" w:type="dxa"/>
          </w:tcPr>
          <w:p>
            <w:pPr/>
          </w:p>
        </w:tc>
        <w:tc>
          <w:tcPr>
            <w:tcW w:w="1601" w:type="dxa"/>
          </w:tcPr>
          <w:p>
            <w:pPr>
              <w:pStyle w:val="TableParagraph"/>
              <w:spacing w:line="165" w:lineRule="exact"/>
              <w:ind w:left="650" w:right="167"/>
              <w:rPr>
                <w:rFonts w:ascii="Calibri"/>
                <w:sz w:val="14"/>
              </w:rPr>
            </w:pPr>
            <w:r>
              <w:rPr>
                <w:rFonts w:ascii="Calibri"/>
                <w:sz w:val="14"/>
              </w:rPr>
              <w:t>Subtotal</w:t>
            </w:r>
          </w:p>
        </w:tc>
        <w:tc>
          <w:tcPr>
            <w:tcW w:w="792" w:type="dxa"/>
          </w:tcPr>
          <w:p>
            <w:pPr>
              <w:pStyle w:val="TableParagraph"/>
              <w:tabs>
                <w:tab w:pos="467" w:val="left" w:leader="none"/>
                <w:tab w:pos="803" w:val="left" w:leader="none"/>
              </w:tabs>
              <w:spacing w:line="165" w:lineRule="exact"/>
              <w:ind w:left="189" w:right="-12"/>
              <w:jc w:val="left"/>
              <w:rPr>
                <w:rFonts w:ascii="Calibri"/>
                <w:sz w:val="14"/>
              </w:rPr>
            </w:pPr>
            <w:r>
              <w:rPr>
                <w:rFonts w:ascii="Times New Roman"/>
                <w:w w:val="99"/>
                <w:sz w:val="14"/>
                <w:shd w:fill="F79646" w:color="auto" w:val="clear"/>
              </w:rPr>
              <w:t> </w:t>
            </w:r>
            <w:r>
              <w:rPr>
                <w:rFonts w:ascii="Times New Roman"/>
                <w:sz w:val="14"/>
                <w:shd w:fill="F79646" w:color="auto" w:val="clear"/>
              </w:rPr>
              <w:tab/>
            </w:r>
            <w:r>
              <w:rPr>
                <w:rFonts w:ascii="Calibri"/>
                <w:sz w:val="14"/>
                <w:shd w:fill="F79646" w:color="auto" w:val="clear"/>
              </w:rPr>
              <w:t>3</w:t>
              <w:tab/>
            </w:r>
          </w:p>
        </w:tc>
        <w:tc>
          <w:tcPr>
            <w:tcW w:w="743" w:type="dxa"/>
          </w:tcPr>
          <w:p>
            <w:pPr>
              <w:pStyle w:val="TableParagraph"/>
              <w:spacing w:line="165" w:lineRule="exact"/>
              <w:ind w:left="269" w:right="256"/>
              <w:rPr>
                <w:rFonts w:ascii="Calibri"/>
                <w:sz w:val="14"/>
              </w:rPr>
            </w:pPr>
            <w:r>
              <w:rPr>
                <w:rFonts w:ascii="Calibri"/>
                <w:sz w:val="14"/>
              </w:rPr>
              <w:t>3.5</w:t>
            </w:r>
          </w:p>
        </w:tc>
        <w:tc>
          <w:tcPr>
            <w:tcW w:w="718" w:type="dxa"/>
            <w:tcBorders>
              <w:right w:val="single" w:sz="9" w:space="0" w:color="000000"/>
            </w:tcBorders>
            <w:shd w:val="clear" w:color="auto" w:fill="67ED4D"/>
          </w:tcPr>
          <w:p>
            <w:pPr>
              <w:pStyle w:val="TableParagraph"/>
              <w:spacing w:line="165" w:lineRule="exact"/>
              <w:ind w:left="34"/>
              <w:rPr>
                <w:rFonts w:ascii="Calibri"/>
                <w:sz w:val="14"/>
              </w:rPr>
            </w:pPr>
            <w:r>
              <w:rPr>
                <w:rFonts w:ascii="Calibri"/>
                <w:w w:val="99"/>
                <w:sz w:val="14"/>
              </w:rPr>
              <w:t>7</w:t>
            </w:r>
          </w:p>
        </w:tc>
      </w:tr>
      <w:tr>
        <w:trPr>
          <w:trHeight w:val="162" w:hRule="exact"/>
        </w:trPr>
        <w:tc>
          <w:tcPr>
            <w:tcW w:w="8820" w:type="dxa"/>
            <w:gridSpan w:val="7"/>
            <w:tcBorders>
              <w:left w:val="single" w:sz="5" w:space="0" w:color="000000"/>
              <w:right w:val="single" w:sz="9" w:space="0" w:color="000000"/>
            </w:tcBorders>
          </w:tcPr>
          <w:p>
            <w:pPr/>
          </w:p>
        </w:tc>
      </w:tr>
      <w:tr>
        <w:trPr>
          <w:trHeight w:val="181" w:hRule="exact"/>
        </w:trPr>
        <w:tc>
          <w:tcPr>
            <w:tcW w:w="779" w:type="dxa"/>
            <w:tcBorders>
              <w:left w:val="single" w:sz="5" w:space="0" w:color="000000"/>
            </w:tcBorders>
          </w:tcPr>
          <w:p>
            <w:pPr/>
          </w:p>
        </w:tc>
        <w:tc>
          <w:tcPr>
            <w:tcW w:w="2027" w:type="dxa"/>
          </w:tcPr>
          <w:p>
            <w:pPr/>
          </w:p>
        </w:tc>
        <w:tc>
          <w:tcPr>
            <w:tcW w:w="2159" w:type="dxa"/>
          </w:tcPr>
          <w:p>
            <w:pPr>
              <w:pStyle w:val="TableParagraph"/>
              <w:ind w:left="411" w:right="5"/>
              <w:jc w:val="left"/>
              <w:rPr>
                <w:rFonts w:ascii="Calibri"/>
                <w:sz w:val="14"/>
              </w:rPr>
            </w:pPr>
            <w:r>
              <w:rPr>
                <w:rFonts w:ascii="Calibri"/>
                <w:sz w:val="14"/>
              </w:rPr>
              <w:t>Superficie</w:t>
            </w:r>
          </w:p>
        </w:tc>
        <w:tc>
          <w:tcPr>
            <w:tcW w:w="1601" w:type="dxa"/>
          </w:tcPr>
          <w:p>
            <w:pPr>
              <w:pStyle w:val="TableParagraph"/>
              <w:ind w:left="496"/>
              <w:rPr>
                <w:rFonts w:ascii="Calibri"/>
                <w:sz w:val="14"/>
              </w:rPr>
            </w:pPr>
            <w:r>
              <w:rPr>
                <w:rFonts w:ascii="Calibri"/>
                <w:w w:val="99"/>
                <w:sz w:val="14"/>
              </w:rPr>
              <w:t>1</w:t>
            </w:r>
          </w:p>
        </w:tc>
        <w:tc>
          <w:tcPr>
            <w:tcW w:w="792" w:type="dxa"/>
          </w:tcPr>
          <w:p>
            <w:pPr/>
          </w:p>
        </w:tc>
        <w:tc>
          <w:tcPr>
            <w:tcW w:w="743" w:type="dxa"/>
          </w:tcPr>
          <w:p>
            <w:pPr>
              <w:pStyle w:val="TableParagraph"/>
              <w:ind w:left="23"/>
              <w:rPr>
                <w:rFonts w:ascii="Calibri"/>
                <w:sz w:val="14"/>
              </w:rPr>
            </w:pPr>
            <w:r>
              <w:rPr>
                <w:rFonts w:ascii="Calibri"/>
                <w:w w:val="99"/>
                <w:sz w:val="14"/>
              </w:rPr>
              <w:t>1</w:t>
            </w:r>
          </w:p>
        </w:tc>
        <w:tc>
          <w:tcPr>
            <w:tcW w:w="718" w:type="dxa"/>
            <w:tcBorders>
              <w:right w:val="single" w:sz="9" w:space="0" w:color="000000"/>
            </w:tcBorders>
            <w:shd w:val="clear" w:color="auto" w:fill="67ED4D"/>
          </w:tcPr>
          <w:p>
            <w:pPr>
              <w:pStyle w:val="TableParagraph"/>
              <w:ind w:left="34"/>
              <w:rPr>
                <w:rFonts w:ascii="Calibri"/>
                <w:sz w:val="14"/>
              </w:rPr>
            </w:pPr>
            <w:r>
              <w:rPr>
                <w:rFonts w:ascii="Calibri"/>
                <w:w w:val="99"/>
                <w:sz w:val="14"/>
              </w:rPr>
              <w:t>1</w:t>
            </w:r>
          </w:p>
        </w:tc>
      </w:tr>
      <w:tr>
        <w:trPr>
          <w:trHeight w:val="174" w:hRule="exact"/>
        </w:trPr>
        <w:tc>
          <w:tcPr>
            <w:tcW w:w="779" w:type="dxa"/>
            <w:tcBorders>
              <w:left w:val="single" w:sz="5" w:space="0" w:color="000000"/>
            </w:tcBorders>
          </w:tcPr>
          <w:p>
            <w:pPr>
              <w:pStyle w:val="TableParagraph"/>
              <w:spacing w:line="164" w:lineRule="exact"/>
              <w:ind w:left="93" w:right="51"/>
              <w:rPr>
                <w:rFonts w:ascii="Calibri"/>
                <w:sz w:val="14"/>
              </w:rPr>
            </w:pPr>
            <w:r>
              <w:rPr>
                <w:rFonts w:ascii="Calibri"/>
                <w:sz w:val="14"/>
              </w:rPr>
              <w:t>Ambiental</w:t>
            </w:r>
          </w:p>
        </w:tc>
        <w:tc>
          <w:tcPr>
            <w:tcW w:w="2027" w:type="dxa"/>
          </w:tcPr>
          <w:p>
            <w:pPr>
              <w:pStyle w:val="TableParagraph"/>
              <w:spacing w:line="164" w:lineRule="exact"/>
              <w:ind w:left="73"/>
              <w:jc w:val="left"/>
              <w:rPr>
                <w:rFonts w:ascii="Calibri" w:hAnsi="Calibri"/>
                <w:sz w:val="14"/>
              </w:rPr>
            </w:pPr>
            <w:r>
              <w:rPr>
                <w:rFonts w:ascii="Calibri" w:hAnsi="Calibri"/>
                <w:sz w:val="14"/>
              </w:rPr>
              <w:t>Áreas verdes</w:t>
            </w:r>
          </w:p>
        </w:tc>
        <w:tc>
          <w:tcPr>
            <w:tcW w:w="2159" w:type="dxa"/>
          </w:tcPr>
          <w:p>
            <w:pPr>
              <w:pStyle w:val="TableParagraph"/>
              <w:spacing w:line="164" w:lineRule="exact"/>
              <w:ind w:left="411" w:right="5"/>
              <w:jc w:val="left"/>
              <w:rPr>
                <w:rFonts w:ascii="Calibri" w:hAnsi="Calibri"/>
                <w:sz w:val="14"/>
              </w:rPr>
            </w:pPr>
            <w:r>
              <w:rPr>
                <w:rFonts w:ascii="Calibri" w:hAnsi="Calibri"/>
                <w:sz w:val="14"/>
              </w:rPr>
              <w:t>Índice OMS</w:t>
            </w:r>
          </w:p>
        </w:tc>
        <w:tc>
          <w:tcPr>
            <w:tcW w:w="1601" w:type="dxa"/>
          </w:tcPr>
          <w:p>
            <w:pPr>
              <w:pStyle w:val="TableParagraph"/>
              <w:spacing w:line="164" w:lineRule="exact"/>
              <w:ind w:left="652" w:right="167"/>
              <w:rPr>
                <w:rFonts w:ascii="Calibri"/>
                <w:sz w:val="14"/>
              </w:rPr>
            </w:pPr>
            <w:r>
              <w:rPr>
                <w:rFonts w:ascii="Calibri"/>
                <w:sz w:val="14"/>
              </w:rPr>
              <w:t>0.5</w:t>
            </w:r>
          </w:p>
        </w:tc>
        <w:tc>
          <w:tcPr>
            <w:tcW w:w="792" w:type="dxa"/>
          </w:tcPr>
          <w:p>
            <w:pPr/>
          </w:p>
        </w:tc>
        <w:tc>
          <w:tcPr>
            <w:tcW w:w="743" w:type="dxa"/>
          </w:tcPr>
          <w:p>
            <w:pPr>
              <w:pStyle w:val="TableParagraph"/>
              <w:spacing w:line="164" w:lineRule="exact"/>
              <w:ind w:left="269" w:right="256"/>
              <w:rPr>
                <w:rFonts w:ascii="Calibri"/>
                <w:sz w:val="14"/>
              </w:rPr>
            </w:pPr>
            <w:r>
              <w:rPr>
                <w:rFonts w:ascii="Calibri"/>
                <w:sz w:val="14"/>
              </w:rPr>
              <w:t>0.8</w:t>
            </w:r>
          </w:p>
        </w:tc>
        <w:tc>
          <w:tcPr>
            <w:tcW w:w="718" w:type="dxa"/>
            <w:tcBorders>
              <w:right w:val="single" w:sz="9" w:space="0" w:color="000000"/>
            </w:tcBorders>
            <w:shd w:val="clear" w:color="auto" w:fill="67ED4D"/>
          </w:tcPr>
          <w:p>
            <w:pPr>
              <w:pStyle w:val="TableParagraph"/>
              <w:spacing w:line="164" w:lineRule="exact"/>
              <w:ind w:left="34"/>
              <w:rPr>
                <w:rFonts w:ascii="Calibri"/>
                <w:sz w:val="14"/>
              </w:rPr>
            </w:pPr>
            <w:r>
              <w:rPr>
                <w:rFonts w:ascii="Calibri"/>
                <w:w w:val="99"/>
                <w:sz w:val="14"/>
              </w:rPr>
              <w:t>1</w:t>
            </w:r>
          </w:p>
        </w:tc>
      </w:tr>
      <w:tr>
        <w:trPr>
          <w:trHeight w:val="174" w:hRule="exact"/>
        </w:trPr>
        <w:tc>
          <w:tcPr>
            <w:tcW w:w="779" w:type="dxa"/>
            <w:tcBorders>
              <w:left w:val="single" w:sz="5" w:space="0" w:color="000000"/>
            </w:tcBorders>
          </w:tcPr>
          <w:p>
            <w:pPr/>
          </w:p>
        </w:tc>
        <w:tc>
          <w:tcPr>
            <w:tcW w:w="2027" w:type="dxa"/>
          </w:tcPr>
          <w:p>
            <w:pPr/>
          </w:p>
        </w:tc>
        <w:tc>
          <w:tcPr>
            <w:tcW w:w="2159" w:type="dxa"/>
          </w:tcPr>
          <w:p>
            <w:pPr>
              <w:pStyle w:val="TableParagraph"/>
              <w:spacing w:line="164" w:lineRule="exact"/>
              <w:ind w:left="411" w:right="5"/>
              <w:jc w:val="left"/>
              <w:rPr>
                <w:rFonts w:ascii="Calibri" w:hAnsi="Calibri"/>
                <w:sz w:val="14"/>
              </w:rPr>
            </w:pPr>
            <w:r>
              <w:rPr>
                <w:rFonts w:ascii="Calibri" w:hAnsi="Calibri"/>
                <w:sz w:val="14"/>
              </w:rPr>
              <w:t>Índice ONU</w:t>
            </w:r>
          </w:p>
        </w:tc>
        <w:tc>
          <w:tcPr>
            <w:tcW w:w="1601" w:type="dxa"/>
          </w:tcPr>
          <w:p>
            <w:pPr>
              <w:pStyle w:val="TableParagraph"/>
              <w:spacing w:line="164" w:lineRule="exact"/>
              <w:ind w:left="652" w:right="167"/>
              <w:rPr>
                <w:rFonts w:ascii="Calibri"/>
                <w:sz w:val="14"/>
              </w:rPr>
            </w:pPr>
            <w:r>
              <w:rPr>
                <w:rFonts w:ascii="Calibri"/>
                <w:sz w:val="14"/>
              </w:rPr>
              <w:t>0.5</w:t>
            </w:r>
          </w:p>
        </w:tc>
        <w:tc>
          <w:tcPr>
            <w:tcW w:w="792" w:type="dxa"/>
          </w:tcPr>
          <w:p>
            <w:pPr/>
          </w:p>
        </w:tc>
        <w:tc>
          <w:tcPr>
            <w:tcW w:w="743" w:type="dxa"/>
          </w:tcPr>
          <w:p>
            <w:pPr>
              <w:pStyle w:val="TableParagraph"/>
              <w:spacing w:line="164" w:lineRule="exact"/>
              <w:ind w:left="269" w:right="256"/>
              <w:rPr>
                <w:rFonts w:ascii="Calibri"/>
                <w:sz w:val="14"/>
              </w:rPr>
            </w:pPr>
            <w:r>
              <w:rPr>
                <w:rFonts w:ascii="Calibri"/>
                <w:sz w:val="14"/>
              </w:rPr>
              <w:t>0.8</w:t>
            </w:r>
          </w:p>
        </w:tc>
        <w:tc>
          <w:tcPr>
            <w:tcW w:w="718" w:type="dxa"/>
            <w:tcBorders>
              <w:right w:val="single" w:sz="9" w:space="0" w:color="000000"/>
            </w:tcBorders>
            <w:shd w:val="clear" w:color="auto" w:fill="67ED4D"/>
          </w:tcPr>
          <w:p>
            <w:pPr>
              <w:pStyle w:val="TableParagraph"/>
              <w:spacing w:line="164" w:lineRule="exact"/>
              <w:ind w:left="34"/>
              <w:rPr>
                <w:rFonts w:ascii="Calibri"/>
                <w:sz w:val="14"/>
              </w:rPr>
            </w:pPr>
            <w:r>
              <w:rPr>
                <w:rFonts w:ascii="Calibri"/>
                <w:w w:val="99"/>
                <w:sz w:val="14"/>
              </w:rPr>
              <w:t>1</w:t>
            </w:r>
          </w:p>
        </w:tc>
      </w:tr>
      <w:tr>
        <w:trPr>
          <w:trHeight w:val="178" w:hRule="exact"/>
        </w:trPr>
        <w:tc>
          <w:tcPr>
            <w:tcW w:w="779" w:type="dxa"/>
            <w:tcBorders>
              <w:left w:val="single" w:sz="5" w:space="0" w:color="000000"/>
            </w:tcBorders>
          </w:tcPr>
          <w:p>
            <w:pPr/>
          </w:p>
        </w:tc>
        <w:tc>
          <w:tcPr>
            <w:tcW w:w="2027" w:type="dxa"/>
          </w:tcPr>
          <w:p>
            <w:pPr/>
          </w:p>
        </w:tc>
        <w:tc>
          <w:tcPr>
            <w:tcW w:w="2159" w:type="dxa"/>
          </w:tcPr>
          <w:p>
            <w:pPr/>
          </w:p>
        </w:tc>
        <w:tc>
          <w:tcPr>
            <w:tcW w:w="1601" w:type="dxa"/>
          </w:tcPr>
          <w:p>
            <w:pPr>
              <w:pStyle w:val="TableParagraph"/>
              <w:spacing w:line="165" w:lineRule="exact"/>
              <w:ind w:left="650" w:right="167"/>
              <w:rPr>
                <w:rFonts w:ascii="Calibri"/>
                <w:sz w:val="14"/>
              </w:rPr>
            </w:pPr>
            <w:r>
              <w:rPr>
                <w:rFonts w:ascii="Calibri"/>
                <w:sz w:val="14"/>
              </w:rPr>
              <w:t>Subtotal</w:t>
            </w:r>
          </w:p>
        </w:tc>
        <w:tc>
          <w:tcPr>
            <w:tcW w:w="792" w:type="dxa"/>
          </w:tcPr>
          <w:p>
            <w:pPr>
              <w:pStyle w:val="TableParagraph"/>
              <w:tabs>
                <w:tab w:pos="467" w:val="left" w:leader="none"/>
                <w:tab w:pos="803" w:val="left" w:leader="none"/>
              </w:tabs>
              <w:spacing w:line="165" w:lineRule="exact"/>
              <w:ind w:left="189" w:right="-12"/>
              <w:jc w:val="left"/>
              <w:rPr>
                <w:rFonts w:ascii="Calibri"/>
                <w:sz w:val="14"/>
              </w:rPr>
            </w:pPr>
            <w:r>
              <w:rPr>
                <w:rFonts w:ascii="Times New Roman"/>
                <w:w w:val="99"/>
                <w:sz w:val="14"/>
                <w:shd w:fill="F79646" w:color="auto" w:val="clear"/>
              </w:rPr>
              <w:t> </w:t>
            </w:r>
            <w:r>
              <w:rPr>
                <w:rFonts w:ascii="Times New Roman"/>
                <w:sz w:val="14"/>
                <w:shd w:fill="F79646" w:color="auto" w:val="clear"/>
              </w:rPr>
              <w:tab/>
            </w:r>
            <w:r>
              <w:rPr>
                <w:rFonts w:ascii="Calibri"/>
                <w:sz w:val="14"/>
                <w:shd w:fill="F79646" w:color="auto" w:val="clear"/>
              </w:rPr>
              <w:t>2</w:t>
              <w:tab/>
            </w:r>
          </w:p>
        </w:tc>
        <w:tc>
          <w:tcPr>
            <w:tcW w:w="743" w:type="dxa"/>
          </w:tcPr>
          <w:p>
            <w:pPr>
              <w:pStyle w:val="TableParagraph"/>
              <w:spacing w:line="165" w:lineRule="exact"/>
              <w:ind w:left="269" w:right="256"/>
              <w:rPr>
                <w:rFonts w:ascii="Calibri"/>
                <w:sz w:val="14"/>
              </w:rPr>
            </w:pPr>
            <w:r>
              <w:rPr>
                <w:rFonts w:ascii="Calibri"/>
                <w:sz w:val="14"/>
              </w:rPr>
              <w:t>2.6</w:t>
            </w:r>
          </w:p>
        </w:tc>
        <w:tc>
          <w:tcPr>
            <w:tcW w:w="718" w:type="dxa"/>
            <w:tcBorders>
              <w:right w:val="single" w:sz="9" w:space="0" w:color="000000"/>
            </w:tcBorders>
            <w:shd w:val="clear" w:color="auto" w:fill="67ED4D"/>
          </w:tcPr>
          <w:p>
            <w:pPr>
              <w:pStyle w:val="TableParagraph"/>
              <w:spacing w:line="164" w:lineRule="exact"/>
              <w:ind w:left="34"/>
              <w:rPr>
                <w:rFonts w:ascii="Calibri"/>
                <w:sz w:val="14"/>
              </w:rPr>
            </w:pPr>
            <w:r>
              <w:rPr>
                <w:rFonts w:ascii="Calibri"/>
                <w:w w:val="99"/>
                <w:sz w:val="14"/>
              </w:rPr>
              <w:t>3</w:t>
            </w:r>
          </w:p>
        </w:tc>
      </w:tr>
      <w:tr>
        <w:trPr>
          <w:trHeight w:val="162" w:hRule="exact"/>
        </w:trPr>
        <w:tc>
          <w:tcPr>
            <w:tcW w:w="8820" w:type="dxa"/>
            <w:gridSpan w:val="7"/>
            <w:tcBorders>
              <w:left w:val="single" w:sz="5" w:space="0" w:color="000000"/>
              <w:right w:val="single" w:sz="9" w:space="0" w:color="000000"/>
            </w:tcBorders>
          </w:tcPr>
          <w:p>
            <w:pPr/>
          </w:p>
        </w:tc>
      </w:tr>
      <w:tr>
        <w:trPr>
          <w:trHeight w:val="181" w:hRule="exact"/>
        </w:trPr>
        <w:tc>
          <w:tcPr>
            <w:tcW w:w="779" w:type="dxa"/>
            <w:vMerge w:val="restart"/>
            <w:tcBorders>
              <w:left w:val="single" w:sz="5" w:space="0" w:color="000000"/>
            </w:tcBorders>
          </w:tcPr>
          <w:p>
            <w:pPr/>
          </w:p>
        </w:tc>
        <w:tc>
          <w:tcPr>
            <w:tcW w:w="2027" w:type="dxa"/>
          </w:tcPr>
          <w:p>
            <w:pPr/>
          </w:p>
        </w:tc>
        <w:tc>
          <w:tcPr>
            <w:tcW w:w="2159" w:type="dxa"/>
          </w:tcPr>
          <w:p>
            <w:pPr>
              <w:pStyle w:val="TableParagraph"/>
              <w:ind w:left="411" w:right="5"/>
              <w:jc w:val="left"/>
              <w:rPr>
                <w:rFonts w:ascii="Calibri" w:hAnsi="Calibri"/>
                <w:sz w:val="14"/>
              </w:rPr>
            </w:pPr>
            <w:r>
              <w:rPr>
                <w:rFonts w:ascii="Calibri" w:hAnsi="Calibri"/>
                <w:sz w:val="14"/>
              </w:rPr>
              <w:t>Separación</w:t>
            </w:r>
          </w:p>
        </w:tc>
        <w:tc>
          <w:tcPr>
            <w:tcW w:w="1601" w:type="dxa"/>
          </w:tcPr>
          <w:p>
            <w:pPr>
              <w:pStyle w:val="TableParagraph"/>
              <w:ind w:left="496"/>
              <w:rPr>
                <w:rFonts w:ascii="Calibri"/>
                <w:sz w:val="14"/>
              </w:rPr>
            </w:pPr>
            <w:r>
              <w:rPr>
                <w:rFonts w:ascii="Calibri"/>
                <w:w w:val="99"/>
                <w:sz w:val="14"/>
              </w:rPr>
              <w:t>0</w:t>
            </w:r>
          </w:p>
        </w:tc>
        <w:tc>
          <w:tcPr>
            <w:tcW w:w="792" w:type="dxa"/>
          </w:tcPr>
          <w:p>
            <w:pPr/>
          </w:p>
        </w:tc>
        <w:tc>
          <w:tcPr>
            <w:tcW w:w="743" w:type="dxa"/>
          </w:tcPr>
          <w:p>
            <w:pPr>
              <w:pStyle w:val="TableParagraph"/>
              <w:ind w:left="23"/>
              <w:rPr>
                <w:rFonts w:ascii="Calibri"/>
                <w:sz w:val="14"/>
              </w:rPr>
            </w:pPr>
            <w:r>
              <w:rPr>
                <w:rFonts w:ascii="Calibri"/>
                <w:w w:val="99"/>
                <w:sz w:val="14"/>
              </w:rPr>
              <w:t>1</w:t>
            </w:r>
          </w:p>
        </w:tc>
        <w:tc>
          <w:tcPr>
            <w:tcW w:w="718" w:type="dxa"/>
            <w:tcBorders>
              <w:right w:val="single" w:sz="9" w:space="0" w:color="000000"/>
            </w:tcBorders>
            <w:shd w:val="clear" w:color="auto" w:fill="67ED4D"/>
          </w:tcPr>
          <w:p>
            <w:pPr>
              <w:pStyle w:val="TableParagraph"/>
              <w:ind w:left="34"/>
              <w:rPr>
                <w:rFonts w:ascii="Calibri"/>
                <w:sz w:val="14"/>
              </w:rPr>
            </w:pPr>
            <w:r>
              <w:rPr>
                <w:rFonts w:ascii="Calibri"/>
                <w:w w:val="99"/>
                <w:sz w:val="14"/>
              </w:rPr>
              <w:t>1</w:t>
            </w:r>
          </w:p>
        </w:tc>
      </w:tr>
      <w:tr>
        <w:trPr>
          <w:trHeight w:val="174" w:hRule="exact"/>
        </w:trPr>
        <w:tc>
          <w:tcPr>
            <w:tcW w:w="779" w:type="dxa"/>
            <w:vMerge/>
            <w:tcBorders>
              <w:left w:val="single" w:sz="5" w:space="0" w:color="000000"/>
            </w:tcBorders>
          </w:tcPr>
          <w:p>
            <w:pPr/>
          </w:p>
        </w:tc>
        <w:tc>
          <w:tcPr>
            <w:tcW w:w="2027" w:type="dxa"/>
          </w:tcPr>
          <w:p>
            <w:pPr>
              <w:pStyle w:val="TableParagraph"/>
              <w:spacing w:line="164" w:lineRule="exact"/>
              <w:ind w:left="73"/>
              <w:jc w:val="left"/>
              <w:rPr>
                <w:rFonts w:ascii="Calibri"/>
                <w:sz w:val="14"/>
              </w:rPr>
            </w:pPr>
            <w:r>
              <w:rPr>
                <w:rFonts w:ascii="Calibri"/>
                <w:sz w:val="14"/>
              </w:rPr>
              <w:t>Manejo de residuos solidos</w:t>
            </w:r>
          </w:p>
        </w:tc>
        <w:tc>
          <w:tcPr>
            <w:tcW w:w="2159" w:type="dxa"/>
          </w:tcPr>
          <w:p>
            <w:pPr>
              <w:pStyle w:val="TableParagraph"/>
              <w:spacing w:line="164" w:lineRule="exact"/>
              <w:ind w:left="411" w:right="5"/>
              <w:jc w:val="left"/>
              <w:rPr>
                <w:rFonts w:ascii="Calibri" w:hAnsi="Calibri"/>
                <w:sz w:val="14"/>
              </w:rPr>
            </w:pPr>
            <w:r>
              <w:rPr>
                <w:rFonts w:ascii="Calibri" w:hAnsi="Calibri"/>
                <w:sz w:val="14"/>
              </w:rPr>
              <w:t>Recolección</w:t>
            </w:r>
          </w:p>
        </w:tc>
        <w:tc>
          <w:tcPr>
            <w:tcW w:w="1601" w:type="dxa"/>
          </w:tcPr>
          <w:p>
            <w:pPr>
              <w:pStyle w:val="TableParagraph"/>
              <w:spacing w:line="164" w:lineRule="exact"/>
              <w:ind w:left="652" w:right="167"/>
              <w:rPr>
                <w:rFonts w:ascii="Calibri"/>
                <w:sz w:val="14"/>
              </w:rPr>
            </w:pPr>
            <w:r>
              <w:rPr>
                <w:rFonts w:ascii="Calibri"/>
                <w:sz w:val="14"/>
              </w:rPr>
              <w:t>0.6</w:t>
            </w:r>
          </w:p>
        </w:tc>
        <w:tc>
          <w:tcPr>
            <w:tcW w:w="792" w:type="dxa"/>
          </w:tcPr>
          <w:p>
            <w:pPr/>
          </w:p>
        </w:tc>
        <w:tc>
          <w:tcPr>
            <w:tcW w:w="743" w:type="dxa"/>
          </w:tcPr>
          <w:p>
            <w:pPr>
              <w:pStyle w:val="TableParagraph"/>
              <w:spacing w:line="164" w:lineRule="exact"/>
              <w:ind w:left="23"/>
              <w:rPr>
                <w:rFonts w:ascii="Calibri"/>
                <w:sz w:val="14"/>
              </w:rPr>
            </w:pPr>
            <w:r>
              <w:rPr>
                <w:rFonts w:ascii="Calibri"/>
                <w:w w:val="99"/>
                <w:sz w:val="14"/>
              </w:rPr>
              <w:t>1</w:t>
            </w:r>
          </w:p>
        </w:tc>
        <w:tc>
          <w:tcPr>
            <w:tcW w:w="718" w:type="dxa"/>
            <w:tcBorders>
              <w:right w:val="single" w:sz="9" w:space="0" w:color="000000"/>
            </w:tcBorders>
            <w:shd w:val="clear" w:color="auto" w:fill="67ED4D"/>
          </w:tcPr>
          <w:p>
            <w:pPr>
              <w:pStyle w:val="TableParagraph"/>
              <w:spacing w:line="164" w:lineRule="exact"/>
              <w:ind w:left="34"/>
              <w:rPr>
                <w:rFonts w:ascii="Calibri"/>
                <w:sz w:val="14"/>
              </w:rPr>
            </w:pPr>
            <w:r>
              <w:rPr>
                <w:rFonts w:ascii="Calibri"/>
                <w:w w:val="99"/>
                <w:sz w:val="14"/>
              </w:rPr>
              <w:t>1</w:t>
            </w:r>
          </w:p>
        </w:tc>
      </w:tr>
      <w:tr>
        <w:trPr>
          <w:trHeight w:val="174" w:hRule="exact"/>
        </w:trPr>
        <w:tc>
          <w:tcPr>
            <w:tcW w:w="779" w:type="dxa"/>
            <w:vMerge/>
            <w:tcBorders>
              <w:left w:val="single" w:sz="5" w:space="0" w:color="000000"/>
            </w:tcBorders>
          </w:tcPr>
          <w:p>
            <w:pPr/>
          </w:p>
        </w:tc>
        <w:tc>
          <w:tcPr>
            <w:tcW w:w="2027" w:type="dxa"/>
          </w:tcPr>
          <w:p>
            <w:pPr/>
          </w:p>
        </w:tc>
        <w:tc>
          <w:tcPr>
            <w:tcW w:w="2159" w:type="dxa"/>
          </w:tcPr>
          <w:p>
            <w:pPr>
              <w:pStyle w:val="TableParagraph"/>
              <w:spacing w:line="164" w:lineRule="exact"/>
              <w:ind w:left="411" w:right="5"/>
              <w:jc w:val="left"/>
              <w:rPr>
                <w:rFonts w:ascii="Calibri" w:hAnsi="Calibri"/>
                <w:sz w:val="14"/>
              </w:rPr>
            </w:pPr>
            <w:r>
              <w:rPr>
                <w:rFonts w:ascii="Calibri" w:hAnsi="Calibri"/>
                <w:sz w:val="14"/>
              </w:rPr>
              <w:t>Disposición</w:t>
            </w:r>
          </w:p>
        </w:tc>
        <w:tc>
          <w:tcPr>
            <w:tcW w:w="1601" w:type="dxa"/>
          </w:tcPr>
          <w:p>
            <w:pPr>
              <w:pStyle w:val="TableParagraph"/>
              <w:spacing w:line="164" w:lineRule="exact"/>
              <w:ind w:left="652" w:right="167"/>
              <w:rPr>
                <w:rFonts w:ascii="Calibri"/>
                <w:sz w:val="14"/>
              </w:rPr>
            </w:pPr>
            <w:r>
              <w:rPr>
                <w:rFonts w:ascii="Calibri"/>
                <w:sz w:val="14"/>
              </w:rPr>
              <w:t>0.5</w:t>
            </w:r>
          </w:p>
        </w:tc>
        <w:tc>
          <w:tcPr>
            <w:tcW w:w="792" w:type="dxa"/>
          </w:tcPr>
          <w:p>
            <w:pPr/>
          </w:p>
        </w:tc>
        <w:tc>
          <w:tcPr>
            <w:tcW w:w="743" w:type="dxa"/>
          </w:tcPr>
          <w:p>
            <w:pPr>
              <w:pStyle w:val="TableParagraph"/>
              <w:spacing w:line="164" w:lineRule="exact"/>
              <w:ind w:left="269" w:right="256"/>
              <w:rPr>
                <w:rFonts w:ascii="Calibri"/>
                <w:sz w:val="14"/>
              </w:rPr>
            </w:pPr>
            <w:r>
              <w:rPr>
                <w:rFonts w:ascii="Calibri"/>
                <w:sz w:val="14"/>
              </w:rPr>
              <w:t>0.8</w:t>
            </w:r>
          </w:p>
        </w:tc>
        <w:tc>
          <w:tcPr>
            <w:tcW w:w="718" w:type="dxa"/>
            <w:tcBorders>
              <w:right w:val="single" w:sz="9" w:space="0" w:color="000000"/>
            </w:tcBorders>
            <w:shd w:val="clear" w:color="auto" w:fill="67ED4D"/>
          </w:tcPr>
          <w:p>
            <w:pPr>
              <w:pStyle w:val="TableParagraph"/>
              <w:spacing w:line="164" w:lineRule="exact"/>
              <w:ind w:left="34"/>
              <w:rPr>
                <w:rFonts w:ascii="Calibri"/>
                <w:sz w:val="14"/>
              </w:rPr>
            </w:pPr>
            <w:r>
              <w:rPr>
                <w:rFonts w:ascii="Calibri"/>
                <w:w w:val="99"/>
                <w:sz w:val="14"/>
              </w:rPr>
              <w:t>1</w:t>
            </w:r>
          </w:p>
        </w:tc>
      </w:tr>
      <w:tr>
        <w:trPr>
          <w:trHeight w:val="178" w:hRule="exact"/>
        </w:trPr>
        <w:tc>
          <w:tcPr>
            <w:tcW w:w="779" w:type="dxa"/>
            <w:vMerge/>
            <w:tcBorders>
              <w:left w:val="single" w:sz="5" w:space="0" w:color="000000"/>
            </w:tcBorders>
          </w:tcPr>
          <w:p>
            <w:pPr/>
          </w:p>
        </w:tc>
        <w:tc>
          <w:tcPr>
            <w:tcW w:w="2027" w:type="dxa"/>
          </w:tcPr>
          <w:p>
            <w:pPr/>
          </w:p>
        </w:tc>
        <w:tc>
          <w:tcPr>
            <w:tcW w:w="2159" w:type="dxa"/>
          </w:tcPr>
          <w:p>
            <w:pPr/>
          </w:p>
        </w:tc>
        <w:tc>
          <w:tcPr>
            <w:tcW w:w="1601" w:type="dxa"/>
          </w:tcPr>
          <w:p>
            <w:pPr>
              <w:pStyle w:val="TableParagraph"/>
              <w:spacing w:line="165" w:lineRule="exact"/>
              <w:ind w:left="650" w:right="167"/>
              <w:rPr>
                <w:rFonts w:ascii="Calibri"/>
                <w:sz w:val="14"/>
              </w:rPr>
            </w:pPr>
            <w:r>
              <w:rPr>
                <w:rFonts w:ascii="Calibri"/>
                <w:sz w:val="14"/>
              </w:rPr>
              <w:t>Subtotal</w:t>
            </w:r>
          </w:p>
        </w:tc>
        <w:tc>
          <w:tcPr>
            <w:tcW w:w="792" w:type="dxa"/>
          </w:tcPr>
          <w:p>
            <w:pPr>
              <w:pStyle w:val="TableParagraph"/>
              <w:tabs>
                <w:tab w:pos="803" w:val="left" w:leader="none"/>
              </w:tabs>
              <w:spacing w:line="165" w:lineRule="exact"/>
              <w:ind w:left="189" w:right="-12"/>
              <w:jc w:val="left"/>
              <w:rPr>
                <w:rFonts w:ascii="Calibri"/>
                <w:sz w:val="14"/>
              </w:rPr>
            </w:pPr>
            <w:r>
              <w:rPr>
                <w:rFonts w:ascii="Times New Roman"/>
                <w:w w:val="99"/>
                <w:sz w:val="14"/>
                <w:shd w:fill="F79646" w:color="auto" w:val="clear"/>
              </w:rPr>
              <w:t> </w:t>
            </w:r>
            <w:r>
              <w:rPr>
                <w:rFonts w:ascii="Times New Roman"/>
                <w:sz w:val="14"/>
                <w:shd w:fill="F79646" w:color="auto" w:val="clear"/>
              </w:rPr>
              <w:t>    </w:t>
            </w:r>
            <w:r>
              <w:rPr>
                <w:rFonts w:ascii="Times New Roman"/>
                <w:spacing w:val="10"/>
                <w:sz w:val="14"/>
                <w:shd w:fill="F79646" w:color="auto" w:val="clear"/>
              </w:rPr>
              <w:t> </w:t>
            </w:r>
            <w:r>
              <w:rPr>
                <w:rFonts w:ascii="Calibri"/>
                <w:sz w:val="14"/>
                <w:shd w:fill="F79646" w:color="auto" w:val="clear"/>
              </w:rPr>
              <w:t>1.1</w:t>
              <w:tab/>
            </w:r>
          </w:p>
        </w:tc>
        <w:tc>
          <w:tcPr>
            <w:tcW w:w="743" w:type="dxa"/>
          </w:tcPr>
          <w:p>
            <w:pPr>
              <w:pStyle w:val="TableParagraph"/>
              <w:spacing w:line="165" w:lineRule="exact"/>
              <w:ind w:left="269" w:right="256"/>
              <w:rPr>
                <w:rFonts w:ascii="Calibri"/>
                <w:sz w:val="14"/>
              </w:rPr>
            </w:pPr>
            <w:r>
              <w:rPr>
                <w:rFonts w:ascii="Calibri"/>
                <w:sz w:val="14"/>
              </w:rPr>
              <w:t>2.8</w:t>
            </w:r>
          </w:p>
        </w:tc>
        <w:tc>
          <w:tcPr>
            <w:tcW w:w="718" w:type="dxa"/>
            <w:tcBorders>
              <w:right w:val="single" w:sz="9" w:space="0" w:color="000000"/>
            </w:tcBorders>
            <w:shd w:val="clear" w:color="auto" w:fill="67ED4D"/>
          </w:tcPr>
          <w:p>
            <w:pPr>
              <w:pStyle w:val="TableParagraph"/>
              <w:spacing w:line="164" w:lineRule="exact"/>
              <w:ind w:left="34"/>
              <w:rPr>
                <w:rFonts w:ascii="Calibri"/>
                <w:sz w:val="14"/>
              </w:rPr>
            </w:pPr>
            <w:r>
              <w:rPr>
                <w:rFonts w:ascii="Calibri"/>
                <w:w w:val="99"/>
                <w:sz w:val="14"/>
              </w:rPr>
              <w:t>3</w:t>
            </w:r>
          </w:p>
        </w:tc>
      </w:tr>
      <w:tr>
        <w:trPr>
          <w:trHeight w:val="162" w:hRule="exact"/>
        </w:trPr>
        <w:tc>
          <w:tcPr>
            <w:tcW w:w="8820" w:type="dxa"/>
            <w:gridSpan w:val="7"/>
            <w:tcBorders>
              <w:left w:val="single" w:sz="5" w:space="0" w:color="000000"/>
              <w:right w:val="single" w:sz="9" w:space="0" w:color="000000"/>
            </w:tcBorders>
          </w:tcPr>
          <w:p>
            <w:pPr/>
          </w:p>
        </w:tc>
      </w:tr>
      <w:tr>
        <w:trPr>
          <w:trHeight w:val="181" w:hRule="exact"/>
        </w:trPr>
        <w:tc>
          <w:tcPr>
            <w:tcW w:w="779" w:type="dxa"/>
            <w:vMerge w:val="restart"/>
            <w:tcBorders>
              <w:left w:val="single" w:sz="5" w:space="0" w:color="000000"/>
            </w:tcBorders>
          </w:tcPr>
          <w:p>
            <w:pPr/>
          </w:p>
        </w:tc>
        <w:tc>
          <w:tcPr>
            <w:tcW w:w="2027" w:type="dxa"/>
          </w:tcPr>
          <w:p>
            <w:pPr/>
          </w:p>
        </w:tc>
        <w:tc>
          <w:tcPr>
            <w:tcW w:w="2159" w:type="dxa"/>
          </w:tcPr>
          <w:p>
            <w:pPr>
              <w:pStyle w:val="TableParagraph"/>
              <w:ind w:left="411" w:right="5"/>
              <w:jc w:val="left"/>
              <w:rPr>
                <w:rFonts w:ascii="Calibri"/>
                <w:sz w:val="14"/>
              </w:rPr>
            </w:pPr>
            <w:r>
              <w:rPr>
                <w:rFonts w:ascii="Calibri"/>
                <w:sz w:val="14"/>
              </w:rPr>
              <w:t>Vivienda</w:t>
            </w:r>
          </w:p>
        </w:tc>
        <w:tc>
          <w:tcPr>
            <w:tcW w:w="1601" w:type="dxa"/>
          </w:tcPr>
          <w:p>
            <w:pPr>
              <w:pStyle w:val="TableParagraph"/>
              <w:ind w:left="652" w:right="167"/>
              <w:rPr>
                <w:rFonts w:ascii="Calibri"/>
                <w:sz w:val="14"/>
              </w:rPr>
            </w:pPr>
            <w:r>
              <w:rPr>
                <w:rFonts w:ascii="Calibri"/>
                <w:sz w:val="14"/>
              </w:rPr>
              <w:t>0.2</w:t>
            </w:r>
          </w:p>
        </w:tc>
        <w:tc>
          <w:tcPr>
            <w:tcW w:w="792" w:type="dxa"/>
          </w:tcPr>
          <w:p>
            <w:pPr/>
          </w:p>
        </w:tc>
        <w:tc>
          <w:tcPr>
            <w:tcW w:w="743" w:type="dxa"/>
          </w:tcPr>
          <w:p>
            <w:pPr>
              <w:pStyle w:val="TableParagraph"/>
              <w:ind w:left="269" w:right="256"/>
              <w:rPr>
                <w:rFonts w:ascii="Calibri"/>
                <w:sz w:val="14"/>
              </w:rPr>
            </w:pPr>
            <w:r>
              <w:rPr>
                <w:rFonts w:ascii="Calibri"/>
                <w:sz w:val="14"/>
              </w:rPr>
              <w:t>0.6</w:t>
            </w:r>
          </w:p>
        </w:tc>
        <w:tc>
          <w:tcPr>
            <w:tcW w:w="718" w:type="dxa"/>
            <w:tcBorders>
              <w:right w:val="single" w:sz="9" w:space="0" w:color="000000"/>
            </w:tcBorders>
            <w:shd w:val="clear" w:color="auto" w:fill="67ED4D"/>
          </w:tcPr>
          <w:p>
            <w:pPr>
              <w:pStyle w:val="TableParagraph"/>
              <w:ind w:left="34"/>
              <w:rPr>
                <w:rFonts w:ascii="Calibri"/>
                <w:sz w:val="14"/>
              </w:rPr>
            </w:pPr>
            <w:r>
              <w:rPr>
                <w:rFonts w:ascii="Calibri"/>
                <w:w w:val="99"/>
                <w:sz w:val="14"/>
              </w:rPr>
              <w:t>1</w:t>
            </w:r>
          </w:p>
        </w:tc>
      </w:tr>
      <w:tr>
        <w:trPr>
          <w:trHeight w:val="174" w:hRule="exact"/>
        </w:trPr>
        <w:tc>
          <w:tcPr>
            <w:tcW w:w="779" w:type="dxa"/>
            <w:vMerge/>
            <w:tcBorders>
              <w:left w:val="single" w:sz="5" w:space="0" w:color="000000"/>
            </w:tcBorders>
          </w:tcPr>
          <w:p>
            <w:pPr/>
          </w:p>
        </w:tc>
        <w:tc>
          <w:tcPr>
            <w:tcW w:w="2027" w:type="dxa"/>
            <w:vMerge w:val="restart"/>
          </w:tcPr>
          <w:p>
            <w:pPr>
              <w:pStyle w:val="TableParagraph"/>
              <w:spacing w:before="73"/>
              <w:ind w:left="73"/>
              <w:jc w:val="left"/>
              <w:rPr>
                <w:rFonts w:ascii="Calibri" w:hAnsi="Calibri"/>
                <w:sz w:val="14"/>
              </w:rPr>
            </w:pPr>
            <w:r>
              <w:rPr>
                <w:rFonts w:ascii="Calibri" w:hAnsi="Calibri"/>
                <w:sz w:val="14"/>
              </w:rPr>
              <w:t>Ecotegnologías</w:t>
            </w:r>
          </w:p>
        </w:tc>
        <w:tc>
          <w:tcPr>
            <w:tcW w:w="2159" w:type="dxa"/>
            <w:vMerge w:val="restart"/>
          </w:tcPr>
          <w:p>
            <w:pPr>
              <w:pStyle w:val="TableParagraph"/>
              <w:spacing w:line="244" w:lineRule="auto"/>
              <w:ind w:left="411" w:right="818"/>
              <w:jc w:val="left"/>
              <w:rPr>
                <w:rFonts w:ascii="Calibri" w:hAnsi="Calibri"/>
                <w:sz w:val="14"/>
              </w:rPr>
            </w:pPr>
            <w:r>
              <w:rPr>
                <w:rFonts w:ascii="Calibri" w:hAnsi="Calibri"/>
                <w:sz w:val="14"/>
              </w:rPr>
              <w:t>Urbanización </w:t>
            </w:r>
            <w:r>
              <w:rPr>
                <w:rFonts w:ascii="Calibri" w:hAnsi="Calibri"/>
                <w:w w:val="95"/>
                <w:sz w:val="14"/>
              </w:rPr>
              <w:t>Equipamiento</w:t>
            </w:r>
          </w:p>
        </w:tc>
        <w:tc>
          <w:tcPr>
            <w:tcW w:w="1601" w:type="dxa"/>
            <w:vMerge w:val="restart"/>
          </w:tcPr>
          <w:p>
            <w:pPr>
              <w:pStyle w:val="TableParagraph"/>
              <w:spacing w:line="164" w:lineRule="exact"/>
              <w:ind w:left="955"/>
              <w:jc w:val="left"/>
              <w:rPr>
                <w:rFonts w:ascii="Calibri"/>
                <w:sz w:val="14"/>
              </w:rPr>
            </w:pPr>
            <w:r>
              <w:rPr>
                <w:rFonts w:ascii="Calibri"/>
                <w:sz w:val="14"/>
              </w:rPr>
              <w:t>0.5</w:t>
            </w:r>
          </w:p>
          <w:p>
            <w:pPr>
              <w:pStyle w:val="TableParagraph"/>
              <w:spacing w:before="3"/>
              <w:ind w:left="1013"/>
              <w:jc w:val="left"/>
              <w:rPr>
                <w:rFonts w:ascii="Calibri"/>
                <w:sz w:val="14"/>
              </w:rPr>
            </w:pPr>
            <w:r>
              <w:rPr>
                <w:rFonts w:ascii="Calibri"/>
                <w:w w:val="99"/>
                <w:sz w:val="14"/>
              </w:rPr>
              <w:t>0</w:t>
            </w:r>
          </w:p>
        </w:tc>
        <w:tc>
          <w:tcPr>
            <w:tcW w:w="792" w:type="dxa"/>
            <w:vMerge w:val="restart"/>
          </w:tcPr>
          <w:p>
            <w:pPr/>
          </w:p>
        </w:tc>
        <w:tc>
          <w:tcPr>
            <w:tcW w:w="743" w:type="dxa"/>
            <w:vMerge w:val="restart"/>
          </w:tcPr>
          <w:p>
            <w:pPr>
              <w:pStyle w:val="TableParagraph"/>
              <w:spacing w:line="164" w:lineRule="exact"/>
              <w:ind w:left="269" w:right="256"/>
              <w:rPr>
                <w:rFonts w:ascii="Calibri"/>
                <w:sz w:val="14"/>
              </w:rPr>
            </w:pPr>
            <w:r>
              <w:rPr>
                <w:rFonts w:ascii="Calibri"/>
                <w:sz w:val="14"/>
              </w:rPr>
              <w:t>0.5</w:t>
            </w:r>
          </w:p>
          <w:p>
            <w:pPr>
              <w:pStyle w:val="TableParagraph"/>
              <w:spacing w:before="3"/>
              <w:ind w:left="23"/>
              <w:rPr>
                <w:rFonts w:ascii="Calibri"/>
                <w:sz w:val="14"/>
              </w:rPr>
            </w:pPr>
            <w:r>
              <w:rPr>
                <w:rFonts w:ascii="Calibri"/>
                <w:w w:val="99"/>
                <w:sz w:val="14"/>
              </w:rPr>
              <w:t>1</w:t>
            </w:r>
          </w:p>
        </w:tc>
        <w:tc>
          <w:tcPr>
            <w:tcW w:w="718" w:type="dxa"/>
            <w:tcBorders>
              <w:right w:val="single" w:sz="9" w:space="0" w:color="000000"/>
            </w:tcBorders>
            <w:shd w:val="clear" w:color="auto" w:fill="67ED4D"/>
          </w:tcPr>
          <w:p>
            <w:pPr>
              <w:pStyle w:val="TableParagraph"/>
              <w:spacing w:line="164" w:lineRule="exact"/>
              <w:ind w:left="34"/>
              <w:rPr>
                <w:rFonts w:ascii="Calibri"/>
                <w:sz w:val="14"/>
              </w:rPr>
            </w:pPr>
            <w:r>
              <w:rPr>
                <w:rFonts w:ascii="Calibri"/>
                <w:w w:val="99"/>
                <w:sz w:val="14"/>
              </w:rPr>
              <w:t>1</w:t>
            </w:r>
          </w:p>
        </w:tc>
      </w:tr>
      <w:tr>
        <w:trPr>
          <w:trHeight w:val="174" w:hRule="exact"/>
        </w:trPr>
        <w:tc>
          <w:tcPr>
            <w:tcW w:w="779" w:type="dxa"/>
            <w:vMerge/>
            <w:tcBorders>
              <w:left w:val="single" w:sz="5" w:space="0" w:color="000000"/>
            </w:tcBorders>
          </w:tcPr>
          <w:p>
            <w:pPr/>
          </w:p>
        </w:tc>
        <w:tc>
          <w:tcPr>
            <w:tcW w:w="2027" w:type="dxa"/>
            <w:vMerge/>
          </w:tcPr>
          <w:p>
            <w:pPr/>
          </w:p>
        </w:tc>
        <w:tc>
          <w:tcPr>
            <w:tcW w:w="2159" w:type="dxa"/>
            <w:vMerge/>
          </w:tcPr>
          <w:p>
            <w:pPr/>
          </w:p>
        </w:tc>
        <w:tc>
          <w:tcPr>
            <w:tcW w:w="1601" w:type="dxa"/>
            <w:vMerge/>
          </w:tcPr>
          <w:p>
            <w:pPr/>
          </w:p>
        </w:tc>
        <w:tc>
          <w:tcPr>
            <w:tcW w:w="792" w:type="dxa"/>
            <w:vMerge/>
          </w:tcPr>
          <w:p>
            <w:pPr/>
          </w:p>
        </w:tc>
        <w:tc>
          <w:tcPr>
            <w:tcW w:w="743" w:type="dxa"/>
            <w:vMerge/>
          </w:tcPr>
          <w:p>
            <w:pPr/>
          </w:p>
        </w:tc>
        <w:tc>
          <w:tcPr>
            <w:tcW w:w="718" w:type="dxa"/>
            <w:tcBorders>
              <w:right w:val="single" w:sz="9" w:space="0" w:color="000000"/>
            </w:tcBorders>
            <w:shd w:val="clear" w:color="auto" w:fill="67ED4D"/>
          </w:tcPr>
          <w:p>
            <w:pPr>
              <w:pStyle w:val="TableParagraph"/>
              <w:spacing w:line="164" w:lineRule="exact"/>
              <w:ind w:left="34"/>
              <w:rPr>
                <w:rFonts w:ascii="Calibri"/>
                <w:sz w:val="14"/>
              </w:rPr>
            </w:pPr>
            <w:r>
              <w:rPr>
                <w:rFonts w:ascii="Calibri"/>
                <w:w w:val="99"/>
                <w:sz w:val="14"/>
              </w:rPr>
              <w:t>1</w:t>
            </w:r>
          </w:p>
        </w:tc>
      </w:tr>
      <w:tr>
        <w:trPr>
          <w:trHeight w:val="174" w:hRule="exact"/>
        </w:trPr>
        <w:tc>
          <w:tcPr>
            <w:tcW w:w="779" w:type="dxa"/>
            <w:vMerge/>
            <w:tcBorders>
              <w:left w:val="single" w:sz="5" w:space="0" w:color="000000"/>
            </w:tcBorders>
          </w:tcPr>
          <w:p>
            <w:pPr/>
          </w:p>
        </w:tc>
        <w:tc>
          <w:tcPr>
            <w:tcW w:w="2027" w:type="dxa"/>
          </w:tcPr>
          <w:p>
            <w:pPr/>
          </w:p>
        </w:tc>
        <w:tc>
          <w:tcPr>
            <w:tcW w:w="2159" w:type="dxa"/>
          </w:tcPr>
          <w:p>
            <w:pPr>
              <w:pStyle w:val="TableParagraph"/>
              <w:spacing w:line="164" w:lineRule="exact"/>
              <w:ind w:left="411" w:right="5"/>
              <w:jc w:val="left"/>
              <w:rPr>
                <w:rFonts w:ascii="Calibri"/>
                <w:sz w:val="14"/>
              </w:rPr>
            </w:pPr>
            <w:r>
              <w:rPr>
                <w:rFonts w:ascii="Calibri"/>
                <w:sz w:val="14"/>
              </w:rPr>
              <w:t>Mobiliario</w:t>
            </w:r>
          </w:p>
        </w:tc>
        <w:tc>
          <w:tcPr>
            <w:tcW w:w="1601" w:type="dxa"/>
          </w:tcPr>
          <w:p>
            <w:pPr>
              <w:pStyle w:val="TableParagraph"/>
              <w:spacing w:line="164" w:lineRule="exact"/>
              <w:ind w:left="496"/>
              <w:rPr>
                <w:rFonts w:ascii="Calibri"/>
                <w:sz w:val="14"/>
              </w:rPr>
            </w:pPr>
            <w:r>
              <w:rPr>
                <w:rFonts w:ascii="Calibri"/>
                <w:w w:val="99"/>
                <w:sz w:val="14"/>
              </w:rPr>
              <w:t>0</w:t>
            </w:r>
          </w:p>
        </w:tc>
        <w:tc>
          <w:tcPr>
            <w:tcW w:w="792" w:type="dxa"/>
          </w:tcPr>
          <w:p>
            <w:pPr/>
          </w:p>
        </w:tc>
        <w:tc>
          <w:tcPr>
            <w:tcW w:w="743" w:type="dxa"/>
          </w:tcPr>
          <w:p>
            <w:pPr>
              <w:pStyle w:val="TableParagraph"/>
              <w:spacing w:line="164" w:lineRule="exact"/>
              <w:ind w:left="23"/>
              <w:rPr>
                <w:rFonts w:ascii="Calibri"/>
                <w:sz w:val="14"/>
              </w:rPr>
            </w:pPr>
            <w:r>
              <w:rPr>
                <w:rFonts w:ascii="Calibri"/>
                <w:w w:val="99"/>
                <w:sz w:val="14"/>
              </w:rPr>
              <w:t>1</w:t>
            </w:r>
          </w:p>
        </w:tc>
        <w:tc>
          <w:tcPr>
            <w:tcW w:w="718" w:type="dxa"/>
            <w:tcBorders>
              <w:right w:val="single" w:sz="9" w:space="0" w:color="000000"/>
            </w:tcBorders>
            <w:shd w:val="clear" w:color="auto" w:fill="67ED4D"/>
          </w:tcPr>
          <w:p>
            <w:pPr>
              <w:pStyle w:val="TableParagraph"/>
              <w:spacing w:line="164" w:lineRule="exact"/>
              <w:ind w:left="34"/>
              <w:rPr>
                <w:rFonts w:ascii="Calibri"/>
                <w:sz w:val="14"/>
              </w:rPr>
            </w:pPr>
            <w:r>
              <w:rPr>
                <w:rFonts w:ascii="Calibri"/>
                <w:w w:val="99"/>
                <w:sz w:val="14"/>
              </w:rPr>
              <w:t>1</w:t>
            </w:r>
          </w:p>
        </w:tc>
      </w:tr>
      <w:tr>
        <w:trPr>
          <w:trHeight w:val="178" w:hRule="exact"/>
        </w:trPr>
        <w:tc>
          <w:tcPr>
            <w:tcW w:w="779" w:type="dxa"/>
            <w:vMerge/>
            <w:tcBorders>
              <w:left w:val="single" w:sz="5" w:space="0" w:color="000000"/>
            </w:tcBorders>
          </w:tcPr>
          <w:p>
            <w:pPr/>
          </w:p>
        </w:tc>
        <w:tc>
          <w:tcPr>
            <w:tcW w:w="2027" w:type="dxa"/>
          </w:tcPr>
          <w:p>
            <w:pPr/>
          </w:p>
        </w:tc>
        <w:tc>
          <w:tcPr>
            <w:tcW w:w="2159" w:type="dxa"/>
          </w:tcPr>
          <w:p>
            <w:pPr/>
          </w:p>
        </w:tc>
        <w:tc>
          <w:tcPr>
            <w:tcW w:w="1601" w:type="dxa"/>
          </w:tcPr>
          <w:p>
            <w:pPr>
              <w:pStyle w:val="TableParagraph"/>
              <w:spacing w:line="165" w:lineRule="exact"/>
              <w:ind w:left="650" w:right="167"/>
              <w:rPr>
                <w:rFonts w:ascii="Calibri"/>
                <w:sz w:val="14"/>
              </w:rPr>
            </w:pPr>
            <w:r>
              <w:rPr>
                <w:rFonts w:ascii="Calibri"/>
                <w:sz w:val="14"/>
              </w:rPr>
              <w:t>Subtotal</w:t>
            </w:r>
          </w:p>
        </w:tc>
        <w:tc>
          <w:tcPr>
            <w:tcW w:w="792" w:type="dxa"/>
          </w:tcPr>
          <w:p>
            <w:pPr>
              <w:pStyle w:val="TableParagraph"/>
              <w:tabs>
                <w:tab w:pos="803" w:val="left" w:leader="none"/>
              </w:tabs>
              <w:spacing w:line="165" w:lineRule="exact"/>
              <w:ind w:left="189" w:right="-12"/>
              <w:jc w:val="left"/>
              <w:rPr>
                <w:rFonts w:ascii="Calibri"/>
                <w:sz w:val="14"/>
              </w:rPr>
            </w:pPr>
            <w:r>
              <w:rPr>
                <w:rFonts w:ascii="Times New Roman"/>
                <w:w w:val="99"/>
                <w:sz w:val="14"/>
                <w:shd w:fill="F79646" w:color="auto" w:val="clear"/>
              </w:rPr>
              <w:t> </w:t>
            </w:r>
            <w:r>
              <w:rPr>
                <w:rFonts w:ascii="Times New Roman"/>
                <w:sz w:val="14"/>
                <w:shd w:fill="F79646" w:color="auto" w:val="clear"/>
              </w:rPr>
              <w:t>    </w:t>
            </w:r>
            <w:r>
              <w:rPr>
                <w:rFonts w:ascii="Times New Roman"/>
                <w:spacing w:val="10"/>
                <w:sz w:val="14"/>
                <w:shd w:fill="F79646" w:color="auto" w:val="clear"/>
              </w:rPr>
              <w:t> </w:t>
            </w:r>
            <w:r>
              <w:rPr>
                <w:rFonts w:ascii="Calibri"/>
                <w:sz w:val="14"/>
                <w:shd w:fill="F79646" w:color="auto" w:val="clear"/>
              </w:rPr>
              <w:t>0.7</w:t>
              <w:tab/>
            </w:r>
          </w:p>
        </w:tc>
        <w:tc>
          <w:tcPr>
            <w:tcW w:w="743" w:type="dxa"/>
          </w:tcPr>
          <w:p>
            <w:pPr>
              <w:pStyle w:val="TableParagraph"/>
              <w:spacing w:line="165" w:lineRule="exact"/>
              <w:ind w:left="269" w:right="256"/>
              <w:rPr>
                <w:rFonts w:ascii="Calibri"/>
                <w:sz w:val="14"/>
              </w:rPr>
            </w:pPr>
            <w:r>
              <w:rPr>
                <w:rFonts w:ascii="Calibri"/>
                <w:sz w:val="14"/>
              </w:rPr>
              <w:t>3.1</w:t>
            </w:r>
          </w:p>
        </w:tc>
        <w:tc>
          <w:tcPr>
            <w:tcW w:w="718" w:type="dxa"/>
            <w:tcBorders>
              <w:right w:val="single" w:sz="9" w:space="0" w:color="000000"/>
            </w:tcBorders>
            <w:shd w:val="clear" w:color="auto" w:fill="67ED4D"/>
          </w:tcPr>
          <w:p>
            <w:pPr>
              <w:pStyle w:val="TableParagraph"/>
              <w:spacing w:line="164" w:lineRule="exact"/>
              <w:ind w:left="34"/>
              <w:rPr>
                <w:rFonts w:ascii="Calibri"/>
                <w:sz w:val="14"/>
              </w:rPr>
            </w:pPr>
            <w:r>
              <w:rPr>
                <w:rFonts w:ascii="Calibri"/>
                <w:w w:val="99"/>
                <w:sz w:val="14"/>
              </w:rPr>
              <w:t>4</w:t>
            </w:r>
          </w:p>
        </w:tc>
      </w:tr>
      <w:tr>
        <w:trPr>
          <w:trHeight w:val="162" w:hRule="exact"/>
        </w:trPr>
        <w:tc>
          <w:tcPr>
            <w:tcW w:w="8820" w:type="dxa"/>
            <w:gridSpan w:val="7"/>
            <w:tcBorders>
              <w:left w:val="single" w:sz="5" w:space="0" w:color="000000"/>
              <w:right w:val="single" w:sz="9" w:space="0" w:color="000000"/>
            </w:tcBorders>
          </w:tcPr>
          <w:p>
            <w:pPr/>
          </w:p>
        </w:tc>
      </w:tr>
      <w:tr>
        <w:trPr>
          <w:trHeight w:val="354" w:hRule="exact"/>
        </w:trPr>
        <w:tc>
          <w:tcPr>
            <w:tcW w:w="779" w:type="dxa"/>
            <w:tcBorders>
              <w:left w:val="single" w:sz="5" w:space="0" w:color="000000"/>
            </w:tcBorders>
          </w:tcPr>
          <w:p>
            <w:pPr/>
          </w:p>
        </w:tc>
        <w:tc>
          <w:tcPr>
            <w:tcW w:w="2027" w:type="dxa"/>
          </w:tcPr>
          <w:p>
            <w:pPr>
              <w:pStyle w:val="TableParagraph"/>
              <w:spacing w:before="81"/>
              <w:ind w:left="73"/>
              <w:jc w:val="left"/>
              <w:rPr>
                <w:rFonts w:ascii="Calibri" w:hAnsi="Calibri"/>
                <w:sz w:val="14"/>
              </w:rPr>
            </w:pPr>
            <w:r>
              <w:rPr>
                <w:rFonts w:ascii="Calibri" w:hAnsi="Calibri"/>
                <w:sz w:val="14"/>
              </w:rPr>
              <w:t>Educación ambiental</w:t>
            </w:r>
          </w:p>
        </w:tc>
        <w:tc>
          <w:tcPr>
            <w:tcW w:w="2159" w:type="dxa"/>
          </w:tcPr>
          <w:p>
            <w:pPr>
              <w:pStyle w:val="TableParagraph"/>
              <w:spacing w:line="244" w:lineRule="auto"/>
              <w:ind w:left="411" w:right="818"/>
              <w:jc w:val="left"/>
              <w:rPr>
                <w:rFonts w:ascii="Calibri"/>
                <w:sz w:val="14"/>
              </w:rPr>
            </w:pPr>
            <w:r>
              <w:rPr>
                <w:rFonts w:ascii="Calibri"/>
                <w:sz w:val="14"/>
              </w:rPr>
              <w:t>Planes </w:t>
            </w:r>
            <w:r>
              <w:rPr>
                <w:rFonts w:ascii="Calibri"/>
                <w:w w:val="95"/>
                <w:sz w:val="14"/>
              </w:rPr>
              <w:t>Programas</w:t>
            </w:r>
          </w:p>
        </w:tc>
        <w:tc>
          <w:tcPr>
            <w:tcW w:w="1601" w:type="dxa"/>
          </w:tcPr>
          <w:p>
            <w:pPr>
              <w:pStyle w:val="TableParagraph"/>
              <w:ind w:left="1013"/>
              <w:jc w:val="left"/>
              <w:rPr>
                <w:rFonts w:ascii="Calibri"/>
                <w:sz w:val="14"/>
              </w:rPr>
            </w:pPr>
            <w:r>
              <w:rPr>
                <w:rFonts w:ascii="Calibri"/>
                <w:w w:val="99"/>
                <w:sz w:val="14"/>
              </w:rPr>
              <w:t>0</w:t>
            </w:r>
          </w:p>
          <w:p>
            <w:pPr>
              <w:pStyle w:val="TableParagraph"/>
              <w:spacing w:before="3"/>
              <w:ind w:left="1013"/>
              <w:jc w:val="left"/>
              <w:rPr>
                <w:rFonts w:ascii="Calibri"/>
                <w:sz w:val="14"/>
              </w:rPr>
            </w:pPr>
            <w:r>
              <w:rPr>
                <w:rFonts w:ascii="Calibri"/>
                <w:w w:val="99"/>
                <w:sz w:val="14"/>
              </w:rPr>
              <w:t>0</w:t>
            </w:r>
          </w:p>
        </w:tc>
        <w:tc>
          <w:tcPr>
            <w:tcW w:w="792" w:type="dxa"/>
          </w:tcPr>
          <w:p>
            <w:pPr/>
          </w:p>
        </w:tc>
        <w:tc>
          <w:tcPr>
            <w:tcW w:w="743" w:type="dxa"/>
          </w:tcPr>
          <w:p>
            <w:pPr>
              <w:pStyle w:val="TableParagraph"/>
              <w:ind w:left="23"/>
              <w:rPr>
                <w:rFonts w:ascii="Calibri"/>
                <w:sz w:val="14"/>
              </w:rPr>
            </w:pPr>
            <w:r>
              <w:rPr>
                <w:rFonts w:ascii="Calibri"/>
                <w:w w:val="99"/>
                <w:sz w:val="14"/>
              </w:rPr>
              <w:t>1</w:t>
            </w:r>
          </w:p>
          <w:p>
            <w:pPr>
              <w:pStyle w:val="TableParagraph"/>
              <w:spacing w:before="3"/>
              <w:ind w:left="23"/>
              <w:rPr>
                <w:rFonts w:ascii="Calibri"/>
                <w:sz w:val="14"/>
              </w:rPr>
            </w:pPr>
            <w:r>
              <w:rPr>
                <w:rFonts w:ascii="Calibri"/>
                <w:w w:val="99"/>
                <w:sz w:val="14"/>
              </w:rPr>
              <w:t>1</w:t>
            </w:r>
          </w:p>
        </w:tc>
        <w:tc>
          <w:tcPr>
            <w:tcW w:w="718" w:type="dxa"/>
            <w:tcBorders>
              <w:right w:val="single" w:sz="9" w:space="0" w:color="000000"/>
            </w:tcBorders>
            <w:shd w:val="clear" w:color="auto" w:fill="67ED4D"/>
          </w:tcPr>
          <w:p>
            <w:pPr>
              <w:pStyle w:val="TableParagraph"/>
              <w:ind w:left="34"/>
              <w:rPr>
                <w:rFonts w:ascii="Calibri"/>
                <w:sz w:val="14"/>
              </w:rPr>
            </w:pPr>
            <w:r>
              <w:rPr>
                <w:rFonts w:ascii="Calibri"/>
                <w:w w:val="99"/>
                <w:sz w:val="14"/>
              </w:rPr>
              <w:t>1</w:t>
            </w:r>
          </w:p>
          <w:p>
            <w:pPr>
              <w:pStyle w:val="TableParagraph"/>
              <w:spacing w:before="3"/>
              <w:ind w:left="34"/>
              <w:rPr>
                <w:rFonts w:ascii="Calibri"/>
                <w:sz w:val="14"/>
              </w:rPr>
            </w:pPr>
            <w:r>
              <w:rPr>
                <w:rFonts w:ascii="Calibri"/>
                <w:w w:val="99"/>
                <w:sz w:val="14"/>
              </w:rPr>
              <w:t>1</w:t>
            </w:r>
          </w:p>
        </w:tc>
      </w:tr>
      <w:tr>
        <w:trPr>
          <w:trHeight w:val="180" w:hRule="exact"/>
        </w:trPr>
        <w:tc>
          <w:tcPr>
            <w:tcW w:w="779" w:type="dxa"/>
            <w:tcBorders>
              <w:left w:val="single" w:sz="5" w:space="0" w:color="000000"/>
            </w:tcBorders>
          </w:tcPr>
          <w:p>
            <w:pPr/>
          </w:p>
        </w:tc>
        <w:tc>
          <w:tcPr>
            <w:tcW w:w="2027" w:type="dxa"/>
          </w:tcPr>
          <w:p>
            <w:pPr/>
          </w:p>
        </w:tc>
        <w:tc>
          <w:tcPr>
            <w:tcW w:w="2159" w:type="dxa"/>
          </w:tcPr>
          <w:p>
            <w:pPr/>
          </w:p>
        </w:tc>
        <w:tc>
          <w:tcPr>
            <w:tcW w:w="1601" w:type="dxa"/>
          </w:tcPr>
          <w:p>
            <w:pPr>
              <w:pStyle w:val="TableParagraph"/>
              <w:spacing w:line="165" w:lineRule="exact"/>
              <w:ind w:left="650" w:right="167"/>
              <w:rPr>
                <w:rFonts w:ascii="Calibri"/>
                <w:sz w:val="14"/>
              </w:rPr>
            </w:pPr>
            <w:r>
              <w:rPr>
                <w:rFonts w:ascii="Calibri"/>
                <w:sz w:val="14"/>
              </w:rPr>
              <w:t>Subtotal</w:t>
            </w:r>
          </w:p>
        </w:tc>
        <w:tc>
          <w:tcPr>
            <w:tcW w:w="792" w:type="dxa"/>
          </w:tcPr>
          <w:p>
            <w:pPr>
              <w:pStyle w:val="TableParagraph"/>
              <w:tabs>
                <w:tab w:pos="467" w:val="left" w:leader="none"/>
                <w:tab w:pos="803" w:val="left" w:leader="none"/>
              </w:tabs>
              <w:spacing w:line="165" w:lineRule="exact"/>
              <w:ind w:left="189" w:right="-12"/>
              <w:jc w:val="left"/>
              <w:rPr>
                <w:rFonts w:ascii="Calibri"/>
                <w:sz w:val="14"/>
              </w:rPr>
            </w:pPr>
            <w:r>
              <w:rPr>
                <w:rFonts w:ascii="Times New Roman"/>
                <w:w w:val="99"/>
                <w:sz w:val="14"/>
                <w:shd w:fill="F79646" w:color="auto" w:val="clear"/>
              </w:rPr>
              <w:t> </w:t>
            </w:r>
            <w:r>
              <w:rPr>
                <w:rFonts w:ascii="Times New Roman"/>
                <w:sz w:val="14"/>
                <w:shd w:fill="F79646" w:color="auto" w:val="clear"/>
              </w:rPr>
              <w:tab/>
            </w:r>
            <w:r>
              <w:rPr>
                <w:rFonts w:ascii="Calibri"/>
                <w:sz w:val="14"/>
                <w:shd w:fill="F79646" w:color="auto" w:val="clear"/>
              </w:rPr>
              <w:t>0</w:t>
              <w:tab/>
            </w:r>
          </w:p>
        </w:tc>
        <w:tc>
          <w:tcPr>
            <w:tcW w:w="743" w:type="dxa"/>
          </w:tcPr>
          <w:p>
            <w:pPr>
              <w:pStyle w:val="TableParagraph"/>
              <w:spacing w:line="165" w:lineRule="exact"/>
              <w:ind w:left="23"/>
              <w:rPr>
                <w:rFonts w:ascii="Calibri"/>
                <w:sz w:val="14"/>
              </w:rPr>
            </w:pPr>
            <w:r>
              <w:rPr>
                <w:rFonts w:ascii="Calibri"/>
                <w:w w:val="99"/>
                <w:sz w:val="14"/>
              </w:rPr>
              <w:t>2</w:t>
            </w:r>
          </w:p>
        </w:tc>
        <w:tc>
          <w:tcPr>
            <w:tcW w:w="718" w:type="dxa"/>
            <w:tcBorders>
              <w:right w:val="single" w:sz="9" w:space="0" w:color="000000"/>
            </w:tcBorders>
            <w:shd w:val="clear" w:color="auto" w:fill="67ED4D"/>
          </w:tcPr>
          <w:p>
            <w:pPr>
              <w:pStyle w:val="TableParagraph"/>
              <w:spacing w:line="165" w:lineRule="exact"/>
              <w:ind w:left="34"/>
              <w:rPr>
                <w:rFonts w:ascii="Calibri"/>
                <w:sz w:val="14"/>
              </w:rPr>
            </w:pPr>
            <w:r>
              <w:rPr>
                <w:rFonts w:ascii="Calibri"/>
                <w:w w:val="99"/>
                <w:sz w:val="14"/>
              </w:rPr>
              <w:t>2</w:t>
            </w:r>
          </w:p>
        </w:tc>
      </w:tr>
      <w:tr>
        <w:trPr>
          <w:trHeight w:val="522" w:hRule="exact"/>
        </w:trPr>
        <w:tc>
          <w:tcPr>
            <w:tcW w:w="779" w:type="dxa"/>
            <w:tcBorders>
              <w:left w:val="single" w:sz="5" w:space="0" w:color="000000"/>
              <w:bottom w:val="single" w:sz="9" w:space="0" w:color="000000"/>
            </w:tcBorders>
          </w:tcPr>
          <w:p>
            <w:pPr/>
          </w:p>
        </w:tc>
        <w:tc>
          <w:tcPr>
            <w:tcW w:w="2027" w:type="dxa"/>
            <w:tcBorders>
              <w:bottom w:val="single" w:sz="9" w:space="0" w:color="000000"/>
            </w:tcBorders>
          </w:tcPr>
          <w:p>
            <w:pPr/>
          </w:p>
        </w:tc>
        <w:tc>
          <w:tcPr>
            <w:tcW w:w="2159" w:type="dxa"/>
            <w:tcBorders>
              <w:bottom w:val="single" w:sz="9" w:space="0" w:color="000000"/>
            </w:tcBorders>
          </w:tcPr>
          <w:p>
            <w:pPr/>
          </w:p>
        </w:tc>
        <w:tc>
          <w:tcPr>
            <w:tcW w:w="1601" w:type="dxa"/>
            <w:tcBorders>
              <w:bottom w:val="single" w:sz="9" w:space="0" w:color="000000"/>
            </w:tcBorders>
          </w:tcPr>
          <w:p>
            <w:pPr>
              <w:pStyle w:val="TableParagraph"/>
              <w:spacing w:before="1"/>
              <w:jc w:val="left"/>
              <w:rPr>
                <w:sz w:val="14"/>
              </w:rPr>
            </w:pPr>
          </w:p>
          <w:p>
            <w:pPr>
              <w:pStyle w:val="TableParagraph"/>
              <w:ind w:left="654" w:right="167"/>
              <w:rPr>
                <w:rFonts w:ascii="Calibri"/>
                <w:sz w:val="14"/>
              </w:rPr>
            </w:pPr>
            <w:r>
              <w:rPr>
                <w:rFonts w:ascii="Calibri"/>
                <w:sz w:val="14"/>
              </w:rPr>
              <w:t>Total IA</w:t>
            </w:r>
          </w:p>
        </w:tc>
        <w:tc>
          <w:tcPr>
            <w:tcW w:w="792" w:type="dxa"/>
            <w:tcBorders>
              <w:bottom w:val="single" w:sz="9" w:space="0" w:color="000000"/>
            </w:tcBorders>
          </w:tcPr>
          <w:p>
            <w:pPr>
              <w:pStyle w:val="TableParagraph"/>
              <w:spacing w:before="1"/>
              <w:jc w:val="left"/>
              <w:rPr>
                <w:sz w:val="14"/>
              </w:rPr>
            </w:pPr>
          </w:p>
          <w:p>
            <w:pPr>
              <w:pStyle w:val="TableParagraph"/>
              <w:tabs>
                <w:tab w:pos="803" w:val="left" w:leader="none"/>
              </w:tabs>
              <w:ind w:left="189" w:right="-12"/>
              <w:jc w:val="left"/>
              <w:rPr>
                <w:rFonts w:ascii="Calibri"/>
                <w:sz w:val="14"/>
              </w:rPr>
            </w:pPr>
            <w:r>
              <w:rPr>
                <w:rFonts w:ascii="Times New Roman"/>
                <w:w w:val="99"/>
                <w:sz w:val="14"/>
                <w:shd w:fill="F79646" w:color="auto" w:val="clear"/>
              </w:rPr>
              <w:t> </w:t>
            </w:r>
            <w:r>
              <w:rPr>
                <w:rFonts w:ascii="Times New Roman"/>
                <w:sz w:val="14"/>
                <w:shd w:fill="F79646" w:color="auto" w:val="clear"/>
              </w:rPr>
              <w:t>    </w:t>
            </w:r>
            <w:r>
              <w:rPr>
                <w:rFonts w:ascii="Times New Roman"/>
                <w:spacing w:val="10"/>
                <w:sz w:val="14"/>
                <w:shd w:fill="F79646" w:color="auto" w:val="clear"/>
              </w:rPr>
              <w:t> </w:t>
            </w:r>
            <w:r>
              <w:rPr>
                <w:rFonts w:ascii="Calibri"/>
                <w:sz w:val="14"/>
                <w:shd w:fill="F79646" w:color="auto" w:val="clear"/>
              </w:rPr>
              <w:t>8.8</w:t>
              <w:tab/>
            </w:r>
          </w:p>
        </w:tc>
        <w:tc>
          <w:tcPr>
            <w:tcW w:w="743" w:type="dxa"/>
            <w:tcBorders>
              <w:bottom w:val="single" w:sz="9" w:space="0" w:color="000000"/>
            </w:tcBorders>
          </w:tcPr>
          <w:p>
            <w:pPr>
              <w:pStyle w:val="TableParagraph"/>
              <w:spacing w:before="1"/>
              <w:jc w:val="left"/>
              <w:rPr>
                <w:sz w:val="14"/>
              </w:rPr>
            </w:pPr>
          </w:p>
          <w:p>
            <w:pPr>
              <w:pStyle w:val="TableParagraph"/>
              <w:tabs>
                <w:tab w:pos="255" w:val="left" w:leader="none"/>
                <w:tab w:pos="753" w:val="left" w:leader="none"/>
              </w:tabs>
              <w:ind w:right="-11"/>
              <w:rPr>
                <w:rFonts w:ascii="Calibri"/>
                <w:sz w:val="14"/>
              </w:rPr>
            </w:pPr>
            <w:r>
              <w:rPr>
                <w:rFonts w:ascii="Times New Roman"/>
                <w:w w:val="99"/>
                <w:sz w:val="14"/>
                <w:shd w:fill="FFFF00" w:color="auto" w:val="clear"/>
              </w:rPr>
              <w:t> </w:t>
            </w:r>
            <w:r>
              <w:rPr>
                <w:rFonts w:ascii="Times New Roman"/>
                <w:sz w:val="14"/>
                <w:shd w:fill="FFFF00" w:color="auto" w:val="clear"/>
              </w:rPr>
              <w:tab/>
            </w:r>
            <w:r>
              <w:rPr>
                <w:rFonts w:ascii="Calibri"/>
                <w:sz w:val="14"/>
                <w:shd w:fill="FFFF00" w:color="auto" w:val="clear"/>
              </w:rPr>
              <w:t>18.3</w:t>
              <w:tab/>
            </w:r>
          </w:p>
        </w:tc>
        <w:tc>
          <w:tcPr>
            <w:tcW w:w="718" w:type="dxa"/>
            <w:tcBorders>
              <w:bottom w:val="single" w:sz="9" w:space="0" w:color="000000"/>
              <w:right w:val="single" w:sz="9" w:space="0" w:color="000000"/>
            </w:tcBorders>
          </w:tcPr>
          <w:p>
            <w:pPr>
              <w:pStyle w:val="TableParagraph"/>
              <w:spacing w:before="1"/>
              <w:jc w:val="left"/>
              <w:rPr>
                <w:sz w:val="14"/>
              </w:rPr>
            </w:pPr>
          </w:p>
          <w:p>
            <w:pPr>
              <w:pStyle w:val="TableParagraph"/>
              <w:ind w:left="279" w:right="244"/>
              <w:rPr>
                <w:rFonts w:ascii="Calibri"/>
                <w:sz w:val="14"/>
              </w:rPr>
            </w:pPr>
            <w:r>
              <w:rPr>
                <w:rFonts w:ascii="Calibri"/>
                <w:sz w:val="14"/>
              </w:rPr>
              <w:t>24</w:t>
            </w:r>
          </w:p>
        </w:tc>
      </w:tr>
    </w:tbl>
    <w:p>
      <w:pPr>
        <w:spacing w:before="128"/>
        <w:ind w:left="268" w:right="0" w:firstLine="0"/>
        <w:jc w:val="both"/>
        <w:rPr>
          <w:sz w:val="21"/>
        </w:rPr>
      </w:pPr>
      <w:r>
        <w:rPr/>
        <w:pict>
          <v:group style="position:absolute;margin-left:362.002014pt;margin-top:-149.326324pt;width:76pt;height:27.3pt;mso-position-horizontal-relative:page;mso-position-vertical-relative:paragraph;z-index:-1150792" coordorigin="7240,-2987" coordsize="1520,546">
            <v:line style="position:absolute" from="7246,-2981" to="7246,-2795" stroked="true" strokeweight=".580pt" strokecolor="#baf9f5"/>
            <v:rect style="position:absolute;left:7252;top:-2981;width:1508;height:186" filled="true" fillcolor="#baf9f5" stroked="false">
              <v:fill type="solid"/>
            </v:rect>
            <v:line style="position:absolute" from="7246,-2795" to="7246,-2621" stroked="true" strokeweight=".580pt" strokecolor="#baf9f5"/>
            <v:rect style="position:absolute;left:7252;top:-2795;width:1508;height:174" filled="true" fillcolor="#baf9f5" stroked="false">
              <v:fill type="solid"/>
            </v:rect>
            <v:line style="position:absolute" from="7246,-2621" to="7246,-2447" stroked="true" strokeweight=".580pt" strokecolor="#baf9f5"/>
            <v:rect style="position:absolute;left:7252;top:-2621;width:1508;height:174" filled="true" fillcolor="#baf9f5" stroked="false">
              <v:fill type="solid"/>
            </v:rect>
            <w10:wrap type="none"/>
          </v:group>
        </w:pict>
      </w:r>
      <w:r>
        <w:rPr/>
        <w:pict>
          <v:shape style="position:absolute;margin-left:467.549011pt;margin-top:-149.026138pt;width:37.7pt;height:35.4pt;mso-position-horizontal-relative:page;mso-position-vertical-relative:paragraph;z-index:-1150768" coordorigin="9351,-2981" coordsize="754,708" path="m10105,-2621l9351,-2621,9351,-2459,9351,-2447,9351,-2273,10105,-2273,10105,-2447,10105,-2459,10105,-2621m10105,-2981l9351,-2981,9351,-2795,9351,-2621,10105,-2621,10105,-2795,10105,-2981e" filled="true" fillcolor="#ffff00" stroked="false">
            <v:path arrowok="t"/>
            <v:fill type="solid"/>
            <w10:wrap type="none"/>
          </v:shape>
        </w:pict>
      </w:r>
      <w:r>
        <w:rPr/>
        <w:pict>
          <v:group style="position:absolute;margin-left:362.002014pt;margin-top:-105.845329pt;width:76pt;height:36pt;mso-position-horizontal-relative:page;mso-position-vertical-relative:paragraph;z-index:-1150744" coordorigin="7240,-2117" coordsize="1520,720">
            <v:line style="position:absolute" from="7246,-2111" to="7246,-1925" stroked="true" strokeweight=".580pt" strokecolor="#baf9f5"/>
            <v:rect style="position:absolute;left:7252;top:-2111;width:1508;height:186" filled="true" fillcolor="#baf9f5" stroked="false">
              <v:fill type="solid"/>
            </v:rect>
            <v:line style="position:absolute" from="7246,-1925" to="7246,-1751" stroked="true" strokeweight=".580pt" strokecolor="#baf9f5"/>
            <v:rect style="position:absolute;left:7252;top:-1925;width:1508;height:174" filled="true" fillcolor="#baf9f5" stroked="false">
              <v:fill type="solid"/>
            </v:rect>
            <v:line style="position:absolute" from="7246,-1751" to="7246,-1578" stroked="true" strokeweight=".580pt" strokecolor="#baf9f5"/>
            <v:rect style="position:absolute;left:7252;top:-1751;width:1508;height:174" filled="true" fillcolor="#baf9f5" stroked="false">
              <v:fill type="solid"/>
            </v:rect>
            <v:line style="position:absolute" from="7246,-1578" to="7246,-1404" stroked="true" strokeweight=".580pt" strokecolor="#baf9f5"/>
            <v:rect style="position:absolute;left:7252;top:-1578;width:1508;height:174" filled="true" fillcolor="#baf9f5" stroked="false">
              <v:fill type="solid"/>
            </v:rect>
            <w10:wrap type="none"/>
          </v:group>
        </w:pict>
      </w:r>
      <w:r>
        <w:rPr/>
        <w:pict>
          <v:shape style="position:absolute;margin-left:467.549011pt;margin-top:-105.545143pt;width:37.7pt;height:44.1pt;mso-position-horizontal-relative:page;mso-position-vertical-relative:paragraph;z-index:-1150720" coordorigin="9351,-2111" coordsize="754,882" path="m10105,-1578l9351,-1578,9351,-1415,9351,-1404,9351,-1230,10105,-1230,10105,-1404,10105,-1415,10105,-1578m10105,-2111l9351,-2111,9351,-1925,9351,-1751,9351,-1578,10105,-1578,10105,-1751,10105,-1925,10105,-2111e" filled="true" fillcolor="#ffff00" stroked="false">
            <v:path arrowok="t"/>
            <v:fill type="solid"/>
            <w10:wrap type="none"/>
          </v:shape>
        </w:pict>
      </w:r>
      <w:r>
        <w:rPr/>
        <w:pict>
          <v:group style="position:absolute;margin-left:362.002014pt;margin-top:-53.668327pt;width:76pt;height:18.6pt;mso-position-horizontal-relative:page;mso-position-vertical-relative:paragraph;z-index:-1150696" coordorigin="7240,-1073" coordsize="1520,372">
            <v:line style="position:absolute" from="7246,-1067" to="7246,-882" stroked="true" strokeweight=".580pt" strokecolor="#baf9f5"/>
            <v:rect style="position:absolute;left:7252;top:-1067;width:1508;height:186" filled="true" fillcolor="#baf9f5" stroked="false">
              <v:fill type="solid"/>
            </v:rect>
            <v:line style="position:absolute" from="7246,-882" to="7246,-708" stroked="true" strokeweight=".580pt" strokecolor="#baf9f5"/>
            <v:rect style="position:absolute;left:7252;top:-882;width:1508;height:174" filled="true" fillcolor="#baf9f5" stroked="false">
              <v:fill type="solid"/>
            </v:rect>
            <w10:wrap type="none"/>
          </v:group>
        </w:pict>
      </w:r>
      <w:r>
        <w:rPr/>
        <w:pict>
          <v:shape style="position:absolute;margin-left:467.549011pt;margin-top:-53.368141pt;width:37.7pt;height:26.7pt;mso-position-horizontal-relative:page;mso-position-vertical-relative:paragraph;z-index:-1150672" coordorigin="9351,-1067" coordsize="754,534" path="m10105,-882l9351,-882,9351,-719,9351,-708,9351,-534,10105,-534,10105,-708,10105,-719,10105,-882m10105,-1067l9351,-1067,9351,-882,10105,-882,10105,-1067e" filled="true" fillcolor="#ffff00" stroked="false">
            <v:path arrowok="t"/>
            <v:fill type="solid"/>
            <w10:wrap type="none"/>
          </v:shape>
        </w:pict>
      </w:r>
      <w:r>
        <w:rPr/>
        <w:pict>
          <v:rect style="position:absolute;margin-left:504.661011pt;margin-top:-18.583088pt;width:36.5319pt;height:9.27596pt;mso-position-horizontal-relative:page;mso-position-vertical-relative:paragraph;z-index:-1150648" filled="true" fillcolor="#67ed4d" stroked="false">
            <v:fill type="solid"/>
            <w10:wrap type="none"/>
          </v:rect>
        </w:pict>
      </w:r>
      <w:r>
        <w:rPr>
          <w:w w:val="105"/>
          <w:sz w:val="21"/>
        </w:rPr>
        <w:t>Fuente: Elaboración propia con base al estudio realizado.</w:t>
      </w:r>
    </w:p>
    <w:p>
      <w:pPr>
        <w:pStyle w:val="BodyText"/>
        <w:spacing w:before="2"/>
        <w:rPr>
          <w:sz w:val="21"/>
        </w:rPr>
      </w:pPr>
    </w:p>
    <w:p>
      <w:pPr>
        <w:pStyle w:val="BodyText"/>
        <w:spacing w:line="360" w:lineRule="auto"/>
        <w:ind w:left="268" w:right="231"/>
        <w:jc w:val="both"/>
      </w:pPr>
      <w:r>
        <w:rPr/>
        <w:t>En el análisis del eje ambiental los resultados obtenidos de los indicadores son reveladores ya que en seis de los subíndices los resultados mostrados están por debajo de la evaluación deseable.</w:t>
      </w:r>
    </w:p>
    <w:p>
      <w:pPr>
        <w:pStyle w:val="BodyText"/>
        <w:spacing w:line="360" w:lineRule="auto" w:before="122"/>
        <w:ind w:left="268" w:right="231"/>
        <w:jc w:val="both"/>
      </w:pPr>
      <w:r>
        <w:rPr/>
        <w:t>Aspectos en materia de congruencia entre la vivienda autorizada los usos de suelo de</w:t>
      </w:r>
      <w:r>
        <w:rPr>
          <w:spacing w:val="56"/>
        </w:rPr>
        <w:t> </w:t>
      </w:r>
      <w:r>
        <w:rPr/>
        <w:t>la</w:t>
      </w:r>
      <w:r>
        <w:rPr>
          <w:spacing w:val="56"/>
        </w:rPr>
        <w:t> </w:t>
      </w:r>
      <w:r>
        <w:rPr/>
        <w:t>zona,</w:t>
      </w:r>
      <w:r>
        <w:rPr>
          <w:spacing w:val="56"/>
        </w:rPr>
        <w:t> </w:t>
      </w:r>
      <w:r>
        <w:rPr/>
        <w:t>la</w:t>
      </w:r>
      <w:r>
        <w:rPr>
          <w:spacing w:val="56"/>
        </w:rPr>
        <w:t> </w:t>
      </w:r>
      <w:r>
        <w:rPr/>
        <w:t>entrega</w:t>
      </w:r>
      <w:r>
        <w:rPr>
          <w:spacing w:val="56"/>
        </w:rPr>
        <w:t> </w:t>
      </w:r>
      <w:r>
        <w:rPr/>
        <w:t>y</w:t>
      </w:r>
      <w:r>
        <w:rPr>
          <w:spacing w:val="56"/>
        </w:rPr>
        <w:t> </w:t>
      </w:r>
      <w:r>
        <w:rPr/>
        <w:t>funcionamiento</w:t>
      </w:r>
      <w:r>
        <w:rPr>
          <w:spacing w:val="56"/>
        </w:rPr>
        <w:t> </w:t>
      </w:r>
      <w:r>
        <w:rPr/>
        <w:t>de</w:t>
      </w:r>
      <w:r>
        <w:rPr>
          <w:spacing w:val="56"/>
        </w:rPr>
        <w:t> </w:t>
      </w:r>
      <w:r>
        <w:rPr/>
        <w:t>la</w:t>
      </w:r>
      <w:r>
        <w:rPr>
          <w:spacing w:val="56"/>
        </w:rPr>
        <w:t> </w:t>
      </w:r>
      <w:r>
        <w:rPr/>
        <w:t>infraestructura</w:t>
      </w:r>
      <w:r>
        <w:rPr>
          <w:spacing w:val="56"/>
        </w:rPr>
        <w:t> </w:t>
      </w:r>
      <w:r>
        <w:rPr/>
        <w:t>que</w:t>
      </w:r>
      <w:r>
        <w:rPr>
          <w:spacing w:val="56"/>
        </w:rPr>
        <w:t> </w:t>
      </w:r>
      <w:r>
        <w:rPr/>
        <w:t>garantice</w:t>
      </w:r>
      <w:r>
        <w:rPr>
          <w:spacing w:val="56"/>
        </w:rPr>
        <w:t> </w:t>
      </w:r>
      <w:r>
        <w:rPr/>
        <w:t>el</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7408" from="93.199997pt,-19.614155pt" to="546.799997pt,-19.614155pt" stroked="true" strokeweight=".479981pt" strokecolor="#000000">
            <w10:wrap type="none"/>
          </v:line>
        </w:pict>
      </w:r>
      <w:r>
        <w:rPr/>
        <w:t>óptimo aprovechamiento y cuidado de los recursos hídricos, así como el tratamiento de aguas residuales y manejo de residuos sólidos, son elementos prioritarios para el impacto ambiental que en un desarrollo habitacional se deben cuidar.</w:t>
      </w:r>
    </w:p>
    <w:p>
      <w:pPr>
        <w:pStyle w:val="BodyText"/>
        <w:spacing w:line="360" w:lineRule="auto" w:before="127"/>
        <w:ind w:left="268" w:right="231"/>
        <w:jc w:val="both"/>
      </w:pPr>
      <w:r>
        <w:rPr/>
        <w:t>Otro indicador relevante en materia ambiental sobre todo en el conjunto urbano estudiado son los metros cuadrados por habitante de área verde con los que cuenta el proyecto habitacional, puesto que según los estándares internacionales de la ONU y la OMS el desarrollo habitacional se encuentra por debajo de la norma. Esto resulta relevante al considerar que Villas del Campo es un proyecto habitacional modelo en el Estado de México, por su diseño urbano, planeación y características de equipamiento.</w:t>
      </w:r>
    </w:p>
    <w:p>
      <w:pPr>
        <w:pStyle w:val="BodyText"/>
        <w:spacing w:line="360" w:lineRule="auto" w:before="122"/>
        <w:ind w:left="268" w:right="231"/>
        <w:jc w:val="both"/>
      </w:pPr>
      <w:r>
        <w:rPr/>
        <w:t>Las áreas verdes autorizadas se encuentran parcialmente terminadas ya que el desarrollo habitacional aún no se concluye por lo que faltan áreas verdes como se puede apreciar en el mapa 6. Los indicadores de áreas verdes consideradas como equipamiento para el desarrollo y calidad de vida de sus habitantes demuestran que la norma que considera ciertos parámetros para la autorización de vivienda en el territorio se encuentra por debajo de los lineamientos que se consideran en  otros países según los índices que establece la ONU y la OMS, en la teoría en México se utiliza lo establecido por la OMS que, a su vez, está por debajo de los estándares de la ONU.</w:t>
      </w:r>
    </w:p>
    <w:p>
      <w:pPr>
        <w:pStyle w:val="BodyText"/>
        <w:spacing w:line="360" w:lineRule="auto" w:before="122"/>
        <w:ind w:left="268" w:right="231"/>
        <w:jc w:val="both"/>
      </w:pPr>
      <w:r>
        <w:rPr/>
        <w:t>En el mejor de los casos si los desarrolladores inmobiliarios cumplen con las obligaciones y responsabilidades adquiridas en la autorización del conjunto urbano garantizan contar con los requerimientos que considera la norma, los cuales les parecen demasiados, ya que el destinar superficie a otros usos que no sean superficie vendible, disminuye su margen de ganancia, por lo que gran parte de  los desarrolladores inmobiliarios incumplen en el término de las obras de equipamiento y áreas verdes de los proyectos que producen, como lo muestran  las bitácoras de supervisión de obra.</w:t>
      </w:r>
    </w:p>
    <w:p>
      <w:pPr>
        <w:pStyle w:val="BodyText"/>
        <w:spacing w:line="362" w:lineRule="auto" w:before="122"/>
        <w:ind w:left="268" w:right="231"/>
        <w:jc w:val="both"/>
      </w:pPr>
      <w:r>
        <w:rPr/>
        <w:t>En la evaluación del índice de sustentabilidad económica los resultados obtenidos demuestran que el proyecto habitacional se encuentra por debajo del resultado</w:t>
      </w:r>
    </w:p>
    <w:p>
      <w:pPr>
        <w:spacing w:after="0" w:line="362" w:lineRule="auto"/>
        <w:jc w:val="both"/>
        <w:sectPr>
          <w:footerReference w:type="default" r:id="rId111"/>
          <w:pgSz w:w="12240" w:h="15840"/>
          <w:pgMar w:footer="1066" w:header="730"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7432" from="93.199997pt,-19.614155pt" to="546.799997pt,-19.614155pt" stroked="true" strokeweight=".479981pt" strokecolor="#000000">
            <w10:wrap type="none"/>
          </v:line>
        </w:pict>
      </w:r>
      <w:r>
        <w:rPr/>
        <w:t>deseable que permita considerar que los subíndices obtenidos garanticen factores positivos para los habitantes, como se puede observar en la tabla 22.</w:t>
      </w:r>
    </w:p>
    <w:p>
      <w:pPr>
        <w:pStyle w:val="BodyText"/>
        <w:spacing w:line="360" w:lineRule="auto" w:before="122"/>
        <w:ind w:left="268" w:right="231"/>
        <w:jc w:val="both"/>
      </w:pPr>
      <w:r>
        <w:rPr/>
        <w:t>Uno de los indicadores más relevantes del eje económico es el INVEX, siendo una herramienta que evalúa al desarrollador inmobiliario a nivel nacional en cada uno de los Estados de la República en los que se encuentra produciendo vivienda y por otro lado, el índice considerado por la OCDE para una vida mejor, refuerza la evaluación de los indicadores por gastos de habitabilidad, con ambos se demuestra que los egresos que implican vivir en el desarrollo representan poco más del 21% de los ingresos familiares.</w:t>
      </w:r>
    </w:p>
    <w:p>
      <w:pPr>
        <w:pStyle w:val="BodyText"/>
        <w:spacing w:before="122" w:after="15"/>
        <w:ind w:left="268"/>
        <w:jc w:val="both"/>
      </w:pPr>
      <w:r>
        <w:rPr/>
        <w:pict>
          <v:group style="position:absolute;margin-left:361.981995pt;margin-top:58.052876pt;width:76pt;height:18.6pt;mso-position-horizontal-relative:page;mso-position-vertical-relative:paragraph;z-index:-1150576" coordorigin="7240,1161" coordsize="1520,372">
            <v:shape style="position:absolute;left:7246;top:1167;width:2;height:360" coordorigin="7246,1167" coordsize="0,360" path="m7246,1167l7246,1353m7246,1341l7246,1527e" filled="false" stroked="true" strokeweight=".580pt" strokecolor="#baf9f5">
              <v:path arrowok="t"/>
            </v:shape>
            <v:shape style="position:absolute;left:7251;top:1167;width:1508;height:360" coordorigin="7251,1167" coordsize="1508,360" path="m8759,1167l7251,1167,7251,1341,7251,1353,7251,1527,8759,1527,8759,1353,8759,1341,8759,1167e" filled="true" fillcolor="#baf9f5" stroked="false">
              <v:path arrowok="t"/>
              <v:fill type="solid"/>
            </v:shape>
            <w10:wrap type="none"/>
          </v:group>
        </w:pict>
      </w:r>
      <w:r>
        <w:rPr/>
        <w:pict>
          <v:shape style="position:absolute;margin-left:467.521027pt;margin-top:58.353825pt;width:37.7pt;height:26.7pt;mso-position-horizontal-relative:page;mso-position-vertical-relative:paragraph;z-index:-1150552" coordorigin="9350,1167" coordsize="754,534" path="m10104,1167l9350,1167,9350,1341,9350,1353,9350,1515,9350,1527,9350,1701,10104,1701,10104,1527,10104,1515,10104,1353,10104,1341,10104,1167e" filled="true" fillcolor="#ffff00" stroked="false">
            <v:path arrowok="t"/>
            <v:fill type="solid"/>
            <w10:wrap type="none"/>
          </v:shape>
        </w:pict>
      </w:r>
      <w:r>
        <w:rPr/>
        <w:pict>
          <v:shape style="position:absolute;margin-left:467.521027pt;margin-top:93.167824pt;width:37.7pt;height:18pt;mso-position-horizontal-relative:page;mso-position-vertical-relative:paragraph;z-index:-1150528" coordorigin="9350,1863" coordsize="754,360" path="m10104,1863l9350,1863,9350,2037,9350,2049,9350,2223,10104,2223,10104,2049,10104,2037,10104,1863e" filled="true" fillcolor="#ffff00" stroked="false">
            <v:path arrowok="t"/>
            <v:fill type="solid"/>
            <w10:wrap type="none"/>
          </v:shape>
        </w:pict>
      </w:r>
      <w:r>
        <w:rPr/>
        <w:pict>
          <v:group style="position:absolute;margin-left:361.981995pt;margin-top:118.979843pt;width:76pt;height:27.3pt;mso-position-horizontal-relative:page;mso-position-vertical-relative:paragraph;z-index:-1150504" coordorigin="7240,2380" coordsize="1520,546">
            <v:shape style="position:absolute;left:7251;top:2386;width:1508;height:360" coordorigin="7251,2386" coordsize="1508,360" path="m8759,2386l7251,2386,7251,2571,7251,2745,8759,2745,8759,2571,8759,2386e" filled="true" fillcolor="#baf9f5" stroked="false">
              <v:path arrowok="t"/>
              <v:fill type="solid"/>
            </v:shape>
            <v:line style="position:absolute" from="7246,2386" to="7246,2919" stroked="true" strokeweight=".580pt" strokecolor="#baf9f5"/>
            <v:rect style="position:absolute;left:7251;top:2745;width:1508;height:174" filled="true" fillcolor="#baf9f5" stroked="false">
              <v:fill type="solid"/>
            </v:rect>
            <w10:wrap type="none"/>
          </v:group>
        </w:pict>
      </w:r>
      <w:r>
        <w:rPr/>
        <w:pict>
          <v:shape style="position:absolute;margin-left:467.521027pt;margin-top:119.279823pt;width:37.7pt;height:35.4pt;mso-position-horizontal-relative:page;mso-position-vertical-relative:paragraph;z-index:-1150480" coordorigin="9350,2386" coordsize="754,708" path="m10104,2745l9350,2745,9350,2908,9350,2919,9350,3093,10104,3093,10104,2919,10104,2908,10104,2745m10104,2386l9350,2386,9350,2571,9350,2745,10104,2745,10104,2571,10104,2386e" filled="true" fillcolor="#ffff00" stroked="false">
            <v:path arrowok="t"/>
            <v:fill type="solid"/>
            <w10:wrap type="none"/>
          </v:shape>
        </w:pict>
      </w:r>
      <w:r>
        <w:rPr/>
        <w:t>Tabla 22. Villas del Campo; Índice de Sustentabilidad Económica.</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84"/>
        <w:gridCol w:w="2279"/>
        <w:gridCol w:w="1973"/>
        <w:gridCol w:w="1629"/>
        <w:gridCol w:w="756"/>
        <w:gridCol w:w="779"/>
        <w:gridCol w:w="719"/>
      </w:tblGrid>
      <w:tr>
        <w:trPr>
          <w:trHeight w:val="412" w:hRule="exact"/>
        </w:trPr>
        <w:tc>
          <w:tcPr>
            <w:tcW w:w="8819" w:type="dxa"/>
            <w:gridSpan w:val="7"/>
            <w:tcBorders>
              <w:bottom w:val="nil"/>
            </w:tcBorders>
            <w:shd w:val="clear" w:color="auto" w:fill="000000"/>
          </w:tcPr>
          <w:p>
            <w:pPr>
              <w:pStyle w:val="TableParagraph"/>
              <w:spacing w:before="106"/>
              <w:ind w:left="3167" w:right="3168"/>
              <w:rPr>
                <w:b/>
                <w:sz w:val="14"/>
              </w:rPr>
            </w:pPr>
            <w:r>
              <w:rPr>
                <w:b/>
                <w:color w:val="FFFFFF"/>
                <w:sz w:val="14"/>
              </w:rPr>
              <w:t>Índice de sustentabilidad económica</w:t>
            </w:r>
          </w:p>
        </w:tc>
      </w:tr>
      <w:tr>
        <w:trPr>
          <w:trHeight w:val="180" w:hRule="exact"/>
        </w:trPr>
        <w:tc>
          <w:tcPr>
            <w:tcW w:w="684" w:type="dxa"/>
            <w:tcBorders>
              <w:top w:val="single" w:sz="5" w:space="0" w:color="FFFFFF"/>
              <w:left w:val="single" w:sz="5" w:space="0" w:color="000000"/>
            </w:tcBorders>
            <w:shd w:val="clear" w:color="auto" w:fill="808080"/>
          </w:tcPr>
          <w:p>
            <w:pPr>
              <w:pStyle w:val="TableParagraph"/>
              <w:spacing w:line="152" w:lineRule="exact"/>
              <w:ind w:left="301"/>
              <w:jc w:val="left"/>
              <w:rPr>
                <w:b/>
                <w:sz w:val="14"/>
              </w:rPr>
            </w:pPr>
            <w:r>
              <w:rPr>
                <w:b/>
                <w:color w:val="FFFFFF"/>
                <w:sz w:val="14"/>
              </w:rPr>
              <w:t>Eje</w:t>
            </w:r>
          </w:p>
        </w:tc>
        <w:tc>
          <w:tcPr>
            <w:tcW w:w="2279" w:type="dxa"/>
            <w:tcBorders>
              <w:top w:val="single" w:sz="5" w:space="0" w:color="FFFFFF"/>
            </w:tcBorders>
            <w:shd w:val="clear" w:color="auto" w:fill="808080"/>
          </w:tcPr>
          <w:p>
            <w:pPr>
              <w:pStyle w:val="TableParagraph"/>
              <w:spacing w:line="152" w:lineRule="exact"/>
              <w:ind w:left="168"/>
              <w:jc w:val="left"/>
              <w:rPr>
                <w:b/>
                <w:sz w:val="14"/>
              </w:rPr>
            </w:pPr>
            <w:r>
              <w:rPr>
                <w:b/>
                <w:color w:val="FFFFFF"/>
                <w:sz w:val="14"/>
              </w:rPr>
              <w:t>Subíndice</w:t>
            </w:r>
          </w:p>
        </w:tc>
        <w:tc>
          <w:tcPr>
            <w:tcW w:w="1973" w:type="dxa"/>
            <w:tcBorders>
              <w:top w:val="single" w:sz="5" w:space="0" w:color="FFFFFF"/>
            </w:tcBorders>
            <w:shd w:val="clear" w:color="auto" w:fill="808080"/>
          </w:tcPr>
          <w:p>
            <w:pPr>
              <w:pStyle w:val="TableParagraph"/>
              <w:spacing w:line="152" w:lineRule="exact"/>
              <w:ind w:left="254"/>
              <w:jc w:val="left"/>
              <w:rPr>
                <w:b/>
                <w:sz w:val="14"/>
              </w:rPr>
            </w:pPr>
            <w:r>
              <w:rPr>
                <w:b/>
                <w:color w:val="FFFFFF"/>
                <w:sz w:val="14"/>
              </w:rPr>
              <w:t>Indicador</w:t>
            </w:r>
          </w:p>
        </w:tc>
        <w:tc>
          <w:tcPr>
            <w:tcW w:w="1629" w:type="dxa"/>
            <w:tcBorders>
              <w:top w:val="single" w:sz="5" w:space="0" w:color="FFFFFF"/>
            </w:tcBorders>
            <w:shd w:val="clear" w:color="auto" w:fill="808080"/>
          </w:tcPr>
          <w:p>
            <w:pPr/>
          </w:p>
        </w:tc>
        <w:tc>
          <w:tcPr>
            <w:tcW w:w="756" w:type="dxa"/>
            <w:tcBorders>
              <w:top w:val="single" w:sz="5" w:space="0" w:color="FFFFFF"/>
            </w:tcBorders>
            <w:shd w:val="clear" w:color="auto" w:fill="808080"/>
          </w:tcPr>
          <w:p>
            <w:pPr>
              <w:pStyle w:val="TableParagraph"/>
              <w:spacing w:line="152" w:lineRule="exact"/>
              <w:ind w:left="224" w:right="-49"/>
              <w:jc w:val="left"/>
              <w:rPr>
                <w:b/>
                <w:sz w:val="14"/>
              </w:rPr>
            </w:pPr>
            <w:r>
              <w:rPr>
                <w:b/>
                <w:color w:val="FFFFFF"/>
                <w:sz w:val="14"/>
              </w:rPr>
              <w:t>Valores</w:t>
            </w:r>
          </w:p>
        </w:tc>
        <w:tc>
          <w:tcPr>
            <w:tcW w:w="779" w:type="dxa"/>
            <w:tcBorders>
              <w:top w:val="single" w:sz="5" w:space="0" w:color="FFFFFF"/>
            </w:tcBorders>
            <w:shd w:val="clear" w:color="auto" w:fill="808080"/>
          </w:tcPr>
          <w:p>
            <w:pPr/>
          </w:p>
        </w:tc>
        <w:tc>
          <w:tcPr>
            <w:tcW w:w="719" w:type="dxa"/>
            <w:tcBorders>
              <w:top w:val="single" w:sz="5" w:space="0" w:color="FFFFFF"/>
              <w:right w:val="single" w:sz="9" w:space="0" w:color="000000"/>
            </w:tcBorders>
            <w:shd w:val="clear" w:color="auto" w:fill="808080"/>
          </w:tcPr>
          <w:p>
            <w:pPr/>
          </w:p>
        </w:tc>
      </w:tr>
      <w:tr>
        <w:trPr>
          <w:trHeight w:val="162" w:hRule="exact"/>
        </w:trPr>
        <w:tc>
          <w:tcPr>
            <w:tcW w:w="8819" w:type="dxa"/>
            <w:gridSpan w:val="7"/>
            <w:tcBorders>
              <w:left w:val="single" w:sz="5" w:space="0" w:color="000000"/>
              <w:right w:val="single" w:sz="9" w:space="0" w:color="000000"/>
            </w:tcBorders>
          </w:tcPr>
          <w:p>
            <w:pPr/>
          </w:p>
        </w:tc>
      </w:tr>
      <w:tr>
        <w:trPr>
          <w:trHeight w:val="179" w:hRule="exact"/>
        </w:trPr>
        <w:tc>
          <w:tcPr>
            <w:tcW w:w="684" w:type="dxa"/>
            <w:vMerge w:val="restart"/>
            <w:tcBorders>
              <w:left w:val="single" w:sz="5" w:space="0" w:color="000000"/>
            </w:tcBorders>
          </w:tcPr>
          <w:p>
            <w:pPr/>
          </w:p>
        </w:tc>
        <w:tc>
          <w:tcPr>
            <w:tcW w:w="2279" w:type="dxa"/>
          </w:tcPr>
          <w:p>
            <w:pPr/>
          </w:p>
        </w:tc>
        <w:tc>
          <w:tcPr>
            <w:tcW w:w="1973" w:type="dxa"/>
          </w:tcPr>
          <w:p>
            <w:pPr/>
          </w:p>
        </w:tc>
        <w:tc>
          <w:tcPr>
            <w:tcW w:w="1629" w:type="dxa"/>
          </w:tcPr>
          <w:p>
            <w:pPr>
              <w:pStyle w:val="TableParagraph"/>
              <w:spacing w:before="2"/>
              <w:ind w:left="683" w:right="167"/>
              <w:rPr>
                <w:b/>
                <w:sz w:val="14"/>
              </w:rPr>
            </w:pPr>
            <w:r>
              <w:rPr>
                <w:b/>
                <w:sz w:val="14"/>
              </w:rPr>
              <w:t>Evaluación</w:t>
            </w:r>
          </w:p>
        </w:tc>
        <w:tc>
          <w:tcPr>
            <w:tcW w:w="756" w:type="dxa"/>
          </w:tcPr>
          <w:p>
            <w:pPr>
              <w:pStyle w:val="TableParagraph"/>
              <w:spacing w:before="2"/>
              <w:ind w:left="189" w:right="-49"/>
              <w:jc w:val="left"/>
              <w:rPr>
                <w:b/>
                <w:sz w:val="14"/>
              </w:rPr>
            </w:pPr>
            <w:r>
              <w:rPr>
                <w:b/>
                <w:w w:val="99"/>
                <w:sz w:val="14"/>
                <w:shd w:fill="F79646" w:color="auto" w:val="clear"/>
              </w:rPr>
              <w:t> </w:t>
            </w:r>
            <w:r>
              <w:rPr>
                <w:b/>
                <w:sz w:val="14"/>
                <w:shd w:fill="F79646" w:color="auto" w:val="clear"/>
              </w:rPr>
              <w:t>  </w:t>
            </w:r>
            <w:r>
              <w:rPr>
                <w:b/>
                <w:spacing w:val="7"/>
                <w:sz w:val="14"/>
                <w:shd w:fill="F79646" w:color="auto" w:val="clear"/>
              </w:rPr>
              <w:t> </w:t>
            </w:r>
            <w:r>
              <w:rPr>
                <w:b/>
                <w:sz w:val="14"/>
                <w:shd w:fill="F79646" w:color="auto" w:val="clear"/>
              </w:rPr>
              <w:t>Real</w:t>
            </w:r>
            <w:r>
              <w:rPr>
                <w:b/>
                <w:spacing w:val="2"/>
                <w:sz w:val="14"/>
                <w:shd w:fill="F79646" w:color="auto" w:val="clear"/>
              </w:rPr>
              <w:t> </w:t>
            </w:r>
          </w:p>
        </w:tc>
        <w:tc>
          <w:tcPr>
            <w:tcW w:w="779" w:type="dxa"/>
          </w:tcPr>
          <w:p>
            <w:pPr>
              <w:pStyle w:val="TableParagraph"/>
              <w:spacing w:before="2"/>
              <w:ind w:left="84" w:right="40"/>
              <w:rPr>
                <w:b/>
                <w:sz w:val="14"/>
              </w:rPr>
            </w:pPr>
            <w:r>
              <w:rPr>
                <w:b/>
                <w:sz w:val="14"/>
              </w:rPr>
              <w:t>Deseable</w:t>
            </w:r>
          </w:p>
        </w:tc>
        <w:tc>
          <w:tcPr>
            <w:tcW w:w="719" w:type="dxa"/>
            <w:tcBorders>
              <w:right w:val="single" w:sz="9" w:space="0" w:color="000000"/>
            </w:tcBorders>
            <w:shd w:val="clear" w:color="auto" w:fill="67ED4D"/>
          </w:tcPr>
          <w:p>
            <w:pPr>
              <w:pStyle w:val="TableParagraph"/>
              <w:spacing w:before="2"/>
              <w:ind w:left="105" w:right="71"/>
              <w:rPr>
                <w:b/>
                <w:sz w:val="14"/>
              </w:rPr>
            </w:pPr>
            <w:r>
              <w:rPr>
                <w:b/>
                <w:sz w:val="14"/>
              </w:rPr>
              <w:t>Óptimo</w:t>
            </w:r>
          </w:p>
        </w:tc>
      </w:tr>
      <w:tr>
        <w:trPr>
          <w:trHeight w:val="176" w:hRule="exact"/>
        </w:trPr>
        <w:tc>
          <w:tcPr>
            <w:tcW w:w="684" w:type="dxa"/>
            <w:vMerge/>
            <w:tcBorders>
              <w:left w:val="single" w:sz="5" w:space="0" w:color="000000"/>
            </w:tcBorders>
          </w:tcPr>
          <w:p>
            <w:pPr/>
          </w:p>
        </w:tc>
        <w:tc>
          <w:tcPr>
            <w:tcW w:w="2279" w:type="dxa"/>
          </w:tcPr>
          <w:p>
            <w:pPr>
              <w:pStyle w:val="TableParagraph"/>
              <w:spacing w:line="166" w:lineRule="exact"/>
              <w:ind w:left="168"/>
              <w:jc w:val="left"/>
              <w:rPr>
                <w:rFonts w:ascii="Calibri" w:hAnsi="Calibri"/>
                <w:sz w:val="14"/>
              </w:rPr>
            </w:pPr>
            <w:r>
              <w:rPr>
                <w:rFonts w:ascii="Calibri" w:hAnsi="Calibri"/>
                <w:sz w:val="14"/>
              </w:rPr>
              <w:t>Situación de la vivienda</w:t>
            </w:r>
          </w:p>
        </w:tc>
        <w:tc>
          <w:tcPr>
            <w:tcW w:w="1973" w:type="dxa"/>
          </w:tcPr>
          <w:p>
            <w:pPr>
              <w:pStyle w:val="TableParagraph"/>
              <w:spacing w:line="166" w:lineRule="exact"/>
              <w:ind w:left="254"/>
              <w:jc w:val="left"/>
              <w:rPr>
                <w:rFonts w:ascii="Calibri"/>
                <w:sz w:val="14"/>
              </w:rPr>
            </w:pPr>
            <w:r>
              <w:rPr>
                <w:rFonts w:ascii="Calibri"/>
                <w:sz w:val="14"/>
              </w:rPr>
              <w:t>Precio</w:t>
            </w:r>
          </w:p>
        </w:tc>
        <w:tc>
          <w:tcPr>
            <w:tcW w:w="1629" w:type="dxa"/>
          </w:tcPr>
          <w:p>
            <w:pPr>
              <w:pStyle w:val="TableParagraph"/>
              <w:spacing w:line="166" w:lineRule="exact"/>
              <w:ind w:left="681" w:right="167"/>
              <w:rPr>
                <w:rFonts w:ascii="Calibri"/>
                <w:sz w:val="14"/>
              </w:rPr>
            </w:pPr>
            <w:r>
              <w:rPr>
                <w:rFonts w:ascii="Calibri"/>
                <w:sz w:val="14"/>
              </w:rPr>
              <w:t>0.5</w:t>
            </w:r>
          </w:p>
        </w:tc>
        <w:tc>
          <w:tcPr>
            <w:tcW w:w="756" w:type="dxa"/>
          </w:tcPr>
          <w:p>
            <w:pPr/>
          </w:p>
        </w:tc>
        <w:tc>
          <w:tcPr>
            <w:tcW w:w="779" w:type="dxa"/>
          </w:tcPr>
          <w:p>
            <w:pPr>
              <w:pStyle w:val="TableParagraph"/>
              <w:spacing w:line="166" w:lineRule="exact"/>
              <w:ind w:left="84" w:right="34"/>
              <w:rPr>
                <w:rFonts w:ascii="Calibri"/>
                <w:sz w:val="14"/>
              </w:rPr>
            </w:pPr>
            <w:r>
              <w:rPr>
                <w:rFonts w:ascii="Calibri"/>
                <w:sz w:val="14"/>
              </w:rPr>
              <w:t>0.5</w:t>
            </w:r>
          </w:p>
        </w:tc>
        <w:tc>
          <w:tcPr>
            <w:tcW w:w="719" w:type="dxa"/>
            <w:tcBorders>
              <w:right w:val="single" w:sz="9" w:space="0" w:color="000000"/>
            </w:tcBorders>
            <w:shd w:val="clear" w:color="auto" w:fill="67ED4D"/>
          </w:tcPr>
          <w:p>
            <w:pPr>
              <w:pStyle w:val="TableParagraph"/>
              <w:spacing w:line="166" w:lineRule="exact"/>
              <w:ind w:left="35"/>
              <w:rPr>
                <w:rFonts w:ascii="Calibri"/>
                <w:sz w:val="14"/>
              </w:rPr>
            </w:pPr>
            <w:r>
              <w:rPr>
                <w:rFonts w:ascii="Calibri"/>
                <w:w w:val="99"/>
                <w:sz w:val="14"/>
              </w:rPr>
              <w:t>1</w:t>
            </w:r>
          </w:p>
        </w:tc>
      </w:tr>
      <w:tr>
        <w:trPr>
          <w:trHeight w:val="178" w:hRule="exact"/>
        </w:trPr>
        <w:tc>
          <w:tcPr>
            <w:tcW w:w="684" w:type="dxa"/>
            <w:vMerge/>
            <w:tcBorders>
              <w:left w:val="single" w:sz="5" w:space="0" w:color="000000"/>
            </w:tcBorders>
          </w:tcPr>
          <w:p>
            <w:pPr/>
          </w:p>
        </w:tc>
        <w:tc>
          <w:tcPr>
            <w:tcW w:w="2279" w:type="dxa"/>
          </w:tcPr>
          <w:p>
            <w:pPr/>
          </w:p>
        </w:tc>
        <w:tc>
          <w:tcPr>
            <w:tcW w:w="1973" w:type="dxa"/>
          </w:tcPr>
          <w:p>
            <w:pPr/>
          </w:p>
        </w:tc>
        <w:tc>
          <w:tcPr>
            <w:tcW w:w="1629" w:type="dxa"/>
          </w:tcPr>
          <w:p>
            <w:pPr>
              <w:pStyle w:val="TableParagraph"/>
              <w:spacing w:line="165" w:lineRule="exact"/>
              <w:ind w:left="678" w:right="167"/>
              <w:rPr>
                <w:rFonts w:ascii="Calibri"/>
                <w:sz w:val="14"/>
              </w:rPr>
            </w:pPr>
            <w:r>
              <w:rPr>
                <w:rFonts w:ascii="Calibri"/>
                <w:sz w:val="14"/>
              </w:rPr>
              <w:t>Subtotal</w:t>
            </w:r>
          </w:p>
        </w:tc>
        <w:tc>
          <w:tcPr>
            <w:tcW w:w="756" w:type="dxa"/>
          </w:tcPr>
          <w:p>
            <w:pPr>
              <w:pStyle w:val="TableParagraph"/>
              <w:tabs>
                <w:tab w:pos="803" w:val="left" w:leader="none"/>
              </w:tabs>
              <w:spacing w:line="165" w:lineRule="exact"/>
              <w:ind w:left="189" w:right="-49"/>
              <w:jc w:val="left"/>
              <w:rPr>
                <w:rFonts w:ascii="Calibri"/>
                <w:sz w:val="14"/>
              </w:rPr>
            </w:pPr>
            <w:r>
              <w:rPr>
                <w:rFonts w:ascii="Times New Roman"/>
                <w:w w:val="99"/>
                <w:sz w:val="14"/>
                <w:shd w:fill="F79646" w:color="auto" w:val="clear"/>
              </w:rPr>
              <w:t> </w:t>
            </w:r>
            <w:r>
              <w:rPr>
                <w:rFonts w:ascii="Times New Roman"/>
                <w:sz w:val="14"/>
                <w:shd w:fill="F79646" w:color="auto" w:val="clear"/>
              </w:rPr>
              <w:t>    </w:t>
            </w:r>
            <w:r>
              <w:rPr>
                <w:rFonts w:ascii="Times New Roman"/>
                <w:spacing w:val="10"/>
                <w:sz w:val="14"/>
                <w:shd w:fill="F79646" w:color="auto" w:val="clear"/>
              </w:rPr>
              <w:t> </w:t>
            </w:r>
            <w:r>
              <w:rPr>
                <w:rFonts w:ascii="Calibri"/>
                <w:sz w:val="14"/>
                <w:shd w:fill="F79646" w:color="auto" w:val="clear"/>
              </w:rPr>
              <w:t>0.5</w:t>
              <w:tab/>
            </w:r>
          </w:p>
        </w:tc>
        <w:tc>
          <w:tcPr>
            <w:tcW w:w="779" w:type="dxa"/>
          </w:tcPr>
          <w:p>
            <w:pPr>
              <w:pStyle w:val="TableParagraph"/>
              <w:spacing w:line="165" w:lineRule="exact"/>
              <w:ind w:left="84" w:right="34"/>
              <w:rPr>
                <w:rFonts w:ascii="Calibri"/>
                <w:sz w:val="14"/>
              </w:rPr>
            </w:pPr>
            <w:r>
              <w:rPr>
                <w:rFonts w:ascii="Calibri"/>
                <w:sz w:val="14"/>
              </w:rPr>
              <w:t>0.5</w:t>
            </w:r>
          </w:p>
        </w:tc>
        <w:tc>
          <w:tcPr>
            <w:tcW w:w="719" w:type="dxa"/>
            <w:tcBorders>
              <w:right w:val="single" w:sz="9" w:space="0" w:color="000000"/>
            </w:tcBorders>
            <w:shd w:val="clear" w:color="auto" w:fill="67ED4D"/>
          </w:tcPr>
          <w:p>
            <w:pPr>
              <w:pStyle w:val="TableParagraph"/>
              <w:spacing w:line="164" w:lineRule="exact"/>
              <w:ind w:left="35"/>
              <w:rPr>
                <w:rFonts w:ascii="Calibri"/>
                <w:sz w:val="14"/>
              </w:rPr>
            </w:pPr>
            <w:r>
              <w:rPr>
                <w:rFonts w:ascii="Calibri"/>
                <w:w w:val="99"/>
                <w:sz w:val="14"/>
              </w:rPr>
              <w:t>1</w:t>
            </w:r>
          </w:p>
        </w:tc>
      </w:tr>
      <w:tr>
        <w:trPr>
          <w:trHeight w:val="162" w:hRule="exact"/>
        </w:trPr>
        <w:tc>
          <w:tcPr>
            <w:tcW w:w="8819" w:type="dxa"/>
            <w:gridSpan w:val="7"/>
            <w:tcBorders>
              <w:left w:val="single" w:sz="5" w:space="0" w:color="000000"/>
              <w:right w:val="single" w:sz="9" w:space="0" w:color="000000"/>
            </w:tcBorders>
          </w:tcPr>
          <w:p>
            <w:pPr/>
          </w:p>
        </w:tc>
      </w:tr>
      <w:tr>
        <w:trPr>
          <w:trHeight w:val="180" w:hRule="exact"/>
        </w:trPr>
        <w:tc>
          <w:tcPr>
            <w:tcW w:w="684" w:type="dxa"/>
            <w:tcBorders>
              <w:left w:val="single" w:sz="5" w:space="0" w:color="000000"/>
            </w:tcBorders>
          </w:tcPr>
          <w:p>
            <w:pPr/>
          </w:p>
        </w:tc>
        <w:tc>
          <w:tcPr>
            <w:tcW w:w="2279" w:type="dxa"/>
          </w:tcPr>
          <w:p>
            <w:pPr>
              <w:pStyle w:val="TableParagraph"/>
              <w:ind w:left="168"/>
              <w:jc w:val="left"/>
              <w:rPr>
                <w:rFonts w:ascii="Calibri"/>
                <w:sz w:val="14"/>
              </w:rPr>
            </w:pPr>
            <w:r>
              <w:rPr>
                <w:rFonts w:ascii="Calibri"/>
                <w:sz w:val="14"/>
              </w:rPr>
              <w:t>INEX</w:t>
            </w:r>
          </w:p>
        </w:tc>
        <w:tc>
          <w:tcPr>
            <w:tcW w:w="1973" w:type="dxa"/>
          </w:tcPr>
          <w:p>
            <w:pPr>
              <w:pStyle w:val="TableParagraph"/>
              <w:ind w:left="254"/>
              <w:jc w:val="left"/>
              <w:rPr>
                <w:rFonts w:ascii="Calibri"/>
                <w:sz w:val="14"/>
              </w:rPr>
            </w:pPr>
            <w:r>
              <w:rPr>
                <w:rFonts w:ascii="Calibri"/>
                <w:sz w:val="14"/>
              </w:rPr>
              <w:t>Infonavit</w:t>
            </w:r>
          </w:p>
        </w:tc>
        <w:tc>
          <w:tcPr>
            <w:tcW w:w="1629" w:type="dxa"/>
          </w:tcPr>
          <w:p>
            <w:pPr>
              <w:pStyle w:val="TableParagraph"/>
              <w:tabs>
                <w:tab w:pos="1041" w:val="left" w:leader="none"/>
                <w:tab w:pos="1830" w:val="left" w:leader="none"/>
              </w:tabs>
              <w:ind w:left="311" w:right="-201"/>
              <w:rPr>
                <w:rFonts w:ascii="Calibri"/>
                <w:sz w:val="14"/>
              </w:rPr>
            </w:pPr>
            <w:r>
              <w:rPr>
                <w:rFonts w:ascii="Times New Roman"/>
                <w:w w:val="99"/>
                <w:sz w:val="14"/>
                <w:shd w:fill="BAF9F5" w:color="auto" w:val="clear"/>
              </w:rPr>
              <w:t> </w:t>
            </w:r>
            <w:r>
              <w:rPr>
                <w:rFonts w:ascii="Times New Roman"/>
                <w:sz w:val="14"/>
                <w:shd w:fill="BAF9F5" w:color="auto" w:val="clear"/>
              </w:rPr>
              <w:tab/>
            </w:r>
            <w:r>
              <w:rPr>
                <w:rFonts w:ascii="Calibri"/>
                <w:sz w:val="14"/>
                <w:shd w:fill="BAF9F5" w:color="auto" w:val="clear"/>
              </w:rPr>
              <w:t>0</w:t>
              <w:tab/>
            </w:r>
          </w:p>
        </w:tc>
        <w:tc>
          <w:tcPr>
            <w:tcW w:w="756" w:type="dxa"/>
          </w:tcPr>
          <w:p>
            <w:pPr/>
          </w:p>
        </w:tc>
        <w:tc>
          <w:tcPr>
            <w:tcW w:w="779" w:type="dxa"/>
          </w:tcPr>
          <w:p>
            <w:pPr>
              <w:pStyle w:val="TableParagraph"/>
              <w:ind w:left="84" w:right="34"/>
              <w:rPr>
                <w:rFonts w:ascii="Calibri"/>
                <w:sz w:val="14"/>
              </w:rPr>
            </w:pPr>
            <w:r>
              <w:rPr>
                <w:rFonts w:ascii="Calibri"/>
                <w:sz w:val="14"/>
              </w:rPr>
              <w:t>0.7</w:t>
            </w:r>
          </w:p>
        </w:tc>
        <w:tc>
          <w:tcPr>
            <w:tcW w:w="719" w:type="dxa"/>
            <w:tcBorders>
              <w:right w:val="single" w:sz="9" w:space="0" w:color="000000"/>
            </w:tcBorders>
            <w:shd w:val="clear" w:color="auto" w:fill="67ED4D"/>
          </w:tcPr>
          <w:p>
            <w:pPr>
              <w:pStyle w:val="TableParagraph"/>
              <w:ind w:left="35"/>
              <w:rPr>
                <w:rFonts w:ascii="Calibri"/>
                <w:sz w:val="14"/>
              </w:rPr>
            </w:pPr>
            <w:r>
              <w:rPr>
                <w:rFonts w:ascii="Calibri"/>
                <w:w w:val="99"/>
                <w:sz w:val="14"/>
              </w:rPr>
              <w:t>1</w:t>
            </w:r>
          </w:p>
        </w:tc>
      </w:tr>
      <w:tr>
        <w:trPr>
          <w:trHeight w:val="180" w:hRule="exact"/>
        </w:trPr>
        <w:tc>
          <w:tcPr>
            <w:tcW w:w="684" w:type="dxa"/>
            <w:tcBorders>
              <w:left w:val="single" w:sz="5" w:space="0" w:color="000000"/>
            </w:tcBorders>
          </w:tcPr>
          <w:p>
            <w:pPr/>
          </w:p>
        </w:tc>
        <w:tc>
          <w:tcPr>
            <w:tcW w:w="2279" w:type="dxa"/>
          </w:tcPr>
          <w:p>
            <w:pPr/>
          </w:p>
        </w:tc>
        <w:tc>
          <w:tcPr>
            <w:tcW w:w="1973" w:type="dxa"/>
          </w:tcPr>
          <w:p>
            <w:pPr/>
          </w:p>
        </w:tc>
        <w:tc>
          <w:tcPr>
            <w:tcW w:w="1629" w:type="dxa"/>
          </w:tcPr>
          <w:p>
            <w:pPr>
              <w:pStyle w:val="TableParagraph"/>
              <w:spacing w:line="165" w:lineRule="exact"/>
              <w:ind w:left="678" w:right="167"/>
              <w:rPr>
                <w:rFonts w:ascii="Calibri"/>
                <w:sz w:val="14"/>
              </w:rPr>
            </w:pPr>
            <w:r>
              <w:rPr>
                <w:rFonts w:ascii="Calibri"/>
                <w:sz w:val="14"/>
              </w:rPr>
              <w:t>Subtotal</w:t>
            </w:r>
          </w:p>
        </w:tc>
        <w:tc>
          <w:tcPr>
            <w:tcW w:w="756" w:type="dxa"/>
          </w:tcPr>
          <w:p>
            <w:pPr>
              <w:pStyle w:val="TableParagraph"/>
              <w:tabs>
                <w:tab w:pos="467" w:val="left" w:leader="none"/>
                <w:tab w:pos="803" w:val="left" w:leader="none"/>
              </w:tabs>
              <w:spacing w:line="165" w:lineRule="exact"/>
              <w:ind w:left="189" w:right="-49"/>
              <w:jc w:val="left"/>
              <w:rPr>
                <w:rFonts w:ascii="Calibri"/>
                <w:sz w:val="14"/>
              </w:rPr>
            </w:pPr>
            <w:r>
              <w:rPr>
                <w:rFonts w:ascii="Times New Roman"/>
                <w:w w:val="99"/>
                <w:sz w:val="14"/>
                <w:shd w:fill="F79646" w:color="auto" w:val="clear"/>
              </w:rPr>
              <w:t> </w:t>
            </w:r>
            <w:r>
              <w:rPr>
                <w:rFonts w:ascii="Times New Roman"/>
                <w:sz w:val="14"/>
                <w:shd w:fill="F79646" w:color="auto" w:val="clear"/>
              </w:rPr>
              <w:tab/>
            </w:r>
            <w:r>
              <w:rPr>
                <w:rFonts w:ascii="Calibri"/>
                <w:sz w:val="14"/>
                <w:shd w:fill="F79646" w:color="auto" w:val="clear"/>
              </w:rPr>
              <w:t>0</w:t>
              <w:tab/>
            </w:r>
          </w:p>
        </w:tc>
        <w:tc>
          <w:tcPr>
            <w:tcW w:w="779" w:type="dxa"/>
          </w:tcPr>
          <w:p>
            <w:pPr>
              <w:pStyle w:val="TableParagraph"/>
              <w:spacing w:line="165" w:lineRule="exact"/>
              <w:ind w:left="84" w:right="34"/>
              <w:rPr>
                <w:rFonts w:ascii="Calibri"/>
                <w:sz w:val="14"/>
              </w:rPr>
            </w:pPr>
            <w:r>
              <w:rPr>
                <w:rFonts w:ascii="Calibri"/>
                <w:sz w:val="14"/>
              </w:rPr>
              <w:t>0.7</w:t>
            </w:r>
          </w:p>
        </w:tc>
        <w:tc>
          <w:tcPr>
            <w:tcW w:w="719" w:type="dxa"/>
            <w:tcBorders>
              <w:right w:val="single" w:sz="9" w:space="0" w:color="000000"/>
            </w:tcBorders>
            <w:shd w:val="clear" w:color="auto" w:fill="67ED4D"/>
          </w:tcPr>
          <w:p>
            <w:pPr>
              <w:pStyle w:val="TableParagraph"/>
              <w:spacing w:line="165" w:lineRule="exact"/>
              <w:ind w:left="35"/>
              <w:rPr>
                <w:rFonts w:ascii="Calibri"/>
                <w:sz w:val="14"/>
              </w:rPr>
            </w:pPr>
            <w:r>
              <w:rPr>
                <w:rFonts w:ascii="Calibri"/>
                <w:w w:val="99"/>
                <w:sz w:val="14"/>
              </w:rPr>
              <w:t>1</w:t>
            </w:r>
          </w:p>
        </w:tc>
      </w:tr>
      <w:tr>
        <w:trPr>
          <w:trHeight w:val="162" w:hRule="exact"/>
        </w:trPr>
        <w:tc>
          <w:tcPr>
            <w:tcW w:w="8819" w:type="dxa"/>
            <w:gridSpan w:val="7"/>
            <w:tcBorders>
              <w:left w:val="single" w:sz="5" w:space="0" w:color="000000"/>
              <w:right w:val="single" w:sz="9" w:space="0" w:color="000000"/>
            </w:tcBorders>
          </w:tcPr>
          <w:p>
            <w:pPr/>
          </w:p>
        </w:tc>
      </w:tr>
      <w:tr>
        <w:trPr>
          <w:trHeight w:val="182" w:hRule="exact"/>
        </w:trPr>
        <w:tc>
          <w:tcPr>
            <w:tcW w:w="684" w:type="dxa"/>
            <w:vMerge w:val="restart"/>
            <w:tcBorders>
              <w:left w:val="single" w:sz="5" w:space="0" w:color="000000"/>
            </w:tcBorders>
          </w:tcPr>
          <w:p>
            <w:pPr/>
          </w:p>
        </w:tc>
        <w:tc>
          <w:tcPr>
            <w:tcW w:w="2279" w:type="dxa"/>
          </w:tcPr>
          <w:p>
            <w:pPr/>
          </w:p>
        </w:tc>
        <w:tc>
          <w:tcPr>
            <w:tcW w:w="1973" w:type="dxa"/>
          </w:tcPr>
          <w:p>
            <w:pPr>
              <w:pStyle w:val="TableParagraph"/>
              <w:ind w:left="254"/>
              <w:jc w:val="left"/>
              <w:rPr>
                <w:rFonts w:ascii="Calibri"/>
                <w:sz w:val="14"/>
              </w:rPr>
            </w:pPr>
            <w:r>
              <w:rPr>
                <w:rFonts w:ascii="Calibri"/>
                <w:sz w:val="14"/>
              </w:rPr>
              <w:t>Ingresos al Estado</w:t>
            </w:r>
          </w:p>
        </w:tc>
        <w:tc>
          <w:tcPr>
            <w:tcW w:w="1629" w:type="dxa"/>
          </w:tcPr>
          <w:p>
            <w:pPr>
              <w:pStyle w:val="TableParagraph"/>
              <w:ind w:left="681" w:right="167"/>
              <w:rPr>
                <w:rFonts w:ascii="Calibri"/>
                <w:sz w:val="14"/>
              </w:rPr>
            </w:pPr>
            <w:r>
              <w:rPr>
                <w:rFonts w:ascii="Calibri"/>
                <w:sz w:val="14"/>
              </w:rPr>
              <w:t>0.7</w:t>
            </w:r>
          </w:p>
        </w:tc>
        <w:tc>
          <w:tcPr>
            <w:tcW w:w="756" w:type="dxa"/>
          </w:tcPr>
          <w:p>
            <w:pPr/>
          </w:p>
        </w:tc>
        <w:tc>
          <w:tcPr>
            <w:tcW w:w="779" w:type="dxa"/>
          </w:tcPr>
          <w:p>
            <w:pPr>
              <w:pStyle w:val="TableParagraph"/>
              <w:ind w:left="84" w:right="34"/>
              <w:rPr>
                <w:rFonts w:ascii="Calibri"/>
                <w:sz w:val="14"/>
              </w:rPr>
            </w:pPr>
            <w:r>
              <w:rPr>
                <w:rFonts w:ascii="Calibri"/>
                <w:sz w:val="14"/>
              </w:rPr>
              <w:t>0.9</w:t>
            </w:r>
          </w:p>
        </w:tc>
        <w:tc>
          <w:tcPr>
            <w:tcW w:w="719" w:type="dxa"/>
            <w:tcBorders>
              <w:right w:val="single" w:sz="9" w:space="0" w:color="000000"/>
            </w:tcBorders>
            <w:shd w:val="clear" w:color="auto" w:fill="67ED4D"/>
          </w:tcPr>
          <w:p>
            <w:pPr>
              <w:pStyle w:val="TableParagraph"/>
              <w:ind w:left="35"/>
              <w:rPr>
                <w:rFonts w:ascii="Calibri"/>
                <w:sz w:val="14"/>
              </w:rPr>
            </w:pPr>
            <w:r>
              <w:rPr>
                <w:rFonts w:ascii="Calibri"/>
                <w:w w:val="99"/>
                <w:sz w:val="14"/>
              </w:rPr>
              <w:t>1</w:t>
            </w:r>
          </w:p>
        </w:tc>
      </w:tr>
      <w:tr>
        <w:trPr>
          <w:trHeight w:val="174" w:hRule="exact"/>
        </w:trPr>
        <w:tc>
          <w:tcPr>
            <w:tcW w:w="684" w:type="dxa"/>
            <w:vMerge/>
            <w:tcBorders>
              <w:left w:val="single" w:sz="5" w:space="0" w:color="000000"/>
            </w:tcBorders>
          </w:tcPr>
          <w:p>
            <w:pPr/>
          </w:p>
        </w:tc>
        <w:tc>
          <w:tcPr>
            <w:tcW w:w="2279" w:type="dxa"/>
          </w:tcPr>
          <w:p>
            <w:pPr>
              <w:pStyle w:val="TableParagraph"/>
              <w:spacing w:line="164" w:lineRule="exact"/>
              <w:ind w:left="168"/>
              <w:jc w:val="left"/>
              <w:rPr>
                <w:rFonts w:ascii="Calibri" w:hAnsi="Calibri"/>
                <w:sz w:val="14"/>
              </w:rPr>
            </w:pPr>
            <w:r>
              <w:rPr>
                <w:rFonts w:ascii="Calibri" w:hAnsi="Calibri"/>
                <w:sz w:val="14"/>
              </w:rPr>
              <w:t>Ingresos por autorización</w:t>
            </w:r>
          </w:p>
        </w:tc>
        <w:tc>
          <w:tcPr>
            <w:tcW w:w="1973" w:type="dxa"/>
          </w:tcPr>
          <w:p>
            <w:pPr>
              <w:pStyle w:val="TableParagraph"/>
              <w:spacing w:line="164" w:lineRule="exact"/>
              <w:ind w:left="254"/>
              <w:jc w:val="left"/>
              <w:rPr>
                <w:rFonts w:ascii="Calibri"/>
                <w:sz w:val="14"/>
              </w:rPr>
            </w:pPr>
            <w:r>
              <w:rPr>
                <w:rFonts w:ascii="Calibri"/>
                <w:sz w:val="14"/>
              </w:rPr>
              <w:t>Ingresos al Municipio</w:t>
            </w:r>
          </w:p>
        </w:tc>
        <w:tc>
          <w:tcPr>
            <w:tcW w:w="1629" w:type="dxa"/>
          </w:tcPr>
          <w:p>
            <w:pPr>
              <w:pStyle w:val="TableParagraph"/>
              <w:spacing w:line="164" w:lineRule="exact"/>
              <w:ind w:left="681" w:right="167"/>
              <w:rPr>
                <w:rFonts w:ascii="Calibri"/>
                <w:sz w:val="14"/>
              </w:rPr>
            </w:pPr>
            <w:r>
              <w:rPr>
                <w:rFonts w:ascii="Calibri"/>
                <w:sz w:val="14"/>
              </w:rPr>
              <w:t>0.5</w:t>
            </w:r>
          </w:p>
        </w:tc>
        <w:tc>
          <w:tcPr>
            <w:tcW w:w="756" w:type="dxa"/>
          </w:tcPr>
          <w:p>
            <w:pPr/>
          </w:p>
        </w:tc>
        <w:tc>
          <w:tcPr>
            <w:tcW w:w="779" w:type="dxa"/>
          </w:tcPr>
          <w:p>
            <w:pPr>
              <w:pStyle w:val="TableParagraph"/>
              <w:spacing w:line="164" w:lineRule="exact"/>
              <w:ind w:left="84" w:right="34"/>
              <w:rPr>
                <w:rFonts w:ascii="Calibri"/>
                <w:sz w:val="14"/>
              </w:rPr>
            </w:pPr>
            <w:r>
              <w:rPr>
                <w:rFonts w:ascii="Calibri"/>
                <w:sz w:val="14"/>
              </w:rPr>
              <w:t>0.9</w:t>
            </w:r>
          </w:p>
        </w:tc>
        <w:tc>
          <w:tcPr>
            <w:tcW w:w="719" w:type="dxa"/>
            <w:tcBorders>
              <w:right w:val="single" w:sz="9" w:space="0" w:color="000000"/>
            </w:tcBorders>
            <w:shd w:val="clear" w:color="auto" w:fill="67ED4D"/>
          </w:tcPr>
          <w:p>
            <w:pPr>
              <w:pStyle w:val="TableParagraph"/>
              <w:spacing w:line="164" w:lineRule="exact"/>
              <w:ind w:left="35"/>
              <w:rPr>
                <w:rFonts w:ascii="Calibri"/>
                <w:sz w:val="14"/>
              </w:rPr>
            </w:pPr>
            <w:r>
              <w:rPr>
                <w:rFonts w:ascii="Calibri"/>
                <w:w w:val="99"/>
                <w:sz w:val="14"/>
              </w:rPr>
              <w:t>1</w:t>
            </w:r>
          </w:p>
        </w:tc>
      </w:tr>
      <w:tr>
        <w:trPr>
          <w:trHeight w:val="174" w:hRule="exact"/>
        </w:trPr>
        <w:tc>
          <w:tcPr>
            <w:tcW w:w="684" w:type="dxa"/>
            <w:vMerge/>
            <w:tcBorders>
              <w:left w:val="single" w:sz="5" w:space="0" w:color="000000"/>
            </w:tcBorders>
          </w:tcPr>
          <w:p>
            <w:pPr/>
          </w:p>
        </w:tc>
        <w:tc>
          <w:tcPr>
            <w:tcW w:w="2279" w:type="dxa"/>
          </w:tcPr>
          <w:p>
            <w:pPr/>
          </w:p>
        </w:tc>
        <w:tc>
          <w:tcPr>
            <w:tcW w:w="1973" w:type="dxa"/>
          </w:tcPr>
          <w:p>
            <w:pPr>
              <w:pStyle w:val="TableParagraph"/>
              <w:spacing w:line="164" w:lineRule="exact"/>
              <w:ind w:left="254"/>
              <w:jc w:val="left"/>
              <w:rPr>
                <w:rFonts w:ascii="Calibri"/>
                <w:sz w:val="14"/>
              </w:rPr>
            </w:pPr>
            <w:r>
              <w:rPr>
                <w:rFonts w:ascii="Calibri"/>
                <w:sz w:val="14"/>
              </w:rPr>
              <w:t>Ingresos al Desarrollador</w:t>
            </w:r>
          </w:p>
        </w:tc>
        <w:tc>
          <w:tcPr>
            <w:tcW w:w="1629" w:type="dxa"/>
          </w:tcPr>
          <w:p>
            <w:pPr>
              <w:pStyle w:val="TableParagraph"/>
              <w:spacing w:line="164" w:lineRule="exact"/>
              <w:ind w:left="681" w:right="167"/>
              <w:rPr>
                <w:rFonts w:ascii="Calibri"/>
                <w:sz w:val="14"/>
              </w:rPr>
            </w:pPr>
            <w:r>
              <w:rPr>
                <w:rFonts w:ascii="Calibri"/>
                <w:sz w:val="14"/>
              </w:rPr>
              <w:t>0.6</w:t>
            </w:r>
          </w:p>
        </w:tc>
        <w:tc>
          <w:tcPr>
            <w:tcW w:w="756" w:type="dxa"/>
          </w:tcPr>
          <w:p>
            <w:pPr/>
          </w:p>
        </w:tc>
        <w:tc>
          <w:tcPr>
            <w:tcW w:w="779" w:type="dxa"/>
          </w:tcPr>
          <w:p>
            <w:pPr>
              <w:pStyle w:val="TableParagraph"/>
              <w:spacing w:line="164" w:lineRule="exact"/>
              <w:ind w:left="60"/>
              <w:rPr>
                <w:rFonts w:ascii="Calibri"/>
                <w:sz w:val="14"/>
              </w:rPr>
            </w:pPr>
            <w:r>
              <w:rPr>
                <w:rFonts w:ascii="Calibri"/>
                <w:w w:val="99"/>
                <w:sz w:val="14"/>
              </w:rPr>
              <w:t>1</w:t>
            </w:r>
          </w:p>
        </w:tc>
        <w:tc>
          <w:tcPr>
            <w:tcW w:w="719" w:type="dxa"/>
            <w:tcBorders>
              <w:right w:val="single" w:sz="9" w:space="0" w:color="000000"/>
            </w:tcBorders>
            <w:shd w:val="clear" w:color="auto" w:fill="67ED4D"/>
          </w:tcPr>
          <w:p>
            <w:pPr>
              <w:pStyle w:val="TableParagraph"/>
              <w:spacing w:line="164" w:lineRule="exact"/>
              <w:ind w:left="35"/>
              <w:rPr>
                <w:rFonts w:ascii="Calibri"/>
                <w:sz w:val="14"/>
              </w:rPr>
            </w:pPr>
            <w:r>
              <w:rPr>
                <w:rFonts w:ascii="Calibri"/>
                <w:w w:val="99"/>
                <w:sz w:val="14"/>
              </w:rPr>
              <w:t>1</w:t>
            </w:r>
          </w:p>
        </w:tc>
      </w:tr>
      <w:tr>
        <w:trPr>
          <w:trHeight w:val="178" w:hRule="exact"/>
        </w:trPr>
        <w:tc>
          <w:tcPr>
            <w:tcW w:w="684" w:type="dxa"/>
            <w:vMerge/>
            <w:tcBorders>
              <w:left w:val="single" w:sz="5" w:space="0" w:color="000000"/>
            </w:tcBorders>
          </w:tcPr>
          <w:p>
            <w:pPr/>
          </w:p>
        </w:tc>
        <w:tc>
          <w:tcPr>
            <w:tcW w:w="2279" w:type="dxa"/>
          </w:tcPr>
          <w:p>
            <w:pPr/>
          </w:p>
        </w:tc>
        <w:tc>
          <w:tcPr>
            <w:tcW w:w="1973" w:type="dxa"/>
          </w:tcPr>
          <w:p>
            <w:pPr/>
          </w:p>
        </w:tc>
        <w:tc>
          <w:tcPr>
            <w:tcW w:w="1629" w:type="dxa"/>
          </w:tcPr>
          <w:p>
            <w:pPr>
              <w:pStyle w:val="TableParagraph"/>
              <w:spacing w:line="165" w:lineRule="exact"/>
              <w:ind w:left="678" w:right="167"/>
              <w:rPr>
                <w:rFonts w:ascii="Calibri"/>
                <w:sz w:val="14"/>
              </w:rPr>
            </w:pPr>
            <w:r>
              <w:rPr>
                <w:rFonts w:ascii="Calibri"/>
                <w:sz w:val="14"/>
              </w:rPr>
              <w:t>Subtotal</w:t>
            </w:r>
          </w:p>
        </w:tc>
        <w:tc>
          <w:tcPr>
            <w:tcW w:w="756" w:type="dxa"/>
          </w:tcPr>
          <w:p>
            <w:pPr>
              <w:pStyle w:val="TableParagraph"/>
              <w:tabs>
                <w:tab w:pos="803" w:val="left" w:leader="none"/>
              </w:tabs>
              <w:spacing w:line="165" w:lineRule="exact"/>
              <w:ind w:left="189" w:right="-49"/>
              <w:jc w:val="left"/>
              <w:rPr>
                <w:rFonts w:ascii="Calibri"/>
                <w:sz w:val="14"/>
              </w:rPr>
            </w:pPr>
            <w:r>
              <w:rPr>
                <w:rFonts w:ascii="Times New Roman"/>
                <w:w w:val="99"/>
                <w:sz w:val="14"/>
                <w:shd w:fill="F79646" w:color="auto" w:val="clear"/>
              </w:rPr>
              <w:t> </w:t>
            </w:r>
            <w:r>
              <w:rPr>
                <w:rFonts w:ascii="Times New Roman"/>
                <w:sz w:val="14"/>
                <w:shd w:fill="F79646" w:color="auto" w:val="clear"/>
              </w:rPr>
              <w:t>    </w:t>
            </w:r>
            <w:r>
              <w:rPr>
                <w:rFonts w:ascii="Times New Roman"/>
                <w:spacing w:val="10"/>
                <w:sz w:val="14"/>
                <w:shd w:fill="F79646" w:color="auto" w:val="clear"/>
              </w:rPr>
              <w:t> </w:t>
            </w:r>
            <w:r>
              <w:rPr>
                <w:rFonts w:ascii="Calibri"/>
                <w:sz w:val="14"/>
                <w:shd w:fill="F79646" w:color="auto" w:val="clear"/>
              </w:rPr>
              <w:t>1.8</w:t>
              <w:tab/>
            </w:r>
          </w:p>
        </w:tc>
        <w:tc>
          <w:tcPr>
            <w:tcW w:w="779" w:type="dxa"/>
          </w:tcPr>
          <w:p>
            <w:pPr>
              <w:pStyle w:val="TableParagraph"/>
              <w:spacing w:line="165" w:lineRule="exact"/>
              <w:ind w:left="84" w:right="34"/>
              <w:rPr>
                <w:rFonts w:ascii="Calibri"/>
                <w:sz w:val="14"/>
              </w:rPr>
            </w:pPr>
            <w:r>
              <w:rPr>
                <w:rFonts w:ascii="Calibri"/>
                <w:sz w:val="14"/>
              </w:rPr>
              <w:t>2.8</w:t>
            </w:r>
          </w:p>
        </w:tc>
        <w:tc>
          <w:tcPr>
            <w:tcW w:w="719" w:type="dxa"/>
            <w:tcBorders>
              <w:right w:val="single" w:sz="9" w:space="0" w:color="000000"/>
            </w:tcBorders>
            <w:shd w:val="clear" w:color="auto" w:fill="67ED4D"/>
          </w:tcPr>
          <w:p>
            <w:pPr>
              <w:pStyle w:val="TableParagraph"/>
              <w:spacing w:line="164" w:lineRule="exact"/>
              <w:ind w:left="35"/>
              <w:rPr>
                <w:rFonts w:ascii="Calibri"/>
                <w:sz w:val="14"/>
              </w:rPr>
            </w:pPr>
            <w:r>
              <w:rPr>
                <w:rFonts w:ascii="Calibri"/>
                <w:w w:val="99"/>
                <w:sz w:val="14"/>
              </w:rPr>
              <w:t>3</w:t>
            </w:r>
          </w:p>
        </w:tc>
      </w:tr>
      <w:tr>
        <w:trPr>
          <w:trHeight w:val="337" w:hRule="exact"/>
        </w:trPr>
        <w:tc>
          <w:tcPr>
            <w:tcW w:w="8819" w:type="dxa"/>
            <w:gridSpan w:val="7"/>
            <w:tcBorders>
              <w:left w:val="single" w:sz="5" w:space="0" w:color="000000"/>
              <w:right w:val="single" w:sz="9" w:space="0" w:color="000000"/>
            </w:tcBorders>
          </w:tcPr>
          <w:p>
            <w:pPr>
              <w:pStyle w:val="TableParagraph"/>
              <w:spacing w:before="69"/>
              <w:ind w:left="92"/>
              <w:jc w:val="left"/>
              <w:rPr>
                <w:rFonts w:ascii="Calibri" w:hAnsi="Calibri"/>
                <w:sz w:val="14"/>
              </w:rPr>
            </w:pPr>
            <w:r>
              <w:rPr>
                <w:rFonts w:ascii="Calibri" w:hAnsi="Calibri"/>
                <w:sz w:val="14"/>
              </w:rPr>
              <w:t>Económico</w:t>
            </w:r>
          </w:p>
        </w:tc>
      </w:tr>
      <w:tr>
        <w:trPr>
          <w:trHeight w:val="181" w:hRule="exact"/>
        </w:trPr>
        <w:tc>
          <w:tcPr>
            <w:tcW w:w="684" w:type="dxa"/>
            <w:tcBorders>
              <w:left w:val="single" w:sz="5" w:space="0" w:color="000000"/>
            </w:tcBorders>
          </w:tcPr>
          <w:p>
            <w:pPr/>
          </w:p>
        </w:tc>
        <w:tc>
          <w:tcPr>
            <w:tcW w:w="2279" w:type="dxa"/>
          </w:tcPr>
          <w:p>
            <w:pPr/>
          </w:p>
        </w:tc>
        <w:tc>
          <w:tcPr>
            <w:tcW w:w="1973" w:type="dxa"/>
          </w:tcPr>
          <w:p>
            <w:pPr>
              <w:pStyle w:val="TableParagraph"/>
              <w:ind w:left="254"/>
              <w:jc w:val="left"/>
              <w:rPr>
                <w:rFonts w:ascii="Calibri"/>
                <w:sz w:val="14"/>
              </w:rPr>
            </w:pPr>
            <w:r>
              <w:rPr>
                <w:rFonts w:ascii="Calibri"/>
                <w:sz w:val="14"/>
              </w:rPr>
              <w:t>Pago de CFE</w:t>
            </w:r>
          </w:p>
        </w:tc>
        <w:tc>
          <w:tcPr>
            <w:tcW w:w="1629" w:type="dxa"/>
          </w:tcPr>
          <w:p>
            <w:pPr>
              <w:pStyle w:val="TableParagraph"/>
              <w:ind w:left="681" w:right="167"/>
              <w:rPr>
                <w:rFonts w:ascii="Calibri"/>
                <w:sz w:val="14"/>
              </w:rPr>
            </w:pPr>
            <w:r>
              <w:rPr>
                <w:rFonts w:ascii="Calibri"/>
                <w:sz w:val="14"/>
              </w:rPr>
              <w:t>0.7</w:t>
            </w:r>
          </w:p>
        </w:tc>
        <w:tc>
          <w:tcPr>
            <w:tcW w:w="756" w:type="dxa"/>
          </w:tcPr>
          <w:p>
            <w:pPr/>
          </w:p>
        </w:tc>
        <w:tc>
          <w:tcPr>
            <w:tcW w:w="779" w:type="dxa"/>
          </w:tcPr>
          <w:p>
            <w:pPr>
              <w:pStyle w:val="TableParagraph"/>
              <w:ind w:left="84" w:right="34"/>
              <w:rPr>
                <w:rFonts w:ascii="Calibri"/>
                <w:sz w:val="14"/>
              </w:rPr>
            </w:pPr>
            <w:r>
              <w:rPr>
                <w:rFonts w:ascii="Calibri"/>
                <w:sz w:val="14"/>
              </w:rPr>
              <w:t>0.7</w:t>
            </w:r>
          </w:p>
        </w:tc>
        <w:tc>
          <w:tcPr>
            <w:tcW w:w="719" w:type="dxa"/>
            <w:tcBorders>
              <w:right w:val="single" w:sz="9" w:space="0" w:color="000000"/>
            </w:tcBorders>
            <w:shd w:val="clear" w:color="auto" w:fill="67ED4D"/>
          </w:tcPr>
          <w:p>
            <w:pPr>
              <w:pStyle w:val="TableParagraph"/>
              <w:ind w:left="35"/>
              <w:rPr>
                <w:rFonts w:ascii="Calibri"/>
                <w:sz w:val="14"/>
              </w:rPr>
            </w:pPr>
            <w:r>
              <w:rPr>
                <w:rFonts w:ascii="Calibri"/>
                <w:w w:val="99"/>
                <w:sz w:val="14"/>
              </w:rPr>
              <w:t>1</w:t>
            </w:r>
          </w:p>
        </w:tc>
      </w:tr>
      <w:tr>
        <w:trPr>
          <w:trHeight w:val="174" w:hRule="exact"/>
        </w:trPr>
        <w:tc>
          <w:tcPr>
            <w:tcW w:w="684" w:type="dxa"/>
            <w:tcBorders>
              <w:left w:val="single" w:sz="5" w:space="0" w:color="000000"/>
            </w:tcBorders>
          </w:tcPr>
          <w:p>
            <w:pPr/>
          </w:p>
        </w:tc>
        <w:tc>
          <w:tcPr>
            <w:tcW w:w="2279" w:type="dxa"/>
          </w:tcPr>
          <w:p>
            <w:pPr/>
          </w:p>
        </w:tc>
        <w:tc>
          <w:tcPr>
            <w:tcW w:w="1973" w:type="dxa"/>
          </w:tcPr>
          <w:p>
            <w:pPr>
              <w:pStyle w:val="TableParagraph"/>
              <w:spacing w:line="164" w:lineRule="exact"/>
              <w:ind w:left="254"/>
              <w:jc w:val="left"/>
              <w:rPr>
                <w:rFonts w:ascii="Calibri"/>
                <w:sz w:val="14"/>
              </w:rPr>
            </w:pPr>
            <w:r>
              <w:rPr>
                <w:rFonts w:ascii="Calibri"/>
                <w:sz w:val="14"/>
              </w:rPr>
              <w:t>Pago de agua</w:t>
            </w:r>
          </w:p>
        </w:tc>
        <w:tc>
          <w:tcPr>
            <w:tcW w:w="1629" w:type="dxa"/>
          </w:tcPr>
          <w:p>
            <w:pPr>
              <w:pStyle w:val="TableParagraph"/>
              <w:spacing w:line="164" w:lineRule="exact"/>
              <w:ind w:left="524"/>
              <w:rPr>
                <w:rFonts w:ascii="Calibri"/>
                <w:sz w:val="14"/>
              </w:rPr>
            </w:pPr>
            <w:r>
              <w:rPr>
                <w:rFonts w:ascii="Calibri"/>
                <w:w w:val="99"/>
                <w:sz w:val="14"/>
              </w:rPr>
              <w:t>0</w:t>
            </w:r>
          </w:p>
        </w:tc>
        <w:tc>
          <w:tcPr>
            <w:tcW w:w="756" w:type="dxa"/>
          </w:tcPr>
          <w:p>
            <w:pPr/>
          </w:p>
        </w:tc>
        <w:tc>
          <w:tcPr>
            <w:tcW w:w="779" w:type="dxa"/>
          </w:tcPr>
          <w:p>
            <w:pPr>
              <w:pStyle w:val="TableParagraph"/>
              <w:spacing w:line="164" w:lineRule="exact"/>
              <w:ind w:left="84" w:right="34"/>
              <w:rPr>
                <w:rFonts w:ascii="Calibri"/>
                <w:sz w:val="14"/>
              </w:rPr>
            </w:pPr>
            <w:r>
              <w:rPr>
                <w:rFonts w:ascii="Calibri"/>
                <w:sz w:val="14"/>
              </w:rPr>
              <w:t>0.7</w:t>
            </w:r>
          </w:p>
        </w:tc>
        <w:tc>
          <w:tcPr>
            <w:tcW w:w="719" w:type="dxa"/>
            <w:tcBorders>
              <w:right w:val="single" w:sz="9" w:space="0" w:color="000000"/>
            </w:tcBorders>
            <w:shd w:val="clear" w:color="auto" w:fill="67ED4D"/>
          </w:tcPr>
          <w:p>
            <w:pPr>
              <w:pStyle w:val="TableParagraph"/>
              <w:spacing w:line="164" w:lineRule="exact"/>
              <w:ind w:left="35"/>
              <w:rPr>
                <w:rFonts w:ascii="Calibri"/>
                <w:sz w:val="14"/>
              </w:rPr>
            </w:pPr>
            <w:r>
              <w:rPr>
                <w:rFonts w:ascii="Calibri"/>
                <w:w w:val="99"/>
                <w:sz w:val="14"/>
              </w:rPr>
              <w:t>1</w:t>
            </w:r>
          </w:p>
        </w:tc>
      </w:tr>
      <w:tr>
        <w:trPr>
          <w:trHeight w:val="174" w:hRule="exact"/>
        </w:trPr>
        <w:tc>
          <w:tcPr>
            <w:tcW w:w="684" w:type="dxa"/>
            <w:tcBorders>
              <w:left w:val="single" w:sz="5" w:space="0" w:color="000000"/>
            </w:tcBorders>
          </w:tcPr>
          <w:p>
            <w:pPr/>
          </w:p>
        </w:tc>
        <w:tc>
          <w:tcPr>
            <w:tcW w:w="2279" w:type="dxa"/>
          </w:tcPr>
          <w:p>
            <w:pPr>
              <w:pStyle w:val="TableParagraph"/>
              <w:spacing w:line="164" w:lineRule="exact"/>
              <w:ind w:left="168"/>
              <w:jc w:val="left"/>
              <w:rPr>
                <w:rFonts w:ascii="Calibri"/>
                <w:sz w:val="14"/>
              </w:rPr>
            </w:pPr>
            <w:r>
              <w:rPr>
                <w:rFonts w:ascii="Calibri"/>
                <w:sz w:val="14"/>
              </w:rPr>
              <w:t>Gastos de habitabilidad</w:t>
            </w:r>
          </w:p>
        </w:tc>
        <w:tc>
          <w:tcPr>
            <w:tcW w:w="1973" w:type="dxa"/>
          </w:tcPr>
          <w:p>
            <w:pPr>
              <w:pStyle w:val="TableParagraph"/>
              <w:spacing w:line="164" w:lineRule="exact"/>
              <w:ind w:left="254"/>
              <w:jc w:val="left"/>
              <w:rPr>
                <w:rFonts w:ascii="Calibri"/>
                <w:sz w:val="14"/>
              </w:rPr>
            </w:pPr>
            <w:r>
              <w:rPr>
                <w:rFonts w:ascii="Calibri"/>
                <w:sz w:val="14"/>
              </w:rPr>
              <w:t>Pago predial</w:t>
            </w:r>
          </w:p>
        </w:tc>
        <w:tc>
          <w:tcPr>
            <w:tcW w:w="1629" w:type="dxa"/>
          </w:tcPr>
          <w:p>
            <w:pPr>
              <w:pStyle w:val="TableParagraph"/>
              <w:spacing w:line="164" w:lineRule="exact"/>
              <w:ind w:left="681" w:right="167"/>
              <w:rPr>
                <w:rFonts w:ascii="Calibri"/>
                <w:sz w:val="14"/>
              </w:rPr>
            </w:pPr>
            <w:r>
              <w:rPr>
                <w:rFonts w:ascii="Calibri"/>
                <w:sz w:val="14"/>
              </w:rPr>
              <w:t>0.6</w:t>
            </w:r>
          </w:p>
        </w:tc>
        <w:tc>
          <w:tcPr>
            <w:tcW w:w="756" w:type="dxa"/>
          </w:tcPr>
          <w:p>
            <w:pPr/>
          </w:p>
        </w:tc>
        <w:tc>
          <w:tcPr>
            <w:tcW w:w="779" w:type="dxa"/>
          </w:tcPr>
          <w:p>
            <w:pPr>
              <w:pStyle w:val="TableParagraph"/>
              <w:spacing w:line="164" w:lineRule="exact"/>
              <w:ind w:left="84" w:right="34"/>
              <w:rPr>
                <w:rFonts w:ascii="Calibri"/>
                <w:sz w:val="14"/>
              </w:rPr>
            </w:pPr>
            <w:r>
              <w:rPr>
                <w:rFonts w:ascii="Calibri"/>
                <w:sz w:val="14"/>
              </w:rPr>
              <w:t>0.7</w:t>
            </w:r>
          </w:p>
        </w:tc>
        <w:tc>
          <w:tcPr>
            <w:tcW w:w="719" w:type="dxa"/>
            <w:tcBorders>
              <w:right w:val="single" w:sz="9" w:space="0" w:color="000000"/>
            </w:tcBorders>
            <w:shd w:val="clear" w:color="auto" w:fill="67ED4D"/>
          </w:tcPr>
          <w:p>
            <w:pPr>
              <w:pStyle w:val="TableParagraph"/>
              <w:spacing w:line="164" w:lineRule="exact"/>
              <w:ind w:left="35"/>
              <w:rPr>
                <w:rFonts w:ascii="Calibri"/>
                <w:sz w:val="14"/>
              </w:rPr>
            </w:pPr>
            <w:r>
              <w:rPr>
                <w:rFonts w:ascii="Calibri"/>
                <w:w w:val="99"/>
                <w:sz w:val="14"/>
              </w:rPr>
              <w:t>1</w:t>
            </w:r>
          </w:p>
        </w:tc>
      </w:tr>
      <w:tr>
        <w:trPr>
          <w:trHeight w:val="174" w:hRule="exact"/>
        </w:trPr>
        <w:tc>
          <w:tcPr>
            <w:tcW w:w="684" w:type="dxa"/>
            <w:tcBorders>
              <w:left w:val="single" w:sz="5" w:space="0" w:color="000000"/>
            </w:tcBorders>
          </w:tcPr>
          <w:p>
            <w:pPr/>
          </w:p>
        </w:tc>
        <w:tc>
          <w:tcPr>
            <w:tcW w:w="2279" w:type="dxa"/>
          </w:tcPr>
          <w:p>
            <w:pPr/>
          </w:p>
        </w:tc>
        <w:tc>
          <w:tcPr>
            <w:tcW w:w="1973" w:type="dxa"/>
          </w:tcPr>
          <w:p>
            <w:pPr>
              <w:pStyle w:val="TableParagraph"/>
              <w:spacing w:line="164" w:lineRule="exact"/>
              <w:ind w:left="254"/>
              <w:jc w:val="left"/>
              <w:rPr>
                <w:rFonts w:ascii="Calibri" w:hAnsi="Calibri"/>
                <w:sz w:val="14"/>
              </w:rPr>
            </w:pPr>
            <w:r>
              <w:rPr>
                <w:rFonts w:ascii="Calibri" w:hAnsi="Calibri"/>
                <w:sz w:val="14"/>
              </w:rPr>
              <w:t>Comunicación</w:t>
            </w:r>
          </w:p>
        </w:tc>
        <w:tc>
          <w:tcPr>
            <w:tcW w:w="1629" w:type="dxa"/>
          </w:tcPr>
          <w:p>
            <w:pPr>
              <w:pStyle w:val="TableParagraph"/>
              <w:spacing w:line="164" w:lineRule="exact"/>
              <w:ind w:left="681" w:right="167"/>
              <w:rPr>
                <w:rFonts w:ascii="Calibri"/>
                <w:sz w:val="14"/>
              </w:rPr>
            </w:pPr>
            <w:r>
              <w:rPr>
                <w:rFonts w:ascii="Calibri"/>
                <w:sz w:val="14"/>
              </w:rPr>
              <w:t>0.7</w:t>
            </w:r>
          </w:p>
        </w:tc>
        <w:tc>
          <w:tcPr>
            <w:tcW w:w="756" w:type="dxa"/>
          </w:tcPr>
          <w:p>
            <w:pPr/>
          </w:p>
        </w:tc>
        <w:tc>
          <w:tcPr>
            <w:tcW w:w="779" w:type="dxa"/>
          </w:tcPr>
          <w:p>
            <w:pPr>
              <w:pStyle w:val="TableParagraph"/>
              <w:spacing w:line="164" w:lineRule="exact"/>
              <w:ind w:left="84" w:right="34"/>
              <w:rPr>
                <w:rFonts w:ascii="Calibri"/>
                <w:sz w:val="14"/>
              </w:rPr>
            </w:pPr>
            <w:r>
              <w:rPr>
                <w:rFonts w:ascii="Calibri"/>
                <w:sz w:val="14"/>
              </w:rPr>
              <w:t>0.7</w:t>
            </w:r>
          </w:p>
        </w:tc>
        <w:tc>
          <w:tcPr>
            <w:tcW w:w="719" w:type="dxa"/>
            <w:tcBorders>
              <w:right w:val="single" w:sz="9" w:space="0" w:color="000000"/>
            </w:tcBorders>
            <w:shd w:val="clear" w:color="auto" w:fill="67ED4D"/>
          </w:tcPr>
          <w:p>
            <w:pPr>
              <w:pStyle w:val="TableParagraph"/>
              <w:spacing w:line="164" w:lineRule="exact"/>
              <w:ind w:left="35"/>
              <w:rPr>
                <w:rFonts w:ascii="Calibri"/>
                <w:sz w:val="14"/>
              </w:rPr>
            </w:pPr>
            <w:r>
              <w:rPr>
                <w:rFonts w:ascii="Calibri"/>
                <w:w w:val="99"/>
                <w:sz w:val="14"/>
              </w:rPr>
              <w:t>1</w:t>
            </w:r>
          </w:p>
        </w:tc>
      </w:tr>
      <w:tr>
        <w:trPr>
          <w:trHeight w:val="172" w:hRule="exact"/>
        </w:trPr>
        <w:tc>
          <w:tcPr>
            <w:tcW w:w="684" w:type="dxa"/>
            <w:tcBorders>
              <w:left w:val="single" w:sz="5" w:space="0" w:color="000000"/>
            </w:tcBorders>
          </w:tcPr>
          <w:p>
            <w:pPr/>
          </w:p>
        </w:tc>
        <w:tc>
          <w:tcPr>
            <w:tcW w:w="2279" w:type="dxa"/>
          </w:tcPr>
          <w:p>
            <w:pPr/>
          </w:p>
        </w:tc>
        <w:tc>
          <w:tcPr>
            <w:tcW w:w="1973" w:type="dxa"/>
          </w:tcPr>
          <w:p>
            <w:pPr>
              <w:pStyle w:val="TableParagraph"/>
              <w:spacing w:line="164" w:lineRule="exact"/>
              <w:ind w:left="254"/>
              <w:jc w:val="left"/>
              <w:rPr>
                <w:rFonts w:ascii="Calibri"/>
                <w:sz w:val="14"/>
              </w:rPr>
            </w:pPr>
            <w:r>
              <w:rPr>
                <w:rFonts w:ascii="Calibri"/>
                <w:sz w:val="14"/>
              </w:rPr>
              <w:t>Comunidad</w:t>
            </w:r>
          </w:p>
        </w:tc>
        <w:tc>
          <w:tcPr>
            <w:tcW w:w="1629" w:type="dxa"/>
          </w:tcPr>
          <w:p>
            <w:pPr>
              <w:pStyle w:val="TableParagraph"/>
              <w:spacing w:line="164" w:lineRule="exact"/>
              <w:ind w:left="681" w:right="167"/>
              <w:rPr>
                <w:rFonts w:ascii="Calibri"/>
                <w:sz w:val="14"/>
              </w:rPr>
            </w:pPr>
            <w:r>
              <w:rPr>
                <w:rFonts w:ascii="Calibri"/>
                <w:sz w:val="14"/>
              </w:rPr>
              <w:t>0.6</w:t>
            </w:r>
          </w:p>
        </w:tc>
        <w:tc>
          <w:tcPr>
            <w:tcW w:w="756" w:type="dxa"/>
          </w:tcPr>
          <w:p>
            <w:pPr/>
          </w:p>
        </w:tc>
        <w:tc>
          <w:tcPr>
            <w:tcW w:w="779" w:type="dxa"/>
          </w:tcPr>
          <w:p>
            <w:pPr>
              <w:pStyle w:val="TableParagraph"/>
              <w:spacing w:line="164" w:lineRule="exact"/>
              <w:ind w:left="84" w:right="34"/>
              <w:rPr>
                <w:rFonts w:ascii="Calibri"/>
                <w:sz w:val="14"/>
              </w:rPr>
            </w:pPr>
            <w:r>
              <w:rPr>
                <w:rFonts w:ascii="Calibri"/>
                <w:sz w:val="14"/>
              </w:rPr>
              <w:t>0.7</w:t>
            </w:r>
          </w:p>
        </w:tc>
        <w:tc>
          <w:tcPr>
            <w:tcW w:w="719" w:type="dxa"/>
            <w:tcBorders>
              <w:right w:val="single" w:sz="9" w:space="0" w:color="000000"/>
            </w:tcBorders>
            <w:shd w:val="clear" w:color="auto" w:fill="67ED4D"/>
          </w:tcPr>
          <w:p>
            <w:pPr>
              <w:pStyle w:val="TableParagraph"/>
              <w:spacing w:line="164" w:lineRule="exact"/>
              <w:ind w:left="35"/>
              <w:rPr>
                <w:rFonts w:ascii="Calibri"/>
                <w:sz w:val="14"/>
              </w:rPr>
            </w:pPr>
            <w:r>
              <w:rPr>
                <w:rFonts w:ascii="Calibri"/>
                <w:w w:val="99"/>
                <w:sz w:val="14"/>
              </w:rPr>
              <w:t>1</w:t>
            </w:r>
          </w:p>
        </w:tc>
      </w:tr>
      <w:tr>
        <w:trPr>
          <w:trHeight w:val="180" w:hRule="exact"/>
        </w:trPr>
        <w:tc>
          <w:tcPr>
            <w:tcW w:w="684" w:type="dxa"/>
            <w:tcBorders>
              <w:left w:val="single" w:sz="5" w:space="0" w:color="000000"/>
            </w:tcBorders>
          </w:tcPr>
          <w:p>
            <w:pPr/>
          </w:p>
        </w:tc>
        <w:tc>
          <w:tcPr>
            <w:tcW w:w="2279" w:type="dxa"/>
          </w:tcPr>
          <w:p>
            <w:pPr/>
          </w:p>
        </w:tc>
        <w:tc>
          <w:tcPr>
            <w:tcW w:w="1973" w:type="dxa"/>
          </w:tcPr>
          <w:p>
            <w:pPr/>
          </w:p>
        </w:tc>
        <w:tc>
          <w:tcPr>
            <w:tcW w:w="1629" w:type="dxa"/>
          </w:tcPr>
          <w:p>
            <w:pPr>
              <w:pStyle w:val="TableParagraph"/>
              <w:spacing w:line="165" w:lineRule="exact"/>
              <w:ind w:left="678" w:right="167"/>
              <w:rPr>
                <w:rFonts w:ascii="Calibri"/>
                <w:sz w:val="14"/>
              </w:rPr>
            </w:pPr>
            <w:r>
              <w:rPr>
                <w:rFonts w:ascii="Calibri"/>
                <w:sz w:val="14"/>
              </w:rPr>
              <w:t>Subtotal</w:t>
            </w:r>
          </w:p>
        </w:tc>
        <w:tc>
          <w:tcPr>
            <w:tcW w:w="756" w:type="dxa"/>
          </w:tcPr>
          <w:p>
            <w:pPr>
              <w:pStyle w:val="TableParagraph"/>
              <w:tabs>
                <w:tab w:pos="803" w:val="left" w:leader="none"/>
              </w:tabs>
              <w:spacing w:line="165" w:lineRule="exact"/>
              <w:ind w:left="189" w:right="-49"/>
              <w:jc w:val="left"/>
              <w:rPr>
                <w:rFonts w:ascii="Calibri"/>
                <w:sz w:val="14"/>
              </w:rPr>
            </w:pPr>
            <w:r>
              <w:rPr>
                <w:rFonts w:ascii="Times New Roman"/>
                <w:w w:val="99"/>
                <w:sz w:val="14"/>
                <w:shd w:fill="F79646" w:color="auto" w:val="clear"/>
              </w:rPr>
              <w:t> </w:t>
            </w:r>
            <w:r>
              <w:rPr>
                <w:rFonts w:ascii="Times New Roman"/>
                <w:sz w:val="14"/>
                <w:shd w:fill="F79646" w:color="auto" w:val="clear"/>
              </w:rPr>
              <w:t>    </w:t>
            </w:r>
            <w:r>
              <w:rPr>
                <w:rFonts w:ascii="Times New Roman"/>
                <w:spacing w:val="10"/>
                <w:sz w:val="14"/>
                <w:shd w:fill="F79646" w:color="auto" w:val="clear"/>
              </w:rPr>
              <w:t> </w:t>
            </w:r>
            <w:r>
              <w:rPr>
                <w:rFonts w:ascii="Calibri"/>
                <w:sz w:val="14"/>
                <w:shd w:fill="F79646" w:color="auto" w:val="clear"/>
              </w:rPr>
              <w:t>2.6</w:t>
              <w:tab/>
            </w:r>
          </w:p>
        </w:tc>
        <w:tc>
          <w:tcPr>
            <w:tcW w:w="779" w:type="dxa"/>
          </w:tcPr>
          <w:p>
            <w:pPr>
              <w:pStyle w:val="TableParagraph"/>
              <w:spacing w:line="165" w:lineRule="exact"/>
              <w:ind w:left="84" w:right="34"/>
              <w:rPr>
                <w:rFonts w:ascii="Calibri"/>
                <w:sz w:val="14"/>
              </w:rPr>
            </w:pPr>
            <w:r>
              <w:rPr>
                <w:rFonts w:ascii="Calibri"/>
                <w:sz w:val="14"/>
              </w:rPr>
              <w:t>4.2</w:t>
            </w:r>
          </w:p>
        </w:tc>
        <w:tc>
          <w:tcPr>
            <w:tcW w:w="719" w:type="dxa"/>
            <w:tcBorders>
              <w:right w:val="single" w:sz="9" w:space="0" w:color="000000"/>
            </w:tcBorders>
            <w:shd w:val="clear" w:color="auto" w:fill="67ED4D"/>
          </w:tcPr>
          <w:p>
            <w:pPr>
              <w:pStyle w:val="TableParagraph"/>
              <w:spacing w:line="165" w:lineRule="exact"/>
              <w:ind w:left="35"/>
              <w:rPr>
                <w:rFonts w:ascii="Calibri"/>
                <w:sz w:val="14"/>
              </w:rPr>
            </w:pPr>
            <w:r>
              <w:rPr>
                <w:rFonts w:ascii="Calibri"/>
                <w:w w:val="99"/>
                <w:sz w:val="14"/>
              </w:rPr>
              <w:t>5</w:t>
            </w:r>
          </w:p>
        </w:tc>
      </w:tr>
      <w:tr>
        <w:trPr>
          <w:trHeight w:val="162" w:hRule="exact"/>
        </w:trPr>
        <w:tc>
          <w:tcPr>
            <w:tcW w:w="8819" w:type="dxa"/>
            <w:gridSpan w:val="7"/>
            <w:tcBorders>
              <w:left w:val="single" w:sz="5" w:space="0" w:color="000000"/>
              <w:right w:val="single" w:sz="9" w:space="0" w:color="000000"/>
            </w:tcBorders>
          </w:tcPr>
          <w:p>
            <w:pPr/>
          </w:p>
        </w:tc>
      </w:tr>
      <w:tr>
        <w:trPr>
          <w:trHeight w:val="180" w:hRule="exact"/>
        </w:trPr>
        <w:tc>
          <w:tcPr>
            <w:tcW w:w="684" w:type="dxa"/>
            <w:tcBorders>
              <w:left w:val="single" w:sz="5" w:space="0" w:color="000000"/>
            </w:tcBorders>
          </w:tcPr>
          <w:p>
            <w:pPr/>
          </w:p>
        </w:tc>
        <w:tc>
          <w:tcPr>
            <w:tcW w:w="2279" w:type="dxa"/>
          </w:tcPr>
          <w:p>
            <w:pPr>
              <w:pStyle w:val="TableParagraph"/>
              <w:ind w:left="168"/>
              <w:jc w:val="left"/>
              <w:rPr>
                <w:rFonts w:ascii="Calibri" w:hAnsi="Calibri"/>
                <w:sz w:val="14"/>
              </w:rPr>
            </w:pPr>
            <w:r>
              <w:rPr>
                <w:rFonts w:ascii="Calibri" w:hAnsi="Calibri"/>
                <w:sz w:val="14"/>
              </w:rPr>
              <w:t>Índice para una vida mejor OCDE</w:t>
            </w:r>
          </w:p>
        </w:tc>
        <w:tc>
          <w:tcPr>
            <w:tcW w:w="1973" w:type="dxa"/>
          </w:tcPr>
          <w:p>
            <w:pPr>
              <w:pStyle w:val="TableParagraph"/>
              <w:ind w:left="254"/>
              <w:jc w:val="left"/>
              <w:rPr>
                <w:rFonts w:ascii="Calibri"/>
                <w:sz w:val="14"/>
              </w:rPr>
            </w:pPr>
            <w:r>
              <w:rPr>
                <w:rFonts w:ascii="Calibri"/>
                <w:sz w:val="14"/>
              </w:rPr>
              <w:t>Gasto en vivienda</w:t>
            </w:r>
          </w:p>
        </w:tc>
        <w:tc>
          <w:tcPr>
            <w:tcW w:w="1629" w:type="dxa"/>
          </w:tcPr>
          <w:p>
            <w:pPr>
              <w:pStyle w:val="TableParagraph"/>
              <w:tabs>
                <w:tab w:pos="983" w:val="left" w:leader="none"/>
                <w:tab w:pos="1830" w:val="left" w:leader="none"/>
              </w:tabs>
              <w:ind w:left="311" w:right="-201"/>
              <w:rPr>
                <w:rFonts w:ascii="Calibri"/>
                <w:sz w:val="14"/>
              </w:rPr>
            </w:pPr>
            <w:r>
              <w:rPr>
                <w:rFonts w:ascii="Times New Roman"/>
                <w:w w:val="99"/>
                <w:sz w:val="14"/>
                <w:shd w:fill="BAF9F5" w:color="auto" w:val="clear"/>
              </w:rPr>
              <w:t> </w:t>
            </w:r>
            <w:r>
              <w:rPr>
                <w:rFonts w:ascii="Times New Roman"/>
                <w:sz w:val="14"/>
                <w:shd w:fill="BAF9F5" w:color="auto" w:val="clear"/>
              </w:rPr>
              <w:tab/>
            </w:r>
            <w:r>
              <w:rPr>
                <w:rFonts w:ascii="Calibri"/>
                <w:sz w:val="14"/>
                <w:shd w:fill="BAF9F5" w:color="auto" w:val="clear"/>
              </w:rPr>
              <w:t>0.6</w:t>
              <w:tab/>
            </w:r>
          </w:p>
        </w:tc>
        <w:tc>
          <w:tcPr>
            <w:tcW w:w="756" w:type="dxa"/>
          </w:tcPr>
          <w:p>
            <w:pPr/>
          </w:p>
        </w:tc>
        <w:tc>
          <w:tcPr>
            <w:tcW w:w="779" w:type="dxa"/>
          </w:tcPr>
          <w:p>
            <w:pPr>
              <w:pStyle w:val="TableParagraph"/>
              <w:ind w:left="84" w:right="34"/>
              <w:rPr>
                <w:rFonts w:ascii="Calibri"/>
                <w:sz w:val="14"/>
              </w:rPr>
            </w:pPr>
            <w:r>
              <w:rPr>
                <w:rFonts w:ascii="Calibri"/>
                <w:sz w:val="14"/>
              </w:rPr>
              <w:t>0.8</w:t>
            </w:r>
          </w:p>
        </w:tc>
        <w:tc>
          <w:tcPr>
            <w:tcW w:w="719" w:type="dxa"/>
            <w:tcBorders>
              <w:right w:val="single" w:sz="9" w:space="0" w:color="000000"/>
            </w:tcBorders>
            <w:shd w:val="clear" w:color="auto" w:fill="67ED4D"/>
          </w:tcPr>
          <w:p>
            <w:pPr>
              <w:pStyle w:val="TableParagraph"/>
              <w:ind w:left="35"/>
              <w:rPr>
                <w:rFonts w:ascii="Calibri"/>
                <w:sz w:val="14"/>
              </w:rPr>
            </w:pPr>
            <w:r>
              <w:rPr>
                <w:rFonts w:ascii="Calibri"/>
                <w:w w:val="99"/>
                <w:sz w:val="14"/>
              </w:rPr>
              <w:t>1</w:t>
            </w:r>
          </w:p>
        </w:tc>
      </w:tr>
      <w:tr>
        <w:trPr>
          <w:trHeight w:val="180" w:hRule="exact"/>
        </w:trPr>
        <w:tc>
          <w:tcPr>
            <w:tcW w:w="684" w:type="dxa"/>
            <w:tcBorders>
              <w:left w:val="single" w:sz="5" w:space="0" w:color="000000"/>
            </w:tcBorders>
          </w:tcPr>
          <w:p>
            <w:pPr/>
          </w:p>
        </w:tc>
        <w:tc>
          <w:tcPr>
            <w:tcW w:w="2279" w:type="dxa"/>
          </w:tcPr>
          <w:p>
            <w:pPr/>
          </w:p>
        </w:tc>
        <w:tc>
          <w:tcPr>
            <w:tcW w:w="1973" w:type="dxa"/>
          </w:tcPr>
          <w:p>
            <w:pPr/>
          </w:p>
        </w:tc>
        <w:tc>
          <w:tcPr>
            <w:tcW w:w="1629" w:type="dxa"/>
          </w:tcPr>
          <w:p>
            <w:pPr>
              <w:pStyle w:val="TableParagraph"/>
              <w:spacing w:line="165" w:lineRule="exact"/>
              <w:ind w:left="678" w:right="167"/>
              <w:rPr>
                <w:rFonts w:ascii="Calibri"/>
                <w:sz w:val="14"/>
              </w:rPr>
            </w:pPr>
            <w:r>
              <w:rPr>
                <w:rFonts w:ascii="Calibri"/>
                <w:sz w:val="14"/>
              </w:rPr>
              <w:t>Subtotal</w:t>
            </w:r>
          </w:p>
        </w:tc>
        <w:tc>
          <w:tcPr>
            <w:tcW w:w="756" w:type="dxa"/>
          </w:tcPr>
          <w:p>
            <w:pPr>
              <w:pStyle w:val="TableParagraph"/>
              <w:tabs>
                <w:tab w:pos="803" w:val="left" w:leader="none"/>
              </w:tabs>
              <w:spacing w:line="165" w:lineRule="exact"/>
              <w:ind w:left="189" w:right="-49"/>
              <w:jc w:val="left"/>
              <w:rPr>
                <w:rFonts w:ascii="Calibri"/>
                <w:sz w:val="14"/>
              </w:rPr>
            </w:pPr>
            <w:r>
              <w:rPr>
                <w:rFonts w:ascii="Times New Roman"/>
                <w:w w:val="99"/>
                <w:sz w:val="14"/>
                <w:shd w:fill="F79646" w:color="auto" w:val="clear"/>
              </w:rPr>
              <w:t> </w:t>
            </w:r>
            <w:r>
              <w:rPr>
                <w:rFonts w:ascii="Times New Roman"/>
                <w:sz w:val="14"/>
                <w:shd w:fill="F79646" w:color="auto" w:val="clear"/>
              </w:rPr>
              <w:t>    </w:t>
            </w:r>
            <w:r>
              <w:rPr>
                <w:rFonts w:ascii="Times New Roman"/>
                <w:spacing w:val="10"/>
                <w:sz w:val="14"/>
                <w:shd w:fill="F79646" w:color="auto" w:val="clear"/>
              </w:rPr>
              <w:t> </w:t>
            </w:r>
            <w:r>
              <w:rPr>
                <w:rFonts w:ascii="Calibri"/>
                <w:sz w:val="14"/>
                <w:shd w:fill="F79646" w:color="auto" w:val="clear"/>
              </w:rPr>
              <w:t>0.6</w:t>
              <w:tab/>
            </w:r>
          </w:p>
        </w:tc>
        <w:tc>
          <w:tcPr>
            <w:tcW w:w="779" w:type="dxa"/>
          </w:tcPr>
          <w:p>
            <w:pPr>
              <w:pStyle w:val="TableParagraph"/>
              <w:spacing w:line="165" w:lineRule="exact"/>
              <w:ind w:left="84" w:right="34"/>
              <w:rPr>
                <w:rFonts w:ascii="Calibri"/>
                <w:sz w:val="14"/>
              </w:rPr>
            </w:pPr>
            <w:r>
              <w:rPr>
                <w:rFonts w:ascii="Calibri"/>
                <w:sz w:val="14"/>
              </w:rPr>
              <w:t>0.8</w:t>
            </w:r>
          </w:p>
        </w:tc>
        <w:tc>
          <w:tcPr>
            <w:tcW w:w="719" w:type="dxa"/>
            <w:tcBorders>
              <w:right w:val="single" w:sz="9" w:space="0" w:color="000000"/>
            </w:tcBorders>
            <w:shd w:val="clear" w:color="auto" w:fill="67ED4D"/>
          </w:tcPr>
          <w:p>
            <w:pPr>
              <w:pStyle w:val="TableParagraph"/>
              <w:spacing w:line="165" w:lineRule="exact"/>
              <w:ind w:left="35"/>
              <w:rPr>
                <w:rFonts w:ascii="Calibri"/>
                <w:sz w:val="14"/>
              </w:rPr>
            </w:pPr>
            <w:r>
              <w:rPr>
                <w:rFonts w:ascii="Calibri"/>
                <w:w w:val="99"/>
                <w:sz w:val="14"/>
              </w:rPr>
              <w:t>1</w:t>
            </w:r>
          </w:p>
        </w:tc>
      </w:tr>
      <w:tr>
        <w:trPr>
          <w:trHeight w:val="522" w:hRule="exact"/>
        </w:trPr>
        <w:tc>
          <w:tcPr>
            <w:tcW w:w="684" w:type="dxa"/>
            <w:tcBorders>
              <w:left w:val="single" w:sz="5" w:space="0" w:color="000000"/>
              <w:bottom w:val="single" w:sz="9" w:space="0" w:color="000000"/>
            </w:tcBorders>
          </w:tcPr>
          <w:p>
            <w:pPr/>
          </w:p>
        </w:tc>
        <w:tc>
          <w:tcPr>
            <w:tcW w:w="2279" w:type="dxa"/>
            <w:tcBorders>
              <w:bottom w:val="single" w:sz="9" w:space="0" w:color="000000"/>
            </w:tcBorders>
          </w:tcPr>
          <w:p>
            <w:pPr/>
          </w:p>
        </w:tc>
        <w:tc>
          <w:tcPr>
            <w:tcW w:w="1973" w:type="dxa"/>
            <w:tcBorders>
              <w:bottom w:val="single" w:sz="9" w:space="0" w:color="000000"/>
            </w:tcBorders>
          </w:tcPr>
          <w:p>
            <w:pPr/>
          </w:p>
        </w:tc>
        <w:tc>
          <w:tcPr>
            <w:tcW w:w="1629" w:type="dxa"/>
            <w:tcBorders>
              <w:bottom w:val="single" w:sz="9" w:space="0" w:color="000000"/>
            </w:tcBorders>
          </w:tcPr>
          <w:p>
            <w:pPr>
              <w:pStyle w:val="TableParagraph"/>
              <w:spacing w:before="1"/>
              <w:jc w:val="left"/>
              <w:rPr>
                <w:sz w:val="14"/>
              </w:rPr>
            </w:pPr>
          </w:p>
          <w:p>
            <w:pPr>
              <w:pStyle w:val="TableParagraph"/>
              <w:ind w:left="670" w:right="167"/>
              <w:rPr>
                <w:rFonts w:ascii="Calibri"/>
                <w:sz w:val="14"/>
              </w:rPr>
            </w:pPr>
            <w:r>
              <w:rPr>
                <w:rFonts w:ascii="Calibri"/>
                <w:sz w:val="14"/>
              </w:rPr>
              <w:t>Total IE</w:t>
            </w:r>
          </w:p>
        </w:tc>
        <w:tc>
          <w:tcPr>
            <w:tcW w:w="756" w:type="dxa"/>
            <w:tcBorders>
              <w:bottom w:val="single" w:sz="9" w:space="0" w:color="000000"/>
            </w:tcBorders>
          </w:tcPr>
          <w:p>
            <w:pPr>
              <w:pStyle w:val="TableParagraph"/>
              <w:spacing w:before="1"/>
              <w:jc w:val="left"/>
              <w:rPr>
                <w:sz w:val="14"/>
              </w:rPr>
            </w:pPr>
          </w:p>
          <w:p>
            <w:pPr>
              <w:pStyle w:val="TableParagraph"/>
              <w:tabs>
                <w:tab w:pos="803" w:val="left" w:leader="none"/>
              </w:tabs>
              <w:ind w:left="189" w:right="-49"/>
              <w:jc w:val="left"/>
              <w:rPr>
                <w:rFonts w:ascii="Calibri"/>
                <w:sz w:val="14"/>
              </w:rPr>
            </w:pPr>
            <w:r>
              <w:rPr>
                <w:rFonts w:ascii="Times New Roman"/>
                <w:w w:val="99"/>
                <w:sz w:val="14"/>
                <w:shd w:fill="F79646" w:color="auto" w:val="clear"/>
              </w:rPr>
              <w:t> </w:t>
            </w:r>
            <w:r>
              <w:rPr>
                <w:rFonts w:ascii="Times New Roman"/>
                <w:sz w:val="14"/>
                <w:shd w:fill="F79646" w:color="auto" w:val="clear"/>
              </w:rPr>
              <w:t>    </w:t>
            </w:r>
            <w:r>
              <w:rPr>
                <w:rFonts w:ascii="Times New Roman"/>
                <w:spacing w:val="10"/>
                <w:sz w:val="14"/>
                <w:shd w:fill="F79646" w:color="auto" w:val="clear"/>
              </w:rPr>
              <w:t> </w:t>
            </w:r>
            <w:r>
              <w:rPr>
                <w:rFonts w:ascii="Calibri"/>
                <w:sz w:val="14"/>
                <w:shd w:fill="F79646" w:color="auto" w:val="clear"/>
              </w:rPr>
              <w:t>5.5</w:t>
              <w:tab/>
            </w:r>
          </w:p>
        </w:tc>
        <w:tc>
          <w:tcPr>
            <w:tcW w:w="779" w:type="dxa"/>
            <w:tcBorders>
              <w:bottom w:val="single" w:sz="9" w:space="0" w:color="000000"/>
            </w:tcBorders>
          </w:tcPr>
          <w:p>
            <w:pPr>
              <w:pStyle w:val="TableParagraph"/>
              <w:spacing w:before="1"/>
              <w:jc w:val="left"/>
              <w:rPr>
                <w:sz w:val="14"/>
              </w:rPr>
            </w:pPr>
          </w:p>
          <w:p>
            <w:pPr>
              <w:pStyle w:val="TableParagraph"/>
              <w:tabs>
                <w:tab w:pos="384" w:val="left" w:leader="none"/>
                <w:tab w:pos="790" w:val="left" w:leader="none"/>
              </w:tabs>
              <w:ind w:left="36" w:right="-12"/>
              <w:rPr>
                <w:rFonts w:ascii="Calibri"/>
                <w:sz w:val="14"/>
              </w:rPr>
            </w:pPr>
            <w:r>
              <w:rPr>
                <w:rFonts w:ascii="Times New Roman"/>
                <w:w w:val="99"/>
                <w:sz w:val="14"/>
                <w:shd w:fill="FFFF00" w:color="auto" w:val="clear"/>
              </w:rPr>
              <w:t> </w:t>
            </w:r>
            <w:r>
              <w:rPr>
                <w:rFonts w:ascii="Times New Roman"/>
                <w:sz w:val="14"/>
                <w:shd w:fill="FFFF00" w:color="auto" w:val="clear"/>
              </w:rPr>
              <w:tab/>
            </w:r>
            <w:r>
              <w:rPr>
                <w:rFonts w:ascii="Calibri"/>
                <w:sz w:val="14"/>
                <w:shd w:fill="FFFF00" w:color="auto" w:val="clear"/>
              </w:rPr>
              <w:t>9</w:t>
              <w:tab/>
            </w:r>
          </w:p>
        </w:tc>
        <w:tc>
          <w:tcPr>
            <w:tcW w:w="719" w:type="dxa"/>
            <w:tcBorders>
              <w:bottom w:val="single" w:sz="9" w:space="0" w:color="000000"/>
              <w:right w:val="single" w:sz="9" w:space="0" w:color="000000"/>
            </w:tcBorders>
          </w:tcPr>
          <w:p>
            <w:pPr>
              <w:pStyle w:val="TableParagraph"/>
              <w:spacing w:before="1"/>
              <w:jc w:val="left"/>
              <w:rPr>
                <w:sz w:val="14"/>
              </w:rPr>
            </w:pPr>
          </w:p>
          <w:p>
            <w:pPr>
              <w:pStyle w:val="TableParagraph"/>
              <w:ind w:left="105" w:right="69"/>
              <w:rPr>
                <w:rFonts w:ascii="Calibri"/>
                <w:sz w:val="14"/>
              </w:rPr>
            </w:pPr>
            <w:r>
              <w:rPr>
                <w:rFonts w:ascii="Calibri"/>
                <w:sz w:val="14"/>
              </w:rPr>
              <w:t>11</w:t>
            </w:r>
          </w:p>
        </w:tc>
      </w:tr>
    </w:tbl>
    <w:p>
      <w:pPr>
        <w:pStyle w:val="BodyText"/>
        <w:spacing w:before="10"/>
        <w:rPr>
          <w:sz w:val="19"/>
        </w:rPr>
      </w:pPr>
    </w:p>
    <w:p>
      <w:pPr>
        <w:spacing w:before="0"/>
        <w:ind w:left="268" w:right="0" w:firstLine="0"/>
        <w:jc w:val="both"/>
        <w:rPr>
          <w:sz w:val="21"/>
        </w:rPr>
      </w:pPr>
      <w:r>
        <w:rPr/>
        <w:pict>
          <v:group style="position:absolute;margin-left:361.981995pt;margin-top:-117.344818pt;width:76pt;height:44.7pt;mso-position-horizontal-relative:page;mso-position-vertical-relative:paragraph;z-index:-1150456" coordorigin="7240,-2347" coordsize="1520,894">
            <v:line style="position:absolute" from="7246,-2341" to="7246,-2155" stroked="true" strokeweight=".580pt" strokecolor="#baf9f5"/>
            <v:rect style="position:absolute;left:7251;top:-2341;width:1508;height:186" filled="true" fillcolor="#baf9f5" stroked="false">
              <v:fill type="solid"/>
            </v:rect>
            <v:line style="position:absolute" from="7246,-2155" to="7246,-1981" stroked="true" strokeweight=".580pt" strokecolor="#baf9f5"/>
            <v:rect style="position:absolute;left:7251;top:-2155;width:1508;height:174" filled="true" fillcolor="#baf9f5" stroked="false">
              <v:fill type="solid"/>
            </v:rect>
            <v:line style="position:absolute" from="7246,-1981" to="7246,-1807" stroked="true" strokeweight=".580pt" strokecolor="#baf9f5"/>
            <v:rect style="position:absolute;left:7251;top:-1981;width:1508;height:174" filled="true" fillcolor="#baf9f5" stroked="false">
              <v:fill type="solid"/>
            </v:rect>
            <v:line style="position:absolute" from="7246,-1807" to="7246,-1633" stroked="true" strokeweight=".580pt" strokecolor="#baf9f5"/>
            <v:rect style="position:absolute;left:7251;top:-1807;width:1508;height:174" filled="true" fillcolor="#baf9f5" stroked="false">
              <v:fill type="solid"/>
            </v:rect>
            <v:line style="position:absolute" from="7246,-1633" to="7246,-1459" stroked="true" strokeweight=".580pt" strokecolor="#baf9f5"/>
            <v:rect style="position:absolute;left:7251;top:-1633;width:1508;height:174" filled="true" fillcolor="#baf9f5" stroked="false">
              <v:fill type="solid"/>
            </v:rect>
            <w10:wrap type="none"/>
          </v:group>
        </w:pict>
      </w:r>
      <w:r>
        <w:rPr/>
        <w:pict>
          <v:shape style="position:absolute;margin-left:467.521027pt;margin-top:-117.044136pt;width:37.7pt;height:52.85pt;mso-position-horizontal-relative:page;mso-position-vertical-relative:paragraph;z-index:-1150432" coordorigin="9350,-2341" coordsize="754,1057" path="m10104,-1807l9350,-1807,9350,-1633,9350,-1471,9350,-1459,9350,-1285,10104,-1285,10104,-1459,10104,-1471,10104,-1633,10104,-1807m10104,-2155l9350,-2155,9350,-1981,9350,-1807,10104,-1807,10104,-1981,10104,-2155m10104,-2341l9350,-2341,9350,-2155,10104,-2155,10104,-2341e" filled="true" fillcolor="#ffff00" stroked="false">
            <v:path arrowok="t"/>
            <v:fill type="solid"/>
            <w10:wrap type="none"/>
          </v:shape>
        </w:pict>
      </w:r>
      <w:r>
        <w:rPr/>
        <w:pict>
          <v:shape style="position:absolute;margin-left:467.521027pt;margin-top:-56.11813pt;width:37.7pt;height:18pt;mso-position-horizontal-relative:page;mso-position-vertical-relative:paragraph;z-index:-1150408" coordorigin="9350,-1122" coordsize="754,360" path="m10104,-1122l9350,-1122,9350,-948,9350,-937,9350,-763,10104,-763,10104,-937,10104,-948,10104,-1122e" filled="true" fillcolor="#ffff00" stroked="false">
            <v:path arrowok="t"/>
            <v:fill type="solid"/>
            <w10:wrap type="none"/>
          </v:shape>
        </w:pict>
      </w:r>
      <w:r>
        <w:rPr/>
        <w:pict>
          <v:rect style="position:absolute;margin-left:504.630005pt;margin-top:-30.008085pt;width:36.529200pt;height:9.28397pt;mso-position-horizontal-relative:page;mso-position-vertical-relative:paragraph;z-index:-1150384" filled="true" fillcolor="#67ed4d" stroked="false">
            <v:fill type="solid"/>
            <w10:wrap type="none"/>
          </v:rect>
        </w:pict>
      </w:r>
      <w:r>
        <w:rPr>
          <w:w w:val="105"/>
          <w:sz w:val="21"/>
        </w:rPr>
        <w:t>Fuente: Elaboración propia con base al estudio realizado.</w:t>
      </w:r>
    </w:p>
    <w:p>
      <w:pPr>
        <w:pStyle w:val="BodyText"/>
        <w:spacing w:before="2"/>
        <w:rPr>
          <w:sz w:val="21"/>
        </w:rPr>
      </w:pPr>
    </w:p>
    <w:p>
      <w:pPr>
        <w:pStyle w:val="BodyText"/>
        <w:spacing w:line="360" w:lineRule="auto"/>
        <w:ind w:left="268" w:right="231"/>
        <w:jc w:val="both"/>
      </w:pPr>
      <w:r>
        <w:rPr/>
        <w:t>El índice de sustentabilidad territorial permite complementar los tres índices anteriores y demostrar directamente el impacto territorial que el conjunto urbano tiene en el municipio en aspectos como usos de suelo, la congruencia entre éste y el desarrollo habitacional autorizado en la zona, los valores que expone en la tabla 23 demuestran que el desarrollo no es sustentable en este eje.</w:t>
      </w:r>
    </w:p>
    <w:p>
      <w:pPr>
        <w:spacing w:after="0" w:line="360" w:lineRule="auto"/>
        <w:jc w:val="both"/>
        <w:sectPr>
          <w:footerReference w:type="default" r:id="rId112"/>
          <w:pgSz w:w="12240" w:h="15840"/>
          <w:pgMar w:footer="1066" w:header="730" w:top="1320" w:bottom="1260" w:left="1720" w:right="1180"/>
          <w:pgNumType w:start="181"/>
        </w:sectPr>
      </w:pPr>
    </w:p>
    <w:p>
      <w:pPr>
        <w:pStyle w:val="BodyText"/>
        <w:spacing w:before="1"/>
        <w:rPr>
          <w:sz w:val="18"/>
        </w:rPr>
      </w:pPr>
    </w:p>
    <w:p>
      <w:pPr>
        <w:pStyle w:val="BodyText"/>
        <w:spacing w:before="69" w:after="14"/>
        <w:ind w:left="268"/>
        <w:jc w:val="both"/>
      </w:pPr>
      <w:r>
        <w:rPr/>
        <w:pict>
          <v:line style="position:absolute;mso-position-horizontal-relative:page;mso-position-vertical-relative:paragraph;z-index:7672" from="93.199997pt,-19.614155pt" to="546.799997pt,-19.614155pt" stroked="true" strokeweight=".479981pt" strokecolor="#000000">
            <w10:wrap type="none"/>
          </v:line>
        </w:pict>
      </w:r>
      <w:r>
        <w:rPr/>
        <w:pict>
          <v:group style="position:absolute;margin-left:361.985504pt;margin-top:53.602806pt;width:76pt;height:27.3pt;mso-position-horizontal-relative:page;mso-position-vertical-relative:paragraph;z-index:-1150336" coordorigin="7240,1072" coordsize="1520,546">
            <v:shape style="position:absolute;left:7246;top:1078;width:2;height:534" coordorigin="7246,1078" coordsize="0,534" path="m7246,1078l7246,1264m7246,1252l7246,1438m7246,1426l7246,1612e" filled="false" stroked="true" strokeweight=".579pt" strokecolor="#baf9f5">
              <v:path arrowok="t"/>
            </v:shape>
            <v:shape style="position:absolute;left:7252;top:1078;width:1508;height:534" coordorigin="7252,1078" coordsize="1508,534" path="m8759,1078l7252,1078,7252,1252,7252,1264,7252,1612,8759,1612,8759,1264,8759,1252,8759,1078e" filled="true" fillcolor="#baf9f5" stroked="false">
              <v:path arrowok="t"/>
              <v:fill type="solid"/>
            </v:shape>
            <w10:wrap type="none"/>
          </v:group>
        </w:pict>
      </w:r>
      <w:r>
        <w:rPr/>
        <w:pict>
          <v:group style="position:absolute;margin-left:361.985504pt;margin-top:97.102806pt;width:76pt;height:18.6pt;mso-position-horizontal-relative:page;mso-position-vertical-relative:paragraph;z-index:-1150312" coordorigin="7240,1942" coordsize="1520,372">
            <v:shape style="position:absolute;left:7246;top:1948;width:2;height:360" coordorigin="7246,1948" coordsize="0,360" path="m7246,1948l7246,2134m7246,2122l7246,2308e" filled="false" stroked="true" strokeweight=".579pt" strokecolor="#baf9f5">
              <v:path arrowok="t"/>
            </v:shape>
            <v:rect style="position:absolute;left:7252;top:1948;width:1508;height:360" filled="true" fillcolor="#baf9f5" stroked="false">
              <v:fill type="solid"/>
            </v:rect>
            <w10:wrap type="none"/>
          </v:group>
        </w:pict>
      </w:r>
      <w:r>
        <w:rPr/>
        <w:pict>
          <v:group style="position:absolute;margin-left:361.985504pt;margin-top:131.902863pt;width:76pt;height:18.6pt;mso-position-horizontal-relative:page;mso-position-vertical-relative:paragraph;z-index:-1150288" coordorigin="7240,2638" coordsize="1520,372">
            <v:shape style="position:absolute;left:7246;top:2644;width:2;height:360" coordorigin="7246,2644" coordsize="0,360" path="m7246,2644l7246,2830m7246,2818l7246,3004e" filled="false" stroked="true" strokeweight=".579pt" strokecolor="#baf9f5">
              <v:path arrowok="t"/>
            </v:shape>
            <v:rect style="position:absolute;left:7252;top:2644;width:1508;height:360" filled="true" fillcolor="#baf9f5" stroked="false">
              <v:fill type="solid"/>
            </v:rect>
            <w10:wrap type="none"/>
          </v:group>
        </w:pict>
      </w:r>
      <w:r>
        <w:rPr/>
        <w:pict>
          <v:group style="position:absolute;margin-left:361.985504pt;margin-top:166.702866pt;width:76pt;height:18.6pt;mso-position-horizontal-relative:page;mso-position-vertical-relative:paragraph;z-index:-1150264" coordorigin="7240,3334" coordsize="1520,372">
            <v:shape style="position:absolute;left:7246;top:3340;width:2;height:360" coordorigin="7246,3340" coordsize="0,360" path="m7246,3340l7246,3526m7246,3514l7246,3700e" filled="false" stroked="true" strokeweight=".579pt" strokecolor="#baf9f5">
              <v:path arrowok="t"/>
            </v:shape>
            <v:rect style="position:absolute;left:7252;top:3340;width:1508;height:360" filled="true" fillcolor="#baf9f5" stroked="false">
              <v:fill type="solid"/>
            </v:rect>
            <w10:wrap type="none"/>
          </v:group>
        </w:pict>
      </w:r>
      <w:r>
        <w:rPr/>
        <w:pict>
          <v:shape style="position:absolute;margin-left:467.526031pt;margin-top:53.902805pt;width:37.7pt;height:35.4pt;mso-position-horizontal-relative:page;mso-position-vertical-relative:paragraph;z-index:-1150168" coordorigin="9351,1078" coordsize="754,708" path="m10104,1078l9351,1078,9351,1252,9351,1264,9351,1600,9351,1612,9351,1786,10104,1786,10104,1612,10104,1600,10104,1264,10104,1252,10104,1078e" filled="true" fillcolor="#ffff00" stroked="false">
            <v:path arrowok="t"/>
            <v:fill type="solid"/>
            <w10:wrap type="none"/>
          </v:shape>
        </w:pict>
      </w:r>
      <w:r>
        <w:rPr/>
        <w:pict>
          <v:shape style="position:absolute;margin-left:467.526031pt;margin-top:97.402809pt;width:37.7pt;height:26.7pt;mso-position-horizontal-relative:page;mso-position-vertical-relative:paragraph;z-index:-1150144" coordorigin="9351,1948" coordsize="754,534" path="m10104,1948l9351,1948,9351,2296,9351,2308,9351,2482,10104,2482,10104,2308,10104,2296,10104,1948e" filled="true" fillcolor="#ffff00" stroked="false">
            <v:path arrowok="t"/>
            <v:fill type="solid"/>
            <w10:wrap type="none"/>
          </v:shape>
        </w:pict>
      </w:r>
      <w:r>
        <w:rPr/>
        <w:pict>
          <v:shape style="position:absolute;margin-left:467.526031pt;margin-top:132.202805pt;width:37.7pt;height:26.7pt;mso-position-horizontal-relative:page;mso-position-vertical-relative:paragraph;z-index:-1150120" coordorigin="9351,2644" coordsize="754,534" path="m10104,2644l9351,2644,9351,2992,9351,3004,9351,3178,10104,3178,10104,3004,10104,2992,10104,2644e" filled="true" fillcolor="#ffff00" stroked="false">
            <v:path arrowok="t"/>
            <v:fill type="solid"/>
            <w10:wrap type="none"/>
          </v:shape>
        </w:pict>
      </w:r>
      <w:r>
        <w:rPr/>
        <w:pict>
          <v:shape style="position:absolute;margin-left:467.526031pt;margin-top:167.002808pt;width:37.7pt;height:26.7pt;mso-position-horizontal-relative:page;mso-position-vertical-relative:paragraph;z-index:-1150096" coordorigin="9351,3340" coordsize="754,534" path="m10104,3340l9351,3340,9351,3688,9351,3700,9351,3874,10104,3874,10104,3700,10104,3688,10104,3340e" filled="true" fillcolor="#ffff00" stroked="false">
            <v:path arrowok="t"/>
            <v:fill type="solid"/>
            <w10:wrap type="none"/>
          </v:shape>
        </w:pict>
      </w:r>
      <w:r>
        <w:rPr/>
        <w:t>Tabla 23. Villas del Campo; Índice de Sustentabilidad Territorial.</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9"/>
        <w:gridCol w:w="2060"/>
        <w:gridCol w:w="2470"/>
        <w:gridCol w:w="1267"/>
        <w:gridCol w:w="756"/>
        <w:gridCol w:w="779"/>
        <w:gridCol w:w="719"/>
      </w:tblGrid>
      <w:tr>
        <w:trPr>
          <w:trHeight w:val="447" w:hRule="exact"/>
        </w:trPr>
        <w:tc>
          <w:tcPr>
            <w:tcW w:w="8819" w:type="dxa"/>
            <w:gridSpan w:val="7"/>
            <w:tcBorders>
              <w:bottom w:val="nil"/>
            </w:tcBorders>
            <w:shd w:val="clear" w:color="auto" w:fill="000000"/>
          </w:tcPr>
          <w:p>
            <w:pPr>
              <w:pStyle w:val="TableParagraph"/>
              <w:spacing w:before="3"/>
              <w:jc w:val="left"/>
              <w:rPr>
                <w:sz w:val="11"/>
              </w:rPr>
            </w:pPr>
          </w:p>
          <w:p>
            <w:pPr>
              <w:pStyle w:val="TableParagraph"/>
              <w:ind w:left="3226" w:right="3227"/>
              <w:rPr>
                <w:b/>
                <w:sz w:val="14"/>
              </w:rPr>
            </w:pPr>
            <w:r>
              <w:rPr>
                <w:b/>
                <w:color w:val="FFFFFF"/>
                <w:sz w:val="14"/>
              </w:rPr>
              <w:t>Índice de sustentabilidad territorial</w:t>
            </w:r>
          </w:p>
        </w:tc>
      </w:tr>
      <w:tr>
        <w:trPr>
          <w:trHeight w:val="180" w:hRule="exact"/>
        </w:trPr>
        <w:tc>
          <w:tcPr>
            <w:tcW w:w="769" w:type="dxa"/>
            <w:tcBorders>
              <w:top w:val="single" w:sz="5" w:space="0" w:color="FFFFFF"/>
              <w:left w:val="single" w:sz="5" w:space="0" w:color="000000"/>
            </w:tcBorders>
            <w:shd w:val="clear" w:color="auto" w:fill="808080"/>
          </w:tcPr>
          <w:p>
            <w:pPr>
              <w:pStyle w:val="TableParagraph"/>
              <w:spacing w:line="151" w:lineRule="exact"/>
              <w:ind w:left="301"/>
              <w:jc w:val="left"/>
              <w:rPr>
                <w:b/>
                <w:sz w:val="14"/>
              </w:rPr>
            </w:pPr>
            <w:r>
              <w:rPr>
                <w:b/>
                <w:color w:val="FFFFFF"/>
                <w:sz w:val="14"/>
              </w:rPr>
              <w:t>Eje</w:t>
            </w:r>
          </w:p>
        </w:tc>
        <w:tc>
          <w:tcPr>
            <w:tcW w:w="2060" w:type="dxa"/>
            <w:tcBorders>
              <w:top w:val="single" w:sz="5" w:space="0" w:color="FFFFFF"/>
            </w:tcBorders>
            <w:shd w:val="clear" w:color="auto" w:fill="808080"/>
          </w:tcPr>
          <w:p>
            <w:pPr>
              <w:pStyle w:val="TableParagraph"/>
              <w:spacing w:line="151" w:lineRule="exact"/>
              <w:ind w:left="83"/>
              <w:jc w:val="left"/>
              <w:rPr>
                <w:b/>
                <w:sz w:val="14"/>
              </w:rPr>
            </w:pPr>
            <w:r>
              <w:rPr>
                <w:b/>
                <w:color w:val="FFFFFF"/>
                <w:sz w:val="14"/>
              </w:rPr>
              <w:t>Subíndice</w:t>
            </w:r>
          </w:p>
        </w:tc>
        <w:tc>
          <w:tcPr>
            <w:tcW w:w="2470" w:type="dxa"/>
            <w:tcBorders>
              <w:top w:val="single" w:sz="5" w:space="0" w:color="FFFFFF"/>
            </w:tcBorders>
            <w:shd w:val="clear" w:color="auto" w:fill="808080"/>
          </w:tcPr>
          <w:p>
            <w:pPr>
              <w:pStyle w:val="TableParagraph"/>
              <w:spacing w:line="151" w:lineRule="exact"/>
              <w:ind w:left="389" w:right="327"/>
              <w:jc w:val="left"/>
              <w:rPr>
                <w:b/>
                <w:sz w:val="14"/>
              </w:rPr>
            </w:pPr>
            <w:r>
              <w:rPr>
                <w:b/>
                <w:color w:val="FFFFFF"/>
                <w:sz w:val="14"/>
              </w:rPr>
              <w:t>Indicador</w:t>
            </w:r>
          </w:p>
        </w:tc>
        <w:tc>
          <w:tcPr>
            <w:tcW w:w="1267" w:type="dxa"/>
            <w:tcBorders>
              <w:top w:val="single" w:sz="5" w:space="0" w:color="FFFFFF"/>
            </w:tcBorders>
            <w:shd w:val="clear" w:color="auto" w:fill="808080"/>
          </w:tcPr>
          <w:p>
            <w:pPr/>
          </w:p>
        </w:tc>
        <w:tc>
          <w:tcPr>
            <w:tcW w:w="756" w:type="dxa"/>
            <w:tcBorders>
              <w:top w:val="single" w:sz="5" w:space="0" w:color="FFFFFF"/>
            </w:tcBorders>
            <w:shd w:val="clear" w:color="auto" w:fill="808080"/>
          </w:tcPr>
          <w:p>
            <w:pPr>
              <w:pStyle w:val="TableParagraph"/>
              <w:spacing w:line="151" w:lineRule="exact"/>
              <w:ind w:left="224" w:right="-49"/>
              <w:jc w:val="left"/>
              <w:rPr>
                <w:b/>
                <w:sz w:val="14"/>
              </w:rPr>
            </w:pPr>
            <w:r>
              <w:rPr>
                <w:b/>
                <w:color w:val="FFFFFF"/>
                <w:sz w:val="14"/>
              </w:rPr>
              <w:t>Valores</w:t>
            </w:r>
          </w:p>
        </w:tc>
        <w:tc>
          <w:tcPr>
            <w:tcW w:w="779" w:type="dxa"/>
            <w:tcBorders>
              <w:top w:val="single" w:sz="5" w:space="0" w:color="FFFFFF"/>
            </w:tcBorders>
            <w:shd w:val="clear" w:color="auto" w:fill="808080"/>
          </w:tcPr>
          <w:p>
            <w:pPr/>
          </w:p>
        </w:tc>
        <w:tc>
          <w:tcPr>
            <w:tcW w:w="719" w:type="dxa"/>
            <w:tcBorders>
              <w:top w:val="single" w:sz="5" w:space="0" w:color="FFFFFF"/>
              <w:right w:val="single" w:sz="9" w:space="0" w:color="000000"/>
            </w:tcBorders>
            <w:shd w:val="clear" w:color="auto" w:fill="808080"/>
          </w:tcPr>
          <w:p>
            <w:pPr/>
          </w:p>
        </w:tc>
      </w:tr>
      <w:tr>
        <w:trPr>
          <w:trHeight w:val="93" w:hRule="exact"/>
        </w:trPr>
        <w:tc>
          <w:tcPr>
            <w:tcW w:w="8819" w:type="dxa"/>
            <w:gridSpan w:val="7"/>
            <w:tcBorders>
              <w:left w:val="single" w:sz="5" w:space="0" w:color="000000"/>
              <w:right w:val="single" w:sz="9" w:space="0" w:color="000000"/>
            </w:tcBorders>
            <w:shd w:val="clear" w:color="auto" w:fill="808080"/>
          </w:tcPr>
          <w:p>
            <w:pPr/>
          </w:p>
        </w:tc>
      </w:tr>
      <w:tr>
        <w:trPr>
          <w:trHeight w:val="179" w:hRule="exact"/>
        </w:trPr>
        <w:tc>
          <w:tcPr>
            <w:tcW w:w="769" w:type="dxa"/>
            <w:vMerge w:val="restart"/>
            <w:tcBorders>
              <w:left w:val="single" w:sz="5" w:space="0" w:color="000000"/>
            </w:tcBorders>
          </w:tcPr>
          <w:p>
            <w:pPr/>
          </w:p>
        </w:tc>
        <w:tc>
          <w:tcPr>
            <w:tcW w:w="2060" w:type="dxa"/>
          </w:tcPr>
          <w:p>
            <w:pPr/>
          </w:p>
        </w:tc>
        <w:tc>
          <w:tcPr>
            <w:tcW w:w="2470" w:type="dxa"/>
          </w:tcPr>
          <w:p>
            <w:pPr/>
          </w:p>
        </w:tc>
        <w:tc>
          <w:tcPr>
            <w:tcW w:w="1267" w:type="dxa"/>
          </w:tcPr>
          <w:p>
            <w:pPr>
              <w:pStyle w:val="TableParagraph"/>
              <w:spacing w:before="2"/>
              <w:ind w:left="320" w:right="167"/>
              <w:rPr>
                <w:b/>
                <w:sz w:val="14"/>
              </w:rPr>
            </w:pPr>
            <w:r>
              <w:rPr>
                <w:b/>
                <w:sz w:val="14"/>
              </w:rPr>
              <w:t>Evaluación</w:t>
            </w:r>
          </w:p>
        </w:tc>
        <w:tc>
          <w:tcPr>
            <w:tcW w:w="756" w:type="dxa"/>
          </w:tcPr>
          <w:p>
            <w:pPr>
              <w:pStyle w:val="TableParagraph"/>
              <w:spacing w:before="2"/>
              <w:ind w:left="189" w:right="-49"/>
              <w:jc w:val="left"/>
              <w:rPr>
                <w:b/>
                <w:sz w:val="14"/>
              </w:rPr>
            </w:pPr>
            <w:r>
              <w:rPr>
                <w:b/>
                <w:w w:val="99"/>
                <w:sz w:val="14"/>
                <w:shd w:fill="F79646" w:color="auto" w:val="clear"/>
              </w:rPr>
              <w:t> </w:t>
            </w:r>
            <w:r>
              <w:rPr>
                <w:b/>
                <w:sz w:val="14"/>
                <w:shd w:fill="F79646" w:color="auto" w:val="clear"/>
              </w:rPr>
              <w:t>  </w:t>
            </w:r>
            <w:r>
              <w:rPr>
                <w:b/>
                <w:spacing w:val="7"/>
                <w:sz w:val="14"/>
                <w:shd w:fill="F79646" w:color="auto" w:val="clear"/>
              </w:rPr>
              <w:t> </w:t>
            </w:r>
            <w:r>
              <w:rPr>
                <w:b/>
                <w:sz w:val="14"/>
                <w:shd w:fill="F79646" w:color="auto" w:val="clear"/>
              </w:rPr>
              <w:t>Real</w:t>
            </w:r>
            <w:r>
              <w:rPr>
                <w:b/>
                <w:spacing w:val="2"/>
                <w:sz w:val="14"/>
                <w:shd w:fill="F79646" w:color="auto" w:val="clear"/>
              </w:rPr>
              <w:t> </w:t>
            </w:r>
          </w:p>
        </w:tc>
        <w:tc>
          <w:tcPr>
            <w:tcW w:w="779" w:type="dxa"/>
          </w:tcPr>
          <w:p>
            <w:pPr>
              <w:pStyle w:val="TableParagraph"/>
              <w:spacing w:before="2"/>
              <w:ind w:left="84" w:right="40"/>
              <w:rPr>
                <w:b/>
                <w:sz w:val="14"/>
              </w:rPr>
            </w:pPr>
            <w:r>
              <w:rPr>
                <w:b/>
                <w:sz w:val="14"/>
              </w:rPr>
              <w:t>Deseable</w:t>
            </w:r>
          </w:p>
        </w:tc>
        <w:tc>
          <w:tcPr>
            <w:tcW w:w="719" w:type="dxa"/>
            <w:tcBorders>
              <w:right w:val="single" w:sz="9" w:space="0" w:color="000000"/>
            </w:tcBorders>
            <w:shd w:val="clear" w:color="auto" w:fill="67ED4D"/>
          </w:tcPr>
          <w:p>
            <w:pPr>
              <w:pStyle w:val="TableParagraph"/>
              <w:spacing w:before="2"/>
              <w:ind w:left="105" w:right="71"/>
              <w:rPr>
                <w:b/>
                <w:sz w:val="14"/>
              </w:rPr>
            </w:pPr>
            <w:r>
              <w:rPr>
                <w:b/>
                <w:sz w:val="14"/>
              </w:rPr>
              <w:t>Óptimo</w:t>
            </w:r>
          </w:p>
        </w:tc>
      </w:tr>
      <w:tr>
        <w:trPr>
          <w:trHeight w:val="176" w:hRule="exact"/>
        </w:trPr>
        <w:tc>
          <w:tcPr>
            <w:tcW w:w="769" w:type="dxa"/>
            <w:vMerge/>
            <w:tcBorders>
              <w:left w:val="single" w:sz="5" w:space="0" w:color="000000"/>
            </w:tcBorders>
          </w:tcPr>
          <w:p>
            <w:pPr/>
          </w:p>
        </w:tc>
        <w:tc>
          <w:tcPr>
            <w:tcW w:w="2060" w:type="dxa"/>
            <w:vMerge w:val="restart"/>
          </w:tcPr>
          <w:p>
            <w:pPr>
              <w:pStyle w:val="TableParagraph"/>
              <w:spacing w:before="76"/>
              <w:ind w:left="83"/>
              <w:jc w:val="left"/>
              <w:rPr>
                <w:rFonts w:ascii="Calibri"/>
                <w:sz w:val="14"/>
              </w:rPr>
            </w:pPr>
            <w:r>
              <w:rPr>
                <w:rFonts w:ascii="Calibri"/>
                <w:sz w:val="14"/>
              </w:rPr>
              <w:t>Uso de suelo</w:t>
            </w:r>
          </w:p>
        </w:tc>
        <w:tc>
          <w:tcPr>
            <w:tcW w:w="2470" w:type="dxa"/>
            <w:vMerge w:val="restart"/>
          </w:tcPr>
          <w:p>
            <w:pPr>
              <w:pStyle w:val="TableParagraph"/>
              <w:spacing w:line="244" w:lineRule="auto"/>
              <w:ind w:left="389" w:right="327"/>
              <w:jc w:val="left"/>
              <w:rPr>
                <w:rFonts w:ascii="Calibri" w:hAnsi="Calibri"/>
                <w:sz w:val="14"/>
              </w:rPr>
            </w:pPr>
            <w:r>
              <w:rPr>
                <w:rFonts w:ascii="Calibri" w:hAnsi="Calibri"/>
                <w:sz w:val="14"/>
              </w:rPr>
              <w:t>Clasificación del suelo Densidad de población</w:t>
            </w:r>
          </w:p>
        </w:tc>
        <w:tc>
          <w:tcPr>
            <w:tcW w:w="1267" w:type="dxa"/>
            <w:vMerge w:val="restart"/>
          </w:tcPr>
          <w:p>
            <w:pPr>
              <w:pStyle w:val="TableParagraph"/>
              <w:spacing w:line="166" w:lineRule="exact"/>
              <w:ind w:left="161"/>
              <w:rPr>
                <w:rFonts w:ascii="Calibri"/>
                <w:sz w:val="14"/>
              </w:rPr>
            </w:pPr>
            <w:r>
              <w:rPr>
                <w:rFonts w:ascii="Calibri"/>
                <w:w w:val="99"/>
                <w:sz w:val="14"/>
              </w:rPr>
              <w:t>0</w:t>
            </w:r>
          </w:p>
          <w:p>
            <w:pPr>
              <w:pStyle w:val="TableParagraph"/>
              <w:spacing w:before="3"/>
              <w:ind w:left="318" w:right="167"/>
              <w:rPr>
                <w:rFonts w:ascii="Calibri"/>
                <w:sz w:val="14"/>
              </w:rPr>
            </w:pPr>
            <w:r>
              <w:rPr>
                <w:rFonts w:ascii="Calibri"/>
                <w:sz w:val="14"/>
              </w:rPr>
              <w:t>0.5</w:t>
            </w:r>
          </w:p>
        </w:tc>
        <w:tc>
          <w:tcPr>
            <w:tcW w:w="756" w:type="dxa"/>
            <w:vMerge w:val="restart"/>
          </w:tcPr>
          <w:p>
            <w:pPr/>
          </w:p>
        </w:tc>
        <w:tc>
          <w:tcPr>
            <w:tcW w:w="779" w:type="dxa"/>
            <w:vMerge w:val="restart"/>
          </w:tcPr>
          <w:p>
            <w:pPr>
              <w:pStyle w:val="TableParagraph"/>
              <w:spacing w:line="166" w:lineRule="exact"/>
              <w:ind w:left="84" w:right="34"/>
              <w:rPr>
                <w:rFonts w:ascii="Calibri"/>
                <w:sz w:val="14"/>
              </w:rPr>
            </w:pPr>
            <w:r>
              <w:rPr>
                <w:rFonts w:ascii="Calibri"/>
                <w:sz w:val="14"/>
              </w:rPr>
              <w:t>0.5</w:t>
            </w:r>
          </w:p>
          <w:p>
            <w:pPr>
              <w:pStyle w:val="TableParagraph"/>
              <w:spacing w:before="3"/>
              <w:ind w:left="84" w:right="34"/>
              <w:rPr>
                <w:rFonts w:ascii="Calibri"/>
                <w:sz w:val="14"/>
              </w:rPr>
            </w:pPr>
            <w:r>
              <w:rPr>
                <w:rFonts w:ascii="Calibri"/>
                <w:sz w:val="14"/>
              </w:rPr>
              <w:t>0.5</w:t>
            </w:r>
          </w:p>
        </w:tc>
        <w:tc>
          <w:tcPr>
            <w:tcW w:w="719" w:type="dxa"/>
            <w:tcBorders>
              <w:right w:val="single" w:sz="9" w:space="0" w:color="000000"/>
            </w:tcBorders>
            <w:shd w:val="clear" w:color="auto" w:fill="67ED4D"/>
          </w:tcPr>
          <w:p>
            <w:pPr>
              <w:pStyle w:val="TableParagraph"/>
              <w:spacing w:line="166" w:lineRule="exact"/>
              <w:ind w:left="35"/>
              <w:rPr>
                <w:rFonts w:ascii="Calibri"/>
                <w:sz w:val="14"/>
              </w:rPr>
            </w:pPr>
            <w:r>
              <w:rPr>
                <w:rFonts w:ascii="Calibri"/>
                <w:w w:val="99"/>
                <w:sz w:val="14"/>
              </w:rPr>
              <w:t>1</w:t>
            </w:r>
          </w:p>
        </w:tc>
      </w:tr>
      <w:tr>
        <w:trPr>
          <w:trHeight w:val="174" w:hRule="exact"/>
        </w:trPr>
        <w:tc>
          <w:tcPr>
            <w:tcW w:w="769" w:type="dxa"/>
            <w:vMerge/>
            <w:tcBorders>
              <w:left w:val="single" w:sz="5" w:space="0" w:color="000000"/>
            </w:tcBorders>
          </w:tcPr>
          <w:p>
            <w:pPr/>
          </w:p>
        </w:tc>
        <w:tc>
          <w:tcPr>
            <w:tcW w:w="2060" w:type="dxa"/>
            <w:vMerge/>
          </w:tcPr>
          <w:p>
            <w:pPr/>
          </w:p>
        </w:tc>
        <w:tc>
          <w:tcPr>
            <w:tcW w:w="2470" w:type="dxa"/>
            <w:vMerge/>
          </w:tcPr>
          <w:p>
            <w:pPr/>
          </w:p>
        </w:tc>
        <w:tc>
          <w:tcPr>
            <w:tcW w:w="1267" w:type="dxa"/>
            <w:vMerge/>
          </w:tcPr>
          <w:p>
            <w:pPr/>
          </w:p>
        </w:tc>
        <w:tc>
          <w:tcPr>
            <w:tcW w:w="756" w:type="dxa"/>
            <w:vMerge/>
          </w:tcPr>
          <w:p>
            <w:pPr/>
          </w:p>
        </w:tc>
        <w:tc>
          <w:tcPr>
            <w:tcW w:w="779" w:type="dxa"/>
            <w:vMerge/>
          </w:tcPr>
          <w:p>
            <w:pPr/>
          </w:p>
        </w:tc>
        <w:tc>
          <w:tcPr>
            <w:tcW w:w="719" w:type="dxa"/>
            <w:tcBorders>
              <w:right w:val="single" w:sz="9" w:space="0" w:color="000000"/>
            </w:tcBorders>
            <w:shd w:val="clear" w:color="auto" w:fill="67ED4D"/>
          </w:tcPr>
          <w:p>
            <w:pPr>
              <w:pStyle w:val="TableParagraph"/>
              <w:spacing w:line="164" w:lineRule="exact"/>
              <w:ind w:left="35"/>
              <w:rPr>
                <w:rFonts w:ascii="Calibri"/>
                <w:sz w:val="14"/>
              </w:rPr>
            </w:pPr>
            <w:r>
              <w:rPr>
                <w:rFonts w:ascii="Calibri"/>
                <w:w w:val="99"/>
                <w:sz w:val="14"/>
              </w:rPr>
              <w:t>1</w:t>
            </w:r>
          </w:p>
        </w:tc>
      </w:tr>
      <w:tr>
        <w:trPr>
          <w:trHeight w:val="178" w:hRule="exact"/>
        </w:trPr>
        <w:tc>
          <w:tcPr>
            <w:tcW w:w="769" w:type="dxa"/>
            <w:vMerge/>
            <w:tcBorders>
              <w:left w:val="single" w:sz="5" w:space="0" w:color="000000"/>
            </w:tcBorders>
          </w:tcPr>
          <w:p>
            <w:pPr/>
          </w:p>
        </w:tc>
        <w:tc>
          <w:tcPr>
            <w:tcW w:w="2060" w:type="dxa"/>
          </w:tcPr>
          <w:p>
            <w:pPr/>
          </w:p>
        </w:tc>
        <w:tc>
          <w:tcPr>
            <w:tcW w:w="2470" w:type="dxa"/>
          </w:tcPr>
          <w:p>
            <w:pPr/>
          </w:p>
        </w:tc>
        <w:tc>
          <w:tcPr>
            <w:tcW w:w="1267" w:type="dxa"/>
          </w:tcPr>
          <w:p>
            <w:pPr>
              <w:pStyle w:val="TableParagraph"/>
              <w:spacing w:line="165" w:lineRule="exact"/>
              <w:ind w:left="316" w:right="167"/>
              <w:rPr>
                <w:rFonts w:ascii="Calibri"/>
                <w:sz w:val="14"/>
              </w:rPr>
            </w:pPr>
            <w:r>
              <w:rPr>
                <w:rFonts w:ascii="Calibri"/>
                <w:sz w:val="14"/>
              </w:rPr>
              <w:t>Subtotal</w:t>
            </w:r>
          </w:p>
        </w:tc>
        <w:tc>
          <w:tcPr>
            <w:tcW w:w="756" w:type="dxa"/>
          </w:tcPr>
          <w:p>
            <w:pPr>
              <w:pStyle w:val="TableParagraph"/>
              <w:tabs>
                <w:tab w:pos="803" w:val="left" w:leader="none"/>
              </w:tabs>
              <w:spacing w:line="165" w:lineRule="exact"/>
              <w:ind w:left="189" w:right="-49"/>
              <w:jc w:val="left"/>
              <w:rPr>
                <w:rFonts w:ascii="Calibri"/>
                <w:sz w:val="14"/>
              </w:rPr>
            </w:pPr>
            <w:r>
              <w:rPr>
                <w:rFonts w:ascii="Times New Roman"/>
                <w:w w:val="99"/>
                <w:sz w:val="14"/>
                <w:shd w:fill="F79646" w:color="auto" w:val="clear"/>
              </w:rPr>
              <w:t> </w:t>
            </w:r>
            <w:r>
              <w:rPr>
                <w:rFonts w:ascii="Times New Roman"/>
                <w:sz w:val="14"/>
                <w:shd w:fill="F79646" w:color="auto" w:val="clear"/>
              </w:rPr>
              <w:t>    </w:t>
            </w:r>
            <w:r>
              <w:rPr>
                <w:rFonts w:ascii="Times New Roman"/>
                <w:spacing w:val="10"/>
                <w:sz w:val="14"/>
                <w:shd w:fill="F79646" w:color="auto" w:val="clear"/>
              </w:rPr>
              <w:t> </w:t>
            </w:r>
            <w:r>
              <w:rPr>
                <w:rFonts w:ascii="Calibri"/>
                <w:sz w:val="14"/>
                <w:shd w:fill="F79646" w:color="auto" w:val="clear"/>
              </w:rPr>
              <w:t>0.5</w:t>
              <w:tab/>
            </w:r>
          </w:p>
        </w:tc>
        <w:tc>
          <w:tcPr>
            <w:tcW w:w="779" w:type="dxa"/>
          </w:tcPr>
          <w:p>
            <w:pPr>
              <w:pStyle w:val="TableParagraph"/>
              <w:spacing w:line="165" w:lineRule="exact"/>
              <w:ind w:left="60"/>
              <w:rPr>
                <w:rFonts w:ascii="Calibri"/>
                <w:sz w:val="14"/>
              </w:rPr>
            </w:pPr>
            <w:r>
              <w:rPr>
                <w:rFonts w:ascii="Calibri"/>
                <w:w w:val="99"/>
                <w:sz w:val="14"/>
              </w:rPr>
              <w:t>1</w:t>
            </w:r>
          </w:p>
        </w:tc>
        <w:tc>
          <w:tcPr>
            <w:tcW w:w="719" w:type="dxa"/>
            <w:tcBorders>
              <w:right w:val="single" w:sz="9" w:space="0" w:color="000000"/>
            </w:tcBorders>
            <w:shd w:val="clear" w:color="auto" w:fill="67ED4D"/>
          </w:tcPr>
          <w:p>
            <w:pPr>
              <w:pStyle w:val="TableParagraph"/>
              <w:spacing w:line="164" w:lineRule="exact"/>
              <w:ind w:left="35"/>
              <w:rPr>
                <w:rFonts w:ascii="Calibri"/>
                <w:sz w:val="14"/>
              </w:rPr>
            </w:pPr>
            <w:r>
              <w:rPr>
                <w:rFonts w:ascii="Calibri"/>
                <w:w w:val="99"/>
                <w:sz w:val="14"/>
              </w:rPr>
              <w:t>2</w:t>
            </w:r>
          </w:p>
        </w:tc>
      </w:tr>
      <w:tr>
        <w:trPr>
          <w:trHeight w:val="162" w:hRule="exact"/>
        </w:trPr>
        <w:tc>
          <w:tcPr>
            <w:tcW w:w="8819" w:type="dxa"/>
            <w:gridSpan w:val="7"/>
            <w:tcBorders>
              <w:left w:val="single" w:sz="5" w:space="0" w:color="000000"/>
              <w:right w:val="single" w:sz="9" w:space="0" w:color="000000"/>
            </w:tcBorders>
          </w:tcPr>
          <w:p>
            <w:pPr/>
          </w:p>
        </w:tc>
      </w:tr>
      <w:tr>
        <w:trPr>
          <w:trHeight w:val="181" w:hRule="exact"/>
        </w:trPr>
        <w:tc>
          <w:tcPr>
            <w:tcW w:w="769" w:type="dxa"/>
            <w:vMerge w:val="restart"/>
            <w:tcBorders>
              <w:left w:val="single" w:sz="5" w:space="0" w:color="000000"/>
            </w:tcBorders>
          </w:tcPr>
          <w:p>
            <w:pPr/>
          </w:p>
        </w:tc>
        <w:tc>
          <w:tcPr>
            <w:tcW w:w="2060" w:type="dxa"/>
            <w:vMerge w:val="restart"/>
          </w:tcPr>
          <w:p>
            <w:pPr>
              <w:pStyle w:val="TableParagraph"/>
              <w:spacing w:before="81"/>
              <w:ind w:left="83"/>
              <w:jc w:val="left"/>
              <w:rPr>
                <w:rFonts w:ascii="Calibri"/>
                <w:sz w:val="14"/>
              </w:rPr>
            </w:pPr>
            <w:r>
              <w:rPr>
                <w:rFonts w:ascii="Calibri"/>
                <w:sz w:val="14"/>
              </w:rPr>
              <w:t>Vivienda</w:t>
            </w:r>
          </w:p>
        </w:tc>
        <w:tc>
          <w:tcPr>
            <w:tcW w:w="2470" w:type="dxa"/>
            <w:vMerge w:val="restart"/>
          </w:tcPr>
          <w:p>
            <w:pPr>
              <w:pStyle w:val="TableParagraph"/>
              <w:spacing w:line="244" w:lineRule="auto"/>
              <w:ind w:left="389" w:right="1213"/>
              <w:jc w:val="left"/>
              <w:rPr>
                <w:rFonts w:ascii="Calibri"/>
                <w:sz w:val="14"/>
              </w:rPr>
            </w:pPr>
            <w:r>
              <w:rPr>
                <w:rFonts w:ascii="Calibri"/>
                <w:w w:val="95"/>
                <w:sz w:val="14"/>
              </w:rPr>
              <w:t>Autorizadas </w:t>
            </w:r>
            <w:r>
              <w:rPr>
                <w:rFonts w:ascii="Calibri"/>
                <w:sz w:val="14"/>
              </w:rPr>
              <w:t>Tipo</w:t>
            </w:r>
          </w:p>
        </w:tc>
        <w:tc>
          <w:tcPr>
            <w:tcW w:w="1267" w:type="dxa"/>
            <w:vMerge w:val="restart"/>
          </w:tcPr>
          <w:p>
            <w:pPr>
              <w:pStyle w:val="TableParagraph"/>
              <w:ind w:left="161"/>
              <w:rPr>
                <w:rFonts w:ascii="Calibri"/>
                <w:sz w:val="14"/>
              </w:rPr>
            </w:pPr>
            <w:r>
              <w:rPr>
                <w:rFonts w:ascii="Calibri"/>
                <w:w w:val="99"/>
                <w:sz w:val="14"/>
              </w:rPr>
              <w:t>1</w:t>
            </w:r>
          </w:p>
          <w:p>
            <w:pPr>
              <w:pStyle w:val="TableParagraph"/>
              <w:spacing w:before="3"/>
              <w:ind w:left="161"/>
              <w:rPr>
                <w:rFonts w:ascii="Calibri"/>
                <w:sz w:val="14"/>
              </w:rPr>
            </w:pPr>
            <w:r>
              <w:rPr>
                <w:rFonts w:ascii="Calibri"/>
                <w:w w:val="99"/>
                <w:sz w:val="14"/>
              </w:rPr>
              <w:t>0</w:t>
            </w:r>
          </w:p>
        </w:tc>
        <w:tc>
          <w:tcPr>
            <w:tcW w:w="756" w:type="dxa"/>
            <w:vMerge w:val="restart"/>
          </w:tcPr>
          <w:p>
            <w:pPr/>
          </w:p>
        </w:tc>
        <w:tc>
          <w:tcPr>
            <w:tcW w:w="779" w:type="dxa"/>
            <w:vMerge w:val="restart"/>
          </w:tcPr>
          <w:p>
            <w:pPr>
              <w:pStyle w:val="TableParagraph"/>
              <w:ind w:left="60"/>
              <w:rPr>
                <w:rFonts w:ascii="Calibri"/>
                <w:sz w:val="14"/>
              </w:rPr>
            </w:pPr>
            <w:r>
              <w:rPr>
                <w:rFonts w:ascii="Calibri"/>
                <w:w w:val="99"/>
                <w:sz w:val="14"/>
              </w:rPr>
              <w:t>1</w:t>
            </w:r>
          </w:p>
          <w:p>
            <w:pPr>
              <w:pStyle w:val="TableParagraph"/>
              <w:spacing w:before="3"/>
              <w:ind w:left="84" w:right="34"/>
              <w:rPr>
                <w:rFonts w:ascii="Calibri"/>
                <w:sz w:val="14"/>
              </w:rPr>
            </w:pPr>
            <w:r>
              <w:rPr>
                <w:rFonts w:ascii="Calibri"/>
                <w:sz w:val="14"/>
              </w:rPr>
              <w:t>0.5</w:t>
            </w:r>
          </w:p>
        </w:tc>
        <w:tc>
          <w:tcPr>
            <w:tcW w:w="719" w:type="dxa"/>
            <w:tcBorders>
              <w:right w:val="single" w:sz="9" w:space="0" w:color="000000"/>
            </w:tcBorders>
            <w:shd w:val="clear" w:color="auto" w:fill="67ED4D"/>
          </w:tcPr>
          <w:p>
            <w:pPr>
              <w:pStyle w:val="TableParagraph"/>
              <w:ind w:left="35"/>
              <w:rPr>
                <w:rFonts w:ascii="Calibri"/>
                <w:sz w:val="14"/>
              </w:rPr>
            </w:pPr>
            <w:r>
              <w:rPr>
                <w:rFonts w:ascii="Calibri"/>
                <w:w w:val="99"/>
                <w:sz w:val="14"/>
              </w:rPr>
              <w:t>1</w:t>
            </w:r>
          </w:p>
        </w:tc>
      </w:tr>
      <w:tr>
        <w:trPr>
          <w:trHeight w:val="174" w:hRule="exact"/>
        </w:trPr>
        <w:tc>
          <w:tcPr>
            <w:tcW w:w="769" w:type="dxa"/>
            <w:vMerge/>
            <w:tcBorders>
              <w:left w:val="single" w:sz="5" w:space="0" w:color="000000"/>
            </w:tcBorders>
          </w:tcPr>
          <w:p>
            <w:pPr/>
          </w:p>
        </w:tc>
        <w:tc>
          <w:tcPr>
            <w:tcW w:w="2060" w:type="dxa"/>
            <w:vMerge/>
          </w:tcPr>
          <w:p>
            <w:pPr/>
          </w:p>
        </w:tc>
        <w:tc>
          <w:tcPr>
            <w:tcW w:w="2470" w:type="dxa"/>
            <w:vMerge/>
          </w:tcPr>
          <w:p>
            <w:pPr/>
          </w:p>
        </w:tc>
        <w:tc>
          <w:tcPr>
            <w:tcW w:w="1267" w:type="dxa"/>
            <w:vMerge/>
          </w:tcPr>
          <w:p>
            <w:pPr/>
          </w:p>
        </w:tc>
        <w:tc>
          <w:tcPr>
            <w:tcW w:w="756" w:type="dxa"/>
            <w:vMerge/>
          </w:tcPr>
          <w:p>
            <w:pPr/>
          </w:p>
        </w:tc>
        <w:tc>
          <w:tcPr>
            <w:tcW w:w="779" w:type="dxa"/>
            <w:vMerge/>
          </w:tcPr>
          <w:p>
            <w:pPr/>
          </w:p>
        </w:tc>
        <w:tc>
          <w:tcPr>
            <w:tcW w:w="719" w:type="dxa"/>
            <w:tcBorders>
              <w:right w:val="single" w:sz="9" w:space="0" w:color="000000"/>
            </w:tcBorders>
            <w:shd w:val="clear" w:color="auto" w:fill="67ED4D"/>
          </w:tcPr>
          <w:p>
            <w:pPr>
              <w:pStyle w:val="TableParagraph"/>
              <w:spacing w:line="164" w:lineRule="exact"/>
              <w:ind w:left="35"/>
              <w:rPr>
                <w:rFonts w:ascii="Calibri"/>
                <w:sz w:val="14"/>
              </w:rPr>
            </w:pPr>
            <w:r>
              <w:rPr>
                <w:rFonts w:ascii="Calibri"/>
                <w:w w:val="99"/>
                <w:sz w:val="14"/>
              </w:rPr>
              <w:t>1</w:t>
            </w:r>
          </w:p>
        </w:tc>
      </w:tr>
      <w:tr>
        <w:trPr>
          <w:trHeight w:val="178" w:hRule="exact"/>
        </w:trPr>
        <w:tc>
          <w:tcPr>
            <w:tcW w:w="769" w:type="dxa"/>
            <w:vMerge/>
            <w:tcBorders>
              <w:left w:val="single" w:sz="5" w:space="0" w:color="000000"/>
            </w:tcBorders>
          </w:tcPr>
          <w:p>
            <w:pPr/>
          </w:p>
        </w:tc>
        <w:tc>
          <w:tcPr>
            <w:tcW w:w="2060" w:type="dxa"/>
          </w:tcPr>
          <w:p>
            <w:pPr/>
          </w:p>
        </w:tc>
        <w:tc>
          <w:tcPr>
            <w:tcW w:w="2470" w:type="dxa"/>
          </w:tcPr>
          <w:p>
            <w:pPr/>
          </w:p>
        </w:tc>
        <w:tc>
          <w:tcPr>
            <w:tcW w:w="1267" w:type="dxa"/>
          </w:tcPr>
          <w:p>
            <w:pPr>
              <w:pStyle w:val="TableParagraph"/>
              <w:spacing w:line="165" w:lineRule="exact"/>
              <w:ind w:left="316" w:right="167"/>
              <w:rPr>
                <w:rFonts w:ascii="Calibri"/>
                <w:sz w:val="14"/>
              </w:rPr>
            </w:pPr>
            <w:r>
              <w:rPr>
                <w:rFonts w:ascii="Calibri"/>
                <w:sz w:val="14"/>
              </w:rPr>
              <w:t>Subtotal</w:t>
            </w:r>
          </w:p>
        </w:tc>
        <w:tc>
          <w:tcPr>
            <w:tcW w:w="756" w:type="dxa"/>
          </w:tcPr>
          <w:p>
            <w:pPr>
              <w:pStyle w:val="TableParagraph"/>
              <w:tabs>
                <w:tab w:pos="467" w:val="left" w:leader="none"/>
                <w:tab w:pos="803" w:val="left" w:leader="none"/>
              </w:tabs>
              <w:spacing w:line="165" w:lineRule="exact"/>
              <w:ind w:left="189" w:right="-49"/>
              <w:jc w:val="left"/>
              <w:rPr>
                <w:rFonts w:ascii="Calibri"/>
                <w:sz w:val="14"/>
              </w:rPr>
            </w:pPr>
            <w:r>
              <w:rPr>
                <w:rFonts w:ascii="Times New Roman"/>
                <w:w w:val="99"/>
                <w:sz w:val="14"/>
                <w:shd w:fill="F79646" w:color="auto" w:val="clear"/>
              </w:rPr>
              <w:t> </w:t>
            </w:r>
            <w:r>
              <w:rPr>
                <w:rFonts w:ascii="Times New Roman"/>
                <w:sz w:val="14"/>
                <w:shd w:fill="F79646" w:color="auto" w:val="clear"/>
              </w:rPr>
              <w:tab/>
            </w:r>
            <w:r>
              <w:rPr>
                <w:rFonts w:ascii="Calibri"/>
                <w:sz w:val="14"/>
                <w:shd w:fill="F79646" w:color="auto" w:val="clear"/>
              </w:rPr>
              <w:t>1</w:t>
              <w:tab/>
            </w:r>
          </w:p>
        </w:tc>
        <w:tc>
          <w:tcPr>
            <w:tcW w:w="779" w:type="dxa"/>
          </w:tcPr>
          <w:p>
            <w:pPr>
              <w:pStyle w:val="TableParagraph"/>
              <w:spacing w:line="165" w:lineRule="exact"/>
              <w:ind w:left="84" w:right="34"/>
              <w:rPr>
                <w:rFonts w:ascii="Calibri"/>
                <w:sz w:val="14"/>
              </w:rPr>
            </w:pPr>
            <w:r>
              <w:rPr>
                <w:rFonts w:ascii="Calibri"/>
                <w:sz w:val="14"/>
              </w:rPr>
              <w:t>1.5</w:t>
            </w:r>
          </w:p>
        </w:tc>
        <w:tc>
          <w:tcPr>
            <w:tcW w:w="719" w:type="dxa"/>
            <w:tcBorders>
              <w:right w:val="single" w:sz="9" w:space="0" w:color="000000"/>
            </w:tcBorders>
            <w:shd w:val="clear" w:color="auto" w:fill="67ED4D"/>
          </w:tcPr>
          <w:p>
            <w:pPr>
              <w:pStyle w:val="TableParagraph"/>
              <w:spacing w:line="164" w:lineRule="exact"/>
              <w:ind w:left="35"/>
              <w:rPr>
                <w:rFonts w:ascii="Calibri"/>
                <w:sz w:val="14"/>
              </w:rPr>
            </w:pPr>
            <w:r>
              <w:rPr>
                <w:rFonts w:ascii="Calibri"/>
                <w:w w:val="99"/>
                <w:sz w:val="14"/>
              </w:rPr>
              <w:t>2</w:t>
            </w:r>
          </w:p>
        </w:tc>
      </w:tr>
      <w:tr>
        <w:trPr>
          <w:trHeight w:val="162" w:hRule="exact"/>
        </w:trPr>
        <w:tc>
          <w:tcPr>
            <w:tcW w:w="8819" w:type="dxa"/>
            <w:gridSpan w:val="7"/>
            <w:tcBorders>
              <w:left w:val="single" w:sz="5" w:space="0" w:color="000000"/>
              <w:right w:val="single" w:sz="9" w:space="0" w:color="000000"/>
            </w:tcBorders>
          </w:tcPr>
          <w:p>
            <w:pPr/>
          </w:p>
        </w:tc>
      </w:tr>
      <w:tr>
        <w:trPr>
          <w:trHeight w:val="181" w:hRule="exact"/>
        </w:trPr>
        <w:tc>
          <w:tcPr>
            <w:tcW w:w="769" w:type="dxa"/>
            <w:vMerge w:val="restart"/>
            <w:tcBorders>
              <w:left w:val="single" w:sz="5" w:space="0" w:color="000000"/>
            </w:tcBorders>
          </w:tcPr>
          <w:p>
            <w:pPr/>
          </w:p>
        </w:tc>
        <w:tc>
          <w:tcPr>
            <w:tcW w:w="2060" w:type="dxa"/>
            <w:vMerge w:val="restart"/>
          </w:tcPr>
          <w:p>
            <w:pPr>
              <w:pStyle w:val="TableParagraph"/>
              <w:spacing w:before="81"/>
              <w:ind w:left="83"/>
              <w:jc w:val="left"/>
              <w:rPr>
                <w:rFonts w:ascii="Calibri" w:hAnsi="Calibri"/>
                <w:sz w:val="14"/>
              </w:rPr>
            </w:pPr>
            <w:r>
              <w:rPr>
                <w:rFonts w:ascii="Calibri" w:hAnsi="Calibri"/>
                <w:sz w:val="14"/>
              </w:rPr>
              <w:t>Municipalización</w:t>
            </w:r>
          </w:p>
        </w:tc>
        <w:tc>
          <w:tcPr>
            <w:tcW w:w="2470" w:type="dxa"/>
            <w:vMerge w:val="restart"/>
          </w:tcPr>
          <w:p>
            <w:pPr>
              <w:pStyle w:val="TableParagraph"/>
              <w:spacing w:line="244" w:lineRule="auto"/>
              <w:ind w:left="389" w:right="809"/>
              <w:jc w:val="left"/>
              <w:rPr>
                <w:rFonts w:ascii="Calibri"/>
                <w:sz w:val="14"/>
              </w:rPr>
            </w:pPr>
            <w:r>
              <w:rPr>
                <w:rFonts w:ascii="Calibri"/>
                <w:sz w:val="14"/>
              </w:rPr>
              <w:t>Entrega parcial Entrega total</w:t>
            </w:r>
          </w:p>
        </w:tc>
        <w:tc>
          <w:tcPr>
            <w:tcW w:w="1267" w:type="dxa"/>
            <w:vMerge w:val="restart"/>
          </w:tcPr>
          <w:p>
            <w:pPr>
              <w:pStyle w:val="TableParagraph"/>
              <w:ind w:left="318" w:right="167"/>
              <w:rPr>
                <w:rFonts w:ascii="Calibri"/>
                <w:sz w:val="14"/>
              </w:rPr>
            </w:pPr>
            <w:r>
              <w:rPr>
                <w:rFonts w:ascii="Calibri"/>
                <w:sz w:val="14"/>
              </w:rPr>
              <w:t>0.5</w:t>
            </w:r>
          </w:p>
          <w:p>
            <w:pPr>
              <w:pStyle w:val="TableParagraph"/>
              <w:spacing w:before="3"/>
              <w:ind w:left="161"/>
              <w:rPr>
                <w:rFonts w:ascii="Calibri"/>
                <w:sz w:val="14"/>
              </w:rPr>
            </w:pPr>
            <w:r>
              <w:rPr>
                <w:rFonts w:ascii="Calibri"/>
                <w:w w:val="99"/>
                <w:sz w:val="14"/>
              </w:rPr>
              <w:t>0</w:t>
            </w:r>
          </w:p>
        </w:tc>
        <w:tc>
          <w:tcPr>
            <w:tcW w:w="756" w:type="dxa"/>
            <w:vMerge w:val="restart"/>
          </w:tcPr>
          <w:p>
            <w:pPr/>
          </w:p>
        </w:tc>
        <w:tc>
          <w:tcPr>
            <w:tcW w:w="779" w:type="dxa"/>
            <w:vMerge w:val="restart"/>
          </w:tcPr>
          <w:p>
            <w:pPr>
              <w:pStyle w:val="TableParagraph"/>
              <w:ind w:left="84" w:right="34"/>
              <w:rPr>
                <w:rFonts w:ascii="Calibri"/>
                <w:sz w:val="14"/>
              </w:rPr>
            </w:pPr>
            <w:r>
              <w:rPr>
                <w:rFonts w:ascii="Calibri"/>
                <w:sz w:val="14"/>
              </w:rPr>
              <w:t>0.5</w:t>
            </w:r>
          </w:p>
          <w:p>
            <w:pPr>
              <w:pStyle w:val="TableParagraph"/>
              <w:spacing w:before="3"/>
              <w:ind w:left="84" w:right="34"/>
              <w:rPr>
                <w:rFonts w:ascii="Calibri"/>
                <w:sz w:val="14"/>
              </w:rPr>
            </w:pPr>
            <w:r>
              <w:rPr>
                <w:rFonts w:ascii="Calibri"/>
                <w:sz w:val="14"/>
              </w:rPr>
              <w:t>0.5</w:t>
            </w:r>
          </w:p>
        </w:tc>
        <w:tc>
          <w:tcPr>
            <w:tcW w:w="719" w:type="dxa"/>
            <w:tcBorders>
              <w:right w:val="single" w:sz="9" w:space="0" w:color="000000"/>
            </w:tcBorders>
            <w:shd w:val="clear" w:color="auto" w:fill="67ED4D"/>
          </w:tcPr>
          <w:p>
            <w:pPr>
              <w:pStyle w:val="TableParagraph"/>
              <w:ind w:left="35"/>
              <w:rPr>
                <w:rFonts w:ascii="Calibri"/>
                <w:sz w:val="14"/>
              </w:rPr>
            </w:pPr>
            <w:r>
              <w:rPr>
                <w:rFonts w:ascii="Calibri"/>
                <w:w w:val="99"/>
                <w:sz w:val="14"/>
              </w:rPr>
              <w:t>1</w:t>
            </w:r>
          </w:p>
        </w:tc>
      </w:tr>
      <w:tr>
        <w:trPr>
          <w:trHeight w:val="174" w:hRule="exact"/>
        </w:trPr>
        <w:tc>
          <w:tcPr>
            <w:tcW w:w="769" w:type="dxa"/>
            <w:vMerge/>
            <w:tcBorders>
              <w:left w:val="single" w:sz="5" w:space="0" w:color="000000"/>
            </w:tcBorders>
          </w:tcPr>
          <w:p>
            <w:pPr/>
          </w:p>
        </w:tc>
        <w:tc>
          <w:tcPr>
            <w:tcW w:w="2060" w:type="dxa"/>
            <w:vMerge/>
          </w:tcPr>
          <w:p>
            <w:pPr/>
          </w:p>
        </w:tc>
        <w:tc>
          <w:tcPr>
            <w:tcW w:w="2470" w:type="dxa"/>
            <w:vMerge/>
          </w:tcPr>
          <w:p>
            <w:pPr/>
          </w:p>
        </w:tc>
        <w:tc>
          <w:tcPr>
            <w:tcW w:w="1267" w:type="dxa"/>
            <w:vMerge/>
          </w:tcPr>
          <w:p>
            <w:pPr/>
          </w:p>
        </w:tc>
        <w:tc>
          <w:tcPr>
            <w:tcW w:w="756" w:type="dxa"/>
            <w:vMerge/>
          </w:tcPr>
          <w:p>
            <w:pPr/>
          </w:p>
        </w:tc>
        <w:tc>
          <w:tcPr>
            <w:tcW w:w="779" w:type="dxa"/>
            <w:vMerge/>
          </w:tcPr>
          <w:p>
            <w:pPr/>
          </w:p>
        </w:tc>
        <w:tc>
          <w:tcPr>
            <w:tcW w:w="719" w:type="dxa"/>
            <w:tcBorders>
              <w:right w:val="single" w:sz="9" w:space="0" w:color="000000"/>
            </w:tcBorders>
            <w:shd w:val="clear" w:color="auto" w:fill="67ED4D"/>
          </w:tcPr>
          <w:p>
            <w:pPr>
              <w:pStyle w:val="TableParagraph"/>
              <w:spacing w:line="164" w:lineRule="exact"/>
              <w:ind w:left="35"/>
              <w:rPr>
                <w:rFonts w:ascii="Calibri"/>
                <w:sz w:val="14"/>
              </w:rPr>
            </w:pPr>
            <w:r>
              <w:rPr>
                <w:rFonts w:ascii="Calibri"/>
                <w:w w:val="99"/>
                <w:sz w:val="14"/>
              </w:rPr>
              <w:t>1</w:t>
            </w:r>
          </w:p>
        </w:tc>
      </w:tr>
      <w:tr>
        <w:trPr>
          <w:trHeight w:val="178" w:hRule="exact"/>
        </w:trPr>
        <w:tc>
          <w:tcPr>
            <w:tcW w:w="769" w:type="dxa"/>
            <w:vMerge/>
            <w:tcBorders>
              <w:left w:val="single" w:sz="5" w:space="0" w:color="000000"/>
            </w:tcBorders>
          </w:tcPr>
          <w:p>
            <w:pPr/>
          </w:p>
        </w:tc>
        <w:tc>
          <w:tcPr>
            <w:tcW w:w="2060" w:type="dxa"/>
          </w:tcPr>
          <w:p>
            <w:pPr/>
          </w:p>
        </w:tc>
        <w:tc>
          <w:tcPr>
            <w:tcW w:w="2470" w:type="dxa"/>
          </w:tcPr>
          <w:p>
            <w:pPr/>
          </w:p>
        </w:tc>
        <w:tc>
          <w:tcPr>
            <w:tcW w:w="1267" w:type="dxa"/>
          </w:tcPr>
          <w:p>
            <w:pPr>
              <w:pStyle w:val="TableParagraph"/>
              <w:spacing w:line="165" w:lineRule="exact"/>
              <w:ind w:left="316" w:right="167"/>
              <w:rPr>
                <w:rFonts w:ascii="Calibri"/>
                <w:sz w:val="14"/>
              </w:rPr>
            </w:pPr>
            <w:r>
              <w:rPr>
                <w:rFonts w:ascii="Calibri"/>
                <w:sz w:val="14"/>
              </w:rPr>
              <w:t>Subtotal</w:t>
            </w:r>
          </w:p>
        </w:tc>
        <w:tc>
          <w:tcPr>
            <w:tcW w:w="756" w:type="dxa"/>
          </w:tcPr>
          <w:p>
            <w:pPr>
              <w:pStyle w:val="TableParagraph"/>
              <w:tabs>
                <w:tab w:pos="803" w:val="left" w:leader="none"/>
              </w:tabs>
              <w:spacing w:line="165" w:lineRule="exact"/>
              <w:ind w:left="189" w:right="-49"/>
              <w:jc w:val="left"/>
              <w:rPr>
                <w:rFonts w:ascii="Calibri"/>
                <w:sz w:val="14"/>
              </w:rPr>
            </w:pPr>
            <w:r>
              <w:rPr>
                <w:rFonts w:ascii="Times New Roman"/>
                <w:w w:val="99"/>
                <w:sz w:val="14"/>
                <w:shd w:fill="F79646" w:color="auto" w:val="clear"/>
              </w:rPr>
              <w:t> </w:t>
            </w:r>
            <w:r>
              <w:rPr>
                <w:rFonts w:ascii="Times New Roman"/>
                <w:sz w:val="14"/>
                <w:shd w:fill="F79646" w:color="auto" w:val="clear"/>
              </w:rPr>
              <w:t>    </w:t>
            </w:r>
            <w:r>
              <w:rPr>
                <w:rFonts w:ascii="Times New Roman"/>
                <w:spacing w:val="10"/>
                <w:sz w:val="14"/>
                <w:shd w:fill="F79646" w:color="auto" w:val="clear"/>
              </w:rPr>
              <w:t> </w:t>
            </w:r>
            <w:r>
              <w:rPr>
                <w:rFonts w:ascii="Calibri"/>
                <w:sz w:val="14"/>
                <w:shd w:fill="F79646" w:color="auto" w:val="clear"/>
              </w:rPr>
              <w:t>0.5</w:t>
              <w:tab/>
            </w:r>
          </w:p>
        </w:tc>
        <w:tc>
          <w:tcPr>
            <w:tcW w:w="779" w:type="dxa"/>
          </w:tcPr>
          <w:p>
            <w:pPr>
              <w:pStyle w:val="TableParagraph"/>
              <w:spacing w:line="165" w:lineRule="exact"/>
              <w:ind w:left="60"/>
              <w:rPr>
                <w:rFonts w:ascii="Calibri"/>
                <w:sz w:val="14"/>
              </w:rPr>
            </w:pPr>
            <w:r>
              <w:rPr>
                <w:rFonts w:ascii="Calibri"/>
                <w:w w:val="99"/>
                <w:sz w:val="14"/>
              </w:rPr>
              <w:t>1</w:t>
            </w:r>
          </w:p>
        </w:tc>
        <w:tc>
          <w:tcPr>
            <w:tcW w:w="719" w:type="dxa"/>
            <w:tcBorders>
              <w:right w:val="single" w:sz="9" w:space="0" w:color="000000"/>
            </w:tcBorders>
            <w:shd w:val="clear" w:color="auto" w:fill="67ED4D"/>
          </w:tcPr>
          <w:p>
            <w:pPr>
              <w:pStyle w:val="TableParagraph"/>
              <w:spacing w:line="164" w:lineRule="exact"/>
              <w:ind w:left="35"/>
              <w:rPr>
                <w:rFonts w:ascii="Calibri"/>
                <w:sz w:val="14"/>
              </w:rPr>
            </w:pPr>
            <w:r>
              <w:rPr>
                <w:rFonts w:ascii="Calibri"/>
                <w:w w:val="99"/>
                <w:sz w:val="14"/>
              </w:rPr>
              <w:t>2</w:t>
            </w:r>
          </w:p>
        </w:tc>
      </w:tr>
      <w:tr>
        <w:trPr>
          <w:trHeight w:val="162" w:hRule="exact"/>
        </w:trPr>
        <w:tc>
          <w:tcPr>
            <w:tcW w:w="8819" w:type="dxa"/>
            <w:gridSpan w:val="7"/>
            <w:tcBorders>
              <w:left w:val="single" w:sz="5" w:space="0" w:color="000000"/>
              <w:right w:val="single" w:sz="9" w:space="0" w:color="000000"/>
            </w:tcBorders>
          </w:tcPr>
          <w:p>
            <w:pPr/>
          </w:p>
        </w:tc>
      </w:tr>
      <w:tr>
        <w:trPr>
          <w:trHeight w:val="181" w:hRule="exact"/>
        </w:trPr>
        <w:tc>
          <w:tcPr>
            <w:tcW w:w="769" w:type="dxa"/>
            <w:vMerge w:val="restart"/>
            <w:tcBorders>
              <w:left w:val="single" w:sz="5" w:space="0" w:color="000000"/>
            </w:tcBorders>
          </w:tcPr>
          <w:p>
            <w:pPr/>
          </w:p>
        </w:tc>
        <w:tc>
          <w:tcPr>
            <w:tcW w:w="2060" w:type="dxa"/>
            <w:vMerge w:val="restart"/>
          </w:tcPr>
          <w:p>
            <w:pPr>
              <w:pStyle w:val="TableParagraph"/>
              <w:spacing w:before="81"/>
              <w:ind w:left="83"/>
              <w:jc w:val="left"/>
              <w:rPr>
                <w:rFonts w:ascii="Calibri"/>
                <w:sz w:val="14"/>
              </w:rPr>
            </w:pPr>
            <w:r>
              <w:rPr>
                <w:rFonts w:ascii="Calibri"/>
                <w:sz w:val="14"/>
              </w:rPr>
              <w:t>Infraestrutura utilizada</w:t>
            </w:r>
          </w:p>
        </w:tc>
        <w:tc>
          <w:tcPr>
            <w:tcW w:w="2470" w:type="dxa"/>
            <w:vMerge w:val="restart"/>
          </w:tcPr>
          <w:p>
            <w:pPr>
              <w:pStyle w:val="TableParagraph"/>
              <w:spacing w:line="244" w:lineRule="auto"/>
              <w:ind w:left="389" w:right="1213"/>
              <w:jc w:val="left"/>
              <w:rPr>
                <w:rFonts w:ascii="Calibri"/>
                <w:sz w:val="14"/>
              </w:rPr>
            </w:pPr>
            <w:r>
              <w:rPr>
                <w:rFonts w:ascii="Calibri"/>
                <w:w w:val="95"/>
                <w:sz w:val="14"/>
              </w:rPr>
              <w:t>Vialidades </w:t>
            </w:r>
            <w:r>
              <w:rPr>
                <w:rFonts w:ascii="Calibri"/>
                <w:sz w:val="14"/>
              </w:rPr>
              <w:t>Redes</w:t>
            </w:r>
          </w:p>
        </w:tc>
        <w:tc>
          <w:tcPr>
            <w:tcW w:w="1267" w:type="dxa"/>
            <w:vMerge w:val="restart"/>
          </w:tcPr>
          <w:p>
            <w:pPr>
              <w:pStyle w:val="TableParagraph"/>
              <w:ind w:left="318" w:right="167"/>
              <w:rPr>
                <w:rFonts w:ascii="Calibri"/>
                <w:sz w:val="14"/>
              </w:rPr>
            </w:pPr>
            <w:r>
              <w:rPr>
                <w:rFonts w:ascii="Calibri"/>
                <w:sz w:val="14"/>
              </w:rPr>
              <w:t>0.5</w:t>
            </w:r>
          </w:p>
          <w:p>
            <w:pPr>
              <w:pStyle w:val="TableParagraph"/>
              <w:spacing w:before="3"/>
              <w:ind w:left="318" w:right="167"/>
              <w:rPr>
                <w:rFonts w:ascii="Calibri"/>
                <w:sz w:val="14"/>
              </w:rPr>
            </w:pPr>
            <w:r>
              <w:rPr>
                <w:rFonts w:ascii="Calibri"/>
                <w:sz w:val="14"/>
              </w:rPr>
              <w:t>0.4</w:t>
            </w:r>
          </w:p>
        </w:tc>
        <w:tc>
          <w:tcPr>
            <w:tcW w:w="756" w:type="dxa"/>
            <w:vMerge w:val="restart"/>
          </w:tcPr>
          <w:p>
            <w:pPr/>
          </w:p>
        </w:tc>
        <w:tc>
          <w:tcPr>
            <w:tcW w:w="779" w:type="dxa"/>
            <w:vMerge w:val="restart"/>
          </w:tcPr>
          <w:p>
            <w:pPr>
              <w:pStyle w:val="TableParagraph"/>
              <w:ind w:left="84" w:right="33"/>
              <w:rPr>
                <w:rFonts w:ascii="Calibri"/>
                <w:sz w:val="14"/>
              </w:rPr>
            </w:pPr>
            <w:r>
              <w:rPr>
                <w:rFonts w:ascii="Calibri"/>
                <w:sz w:val="14"/>
              </w:rPr>
              <w:t>0.75</w:t>
            </w:r>
          </w:p>
          <w:p>
            <w:pPr>
              <w:pStyle w:val="TableParagraph"/>
              <w:spacing w:before="3"/>
              <w:ind w:left="84" w:right="34"/>
              <w:rPr>
                <w:rFonts w:ascii="Calibri"/>
                <w:sz w:val="14"/>
              </w:rPr>
            </w:pPr>
            <w:r>
              <w:rPr>
                <w:rFonts w:ascii="Calibri"/>
                <w:sz w:val="14"/>
              </w:rPr>
              <w:t>0.8</w:t>
            </w:r>
          </w:p>
        </w:tc>
        <w:tc>
          <w:tcPr>
            <w:tcW w:w="719" w:type="dxa"/>
            <w:tcBorders>
              <w:right w:val="single" w:sz="9" w:space="0" w:color="000000"/>
            </w:tcBorders>
            <w:shd w:val="clear" w:color="auto" w:fill="67ED4D"/>
          </w:tcPr>
          <w:p>
            <w:pPr>
              <w:pStyle w:val="TableParagraph"/>
              <w:ind w:left="35"/>
              <w:rPr>
                <w:rFonts w:ascii="Calibri"/>
                <w:sz w:val="14"/>
              </w:rPr>
            </w:pPr>
            <w:r>
              <w:rPr>
                <w:rFonts w:ascii="Calibri"/>
                <w:w w:val="99"/>
                <w:sz w:val="14"/>
              </w:rPr>
              <w:t>1</w:t>
            </w:r>
          </w:p>
        </w:tc>
      </w:tr>
      <w:tr>
        <w:trPr>
          <w:trHeight w:val="174" w:hRule="exact"/>
        </w:trPr>
        <w:tc>
          <w:tcPr>
            <w:tcW w:w="769" w:type="dxa"/>
            <w:vMerge/>
            <w:tcBorders>
              <w:left w:val="single" w:sz="5" w:space="0" w:color="000000"/>
            </w:tcBorders>
          </w:tcPr>
          <w:p>
            <w:pPr/>
          </w:p>
        </w:tc>
        <w:tc>
          <w:tcPr>
            <w:tcW w:w="2060" w:type="dxa"/>
            <w:vMerge/>
          </w:tcPr>
          <w:p>
            <w:pPr/>
          </w:p>
        </w:tc>
        <w:tc>
          <w:tcPr>
            <w:tcW w:w="2470" w:type="dxa"/>
            <w:vMerge/>
          </w:tcPr>
          <w:p>
            <w:pPr/>
          </w:p>
        </w:tc>
        <w:tc>
          <w:tcPr>
            <w:tcW w:w="1267" w:type="dxa"/>
            <w:vMerge/>
          </w:tcPr>
          <w:p>
            <w:pPr/>
          </w:p>
        </w:tc>
        <w:tc>
          <w:tcPr>
            <w:tcW w:w="756" w:type="dxa"/>
            <w:vMerge/>
          </w:tcPr>
          <w:p>
            <w:pPr/>
          </w:p>
        </w:tc>
        <w:tc>
          <w:tcPr>
            <w:tcW w:w="779" w:type="dxa"/>
            <w:vMerge/>
          </w:tcPr>
          <w:p>
            <w:pPr/>
          </w:p>
        </w:tc>
        <w:tc>
          <w:tcPr>
            <w:tcW w:w="719" w:type="dxa"/>
            <w:tcBorders>
              <w:right w:val="single" w:sz="9" w:space="0" w:color="000000"/>
            </w:tcBorders>
            <w:shd w:val="clear" w:color="auto" w:fill="67ED4D"/>
          </w:tcPr>
          <w:p>
            <w:pPr>
              <w:pStyle w:val="TableParagraph"/>
              <w:spacing w:line="164" w:lineRule="exact"/>
              <w:ind w:left="35"/>
              <w:rPr>
                <w:rFonts w:ascii="Calibri"/>
                <w:sz w:val="14"/>
              </w:rPr>
            </w:pPr>
            <w:r>
              <w:rPr>
                <w:rFonts w:ascii="Calibri"/>
                <w:w w:val="99"/>
                <w:sz w:val="14"/>
              </w:rPr>
              <w:t>1</w:t>
            </w:r>
          </w:p>
        </w:tc>
      </w:tr>
      <w:tr>
        <w:trPr>
          <w:trHeight w:val="178" w:hRule="exact"/>
        </w:trPr>
        <w:tc>
          <w:tcPr>
            <w:tcW w:w="769" w:type="dxa"/>
            <w:vMerge/>
            <w:tcBorders>
              <w:left w:val="single" w:sz="5" w:space="0" w:color="000000"/>
            </w:tcBorders>
          </w:tcPr>
          <w:p>
            <w:pPr/>
          </w:p>
        </w:tc>
        <w:tc>
          <w:tcPr>
            <w:tcW w:w="2060" w:type="dxa"/>
          </w:tcPr>
          <w:p>
            <w:pPr/>
          </w:p>
        </w:tc>
        <w:tc>
          <w:tcPr>
            <w:tcW w:w="2470" w:type="dxa"/>
          </w:tcPr>
          <w:p>
            <w:pPr/>
          </w:p>
        </w:tc>
        <w:tc>
          <w:tcPr>
            <w:tcW w:w="1267" w:type="dxa"/>
          </w:tcPr>
          <w:p>
            <w:pPr>
              <w:pStyle w:val="TableParagraph"/>
              <w:spacing w:line="165" w:lineRule="exact"/>
              <w:ind w:left="316" w:right="167"/>
              <w:rPr>
                <w:rFonts w:ascii="Calibri"/>
                <w:sz w:val="14"/>
              </w:rPr>
            </w:pPr>
            <w:r>
              <w:rPr>
                <w:rFonts w:ascii="Calibri"/>
                <w:sz w:val="14"/>
              </w:rPr>
              <w:t>Subtotal</w:t>
            </w:r>
          </w:p>
        </w:tc>
        <w:tc>
          <w:tcPr>
            <w:tcW w:w="756" w:type="dxa"/>
          </w:tcPr>
          <w:p>
            <w:pPr>
              <w:pStyle w:val="TableParagraph"/>
              <w:tabs>
                <w:tab w:pos="803" w:val="left" w:leader="none"/>
              </w:tabs>
              <w:spacing w:line="165" w:lineRule="exact"/>
              <w:ind w:left="189" w:right="-49"/>
              <w:jc w:val="left"/>
              <w:rPr>
                <w:rFonts w:ascii="Calibri"/>
                <w:sz w:val="14"/>
              </w:rPr>
            </w:pPr>
            <w:r>
              <w:rPr>
                <w:rFonts w:ascii="Times New Roman"/>
                <w:w w:val="99"/>
                <w:sz w:val="14"/>
                <w:shd w:fill="F79646" w:color="auto" w:val="clear"/>
              </w:rPr>
              <w:t> </w:t>
            </w:r>
            <w:r>
              <w:rPr>
                <w:rFonts w:ascii="Times New Roman"/>
                <w:sz w:val="14"/>
                <w:shd w:fill="F79646" w:color="auto" w:val="clear"/>
              </w:rPr>
              <w:t>    </w:t>
            </w:r>
            <w:r>
              <w:rPr>
                <w:rFonts w:ascii="Times New Roman"/>
                <w:spacing w:val="10"/>
                <w:sz w:val="14"/>
                <w:shd w:fill="F79646" w:color="auto" w:val="clear"/>
              </w:rPr>
              <w:t> </w:t>
            </w:r>
            <w:r>
              <w:rPr>
                <w:rFonts w:ascii="Calibri"/>
                <w:sz w:val="14"/>
                <w:shd w:fill="F79646" w:color="auto" w:val="clear"/>
              </w:rPr>
              <w:t>0.9</w:t>
              <w:tab/>
            </w:r>
          </w:p>
        </w:tc>
        <w:tc>
          <w:tcPr>
            <w:tcW w:w="779" w:type="dxa"/>
          </w:tcPr>
          <w:p>
            <w:pPr>
              <w:pStyle w:val="TableParagraph"/>
              <w:spacing w:line="165" w:lineRule="exact"/>
              <w:ind w:left="84" w:right="33"/>
              <w:rPr>
                <w:rFonts w:ascii="Calibri"/>
                <w:sz w:val="14"/>
              </w:rPr>
            </w:pPr>
            <w:r>
              <w:rPr>
                <w:rFonts w:ascii="Calibri"/>
                <w:sz w:val="14"/>
              </w:rPr>
              <w:t>1.55</w:t>
            </w:r>
          </w:p>
        </w:tc>
        <w:tc>
          <w:tcPr>
            <w:tcW w:w="719" w:type="dxa"/>
            <w:tcBorders>
              <w:right w:val="single" w:sz="9" w:space="0" w:color="000000"/>
            </w:tcBorders>
            <w:shd w:val="clear" w:color="auto" w:fill="67ED4D"/>
          </w:tcPr>
          <w:p>
            <w:pPr>
              <w:pStyle w:val="TableParagraph"/>
              <w:spacing w:line="164" w:lineRule="exact"/>
              <w:ind w:left="35"/>
              <w:rPr>
                <w:rFonts w:ascii="Calibri"/>
                <w:sz w:val="14"/>
              </w:rPr>
            </w:pPr>
            <w:r>
              <w:rPr>
                <w:rFonts w:ascii="Calibri"/>
                <w:w w:val="99"/>
                <w:sz w:val="14"/>
              </w:rPr>
              <w:t>2</w:t>
            </w:r>
          </w:p>
        </w:tc>
      </w:tr>
      <w:tr>
        <w:trPr>
          <w:trHeight w:val="162" w:hRule="exact"/>
        </w:trPr>
        <w:tc>
          <w:tcPr>
            <w:tcW w:w="8819" w:type="dxa"/>
            <w:gridSpan w:val="7"/>
            <w:tcBorders>
              <w:left w:val="single" w:sz="5" w:space="0" w:color="000000"/>
              <w:right w:val="single" w:sz="9" w:space="0" w:color="000000"/>
            </w:tcBorders>
          </w:tcPr>
          <w:p>
            <w:pPr/>
          </w:p>
        </w:tc>
      </w:tr>
      <w:tr>
        <w:trPr>
          <w:trHeight w:val="354" w:hRule="exact"/>
        </w:trPr>
        <w:tc>
          <w:tcPr>
            <w:tcW w:w="769" w:type="dxa"/>
            <w:tcBorders>
              <w:left w:val="single" w:sz="5" w:space="0" w:color="000000"/>
            </w:tcBorders>
          </w:tcPr>
          <w:p>
            <w:pPr/>
          </w:p>
        </w:tc>
        <w:tc>
          <w:tcPr>
            <w:tcW w:w="2060" w:type="dxa"/>
          </w:tcPr>
          <w:p>
            <w:pPr>
              <w:pStyle w:val="TableParagraph"/>
              <w:spacing w:before="81"/>
              <w:ind w:left="83"/>
              <w:jc w:val="left"/>
              <w:rPr>
                <w:rFonts w:ascii="Calibri"/>
                <w:sz w:val="14"/>
              </w:rPr>
            </w:pPr>
            <w:r>
              <w:rPr>
                <w:rFonts w:ascii="Calibri"/>
                <w:sz w:val="14"/>
              </w:rPr>
              <w:t>Infraestructura desarrollada</w:t>
            </w:r>
          </w:p>
        </w:tc>
        <w:tc>
          <w:tcPr>
            <w:tcW w:w="2470" w:type="dxa"/>
          </w:tcPr>
          <w:p>
            <w:pPr>
              <w:pStyle w:val="TableParagraph"/>
              <w:spacing w:line="244" w:lineRule="auto"/>
              <w:ind w:left="389" w:right="1213"/>
              <w:jc w:val="left"/>
              <w:rPr>
                <w:rFonts w:ascii="Calibri"/>
                <w:sz w:val="14"/>
              </w:rPr>
            </w:pPr>
            <w:r>
              <w:rPr>
                <w:rFonts w:ascii="Calibri"/>
                <w:w w:val="95"/>
                <w:sz w:val="14"/>
              </w:rPr>
              <w:t>Vialidades </w:t>
            </w:r>
            <w:r>
              <w:rPr>
                <w:rFonts w:ascii="Calibri"/>
                <w:sz w:val="14"/>
              </w:rPr>
              <w:t>Redes</w:t>
            </w:r>
          </w:p>
        </w:tc>
        <w:tc>
          <w:tcPr>
            <w:tcW w:w="1267" w:type="dxa"/>
          </w:tcPr>
          <w:p>
            <w:pPr>
              <w:pStyle w:val="TableParagraph"/>
              <w:ind w:left="161"/>
              <w:rPr>
                <w:rFonts w:ascii="Calibri"/>
                <w:sz w:val="14"/>
              </w:rPr>
            </w:pPr>
            <w:r>
              <w:rPr>
                <w:rFonts w:ascii="Calibri"/>
                <w:w w:val="99"/>
                <w:sz w:val="14"/>
              </w:rPr>
              <w:t>1</w:t>
            </w:r>
          </w:p>
          <w:p>
            <w:pPr>
              <w:pStyle w:val="TableParagraph"/>
              <w:spacing w:before="3"/>
              <w:ind w:left="161"/>
              <w:rPr>
                <w:rFonts w:ascii="Calibri"/>
                <w:sz w:val="14"/>
              </w:rPr>
            </w:pPr>
            <w:r>
              <w:rPr>
                <w:rFonts w:ascii="Calibri"/>
                <w:w w:val="99"/>
                <w:sz w:val="14"/>
              </w:rPr>
              <w:t>1</w:t>
            </w:r>
          </w:p>
        </w:tc>
        <w:tc>
          <w:tcPr>
            <w:tcW w:w="756" w:type="dxa"/>
          </w:tcPr>
          <w:p>
            <w:pPr/>
          </w:p>
        </w:tc>
        <w:tc>
          <w:tcPr>
            <w:tcW w:w="779" w:type="dxa"/>
          </w:tcPr>
          <w:p>
            <w:pPr>
              <w:pStyle w:val="TableParagraph"/>
              <w:ind w:left="291"/>
              <w:jc w:val="left"/>
              <w:rPr>
                <w:rFonts w:ascii="Calibri"/>
                <w:sz w:val="14"/>
              </w:rPr>
            </w:pPr>
            <w:r>
              <w:rPr>
                <w:rFonts w:ascii="Calibri"/>
                <w:sz w:val="14"/>
              </w:rPr>
              <w:t>0.75</w:t>
            </w:r>
          </w:p>
          <w:p>
            <w:pPr>
              <w:pStyle w:val="TableParagraph"/>
              <w:spacing w:before="3"/>
              <w:ind w:left="291"/>
              <w:jc w:val="left"/>
              <w:rPr>
                <w:rFonts w:ascii="Calibri"/>
                <w:sz w:val="14"/>
              </w:rPr>
            </w:pPr>
            <w:r>
              <w:rPr>
                <w:rFonts w:ascii="Calibri"/>
                <w:sz w:val="14"/>
              </w:rPr>
              <w:t>0.66</w:t>
            </w:r>
          </w:p>
        </w:tc>
        <w:tc>
          <w:tcPr>
            <w:tcW w:w="719" w:type="dxa"/>
            <w:tcBorders>
              <w:right w:val="single" w:sz="9" w:space="0" w:color="000000"/>
            </w:tcBorders>
            <w:shd w:val="clear" w:color="auto" w:fill="67ED4D"/>
          </w:tcPr>
          <w:p>
            <w:pPr>
              <w:pStyle w:val="TableParagraph"/>
              <w:ind w:left="35"/>
              <w:rPr>
                <w:rFonts w:ascii="Calibri"/>
                <w:sz w:val="14"/>
              </w:rPr>
            </w:pPr>
            <w:r>
              <w:rPr>
                <w:rFonts w:ascii="Calibri"/>
                <w:w w:val="99"/>
                <w:sz w:val="14"/>
              </w:rPr>
              <w:t>1</w:t>
            </w:r>
          </w:p>
          <w:p>
            <w:pPr>
              <w:pStyle w:val="TableParagraph"/>
              <w:spacing w:before="3"/>
              <w:ind w:left="35"/>
              <w:rPr>
                <w:rFonts w:ascii="Calibri"/>
                <w:sz w:val="14"/>
              </w:rPr>
            </w:pPr>
            <w:r>
              <w:rPr>
                <w:rFonts w:ascii="Calibri"/>
                <w:w w:val="99"/>
                <w:sz w:val="14"/>
              </w:rPr>
              <w:t>1</w:t>
            </w:r>
          </w:p>
        </w:tc>
      </w:tr>
      <w:tr>
        <w:trPr>
          <w:trHeight w:val="180" w:hRule="exact"/>
        </w:trPr>
        <w:tc>
          <w:tcPr>
            <w:tcW w:w="769" w:type="dxa"/>
            <w:tcBorders>
              <w:left w:val="single" w:sz="5" w:space="0" w:color="000000"/>
            </w:tcBorders>
          </w:tcPr>
          <w:p>
            <w:pPr/>
          </w:p>
        </w:tc>
        <w:tc>
          <w:tcPr>
            <w:tcW w:w="2060" w:type="dxa"/>
          </w:tcPr>
          <w:p>
            <w:pPr/>
          </w:p>
        </w:tc>
        <w:tc>
          <w:tcPr>
            <w:tcW w:w="2470" w:type="dxa"/>
          </w:tcPr>
          <w:p>
            <w:pPr/>
          </w:p>
        </w:tc>
        <w:tc>
          <w:tcPr>
            <w:tcW w:w="1267" w:type="dxa"/>
          </w:tcPr>
          <w:p>
            <w:pPr>
              <w:pStyle w:val="TableParagraph"/>
              <w:spacing w:line="165" w:lineRule="exact"/>
              <w:ind w:left="316" w:right="167"/>
              <w:rPr>
                <w:rFonts w:ascii="Calibri"/>
                <w:sz w:val="14"/>
              </w:rPr>
            </w:pPr>
            <w:r>
              <w:rPr>
                <w:rFonts w:ascii="Calibri"/>
                <w:sz w:val="14"/>
              </w:rPr>
              <w:t>Subtotal</w:t>
            </w:r>
          </w:p>
        </w:tc>
        <w:tc>
          <w:tcPr>
            <w:tcW w:w="756" w:type="dxa"/>
          </w:tcPr>
          <w:p>
            <w:pPr>
              <w:pStyle w:val="TableParagraph"/>
              <w:tabs>
                <w:tab w:pos="467" w:val="left" w:leader="none"/>
                <w:tab w:pos="803" w:val="left" w:leader="none"/>
              </w:tabs>
              <w:spacing w:line="165" w:lineRule="exact"/>
              <w:ind w:left="189" w:right="-49"/>
              <w:jc w:val="left"/>
              <w:rPr>
                <w:rFonts w:ascii="Calibri"/>
                <w:sz w:val="14"/>
              </w:rPr>
            </w:pPr>
            <w:r>
              <w:rPr>
                <w:rFonts w:ascii="Times New Roman"/>
                <w:w w:val="99"/>
                <w:sz w:val="14"/>
                <w:shd w:fill="F79646" w:color="auto" w:val="clear"/>
              </w:rPr>
              <w:t> </w:t>
            </w:r>
            <w:r>
              <w:rPr>
                <w:rFonts w:ascii="Times New Roman"/>
                <w:sz w:val="14"/>
                <w:shd w:fill="F79646" w:color="auto" w:val="clear"/>
              </w:rPr>
              <w:tab/>
            </w:r>
            <w:r>
              <w:rPr>
                <w:rFonts w:ascii="Calibri"/>
                <w:sz w:val="14"/>
                <w:shd w:fill="F79646" w:color="auto" w:val="clear"/>
              </w:rPr>
              <w:t>2</w:t>
              <w:tab/>
            </w:r>
          </w:p>
        </w:tc>
        <w:tc>
          <w:tcPr>
            <w:tcW w:w="779" w:type="dxa"/>
          </w:tcPr>
          <w:p>
            <w:pPr>
              <w:pStyle w:val="TableParagraph"/>
              <w:spacing w:line="165" w:lineRule="exact"/>
              <w:ind w:left="84" w:right="33"/>
              <w:rPr>
                <w:rFonts w:ascii="Calibri"/>
                <w:sz w:val="14"/>
              </w:rPr>
            </w:pPr>
            <w:r>
              <w:rPr>
                <w:rFonts w:ascii="Calibri"/>
                <w:sz w:val="14"/>
              </w:rPr>
              <w:t>1.41</w:t>
            </w:r>
          </w:p>
        </w:tc>
        <w:tc>
          <w:tcPr>
            <w:tcW w:w="719" w:type="dxa"/>
            <w:tcBorders>
              <w:right w:val="single" w:sz="9" w:space="0" w:color="000000"/>
            </w:tcBorders>
            <w:shd w:val="clear" w:color="auto" w:fill="67ED4D"/>
          </w:tcPr>
          <w:p>
            <w:pPr>
              <w:pStyle w:val="TableParagraph"/>
              <w:spacing w:line="165" w:lineRule="exact"/>
              <w:ind w:left="35"/>
              <w:rPr>
                <w:rFonts w:ascii="Calibri"/>
                <w:sz w:val="14"/>
              </w:rPr>
            </w:pPr>
            <w:r>
              <w:rPr>
                <w:rFonts w:ascii="Calibri"/>
                <w:w w:val="99"/>
                <w:sz w:val="14"/>
              </w:rPr>
              <w:t>2</w:t>
            </w:r>
          </w:p>
        </w:tc>
      </w:tr>
      <w:tr>
        <w:trPr>
          <w:trHeight w:val="162" w:hRule="exact"/>
        </w:trPr>
        <w:tc>
          <w:tcPr>
            <w:tcW w:w="8819" w:type="dxa"/>
            <w:gridSpan w:val="7"/>
            <w:tcBorders>
              <w:left w:val="single" w:sz="5" w:space="0" w:color="000000"/>
              <w:right w:val="single" w:sz="9" w:space="0" w:color="000000"/>
            </w:tcBorders>
          </w:tcPr>
          <w:p>
            <w:pPr/>
          </w:p>
        </w:tc>
      </w:tr>
      <w:tr>
        <w:trPr>
          <w:trHeight w:val="354" w:hRule="exact"/>
        </w:trPr>
        <w:tc>
          <w:tcPr>
            <w:tcW w:w="769" w:type="dxa"/>
            <w:tcBorders>
              <w:left w:val="single" w:sz="5" w:space="0" w:color="000000"/>
            </w:tcBorders>
          </w:tcPr>
          <w:p>
            <w:pPr/>
          </w:p>
        </w:tc>
        <w:tc>
          <w:tcPr>
            <w:tcW w:w="2060" w:type="dxa"/>
          </w:tcPr>
          <w:p>
            <w:pPr>
              <w:pStyle w:val="TableParagraph"/>
              <w:spacing w:before="81"/>
              <w:ind w:left="83"/>
              <w:jc w:val="left"/>
              <w:rPr>
                <w:rFonts w:ascii="Calibri"/>
                <w:sz w:val="14"/>
              </w:rPr>
            </w:pPr>
            <w:r>
              <w:rPr>
                <w:rFonts w:ascii="Calibri"/>
                <w:sz w:val="14"/>
              </w:rPr>
              <w:t>Equipamiento desarrollado</w:t>
            </w:r>
          </w:p>
        </w:tc>
        <w:tc>
          <w:tcPr>
            <w:tcW w:w="2470" w:type="dxa"/>
          </w:tcPr>
          <w:p>
            <w:pPr>
              <w:pStyle w:val="TableParagraph"/>
              <w:spacing w:line="244" w:lineRule="auto"/>
              <w:ind w:left="389" w:right="1213"/>
              <w:jc w:val="left"/>
              <w:rPr>
                <w:rFonts w:ascii="Calibri"/>
                <w:sz w:val="14"/>
              </w:rPr>
            </w:pPr>
            <w:r>
              <w:rPr>
                <w:rFonts w:ascii="Calibri"/>
                <w:w w:val="95"/>
                <w:sz w:val="14"/>
              </w:rPr>
              <w:t>Municipal </w:t>
            </w:r>
            <w:r>
              <w:rPr>
                <w:rFonts w:ascii="Calibri"/>
                <w:sz w:val="14"/>
              </w:rPr>
              <w:t>Estatal</w:t>
            </w:r>
          </w:p>
        </w:tc>
        <w:tc>
          <w:tcPr>
            <w:tcW w:w="1267" w:type="dxa"/>
          </w:tcPr>
          <w:p>
            <w:pPr>
              <w:pStyle w:val="TableParagraph"/>
              <w:ind w:left="318" w:right="167"/>
              <w:rPr>
                <w:rFonts w:ascii="Calibri"/>
                <w:sz w:val="14"/>
              </w:rPr>
            </w:pPr>
            <w:r>
              <w:rPr>
                <w:rFonts w:ascii="Calibri"/>
                <w:sz w:val="14"/>
              </w:rPr>
              <w:t>0.8</w:t>
            </w:r>
          </w:p>
          <w:p>
            <w:pPr>
              <w:pStyle w:val="TableParagraph"/>
              <w:spacing w:before="3"/>
              <w:ind w:left="318" w:right="167"/>
              <w:rPr>
                <w:rFonts w:ascii="Calibri"/>
                <w:sz w:val="14"/>
              </w:rPr>
            </w:pPr>
            <w:r>
              <w:rPr>
                <w:rFonts w:ascii="Calibri"/>
                <w:sz w:val="14"/>
              </w:rPr>
              <w:t>0.2</w:t>
            </w:r>
          </w:p>
        </w:tc>
        <w:tc>
          <w:tcPr>
            <w:tcW w:w="756" w:type="dxa"/>
          </w:tcPr>
          <w:p>
            <w:pPr/>
          </w:p>
        </w:tc>
        <w:tc>
          <w:tcPr>
            <w:tcW w:w="779" w:type="dxa"/>
          </w:tcPr>
          <w:p>
            <w:pPr>
              <w:pStyle w:val="TableParagraph"/>
              <w:ind w:left="84" w:right="34"/>
              <w:rPr>
                <w:rFonts w:ascii="Calibri"/>
                <w:sz w:val="14"/>
              </w:rPr>
            </w:pPr>
            <w:r>
              <w:rPr>
                <w:rFonts w:ascii="Calibri"/>
                <w:sz w:val="14"/>
              </w:rPr>
              <w:t>0.8</w:t>
            </w:r>
          </w:p>
          <w:p>
            <w:pPr>
              <w:pStyle w:val="TableParagraph"/>
              <w:spacing w:before="3"/>
              <w:ind w:left="84" w:right="34"/>
              <w:rPr>
                <w:rFonts w:ascii="Calibri"/>
                <w:sz w:val="14"/>
              </w:rPr>
            </w:pPr>
            <w:r>
              <w:rPr>
                <w:rFonts w:ascii="Calibri"/>
                <w:sz w:val="14"/>
              </w:rPr>
              <w:t>0.6</w:t>
            </w:r>
          </w:p>
        </w:tc>
        <w:tc>
          <w:tcPr>
            <w:tcW w:w="719" w:type="dxa"/>
            <w:tcBorders>
              <w:right w:val="single" w:sz="9" w:space="0" w:color="000000"/>
            </w:tcBorders>
            <w:shd w:val="clear" w:color="auto" w:fill="67ED4D"/>
          </w:tcPr>
          <w:p>
            <w:pPr>
              <w:pStyle w:val="TableParagraph"/>
              <w:ind w:left="35"/>
              <w:rPr>
                <w:rFonts w:ascii="Calibri"/>
                <w:sz w:val="14"/>
              </w:rPr>
            </w:pPr>
            <w:r>
              <w:rPr>
                <w:rFonts w:ascii="Calibri"/>
                <w:w w:val="99"/>
                <w:sz w:val="14"/>
              </w:rPr>
              <w:t>1</w:t>
            </w:r>
          </w:p>
          <w:p>
            <w:pPr>
              <w:pStyle w:val="TableParagraph"/>
              <w:spacing w:before="3"/>
              <w:ind w:left="35"/>
              <w:rPr>
                <w:rFonts w:ascii="Calibri"/>
                <w:sz w:val="14"/>
              </w:rPr>
            </w:pPr>
            <w:r>
              <w:rPr>
                <w:rFonts w:ascii="Calibri"/>
                <w:w w:val="99"/>
                <w:sz w:val="14"/>
              </w:rPr>
              <w:t>1</w:t>
            </w:r>
          </w:p>
        </w:tc>
      </w:tr>
      <w:tr>
        <w:trPr>
          <w:trHeight w:val="180" w:hRule="exact"/>
        </w:trPr>
        <w:tc>
          <w:tcPr>
            <w:tcW w:w="769" w:type="dxa"/>
            <w:tcBorders>
              <w:left w:val="single" w:sz="5" w:space="0" w:color="000000"/>
            </w:tcBorders>
          </w:tcPr>
          <w:p>
            <w:pPr/>
          </w:p>
        </w:tc>
        <w:tc>
          <w:tcPr>
            <w:tcW w:w="2060" w:type="dxa"/>
          </w:tcPr>
          <w:p>
            <w:pPr/>
          </w:p>
        </w:tc>
        <w:tc>
          <w:tcPr>
            <w:tcW w:w="2470" w:type="dxa"/>
          </w:tcPr>
          <w:p>
            <w:pPr/>
          </w:p>
        </w:tc>
        <w:tc>
          <w:tcPr>
            <w:tcW w:w="1267" w:type="dxa"/>
          </w:tcPr>
          <w:p>
            <w:pPr>
              <w:pStyle w:val="TableParagraph"/>
              <w:spacing w:line="165" w:lineRule="exact"/>
              <w:ind w:left="316" w:right="167"/>
              <w:rPr>
                <w:rFonts w:ascii="Calibri"/>
                <w:sz w:val="14"/>
              </w:rPr>
            </w:pPr>
            <w:r>
              <w:rPr>
                <w:rFonts w:ascii="Calibri"/>
                <w:sz w:val="14"/>
              </w:rPr>
              <w:t>Subtotal</w:t>
            </w:r>
          </w:p>
        </w:tc>
        <w:tc>
          <w:tcPr>
            <w:tcW w:w="756" w:type="dxa"/>
          </w:tcPr>
          <w:p>
            <w:pPr>
              <w:pStyle w:val="TableParagraph"/>
              <w:tabs>
                <w:tab w:pos="467" w:val="left" w:leader="none"/>
                <w:tab w:pos="803" w:val="left" w:leader="none"/>
              </w:tabs>
              <w:spacing w:line="165" w:lineRule="exact"/>
              <w:ind w:left="189" w:right="-49"/>
              <w:jc w:val="left"/>
              <w:rPr>
                <w:rFonts w:ascii="Calibri"/>
                <w:sz w:val="14"/>
              </w:rPr>
            </w:pPr>
            <w:r>
              <w:rPr>
                <w:rFonts w:ascii="Times New Roman"/>
                <w:w w:val="99"/>
                <w:sz w:val="14"/>
                <w:shd w:fill="F79646" w:color="auto" w:val="clear"/>
              </w:rPr>
              <w:t> </w:t>
            </w:r>
            <w:r>
              <w:rPr>
                <w:rFonts w:ascii="Times New Roman"/>
                <w:sz w:val="14"/>
                <w:shd w:fill="F79646" w:color="auto" w:val="clear"/>
              </w:rPr>
              <w:tab/>
            </w:r>
            <w:r>
              <w:rPr>
                <w:rFonts w:ascii="Calibri"/>
                <w:sz w:val="14"/>
                <w:shd w:fill="F79646" w:color="auto" w:val="clear"/>
              </w:rPr>
              <w:t>1</w:t>
              <w:tab/>
            </w:r>
          </w:p>
        </w:tc>
        <w:tc>
          <w:tcPr>
            <w:tcW w:w="779" w:type="dxa"/>
          </w:tcPr>
          <w:p>
            <w:pPr>
              <w:pStyle w:val="TableParagraph"/>
              <w:spacing w:line="165" w:lineRule="exact"/>
              <w:ind w:left="84" w:right="34"/>
              <w:rPr>
                <w:rFonts w:ascii="Calibri"/>
                <w:sz w:val="14"/>
              </w:rPr>
            </w:pPr>
            <w:r>
              <w:rPr>
                <w:rFonts w:ascii="Calibri"/>
                <w:sz w:val="14"/>
              </w:rPr>
              <w:t>1.4</w:t>
            </w:r>
          </w:p>
        </w:tc>
        <w:tc>
          <w:tcPr>
            <w:tcW w:w="719" w:type="dxa"/>
            <w:tcBorders>
              <w:right w:val="single" w:sz="9" w:space="0" w:color="000000"/>
            </w:tcBorders>
            <w:shd w:val="clear" w:color="auto" w:fill="67ED4D"/>
          </w:tcPr>
          <w:p>
            <w:pPr>
              <w:pStyle w:val="TableParagraph"/>
              <w:spacing w:line="165" w:lineRule="exact"/>
              <w:ind w:left="35"/>
              <w:rPr>
                <w:rFonts w:ascii="Calibri"/>
                <w:sz w:val="14"/>
              </w:rPr>
            </w:pPr>
            <w:r>
              <w:rPr>
                <w:rFonts w:ascii="Calibri"/>
                <w:w w:val="99"/>
                <w:sz w:val="14"/>
              </w:rPr>
              <w:t>2</w:t>
            </w:r>
          </w:p>
        </w:tc>
      </w:tr>
      <w:tr>
        <w:trPr>
          <w:trHeight w:val="162" w:hRule="exact"/>
        </w:trPr>
        <w:tc>
          <w:tcPr>
            <w:tcW w:w="8819" w:type="dxa"/>
            <w:gridSpan w:val="7"/>
            <w:tcBorders>
              <w:left w:val="single" w:sz="5" w:space="0" w:color="000000"/>
              <w:right w:val="single" w:sz="9" w:space="0" w:color="000000"/>
            </w:tcBorders>
          </w:tcPr>
          <w:p>
            <w:pPr/>
          </w:p>
        </w:tc>
      </w:tr>
      <w:tr>
        <w:trPr>
          <w:trHeight w:val="181" w:hRule="exact"/>
        </w:trPr>
        <w:tc>
          <w:tcPr>
            <w:tcW w:w="769" w:type="dxa"/>
            <w:vMerge w:val="restart"/>
            <w:tcBorders>
              <w:left w:val="single" w:sz="5" w:space="0" w:color="000000"/>
            </w:tcBorders>
          </w:tcPr>
          <w:p>
            <w:pPr/>
          </w:p>
        </w:tc>
        <w:tc>
          <w:tcPr>
            <w:tcW w:w="2060" w:type="dxa"/>
          </w:tcPr>
          <w:p>
            <w:pPr/>
          </w:p>
        </w:tc>
        <w:tc>
          <w:tcPr>
            <w:tcW w:w="2470" w:type="dxa"/>
          </w:tcPr>
          <w:p>
            <w:pPr>
              <w:pStyle w:val="TableParagraph"/>
              <w:ind w:left="389"/>
              <w:jc w:val="left"/>
              <w:rPr>
                <w:rFonts w:ascii="Calibri" w:hAnsi="Calibri"/>
                <w:sz w:val="14"/>
              </w:rPr>
            </w:pPr>
            <w:r>
              <w:rPr>
                <w:rFonts w:ascii="Calibri" w:hAnsi="Calibri"/>
                <w:sz w:val="14"/>
              </w:rPr>
              <w:t>Ubicación del conjunto urbano</w:t>
            </w:r>
          </w:p>
        </w:tc>
        <w:tc>
          <w:tcPr>
            <w:tcW w:w="1267" w:type="dxa"/>
          </w:tcPr>
          <w:p>
            <w:pPr>
              <w:pStyle w:val="TableParagraph"/>
              <w:ind w:left="318" w:right="167"/>
              <w:rPr>
                <w:rFonts w:ascii="Calibri"/>
                <w:sz w:val="14"/>
              </w:rPr>
            </w:pPr>
            <w:r>
              <w:rPr>
                <w:rFonts w:ascii="Calibri"/>
                <w:sz w:val="14"/>
              </w:rPr>
              <w:t>0.6</w:t>
            </w:r>
          </w:p>
        </w:tc>
        <w:tc>
          <w:tcPr>
            <w:tcW w:w="756" w:type="dxa"/>
          </w:tcPr>
          <w:p>
            <w:pPr/>
          </w:p>
        </w:tc>
        <w:tc>
          <w:tcPr>
            <w:tcW w:w="779" w:type="dxa"/>
          </w:tcPr>
          <w:p>
            <w:pPr>
              <w:pStyle w:val="TableParagraph"/>
              <w:ind w:left="84" w:right="34"/>
              <w:rPr>
                <w:rFonts w:ascii="Calibri"/>
                <w:sz w:val="14"/>
              </w:rPr>
            </w:pPr>
            <w:r>
              <w:rPr>
                <w:rFonts w:ascii="Calibri"/>
                <w:sz w:val="14"/>
              </w:rPr>
              <w:t>0.8</w:t>
            </w:r>
          </w:p>
        </w:tc>
        <w:tc>
          <w:tcPr>
            <w:tcW w:w="719" w:type="dxa"/>
            <w:tcBorders>
              <w:right w:val="single" w:sz="9" w:space="0" w:color="000000"/>
            </w:tcBorders>
            <w:shd w:val="clear" w:color="auto" w:fill="67ED4D"/>
          </w:tcPr>
          <w:p>
            <w:pPr>
              <w:pStyle w:val="TableParagraph"/>
              <w:ind w:left="35"/>
              <w:rPr>
                <w:rFonts w:ascii="Calibri"/>
                <w:sz w:val="14"/>
              </w:rPr>
            </w:pPr>
            <w:r>
              <w:rPr>
                <w:rFonts w:ascii="Calibri"/>
                <w:w w:val="99"/>
                <w:sz w:val="14"/>
              </w:rPr>
              <w:t>1</w:t>
            </w:r>
          </w:p>
        </w:tc>
      </w:tr>
      <w:tr>
        <w:trPr>
          <w:trHeight w:val="174" w:hRule="exact"/>
        </w:trPr>
        <w:tc>
          <w:tcPr>
            <w:tcW w:w="769" w:type="dxa"/>
            <w:vMerge/>
            <w:tcBorders>
              <w:left w:val="single" w:sz="5" w:space="0" w:color="000000"/>
            </w:tcBorders>
          </w:tcPr>
          <w:p>
            <w:pPr/>
          </w:p>
        </w:tc>
        <w:tc>
          <w:tcPr>
            <w:tcW w:w="2060" w:type="dxa"/>
          </w:tcPr>
          <w:p>
            <w:pPr/>
          </w:p>
        </w:tc>
        <w:tc>
          <w:tcPr>
            <w:tcW w:w="2470" w:type="dxa"/>
          </w:tcPr>
          <w:p>
            <w:pPr>
              <w:pStyle w:val="TableParagraph"/>
              <w:spacing w:line="164" w:lineRule="exact"/>
              <w:ind w:left="389" w:right="327"/>
              <w:jc w:val="left"/>
              <w:rPr>
                <w:rFonts w:ascii="Calibri"/>
                <w:sz w:val="14"/>
              </w:rPr>
            </w:pPr>
            <w:r>
              <w:rPr>
                <w:rFonts w:ascii="Calibri"/>
                <w:sz w:val="14"/>
              </w:rPr>
              <w:t>Abierto</w:t>
            </w:r>
          </w:p>
        </w:tc>
        <w:tc>
          <w:tcPr>
            <w:tcW w:w="1267" w:type="dxa"/>
          </w:tcPr>
          <w:p>
            <w:pPr>
              <w:pStyle w:val="TableParagraph"/>
              <w:spacing w:line="164" w:lineRule="exact"/>
              <w:ind w:left="318" w:right="167"/>
              <w:rPr>
                <w:rFonts w:ascii="Calibri"/>
                <w:sz w:val="14"/>
              </w:rPr>
            </w:pPr>
            <w:r>
              <w:rPr>
                <w:rFonts w:ascii="Calibri"/>
                <w:sz w:val="14"/>
              </w:rPr>
              <w:t>0.5</w:t>
            </w:r>
          </w:p>
        </w:tc>
        <w:tc>
          <w:tcPr>
            <w:tcW w:w="756" w:type="dxa"/>
          </w:tcPr>
          <w:p>
            <w:pPr/>
          </w:p>
        </w:tc>
        <w:tc>
          <w:tcPr>
            <w:tcW w:w="779" w:type="dxa"/>
          </w:tcPr>
          <w:p>
            <w:pPr>
              <w:pStyle w:val="TableParagraph"/>
              <w:spacing w:line="164" w:lineRule="exact"/>
              <w:ind w:left="60"/>
              <w:rPr>
                <w:rFonts w:ascii="Calibri"/>
                <w:sz w:val="14"/>
              </w:rPr>
            </w:pPr>
            <w:r>
              <w:rPr>
                <w:rFonts w:ascii="Calibri"/>
                <w:w w:val="99"/>
                <w:sz w:val="14"/>
              </w:rPr>
              <w:t>1</w:t>
            </w:r>
          </w:p>
        </w:tc>
        <w:tc>
          <w:tcPr>
            <w:tcW w:w="719" w:type="dxa"/>
            <w:tcBorders>
              <w:right w:val="single" w:sz="9" w:space="0" w:color="000000"/>
            </w:tcBorders>
            <w:shd w:val="clear" w:color="auto" w:fill="67ED4D"/>
          </w:tcPr>
          <w:p>
            <w:pPr>
              <w:pStyle w:val="TableParagraph"/>
              <w:spacing w:line="164" w:lineRule="exact"/>
              <w:ind w:left="35"/>
              <w:rPr>
                <w:rFonts w:ascii="Calibri"/>
                <w:sz w:val="14"/>
              </w:rPr>
            </w:pPr>
            <w:r>
              <w:rPr>
                <w:rFonts w:ascii="Calibri"/>
                <w:w w:val="99"/>
                <w:sz w:val="14"/>
              </w:rPr>
              <w:t>1</w:t>
            </w:r>
          </w:p>
        </w:tc>
      </w:tr>
      <w:tr>
        <w:trPr>
          <w:trHeight w:val="174" w:hRule="exact"/>
        </w:trPr>
        <w:tc>
          <w:tcPr>
            <w:tcW w:w="769" w:type="dxa"/>
            <w:vMerge/>
            <w:tcBorders>
              <w:left w:val="single" w:sz="5" w:space="0" w:color="000000"/>
            </w:tcBorders>
          </w:tcPr>
          <w:p>
            <w:pPr/>
          </w:p>
        </w:tc>
        <w:tc>
          <w:tcPr>
            <w:tcW w:w="2060" w:type="dxa"/>
          </w:tcPr>
          <w:p>
            <w:pPr>
              <w:pStyle w:val="TableParagraph"/>
              <w:spacing w:line="164" w:lineRule="exact"/>
              <w:ind w:left="83"/>
              <w:jc w:val="left"/>
              <w:rPr>
                <w:rFonts w:ascii="Calibri" w:hAnsi="Calibri"/>
                <w:sz w:val="14"/>
              </w:rPr>
            </w:pPr>
            <w:r>
              <w:rPr>
                <w:rFonts w:ascii="Calibri" w:hAnsi="Calibri"/>
                <w:sz w:val="14"/>
              </w:rPr>
              <w:t>Integración al territorio</w:t>
            </w:r>
          </w:p>
        </w:tc>
        <w:tc>
          <w:tcPr>
            <w:tcW w:w="2470" w:type="dxa"/>
          </w:tcPr>
          <w:p>
            <w:pPr>
              <w:pStyle w:val="TableParagraph"/>
              <w:spacing w:line="164" w:lineRule="exact"/>
              <w:ind w:left="389" w:right="327"/>
              <w:jc w:val="left"/>
              <w:rPr>
                <w:rFonts w:ascii="Calibri" w:hAnsi="Calibri"/>
                <w:sz w:val="14"/>
              </w:rPr>
            </w:pPr>
            <w:r>
              <w:rPr>
                <w:rFonts w:ascii="Calibri" w:hAnsi="Calibri"/>
                <w:sz w:val="14"/>
              </w:rPr>
              <w:t>Integración social</w:t>
            </w:r>
          </w:p>
        </w:tc>
        <w:tc>
          <w:tcPr>
            <w:tcW w:w="1267" w:type="dxa"/>
          </w:tcPr>
          <w:p>
            <w:pPr>
              <w:pStyle w:val="TableParagraph"/>
              <w:spacing w:line="164" w:lineRule="exact"/>
              <w:ind w:left="318" w:right="167"/>
              <w:rPr>
                <w:rFonts w:ascii="Calibri"/>
                <w:sz w:val="14"/>
              </w:rPr>
            </w:pPr>
            <w:r>
              <w:rPr>
                <w:rFonts w:ascii="Calibri"/>
                <w:sz w:val="14"/>
              </w:rPr>
              <w:t>0.5</w:t>
            </w:r>
          </w:p>
        </w:tc>
        <w:tc>
          <w:tcPr>
            <w:tcW w:w="756" w:type="dxa"/>
          </w:tcPr>
          <w:p>
            <w:pPr/>
          </w:p>
        </w:tc>
        <w:tc>
          <w:tcPr>
            <w:tcW w:w="779" w:type="dxa"/>
          </w:tcPr>
          <w:p>
            <w:pPr>
              <w:pStyle w:val="TableParagraph"/>
              <w:spacing w:line="164" w:lineRule="exact"/>
              <w:ind w:left="60"/>
              <w:rPr>
                <w:rFonts w:ascii="Calibri"/>
                <w:sz w:val="14"/>
              </w:rPr>
            </w:pPr>
            <w:r>
              <w:rPr>
                <w:rFonts w:ascii="Calibri"/>
                <w:w w:val="99"/>
                <w:sz w:val="14"/>
              </w:rPr>
              <w:t>1</w:t>
            </w:r>
          </w:p>
        </w:tc>
        <w:tc>
          <w:tcPr>
            <w:tcW w:w="719" w:type="dxa"/>
            <w:tcBorders>
              <w:right w:val="single" w:sz="9" w:space="0" w:color="000000"/>
            </w:tcBorders>
            <w:shd w:val="clear" w:color="auto" w:fill="67ED4D"/>
          </w:tcPr>
          <w:p>
            <w:pPr>
              <w:pStyle w:val="TableParagraph"/>
              <w:spacing w:line="164" w:lineRule="exact"/>
              <w:ind w:left="35"/>
              <w:rPr>
                <w:rFonts w:ascii="Calibri"/>
                <w:sz w:val="14"/>
              </w:rPr>
            </w:pPr>
            <w:r>
              <w:rPr>
                <w:rFonts w:ascii="Calibri"/>
                <w:w w:val="99"/>
                <w:sz w:val="14"/>
              </w:rPr>
              <w:t>1</w:t>
            </w:r>
          </w:p>
        </w:tc>
      </w:tr>
      <w:tr>
        <w:trPr>
          <w:trHeight w:val="174" w:hRule="exact"/>
        </w:trPr>
        <w:tc>
          <w:tcPr>
            <w:tcW w:w="769" w:type="dxa"/>
            <w:vMerge/>
            <w:tcBorders>
              <w:left w:val="single" w:sz="5" w:space="0" w:color="000000"/>
            </w:tcBorders>
          </w:tcPr>
          <w:p>
            <w:pPr/>
          </w:p>
        </w:tc>
        <w:tc>
          <w:tcPr>
            <w:tcW w:w="2060" w:type="dxa"/>
          </w:tcPr>
          <w:p>
            <w:pPr/>
          </w:p>
        </w:tc>
        <w:tc>
          <w:tcPr>
            <w:tcW w:w="2470" w:type="dxa"/>
          </w:tcPr>
          <w:p>
            <w:pPr>
              <w:pStyle w:val="TableParagraph"/>
              <w:spacing w:line="164" w:lineRule="exact"/>
              <w:ind w:left="389" w:right="327"/>
              <w:jc w:val="left"/>
              <w:rPr>
                <w:rFonts w:ascii="Calibri" w:hAnsi="Calibri"/>
                <w:sz w:val="14"/>
              </w:rPr>
            </w:pPr>
            <w:r>
              <w:rPr>
                <w:rFonts w:ascii="Calibri" w:hAnsi="Calibri"/>
                <w:sz w:val="14"/>
              </w:rPr>
              <w:t>Protección civil</w:t>
            </w:r>
          </w:p>
        </w:tc>
        <w:tc>
          <w:tcPr>
            <w:tcW w:w="1267" w:type="dxa"/>
          </w:tcPr>
          <w:p>
            <w:pPr>
              <w:pStyle w:val="TableParagraph"/>
              <w:spacing w:line="164" w:lineRule="exact"/>
              <w:ind w:left="161"/>
              <w:rPr>
                <w:rFonts w:ascii="Calibri"/>
                <w:sz w:val="14"/>
              </w:rPr>
            </w:pPr>
            <w:r>
              <w:rPr>
                <w:rFonts w:ascii="Calibri"/>
                <w:w w:val="99"/>
                <w:sz w:val="14"/>
              </w:rPr>
              <w:t>0</w:t>
            </w:r>
          </w:p>
        </w:tc>
        <w:tc>
          <w:tcPr>
            <w:tcW w:w="756" w:type="dxa"/>
          </w:tcPr>
          <w:p>
            <w:pPr/>
          </w:p>
        </w:tc>
        <w:tc>
          <w:tcPr>
            <w:tcW w:w="779" w:type="dxa"/>
          </w:tcPr>
          <w:p>
            <w:pPr>
              <w:pStyle w:val="TableParagraph"/>
              <w:spacing w:line="164" w:lineRule="exact"/>
              <w:ind w:left="60"/>
              <w:rPr>
                <w:rFonts w:ascii="Calibri"/>
                <w:sz w:val="14"/>
              </w:rPr>
            </w:pPr>
            <w:r>
              <w:rPr>
                <w:rFonts w:ascii="Calibri"/>
                <w:w w:val="99"/>
                <w:sz w:val="14"/>
              </w:rPr>
              <w:t>1</w:t>
            </w:r>
          </w:p>
        </w:tc>
        <w:tc>
          <w:tcPr>
            <w:tcW w:w="719" w:type="dxa"/>
            <w:tcBorders>
              <w:right w:val="single" w:sz="9" w:space="0" w:color="000000"/>
            </w:tcBorders>
            <w:shd w:val="clear" w:color="auto" w:fill="67ED4D"/>
          </w:tcPr>
          <w:p>
            <w:pPr>
              <w:pStyle w:val="TableParagraph"/>
              <w:spacing w:line="164" w:lineRule="exact"/>
              <w:ind w:left="35"/>
              <w:rPr>
                <w:rFonts w:ascii="Calibri"/>
                <w:sz w:val="14"/>
              </w:rPr>
            </w:pPr>
            <w:r>
              <w:rPr>
                <w:rFonts w:ascii="Calibri"/>
                <w:w w:val="99"/>
                <w:sz w:val="14"/>
              </w:rPr>
              <w:t>1</w:t>
            </w:r>
          </w:p>
        </w:tc>
      </w:tr>
      <w:tr>
        <w:trPr>
          <w:trHeight w:val="174" w:hRule="exact"/>
        </w:trPr>
        <w:tc>
          <w:tcPr>
            <w:tcW w:w="769" w:type="dxa"/>
            <w:vMerge/>
            <w:tcBorders>
              <w:left w:val="single" w:sz="5" w:space="0" w:color="000000"/>
            </w:tcBorders>
          </w:tcPr>
          <w:p>
            <w:pPr/>
          </w:p>
        </w:tc>
        <w:tc>
          <w:tcPr>
            <w:tcW w:w="2060" w:type="dxa"/>
          </w:tcPr>
          <w:p>
            <w:pPr/>
          </w:p>
        </w:tc>
        <w:tc>
          <w:tcPr>
            <w:tcW w:w="2470" w:type="dxa"/>
          </w:tcPr>
          <w:p>
            <w:pPr>
              <w:pStyle w:val="TableParagraph"/>
              <w:spacing w:line="164" w:lineRule="exact"/>
              <w:ind w:left="389" w:right="327"/>
              <w:jc w:val="left"/>
              <w:rPr>
                <w:rFonts w:ascii="Calibri"/>
                <w:sz w:val="14"/>
              </w:rPr>
            </w:pPr>
            <w:r>
              <w:rPr>
                <w:rFonts w:ascii="Calibri"/>
                <w:sz w:val="14"/>
              </w:rPr>
              <w:t>Seguridad</w:t>
            </w:r>
          </w:p>
        </w:tc>
        <w:tc>
          <w:tcPr>
            <w:tcW w:w="1267" w:type="dxa"/>
          </w:tcPr>
          <w:p>
            <w:pPr>
              <w:pStyle w:val="TableParagraph"/>
              <w:spacing w:line="164" w:lineRule="exact"/>
              <w:ind w:left="318" w:right="167"/>
              <w:rPr>
                <w:rFonts w:ascii="Calibri"/>
                <w:sz w:val="14"/>
              </w:rPr>
            </w:pPr>
            <w:r>
              <w:rPr>
                <w:rFonts w:ascii="Calibri"/>
                <w:sz w:val="14"/>
              </w:rPr>
              <w:t>0.5</w:t>
            </w:r>
          </w:p>
        </w:tc>
        <w:tc>
          <w:tcPr>
            <w:tcW w:w="756" w:type="dxa"/>
          </w:tcPr>
          <w:p>
            <w:pPr/>
          </w:p>
        </w:tc>
        <w:tc>
          <w:tcPr>
            <w:tcW w:w="779" w:type="dxa"/>
          </w:tcPr>
          <w:p>
            <w:pPr>
              <w:pStyle w:val="TableParagraph"/>
              <w:spacing w:line="164" w:lineRule="exact"/>
              <w:ind w:left="60"/>
              <w:rPr>
                <w:rFonts w:ascii="Calibri"/>
                <w:sz w:val="14"/>
              </w:rPr>
            </w:pPr>
            <w:r>
              <w:rPr>
                <w:rFonts w:ascii="Calibri"/>
                <w:w w:val="99"/>
                <w:sz w:val="14"/>
              </w:rPr>
              <w:t>1</w:t>
            </w:r>
          </w:p>
        </w:tc>
        <w:tc>
          <w:tcPr>
            <w:tcW w:w="719" w:type="dxa"/>
            <w:tcBorders>
              <w:right w:val="single" w:sz="9" w:space="0" w:color="000000"/>
            </w:tcBorders>
            <w:shd w:val="clear" w:color="auto" w:fill="67ED4D"/>
          </w:tcPr>
          <w:p>
            <w:pPr>
              <w:pStyle w:val="TableParagraph"/>
              <w:spacing w:line="164" w:lineRule="exact"/>
              <w:ind w:left="35"/>
              <w:rPr>
                <w:rFonts w:ascii="Calibri"/>
                <w:sz w:val="14"/>
              </w:rPr>
            </w:pPr>
            <w:r>
              <w:rPr>
                <w:rFonts w:ascii="Calibri"/>
                <w:w w:val="99"/>
                <w:sz w:val="14"/>
              </w:rPr>
              <w:t>1</w:t>
            </w:r>
          </w:p>
        </w:tc>
      </w:tr>
      <w:tr>
        <w:trPr>
          <w:trHeight w:val="178" w:hRule="exact"/>
        </w:trPr>
        <w:tc>
          <w:tcPr>
            <w:tcW w:w="769" w:type="dxa"/>
            <w:vMerge/>
            <w:tcBorders>
              <w:left w:val="single" w:sz="5" w:space="0" w:color="000000"/>
            </w:tcBorders>
          </w:tcPr>
          <w:p>
            <w:pPr/>
          </w:p>
        </w:tc>
        <w:tc>
          <w:tcPr>
            <w:tcW w:w="2060" w:type="dxa"/>
          </w:tcPr>
          <w:p>
            <w:pPr/>
          </w:p>
        </w:tc>
        <w:tc>
          <w:tcPr>
            <w:tcW w:w="2470" w:type="dxa"/>
          </w:tcPr>
          <w:p>
            <w:pPr/>
          </w:p>
        </w:tc>
        <w:tc>
          <w:tcPr>
            <w:tcW w:w="1267" w:type="dxa"/>
          </w:tcPr>
          <w:p>
            <w:pPr>
              <w:pStyle w:val="TableParagraph"/>
              <w:spacing w:line="165" w:lineRule="exact"/>
              <w:ind w:left="316" w:right="167"/>
              <w:rPr>
                <w:rFonts w:ascii="Calibri"/>
                <w:sz w:val="14"/>
              </w:rPr>
            </w:pPr>
            <w:r>
              <w:rPr>
                <w:rFonts w:ascii="Calibri"/>
                <w:sz w:val="14"/>
              </w:rPr>
              <w:t>Subtotal</w:t>
            </w:r>
          </w:p>
        </w:tc>
        <w:tc>
          <w:tcPr>
            <w:tcW w:w="756" w:type="dxa"/>
          </w:tcPr>
          <w:p>
            <w:pPr>
              <w:pStyle w:val="TableParagraph"/>
              <w:tabs>
                <w:tab w:pos="803" w:val="left" w:leader="none"/>
              </w:tabs>
              <w:spacing w:line="165" w:lineRule="exact"/>
              <w:ind w:left="189" w:right="-49"/>
              <w:jc w:val="left"/>
              <w:rPr>
                <w:rFonts w:ascii="Calibri"/>
                <w:sz w:val="14"/>
              </w:rPr>
            </w:pPr>
            <w:r>
              <w:rPr>
                <w:rFonts w:ascii="Times New Roman"/>
                <w:w w:val="99"/>
                <w:sz w:val="14"/>
                <w:shd w:fill="F79646" w:color="auto" w:val="clear"/>
              </w:rPr>
              <w:t> </w:t>
            </w:r>
            <w:r>
              <w:rPr>
                <w:rFonts w:ascii="Times New Roman"/>
                <w:sz w:val="14"/>
                <w:shd w:fill="F79646" w:color="auto" w:val="clear"/>
              </w:rPr>
              <w:t>    </w:t>
            </w:r>
            <w:r>
              <w:rPr>
                <w:rFonts w:ascii="Times New Roman"/>
                <w:spacing w:val="10"/>
                <w:sz w:val="14"/>
                <w:shd w:fill="F79646" w:color="auto" w:val="clear"/>
              </w:rPr>
              <w:t> </w:t>
            </w:r>
            <w:r>
              <w:rPr>
                <w:rFonts w:ascii="Calibri"/>
                <w:sz w:val="14"/>
                <w:shd w:fill="F79646" w:color="auto" w:val="clear"/>
              </w:rPr>
              <w:t>2.1</w:t>
              <w:tab/>
            </w:r>
          </w:p>
        </w:tc>
        <w:tc>
          <w:tcPr>
            <w:tcW w:w="779" w:type="dxa"/>
          </w:tcPr>
          <w:p>
            <w:pPr>
              <w:pStyle w:val="TableParagraph"/>
              <w:spacing w:line="165" w:lineRule="exact"/>
              <w:ind w:left="84" w:right="34"/>
              <w:rPr>
                <w:rFonts w:ascii="Calibri"/>
                <w:sz w:val="14"/>
              </w:rPr>
            </w:pPr>
            <w:r>
              <w:rPr>
                <w:rFonts w:ascii="Calibri"/>
                <w:sz w:val="14"/>
              </w:rPr>
              <w:t>4.8</w:t>
            </w:r>
          </w:p>
        </w:tc>
        <w:tc>
          <w:tcPr>
            <w:tcW w:w="719" w:type="dxa"/>
            <w:tcBorders>
              <w:right w:val="single" w:sz="9" w:space="0" w:color="000000"/>
            </w:tcBorders>
            <w:shd w:val="clear" w:color="auto" w:fill="67ED4D"/>
          </w:tcPr>
          <w:p>
            <w:pPr>
              <w:pStyle w:val="TableParagraph"/>
              <w:spacing w:line="164" w:lineRule="exact"/>
              <w:ind w:left="35"/>
              <w:rPr>
                <w:rFonts w:ascii="Calibri"/>
                <w:sz w:val="14"/>
              </w:rPr>
            </w:pPr>
            <w:r>
              <w:rPr>
                <w:rFonts w:ascii="Calibri"/>
                <w:w w:val="99"/>
                <w:sz w:val="14"/>
              </w:rPr>
              <w:t>5</w:t>
            </w:r>
          </w:p>
        </w:tc>
      </w:tr>
      <w:tr>
        <w:trPr>
          <w:trHeight w:val="522" w:hRule="exact"/>
        </w:trPr>
        <w:tc>
          <w:tcPr>
            <w:tcW w:w="769" w:type="dxa"/>
            <w:tcBorders>
              <w:left w:val="single" w:sz="5" w:space="0" w:color="000000"/>
              <w:bottom w:val="single" w:sz="9" w:space="0" w:color="000000"/>
            </w:tcBorders>
          </w:tcPr>
          <w:p>
            <w:pPr/>
          </w:p>
        </w:tc>
        <w:tc>
          <w:tcPr>
            <w:tcW w:w="2060" w:type="dxa"/>
            <w:tcBorders>
              <w:bottom w:val="single" w:sz="9" w:space="0" w:color="000000"/>
            </w:tcBorders>
          </w:tcPr>
          <w:p>
            <w:pPr/>
          </w:p>
        </w:tc>
        <w:tc>
          <w:tcPr>
            <w:tcW w:w="2470" w:type="dxa"/>
            <w:tcBorders>
              <w:bottom w:val="single" w:sz="9" w:space="0" w:color="000000"/>
            </w:tcBorders>
          </w:tcPr>
          <w:p>
            <w:pPr/>
          </w:p>
        </w:tc>
        <w:tc>
          <w:tcPr>
            <w:tcW w:w="1267" w:type="dxa"/>
            <w:tcBorders>
              <w:bottom w:val="single" w:sz="9" w:space="0" w:color="000000"/>
            </w:tcBorders>
          </w:tcPr>
          <w:p>
            <w:pPr>
              <w:pStyle w:val="TableParagraph"/>
              <w:spacing w:before="1"/>
              <w:jc w:val="left"/>
              <w:rPr>
                <w:sz w:val="14"/>
              </w:rPr>
            </w:pPr>
          </w:p>
          <w:p>
            <w:pPr>
              <w:pStyle w:val="TableParagraph"/>
              <w:ind w:left="307" w:right="167"/>
              <w:rPr>
                <w:rFonts w:ascii="Calibri"/>
                <w:sz w:val="14"/>
              </w:rPr>
            </w:pPr>
            <w:r>
              <w:rPr>
                <w:rFonts w:ascii="Calibri"/>
                <w:sz w:val="14"/>
              </w:rPr>
              <w:t>Total IT</w:t>
            </w:r>
          </w:p>
        </w:tc>
        <w:tc>
          <w:tcPr>
            <w:tcW w:w="756" w:type="dxa"/>
            <w:tcBorders>
              <w:bottom w:val="single" w:sz="9" w:space="0" w:color="000000"/>
            </w:tcBorders>
          </w:tcPr>
          <w:p>
            <w:pPr>
              <w:pStyle w:val="TableParagraph"/>
              <w:spacing w:before="1"/>
              <w:jc w:val="left"/>
              <w:rPr>
                <w:sz w:val="14"/>
              </w:rPr>
            </w:pPr>
          </w:p>
          <w:p>
            <w:pPr>
              <w:pStyle w:val="TableParagraph"/>
              <w:tabs>
                <w:tab w:pos="467" w:val="left" w:leader="none"/>
                <w:tab w:pos="803" w:val="left" w:leader="none"/>
              </w:tabs>
              <w:ind w:left="189" w:right="-49"/>
              <w:jc w:val="left"/>
              <w:rPr>
                <w:rFonts w:ascii="Calibri"/>
                <w:sz w:val="14"/>
              </w:rPr>
            </w:pPr>
            <w:r>
              <w:rPr>
                <w:rFonts w:ascii="Times New Roman"/>
                <w:w w:val="99"/>
                <w:sz w:val="14"/>
                <w:shd w:fill="F79646" w:color="auto" w:val="clear"/>
              </w:rPr>
              <w:t> </w:t>
            </w:r>
            <w:r>
              <w:rPr>
                <w:rFonts w:ascii="Times New Roman"/>
                <w:sz w:val="14"/>
                <w:shd w:fill="F79646" w:color="auto" w:val="clear"/>
              </w:rPr>
              <w:tab/>
            </w:r>
            <w:r>
              <w:rPr>
                <w:rFonts w:ascii="Calibri"/>
                <w:sz w:val="14"/>
                <w:shd w:fill="F79646" w:color="auto" w:val="clear"/>
              </w:rPr>
              <w:t>8</w:t>
              <w:tab/>
            </w:r>
          </w:p>
        </w:tc>
        <w:tc>
          <w:tcPr>
            <w:tcW w:w="779" w:type="dxa"/>
            <w:tcBorders>
              <w:bottom w:val="single" w:sz="9" w:space="0" w:color="000000"/>
            </w:tcBorders>
          </w:tcPr>
          <w:p>
            <w:pPr>
              <w:pStyle w:val="TableParagraph"/>
              <w:spacing w:before="1"/>
              <w:jc w:val="left"/>
              <w:rPr>
                <w:sz w:val="14"/>
              </w:rPr>
            </w:pPr>
          </w:p>
          <w:p>
            <w:pPr>
              <w:pStyle w:val="TableParagraph"/>
              <w:tabs>
                <w:tab w:pos="790" w:val="left" w:leader="none"/>
              </w:tabs>
              <w:ind w:left="36" w:right="-12"/>
              <w:rPr>
                <w:rFonts w:ascii="Calibri"/>
                <w:sz w:val="14"/>
              </w:rPr>
            </w:pPr>
            <w:r>
              <w:rPr>
                <w:rFonts w:ascii="Times New Roman"/>
                <w:w w:val="99"/>
                <w:sz w:val="14"/>
                <w:shd w:fill="FFFF00" w:color="auto" w:val="clear"/>
              </w:rPr>
              <w:t> </w:t>
            </w:r>
            <w:r>
              <w:rPr>
                <w:rFonts w:ascii="Times New Roman"/>
                <w:sz w:val="14"/>
                <w:shd w:fill="FFFF00" w:color="auto" w:val="clear"/>
              </w:rPr>
              <w:t>    </w:t>
            </w:r>
            <w:r>
              <w:rPr>
                <w:rFonts w:ascii="Times New Roman"/>
                <w:spacing w:val="10"/>
                <w:sz w:val="14"/>
                <w:shd w:fill="FFFF00" w:color="auto" w:val="clear"/>
              </w:rPr>
              <w:t> </w:t>
            </w:r>
            <w:r>
              <w:rPr>
                <w:rFonts w:ascii="Calibri"/>
                <w:sz w:val="14"/>
                <w:shd w:fill="FFFF00" w:color="auto" w:val="clear"/>
              </w:rPr>
              <w:t>12.66</w:t>
              <w:tab/>
            </w:r>
          </w:p>
        </w:tc>
        <w:tc>
          <w:tcPr>
            <w:tcW w:w="719" w:type="dxa"/>
            <w:tcBorders>
              <w:bottom w:val="single" w:sz="9" w:space="0" w:color="000000"/>
              <w:right w:val="single" w:sz="9" w:space="0" w:color="000000"/>
            </w:tcBorders>
          </w:tcPr>
          <w:p>
            <w:pPr>
              <w:pStyle w:val="TableParagraph"/>
              <w:spacing w:before="1"/>
              <w:jc w:val="left"/>
              <w:rPr>
                <w:sz w:val="14"/>
              </w:rPr>
            </w:pPr>
          </w:p>
          <w:p>
            <w:pPr>
              <w:pStyle w:val="TableParagraph"/>
              <w:ind w:left="105" w:right="69"/>
              <w:rPr>
                <w:rFonts w:ascii="Calibri"/>
                <w:sz w:val="14"/>
              </w:rPr>
            </w:pPr>
            <w:r>
              <w:rPr>
                <w:rFonts w:ascii="Calibri"/>
                <w:sz w:val="14"/>
              </w:rPr>
              <w:t>17</w:t>
            </w:r>
          </w:p>
        </w:tc>
      </w:tr>
    </w:tbl>
    <w:p>
      <w:pPr>
        <w:spacing w:before="140"/>
        <w:ind w:left="268" w:right="0" w:firstLine="0"/>
        <w:jc w:val="both"/>
        <w:rPr>
          <w:sz w:val="21"/>
        </w:rPr>
      </w:pPr>
      <w:r>
        <w:rPr/>
        <w:pict>
          <v:group style="position:absolute;margin-left:361.985504pt;margin-top:-149.394119pt;width:76pt;height:18.6pt;mso-position-horizontal-relative:page;mso-position-vertical-relative:paragraph;z-index:-1150240" coordorigin="7240,-2988" coordsize="1520,372">
            <v:shape style="position:absolute;left:7246;top:-2982;width:2;height:360" coordorigin="7246,-2982" coordsize="0,360" path="m7246,-2982l7246,-2796m7246,-2808l7246,-2622e" filled="false" stroked="true" strokeweight=".579pt" strokecolor="#baf9f5">
              <v:path arrowok="t"/>
            </v:shape>
            <v:rect style="position:absolute;left:7252;top:-2982;width:1508;height:360" filled="true" fillcolor="#baf9f5" stroked="false">
              <v:fill type="solid"/>
            </v:rect>
            <w10:wrap type="none"/>
          </v:group>
        </w:pict>
      </w:r>
      <w:r>
        <w:rPr/>
        <w:pict>
          <v:group style="position:absolute;margin-left:361.985504pt;margin-top:-114.594124pt;width:76pt;height:18.6pt;mso-position-horizontal-relative:page;mso-position-vertical-relative:paragraph;z-index:-1150216" coordorigin="7240,-2292" coordsize="1520,372">
            <v:shape style="position:absolute;left:7246;top:-2286;width:2;height:360" coordorigin="7246,-2286" coordsize="0,360" path="m7246,-2286l7246,-2100m7246,-2112l7246,-1926e" filled="false" stroked="true" strokeweight=".579pt" strokecolor="#baf9f5">
              <v:path arrowok="t"/>
            </v:shape>
            <v:rect style="position:absolute;left:7252;top:-2286;width:1508;height:360" filled="true" fillcolor="#baf9f5" stroked="false">
              <v:fill type="solid"/>
            </v:rect>
            <w10:wrap type="none"/>
          </v:group>
        </w:pict>
      </w:r>
      <w:r>
        <w:rPr/>
        <w:pict>
          <v:group style="position:absolute;margin-left:361.985504pt;margin-top:-79.794128pt;width:76pt;height:44.7pt;mso-position-horizontal-relative:page;mso-position-vertical-relative:paragraph;z-index:-1150192" coordorigin="7240,-1596" coordsize="1520,894">
            <v:shape style="position:absolute;left:7246;top:-1590;width:2;height:882" coordorigin="7246,-1590" coordsize="0,882" path="m7246,-1590l7246,-1404m7246,-1416l7246,-1230m7246,-1242l7246,-1056m7246,-1068l7246,-882m7246,-894l7246,-708e" filled="false" stroked="true" strokeweight=".579pt" strokecolor="#baf9f5">
              <v:path arrowok="t"/>
            </v:shape>
            <v:rect style="position:absolute;left:7252;top:-1590;width:1508;height:882" filled="true" fillcolor="#baf9f5" stroked="false">
              <v:fill type="solid"/>
            </v:rect>
            <w10:wrap type="none"/>
          </v:group>
        </w:pict>
      </w:r>
      <w:r>
        <w:rPr/>
        <w:pict>
          <v:shape style="position:absolute;margin-left:467.526031pt;margin-top:-149.094147pt;width:37.7pt;height:26.7pt;mso-position-horizontal-relative:page;mso-position-vertical-relative:paragraph;z-index:-1150072" coordorigin="9351,-2982" coordsize="754,534" path="m10104,-2982l9351,-2982,9351,-2634,9351,-2622,9351,-2448,10104,-2448,10104,-2622,10104,-2634,10104,-2982e" filled="true" fillcolor="#ffff00" stroked="false">
            <v:path arrowok="t"/>
            <v:fill type="solid"/>
            <w10:wrap type="none"/>
          </v:shape>
        </w:pict>
      </w:r>
      <w:r>
        <w:rPr/>
        <w:pict>
          <v:shape style="position:absolute;margin-left:467.526031pt;margin-top:-114.294151pt;width:37.7pt;height:26.7pt;mso-position-horizontal-relative:page;mso-position-vertical-relative:paragraph;z-index:-1150048" coordorigin="9351,-2286" coordsize="754,534" path="m10104,-2286l9351,-2286,9351,-1938,9351,-1926,9351,-1752,10104,-1752,10104,-1926,10104,-1938,10104,-2286e" filled="true" fillcolor="#ffff00" stroked="false">
            <v:path arrowok="t"/>
            <v:fill type="solid"/>
            <w10:wrap type="none"/>
          </v:shape>
        </w:pict>
      </w:r>
      <w:r>
        <w:rPr/>
        <w:pict>
          <v:shape style="position:absolute;margin-left:467.526031pt;margin-top:-79.493149pt;width:37.7pt;height:52.8pt;mso-position-horizontal-relative:page;mso-position-vertical-relative:paragraph;z-index:-1150024" coordorigin="9351,-1590" coordsize="754,1056" path="m10104,-1590l9351,-1590,9351,-720,9351,-708,9351,-534,10104,-534,10104,-708,10104,-720,10104,-1590e" filled="true" fillcolor="#ffff00" stroked="false">
            <v:path arrowok="t"/>
            <v:fill type="solid"/>
            <w10:wrap type="none"/>
          </v:shape>
        </w:pict>
      </w:r>
      <w:r>
        <w:rPr/>
        <w:pict>
          <v:rect style="position:absolute;margin-left:504.635986pt;margin-top:-18.594126pt;width:36.5297pt;height:9.280pt;mso-position-horizontal-relative:page;mso-position-vertical-relative:paragraph;z-index:-1150000" filled="true" fillcolor="#67ed4d" stroked="false">
            <v:fill type="solid"/>
            <w10:wrap type="none"/>
          </v:rect>
        </w:pict>
      </w:r>
      <w:r>
        <w:rPr>
          <w:w w:val="105"/>
          <w:sz w:val="21"/>
        </w:rPr>
        <w:t>Fuente: Elaboración propia con base al estudio realizado.</w:t>
      </w:r>
    </w:p>
    <w:p>
      <w:pPr>
        <w:pStyle w:val="BodyText"/>
        <w:spacing w:before="2"/>
        <w:rPr>
          <w:sz w:val="21"/>
        </w:rPr>
      </w:pPr>
    </w:p>
    <w:p>
      <w:pPr>
        <w:pStyle w:val="BodyText"/>
        <w:spacing w:line="360" w:lineRule="auto"/>
        <w:ind w:left="268" w:right="231"/>
        <w:jc w:val="both"/>
      </w:pPr>
      <w:r>
        <w:rPr/>
        <w:t>Los indicadores para la obtención del índice de sustentabilidad que conforman el subíndice de integración al territorio arrojaron datos que demuestran la realidad  del conjunto urbano y que sólo pueden ser confrontados con el trabajo de campo y con el análisis y estudio de la zona.</w:t>
      </w:r>
    </w:p>
    <w:p>
      <w:pPr>
        <w:pStyle w:val="BodyText"/>
        <w:spacing w:line="360" w:lineRule="auto" w:before="122"/>
        <w:ind w:left="268" w:right="231"/>
        <w:jc w:val="both"/>
      </w:pPr>
      <w:r>
        <w:rPr/>
        <w:t>De igual modo los subíndices de infraestructura y municipalización representan los aspectos positivos y los contras que se pueden apreciar de manera física en el entorno y el desarrollo habitacional, la infraestructura desarrollada por la empresa inmobiliaria puede ser un beneficio para la zona siempre y cuando ésta se encuentre concluida y construida con apego a las normas de construcción y calidad generalmente aceptadas.</w:t>
      </w:r>
    </w:p>
    <w:p>
      <w:pPr>
        <w:pStyle w:val="BodyText"/>
        <w:spacing w:line="360" w:lineRule="auto" w:before="122"/>
        <w:ind w:left="268" w:right="231"/>
        <w:jc w:val="both"/>
      </w:pPr>
      <w:r>
        <w:rPr/>
        <w:t>Con la obtención de los datos, el análisis y estudio de los indicadores que configuran  los  cuatro  índices  de  sustentabilidad  se  puede  contar  con      </w:t>
      </w:r>
      <w:r>
        <w:rPr>
          <w:spacing w:val="63"/>
        </w:rPr>
        <w:t> </w:t>
      </w:r>
      <w:r>
        <w:rPr/>
        <w:t>una</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66"/>
      </w:pPr>
      <w:r>
        <w:rPr/>
        <w:pict>
          <v:line style="position:absolute;mso-position-horizontal-relative:page;mso-position-vertical-relative:paragraph;z-index:8104" from="93.199997pt,-19.614155pt" to="546.799997pt,-19.614155pt" stroked="true" strokeweight=".479981pt" strokecolor="#000000">
            <w10:wrap type="none"/>
          </v:line>
        </w:pict>
      </w:r>
      <w:r>
        <w:rPr/>
        <w:t>evaluación integral del conjunto urbano y demostrar con datos la sustentabilidad  de éste, mediante la obtención del Índice de Sustentabilidad del Conjunto</w:t>
      </w:r>
      <w:r>
        <w:rPr>
          <w:spacing w:val="-4"/>
        </w:rPr>
        <w:t> </w:t>
      </w:r>
      <w:r>
        <w:rPr/>
        <w:t>urbano.</w:t>
      </w:r>
    </w:p>
    <w:p>
      <w:pPr>
        <w:spacing w:before="131"/>
        <w:ind w:left="268" w:right="0" w:firstLine="0"/>
        <w:jc w:val="left"/>
        <w:rPr>
          <w:sz w:val="21"/>
        </w:rPr>
      </w:pPr>
      <w:r>
        <w:rPr>
          <w:w w:val="105"/>
          <w:sz w:val="21"/>
        </w:rPr>
        <w:t>Gráfica 2. Indicadores por Índices de Sustentabilidad.</w:t>
      </w:r>
    </w:p>
    <w:p>
      <w:pPr>
        <w:pStyle w:val="BodyText"/>
        <w:spacing w:before="9"/>
        <w:rPr>
          <w:sz w:val="11"/>
        </w:rPr>
      </w:pPr>
    </w:p>
    <w:p>
      <w:pPr>
        <w:spacing w:before="0"/>
        <w:ind w:left="3133" w:right="0" w:firstLine="0"/>
        <w:jc w:val="left"/>
        <w:rPr>
          <w:b/>
          <w:sz w:val="15"/>
        </w:rPr>
      </w:pPr>
      <w:r>
        <w:rPr>
          <w:b/>
          <w:color w:val="595959"/>
          <w:sz w:val="15"/>
        </w:rPr>
        <w:t>Indicadores por Índices de Sustentabilidad</w:t>
      </w:r>
    </w:p>
    <w:p>
      <w:pPr>
        <w:pStyle w:val="BodyText"/>
        <w:spacing w:before="8"/>
        <w:rPr>
          <w:b/>
          <w:sz w:val="13"/>
        </w:rPr>
      </w:pPr>
    </w:p>
    <w:p>
      <w:pPr>
        <w:tabs>
          <w:tab w:pos="4054" w:val="left" w:leader="none"/>
          <w:tab w:pos="4899" w:val="left" w:leader="none"/>
          <w:tab w:pos="5798" w:val="left" w:leader="none"/>
        </w:tabs>
        <w:spacing w:before="1"/>
        <w:ind w:left="3394" w:right="0" w:firstLine="0"/>
        <w:jc w:val="left"/>
        <w:rPr>
          <w:b/>
          <w:sz w:val="9"/>
        </w:rPr>
      </w:pPr>
      <w:r>
        <w:rPr/>
        <w:pict>
          <v:group style="position:absolute;margin-left:203.042847pt;margin-top:12.151025pt;width:235.35pt;height:236.6pt;mso-position-horizontal-relative:page;mso-position-vertical-relative:paragraph;z-index:8080;mso-wrap-distance-left:0;mso-wrap-distance-right:0" coordorigin="4061,243" coordsize="4707,4732">
            <v:shape style="position:absolute;left:6169;top:2389;width:478;height:479" type="#_x0000_t75" stroked="false">
              <v:imagedata r:id="rId113" o:title=""/>
            </v:shape>
            <v:shape style="position:absolute;left:4061;top:278;width:4692;height:4696" type="#_x0000_t75" stroked="false">
              <v:imagedata r:id="rId114" o:title=""/>
            </v:shape>
            <v:line style="position:absolute" from="6403,2623" to="8728,2916" stroked="true" strokeweight="1.223667pt" strokecolor="#1ac31a"/>
            <v:line style="position:absolute" from="8728,2916" to="6403,2623" stroked="true" strokeweight="1.223667pt" strokecolor="#1ac31a"/>
            <v:line style="position:absolute" from="6403,2623" to="8674,3210" stroked="true" strokeweight="1.223614pt" strokecolor="#1ac31a"/>
            <v:line style="position:absolute" from="8674,3210" to="6403,2623" stroked="true" strokeweight="1.223614pt" strokecolor="#1ac31a"/>
            <v:line style="position:absolute" from="6403,2623" to="7489,3058" stroked="true" strokeweight="1.223528pt" strokecolor="#1ac31a"/>
            <v:line style="position:absolute" from="7489,3058" to="7468,3123" stroked="true" strokeweight="1.222668pt" strokecolor="#1ac31a"/>
            <v:line style="position:absolute" from="7468,3123" to="7435,3188" stroked="true" strokeweight="1.222781pt" strokecolor="#1ac31a"/>
            <v:line style="position:absolute" from="7435,3188" to="7392,3253" stroked="true" strokeweight="1.222903pt" strokecolor="#1ac31a"/>
            <v:line style="position:absolute" from="7392,3253" to="7348,3319" stroked="true" strokeweight="1.222903pt" strokecolor="#1ac31a"/>
            <v:line style="position:absolute" from="7348,3319" to="7305,3373" stroked="true" strokeweight="1.222996pt" strokecolor="#1ac31a"/>
            <v:line style="position:absolute" from="7305,3373" to="8109,4230" stroked="true" strokeweight="1.223084pt" strokecolor="#1ac31a"/>
            <v:line style="position:absolute" from="8109,4230" to="7207,3482" stroked="true" strokeweight="1.223225pt" strokecolor="#1ac31a"/>
            <v:line style="position:absolute" from="7207,3482" to="7153,3525" stroked="true" strokeweight="1.223243pt" strokecolor="#1ac31a"/>
            <v:line style="position:absolute" from="7153,3525" to="6403,2623" stroked="true" strokeweight="1.223016pt" strokecolor="#1ac31a"/>
            <v:line style="position:absolute" from="6403,2623" to="7163,3808" stroked="true" strokeweight="1.222885pt" strokecolor="#1ac31a"/>
            <v:line style="position:absolute" from="7163,3808" to="6968,3656" stroked="true" strokeweight="1.223258pt" strokecolor="#1ac31a"/>
            <v:line style="position:absolute" from="6968,3656" to="6609,3047" stroked="true" strokeweight="1.222846pt" strokecolor="#1ac31a"/>
            <v:line style="position:absolute" from="6609,3047" to="6837,3710" stroked="true" strokeweight="1.222675pt" strokecolor="#1ac31a"/>
            <v:line style="position:absolute" from="6837,3710" to="6403,2623" stroked="true" strokeweight="1.222711pt" strokecolor="#1ac31a"/>
            <v:shape style="position:absolute;left:8692;top:2881;width:76;height:76" type="#_x0000_t75" stroked="false">
              <v:imagedata r:id="rId115" o:title=""/>
            </v:shape>
            <v:shape style="position:absolute;left:8637;top:3174;width:76;height:76" type="#_x0000_t75" stroked="false">
              <v:imagedata r:id="rId115" o:title=""/>
            </v:shape>
            <v:shape style="position:absolute;left:8072;top:4197;width:76;height:76" type="#_x0000_t75" stroked="false">
              <v:imagedata r:id="rId115" o:title=""/>
            </v:shape>
            <v:shape style="position:absolute;left:7116;top:3022;width:413;height:544" type="#_x0000_t75" stroked="false">
              <v:imagedata r:id="rId116" o:title=""/>
            </v:shape>
            <v:shape style="position:absolute;left:7127;top:3773;width:76;height:76" type="#_x0000_t75" stroked="false">
              <v:imagedata r:id="rId115" o:title=""/>
            </v:shape>
            <v:shape style="position:absolute;left:6573;top:3011;width:76;height:76" type="#_x0000_t75" stroked="false">
              <v:imagedata r:id="rId115" o:title=""/>
            </v:shape>
            <v:shape style="position:absolute;left:6801;top:3620;width:206;height:131" type="#_x0000_t75" stroked="false">
              <v:imagedata r:id="rId117" o:title=""/>
            </v:shape>
            <v:shape style="position:absolute;left:6366;top:2587;width:76;height:76" type="#_x0000_t75" stroked="false">
              <v:imagedata r:id="rId118" o:title=""/>
            </v:shape>
            <v:line style="position:absolute" from="5903,3688" to="6403,2623" stroked="true" strokeweight="1.222759pt" strokecolor="#ffca00"/>
            <v:line style="position:absolute" from="6403,2623" to="5522,4011" stroked="true" strokeweight="1.222879pt" strokecolor="#ffca00"/>
            <v:line style="position:absolute" from="5522,4011" to="5718,3569" stroked="true" strokeweight="1.222741pt" strokecolor="#ffca00"/>
            <v:line style="position:absolute" from="5718,3569" to="5512,3710" stroked="true" strokeweight="1.223324pt" strokecolor="#ffca00"/>
            <v:line style="position:absolute" from="5512,3710" to="5283,3819" stroked="true" strokeweight="1.223475pt" strokecolor="#ffca00"/>
            <v:line style="position:absolute" from="5283,3819" to="6403,2623" stroked="true" strokeweight="1.223082pt" strokecolor="#ffca00"/>
            <v:line style="position:absolute" from="6403,2623" to="5327,3525" stroked="true" strokeweight="1.223218pt" strokecolor="#ffca00"/>
            <v:line style="position:absolute" from="5327,3525" to="5077,3591" stroked="true" strokeweight="1.223612pt" strokecolor="#ffca00"/>
            <v:line style="position:absolute" from="5077,3591" to="5218,3384" stroked="true" strokeweight="1.222915pt" strokecolor="#ffca00"/>
            <v:shape style="position:absolute;left:5866;top:3653;width:76;height:76" type="#_x0000_t75" stroked="false">
              <v:imagedata r:id="rId119" o:title=""/>
            </v:shape>
            <v:shape style="position:absolute;left:5486;top:3979;width:76;height:76" type="#_x0000_t75" stroked="false">
              <v:imagedata r:id="rId119" o:title=""/>
            </v:shape>
            <v:shape style="position:absolute;left:5681;top:3533;width:76;height:76" type="#_x0000_t75" stroked="false">
              <v:imagedata r:id="rId119" o:title=""/>
            </v:shape>
            <v:shape style="position:absolute;left:5475;top:3675;width:76;height:76" type="#_x0000_t75" stroked="false">
              <v:imagedata r:id="rId119" o:title=""/>
            </v:shape>
            <v:shape style="position:absolute;left:5247;top:3783;width:76;height:76" type="#_x0000_t75" stroked="false">
              <v:imagedata r:id="rId119" o:title=""/>
            </v:shape>
            <v:shape style="position:absolute;left:6366;top:2587;width:76;height:76" type="#_x0000_t75" stroked="false">
              <v:imagedata r:id="rId120" o:title=""/>
            </v:shape>
            <v:shape style="position:absolute;left:5290;top:3490;width:76;height:76" type="#_x0000_t75" stroked="false">
              <v:imagedata r:id="rId119" o:title=""/>
            </v:shape>
            <v:shape style="position:absolute;left:5040;top:3555;width:76;height:76" type="#_x0000_t75" stroked="false">
              <v:imagedata r:id="rId119" o:title=""/>
            </v:shape>
            <v:shape style="position:absolute;left:5138;top:3272;width:120;height:152" type="#_x0000_t75" stroked="false">
              <v:imagedata r:id="rId121" o:title=""/>
            </v:shape>
            <v:line style="position:absolute" from="6403,2623" to="5294,2264" stroked="true" strokeweight="1.223577pt" strokecolor="#927200"/>
            <v:line style="position:absolute" from="5294,2264" to="4229,1763" stroked="true" strokeweight="1.223480pt" strokecolor="#927200"/>
            <v:line style="position:absolute" from="4229,1763" to="6403,2623" stroked="true" strokeweight="1.223532pt" strokecolor="#927200"/>
            <v:line style="position:absolute" from="6403,2623" to="5381,2057" stroked="true" strokeweight="1.22342pt" strokecolor="#927200"/>
            <v:line style="position:absolute" from="5381,2057" to="6403,2623" stroked="true" strokeweight="1.22342pt" strokecolor="#927200"/>
            <v:line style="position:absolute" from="6403,2623" to="5457,1937" stroked="true" strokeweight="1.223296pt" strokecolor="#927200"/>
            <v:line style="position:absolute" from="5457,1937" to="5686,2024" stroked="true" strokeweight="1.223541pt" strokecolor="#927200"/>
            <v:line style="position:absolute" from="5686,2024" to="4697,1024" stroked="true" strokeweight="1.223113pt" strokecolor="#927200"/>
            <v:line style="position:absolute" from="4697,1024" to="4805,915" stroked="true" strokeweight="1.22312pt" strokecolor="#927200"/>
            <v:line style="position:absolute" from="4805,915" to="5207,1176" stroked="true" strokeweight="1.22335pt" strokecolor="#927200"/>
            <v:line style="position:absolute" from="5207,1176" to="6131,2242" stroked="true" strokeweight="1.223040pt" strokecolor="#927200"/>
            <v:line style="position:absolute" from="6131,2242" to="5653,1437" stroked="true" strokeweight="1.22285pt" strokecolor="#927200"/>
            <v:line style="position:absolute" from="5653,1437" to="5838,1600" stroked="true" strokeweight="1.22319pt" strokecolor="#927200"/>
            <v:line style="position:absolute" from="5838,1600" to="5903,1567" stroked="true" strokeweight="1.223458pt" strokecolor="#927200"/>
            <v:line style="position:absolute" from="5903,1567" to="6403,2623" stroked="true" strokeweight="1.222763pt" strokecolor="#927200"/>
            <v:line style="position:absolute" from="6403,2623" to="6044,1513" stroked="true" strokeweight="1.222662pt" strokecolor="#927200"/>
            <v:shape style="position:absolute;left:5258;top:2228;width:76;height:76" type="#_x0000_t75" stroked="false">
              <v:imagedata r:id="rId122" o:title=""/>
            </v:shape>
            <v:shape style="position:absolute;left:4193;top:1728;width:76;height:76" type="#_x0000_t75" stroked="false">
              <v:imagedata r:id="rId122" o:title=""/>
            </v:shape>
            <v:shape style="position:absolute;left:5345;top:1902;width:152;height:196" type="#_x0000_t75" stroked="false">
              <v:imagedata r:id="rId123" o:title=""/>
            </v:shape>
            <v:shape style="position:absolute;left:5649;top:1989;width:76;height:76" type="#_x0000_t75" stroked="false">
              <v:imagedata r:id="rId122" o:title=""/>
            </v:shape>
            <v:shape style="position:absolute;left:4660;top:879;width:185;height:185" type="#_x0000_t75" stroked="false">
              <v:imagedata r:id="rId124" o:title=""/>
            </v:shape>
            <v:shape style="position:absolute;left:5171;top:1140;width:76;height:76" type="#_x0000_t75" stroked="false">
              <v:imagedata r:id="rId122" o:title=""/>
            </v:shape>
            <v:shape style="position:absolute;left:6094;top:2206;width:76;height:76" type="#_x0000_t75" stroked="false">
              <v:imagedata r:id="rId122" o:title=""/>
            </v:shape>
            <v:shape style="position:absolute;left:5616;top:1401;width:76;height:76" type="#_x0000_t75" stroked="false">
              <v:imagedata r:id="rId122" o:title=""/>
            </v:shape>
            <v:shape style="position:absolute;left:5801;top:1532;width:141;height:109" type="#_x0000_t75" stroked="false">
              <v:imagedata r:id="rId125" o:title=""/>
            </v:shape>
            <v:shape style="position:absolute;left:6366;top:2587;width:76;height:76" type="#_x0000_t75" stroked="false">
              <v:imagedata r:id="rId126" o:title=""/>
            </v:shape>
            <v:shape style="position:absolute;left:6007;top:1477;width:76;height:76" type="#_x0000_t75" stroked="false">
              <v:imagedata r:id="rId122" o:title=""/>
            </v:shape>
            <v:shape style="position:absolute;left:6189;top:243;width:131;height:2442" type="#_x0000_t202" filled="false" stroked="false">
              <v:textbox inset="0,0,0,0">
                <w:txbxContent>
                  <w:p>
                    <w:pPr>
                      <w:spacing w:line="101" w:lineRule="exact" w:before="0"/>
                      <w:ind w:left="80" w:right="0" w:firstLine="0"/>
                      <w:jc w:val="left"/>
                      <w:rPr>
                        <w:rFonts w:ascii="Calibri"/>
                        <w:sz w:val="9"/>
                      </w:rPr>
                    </w:pPr>
                    <w:r>
                      <w:rPr>
                        <w:rFonts w:ascii="Calibri"/>
                        <w:color w:val="595959"/>
                        <w:w w:val="108"/>
                        <w:sz w:val="9"/>
                      </w:rPr>
                      <w:t>1</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0.9</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0.8</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0.7</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0.6</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0.5</w:t>
                    </w:r>
                  </w:p>
                  <w:p>
                    <w:pPr>
                      <w:spacing w:line="240" w:lineRule="auto" w:before="9"/>
                      <w:rPr>
                        <w:b/>
                        <w:sz w:val="10"/>
                      </w:rPr>
                    </w:pPr>
                  </w:p>
                  <w:p>
                    <w:pPr>
                      <w:spacing w:before="0"/>
                      <w:ind w:left="0" w:right="-15" w:firstLine="0"/>
                      <w:jc w:val="left"/>
                      <w:rPr>
                        <w:rFonts w:ascii="Calibri"/>
                        <w:sz w:val="9"/>
                      </w:rPr>
                    </w:pPr>
                    <w:r>
                      <w:rPr>
                        <w:rFonts w:ascii="Calibri"/>
                        <w:color w:val="595959"/>
                        <w:w w:val="110"/>
                        <w:sz w:val="9"/>
                      </w:rPr>
                      <w:t>0.4</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0.3</w:t>
                    </w:r>
                  </w:p>
                  <w:p>
                    <w:pPr>
                      <w:spacing w:line="240" w:lineRule="auto" w:before="9"/>
                      <w:rPr>
                        <w:b/>
                        <w:sz w:val="10"/>
                      </w:rPr>
                    </w:pPr>
                  </w:p>
                  <w:p>
                    <w:pPr>
                      <w:spacing w:before="0"/>
                      <w:ind w:left="0" w:right="-15" w:firstLine="0"/>
                      <w:jc w:val="left"/>
                      <w:rPr>
                        <w:rFonts w:ascii="Calibri"/>
                        <w:sz w:val="9"/>
                      </w:rPr>
                    </w:pPr>
                    <w:r>
                      <w:rPr>
                        <w:rFonts w:ascii="Calibri"/>
                        <w:color w:val="595959"/>
                        <w:w w:val="110"/>
                        <w:sz w:val="9"/>
                      </w:rPr>
                      <w:t>0.2</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0.1</w:t>
                    </w:r>
                  </w:p>
                  <w:p>
                    <w:pPr>
                      <w:spacing w:line="240" w:lineRule="auto" w:before="9"/>
                      <w:rPr>
                        <w:b/>
                        <w:sz w:val="10"/>
                      </w:rPr>
                    </w:pPr>
                  </w:p>
                  <w:p>
                    <w:pPr>
                      <w:spacing w:line="107" w:lineRule="exact" w:before="0"/>
                      <w:ind w:left="76" w:right="0" w:firstLine="0"/>
                      <w:jc w:val="left"/>
                      <w:rPr>
                        <w:rFonts w:ascii="Calibri"/>
                        <w:sz w:val="9"/>
                      </w:rPr>
                    </w:pPr>
                    <w:r>
                      <w:rPr>
                        <w:rFonts w:ascii="Calibri"/>
                        <w:color w:val="595959"/>
                        <w:w w:val="108"/>
                        <w:sz w:val="9"/>
                      </w:rPr>
                      <w:t>0</w:t>
                    </w:r>
                  </w:p>
                </w:txbxContent>
              </v:textbox>
              <w10:wrap type="none"/>
            </v:shape>
            <w10:wrap type="topAndBottom"/>
          </v:group>
        </w:pict>
      </w:r>
      <w:r>
        <w:rPr/>
        <w:pict>
          <v:group style="position:absolute;margin-left:243.623001pt;margin-top:.596724pt;width:11.7pt;height:3.3pt;mso-position-horizontal-relative:page;mso-position-vertical-relative:paragraph;z-index:8128" coordorigin="4872,12" coordsize="234,66">
            <v:line style="position:absolute" from="4885,42" to="5094,42" stroked="true" strokeweight="1.223684pt" strokecolor="#8448b0"/>
            <v:shape style="position:absolute;left:4957;top:17;width:55;height:55" coordorigin="4957,17" coordsize="55,55" path="m5000,17l4970,17,4957,30,4957,60,4970,72,5000,72,5012,60,5012,30,5000,17xe" filled="true" fillcolor="#6cacdd" stroked="false">
              <v:path arrowok="t"/>
              <v:fill type="solid"/>
            </v:shape>
            <v:shape style="position:absolute;left:4957;top:17;width:55;height:55" coordorigin="4957,17" coordsize="55,55" path="m5012,45l5012,60,5000,72,4985,72,4970,72,4957,60,4957,45,4957,30,4970,17,4985,17,5000,17,5012,30,5012,45xe" filled="false" stroked="true" strokeweight=".543609pt" strokecolor="#ff2600">
              <v:path arrowok="t"/>
            </v:shape>
            <w10:wrap type="none"/>
          </v:group>
        </w:pict>
      </w:r>
      <w:r>
        <w:rPr/>
        <w:pict>
          <v:group style="position:absolute;margin-left:276.630005pt;margin-top:.596724pt;width:11.7pt;height:3.3pt;mso-position-horizontal-relative:page;mso-position-vertical-relative:paragraph;z-index:-1149880" coordorigin="5533,12" coordsize="234,66">
            <v:line style="position:absolute" from="5545,42" to="5754,42" stroked="true" strokeweight="1.223684pt" strokecolor="#1ac31a"/>
            <v:shape style="position:absolute;left:5620;top:17;width:55;height:55" coordorigin="5620,17" coordsize="55,55" path="m5662,17l5632,17,5620,30,5620,60,5632,72,5662,72,5675,60,5675,30,5662,17xe" filled="true" fillcolor="#f2913f" stroked="false">
              <v:path arrowok="t"/>
              <v:fill type="solid"/>
            </v:shape>
            <v:shape style="position:absolute;left:5620;top:17;width:55;height:55" coordorigin="5620,17" coordsize="55,55" path="m5675,45l5675,60,5662,72,5647,72,5632,72,5620,60,5620,45,5620,30,5632,17,5647,17,5662,17,5675,30,5675,45xe" filled="false" stroked="true" strokeweight=".543609pt" strokecolor="#ff2600">
              <v:path arrowok="t"/>
            </v:shape>
            <w10:wrap type="none"/>
          </v:group>
        </w:pict>
      </w:r>
      <w:r>
        <w:rPr/>
        <w:pict>
          <v:group style="position:absolute;margin-left:318.871002pt;margin-top:.596724pt;width:11.7pt;height:3.3pt;mso-position-horizontal-relative:page;mso-position-vertical-relative:paragraph;z-index:-1149856" coordorigin="6377,12" coordsize="234,66">
            <v:line style="position:absolute" from="6390,42" to="6599,42" stroked="true" strokeweight="1.223684pt" strokecolor="#ffca00"/>
            <v:shape style="position:absolute;left:6467;top:17;width:55;height:55" coordorigin="6467,17" coordsize="55,55" path="m6509,17l6479,17,6467,30,6467,60,6479,72,6509,72,6521,60,6521,30,6509,17xe" filled="true" fillcolor="#b4b4b4" stroked="false">
              <v:path arrowok="t"/>
              <v:fill type="solid"/>
            </v:shape>
            <v:shape style="position:absolute;left:6467;top:17;width:55;height:55" coordorigin="6467,17" coordsize="55,55" path="m6521,45l6521,60,6509,72,6494,72,6479,72,6467,60,6467,45,6467,30,6479,17,6494,17,6509,17,6521,30,6521,45xe" filled="false" stroked="true" strokeweight=".543609pt" strokecolor="#ff2600">
              <v:path arrowok="t"/>
            </v:shape>
            <w10:wrap type="none"/>
          </v:group>
        </w:pict>
      </w:r>
      <w:r>
        <w:rPr/>
        <w:pict>
          <v:group style="position:absolute;margin-left:363.828979pt;margin-top:.596724pt;width:11.7pt;height:3.3pt;mso-position-horizontal-relative:page;mso-position-vertical-relative:paragraph;z-index:-1149832" coordorigin="7277,12" coordsize="234,66">
            <v:line style="position:absolute" from="7289,42" to="7498,42" stroked="true" strokeweight="1.223684pt" strokecolor="#927200"/>
            <v:shape style="position:absolute;left:7366;top:17;width:55;height:55" coordorigin="7366,17" coordsize="55,55" path="m7408,17l7378,17,7366,30,7366,60,7378,72,7408,72,7421,60,7421,30,7408,17xe" filled="true" fillcolor="#ffca00" stroked="false">
              <v:path arrowok="t"/>
              <v:fill type="solid"/>
            </v:shape>
            <v:shape style="position:absolute;left:7366;top:17;width:55;height:55" coordorigin="7366,17" coordsize="55,55" path="m7421,45l7421,60,7408,72,7393,72,7378,72,7366,60,7366,45,7366,30,7378,17,7393,17,7408,17,7421,30,7421,45xe" filled="false" stroked="true" strokeweight=".543609pt" strokecolor="#ff2600">
              <v:path arrowok="t"/>
            </v:shape>
            <w10:wrap type="none"/>
          </v:group>
        </w:pict>
      </w:r>
      <w:r>
        <w:rPr>
          <w:b/>
          <w:color w:val="595959"/>
          <w:w w:val="110"/>
          <w:sz w:val="9"/>
        </w:rPr>
        <w:t>Social</w:t>
        <w:tab/>
        <w:t>Ambiental</w:t>
        <w:tab/>
        <w:t>Económico</w:t>
        <w:tab/>
        <w:t>Territorial</w:t>
      </w:r>
    </w:p>
    <w:p>
      <w:pPr>
        <w:spacing w:before="123"/>
        <w:ind w:left="268" w:right="0" w:firstLine="0"/>
        <w:jc w:val="left"/>
        <w:rPr>
          <w:rFonts w:ascii="Cambria" w:hAnsi="Cambria"/>
          <w:sz w:val="21"/>
        </w:rPr>
      </w:pPr>
      <w:r>
        <w:rPr>
          <w:rFonts w:ascii="Cambria" w:hAnsi="Cambria"/>
          <w:w w:val="105"/>
          <w:sz w:val="21"/>
        </w:rPr>
        <w:t>Fuente: Elaboración propia con base al estudio realizado.</w:t>
      </w:r>
    </w:p>
    <w:p>
      <w:pPr>
        <w:pStyle w:val="BodyText"/>
        <w:spacing w:before="5"/>
        <w:rPr>
          <w:rFonts w:ascii="Cambria"/>
          <w:sz w:val="21"/>
        </w:rPr>
      </w:pPr>
    </w:p>
    <w:p>
      <w:pPr>
        <w:pStyle w:val="BodyText"/>
        <w:ind w:left="268"/>
      </w:pPr>
      <w:r>
        <w:rPr/>
        <w:pict>
          <v:rect style="position:absolute;margin-left:292.095001pt;margin-top:83.921555pt;width:49.2351pt;height:14.8763pt;mso-position-horizontal-relative:page;mso-position-vertical-relative:paragraph;z-index:-1149808" filled="true" fillcolor="#f79646" stroked="false">
            <v:fill type="solid"/>
            <w10:wrap type="none"/>
          </v:rect>
        </w:pict>
      </w:r>
      <w:r>
        <w:rPr/>
        <w:pict>
          <v:rect style="position:absolute;margin-left:292.095001pt;margin-top:111.81456pt;width:49.2351pt;height:14.8763pt;mso-position-horizontal-relative:page;mso-position-vertical-relative:paragraph;z-index:-1149784" filled="true" fillcolor="#f79646" stroked="false">
            <v:fill type="solid"/>
            <w10:wrap type="none"/>
          </v:rect>
        </w:pict>
      </w:r>
      <w:r>
        <w:rPr/>
        <w:t>Tabla 24. Resultado de índices de sustentabilidad Villas del Campo.</w:t>
      </w:r>
    </w:p>
    <w:p>
      <w:pPr>
        <w:pStyle w:val="BodyText"/>
        <w:spacing w:after="1"/>
        <w:rPr>
          <w:sz w:val="20"/>
        </w:rPr>
      </w:pPr>
    </w:p>
    <w:tbl>
      <w:tblPr>
        <w:tblW w:w="0" w:type="auto"/>
        <w:jc w:val="left"/>
        <w:tblInd w:w="17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72"/>
        <w:gridCol w:w="1198"/>
        <w:gridCol w:w="1143"/>
      </w:tblGrid>
      <w:tr>
        <w:trPr>
          <w:trHeight w:val="911" w:hRule="exact"/>
        </w:trPr>
        <w:tc>
          <w:tcPr>
            <w:tcW w:w="5713" w:type="dxa"/>
            <w:gridSpan w:val="3"/>
            <w:shd w:val="clear" w:color="auto" w:fill="000000"/>
          </w:tcPr>
          <w:p>
            <w:pPr>
              <w:pStyle w:val="TableParagraph"/>
              <w:spacing w:before="116"/>
              <w:ind w:left="877" w:right="878"/>
              <w:rPr>
                <w:rFonts w:ascii="Calibri"/>
                <w:sz w:val="22"/>
              </w:rPr>
            </w:pPr>
            <w:r>
              <w:rPr>
                <w:rFonts w:ascii="Calibri"/>
                <w:color w:val="FFFFFF"/>
                <w:sz w:val="22"/>
              </w:rPr>
              <w:t>Villas del Campo</w:t>
            </w:r>
          </w:p>
          <w:p>
            <w:pPr>
              <w:pStyle w:val="TableParagraph"/>
              <w:spacing w:before="29"/>
              <w:ind w:left="957" w:right="878"/>
              <w:rPr>
                <w:rFonts w:ascii="Calibri" w:hAnsi="Calibri"/>
                <w:sz w:val="22"/>
              </w:rPr>
            </w:pPr>
            <w:r>
              <w:rPr>
                <w:rFonts w:ascii="Calibri" w:hAnsi="Calibri"/>
                <w:color w:val="FFFFFF"/>
                <w:sz w:val="22"/>
              </w:rPr>
              <w:t>Resultado de los Índices de sustentabilidad</w:t>
            </w:r>
          </w:p>
        </w:tc>
      </w:tr>
      <w:tr>
        <w:trPr>
          <w:trHeight w:val="260" w:hRule="exact"/>
        </w:trPr>
        <w:tc>
          <w:tcPr>
            <w:tcW w:w="5713" w:type="dxa"/>
            <w:gridSpan w:val="3"/>
            <w:tcBorders>
              <w:left w:val="single" w:sz="7" w:space="0" w:color="000000"/>
              <w:right w:val="single" w:sz="15" w:space="0" w:color="000000"/>
            </w:tcBorders>
          </w:tcPr>
          <w:p>
            <w:pPr>
              <w:pStyle w:val="TableParagraph"/>
              <w:tabs>
                <w:tab w:pos="3548" w:val="left" w:leader="none"/>
                <w:tab w:pos="4793" w:val="left" w:leader="none"/>
              </w:tabs>
              <w:spacing w:line="254" w:lineRule="exact"/>
              <w:ind w:left="2694"/>
              <w:jc w:val="left"/>
              <w:rPr>
                <w:rFonts w:ascii="Calibri" w:hAnsi="Calibri"/>
                <w:sz w:val="22"/>
              </w:rPr>
            </w:pPr>
            <w:r>
              <w:rPr>
                <w:rFonts w:ascii="Calibri" w:hAnsi="Calibri"/>
                <w:sz w:val="22"/>
              </w:rPr>
              <w:t>Real</w:t>
              <w:tab/>
              <w:t>Deseable</w:t>
              <w:tab/>
              <w:t>Óptimo</w:t>
            </w:r>
          </w:p>
        </w:tc>
      </w:tr>
      <w:tr>
        <w:trPr>
          <w:trHeight w:val="298" w:hRule="exact"/>
        </w:trPr>
        <w:tc>
          <w:tcPr>
            <w:tcW w:w="3372" w:type="dxa"/>
            <w:tcBorders>
              <w:left w:val="single" w:sz="7" w:space="0" w:color="000000"/>
            </w:tcBorders>
          </w:tcPr>
          <w:p>
            <w:pPr>
              <w:pStyle w:val="TableParagraph"/>
              <w:tabs>
                <w:tab w:pos="3089" w:val="right" w:leader="none"/>
              </w:tabs>
              <w:spacing w:before="4"/>
              <w:ind w:left="37"/>
              <w:jc w:val="left"/>
              <w:rPr>
                <w:rFonts w:ascii="Calibri" w:hAnsi="Calibri"/>
                <w:sz w:val="22"/>
              </w:rPr>
            </w:pPr>
            <w:r>
              <w:rPr>
                <w:rFonts w:ascii="Calibri" w:hAnsi="Calibri"/>
                <w:sz w:val="22"/>
              </w:rPr>
              <w:t>Índice Social</w:t>
            </w:r>
            <w:r>
              <w:rPr>
                <w:rFonts w:ascii="Times New Roman" w:hAnsi="Times New Roman"/>
                <w:sz w:val="22"/>
              </w:rPr>
              <w:tab/>
            </w:r>
            <w:r>
              <w:rPr>
                <w:rFonts w:ascii="Calibri" w:hAnsi="Calibri"/>
                <w:sz w:val="22"/>
              </w:rPr>
              <w:t>11.6</w:t>
            </w:r>
          </w:p>
        </w:tc>
        <w:tc>
          <w:tcPr>
            <w:tcW w:w="1198" w:type="dxa"/>
            <w:tcBorders>
              <w:right w:val="single" w:sz="7" w:space="0" w:color="FFFFFF"/>
            </w:tcBorders>
            <w:shd w:val="clear" w:color="auto" w:fill="FFFF00"/>
          </w:tcPr>
          <w:p>
            <w:pPr>
              <w:pStyle w:val="TableParagraph"/>
              <w:spacing w:before="4"/>
              <w:ind w:left="334" w:right="311"/>
              <w:rPr>
                <w:rFonts w:ascii="Calibri"/>
                <w:sz w:val="22"/>
              </w:rPr>
            </w:pPr>
            <w:r>
              <w:rPr>
                <w:rFonts w:ascii="Calibri"/>
                <w:sz w:val="22"/>
              </w:rPr>
              <w:t>11.4</w:t>
            </w:r>
          </w:p>
        </w:tc>
        <w:tc>
          <w:tcPr>
            <w:tcW w:w="1143" w:type="dxa"/>
            <w:tcBorders>
              <w:left w:val="single" w:sz="7" w:space="0" w:color="FFFFFF"/>
              <w:right w:val="single" w:sz="15" w:space="0" w:color="000000"/>
            </w:tcBorders>
            <w:shd w:val="clear" w:color="auto" w:fill="67ED4D"/>
          </w:tcPr>
          <w:p>
            <w:pPr>
              <w:pStyle w:val="TableParagraph"/>
              <w:spacing w:before="4"/>
              <w:ind w:right="422"/>
              <w:jc w:val="right"/>
              <w:rPr>
                <w:rFonts w:ascii="Calibri"/>
                <w:sz w:val="22"/>
              </w:rPr>
            </w:pPr>
            <w:r>
              <w:rPr>
                <w:rFonts w:ascii="Calibri"/>
                <w:sz w:val="22"/>
              </w:rPr>
              <w:t>15</w:t>
            </w:r>
          </w:p>
        </w:tc>
      </w:tr>
      <w:tr>
        <w:trPr>
          <w:trHeight w:val="260" w:hRule="exact"/>
        </w:trPr>
        <w:tc>
          <w:tcPr>
            <w:tcW w:w="5713" w:type="dxa"/>
            <w:gridSpan w:val="3"/>
            <w:tcBorders>
              <w:left w:val="single" w:sz="7" w:space="0" w:color="000000"/>
              <w:right w:val="single" w:sz="15" w:space="0" w:color="000000"/>
            </w:tcBorders>
          </w:tcPr>
          <w:p>
            <w:pPr/>
          </w:p>
        </w:tc>
      </w:tr>
      <w:tr>
        <w:trPr>
          <w:trHeight w:val="298" w:hRule="exact"/>
        </w:trPr>
        <w:tc>
          <w:tcPr>
            <w:tcW w:w="3372" w:type="dxa"/>
            <w:tcBorders>
              <w:left w:val="single" w:sz="7" w:space="0" w:color="000000"/>
            </w:tcBorders>
          </w:tcPr>
          <w:p>
            <w:pPr>
              <w:pStyle w:val="TableParagraph"/>
              <w:tabs>
                <w:tab w:pos="3032" w:val="right" w:leader="none"/>
              </w:tabs>
              <w:spacing w:before="4"/>
              <w:ind w:left="37"/>
              <w:jc w:val="left"/>
              <w:rPr>
                <w:rFonts w:ascii="Calibri" w:hAnsi="Calibri"/>
                <w:sz w:val="22"/>
              </w:rPr>
            </w:pPr>
            <w:r>
              <w:rPr>
                <w:rFonts w:ascii="Calibri" w:hAnsi="Calibri"/>
                <w:sz w:val="22"/>
              </w:rPr>
              <w:t>Índice Ambiental</w:t>
            </w:r>
            <w:r>
              <w:rPr>
                <w:rFonts w:ascii="Times New Roman" w:hAnsi="Times New Roman"/>
                <w:sz w:val="22"/>
              </w:rPr>
              <w:tab/>
            </w:r>
            <w:r>
              <w:rPr>
                <w:rFonts w:ascii="Calibri" w:hAnsi="Calibri"/>
                <w:sz w:val="22"/>
              </w:rPr>
              <w:t>8.8</w:t>
            </w:r>
          </w:p>
        </w:tc>
        <w:tc>
          <w:tcPr>
            <w:tcW w:w="1198" w:type="dxa"/>
            <w:tcBorders>
              <w:right w:val="single" w:sz="7" w:space="0" w:color="FFFFFF"/>
            </w:tcBorders>
            <w:shd w:val="clear" w:color="auto" w:fill="FFFF00"/>
          </w:tcPr>
          <w:p>
            <w:pPr>
              <w:pStyle w:val="TableParagraph"/>
              <w:spacing w:before="4"/>
              <w:ind w:left="334" w:right="311"/>
              <w:rPr>
                <w:rFonts w:ascii="Calibri"/>
                <w:sz w:val="22"/>
              </w:rPr>
            </w:pPr>
            <w:r>
              <w:rPr>
                <w:rFonts w:ascii="Calibri"/>
                <w:sz w:val="22"/>
              </w:rPr>
              <w:t>18.3</w:t>
            </w:r>
          </w:p>
        </w:tc>
        <w:tc>
          <w:tcPr>
            <w:tcW w:w="1143" w:type="dxa"/>
            <w:tcBorders>
              <w:left w:val="single" w:sz="7" w:space="0" w:color="FFFFFF"/>
              <w:right w:val="single" w:sz="15" w:space="0" w:color="000000"/>
            </w:tcBorders>
            <w:shd w:val="clear" w:color="auto" w:fill="67ED4D"/>
          </w:tcPr>
          <w:p>
            <w:pPr>
              <w:pStyle w:val="TableParagraph"/>
              <w:spacing w:before="4"/>
              <w:ind w:right="422"/>
              <w:jc w:val="right"/>
              <w:rPr>
                <w:rFonts w:ascii="Calibri"/>
                <w:sz w:val="22"/>
              </w:rPr>
            </w:pPr>
            <w:r>
              <w:rPr>
                <w:rFonts w:ascii="Calibri"/>
                <w:sz w:val="22"/>
              </w:rPr>
              <w:t>24</w:t>
            </w:r>
          </w:p>
        </w:tc>
      </w:tr>
      <w:tr>
        <w:trPr>
          <w:trHeight w:val="260" w:hRule="exact"/>
        </w:trPr>
        <w:tc>
          <w:tcPr>
            <w:tcW w:w="5713" w:type="dxa"/>
            <w:gridSpan w:val="3"/>
            <w:tcBorders>
              <w:left w:val="single" w:sz="7" w:space="0" w:color="000000"/>
              <w:right w:val="single" w:sz="15" w:space="0" w:color="000000"/>
            </w:tcBorders>
          </w:tcPr>
          <w:p>
            <w:pPr/>
          </w:p>
        </w:tc>
      </w:tr>
      <w:tr>
        <w:trPr>
          <w:trHeight w:val="298" w:hRule="exact"/>
        </w:trPr>
        <w:tc>
          <w:tcPr>
            <w:tcW w:w="3372" w:type="dxa"/>
            <w:tcBorders>
              <w:left w:val="single" w:sz="7" w:space="0" w:color="000000"/>
            </w:tcBorders>
          </w:tcPr>
          <w:p>
            <w:pPr>
              <w:pStyle w:val="TableParagraph"/>
              <w:tabs>
                <w:tab w:pos="3032" w:val="right" w:leader="none"/>
              </w:tabs>
              <w:spacing w:before="4"/>
              <w:ind w:left="37"/>
              <w:jc w:val="left"/>
              <w:rPr>
                <w:rFonts w:ascii="Calibri" w:hAnsi="Calibri"/>
                <w:sz w:val="22"/>
              </w:rPr>
            </w:pPr>
            <w:r>
              <w:rPr>
                <w:rFonts w:ascii="Calibri" w:hAnsi="Calibri"/>
                <w:sz w:val="22"/>
              </w:rPr>
              <w:t>Índice</w:t>
            </w:r>
            <w:r>
              <w:rPr>
                <w:rFonts w:ascii="Calibri" w:hAnsi="Calibri"/>
                <w:spacing w:val="1"/>
                <w:sz w:val="22"/>
              </w:rPr>
              <w:t> </w:t>
            </w:r>
            <w:r>
              <w:rPr>
                <w:rFonts w:ascii="Calibri" w:hAnsi="Calibri"/>
                <w:sz w:val="22"/>
              </w:rPr>
              <w:t>Económico</w:t>
            </w:r>
            <w:r>
              <w:rPr>
                <w:rFonts w:ascii="Times New Roman" w:hAnsi="Times New Roman"/>
                <w:sz w:val="22"/>
              </w:rPr>
              <w:tab/>
            </w:r>
            <w:r>
              <w:rPr>
                <w:rFonts w:ascii="Calibri" w:hAnsi="Calibri"/>
                <w:sz w:val="22"/>
              </w:rPr>
              <w:t>5.5</w:t>
            </w:r>
          </w:p>
        </w:tc>
        <w:tc>
          <w:tcPr>
            <w:tcW w:w="1198" w:type="dxa"/>
            <w:tcBorders>
              <w:right w:val="single" w:sz="7" w:space="0" w:color="FFFFFF"/>
            </w:tcBorders>
            <w:shd w:val="clear" w:color="auto" w:fill="FFFF00"/>
          </w:tcPr>
          <w:p>
            <w:pPr>
              <w:pStyle w:val="TableParagraph"/>
              <w:spacing w:before="4"/>
              <w:ind w:left="38"/>
              <w:rPr>
                <w:rFonts w:ascii="Calibri"/>
                <w:sz w:val="22"/>
              </w:rPr>
            </w:pPr>
            <w:r>
              <w:rPr>
                <w:rFonts w:ascii="Calibri"/>
                <w:w w:val="101"/>
                <w:sz w:val="22"/>
              </w:rPr>
              <w:t>9</w:t>
            </w:r>
          </w:p>
        </w:tc>
        <w:tc>
          <w:tcPr>
            <w:tcW w:w="1143" w:type="dxa"/>
            <w:tcBorders>
              <w:left w:val="single" w:sz="7" w:space="0" w:color="FFFFFF"/>
              <w:right w:val="single" w:sz="15" w:space="0" w:color="000000"/>
            </w:tcBorders>
            <w:shd w:val="clear" w:color="auto" w:fill="67ED4D"/>
          </w:tcPr>
          <w:p>
            <w:pPr>
              <w:pStyle w:val="TableParagraph"/>
              <w:spacing w:before="4"/>
              <w:ind w:right="422"/>
              <w:jc w:val="right"/>
              <w:rPr>
                <w:rFonts w:ascii="Calibri"/>
                <w:sz w:val="22"/>
              </w:rPr>
            </w:pPr>
            <w:r>
              <w:rPr>
                <w:rFonts w:ascii="Calibri"/>
                <w:sz w:val="22"/>
              </w:rPr>
              <w:t>11</w:t>
            </w:r>
          </w:p>
        </w:tc>
      </w:tr>
      <w:tr>
        <w:trPr>
          <w:trHeight w:val="260" w:hRule="exact"/>
        </w:trPr>
        <w:tc>
          <w:tcPr>
            <w:tcW w:w="5713" w:type="dxa"/>
            <w:gridSpan w:val="3"/>
            <w:tcBorders>
              <w:left w:val="single" w:sz="7" w:space="0" w:color="000000"/>
              <w:right w:val="single" w:sz="15" w:space="0" w:color="000000"/>
            </w:tcBorders>
          </w:tcPr>
          <w:p>
            <w:pPr/>
          </w:p>
        </w:tc>
      </w:tr>
      <w:tr>
        <w:trPr>
          <w:trHeight w:val="298" w:hRule="exact"/>
        </w:trPr>
        <w:tc>
          <w:tcPr>
            <w:tcW w:w="3372" w:type="dxa"/>
            <w:tcBorders>
              <w:left w:val="single" w:sz="7" w:space="0" w:color="000000"/>
            </w:tcBorders>
          </w:tcPr>
          <w:p>
            <w:pPr>
              <w:pStyle w:val="TableParagraph"/>
              <w:tabs>
                <w:tab w:pos="2955" w:val="right" w:leader="none"/>
              </w:tabs>
              <w:spacing w:before="4"/>
              <w:ind w:left="37"/>
              <w:jc w:val="left"/>
              <w:rPr>
                <w:rFonts w:ascii="Calibri" w:hAnsi="Calibri"/>
                <w:sz w:val="22"/>
              </w:rPr>
            </w:pPr>
            <w:r>
              <w:rPr>
                <w:rFonts w:ascii="Calibri" w:hAnsi="Calibri"/>
                <w:sz w:val="22"/>
              </w:rPr>
              <w:t>Índice Territorial</w:t>
            </w:r>
            <w:r>
              <w:rPr>
                <w:rFonts w:ascii="Times New Roman" w:hAnsi="Times New Roman"/>
                <w:sz w:val="22"/>
              </w:rPr>
              <w:tab/>
            </w:r>
            <w:r>
              <w:rPr>
                <w:rFonts w:ascii="Calibri" w:hAnsi="Calibri"/>
                <w:sz w:val="22"/>
              </w:rPr>
              <w:t>8</w:t>
            </w:r>
          </w:p>
        </w:tc>
        <w:tc>
          <w:tcPr>
            <w:tcW w:w="1198" w:type="dxa"/>
            <w:tcBorders>
              <w:right w:val="single" w:sz="7" w:space="0" w:color="FFFFFF"/>
            </w:tcBorders>
            <w:shd w:val="clear" w:color="auto" w:fill="FFFF00"/>
          </w:tcPr>
          <w:p>
            <w:pPr>
              <w:pStyle w:val="TableParagraph"/>
              <w:spacing w:before="4"/>
              <w:ind w:left="336" w:right="311"/>
              <w:rPr>
                <w:rFonts w:ascii="Calibri"/>
                <w:sz w:val="22"/>
              </w:rPr>
            </w:pPr>
            <w:r>
              <w:rPr>
                <w:rFonts w:ascii="Calibri"/>
                <w:sz w:val="22"/>
              </w:rPr>
              <w:t>12.66</w:t>
            </w:r>
          </w:p>
        </w:tc>
        <w:tc>
          <w:tcPr>
            <w:tcW w:w="1143" w:type="dxa"/>
            <w:tcBorders>
              <w:left w:val="single" w:sz="7" w:space="0" w:color="FFFFFF"/>
              <w:right w:val="single" w:sz="15" w:space="0" w:color="000000"/>
            </w:tcBorders>
            <w:shd w:val="clear" w:color="auto" w:fill="67ED4D"/>
          </w:tcPr>
          <w:p>
            <w:pPr>
              <w:pStyle w:val="TableParagraph"/>
              <w:spacing w:before="4"/>
              <w:ind w:right="422"/>
              <w:jc w:val="right"/>
              <w:rPr>
                <w:rFonts w:ascii="Calibri"/>
                <w:sz w:val="22"/>
              </w:rPr>
            </w:pPr>
            <w:r>
              <w:rPr>
                <w:rFonts w:ascii="Calibri"/>
                <w:sz w:val="22"/>
              </w:rPr>
              <w:t>17</w:t>
            </w:r>
          </w:p>
        </w:tc>
      </w:tr>
      <w:tr>
        <w:trPr>
          <w:trHeight w:val="260" w:hRule="exact"/>
        </w:trPr>
        <w:tc>
          <w:tcPr>
            <w:tcW w:w="5713" w:type="dxa"/>
            <w:gridSpan w:val="3"/>
            <w:tcBorders>
              <w:left w:val="single" w:sz="7" w:space="0" w:color="000000"/>
              <w:right w:val="single" w:sz="15" w:space="0" w:color="000000"/>
            </w:tcBorders>
          </w:tcPr>
          <w:p>
            <w:pPr/>
          </w:p>
        </w:tc>
      </w:tr>
      <w:tr>
        <w:trPr>
          <w:trHeight w:val="298" w:hRule="exact"/>
        </w:trPr>
        <w:tc>
          <w:tcPr>
            <w:tcW w:w="3372" w:type="dxa"/>
            <w:tcBorders>
              <w:left w:val="single" w:sz="7" w:space="0" w:color="000000"/>
            </w:tcBorders>
          </w:tcPr>
          <w:p>
            <w:pPr>
              <w:pStyle w:val="TableParagraph"/>
              <w:tabs>
                <w:tab w:pos="2693" w:val="left" w:leader="none"/>
              </w:tabs>
              <w:spacing w:before="4"/>
              <w:ind w:left="37"/>
              <w:jc w:val="left"/>
              <w:rPr>
                <w:rFonts w:ascii="Calibri" w:hAnsi="Calibri"/>
                <w:sz w:val="22"/>
              </w:rPr>
            </w:pPr>
            <w:r>
              <w:rPr>
                <w:rFonts w:ascii="Calibri" w:hAnsi="Calibri"/>
                <w:sz w:val="22"/>
              </w:rPr>
              <w:t>Índice</w:t>
            </w:r>
            <w:r>
              <w:rPr>
                <w:rFonts w:ascii="Calibri" w:hAnsi="Calibri"/>
                <w:spacing w:val="6"/>
                <w:sz w:val="22"/>
              </w:rPr>
              <w:t> </w:t>
            </w:r>
            <w:r>
              <w:rPr>
                <w:rFonts w:ascii="Calibri" w:hAnsi="Calibri"/>
                <w:sz w:val="22"/>
              </w:rPr>
              <w:t>de</w:t>
            </w:r>
            <w:r>
              <w:rPr>
                <w:rFonts w:ascii="Calibri" w:hAnsi="Calibri"/>
                <w:spacing w:val="6"/>
                <w:sz w:val="22"/>
              </w:rPr>
              <w:t> </w:t>
            </w:r>
            <w:r>
              <w:rPr>
                <w:rFonts w:ascii="Calibri" w:hAnsi="Calibri"/>
                <w:sz w:val="22"/>
              </w:rPr>
              <w:t>Sustentabilidad</w:t>
              <w:tab/>
              <w:t>33.9</w:t>
            </w:r>
          </w:p>
        </w:tc>
        <w:tc>
          <w:tcPr>
            <w:tcW w:w="1198" w:type="dxa"/>
            <w:tcBorders>
              <w:right w:val="single" w:sz="7" w:space="0" w:color="FFFFFF"/>
            </w:tcBorders>
            <w:shd w:val="clear" w:color="auto" w:fill="FFFF00"/>
          </w:tcPr>
          <w:p>
            <w:pPr>
              <w:pStyle w:val="TableParagraph"/>
              <w:spacing w:before="4"/>
              <w:ind w:left="336" w:right="311"/>
              <w:rPr>
                <w:rFonts w:ascii="Calibri"/>
                <w:sz w:val="22"/>
              </w:rPr>
            </w:pPr>
            <w:r>
              <w:rPr>
                <w:rFonts w:ascii="Calibri"/>
                <w:sz w:val="22"/>
              </w:rPr>
              <w:t>51.36</w:t>
            </w:r>
          </w:p>
        </w:tc>
        <w:tc>
          <w:tcPr>
            <w:tcW w:w="1143" w:type="dxa"/>
            <w:tcBorders>
              <w:left w:val="single" w:sz="7" w:space="0" w:color="FFFFFF"/>
              <w:right w:val="single" w:sz="15" w:space="0" w:color="000000"/>
            </w:tcBorders>
            <w:shd w:val="clear" w:color="auto" w:fill="67ED4D"/>
          </w:tcPr>
          <w:p>
            <w:pPr>
              <w:pStyle w:val="TableParagraph"/>
              <w:spacing w:before="4"/>
              <w:ind w:right="422"/>
              <w:jc w:val="right"/>
              <w:rPr>
                <w:rFonts w:ascii="Calibri"/>
                <w:sz w:val="22"/>
              </w:rPr>
            </w:pPr>
            <w:r>
              <w:rPr>
                <w:rFonts w:ascii="Calibri"/>
                <w:sz w:val="22"/>
              </w:rPr>
              <w:t>67</w:t>
            </w:r>
          </w:p>
        </w:tc>
      </w:tr>
      <w:tr>
        <w:trPr>
          <w:trHeight w:val="279" w:hRule="exact"/>
        </w:trPr>
        <w:tc>
          <w:tcPr>
            <w:tcW w:w="5713" w:type="dxa"/>
            <w:gridSpan w:val="3"/>
            <w:tcBorders>
              <w:left w:val="single" w:sz="7" w:space="0" w:color="000000"/>
              <w:bottom w:val="single" w:sz="15" w:space="0" w:color="000000"/>
              <w:right w:val="single" w:sz="15" w:space="0" w:color="000000"/>
            </w:tcBorders>
          </w:tcPr>
          <w:p>
            <w:pPr/>
          </w:p>
        </w:tc>
      </w:tr>
    </w:tbl>
    <w:p>
      <w:pPr>
        <w:spacing w:before="131"/>
        <w:ind w:left="268" w:right="0" w:firstLine="0"/>
        <w:jc w:val="left"/>
        <w:rPr>
          <w:sz w:val="21"/>
        </w:rPr>
      </w:pPr>
      <w:r>
        <w:rPr/>
        <w:pict>
          <v:rect style="position:absolute;margin-left:292.095001pt;margin-top:-85.549423pt;width:49.2351pt;height:14.8763pt;mso-position-horizontal-relative:page;mso-position-vertical-relative:paragraph;z-index:-1149760" filled="true" fillcolor="#f79646" stroked="false">
            <v:fill type="solid"/>
            <w10:wrap type="none"/>
          </v:rect>
        </w:pict>
      </w:r>
      <w:r>
        <w:rPr/>
        <w:pict>
          <v:rect style="position:absolute;margin-left:292.095001pt;margin-top:-57.656425pt;width:49.2351pt;height:14.8763pt;mso-position-horizontal-relative:page;mso-position-vertical-relative:paragraph;z-index:-1149736" filled="true" fillcolor="#f79646" stroked="false">
            <v:fill type="solid"/>
            <w10:wrap type="none"/>
          </v:rect>
        </w:pict>
      </w:r>
      <w:r>
        <w:rPr/>
        <w:pict>
          <v:rect style="position:absolute;margin-left:292.095001pt;margin-top:-29.763426pt;width:49.2351pt;height:14.8763pt;mso-position-horizontal-relative:page;mso-position-vertical-relative:paragraph;z-index:-1149712" filled="true" fillcolor="#f79646"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8344" from="93.199997pt,-19.614155pt" to="546.799997pt,-19.614155pt" stroked="true" strokeweight=".479981pt" strokecolor="#000000">
            <w10:wrap type="none"/>
          </v:line>
        </w:pict>
      </w:r>
      <w:r>
        <w:rPr/>
        <w:t>La gráfica 2 muestra el comportamiento de los indicadores por índice y la tabla 24 se aprecian los resultados obtenidos en los cuatro índices de sustentabilidad, así como la obtención del Índice de Sustentabilidad que se obtiene con los índices anteriores, de igual modo se muestran tres escenarios el real refiere a la calificación que obtuvo el análisis de los indicadores del conjunto urbano, el deseable refiere a una propuesta mínima para que el proyecto se considere como sustentable desde una perspectiva integral y finalmente, el escenario óptimo que representa la máxima calificación del desarrollo habitacional en los datos obtenidos.</w:t>
      </w:r>
    </w:p>
    <w:p>
      <w:pPr>
        <w:pStyle w:val="BodyText"/>
        <w:spacing w:line="360" w:lineRule="auto" w:before="122"/>
        <w:ind w:left="268" w:right="231"/>
        <w:jc w:val="both"/>
      </w:pPr>
      <w:r>
        <w:rPr/>
        <w:t>El resultado del conjunto urbano de Villas del Campo demuestra que la maxima valoración fue el índice social mientras que en el resto de los índices queda muy por debajo de un resultado deseable. Con estos resultados se pueden tomar acciones que permitan resolver las problemáticas existente en los ejes; social, ambiental, economico y territorial. La gráfica 3 permite apreciar espacialmente los datos descritos en la tabla 24.</w:t>
      </w:r>
    </w:p>
    <w:p>
      <w:pPr>
        <w:spacing w:after="0" w:line="360" w:lineRule="auto"/>
        <w:jc w:val="both"/>
        <w:sectPr>
          <w:pgSz w:w="12240" w:h="15840"/>
          <w:pgMar w:header="730" w:footer="1066" w:top="1320" w:bottom="1260" w:left="1720" w:right="1180"/>
        </w:sectPr>
      </w:pPr>
    </w:p>
    <w:p>
      <w:pPr>
        <w:pStyle w:val="BodyText"/>
        <w:spacing w:before="1"/>
        <w:rPr>
          <w:sz w:val="18"/>
        </w:rPr>
      </w:pPr>
    </w:p>
    <w:p>
      <w:pPr>
        <w:spacing w:before="78"/>
        <w:ind w:left="268" w:right="0" w:firstLine="0"/>
        <w:jc w:val="left"/>
        <w:rPr>
          <w:sz w:val="21"/>
        </w:rPr>
      </w:pPr>
      <w:r>
        <w:rPr/>
        <w:pict>
          <v:line style="position:absolute;mso-position-horizontal-relative:page;mso-position-vertical-relative:paragraph;z-index:8368" from="93.199997pt,-19.611116pt" to="546.799997pt,-19.611116pt" stroked="true" strokeweight=".479981pt" strokecolor="#000000">
            <w10:wrap type="none"/>
          </v:line>
        </w:pict>
      </w:r>
      <w:r>
        <w:rPr>
          <w:w w:val="105"/>
          <w:sz w:val="21"/>
        </w:rPr>
        <w:t>Gráfica 3. Resultados de escenarios de índices.</w:t>
      </w:r>
    </w:p>
    <w:p>
      <w:pPr>
        <w:pStyle w:val="BodyText"/>
        <w:spacing w:before="6"/>
        <w:rPr>
          <w:sz w:val="19"/>
        </w:rPr>
      </w:pPr>
    </w:p>
    <w:p>
      <w:pPr>
        <w:pStyle w:val="Heading2"/>
        <w:ind w:left="2305"/>
      </w:pPr>
      <w:r>
        <w:rPr/>
        <w:t>Distribución de índices de Villas del Campo</w:t>
      </w:r>
    </w:p>
    <w:p>
      <w:pPr>
        <w:pStyle w:val="BodyText"/>
        <w:spacing w:before="4"/>
        <w:rPr>
          <w:rFonts w:ascii="Calibri"/>
          <w:b/>
          <w:sz w:val="9"/>
        </w:rPr>
      </w:pPr>
    </w:p>
    <w:p>
      <w:pPr>
        <w:tabs>
          <w:tab w:pos="1136" w:val="left" w:leader="none"/>
          <w:tab w:pos="2165" w:val="left" w:leader="none"/>
        </w:tabs>
        <w:spacing w:before="73"/>
        <w:ind w:left="402" w:right="0" w:firstLine="0"/>
        <w:jc w:val="center"/>
        <w:rPr>
          <w:rFonts w:ascii="Calibri" w:hAnsi="Calibri"/>
          <w:sz w:val="15"/>
        </w:rPr>
      </w:pPr>
      <w:r>
        <w:rPr/>
        <w:pict>
          <v:group style="position:absolute;margin-left:256.935974pt;margin-top:5.54755pt;width:17.1pt;height:4.95pt;mso-position-horizontal-relative:page;mso-position-vertical-relative:paragraph;z-index:8416" coordorigin="5139,111" coordsize="342,99">
            <v:line style="position:absolute" from="5167,158" to="5452,158" stroked="true" strokeweight="2.792106pt" strokecolor="#5b92c7"/>
            <v:shape style="position:absolute;left:5260;top:118;width:89;height:84" type="#_x0000_t75" stroked="false">
              <v:imagedata r:id="rId127" o:title=""/>
            </v:shape>
            <v:shape style="position:absolute;left:5260;top:118;width:90;height:84" coordorigin="5260,118" coordsize="90,84" path="m5304,118l5349,163,5304,202,5260,163,5304,118xe" filled="false" stroked="true" strokeweight=".744229pt" strokecolor="#5b92c7">
              <v:path arrowok="t"/>
            </v:shape>
            <w10:wrap type="none"/>
          </v:group>
        </w:pict>
      </w:r>
      <w:r>
        <w:rPr/>
        <w:pict>
          <v:group style="position:absolute;margin-left:293.65799pt;margin-top:5.54755pt;width:17.1pt;height:4.95pt;mso-position-horizontal-relative:page;mso-position-vertical-relative:paragraph;z-index:-1149592" coordorigin="5873,111" coordsize="342,99">
            <v:line style="position:absolute" from="5901,158" to="6187,158" stroked="true" strokeweight="2.792106pt" strokecolor="#cc615a"/>
            <v:shape style="position:absolute;left:6003;top:118;width:85;height:84" type="#_x0000_t75" stroked="false">
              <v:imagedata r:id="rId128" o:title=""/>
            </v:shape>
            <v:rect style="position:absolute;left:6003;top:118;width:85;height:84" filled="false" stroked="true" strokeweight=".744213pt" strokecolor="#cc615a"/>
            <w10:wrap type="none"/>
          </v:group>
        </w:pict>
      </w:r>
      <w:r>
        <w:rPr/>
        <w:pict>
          <v:group style="position:absolute;margin-left:345.135986pt;margin-top:5.54755pt;width:17.1pt;height:4.95pt;mso-position-horizontal-relative:page;mso-position-vertical-relative:paragraph;z-index:-1149568" coordorigin="6903,111" coordsize="342,99">
            <v:line style="position:absolute" from="6931,158" to="7216,158" stroked="true" strokeweight="2.792106pt" strokecolor="#a8c367"/>
            <v:shape style="position:absolute;left:7030;top:118;width:88;height:84" type="#_x0000_t75" stroked="false">
              <v:imagedata r:id="rId129" o:title=""/>
            </v:shape>
            <v:shape style="position:absolute;left:7030;top:118;width:89;height:84" coordorigin="7030,118" coordsize="89,84" path="m7075,118l7118,202,7030,202,7075,118xe" filled="false" stroked="true" strokeweight=".744225pt" strokecolor="#a8c367">
              <v:path arrowok="t"/>
            </v:shape>
            <w10:wrap type="none"/>
          </v:group>
        </w:pict>
      </w:r>
      <w:r>
        <w:rPr>
          <w:rFonts w:ascii="Calibri" w:hAnsi="Calibri"/>
          <w:sz w:val="15"/>
        </w:rPr>
        <w:t>Real</w:t>
        <w:tab/>
        <w:t>Deseable</w:t>
        <w:tab/>
        <w:t>Óptimo</w:t>
      </w:r>
    </w:p>
    <w:p>
      <w:pPr>
        <w:pStyle w:val="BodyText"/>
        <w:spacing w:before="10"/>
        <w:rPr>
          <w:rFonts w:ascii="Calibri"/>
          <w:sz w:val="23"/>
        </w:rPr>
      </w:pPr>
    </w:p>
    <w:p>
      <w:pPr>
        <w:spacing w:line="280" w:lineRule="auto" w:before="74"/>
        <w:ind w:left="4404" w:right="4209" w:hanging="93"/>
        <w:jc w:val="left"/>
        <w:rPr>
          <w:rFonts w:ascii="Calibri" w:hAnsi="Calibri"/>
          <w:sz w:val="15"/>
        </w:rPr>
      </w:pPr>
      <w:r>
        <w:rPr/>
        <w:pict>
          <v:group style="position:absolute;margin-left:161.438599pt;margin-top:18.39731pt;width:318pt;height:318.55pt;mso-position-horizontal-relative:page;mso-position-vertical-relative:paragraph;z-index:-1149640" coordorigin="3229,368" coordsize="6360,6371">
            <v:shape style="position:absolute;left:115962;top:-108423282;width:108204038;height:108406734" coordorigin="115962,-108423282" coordsize="108204038,108406734" path="m6405,2921l7045,3547m7045,3547l6405,4187m6405,4187l5765,3547m5765,3547l6405,2921m6405,2281l7670,3547m7670,3547l6405,4827m6405,4827l5141,3547m5141,3547l6405,2281m6405,1641l8309,3547m8309,3547l6405,5453m6405,5453l4501,3547m4501,3547l6405,1641m6405,1015l8949,3547m8949,3547l6405,6093m6405,6093l3861,3547m3861,3547l6405,1015m6405,375l9574,3547m9574,3547l6405,6731m6405,6731l3236,3547m3236,3547l6405,375m6405,3547l6405,375m6405,3547l9574,3547m6405,3547l6405,6731m6405,3547l3236,3547m6405,3547l6405,375e" filled="false" stroked="true" strokeweight=".744208pt" strokecolor="#989898">
              <v:path arrowok="t"/>
            </v:shape>
            <v:shape style="position:absolute;left:7387;top:3443;width:268;height:253" type="#_x0000_t75" stroked="false">
              <v:imagedata r:id="rId130" o:title=""/>
            </v:shape>
            <v:shape style="position:absolute;left:6271;top:4143;width:268;height:253" type="#_x0000_t75" stroked="false">
              <v:imagedata r:id="rId130" o:title=""/>
            </v:shape>
            <v:shape style="position:absolute;left:5260;top:3443;width:268;height:253" type="#_x0000_t75" stroked="false">
              <v:imagedata r:id="rId130" o:title=""/>
            </v:shape>
            <v:shape style="position:absolute;left:6271;top:1969;width:268;height:283" type="#_x0000_t75" stroked="false">
              <v:imagedata r:id="rId131" o:title=""/>
            </v:shape>
            <v:shape style="position:absolute;left:8592;top:3443;width:268;height:253" type="#_x0000_t75" stroked="false">
              <v:imagedata r:id="rId132" o:title=""/>
            </v:shape>
            <v:shape style="position:absolute;left:4664;top:3443;width:268;height:253" type="#_x0000_t75" stroked="false">
              <v:imagedata r:id="rId132" o:title=""/>
            </v:shape>
            <v:shape style="position:absolute;left:6271;top:1537;width:268;height:253" type="#_x0000_t75" stroked="false">
              <v:imagedata r:id="rId133" o:title=""/>
            </v:shape>
            <v:shape style="position:absolute;left:9321;top:3443;width:268;height:253" type="#_x0000_t75" stroked="false">
              <v:imagedata r:id="rId133" o:title=""/>
            </v:shape>
            <v:shape style="position:absolute;left:6271;top:4590;width:268;height:506" type="#_x0000_t75" stroked="false">
              <v:imagedata r:id="rId134" o:title=""/>
            </v:shape>
            <v:shape style="position:absolute;left:4114;top:3443;width:268;height:253" type="#_x0000_t75" stroked="false">
              <v:imagedata r:id="rId133" o:title=""/>
            </v:shape>
            <v:shape style="position:absolute;left:77754;top:-36995682;width:36322046;height:37083972" coordorigin="77754,-36995682" coordsize="36322046,37083972" path="m5393,3547l6405,2073m6405,2073l7521,3547m7521,3547l6405,4247m6405,4247l5393,3547e" filled="false" stroked="true" strokeweight="2.79078pt" strokecolor="#5b92c7">
              <v:path arrowok="t"/>
            </v:shape>
            <v:shape style="position:absolute;left:6331;top:1999;width:149;height:149" type="#_x0000_t75" stroked="false">
              <v:imagedata r:id="rId86" o:title=""/>
            </v:shape>
            <v:shape style="position:absolute;left:7446;top:3473;width:149;height:149" type="#_x0000_t75" stroked="false">
              <v:imagedata r:id="rId86" o:title=""/>
            </v:shape>
            <v:shape style="position:absolute;left:6331;top:4173;width:149;height:149" type="#_x0000_t75" stroked="false">
              <v:imagedata r:id="rId86" o:title=""/>
            </v:shape>
            <v:shape style="position:absolute;left:5319;top:3473;width:149;height:149" type="#_x0000_t75" stroked="false">
              <v:imagedata r:id="rId86" o:title=""/>
            </v:shape>
            <v:shape style="position:absolute;left:23978;top:-44181882;width:67056023;height:44195908" coordorigin="23978,-44181882" coordsize="67056023,44195908" path="m4798,3547l6405,2102m6405,2102l8726,3547m8726,3547l6405,4693m6405,4693l4798,3547e" filled="false" stroked="true" strokeweight="2.79078pt" strokecolor="#cc615a">
              <v:path arrowok="t"/>
            </v:shape>
            <v:shape style="position:absolute;left:6331;top:2028;width:149;height:149" type="#_x0000_t75" stroked="false">
              <v:imagedata r:id="rId87" o:title=""/>
            </v:shape>
            <v:shape style="position:absolute;left:8652;top:3473;width:149;height:149" type="#_x0000_t75" stroked="false">
              <v:imagedata r:id="rId87" o:title=""/>
            </v:shape>
            <v:shape style="position:absolute;left:6331;top:4619;width:149;height:149" type="#_x0000_t75" stroked="false">
              <v:imagedata r:id="rId87" o:title=""/>
            </v:shape>
            <v:shape style="position:absolute;left:4724;top:3473;width:149;height:149" type="#_x0000_t75" stroked="false">
              <v:imagedata r:id="rId87" o:title=""/>
            </v:shape>
            <v:shape style="position:absolute;left:38218;top:-56307282;width:88879183;height:56387934" coordorigin="38218,-56307282" coordsize="88879183,56387934" path="m4248,3547l6405,1641m6405,1641l9454,3547m9454,3547l6405,4947m6405,4947l4248,3547e" filled="false" stroked="true" strokeweight="2.79078pt" strokecolor="#a8c367">
              <v:path arrowok="t"/>
            </v:shape>
            <v:shape style="position:absolute;left:6331;top:1567;width:149;height:149" type="#_x0000_t75" stroked="false">
              <v:imagedata r:id="rId88" o:title=""/>
            </v:shape>
            <v:shape style="position:absolute;left:9380;top:3473;width:149;height:149" type="#_x0000_t75" stroked="false">
              <v:imagedata r:id="rId88" o:title=""/>
            </v:shape>
            <v:shape style="position:absolute;left:6331;top:4873;width:149;height:149" type="#_x0000_t75" stroked="false">
              <v:imagedata r:id="rId88" o:title=""/>
            </v:shape>
            <v:shape style="position:absolute;left:4174;top:3473;width:149;height:149" type="#_x0000_t75" stroked="false">
              <v:imagedata r:id="rId88" o:title=""/>
            </v:shape>
            <w10:wrap type="none"/>
          </v:group>
        </w:pict>
      </w:r>
      <w:r>
        <w:rPr>
          <w:rFonts w:ascii="Calibri" w:hAnsi="Calibri"/>
          <w:sz w:val="15"/>
        </w:rPr>
        <w:t>Índice Social</w:t>
      </w:r>
      <w:r>
        <w:rPr>
          <w:rFonts w:ascii="Calibri" w:hAnsi="Calibri"/>
          <w:w w:val="99"/>
          <w:sz w:val="15"/>
        </w:rPr>
        <w:t> </w:t>
      </w:r>
      <w:r>
        <w:rPr>
          <w:rFonts w:ascii="Calibri" w:hAnsi="Calibri"/>
          <w:sz w:val="15"/>
        </w:rPr>
        <w:t>25</w:t>
      </w:r>
    </w:p>
    <w:p>
      <w:pPr>
        <w:pStyle w:val="BodyText"/>
        <w:spacing w:before="6"/>
        <w:rPr>
          <w:rFonts w:ascii="Calibri"/>
          <w:sz w:val="28"/>
        </w:rPr>
      </w:pPr>
    </w:p>
    <w:p>
      <w:pPr>
        <w:spacing w:before="73"/>
        <w:ind w:left="382" w:right="760" w:firstLine="0"/>
        <w:jc w:val="center"/>
        <w:rPr>
          <w:rFonts w:ascii="Calibri"/>
          <w:sz w:val="15"/>
        </w:rPr>
      </w:pPr>
      <w:r>
        <w:rPr>
          <w:rFonts w:ascii="Calibri"/>
          <w:sz w:val="15"/>
        </w:rPr>
        <w:t>20</w:t>
      </w:r>
    </w:p>
    <w:p>
      <w:pPr>
        <w:pStyle w:val="BodyText"/>
        <w:spacing w:before="9"/>
        <w:rPr>
          <w:rFonts w:ascii="Calibri"/>
        </w:rPr>
      </w:pPr>
    </w:p>
    <w:p>
      <w:pPr>
        <w:spacing w:before="74"/>
        <w:ind w:left="382" w:right="568" w:firstLine="0"/>
        <w:jc w:val="center"/>
        <w:rPr>
          <w:rFonts w:ascii="Calibri"/>
          <w:sz w:val="15"/>
        </w:rPr>
      </w:pPr>
      <w:r>
        <w:rPr>
          <w:rFonts w:ascii="Calibri"/>
          <w:position w:val="-7"/>
          <w:sz w:val="15"/>
        </w:rPr>
        <w:t>15 </w:t>
      </w:r>
      <w:r>
        <w:rPr>
          <w:rFonts w:ascii="Calibri"/>
          <w:sz w:val="15"/>
        </w:rPr>
        <w:t>15</w:t>
      </w:r>
    </w:p>
    <w:p>
      <w:pPr>
        <w:spacing w:before="107"/>
        <w:ind w:left="107" w:right="0" w:firstLine="0"/>
        <w:jc w:val="center"/>
        <w:rPr>
          <w:rFonts w:ascii="Calibri"/>
          <w:sz w:val="15"/>
        </w:rPr>
      </w:pPr>
      <w:r>
        <w:rPr>
          <w:rFonts w:ascii="Calibri"/>
          <w:sz w:val="15"/>
        </w:rPr>
        <w:t>11.6</w:t>
      </w:r>
    </w:p>
    <w:p>
      <w:pPr>
        <w:pStyle w:val="BodyText"/>
        <w:spacing w:before="8"/>
        <w:rPr>
          <w:rFonts w:ascii="Calibri"/>
          <w:sz w:val="12"/>
        </w:rPr>
      </w:pPr>
    </w:p>
    <w:p>
      <w:pPr>
        <w:spacing w:before="0"/>
        <w:ind w:left="382" w:right="473" w:firstLine="0"/>
        <w:jc w:val="center"/>
        <w:rPr>
          <w:rFonts w:ascii="Calibri"/>
          <w:sz w:val="15"/>
        </w:rPr>
      </w:pPr>
      <w:r>
        <w:rPr>
          <w:rFonts w:ascii="Calibri"/>
          <w:position w:val="9"/>
          <w:sz w:val="15"/>
        </w:rPr>
        <w:t>10 </w:t>
      </w:r>
      <w:r>
        <w:rPr>
          <w:rFonts w:ascii="Calibri"/>
          <w:sz w:val="15"/>
        </w:rPr>
        <w:t>11.4</w:t>
      </w:r>
    </w:p>
    <w:p>
      <w:pPr>
        <w:pStyle w:val="BodyText"/>
        <w:rPr>
          <w:rFonts w:ascii="Calibri"/>
        </w:rPr>
      </w:pPr>
    </w:p>
    <w:p>
      <w:pPr>
        <w:spacing w:after="0"/>
        <w:rPr>
          <w:rFonts w:ascii="Calibri"/>
        </w:rPr>
        <w:sectPr>
          <w:pgSz w:w="12240" w:h="15840"/>
          <w:pgMar w:header="730" w:footer="1066" w:top="1320" w:bottom="1260" w:left="1720" w:right="1180"/>
        </w:sect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spacing w:before="2"/>
        <w:rPr>
          <w:rFonts w:ascii="Calibri"/>
          <w:sz w:val="16"/>
        </w:rPr>
      </w:pPr>
    </w:p>
    <w:p>
      <w:pPr>
        <w:spacing w:before="0"/>
        <w:ind w:left="379" w:right="-19" w:firstLine="0"/>
        <w:jc w:val="left"/>
        <w:rPr>
          <w:rFonts w:ascii="Calibri" w:hAnsi="Calibri"/>
          <w:sz w:val="15"/>
        </w:rPr>
      </w:pPr>
      <w:r>
        <w:rPr>
          <w:rFonts w:ascii="Calibri" w:hAnsi="Calibri"/>
          <w:sz w:val="15"/>
        </w:rPr>
        <w:t>Índice</w:t>
      </w:r>
      <w:r>
        <w:rPr>
          <w:rFonts w:ascii="Calibri" w:hAnsi="Calibri"/>
          <w:spacing w:val="-9"/>
          <w:sz w:val="15"/>
        </w:rPr>
        <w:t> </w:t>
      </w:r>
      <w:r>
        <w:rPr>
          <w:rFonts w:ascii="Calibri" w:hAnsi="Calibri"/>
          <w:sz w:val="15"/>
        </w:rPr>
        <w:t>Territorial</w:t>
      </w:r>
    </w:p>
    <w:p>
      <w:pPr>
        <w:spacing w:before="73"/>
        <w:ind w:left="0" w:right="0" w:firstLine="0"/>
        <w:jc w:val="right"/>
        <w:rPr>
          <w:rFonts w:ascii="Calibri"/>
          <w:sz w:val="15"/>
        </w:rPr>
      </w:pPr>
      <w:r>
        <w:rPr/>
        <w:br w:type="column"/>
      </w:r>
      <w:r>
        <w:rPr>
          <w:rFonts w:ascii="Calibri"/>
          <w:w w:val="95"/>
          <w:sz w:val="15"/>
        </w:rPr>
        <w:t>5</w:t>
      </w:r>
    </w:p>
    <w:p>
      <w:pPr>
        <w:pStyle w:val="BodyText"/>
        <w:rPr>
          <w:rFonts w:ascii="Calibri"/>
          <w:sz w:val="14"/>
        </w:rPr>
      </w:pPr>
    </w:p>
    <w:p>
      <w:pPr>
        <w:tabs>
          <w:tab w:pos="1300" w:val="left" w:leader="none"/>
          <w:tab w:pos="1981" w:val="left" w:leader="none"/>
        </w:tabs>
        <w:spacing w:line="215" w:lineRule="exact" w:before="105"/>
        <w:ind w:left="379" w:right="0" w:firstLine="0"/>
        <w:jc w:val="left"/>
        <w:rPr>
          <w:rFonts w:ascii="Calibri"/>
          <w:sz w:val="15"/>
        </w:rPr>
      </w:pPr>
      <w:r>
        <w:rPr>
          <w:rFonts w:ascii="Calibri"/>
          <w:position w:val="3"/>
          <w:sz w:val="15"/>
        </w:rPr>
        <w:t>17</w:t>
        <w:tab/>
      </w:r>
      <w:r>
        <w:rPr>
          <w:rFonts w:ascii="Calibri"/>
          <w:sz w:val="15"/>
        </w:rPr>
        <w:t>12.66</w:t>
        <w:tab/>
      </w:r>
      <w:r>
        <w:rPr>
          <w:rFonts w:ascii="Calibri"/>
          <w:position w:val="-3"/>
          <w:sz w:val="15"/>
        </w:rPr>
        <w:t>8</w:t>
      </w:r>
    </w:p>
    <w:p>
      <w:pPr>
        <w:spacing w:line="145" w:lineRule="exact" w:before="0"/>
        <w:ind w:left="0" w:right="0" w:firstLine="0"/>
        <w:jc w:val="right"/>
        <w:rPr>
          <w:rFonts w:ascii="Calibri"/>
          <w:sz w:val="15"/>
        </w:rPr>
      </w:pPr>
      <w:r>
        <w:rPr>
          <w:rFonts w:ascii="Calibri"/>
          <w:w w:val="99"/>
          <w:sz w:val="15"/>
        </w:rPr>
        <w:t>0</w:t>
      </w:r>
    </w:p>
    <w:p>
      <w:pPr>
        <w:pStyle w:val="BodyText"/>
        <w:rPr>
          <w:rFonts w:ascii="Calibri"/>
          <w:sz w:val="14"/>
        </w:rPr>
      </w:pPr>
      <w:r>
        <w:rPr/>
        <w:br w:type="column"/>
      </w:r>
      <w:r>
        <w:rPr>
          <w:rFonts w:ascii="Calibri"/>
          <w:sz w:val="14"/>
        </w:rPr>
      </w:r>
    </w:p>
    <w:p>
      <w:pPr>
        <w:pStyle w:val="BodyText"/>
        <w:rPr>
          <w:rFonts w:ascii="Calibri"/>
          <w:sz w:val="14"/>
        </w:rPr>
      </w:pPr>
    </w:p>
    <w:p>
      <w:pPr>
        <w:pStyle w:val="BodyText"/>
        <w:spacing w:before="8"/>
        <w:rPr>
          <w:rFonts w:ascii="Calibri"/>
          <w:sz w:val="19"/>
        </w:rPr>
      </w:pPr>
    </w:p>
    <w:p>
      <w:pPr>
        <w:spacing w:before="0"/>
        <w:ind w:left="0" w:right="0" w:firstLine="0"/>
        <w:jc w:val="right"/>
        <w:rPr>
          <w:rFonts w:ascii="Calibri"/>
          <w:sz w:val="15"/>
        </w:rPr>
      </w:pPr>
      <w:r>
        <w:rPr>
          <w:rFonts w:ascii="Calibri"/>
          <w:w w:val="95"/>
          <w:sz w:val="15"/>
        </w:rPr>
        <w:t>8.8</w:t>
      </w:r>
    </w:p>
    <w:p>
      <w:pPr>
        <w:pStyle w:val="BodyText"/>
        <w:rPr>
          <w:rFonts w:ascii="Calibri"/>
          <w:sz w:val="14"/>
        </w:rPr>
      </w:pPr>
      <w:r>
        <w:rPr/>
        <w:br w:type="column"/>
      </w:r>
      <w:r>
        <w:rPr>
          <w:rFonts w:ascii="Calibri"/>
          <w:sz w:val="14"/>
        </w:rPr>
      </w:r>
    </w:p>
    <w:p>
      <w:pPr>
        <w:pStyle w:val="BodyText"/>
        <w:rPr>
          <w:rFonts w:ascii="Calibri"/>
          <w:sz w:val="14"/>
        </w:rPr>
      </w:pPr>
    </w:p>
    <w:p>
      <w:pPr>
        <w:pStyle w:val="BodyText"/>
        <w:rPr>
          <w:rFonts w:ascii="Calibri"/>
          <w:sz w:val="14"/>
        </w:rPr>
      </w:pPr>
    </w:p>
    <w:p>
      <w:pPr>
        <w:spacing w:before="108"/>
        <w:ind w:left="379" w:right="-9" w:firstLine="0"/>
        <w:jc w:val="left"/>
        <w:rPr>
          <w:rFonts w:ascii="Calibri"/>
          <w:sz w:val="15"/>
        </w:rPr>
      </w:pPr>
      <w:r>
        <w:rPr>
          <w:rFonts w:ascii="Calibri"/>
          <w:w w:val="95"/>
          <w:sz w:val="15"/>
        </w:rPr>
        <w:t>18.3</w:t>
      </w:r>
    </w:p>
    <w:p>
      <w:pPr>
        <w:pStyle w:val="BodyText"/>
        <w:rPr>
          <w:rFonts w:ascii="Calibri"/>
          <w:sz w:val="14"/>
        </w:rPr>
      </w:pPr>
      <w:r>
        <w:rPr/>
        <w:br w:type="column"/>
      </w:r>
      <w:r>
        <w:rPr>
          <w:rFonts w:ascii="Calibri"/>
          <w:sz w:val="14"/>
        </w:rPr>
      </w:r>
    </w:p>
    <w:p>
      <w:pPr>
        <w:pStyle w:val="BodyText"/>
        <w:rPr>
          <w:rFonts w:ascii="Calibri"/>
          <w:sz w:val="14"/>
        </w:rPr>
      </w:pPr>
    </w:p>
    <w:p>
      <w:pPr>
        <w:pStyle w:val="BodyText"/>
        <w:spacing w:before="2"/>
        <w:rPr>
          <w:rFonts w:ascii="Calibri"/>
          <w:sz w:val="13"/>
        </w:rPr>
      </w:pPr>
    </w:p>
    <w:p>
      <w:pPr>
        <w:spacing w:before="0"/>
        <w:ind w:left="379" w:right="0" w:firstLine="0"/>
        <w:jc w:val="left"/>
        <w:rPr>
          <w:rFonts w:ascii="Calibri"/>
          <w:sz w:val="15"/>
        </w:rPr>
      </w:pPr>
      <w:r>
        <w:rPr>
          <w:rFonts w:ascii="Calibri"/>
          <w:sz w:val="15"/>
        </w:rPr>
        <w:t>24</w:t>
      </w:r>
    </w:p>
    <w:p>
      <w:pPr>
        <w:spacing w:before="24"/>
        <w:ind w:left="587" w:right="0" w:firstLine="0"/>
        <w:jc w:val="left"/>
        <w:rPr>
          <w:rFonts w:ascii="Calibri" w:hAnsi="Calibri"/>
          <w:sz w:val="15"/>
        </w:rPr>
      </w:pPr>
      <w:r>
        <w:rPr>
          <w:rFonts w:ascii="Calibri" w:hAnsi="Calibri"/>
          <w:sz w:val="15"/>
        </w:rPr>
        <w:t>Índice Ambiental</w:t>
      </w:r>
    </w:p>
    <w:p>
      <w:pPr>
        <w:spacing w:after="0"/>
        <w:jc w:val="left"/>
        <w:rPr>
          <w:rFonts w:ascii="Calibri" w:hAnsi="Calibri"/>
          <w:sz w:val="15"/>
        </w:rPr>
        <w:sectPr>
          <w:type w:val="continuous"/>
          <w:pgSz w:w="12240" w:h="15840"/>
          <w:pgMar w:top="1500" w:bottom="280" w:left="1720" w:right="1180"/>
          <w:cols w:num="5" w:equalWidth="0">
            <w:col w:w="1382" w:space="568"/>
            <w:col w:w="2605" w:space="488"/>
            <w:col w:w="568" w:space="411"/>
            <w:col w:w="643" w:space="735"/>
            <w:col w:w="1940"/>
          </w:cols>
        </w:sectPr>
      </w:pPr>
    </w:p>
    <w:p>
      <w:pPr>
        <w:pStyle w:val="BodyText"/>
        <w:rPr>
          <w:rFonts w:ascii="Calibri"/>
          <w:sz w:val="20"/>
        </w:rPr>
      </w:pPr>
    </w:p>
    <w:p>
      <w:pPr>
        <w:spacing w:before="74"/>
        <w:ind w:left="99" w:right="0" w:firstLine="0"/>
        <w:jc w:val="center"/>
        <w:rPr>
          <w:rFonts w:ascii="Calibri"/>
          <w:sz w:val="15"/>
        </w:rPr>
      </w:pPr>
      <w:r>
        <w:rPr>
          <w:rFonts w:ascii="Calibri"/>
          <w:sz w:val="15"/>
        </w:rPr>
        <w:t>5.5</w:t>
      </w:r>
    </w:p>
    <w:p>
      <w:pPr>
        <w:pStyle w:val="BodyText"/>
        <w:spacing w:before="4"/>
        <w:rPr>
          <w:rFonts w:ascii="Calibri"/>
          <w:sz w:val="20"/>
        </w:rPr>
      </w:pPr>
    </w:p>
    <w:p>
      <w:pPr>
        <w:spacing w:before="73"/>
        <w:ind w:left="31" w:right="0" w:firstLine="0"/>
        <w:jc w:val="center"/>
        <w:rPr>
          <w:rFonts w:ascii="Calibri"/>
          <w:sz w:val="15"/>
        </w:rPr>
      </w:pPr>
      <w:r>
        <w:rPr>
          <w:rFonts w:ascii="Calibri"/>
          <w:w w:val="99"/>
          <w:sz w:val="15"/>
        </w:rPr>
        <w:t>9</w:t>
      </w:r>
    </w:p>
    <w:p>
      <w:pPr>
        <w:pStyle w:val="BodyText"/>
        <w:rPr>
          <w:rFonts w:ascii="Calibri"/>
          <w:sz w:val="20"/>
        </w:rPr>
      </w:pPr>
    </w:p>
    <w:p>
      <w:pPr>
        <w:pStyle w:val="BodyText"/>
        <w:spacing w:before="2"/>
        <w:rPr>
          <w:rFonts w:ascii="Calibri"/>
          <w:sz w:val="15"/>
        </w:rPr>
      </w:pPr>
    </w:p>
    <w:p>
      <w:pPr>
        <w:spacing w:before="73"/>
        <w:ind w:left="223" w:right="0" w:firstLine="0"/>
        <w:jc w:val="center"/>
        <w:rPr>
          <w:rFonts w:ascii="Calibri"/>
          <w:sz w:val="15"/>
        </w:rPr>
      </w:pPr>
      <w:r>
        <w:rPr>
          <w:rFonts w:ascii="Calibri"/>
          <w:sz w:val="15"/>
        </w:rPr>
        <w:t>11</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18"/>
        </w:rPr>
      </w:pPr>
    </w:p>
    <w:p>
      <w:pPr>
        <w:spacing w:before="73"/>
        <w:ind w:left="30" w:right="0" w:firstLine="0"/>
        <w:jc w:val="center"/>
        <w:rPr>
          <w:rFonts w:ascii="Calibri" w:hAnsi="Calibri"/>
          <w:sz w:val="15"/>
        </w:rPr>
      </w:pPr>
      <w:r>
        <w:rPr>
          <w:rFonts w:ascii="Calibri" w:hAnsi="Calibri"/>
          <w:sz w:val="15"/>
        </w:rPr>
        <w:t>Índice Económico</w:t>
      </w:r>
    </w:p>
    <w:p>
      <w:pPr>
        <w:pStyle w:val="BodyText"/>
        <w:spacing w:before="10"/>
        <w:rPr>
          <w:rFonts w:ascii="Calibri"/>
          <w:sz w:val="18"/>
        </w:rPr>
      </w:pPr>
    </w:p>
    <w:p>
      <w:pPr>
        <w:spacing w:before="78"/>
        <w:ind w:left="268" w:right="0" w:firstLine="0"/>
        <w:jc w:val="both"/>
        <w:rPr>
          <w:sz w:val="21"/>
        </w:rPr>
      </w:pPr>
      <w:r>
        <w:rPr>
          <w:w w:val="105"/>
          <w:sz w:val="21"/>
        </w:rPr>
        <w:t>Fuente: Elaboración propia con base al estudio realizado.</w:t>
      </w:r>
    </w:p>
    <w:p>
      <w:pPr>
        <w:pStyle w:val="BodyText"/>
        <w:spacing w:before="2"/>
        <w:rPr>
          <w:sz w:val="21"/>
        </w:rPr>
      </w:pPr>
    </w:p>
    <w:p>
      <w:pPr>
        <w:pStyle w:val="BodyText"/>
        <w:spacing w:line="360" w:lineRule="auto"/>
        <w:ind w:left="268" w:right="231"/>
        <w:jc w:val="both"/>
      </w:pPr>
      <w:r>
        <w:rPr/>
        <w:t>La representación de la gráfica 3 muestra las distancia que guardan los tres escenarios en los resultados del sistema de indicadores, así mismo se puede observar que el índice social en el escenario real sobre sale y traspasa el área que guardan los datos del escenario deseable y demostrando que el factor ambiental y territorial presentan una mayor distancia de los resultados; deseable y óptimo.</w:t>
      </w:r>
    </w:p>
    <w:p>
      <w:pPr>
        <w:spacing w:after="0" w:line="360" w:lineRule="auto"/>
        <w:jc w:val="both"/>
        <w:sectPr>
          <w:type w:val="continuous"/>
          <w:pgSz w:w="12240" w:h="15840"/>
          <w:pgMar w:top="1500" w:bottom="280" w:left="1720" w:right="1180"/>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8512" from="93.199997pt,-19.614155pt" to="546.799997pt,-19.614155pt" stroked="true" strokeweight=".479981pt" strokecolor="#000000">
            <w10:wrap type="none"/>
          </v:line>
        </w:pict>
      </w:r>
      <w:r>
        <w:rPr/>
        <w:t>El conjunto urbano de tipo medio denominado “San Andrés”, autorizado a la empresa Inmobiliaria HEMAJO de Atlacomulco, S.A. de C.V. en diciembre de 2007, se ubica a un costado de la carretera fedrela Toluca – Tenango como se puede apreciar en el mapa siete.</w:t>
      </w:r>
    </w:p>
    <w:p>
      <w:pPr>
        <w:spacing w:before="136"/>
        <w:ind w:left="268" w:right="0" w:firstLine="0"/>
        <w:jc w:val="both"/>
        <w:rPr>
          <w:sz w:val="21"/>
        </w:rPr>
      </w:pPr>
      <w:r>
        <w:rPr>
          <w:w w:val="105"/>
          <w:sz w:val="21"/>
        </w:rPr>
        <w:t>Mapa 7. Conjunto urbano: San Andrés.</w:t>
      </w:r>
    </w:p>
    <w:p>
      <w:pPr>
        <w:pStyle w:val="BodyText"/>
        <w:spacing w:before="7"/>
        <w:rPr>
          <w:sz w:val="11"/>
        </w:rPr>
      </w:pPr>
      <w:r>
        <w:rPr/>
        <w:drawing>
          <wp:anchor distT="0" distB="0" distL="0" distR="0" allowOverlap="1" layoutInCell="1" locked="0" behindDoc="0" simplePos="0" relativeHeight="8488">
            <wp:simplePos x="0" y="0"/>
            <wp:positionH relativeFrom="page">
              <wp:posOffset>1261491</wp:posOffset>
            </wp:positionH>
            <wp:positionV relativeFrom="paragraph">
              <wp:posOffset>109790</wp:posOffset>
            </wp:positionV>
            <wp:extent cx="5561118" cy="4193857"/>
            <wp:effectExtent l="0" t="0" r="0" b="0"/>
            <wp:wrapTopAndBottom/>
            <wp:docPr id="29" name="image68.jpeg" descr=""/>
            <wp:cNvGraphicFramePr>
              <a:graphicFrameLocks noChangeAspect="1"/>
            </wp:cNvGraphicFramePr>
            <a:graphic>
              <a:graphicData uri="http://schemas.openxmlformats.org/drawingml/2006/picture">
                <pic:pic>
                  <pic:nvPicPr>
                    <pic:cNvPr id="30" name="image68.jpeg"/>
                    <pic:cNvPicPr/>
                  </pic:nvPicPr>
                  <pic:blipFill>
                    <a:blip r:embed="rId135" cstate="print"/>
                    <a:stretch>
                      <a:fillRect/>
                    </a:stretch>
                  </pic:blipFill>
                  <pic:spPr>
                    <a:xfrm>
                      <a:off x="0" y="0"/>
                      <a:ext cx="5561118" cy="4193857"/>
                    </a:xfrm>
                    <a:prstGeom prst="rect">
                      <a:avLst/>
                    </a:prstGeom>
                  </pic:spPr>
                </pic:pic>
              </a:graphicData>
            </a:graphic>
          </wp:anchor>
        </w:drawing>
      </w:r>
    </w:p>
    <w:p>
      <w:pPr>
        <w:spacing w:before="147"/>
        <w:ind w:left="268" w:right="0" w:firstLine="0"/>
        <w:jc w:val="both"/>
        <w:rPr>
          <w:sz w:val="21"/>
        </w:rPr>
      </w:pPr>
      <w:r>
        <w:rPr>
          <w:w w:val="105"/>
          <w:sz w:val="21"/>
        </w:rPr>
        <w:t>Fuente: Elaboración propia con base al estudio realizado.</w:t>
      </w:r>
    </w:p>
    <w:p>
      <w:pPr>
        <w:pStyle w:val="BodyText"/>
        <w:spacing w:before="2"/>
        <w:rPr>
          <w:sz w:val="21"/>
        </w:rPr>
      </w:pPr>
    </w:p>
    <w:p>
      <w:pPr>
        <w:pStyle w:val="BodyText"/>
        <w:spacing w:line="360" w:lineRule="auto"/>
        <w:ind w:left="268" w:right="231"/>
        <w:jc w:val="both"/>
      </w:pPr>
      <w:r>
        <w:rPr/>
        <w:t>El conjunto urbano es un desarrollo cerrado, cuenta con una barda perimetral y un solo acceso y salida controlado por seguridad privada que los residentes  contratan.</w:t>
      </w:r>
    </w:p>
    <w:p>
      <w:pPr>
        <w:pStyle w:val="BodyText"/>
        <w:spacing w:line="360" w:lineRule="auto" w:before="122"/>
        <w:ind w:left="268" w:right="231"/>
        <w:jc w:val="both"/>
      </w:pPr>
      <w:r>
        <w:rPr/>
        <w:t>La evaluación del índice de sustentabilidad social del desarrollo expone que en lo que respecta al eje social el proyecto obtuvo una valoración positiva al estar por encima en un punto y cuatro décimas del resultado deseable, ver tabla 25. Este resultado indica que el conjunto urbano es sustentable en los aspectos sociales  los que abarcan temas relacionados con la vivienda, las oportunidades urbanas,</w:t>
      </w:r>
      <w:r>
        <w:rPr>
          <w:spacing w:val="43"/>
        </w:rPr>
        <w:t> </w:t>
      </w:r>
      <w:r>
        <w:rPr/>
        <w:t>la</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8536" from="93.199997pt,-19.614155pt" to="546.799997pt,-19.614155pt" stroked="true" strokeweight=".479981pt" strokecolor="#000000">
            <w10:wrap type="none"/>
          </v:line>
        </w:pict>
      </w:r>
      <w:r>
        <w:rPr/>
        <w:t>organización vecinal y su participación, así como la valoración de índices similares en la evaluación del desarrollo a nivel nacional.</w:t>
      </w:r>
    </w:p>
    <w:p>
      <w:pPr>
        <w:pStyle w:val="BodyText"/>
        <w:spacing w:line="360" w:lineRule="auto" w:before="122"/>
        <w:ind w:left="268" w:right="231"/>
        <w:jc w:val="both"/>
      </w:pPr>
      <w:r>
        <w:rPr/>
        <w:t>En relación a la evaluación del índice de sustentabilidad ambiental se obtuvo un resultado con 9 puntos por debajo del valor deseable de la evaluación, por lo que el proyecto habitacional refleja que en materia ambiental no es sustentable, como se puede apreciar en la tabla</w:t>
      </w:r>
      <w:r>
        <w:rPr>
          <w:spacing w:val="-3"/>
        </w:rPr>
        <w:t> </w:t>
      </w:r>
      <w:r>
        <w:rPr/>
        <w:t>25.</w:t>
      </w:r>
    </w:p>
    <w:p>
      <w:pPr>
        <w:pStyle w:val="BodyText"/>
        <w:spacing w:line="360" w:lineRule="auto" w:before="122"/>
        <w:ind w:left="268" w:right="231"/>
        <w:jc w:val="both"/>
      </w:pPr>
      <w:r>
        <w:rPr/>
        <w:t>En el análisis del eje ambiental los resultados obtenidos de los indicadores  resultan reveladores ya que en los siete subíndices los resultados mostrados  están por debajo de la evaluación</w:t>
      </w:r>
      <w:r>
        <w:rPr>
          <w:spacing w:val="-1"/>
        </w:rPr>
        <w:t> </w:t>
      </w:r>
      <w:r>
        <w:rPr/>
        <w:t>deseable.</w:t>
      </w:r>
    </w:p>
    <w:p>
      <w:pPr>
        <w:pStyle w:val="BodyText"/>
        <w:spacing w:line="360" w:lineRule="auto" w:before="122"/>
        <w:ind w:left="268" w:right="231"/>
        <w:jc w:val="both"/>
      </w:pPr>
      <w:r>
        <w:rPr/>
        <w:t>Aspectos en materia de congruencia entre la vivienda autorizada los usos de suelo de la zona, la entrega y funcionamiento de la infraestructura que garantice el óptimo aprovechamiento y cuidado de los recursos hídricos, así como el tratamiento de aguas residuales y manejo de residuos sólidos, son elementos prioritarios para el impacto ambiental que un desarrollo habitacional debe cuidar.</w:t>
      </w:r>
    </w:p>
    <w:p>
      <w:pPr>
        <w:pStyle w:val="BodyText"/>
        <w:spacing w:line="360" w:lineRule="auto" w:before="122"/>
        <w:ind w:left="268" w:right="231"/>
        <w:jc w:val="both"/>
      </w:pPr>
      <w:r>
        <w:rPr/>
        <w:t>Otro indicador relevante en materia ambiental en el conjunto urbano estudiado son los metros cuadrados por habitante de área verde con los que cuenta puesto que según los estándares internacionales de la ONU y la OMS el desarrollo habitacional se encuentra por debajo de esta norma.</w:t>
      </w:r>
    </w:p>
    <w:p>
      <w:pPr>
        <w:pStyle w:val="BodyText"/>
        <w:spacing w:line="360" w:lineRule="auto" w:before="122"/>
        <w:ind w:left="268" w:right="231"/>
        <w:jc w:val="both"/>
      </w:pPr>
      <w:r>
        <w:rPr/>
        <w:t>Las áreas verdes autorizadas están parcialmente terminadas ya que el desarrollo habitacional aún no se concluye por lo que faltan áreas verdes por desarrollar.</w:t>
      </w:r>
    </w:p>
    <w:p>
      <w:pPr>
        <w:pStyle w:val="BodyText"/>
        <w:spacing w:line="360" w:lineRule="auto" w:before="122"/>
        <w:ind w:left="268" w:right="231"/>
        <w:jc w:val="both"/>
      </w:pPr>
      <w:r>
        <w:rPr/>
        <w:t>En la evaluación del índice de sustentabilidad económica, los resultados obtenidos demuestran que el proyecto habitacional se encuentra por debajo del resultado deseable que permita considerar que los subíndices obtenidos garanticen factores positivos en materia económica a los habitantes, como se puede observar en la tabla 25.</w:t>
      </w:r>
    </w:p>
    <w:p>
      <w:pPr>
        <w:pStyle w:val="BodyText"/>
        <w:spacing w:line="360" w:lineRule="auto" w:before="127"/>
        <w:ind w:left="268" w:right="231"/>
        <w:jc w:val="both"/>
      </w:pPr>
      <w:r>
        <w:rPr/>
        <w:t>El índice de sustentabilidad territorial permite complementar los tres índices anteriores y demostrar directamente el impacto territorial que el conjunto urbano tiene en el municipio en aspectos como usos de suelo, la congruencia entre éste</w:t>
      </w:r>
      <w:r>
        <w:rPr>
          <w:spacing w:val="65"/>
        </w:rPr>
        <w:t> </w:t>
      </w:r>
      <w:r>
        <w:rPr/>
        <w:t>y</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8608" from="93.199997pt,-19.614155pt" to="546.799997pt,-19.614155pt" stroked="true" strokeweight=".479981pt" strokecolor="#000000">
            <w10:wrap type="none"/>
          </v:line>
        </w:pict>
      </w:r>
      <w:r>
        <w:rPr/>
        <w:t>el desarrollo habitacional autorizado en la zona, los valores que expone la tabla 25 demuestran que este desarrollo tampoco es sustentable en este eje.</w:t>
      </w:r>
    </w:p>
    <w:p>
      <w:pPr>
        <w:pStyle w:val="BodyText"/>
        <w:spacing w:line="360" w:lineRule="auto" w:before="122"/>
        <w:ind w:left="268" w:right="231"/>
        <w:jc w:val="both"/>
      </w:pPr>
      <w:r>
        <w:rPr/>
        <w:t>Los indicadores para la obtención del índice de sustentabilidad que conforman el subíndice de integración al territorio reportan datos que demuestran la realidad del conjunto urbano y que sólo pueden ser confrontados con el trabajo de campo y  con el análisis y estudio de la zona.</w:t>
      </w:r>
    </w:p>
    <w:p>
      <w:pPr>
        <w:pStyle w:val="BodyText"/>
        <w:spacing w:line="360" w:lineRule="auto" w:before="122"/>
        <w:ind w:left="268" w:right="231"/>
        <w:jc w:val="both"/>
      </w:pPr>
      <w:r>
        <w:rPr/>
        <w:t>De igual modo los subíndices de infraestructura y municipalización representan los aspectos positivos y los contras que se pueden apreciar de manera física en el entorno y el desarrollo habitacional, la infraestructura desarrollada por la empresa inmobiliaria puede ser un beneficio para la zona siempre y cuando se encuentre concluida y construida con apego a las normas de construcción y calidad generalmente aceptadas.</w:t>
      </w:r>
    </w:p>
    <w:p>
      <w:pPr>
        <w:pStyle w:val="BodyText"/>
        <w:spacing w:line="360" w:lineRule="auto" w:before="122"/>
        <w:ind w:left="268" w:right="231"/>
        <w:jc w:val="both"/>
      </w:pPr>
      <w:r>
        <w:rPr/>
        <w:t>Con la obtención de los datos, el análisis y estudio de los indicadores que configuran los cuatro índices de sustentabilidad se puede contar con una evaluación integral del conjunto urbano y demostrar con datos la sustentabilidad  de éste, mediante la obtención del Índice de Sustentabilidad del Conjunto</w:t>
      </w:r>
      <w:r>
        <w:rPr>
          <w:spacing w:val="-8"/>
        </w:rPr>
        <w:t> </w:t>
      </w:r>
      <w:r>
        <w:rPr/>
        <w:t>Urbano.</w:t>
      </w:r>
    </w:p>
    <w:p>
      <w:pPr>
        <w:spacing w:before="131"/>
        <w:ind w:left="268" w:right="0" w:firstLine="0"/>
        <w:jc w:val="both"/>
        <w:rPr>
          <w:sz w:val="21"/>
        </w:rPr>
      </w:pPr>
      <w:r>
        <w:rPr>
          <w:w w:val="105"/>
          <w:sz w:val="21"/>
        </w:rPr>
        <w:t>Gráfica 4. Indicadores por índices de sustentabilidad.</w:t>
      </w:r>
    </w:p>
    <w:p>
      <w:pPr>
        <w:pStyle w:val="BodyText"/>
        <w:spacing w:before="3"/>
        <w:rPr>
          <w:sz w:val="10"/>
        </w:rPr>
      </w:pPr>
    </w:p>
    <w:p>
      <w:pPr>
        <w:spacing w:before="84"/>
        <w:ind w:left="3080" w:right="0" w:firstLine="0"/>
        <w:jc w:val="left"/>
        <w:rPr>
          <w:b/>
          <w:sz w:val="13"/>
        </w:rPr>
      </w:pPr>
      <w:r>
        <w:rPr>
          <w:b/>
          <w:color w:val="595959"/>
          <w:sz w:val="13"/>
        </w:rPr>
        <w:t>Indicadores por Índices de Sustentabilidad</w:t>
      </w:r>
    </w:p>
    <w:p>
      <w:pPr>
        <w:pStyle w:val="BodyText"/>
        <w:spacing w:before="5"/>
        <w:rPr>
          <w:b/>
          <w:sz w:val="11"/>
        </w:rPr>
      </w:pPr>
    </w:p>
    <w:p>
      <w:pPr>
        <w:tabs>
          <w:tab w:pos="564" w:val="left" w:leader="none"/>
          <w:tab w:pos="1287" w:val="left" w:leader="none"/>
          <w:tab w:pos="2057" w:val="left" w:leader="none"/>
        </w:tabs>
        <w:spacing w:before="1"/>
        <w:ind w:left="0" w:right="290" w:firstLine="0"/>
        <w:jc w:val="center"/>
        <w:rPr>
          <w:b/>
          <w:sz w:val="8"/>
        </w:rPr>
      </w:pPr>
      <w:r>
        <w:rPr/>
        <w:pict>
          <v:group style="position:absolute;margin-left:206.076477pt;margin-top:10.542211pt;width:201.85pt;height:202.4pt;mso-position-horizontal-relative:page;mso-position-vertical-relative:paragraph;z-index:8584;mso-wrap-distance-left:0;mso-wrap-distance-right:0" coordorigin="4122,211" coordsize="4037,4048">
            <v:shape style="position:absolute;left:5926;top:2046;width:409;height:409" type="#_x0000_t75" stroked="false">
              <v:imagedata r:id="rId136" o:title=""/>
            </v:shape>
            <v:shape style="position:absolute;left:4122;top:241;width:4014;height:4017" type="#_x0000_t75" stroked="false">
              <v:imagedata r:id="rId137" o:title=""/>
            </v:shape>
            <v:line style="position:absolute" from="7334,2246" to="8125,2376" stroked="true" strokeweight="1.046695pt" strokecolor="#1ac31a"/>
            <v:line style="position:absolute" from="8125,2376" to="8115,2497" stroked="true" strokeweight="1.046128pt" strokecolor="#1ac31a"/>
            <v:line style="position:absolute" from="8115,2497" to="6125,2246" stroked="true" strokeweight="1.046702pt" strokecolor="#1ac31a"/>
            <v:line style="position:absolute" from="6125,2246" to="8069,2749" stroked="true" strokeweight="1.046674pt" strokecolor="#1ac31a"/>
            <v:line style="position:absolute" from="8069,2749" to="6125,2246" stroked="true" strokeweight="1.046674pt" strokecolor="#1ac31a"/>
            <v:line style="position:absolute" from="6125,2246" to="7055,2618" stroked="true" strokeweight="1.04663pt" strokecolor="#1ac31a"/>
            <v:line style="position:absolute" from="7055,2618" to="6125,2246" stroked="true" strokeweight="1.04663pt" strokecolor="#1ac31a"/>
            <v:line style="position:absolute" from="6125,2246" to="6972,2786" stroked="true" strokeweight="1.046541pt" strokecolor="#1ac31a"/>
            <v:line style="position:absolute" from="6972,2786" to="6934,2842" stroked="true" strokeweight="1.046305pt" strokecolor="#1ac31a"/>
            <v:line style="position:absolute" from="6934,2842" to="6897,2888" stroked="true" strokeweight="1.046353pt" strokecolor="#1ac31a"/>
            <v:line style="position:absolute" from="6897,2888" to="7585,3623" stroked="true" strokeweight="1.046399pt" strokecolor="#1ac31a"/>
            <v:line style="position:absolute" from="7585,3623" to="6814,2981" stroked="true" strokeweight="1.046471pt" strokecolor="#1ac31a"/>
            <v:line style="position:absolute" from="6814,2981" to="6767,3018" stroked="true" strokeweight="1.046482pt" strokecolor="#1ac31a"/>
            <v:line style="position:absolute" from="6767,3018" to="6125,2246" stroked="true" strokeweight="1.046364pt" strokecolor="#1ac31a"/>
            <v:line style="position:absolute" from="6125,2246" to="7204,3940" stroked="true" strokeweight="1.046294pt" strokecolor="#1ac31a"/>
            <v:line style="position:absolute" from="7204,3940" to="6609,3130" stroked="true" strokeweight="1.046331pt" strokecolor="#1ac31a"/>
            <v:line style="position:absolute" from="6609,3130" to="6302,2609" stroked="true" strokeweight="1.046276pt" strokecolor="#1ac31a"/>
            <v:line style="position:absolute" from="6302,2609" to="6125,2246" stroked="true" strokeweight="1.046237pt" strokecolor="#1ac31a"/>
            <v:shape style="position:absolute;left:7303;top:2216;width:65;height:65" type="#_x0000_t75" stroked="false">
              <v:imagedata r:id="rId115" o:title=""/>
            </v:shape>
            <v:shape style="position:absolute;left:8084;top:2346;width:74;height:186" type="#_x0000_t75" stroked="false">
              <v:imagedata r:id="rId138" o:title=""/>
            </v:shape>
            <v:shape style="position:absolute;left:8038;top:2718;width:65;height:65" type="#_x0000_t75" stroked="false">
              <v:imagedata r:id="rId115" o:title=""/>
            </v:shape>
            <v:shape style="position:absolute;left:7024;top:2588;width:65;height:65" type="#_x0000_t75" stroked="false">
              <v:imagedata r:id="rId115" o:title=""/>
            </v:shape>
            <v:shape style="position:absolute;left:7554;top:3593;width:65;height:65" type="#_x0000_t75" stroked="false">
              <v:imagedata r:id="rId115" o:title=""/>
            </v:shape>
            <v:shape style="position:absolute;left:6736;top:2755;width:270;height:298" type="#_x0000_t75" stroked="false">
              <v:imagedata r:id="rId139" o:title=""/>
            </v:shape>
            <v:shape style="position:absolute;left:7173;top:3909;width:65;height:65" type="#_x0000_t75" stroked="false">
              <v:imagedata r:id="rId115" o:title=""/>
            </v:shape>
            <v:shape style="position:absolute;left:6578;top:3100;width:65;height:65" type="#_x0000_t75" stroked="false">
              <v:imagedata r:id="rId115" o:title=""/>
            </v:shape>
            <v:shape style="position:absolute;left:6271;top:2579;width:65;height:65" type="#_x0000_t75" stroked="false">
              <v:imagedata r:id="rId115" o:title=""/>
            </v:shape>
            <v:shape style="position:absolute;left:6094;top:2216;width:65;height:65" type="#_x0000_t75" stroked="false">
              <v:imagedata r:id="rId140" o:title=""/>
            </v:shape>
            <v:line style="position:absolute" from="6125,2246" to="5056,3940" stroked="true" strokeweight="1.046292pt" strokecolor="#ffca00"/>
            <v:line style="position:absolute" from="5056,3940" to="5065,3707" stroked="true" strokeweight="1.046126pt" strokecolor="#ffca00"/>
            <v:line style="position:absolute" from="5065,3707" to="5363,3177" stroked="true" strokeweight="1.046265pt" strokecolor="#ffca00"/>
            <v:line style="position:absolute" from="5363,3177" to="5168,3270" stroked="true" strokeweight="1.046602pt" strokecolor="#ffca00"/>
            <v:line style="position:absolute" from="5168,3270" to="6125,2246" stroked="true" strokeweight="1.046399pt" strokecolor="#ffca00"/>
            <v:line style="position:absolute" from="6125,2246" to="4991,3074" stroked="true" strokeweight="1.046507pt" strokecolor="#ffca00"/>
            <v:line style="position:absolute" from="4991,3074" to="5791,2460" stroked="true" strokeweight="1.046494pt" strokecolor="#ffca00"/>
            <v:line style="position:absolute" from="5791,2460" to="5075,2832" stroked="true" strokeweight="1.046586pt" strokecolor="#ffca00"/>
            <v:shape style="position:absolute;left:5025;top:3909;width:65;height:65" type="#_x0000_t75" stroked="false">
              <v:imagedata r:id="rId119" o:title=""/>
            </v:shape>
            <v:shape style="position:absolute;left:5034;top:3676;width:65;height:65" type="#_x0000_t75" stroked="false">
              <v:imagedata r:id="rId119" o:title=""/>
            </v:shape>
            <v:shape style="position:absolute;left:5332;top:3146;width:65;height:65" type="#_x0000_t75" stroked="false">
              <v:imagedata r:id="rId119" o:title=""/>
            </v:shape>
            <v:shape style="position:absolute;left:5136;top:3239;width:65;height:65" type="#_x0000_t75" stroked="false">
              <v:imagedata r:id="rId119" o:title=""/>
            </v:shape>
            <v:shape style="position:absolute;left:6094;top:2216;width:65;height:65" type="#_x0000_t75" stroked="false">
              <v:imagedata r:id="rId141" o:title=""/>
            </v:shape>
            <v:shape style="position:absolute;left:4960;top:3044;width:65;height:65" type="#_x0000_t75" stroked="false">
              <v:imagedata r:id="rId119" o:title=""/>
            </v:shape>
            <v:shape style="position:absolute;left:5759;top:2430;width:65;height:65" type="#_x0000_t75" stroked="false">
              <v:imagedata r:id="rId119" o:title=""/>
            </v:shape>
            <v:shape style="position:absolute;left:5043;top:2802;width:65;height:65" type="#_x0000_t75" stroked="false">
              <v:imagedata r:id="rId119" o:title=""/>
            </v:shape>
            <v:line style="position:absolute" from="5158,1995" to="5177,1939" stroked="true" strokeweight="1.046184pt" strokecolor="#927200"/>
            <v:line style="position:absolute" from="5177,1939" to="4266,1511" stroked="true" strokeweight="1.046605pt" strokecolor="#927200"/>
            <v:line style="position:absolute" from="4266,1511" to="5223,1818" stroked="true" strokeweight="1.046656pt" strokecolor="#927200"/>
            <v:line style="position:absolute" from="5223,1818" to="5251,1762" stroked="true" strokeweight="1.046242pt" strokecolor="#927200"/>
            <v:line style="position:absolute" from="5251,1762" to="6125,2246" stroked="true" strokeweight="1.046573pt" strokecolor="#927200"/>
            <v:line style="position:absolute" from="6125,2246" to="5726,1958" stroked="true" strokeweight="1.04651pt" strokecolor="#927200"/>
            <v:line style="position:absolute" from="5726,1958" to="4582,972" stroked="true" strokeweight="1.046461pt" strokecolor="#927200"/>
            <v:line style="position:absolute" from="4582,972" to="5763,1902" stroked="true" strokeweight="1.046486pt" strokecolor="#927200"/>
            <v:line style="position:absolute" from="5763,1902" to="5223,1288" stroked="true" strokeweight="1.046380pt" strokecolor="#927200"/>
            <v:line style="position:absolute" from="5223,1288" to="5363,1325" stroked="true" strokeweight="1.046672pt" strokecolor="#927200"/>
            <v:line style="position:absolute" from="5363,1325" to="5893,1921" stroked="true" strokeweight="1.046384pt" strokecolor="#927200"/>
            <v:line style="position:absolute" from="5893,1921" to="5698,1567" stroked="true" strokeweight="1.046262pt" strokecolor="#927200"/>
            <v:line style="position:absolute" from="5698,1567" to="5642,1372" stroked="true" strokeweight="1.046169pt" strokecolor="#927200"/>
            <v:line style="position:absolute" from="5642,1372" to="6125,2246" stroked="true" strokeweight="1.046262pt" strokecolor="#927200"/>
            <v:line style="position:absolute" from="6125,2246" to="5819,1297" stroked="true" strokeweight="1.046180pt" strokecolor="#927200"/>
            <v:shape style="position:absolute;left:4234;top:1481;width:65;height:65" type="#_x0000_t75" stroked="false">
              <v:imagedata r:id="rId122" o:title=""/>
            </v:shape>
            <v:shape style="position:absolute;left:5127;top:1732;width:158;height:298" type="#_x0000_t75" stroked="false">
              <v:imagedata r:id="rId142" o:title=""/>
            </v:shape>
            <v:shape style="position:absolute;left:4550;top:941;width:65;height:65" type="#_x0000_t75" stroked="false">
              <v:imagedata r:id="rId122" o:title=""/>
            </v:shape>
            <v:shape style="position:absolute;left:5694;top:1871;width:102;height:121" type="#_x0000_t75" stroked="false">
              <v:imagedata r:id="rId143" o:title=""/>
            </v:shape>
            <v:shape style="position:absolute;left:5192;top:1257;width:65;height:65" type="#_x0000_t75" stroked="false">
              <v:imagedata r:id="rId122" o:title=""/>
            </v:shape>
            <v:shape style="position:absolute;left:5332;top:1295;width:65;height:65" type="#_x0000_t75" stroked="false">
              <v:imagedata r:id="rId122" o:title=""/>
            </v:shape>
            <v:shape style="position:absolute;left:5862;top:1890;width:65;height:65" type="#_x0000_t75" stroked="false">
              <v:imagedata r:id="rId122" o:title=""/>
            </v:shape>
            <v:shape style="position:absolute;left:5666;top:1537;width:65;height:65" type="#_x0000_t75" stroked="false">
              <v:imagedata r:id="rId122" o:title=""/>
            </v:shape>
            <v:shape style="position:absolute;left:5611;top:1341;width:65;height:65" type="#_x0000_t75" stroked="false">
              <v:imagedata r:id="rId122" o:title=""/>
            </v:shape>
            <v:shape style="position:absolute;left:6094;top:2216;width:65;height:65" type="#_x0000_t75" stroked="false">
              <v:imagedata r:id="rId144" o:title=""/>
            </v:shape>
            <v:shape style="position:absolute;left:5787;top:1267;width:65;height:65" type="#_x0000_t75" stroked="false">
              <v:imagedata r:id="rId122" o:title=""/>
            </v:shape>
            <v:shape style="position:absolute;left:5943;top:211;width:112;height:2089" type="#_x0000_t202" filled="false" stroked="false">
              <v:textbox inset="0,0,0,0">
                <w:txbxContent>
                  <w:p>
                    <w:pPr>
                      <w:spacing w:line="87" w:lineRule="exact" w:before="0"/>
                      <w:ind w:left="69" w:right="0" w:firstLine="0"/>
                      <w:jc w:val="left"/>
                      <w:rPr>
                        <w:rFonts w:ascii="Calibri"/>
                        <w:sz w:val="8"/>
                      </w:rPr>
                    </w:pPr>
                    <w:r>
                      <w:rPr>
                        <w:rFonts w:ascii="Calibri"/>
                        <w:color w:val="595959"/>
                        <w:w w:val="104"/>
                        <w:sz w:val="8"/>
                      </w:rPr>
                      <w:t>1</w:t>
                    </w:r>
                  </w:p>
                  <w:p>
                    <w:pPr>
                      <w:spacing w:line="240" w:lineRule="auto" w:before="10"/>
                      <w:rPr>
                        <w:b/>
                        <w:sz w:val="8"/>
                      </w:rPr>
                    </w:pPr>
                  </w:p>
                  <w:p>
                    <w:pPr>
                      <w:spacing w:before="1"/>
                      <w:ind w:left="5" w:right="-20" w:firstLine="0"/>
                      <w:jc w:val="left"/>
                      <w:rPr>
                        <w:rFonts w:ascii="Calibri"/>
                        <w:sz w:val="8"/>
                      </w:rPr>
                    </w:pPr>
                    <w:r>
                      <w:rPr>
                        <w:rFonts w:ascii="Calibri"/>
                        <w:color w:val="595959"/>
                        <w:w w:val="105"/>
                        <w:sz w:val="8"/>
                      </w:rPr>
                      <w:t>0.9</w:t>
                    </w:r>
                  </w:p>
                  <w:p>
                    <w:pPr>
                      <w:spacing w:line="240" w:lineRule="auto" w:before="10"/>
                      <w:rPr>
                        <w:b/>
                        <w:sz w:val="8"/>
                      </w:rPr>
                    </w:pPr>
                  </w:p>
                  <w:p>
                    <w:pPr>
                      <w:spacing w:before="1"/>
                      <w:ind w:left="5" w:right="-20" w:firstLine="0"/>
                      <w:jc w:val="left"/>
                      <w:rPr>
                        <w:rFonts w:ascii="Calibri"/>
                        <w:sz w:val="8"/>
                      </w:rPr>
                    </w:pPr>
                    <w:r>
                      <w:rPr>
                        <w:rFonts w:ascii="Calibri"/>
                        <w:color w:val="595959"/>
                        <w:w w:val="105"/>
                        <w:sz w:val="8"/>
                      </w:rPr>
                      <w:t>0.8</w:t>
                    </w:r>
                  </w:p>
                  <w:p>
                    <w:pPr>
                      <w:spacing w:line="240" w:lineRule="auto" w:before="10"/>
                      <w:rPr>
                        <w:b/>
                        <w:sz w:val="8"/>
                      </w:rPr>
                    </w:pPr>
                  </w:p>
                  <w:p>
                    <w:pPr>
                      <w:spacing w:before="1"/>
                      <w:ind w:left="5" w:right="-20" w:firstLine="0"/>
                      <w:jc w:val="left"/>
                      <w:rPr>
                        <w:rFonts w:ascii="Calibri"/>
                        <w:sz w:val="8"/>
                      </w:rPr>
                    </w:pPr>
                    <w:r>
                      <w:rPr>
                        <w:rFonts w:ascii="Calibri"/>
                        <w:color w:val="595959"/>
                        <w:w w:val="105"/>
                        <w:sz w:val="8"/>
                      </w:rPr>
                      <w:t>0.7</w:t>
                    </w:r>
                  </w:p>
                  <w:p>
                    <w:pPr>
                      <w:spacing w:line="240" w:lineRule="auto" w:before="10"/>
                      <w:rPr>
                        <w:b/>
                        <w:sz w:val="8"/>
                      </w:rPr>
                    </w:pPr>
                  </w:p>
                  <w:p>
                    <w:pPr>
                      <w:spacing w:before="1"/>
                      <w:ind w:left="5" w:right="-20" w:firstLine="0"/>
                      <w:jc w:val="left"/>
                      <w:rPr>
                        <w:rFonts w:ascii="Calibri"/>
                        <w:sz w:val="8"/>
                      </w:rPr>
                    </w:pPr>
                    <w:r>
                      <w:rPr>
                        <w:rFonts w:ascii="Calibri"/>
                        <w:color w:val="595959"/>
                        <w:w w:val="105"/>
                        <w:sz w:val="8"/>
                      </w:rPr>
                      <w:t>0.6</w:t>
                    </w:r>
                  </w:p>
                  <w:p>
                    <w:pPr>
                      <w:spacing w:line="240" w:lineRule="auto" w:before="10"/>
                      <w:rPr>
                        <w:b/>
                        <w:sz w:val="8"/>
                      </w:rPr>
                    </w:pPr>
                  </w:p>
                  <w:p>
                    <w:pPr>
                      <w:spacing w:before="1"/>
                      <w:ind w:left="5" w:right="-20" w:firstLine="0"/>
                      <w:jc w:val="left"/>
                      <w:rPr>
                        <w:rFonts w:ascii="Calibri"/>
                        <w:sz w:val="8"/>
                      </w:rPr>
                    </w:pPr>
                    <w:r>
                      <w:rPr>
                        <w:rFonts w:ascii="Calibri"/>
                        <w:color w:val="595959"/>
                        <w:w w:val="105"/>
                        <w:sz w:val="8"/>
                      </w:rPr>
                      <w:t>0.5</w:t>
                    </w:r>
                  </w:p>
                  <w:p>
                    <w:pPr>
                      <w:spacing w:line="240" w:lineRule="auto" w:before="10"/>
                      <w:rPr>
                        <w:b/>
                        <w:sz w:val="8"/>
                      </w:rPr>
                    </w:pPr>
                  </w:p>
                  <w:p>
                    <w:pPr>
                      <w:spacing w:before="1"/>
                      <w:ind w:left="0" w:right="-15" w:firstLine="0"/>
                      <w:jc w:val="left"/>
                      <w:rPr>
                        <w:rFonts w:ascii="Calibri"/>
                        <w:sz w:val="8"/>
                      </w:rPr>
                    </w:pPr>
                    <w:r>
                      <w:rPr>
                        <w:rFonts w:ascii="Calibri"/>
                        <w:color w:val="595959"/>
                        <w:w w:val="105"/>
                        <w:sz w:val="8"/>
                      </w:rPr>
                      <w:t>0.4</w:t>
                    </w:r>
                  </w:p>
                  <w:p>
                    <w:pPr>
                      <w:spacing w:line="240" w:lineRule="auto" w:before="10"/>
                      <w:rPr>
                        <w:b/>
                        <w:sz w:val="8"/>
                      </w:rPr>
                    </w:pPr>
                  </w:p>
                  <w:p>
                    <w:pPr>
                      <w:spacing w:before="1"/>
                      <w:ind w:left="5" w:right="-20" w:firstLine="0"/>
                      <w:jc w:val="left"/>
                      <w:rPr>
                        <w:rFonts w:ascii="Calibri"/>
                        <w:sz w:val="8"/>
                      </w:rPr>
                    </w:pPr>
                    <w:r>
                      <w:rPr>
                        <w:rFonts w:ascii="Calibri"/>
                        <w:color w:val="595959"/>
                        <w:w w:val="105"/>
                        <w:sz w:val="8"/>
                      </w:rPr>
                      <w:t>0.3</w:t>
                    </w:r>
                  </w:p>
                  <w:p>
                    <w:pPr>
                      <w:spacing w:line="240" w:lineRule="auto" w:before="10"/>
                      <w:rPr>
                        <w:b/>
                        <w:sz w:val="8"/>
                      </w:rPr>
                    </w:pPr>
                  </w:p>
                  <w:p>
                    <w:pPr>
                      <w:spacing w:before="1"/>
                      <w:ind w:left="0" w:right="-15" w:firstLine="0"/>
                      <w:jc w:val="left"/>
                      <w:rPr>
                        <w:rFonts w:ascii="Calibri"/>
                        <w:sz w:val="8"/>
                      </w:rPr>
                    </w:pPr>
                    <w:r>
                      <w:rPr>
                        <w:rFonts w:ascii="Calibri"/>
                        <w:color w:val="595959"/>
                        <w:w w:val="105"/>
                        <w:sz w:val="8"/>
                      </w:rPr>
                      <w:t>0.2</w:t>
                    </w:r>
                  </w:p>
                  <w:p>
                    <w:pPr>
                      <w:spacing w:line="240" w:lineRule="auto" w:before="10"/>
                      <w:rPr>
                        <w:b/>
                        <w:sz w:val="8"/>
                      </w:rPr>
                    </w:pPr>
                  </w:p>
                  <w:p>
                    <w:pPr>
                      <w:spacing w:before="1"/>
                      <w:ind w:left="5" w:right="-20" w:firstLine="0"/>
                      <w:jc w:val="left"/>
                      <w:rPr>
                        <w:rFonts w:ascii="Calibri"/>
                        <w:sz w:val="8"/>
                      </w:rPr>
                    </w:pPr>
                    <w:r>
                      <w:rPr>
                        <w:rFonts w:ascii="Calibri"/>
                        <w:color w:val="595959"/>
                        <w:w w:val="105"/>
                        <w:sz w:val="8"/>
                      </w:rPr>
                      <w:t>0.1</w:t>
                    </w:r>
                  </w:p>
                  <w:p>
                    <w:pPr>
                      <w:spacing w:line="240" w:lineRule="auto" w:before="10"/>
                      <w:rPr>
                        <w:b/>
                        <w:sz w:val="8"/>
                      </w:rPr>
                    </w:pPr>
                  </w:p>
                  <w:p>
                    <w:pPr>
                      <w:spacing w:line="95" w:lineRule="exact" w:before="1"/>
                      <w:ind w:left="65" w:right="0" w:firstLine="0"/>
                      <w:jc w:val="left"/>
                      <w:rPr>
                        <w:rFonts w:ascii="Calibri"/>
                        <w:sz w:val="8"/>
                      </w:rPr>
                    </w:pPr>
                    <w:r>
                      <w:rPr>
                        <w:rFonts w:ascii="Calibri"/>
                        <w:color w:val="595959"/>
                        <w:w w:val="104"/>
                        <w:sz w:val="8"/>
                      </w:rPr>
                      <w:t>0</w:t>
                    </w:r>
                  </w:p>
                </w:txbxContent>
              </v:textbox>
              <w10:wrap type="none"/>
            </v:shape>
            <w10:wrap type="topAndBottom"/>
          </v:group>
        </w:pict>
      </w:r>
      <w:r>
        <w:rPr/>
        <w:pict>
          <v:group style="position:absolute;margin-left:240.809006pt;margin-top:.643949pt;width:10pt;height:2.85pt;mso-position-horizontal-relative:page;mso-position-vertical-relative:paragraph;z-index:8632" coordorigin="4816,13" coordsize="200,57">
            <v:line style="position:absolute" from="4827,39" to="5005,39" stroked="true" strokeweight="1.046711pt" strokecolor="#8448b0"/>
            <v:shape style="position:absolute;left:4889;top:18;width:47;height:47" coordorigin="4889,18" coordsize="47,47" path="m4925,18l4899,18,4889,28,4889,54,4899,64,4925,64,4935,54,4935,28,4925,18xe" filled="true" fillcolor="#6cacdd" stroked="false">
              <v:path arrowok="t"/>
              <v:fill type="solid"/>
            </v:shape>
            <v:shape style="position:absolute;left:4889;top:18;width:47;height:47" coordorigin="4889,18" coordsize="47,47" path="m4935,41l4935,54,4925,64,4912,64,4899,64,4889,54,4889,41,4889,28,4899,18,4912,18,4925,18,4935,28,4935,41xe" filled="false" stroked="true" strokeweight=".465075pt" strokecolor="#ff2600">
              <v:path arrowok="t"/>
            </v:shape>
            <w10:wrap type="none"/>
          </v:group>
        </w:pict>
      </w:r>
      <w:r>
        <w:rPr/>
        <w:pict>
          <v:group style="position:absolute;margin-left:269.053009pt;margin-top:.643949pt;width:10pt;height:2.85pt;mso-position-horizontal-relative:page;mso-position-vertical-relative:paragraph;z-index:-1149376" coordorigin="5381,13" coordsize="200,57">
            <v:line style="position:absolute" from="5392,39" to="5570,39" stroked="true" strokeweight="1.046711pt" strokecolor="#1ac31a"/>
            <v:shape style="position:absolute;left:5456;top:18;width:47;height:47" coordorigin="5456,18" coordsize="47,47" path="m5492,18l5466,18,5456,28,5456,54,5466,64,5492,64,5502,54,5502,28,5492,18xe" filled="true" fillcolor="#f2913f" stroked="false">
              <v:path arrowok="t"/>
              <v:fill type="solid"/>
            </v:shape>
            <v:shape style="position:absolute;left:5456;top:18;width:47;height:47" coordorigin="5456,18" coordsize="47,47" path="m5502,41l5502,54,5492,64,5479,64,5466,64,5456,54,5456,41,5456,28,5466,18,5479,18,5492,18,5502,28,5502,41xe" filled="false" stroked="true" strokeweight=".465075pt" strokecolor="#ff2600">
              <v:path arrowok="t"/>
            </v:shape>
            <w10:wrap type="none"/>
          </v:group>
        </w:pict>
      </w:r>
      <w:r>
        <w:rPr/>
        <w:pict>
          <v:group style="position:absolute;margin-left:305.197998pt;margin-top:.643949pt;width:10pt;height:2.85pt;mso-position-horizontal-relative:page;mso-position-vertical-relative:paragraph;z-index:-1149352" coordorigin="6104,13" coordsize="200,57">
            <v:line style="position:absolute" from="6114,39" to="6293,39" stroked="true" strokeweight="1.046711pt" strokecolor="#ffca00"/>
            <v:shape style="position:absolute;left:6180;top:18;width:47;height:47" coordorigin="6180,18" coordsize="47,47" path="m6217,18l6191,18,6180,28,6180,54,6191,64,6217,64,6227,54,6227,28,6217,18xe" filled="true" fillcolor="#b4b4b4" stroked="false">
              <v:path arrowok="t"/>
              <v:fill type="solid"/>
            </v:shape>
            <v:shape style="position:absolute;left:6180;top:18;width:47;height:47" coordorigin="6180,18" coordsize="47,47" path="m6227,41l6227,54,6217,64,6204,64,6191,64,6180,54,6180,41,6180,28,6191,18,6204,18,6217,18,6227,28,6227,41xe" filled="false" stroked="true" strokeweight=".465075pt" strokecolor="#ff2600">
              <v:path arrowok="t"/>
            </v:shape>
            <w10:wrap type="none"/>
          </v:group>
        </w:pict>
      </w:r>
      <w:r>
        <w:rPr/>
        <w:pict>
          <v:group style="position:absolute;margin-left:343.669006pt;margin-top:.643949pt;width:10pt;height:2.85pt;mso-position-horizontal-relative:page;mso-position-vertical-relative:paragraph;z-index:-1149328" coordorigin="6873,13" coordsize="200,57">
            <v:line style="position:absolute" from="6884,39" to="7062,39" stroked="true" strokeweight="1.046711pt" strokecolor="#927200"/>
            <v:shape style="position:absolute;left:6950;top:18;width:47;height:47" coordorigin="6950,18" coordsize="47,47" path="m6986,18l6960,18,6950,28,6950,54,6960,64,6986,64,6996,54,6996,28,6986,18xe" filled="true" fillcolor="#ffca00" stroked="false">
              <v:path arrowok="t"/>
              <v:fill type="solid"/>
            </v:shape>
            <v:shape style="position:absolute;left:6950;top:18;width:47;height:47" coordorigin="6950,18" coordsize="47,47" path="m6996,41l6996,54,6986,64,6973,64,6960,64,6950,54,6950,41,6950,28,6960,18,6973,18,6986,18,6996,28,6996,41xe" filled="false" stroked="true" strokeweight=".465075pt" strokecolor="#ff2600">
              <v:path arrowok="t"/>
            </v:shape>
            <w10:wrap type="none"/>
          </v:group>
        </w:pict>
      </w:r>
      <w:r>
        <w:rPr>
          <w:b/>
          <w:color w:val="595959"/>
          <w:w w:val="105"/>
          <w:sz w:val="8"/>
        </w:rPr>
        <w:t>Social</w:t>
        <w:tab/>
        <w:t>Ambiental</w:t>
        <w:tab/>
        <w:t>Económico</w:t>
        <w:tab/>
        <w:t>Territorial</w:t>
      </w:r>
    </w:p>
    <w:p>
      <w:pPr>
        <w:spacing w:before="66"/>
        <w:ind w:left="268" w:right="0" w:firstLine="0"/>
        <w:jc w:val="left"/>
        <w:rPr>
          <w:sz w:val="21"/>
        </w:rPr>
      </w:pP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spacing w:before="1"/>
        <w:rPr>
          <w:sz w:val="18"/>
        </w:rPr>
      </w:pPr>
    </w:p>
    <w:p>
      <w:pPr>
        <w:pStyle w:val="BodyText"/>
        <w:spacing w:before="69"/>
        <w:ind w:left="268"/>
        <w:jc w:val="both"/>
      </w:pPr>
      <w:r>
        <w:rPr/>
        <w:pict>
          <v:line style="position:absolute;mso-position-horizontal-relative:page;mso-position-vertical-relative:paragraph;z-index:8728" from="93.199997pt,-19.614155pt" to="546.799997pt,-19.614155pt" stroked="true" strokeweight=".479981pt" strokecolor="#000000">
            <w10:wrap type="none"/>
          </v:line>
        </w:pict>
      </w:r>
      <w:r>
        <w:rPr/>
        <w:pict>
          <v:rect style="position:absolute;margin-left:292.329987pt;margin-top:87.483833pt;width:66pt;height:15.977pt;mso-position-horizontal-relative:page;mso-position-vertical-relative:paragraph;z-index:-1149280" filled="true" fillcolor="#f79646" stroked="false">
            <v:fill type="solid"/>
            <w10:wrap type="none"/>
          </v:rect>
        </w:pict>
      </w:r>
      <w:r>
        <w:rPr/>
        <w:pict>
          <v:rect style="position:absolute;margin-left:292.329987pt;margin-top:117.440834pt;width:66pt;height:15.977pt;mso-position-horizontal-relative:page;mso-position-vertical-relative:paragraph;z-index:-1149256" filled="true" fillcolor="#f79646" stroked="false">
            <v:fill type="solid"/>
            <w10:wrap type="none"/>
          </v:rect>
        </w:pict>
      </w:r>
      <w:r>
        <w:rPr/>
        <w:t>Tabla 25. Resultado de índices de sustentabilidad San Andrés.</w:t>
      </w:r>
    </w:p>
    <w:p>
      <w:pPr>
        <w:pStyle w:val="BodyText"/>
      </w:pPr>
    </w:p>
    <w:tbl>
      <w:tblPr>
        <w:tblW w:w="0" w:type="auto"/>
        <w:jc w:val="left"/>
        <w:tblInd w:w="152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90"/>
        <w:gridCol w:w="1310"/>
        <w:gridCol w:w="1290"/>
      </w:tblGrid>
      <w:tr>
        <w:trPr>
          <w:trHeight w:val="849" w:hRule="exact"/>
        </w:trPr>
        <w:tc>
          <w:tcPr>
            <w:tcW w:w="6490" w:type="dxa"/>
            <w:gridSpan w:val="3"/>
            <w:shd w:val="clear" w:color="auto" w:fill="000000"/>
          </w:tcPr>
          <w:p>
            <w:pPr>
              <w:pStyle w:val="TableParagraph"/>
              <w:spacing w:before="111"/>
              <w:ind w:left="1122" w:right="1099"/>
              <w:rPr>
                <w:rFonts w:ascii="Calibri" w:hAnsi="Calibri"/>
                <w:sz w:val="24"/>
              </w:rPr>
            </w:pPr>
            <w:r>
              <w:rPr>
                <w:rFonts w:ascii="Calibri" w:hAnsi="Calibri"/>
                <w:color w:val="FFFFFF"/>
                <w:sz w:val="24"/>
              </w:rPr>
              <w:t>San Andrés</w:t>
            </w:r>
          </w:p>
          <w:p>
            <w:pPr>
              <w:pStyle w:val="TableParagraph"/>
              <w:spacing w:before="6"/>
              <w:ind w:left="1164" w:right="1099"/>
              <w:rPr>
                <w:rFonts w:ascii="Calibri" w:hAnsi="Calibri"/>
                <w:sz w:val="24"/>
              </w:rPr>
            </w:pPr>
            <w:r>
              <w:rPr>
                <w:rFonts w:ascii="Calibri" w:hAnsi="Calibri"/>
                <w:color w:val="FFFFFF"/>
                <w:sz w:val="24"/>
              </w:rPr>
              <w:t>Resultado de los Índices de sustentabilidad</w:t>
            </w:r>
          </w:p>
        </w:tc>
      </w:tr>
      <w:tr>
        <w:trPr>
          <w:trHeight w:val="280" w:hRule="exact"/>
        </w:trPr>
        <w:tc>
          <w:tcPr>
            <w:tcW w:w="6490" w:type="dxa"/>
            <w:gridSpan w:val="3"/>
            <w:tcBorders>
              <w:left w:val="single" w:sz="8" w:space="0" w:color="000000"/>
              <w:right w:val="single" w:sz="16" w:space="0" w:color="000000"/>
            </w:tcBorders>
          </w:tcPr>
          <w:p>
            <w:pPr>
              <w:pStyle w:val="TableParagraph"/>
              <w:tabs>
                <w:tab w:pos="4099" w:val="left" w:leader="none"/>
                <w:tab w:pos="5479" w:val="left" w:leader="none"/>
              </w:tabs>
              <w:spacing w:line="274" w:lineRule="exact"/>
              <w:ind w:left="3040"/>
              <w:jc w:val="left"/>
              <w:rPr>
                <w:rFonts w:ascii="Calibri" w:hAnsi="Calibri"/>
                <w:sz w:val="24"/>
              </w:rPr>
            </w:pPr>
            <w:r>
              <w:rPr>
                <w:rFonts w:ascii="Calibri" w:hAnsi="Calibri"/>
                <w:sz w:val="24"/>
              </w:rPr>
              <w:t>Real</w:t>
              <w:tab/>
              <w:t>Deseable</w:t>
              <w:tab/>
              <w:t>Óptimo</w:t>
            </w:r>
          </w:p>
        </w:tc>
      </w:tr>
      <w:tr>
        <w:trPr>
          <w:trHeight w:val="320" w:hRule="exact"/>
        </w:trPr>
        <w:tc>
          <w:tcPr>
            <w:tcW w:w="3890" w:type="dxa"/>
            <w:tcBorders>
              <w:left w:val="single" w:sz="8" w:space="0" w:color="000000"/>
            </w:tcBorders>
          </w:tcPr>
          <w:p>
            <w:pPr>
              <w:pStyle w:val="TableParagraph"/>
              <w:tabs>
                <w:tab w:pos="3445" w:val="right" w:leader="none"/>
              </w:tabs>
              <w:spacing w:before="1"/>
              <w:ind w:left="40"/>
              <w:jc w:val="left"/>
              <w:rPr>
                <w:rFonts w:ascii="Calibri" w:hAnsi="Calibri"/>
                <w:sz w:val="24"/>
              </w:rPr>
            </w:pPr>
            <w:r>
              <w:rPr>
                <w:rFonts w:ascii="Calibri" w:hAnsi="Calibri"/>
                <w:sz w:val="24"/>
              </w:rPr>
              <w:t>Índice Social</w:t>
            </w:r>
            <w:r>
              <w:rPr>
                <w:rFonts w:ascii="Times New Roman" w:hAnsi="Times New Roman"/>
                <w:sz w:val="24"/>
              </w:rPr>
              <w:tab/>
            </w:r>
            <w:r>
              <w:rPr>
                <w:rFonts w:ascii="Calibri" w:hAnsi="Calibri"/>
                <w:sz w:val="24"/>
              </w:rPr>
              <w:t>12.8</w:t>
            </w:r>
          </w:p>
        </w:tc>
        <w:tc>
          <w:tcPr>
            <w:tcW w:w="1310" w:type="dxa"/>
            <w:tcBorders>
              <w:right w:val="single" w:sz="8" w:space="0" w:color="FFFFFF"/>
            </w:tcBorders>
            <w:shd w:val="clear" w:color="auto" w:fill="FFFF00"/>
          </w:tcPr>
          <w:p>
            <w:pPr>
              <w:pStyle w:val="TableParagraph"/>
              <w:spacing w:before="1"/>
              <w:ind w:left="357" w:right="352"/>
              <w:rPr>
                <w:rFonts w:ascii="Calibri"/>
                <w:sz w:val="24"/>
              </w:rPr>
            </w:pPr>
            <w:r>
              <w:rPr>
                <w:rFonts w:ascii="Calibri"/>
                <w:sz w:val="24"/>
              </w:rPr>
              <w:t>11.4</w:t>
            </w:r>
          </w:p>
        </w:tc>
        <w:tc>
          <w:tcPr>
            <w:tcW w:w="1290" w:type="dxa"/>
            <w:tcBorders>
              <w:left w:val="single" w:sz="8" w:space="0" w:color="FFFFFF"/>
              <w:right w:val="single" w:sz="16" w:space="0" w:color="000000"/>
            </w:tcBorders>
            <w:shd w:val="clear" w:color="auto" w:fill="67ED4D"/>
          </w:tcPr>
          <w:p>
            <w:pPr>
              <w:pStyle w:val="TableParagraph"/>
              <w:spacing w:before="1"/>
              <w:ind w:left="520"/>
              <w:jc w:val="left"/>
              <w:rPr>
                <w:rFonts w:ascii="Calibri"/>
                <w:sz w:val="24"/>
              </w:rPr>
            </w:pPr>
            <w:r>
              <w:rPr>
                <w:rFonts w:ascii="Calibri"/>
                <w:sz w:val="24"/>
              </w:rPr>
              <w:t>15</w:t>
            </w:r>
          </w:p>
        </w:tc>
      </w:tr>
      <w:tr>
        <w:trPr>
          <w:trHeight w:val="280" w:hRule="exact"/>
        </w:trPr>
        <w:tc>
          <w:tcPr>
            <w:tcW w:w="6490" w:type="dxa"/>
            <w:gridSpan w:val="3"/>
            <w:tcBorders>
              <w:left w:val="single" w:sz="8" w:space="0" w:color="000000"/>
              <w:right w:val="single" w:sz="16" w:space="0" w:color="000000"/>
            </w:tcBorders>
          </w:tcPr>
          <w:p>
            <w:pPr/>
          </w:p>
        </w:tc>
      </w:tr>
      <w:tr>
        <w:trPr>
          <w:trHeight w:val="320" w:hRule="exact"/>
        </w:trPr>
        <w:tc>
          <w:tcPr>
            <w:tcW w:w="3890" w:type="dxa"/>
            <w:tcBorders>
              <w:left w:val="single" w:sz="8" w:space="0" w:color="000000"/>
            </w:tcBorders>
          </w:tcPr>
          <w:p>
            <w:pPr>
              <w:pStyle w:val="TableParagraph"/>
              <w:tabs>
                <w:tab w:pos="3383" w:val="right" w:leader="none"/>
              </w:tabs>
              <w:spacing w:before="1"/>
              <w:ind w:left="40"/>
              <w:jc w:val="left"/>
              <w:rPr>
                <w:rFonts w:ascii="Calibri" w:hAnsi="Calibri"/>
                <w:sz w:val="24"/>
              </w:rPr>
            </w:pPr>
            <w:r>
              <w:rPr>
                <w:rFonts w:ascii="Calibri" w:hAnsi="Calibri"/>
                <w:sz w:val="24"/>
              </w:rPr>
              <w:t>Índice Ambiental</w:t>
            </w:r>
            <w:r>
              <w:rPr>
                <w:rFonts w:ascii="Times New Roman" w:hAnsi="Times New Roman"/>
                <w:sz w:val="24"/>
              </w:rPr>
              <w:tab/>
            </w:r>
            <w:r>
              <w:rPr>
                <w:rFonts w:ascii="Calibri" w:hAnsi="Calibri"/>
                <w:sz w:val="24"/>
              </w:rPr>
              <w:t>9.3</w:t>
            </w:r>
          </w:p>
        </w:tc>
        <w:tc>
          <w:tcPr>
            <w:tcW w:w="1310" w:type="dxa"/>
            <w:tcBorders>
              <w:right w:val="single" w:sz="8" w:space="0" w:color="FFFFFF"/>
            </w:tcBorders>
            <w:shd w:val="clear" w:color="auto" w:fill="FFFF00"/>
          </w:tcPr>
          <w:p>
            <w:pPr>
              <w:pStyle w:val="TableParagraph"/>
              <w:spacing w:before="1"/>
              <w:ind w:left="357" w:right="352"/>
              <w:rPr>
                <w:rFonts w:ascii="Calibri"/>
                <w:sz w:val="24"/>
              </w:rPr>
            </w:pPr>
            <w:r>
              <w:rPr>
                <w:rFonts w:ascii="Calibri"/>
                <w:sz w:val="24"/>
              </w:rPr>
              <w:t>18.3</w:t>
            </w:r>
          </w:p>
        </w:tc>
        <w:tc>
          <w:tcPr>
            <w:tcW w:w="1290" w:type="dxa"/>
            <w:tcBorders>
              <w:left w:val="single" w:sz="8" w:space="0" w:color="FFFFFF"/>
              <w:right w:val="single" w:sz="16" w:space="0" w:color="000000"/>
            </w:tcBorders>
            <w:shd w:val="clear" w:color="auto" w:fill="67ED4D"/>
          </w:tcPr>
          <w:p>
            <w:pPr>
              <w:pStyle w:val="TableParagraph"/>
              <w:spacing w:before="1"/>
              <w:ind w:left="520"/>
              <w:jc w:val="left"/>
              <w:rPr>
                <w:rFonts w:ascii="Calibri"/>
                <w:sz w:val="24"/>
              </w:rPr>
            </w:pPr>
            <w:r>
              <w:rPr>
                <w:rFonts w:ascii="Calibri"/>
                <w:sz w:val="24"/>
              </w:rPr>
              <w:t>24</w:t>
            </w:r>
          </w:p>
        </w:tc>
      </w:tr>
      <w:tr>
        <w:trPr>
          <w:trHeight w:val="280" w:hRule="exact"/>
        </w:trPr>
        <w:tc>
          <w:tcPr>
            <w:tcW w:w="6490" w:type="dxa"/>
            <w:gridSpan w:val="3"/>
            <w:tcBorders>
              <w:left w:val="single" w:sz="8" w:space="0" w:color="000000"/>
              <w:right w:val="single" w:sz="16" w:space="0" w:color="000000"/>
            </w:tcBorders>
          </w:tcPr>
          <w:p>
            <w:pPr/>
          </w:p>
        </w:tc>
      </w:tr>
      <w:tr>
        <w:trPr>
          <w:trHeight w:val="320" w:hRule="exact"/>
        </w:trPr>
        <w:tc>
          <w:tcPr>
            <w:tcW w:w="3890" w:type="dxa"/>
            <w:tcBorders>
              <w:left w:val="single" w:sz="8" w:space="0" w:color="000000"/>
            </w:tcBorders>
          </w:tcPr>
          <w:p>
            <w:pPr>
              <w:pStyle w:val="TableParagraph"/>
              <w:tabs>
                <w:tab w:pos="3383" w:val="right" w:leader="none"/>
              </w:tabs>
              <w:spacing w:before="1"/>
              <w:ind w:left="40"/>
              <w:jc w:val="left"/>
              <w:rPr>
                <w:rFonts w:ascii="Calibri" w:hAnsi="Calibri"/>
                <w:sz w:val="24"/>
              </w:rPr>
            </w:pPr>
            <w:r>
              <w:rPr>
                <w:rFonts w:ascii="Calibri" w:hAnsi="Calibri"/>
                <w:sz w:val="24"/>
              </w:rPr>
              <w:t>Índice Económico</w:t>
            </w:r>
            <w:r>
              <w:rPr>
                <w:rFonts w:ascii="Times New Roman" w:hAnsi="Times New Roman"/>
                <w:sz w:val="24"/>
              </w:rPr>
              <w:tab/>
            </w:r>
            <w:r>
              <w:rPr>
                <w:rFonts w:ascii="Calibri" w:hAnsi="Calibri"/>
                <w:sz w:val="24"/>
              </w:rPr>
              <w:t>4.7</w:t>
            </w:r>
          </w:p>
        </w:tc>
        <w:tc>
          <w:tcPr>
            <w:tcW w:w="1310" w:type="dxa"/>
            <w:tcBorders>
              <w:right w:val="single" w:sz="8" w:space="0" w:color="FFFFFF"/>
            </w:tcBorders>
            <w:shd w:val="clear" w:color="auto" w:fill="FFFF00"/>
          </w:tcPr>
          <w:p>
            <w:pPr>
              <w:pStyle w:val="TableParagraph"/>
              <w:spacing w:before="1"/>
              <w:ind w:left="21"/>
              <w:rPr>
                <w:rFonts w:ascii="Calibri"/>
                <w:sz w:val="24"/>
              </w:rPr>
            </w:pPr>
            <w:r>
              <w:rPr>
                <w:rFonts w:ascii="Calibri"/>
                <w:sz w:val="24"/>
              </w:rPr>
              <w:t>9</w:t>
            </w:r>
          </w:p>
        </w:tc>
        <w:tc>
          <w:tcPr>
            <w:tcW w:w="1290" w:type="dxa"/>
            <w:tcBorders>
              <w:left w:val="single" w:sz="8" w:space="0" w:color="FFFFFF"/>
              <w:right w:val="single" w:sz="16" w:space="0" w:color="000000"/>
            </w:tcBorders>
            <w:shd w:val="clear" w:color="auto" w:fill="67ED4D"/>
          </w:tcPr>
          <w:p>
            <w:pPr>
              <w:pStyle w:val="TableParagraph"/>
              <w:spacing w:before="1"/>
              <w:ind w:left="520"/>
              <w:jc w:val="left"/>
              <w:rPr>
                <w:rFonts w:ascii="Calibri"/>
                <w:sz w:val="24"/>
              </w:rPr>
            </w:pPr>
            <w:r>
              <w:rPr>
                <w:rFonts w:ascii="Calibri"/>
                <w:sz w:val="24"/>
              </w:rPr>
              <w:t>11</w:t>
            </w:r>
          </w:p>
        </w:tc>
      </w:tr>
      <w:tr>
        <w:trPr>
          <w:trHeight w:val="280" w:hRule="exact"/>
        </w:trPr>
        <w:tc>
          <w:tcPr>
            <w:tcW w:w="6490" w:type="dxa"/>
            <w:gridSpan w:val="3"/>
            <w:tcBorders>
              <w:left w:val="single" w:sz="8" w:space="0" w:color="000000"/>
              <w:right w:val="single" w:sz="16" w:space="0" w:color="000000"/>
            </w:tcBorders>
          </w:tcPr>
          <w:p>
            <w:pPr/>
          </w:p>
        </w:tc>
      </w:tr>
      <w:tr>
        <w:trPr>
          <w:trHeight w:val="320" w:hRule="exact"/>
        </w:trPr>
        <w:tc>
          <w:tcPr>
            <w:tcW w:w="3890" w:type="dxa"/>
            <w:tcBorders>
              <w:left w:val="single" w:sz="8" w:space="0" w:color="000000"/>
            </w:tcBorders>
          </w:tcPr>
          <w:p>
            <w:pPr>
              <w:pStyle w:val="TableParagraph"/>
              <w:tabs>
                <w:tab w:pos="3445" w:val="right" w:leader="none"/>
              </w:tabs>
              <w:spacing w:before="1"/>
              <w:ind w:left="40"/>
              <w:jc w:val="left"/>
              <w:rPr>
                <w:rFonts w:ascii="Calibri" w:hAnsi="Calibri"/>
                <w:sz w:val="24"/>
              </w:rPr>
            </w:pPr>
            <w:r>
              <w:rPr>
                <w:rFonts w:ascii="Calibri" w:hAnsi="Calibri"/>
                <w:sz w:val="24"/>
              </w:rPr>
              <w:t>Índice Territorio</w:t>
            </w:r>
            <w:r>
              <w:rPr>
                <w:rFonts w:ascii="Times New Roman" w:hAnsi="Times New Roman"/>
                <w:sz w:val="24"/>
              </w:rPr>
              <w:tab/>
            </w:r>
            <w:r>
              <w:rPr>
                <w:rFonts w:ascii="Calibri" w:hAnsi="Calibri"/>
                <w:sz w:val="24"/>
              </w:rPr>
              <w:t>7.36</w:t>
            </w:r>
          </w:p>
        </w:tc>
        <w:tc>
          <w:tcPr>
            <w:tcW w:w="1310" w:type="dxa"/>
            <w:tcBorders>
              <w:right w:val="single" w:sz="8" w:space="0" w:color="FFFFFF"/>
            </w:tcBorders>
            <w:shd w:val="clear" w:color="auto" w:fill="FFFF00"/>
          </w:tcPr>
          <w:p>
            <w:pPr>
              <w:pStyle w:val="TableParagraph"/>
              <w:spacing w:before="1"/>
              <w:ind w:left="359" w:right="352"/>
              <w:rPr>
                <w:rFonts w:ascii="Calibri"/>
                <w:sz w:val="24"/>
              </w:rPr>
            </w:pPr>
            <w:r>
              <w:rPr>
                <w:rFonts w:ascii="Calibri"/>
                <w:sz w:val="24"/>
              </w:rPr>
              <w:t>12.66</w:t>
            </w:r>
          </w:p>
        </w:tc>
        <w:tc>
          <w:tcPr>
            <w:tcW w:w="1290" w:type="dxa"/>
            <w:tcBorders>
              <w:left w:val="single" w:sz="8" w:space="0" w:color="FFFFFF"/>
              <w:right w:val="single" w:sz="16" w:space="0" w:color="000000"/>
            </w:tcBorders>
            <w:shd w:val="clear" w:color="auto" w:fill="67ED4D"/>
          </w:tcPr>
          <w:p>
            <w:pPr>
              <w:pStyle w:val="TableParagraph"/>
              <w:spacing w:before="1"/>
              <w:ind w:left="520"/>
              <w:jc w:val="left"/>
              <w:rPr>
                <w:rFonts w:ascii="Calibri"/>
                <w:sz w:val="24"/>
              </w:rPr>
            </w:pPr>
            <w:r>
              <w:rPr>
                <w:rFonts w:ascii="Calibri"/>
                <w:sz w:val="24"/>
              </w:rPr>
              <w:t>17</w:t>
            </w:r>
          </w:p>
        </w:tc>
      </w:tr>
      <w:tr>
        <w:trPr>
          <w:trHeight w:val="280" w:hRule="exact"/>
        </w:trPr>
        <w:tc>
          <w:tcPr>
            <w:tcW w:w="6490" w:type="dxa"/>
            <w:gridSpan w:val="3"/>
            <w:tcBorders>
              <w:left w:val="single" w:sz="8" w:space="0" w:color="000000"/>
              <w:right w:val="single" w:sz="16" w:space="0" w:color="000000"/>
            </w:tcBorders>
          </w:tcPr>
          <w:p>
            <w:pPr/>
          </w:p>
        </w:tc>
      </w:tr>
      <w:tr>
        <w:trPr>
          <w:trHeight w:val="320" w:hRule="exact"/>
        </w:trPr>
        <w:tc>
          <w:tcPr>
            <w:tcW w:w="3890" w:type="dxa"/>
            <w:tcBorders>
              <w:left w:val="single" w:sz="8" w:space="0" w:color="000000"/>
            </w:tcBorders>
          </w:tcPr>
          <w:p>
            <w:pPr>
              <w:pStyle w:val="TableParagraph"/>
              <w:tabs>
                <w:tab w:pos="2959" w:val="left" w:leader="none"/>
              </w:tabs>
              <w:spacing w:before="1"/>
              <w:ind w:left="40"/>
              <w:jc w:val="left"/>
              <w:rPr>
                <w:rFonts w:ascii="Calibri" w:hAnsi="Calibri"/>
                <w:sz w:val="24"/>
              </w:rPr>
            </w:pPr>
            <w:r>
              <w:rPr>
                <w:rFonts w:ascii="Calibri" w:hAnsi="Calibri"/>
                <w:sz w:val="24"/>
              </w:rPr>
              <w:t>Índice de Sustentabilidad</w:t>
              <w:tab/>
              <w:t>34.16</w:t>
            </w:r>
          </w:p>
        </w:tc>
        <w:tc>
          <w:tcPr>
            <w:tcW w:w="1310" w:type="dxa"/>
            <w:tcBorders>
              <w:right w:val="single" w:sz="8" w:space="0" w:color="FFFFFF"/>
            </w:tcBorders>
            <w:shd w:val="clear" w:color="auto" w:fill="FFFF00"/>
          </w:tcPr>
          <w:p>
            <w:pPr>
              <w:pStyle w:val="TableParagraph"/>
              <w:spacing w:before="1"/>
              <w:ind w:left="359" w:right="352"/>
              <w:rPr>
                <w:rFonts w:ascii="Calibri"/>
                <w:sz w:val="24"/>
              </w:rPr>
            </w:pPr>
            <w:r>
              <w:rPr>
                <w:rFonts w:ascii="Calibri"/>
                <w:sz w:val="24"/>
              </w:rPr>
              <w:t>51.36</w:t>
            </w:r>
          </w:p>
        </w:tc>
        <w:tc>
          <w:tcPr>
            <w:tcW w:w="1290" w:type="dxa"/>
            <w:tcBorders>
              <w:left w:val="single" w:sz="8" w:space="0" w:color="FFFFFF"/>
              <w:right w:val="single" w:sz="16" w:space="0" w:color="000000"/>
            </w:tcBorders>
            <w:shd w:val="clear" w:color="auto" w:fill="67ED4D"/>
          </w:tcPr>
          <w:p>
            <w:pPr>
              <w:pStyle w:val="TableParagraph"/>
              <w:spacing w:before="1"/>
              <w:ind w:left="520"/>
              <w:jc w:val="left"/>
              <w:rPr>
                <w:rFonts w:ascii="Calibri"/>
                <w:sz w:val="24"/>
              </w:rPr>
            </w:pPr>
            <w:r>
              <w:rPr>
                <w:rFonts w:ascii="Calibri"/>
                <w:sz w:val="24"/>
              </w:rPr>
              <w:t>67</w:t>
            </w:r>
          </w:p>
        </w:tc>
      </w:tr>
      <w:tr>
        <w:trPr>
          <w:trHeight w:val="300" w:hRule="exact"/>
        </w:trPr>
        <w:tc>
          <w:tcPr>
            <w:tcW w:w="6490" w:type="dxa"/>
            <w:gridSpan w:val="3"/>
            <w:tcBorders>
              <w:left w:val="single" w:sz="8" w:space="0" w:color="000000"/>
              <w:bottom w:val="single" w:sz="16" w:space="0" w:color="000000"/>
              <w:right w:val="single" w:sz="16" w:space="0" w:color="000000"/>
            </w:tcBorders>
          </w:tcPr>
          <w:p>
            <w:pPr/>
          </w:p>
        </w:tc>
      </w:tr>
    </w:tbl>
    <w:p>
      <w:pPr>
        <w:spacing w:before="131"/>
        <w:ind w:left="941" w:right="0" w:firstLine="0"/>
        <w:jc w:val="left"/>
        <w:rPr>
          <w:sz w:val="21"/>
        </w:rPr>
      </w:pPr>
      <w:r>
        <w:rPr/>
        <w:pict>
          <v:rect style="position:absolute;margin-left:292.329987pt;margin-top:-91.86911pt;width:66pt;height:15.977pt;mso-position-horizontal-relative:page;mso-position-vertical-relative:paragraph;z-index:-1149232" filled="true" fillcolor="#f79646" stroked="false">
            <v:fill type="solid"/>
            <w10:wrap type="none"/>
          </v:rect>
        </w:pict>
      </w:r>
      <w:r>
        <w:rPr/>
        <w:pict>
          <v:rect style="position:absolute;margin-left:292.329987pt;margin-top:-61.912109pt;width:66pt;height:15.977pt;mso-position-horizontal-relative:page;mso-position-vertical-relative:paragraph;z-index:-1149208" filled="true" fillcolor="#f79646" stroked="false">
            <v:fill type="solid"/>
            <w10:wrap type="none"/>
          </v:rect>
        </w:pict>
      </w:r>
      <w:r>
        <w:rPr/>
        <w:pict>
          <v:rect style="position:absolute;margin-left:292.329987pt;margin-top:-31.955208pt;width:66pt;height:15.9771pt;mso-position-horizontal-relative:page;mso-position-vertical-relative:paragraph;z-index:-1149184" filled="true" fillcolor="#f79646" stroked="false">
            <v:fill type="solid"/>
            <w10:wrap type="none"/>
          </v:rect>
        </w:pict>
      </w:r>
      <w:r>
        <w:rPr>
          <w:w w:val="105"/>
          <w:sz w:val="21"/>
        </w:rPr>
        <w:t>Fuente: Elaboración propia con base al estudio realizado.</w:t>
      </w:r>
    </w:p>
    <w:p>
      <w:pPr>
        <w:pStyle w:val="BodyText"/>
        <w:spacing w:before="2"/>
        <w:rPr>
          <w:sz w:val="21"/>
        </w:rPr>
      </w:pPr>
    </w:p>
    <w:p>
      <w:pPr>
        <w:pStyle w:val="BodyText"/>
        <w:spacing w:line="360" w:lineRule="auto"/>
        <w:ind w:left="268" w:right="231"/>
        <w:jc w:val="both"/>
      </w:pPr>
      <w:r>
        <w:rPr/>
        <w:t>La gráfica 4 muestra el comportamiento de los indicadores por índice y en la tabla 25 se aprecian los resultados obtenidos en los cuatro índices de sustentabilidad, así como la obtención del Índice de Sustentabilidad que se obtiene con los índices anteriores, de igual modo se muestran tres escenarios el real refiere a la calificación que arrojo el análisis de los indicadores del conjunto urbano, el deseable refiere a una propuesta mínima para que el proyecto se considerara como sustentable desde una perspectiva integral y finalmente el escenario óptimo que representa la calificación del desarrollo habitacional.</w:t>
      </w:r>
    </w:p>
    <w:p>
      <w:pPr>
        <w:pStyle w:val="BodyText"/>
        <w:spacing w:line="360" w:lineRule="auto" w:before="127"/>
        <w:ind w:left="268" w:right="231"/>
        <w:jc w:val="both"/>
      </w:pPr>
      <w:r>
        <w:rPr/>
        <w:t>El resultado del conjunto urbano de San Andrés demuestra que la máxima valoración se dío en el índice social mientras que en el resto de los índices queda muy por debajo de un resultado deseable. Con estos resultados se pueden tomar acciones que permitan resolver las problemáticas existente en los ejes social, ambiental, económico y territorial. La gráfica 5 permite apreciar espacialmente los datos descritos en la tabla 25.</w:t>
      </w:r>
    </w:p>
    <w:p>
      <w:pPr>
        <w:spacing w:after="0" w:line="360" w:lineRule="auto"/>
        <w:jc w:val="both"/>
        <w:sectPr>
          <w:pgSz w:w="12240" w:h="15840"/>
          <w:pgMar w:header="730" w:footer="1066" w:top="1320" w:bottom="1260" w:left="1720" w:right="1180"/>
        </w:sectPr>
      </w:pPr>
    </w:p>
    <w:p>
      <w:pPr>
        <w:pStyle w:val="BodyText"/>
        <w:spacing w:before="1"/>
        <w:rPr>
          <w:sz w:val="18"/>
        </w:rPr>
      </w:pPr>
    </w:p>
    <w:p>
      <w:pPr>
        <w:spacing w:before="78"/>
        <w:ind w:left="268" w:right="0" w:firstLine="0"/>
        <w:jc w:val="left"/>
        <w:rPr>
          <w:sz w:val="21"/>
        </w:rPr>
      </w:pPr>
      <w:r>
        <w:rPr/>
        <w:pict>
          <v:line style="position:absolute;mso-position-horizontal-relative:page;mso-position-vertical-relative:paragraph;z-index:8872" from="93.199997pt,-19.611116pt" to="546.799997pt,-19.611116pt" stroked="true" strokeweight=".479981pt" strokecolor="#000000">
            <w10:wrap type="none"/>
          </v:line>
        </w:pict>
      </w:r>
      <w:r>
        <w:rPr>
          <w:w w:val="105"/>
          <w:sz w:val="21"/>
        </w:rPr>
        <w:t>Gráfica 5. Escenario de resultados por índices.</w:t>
      </w:r>
    </w:p>
    <w:p>
      <w:pPr>
        <w:pStyle w:val="BodyText"/>
        <w:spacing w:before="10"/>
        <w:rPr>
          <w:sz w:val="29"/>
        </w:rPr>
      </w:pPr>
    </w:p>
    <w:p>
      <w:pPr>
        <w:pStyle w:val="Heading3"/>
        <w:ind w:left="2063"/>
      </w:pPr>
      <w:r>
        <w:rPr/>
        <w:t>Distribución de índices de San Andrés</w:t>
      </w:r>
    </w:p>
    <w:p>
      <w:pPr>
        <w:pStyle w:val="BodyText"/>
        <w:spacing w:before="11"/>
        <w:rPr>
          <w:rFonts w:ascii="Calibri"/>
          <w:b/>
          <w:sz w:val="14"/>
        </w:rPr>
      </w:pPr>
    </w:p>
    <w:p>
      <w:pPr>
        <w:tabs>
          <w:tab w:pos="681" w:val="left" w:leader="none"/>
          <w:tab w:pos="1637" w:val="left" w:leader="none"/>
        </w:tabs>
        <w:spacing w:before="0"/>
        <w:ind w:left="0" w:right="996" w:firstLine="0"/>
        <w:jc w:val="center"/>
        <w:rPr>
          <w:rFonts w:ascii="Calibri"/>
          <w:sz w:val="13"/>
        </w:rPr>
      </w:pPr>
      <w:r>
        <w:rPr/>
        <w:pict>
          <v:group style="position:absolute;margin-left:227.135986pt;margin-top:1.331305pt;width:15.9pt;height:4.6pt;mso-position-horizontal-relative:page;mso-position-vertical-relative:paragraph;z-index:9232" coordorigin="4543,27" coordsize="318,92">
            <v:line style="position:absolute" from="4569,70" to="4834,70" stroked="true" strokeweight="2.585199pt" strokecolor="#5b92c7"/>
            <v:shape style="position:absolute;left:4658;top:34;width:83;height:78" type="#_x0000_t75" stroked="false">
              <v:imagedata r:id="rId146" o:title=""/>
            </v:shape>
            <v:shape style="position:absolute;left:4658;top:34;width:83;height:78" coordorigin="4658,34" coordsize="83,78" path="m4700,34l4741,75,4700,111,4658,75,4700,34xe" filled="false" stroked="true" strokeweight=".689848pt" strokecolor="#5b92c7">
              <v:path arrowok="t"/>
            </v:shape>
            <w10:wrap type="none"/>
          </v:group>
        </w:pict>
      </w:r>
      <w:r>
        <w:rPr/>
        <w:pict>
          <v:group style="position:absolute;margin-left:261.216980pt;margin-top:1.331305pt;width:15.9pt;height:4.6pt;mso-position-horizontal-relative:page;mso-position-vertical-relative:paragraph;z-index:-1148776" coordorigin="5224,27" coordsize="318,92">
            <v:line style="position:absolute" from="5250,70" to="5515,70" stroked="true" strokeweight="2.585199pt" strokecolor="#cc615a"/>
            <v:shape style="position:absolute;left:5335;top:34;width:83;height:78" type="#_x0000_t75" stroked="false">
              <v:imagedata r:id="rId147" o:title=""/>
            </v:shape>
            <v:rect style="position:absolute;left:5335;top:34;width:83;height:78" filled="false" stroked="true" strokeweight=".689848pt" strokecolor="#cc615a"/>
            <w10:wrap type="none"/>
          </v:group>
        </w:pict>
      </w:r>
      <w:r>
        <w:rPr/>
        <w:pict>
          <v:group style="position:absolute;margin-left:308.994995pt;margin-top:1.331305pt;width:15.9pt;height:4.6pt;mso-position-horizontal-relative:page;mso-position-vertical-relative:paragraph;z-index:-1148752" coordorigin="6180,27" coordsize="318,92">
            <v:line style="position:absolute" from="6206,70" to="6471,70" stroked="true" strokeweight="2.585199pt" strokecolor="#a8c367"/>
            <v:shape style="position:absolute;left:6301;top:34;width:78;height:78" type="#_x0000_t75" stroked="false">
              <v:imagedata r:id="rId148" o:title=""/>
            </v:shape>
            <v:shape style="position:absolute;left:6301;top:34;width:79;height:78" coordorigin="6301,34" coordsize="79,78" path="m6343,34l6380,111,6301,111,6343,34xe" filled="false" stroked="true" strokeweight=".689874pt" strokecolor="#a8c367">
              <v:path arrowok="t"/>
            </v:shape>
            <w10:wrap type="none"/>
          </v:group>
        </w:pict>
      </w:r>
      <w:r>
        <w:rPr>
          <w:rFonts w:ascii="Calibri"/>
          <w:w w:val="105"/>
          <w:sz w:val="13"/>
        </w:rPr>
        <w:t>Real</w:t>
        <w:tab/>
        <w:t>Deseable</w:t>
        <w:tab/>
        <w:t>Optimo</w:t>
      </w:r>
    </w:p>
    <w:p>
      <w:pPr>
        <w:pStyle w:val="BodyText"/>
        <w:spacing w:before="6"/>
        <w:rPr>
          <w:rFonts w:ascii="Calibri"/>
          <w:sz w:val="19"/>
        </w:rPr>
      </w:pPr>
    </w:p>
    <w:p>
      <w:pPr>
        <w:spacing w:before="84"/>
        <w:ind w:left="382" w:right="1723" w:firstLine="0"/>
        <w:jc w:val="center"/>
        <w:rPr>
          <w:rFonts w:ascii="Calibri" w:hAnsi="Calibri"/>
          <w:sz w:val="13"/>
        </w:rPr>
      </w:pPr>
      <w:r>
        <w:rPr>
          <w:rFonts w:ascii="Calibri" w:hAnsi="Calibri"/>
          <w:w w:val="105"/>
          <w:sz w:val="13"/>
        </w:rPr>
        <w:t>Índice Social</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sz w:val="25"/>
        </w:rPr>
      </w:pPr>
    </w:p>
    <w:p>
      <w:pPr>
        <w:tabs>
          <w:tab w:pos="6671" w:val="left" w:leader="none"/>
        </w:tabs>
        <w:spacing w:before="83"/>
        <w:ind w:left="418" w:right="0" w:firstLine="0"/>
        <w:jc w:val="left"/>
        <w:rPr>
          <w:rFonts w:ascii="Calibri" w:hAnsi="Calibri"/>
          <w:sz w:val="13"/>
        </w:rPr>
      </w:pPr>
      <w:r>
        <w:rPr/>
        <w:pict>
          <v:group style="position:absolute;margin-left:157.316544pt;margin-top:-123.482262pt;width:258.25pt;height:259.6pt;mso-position-horizontal-relative:page;mso-position-vertical-relative:paragraph;z-index:-1148824" coordorigin="3146,-2470" coordsize="5165,5192">
            <v:shape style="position:absolute;left:117936;top:-94509250;width:94479065;height:94487962" coordorigin="117936,-94509250" coordsize="94479065,94487962" path="m5722,-359l6232,151m6232,151l5722,661m5722,661l5211,151m5211,151l5722,-359m5722,-869l6743,151m6743,151l5722,1185m5722,1185l4686,151m4686,151l5722,-869m5722,-1393l7254,151m7254,151l5722,1695m5722,1695l4175,151m4175,151l5722,-1393m5722,-1903l7779,151m7779,151l5722,2205m5722,2205l3664,151m3664,151l5722,-1903m5722,-2413l8289,151m8289,151l5722,2716m5722,2716l3153,151m3153,151l5722,-2413m5722,151l5722,-2413m5722,151l8289,151m5722,151l5722,2716m5722,151l3153,151m5722,151l5722,-2413e" filled="false" stroked="true" strokeweight=".689879pt" strokecolor="#989898">
              <v:path arrowok="t"/>
            </v:shape>
            <v:shape style="position:absolute;left:5604;top:-1249;width:235;height:234" type="#_x0000_t75" stroked="false">
              <v:imagedata r:id="rId149" o:title=""/>
            </v:shape>
            <v:shape style="position:absolute;left:6557;top:61;width:235;height:234" type="#_x0000_t75" stroked="false">
              <v:imagedata r:id="rId149" o:title=""/>
            </v:shape>
            <v:shape style="position:absolute;left:5604;top:543;width:235;height:234" type="#_x0000_t75" stroked="false">
              <v:imagedata r:id="rId149" o:title=""/>
            </v:shape>
            <v:shape style="position:absolute;left:4845;top:61;width:235;height:234" type="#_x0000_t75" stroked="false">
              <v:imagedata r:id="rId149" o:title=""/>
            </v:shape>
            <v:shape style="position:absolute;left:5604;top:-1111;width:235;height:234" type="#_x0000_t75" stroked="false">
              <v:imagedata r:id="rId150" o:title=""/>
            </v:shape>
            <v:shape style="position:absolute;left:7482;top:61;width:235;height:234" type="#_x0000_t75" stroked="false">
              <v:imagedata r:id="rId150" o:title=""/>
            </v:shape>
            <v:shape style="position:absolute;left:4292;top:61;width:235;height:234" type="#_x0000_t75" stroked="false">
              <v:imagedata r:id="rId150" o:title=""/>
            </v:shape>
            <v:shape style="position:absolute;left:5604;top:-1483;width:235;height:234" type="#_x0000_t75" stroked="false">
              <v:imagedata r:id="rId151" o:title=""/>
            </v:shape>
            <v:shape style="position:absolute;left:8076;top:61;width:235;height:234" type="#_x0000_t75" stroked="false">
              <v:imagedata r:id="rId151" o:title=""/>
            </v:shape>
            <v:shape style="position:absolute;left:5604;top:985;width:235;height:441" type="#_x0000_t75" stroked="false">
              <v:imagedata r:id="rId152" o:title=""/>
            </v:shape>
            <v:shape style="position:absolute;left:3851;top:61;width:235;height:234" type="#_x0000_t75" stroked="false">
              <v:imagedata r:id="rId151" o:title=""/>
            </v:shape>
            <v:shape style="position:absolute;left:18155;top:-33073650;width:31496045;height:33019998" coordorigin="18155,-33073650" coordsize="31496045,33019998" path="m4962,151l5721,-1159m5721,-1159l6674,151m6674,151l5721,634m5721,634l4962,151e" filled="false" stroked="true" strokeweight="2.587045pt" strokecolor="#5b92c7">
              <v:path arrowok="t"/>
            </v:shape>
            <v:shape style="position:absolute;left:6598;top:75;width:152;height:152" type="#_x0000_t75" stroked="false">
              <v:imagedata r:id="rId153" o:title=""/>
            </v:shape>
            <v:shape style="position:absolute;left:5646;top:557;width:152;height:152" type="#_x0000_t75" stroked="false">
              <v:imagedata r:id="rId153" o:title=""/>
            </v:shape>
            <v:shape style="position:absolute;left:4886;top:75;width:152;height:152" type="#_x0000_t75" stroked="false">
              <v:imagedata r:id="rId153" o:title=""/>
            </v:shape>
            <v:shape style="position:absolute;left:-114562;top:-38552850;width:58673963;height:38607938" coordorigin="-114562,-38552850" coordsize="58673963,38607938" path="m4410,151l5721,-1021m5721,-1021l7599,151m7599,151l5721,1075m5721,1075l4410,151e" filled="false" stroked="true" strokeweight="2.587045pt" strokecolor="#cc615a">
              <v:path arrowok="t"/>
            </v:shape>
            <v:shape style="position:absolute;left:5646;top:-1235;width:152;height:290" type="#_x0000_t75" stroked="false">
              <v:imagedata r:id="rId154" o:title=""/>
            </v:shape>
            <v:shape style="position:absolute;left:7523;top:75;width:152;height:152" type="#_x0000_t75" stroked="false">
              <v:imagedata r:id="rId155" o:title=""/>
            </v:shape>
            <v:shape style="position:absolute;left:5646;top:998;width:152;height:152" type="#_x0000_t75" stroked="false">
              <v:imagedata r:id="rId155" o:title=""/>
            </v:shape>
            <v:shape style="position:absolute;left:4334;top:75;width:152;height:152" type="#_x0000_t75" stroked="false">
              <v:imagedata r:id="rId155" o:title=""/>
            </v:shape>
            <v:shape style="position:absolute;left:-31543;top:-49173850;width:77600943;height:49275929" coordorigin="-31543,-49173850" coordsize="77600943,49275929" path="m3968,151l5722,-1393m5722,-1393l8186,151m8186,151l5722,1282m5722,1282l3968,151e" filled="false" stroked="true" strokeweight="2.587045pt" strokecolor="#a8c367">
              <v:path arrowok="t"/>
            </v:shape>
            <v:shape style="position:absolute;left:5646;top:-1470;width:152;height:152" type="#_x0000_t75" stroked="false">
              <v:imagedata r:id="rId156" o:title=""/>
            </v:shape>
            <v:shape style="position:absolute;left:8117;top:75;width:152;height:152" type="#_x0000_t75" stroked="false">
              <v:imagedata r:id="rId156" o:title=""/>
            </v:shape>
            <v:shape style="position:absolute;left:5646;top:1205;width:152;height:152" type="#_x0000_t75" stroked="false">
              <v:imagedata r:id="rId156" o:title=""/>
            </v:shape>
            <v:shape style="position:absolute;left:3892;top:75;width:152;height:152" type="#_x0000_t75" stroked="false">
              <v:imagedata r:id="rId156" o:title=""/>
            </v:shape>
            <v:shape style="position:absolute;left:5457;top:-2470;width:140;height:138" type="#_x0000_t202" filled="false" stroked="false">
              <v:textbox inset="0,0,0,0">
                <w:txbxContent>
                  <w:p>
                    <w:pPr>
                      <w:spacing w:line="138" w:lineRule="exact" w:before="0"/>
                      <w:ind w:left="0" w:right="-19" w:firstLine="0"/>
                      <w:jc w:val="left"/>
                      <w:rPr>
                        <w:rFonts w:ascii="Calibri"/>
                        <w:sz w:val="13"/>
                      </w:rPr>
                    </w:pPr>
                    <w:r>
                      <w:rPr>
                        <w:rFonts w:ascii="Calibri"/>
                        <w:w w:val="105"/>
                        <w:sz w:val="13"/>
                      </w:rPr>
                      <w:t>25</w:t>
                    </w:r>
                  </w:p>
                </w:txbxContent>
              </v:textbox>
              <w10:wrap type="none"/>
            </v:shape>
            <v:shape style="position:absolute;left:5457;top:-1956;width:565;height:1240" type="#_x0000_t202" filled="false" stroked="false">
              <v:textbox inset="0,0,0,0">
                <w:txbxContent>
                  <w:p>
                    <w:pPr>
                      <w:spacing w:line="142" w:lineRule="exact" w:before="0"/>
                      <w:ind w:left="0" w:right="-17" w:firstLine="0"/>
                      <w:jc w:val="left"/>
                      <w:rPr>
                        <w:rFonts w:ascii="Calibri"/>
                        <w:sz w:val="13"/>
                      </w:rPr>
                    </w:pPr>
                    <w:r>
                      <w:rPr>
                        <w:rFonts w:ascii="Calibri"/>
                        <w:w w:val="105"/>
                        <w:sz w:val="13"/>
                      </w:rPr>
                      <w:t>20</w:t>
                    </w:r>
                  </w:p>
                  <w:p>
                    <w:pPr>
                      <w:spacing w:line="240" w:lineRule="auto" w:before="8"/>
                      <w:rPr>
                        <w:sz w:val="18"/>
                      </w:rPr>
                    </w:pPr>
                  </w:p>
                  <w:p>
                    <w:pPr>
                      <w:spacing w:line="149" w:lineRule="exact" w:before="0"/>
                      <w:ind w:left="329" w:right="-17" w:firstLine="0"/>
                      <w:jc w:val="left"/>
                      <w:rPr>
                        <w:rFonts w:ascii="Calibri"/>
                        <w:sz w:val="13"/>
                      </w:rPr>
                    </w:pPr>
                    <w:r>
                      <w:rPr>
                        <w:rFonts w:ascii="Calibri"/>
                        <w:w w:val="105"/>
                        <w:sz w:val="13"/>
                      </w:rPr>
                      <w:t>15</w:t>
                    </w:r>
                  </w:p>
                  <w:p>
                    <w:pPr>
                      <w:spacing w:line="149" w:lineRule="exact" w:before="0"/>
                      <w:ind w:left="0" w:right="-17" w:firstLine="0"/>
                      <w:jc w:val="left"/>
                      <w:rPr>
                        <w:rFonts w:ascii="Calibri"/>
                        <w:sz w:val="13"/>
                      </w:rPr>
                    </w:pPr>
                    <w:r>
                      <w:rPr>
                        <w:rFonts w:ascii="Calibri"/>
                        <w:w w:val="105"/>
                        <w:sz w:val="13"/>
                      </w:rPr>
                      <w:t>15</w:t>
                    </w:r>
                  </w:p>
                  <w:p>
                    <w:pPr>
                      <w:spacing w:before="93"/>
                      <w:ind w:left="320" w:right="-17" w:firstLine="0"/>
                      <w:jc w:val="left"/>
                      <w:rPr>
                        <w:rFonts w:ascii="Calibri"/>
                        <w:sz w:val="13"/>
                      </w:rPr>
                    </w:pPr>
                    <w:r>
                      <w:rPr>
                        <w:rFonts w:ascii="Calibri"/>
                        <w:w w:val="105"/>
                        <w:sz w:val="13"/>
                      </w:rPr>
                      <w:t>12.8</w:t>
                    </w:r>
                  </w:p>
                  <w:p>
                    <w:pPr>
                      <w:spacing w:line="117" w:lineRule="exact" w:before="103"/>
                      <w:ind w:left="0" w:right="-17" w:firstLine="0"/>
                      <w:jc w:val="left"/>
                      <w:rPr>
                        <w:rFonts w:ascii="Calibri"/>
                        <w:sz w:val="13"/>
                      </w:rPr>
                    </w:pPr>
                    <w:r>
                      <w:rPr>
                        <w:rFonts w:ascii="Calibri"/>
                        <w:w w:val="105"/>
                        <w:sz w:val="13"/>
                      </w:rPr>
                      <w:t>10</w:t>
                    </w:r>
                  </w:p>
                  <w:p>
                    <w:pPr>
                      <w:spacing w:line="112" w:lineRule="exact" w:before="0"/>
                      <w:ind w:left="126" w:right="-17" w:firstLine="0"/>
                      <w:jc w:val="left"/>
                      <w:rPr>
                        <w:rFonts w:ascii="Calibri"/>
                        <w:sz w:val="13"/>
                      </w:rPr>
                    </w:pPr>
                    <w:r>
                      <w:rPr>
                        <w:rFonts w:ascii="Calibri"/>
                        <w:w w:val="105"/>
                        <w:sz w:val="13"/>
                      </w:rPr>
                      <w:t>11.4</w:t>
                    </w:r>
                  </w:p>
                </w:txbxContent>
              </v:textbox>
              <w10:wrap type="none"/>
            </v:shape>
            <v:shape style="position:absolute;left:5527;top:-416;width:70;height:138" type="#_x0000_t202" filled="false" stroked="false">
              <v:textbox inset="0,0,0,0">
                <w:txbxContent>
                  <w:p>
                    <w:pPr>
                      <w:spacing w:line="138" w:lineRule="exact" w:before="0"/>
                      <w:ind w:left="0" w:right="0" w:firstLine="0"/>
                      <w:jc w:val="left"/>
                      <w:rPr>
                        <w:rFonts w:ascii="Calibri"/>
                        <w:sz w:val="13"/>
                      </w:rPr>
                    </w:pPr>
                    <w:r>
                      <w:rPr>
                        <w:rFonts w:ascii="Calibri"/>
                        <w:w w:val="106"/>
                        <w:sz w:val="13"/>
                      </w:rPr>
                      <w:t>5</w:t>
                    </w:r>
                  </w:p>
                </w:txbxContent>
              </v:textbox>
              <w10:wrap type="none"/>
            </v:shape>
            <v:shape style="position:absolute;left:3759;top:17;width:140;height:138" type="#_x0000_t202" filled="false" stroked="false">
              <v:textbox inset="0,0,0,0">
                <w:txbxContent>
                  <w:p>
                    <w:pPr>
                      <w:spacing w:line="138" w:lineRule="exact" w:before="0"/>
                      <w:ind w:left="0" w:right="-19" w:firstLine="0"/>
                      <w:jc w:val="left"/>
                      <w:rPr>
                        <w:rFonts w:ascii="Calibri"/>
                        <w:sz w:val="13"/>
                      </w:rPr>
                    </w:pPr>
                    <w:r>
                      <w:rPr>
                        <w:rFonts w:ascii="Calibri"/>
                        <w:w w:val="105"/>
                        <w:sz w:val="13"/>
                      </w:rPr>
                      <w:t>17</w:t>
                    </w:r>
                  </w:p>
                </w:txbxContent>
              </v:textbox>
              <w10:wrap type="none"/>
            </v:shape>
            <v:shape style="position:absolute;left:4584;top:3;width:315;height:138" type="#_x0000_t202" filled="false" stroked="false">
              <v:textbox inset="0,0,0,0">
                <w:txbxContent>
                  <w:p>
                    <w:pPr>
                      <w:spacing w:line="138" w:lineRule="exact" w:before="0"/>
                      <w:ind w:left="0" w:right="-17" w:firstLine="0"/>
                      <w:jc w:val="left"/>
                      <w:rPr>
                        <w:rFonts w:ascii="Calibri"/>
                        <w:sz w:val="13"/>
                      </w:rPr>
                    </w:pPr>
                    <w:r>
                      <w:rPr>
                        <w:rFonts w:ascii="Calibri"/>
                        <w:w w:val="105"/>
                        <w:sz w:val="13"/>
                      </w:rPr>
                      <w:t>12.66</w:t>
                    </w:r>
                  </w:p>
                </w:txbxContent>
              </v:textbox>
              <w10:wrap type="none"/>
            </v:shape>
            <v:shape style="position:absolute;left:5086;top:44;width:245;height:138" type="#_x0000_t202" filled="false" stroked="false">
              <v:textbox inset="0,0,0,0">
                <w:txbxContent>
                  <w:p>
                    <w:pPr>
                      <w:spacing w:line="138" w:lineRule="exact" w:before="0"/>
                      <w:ind w:left="0" w:right="-17" w:firstLine="0"/>
                      <w:jc w:val="left"/>
                      <w:rPr>
                        <w:rFonts w:ascii="Calibri"/>
                        <w:sz w:val="13"/>
                      </w:rPr>
                    </w:pPr>
                    <w:r>
                      <w:rPr>
                        <w:rFonts w:ascii="Calibri"/>
                        <w:w w:val="105"/>
                        <w:sz w:val="13"/>
                      </w:rPr>
                      <w:t>7.36</w:t>
                    </w:r>
                  </w:p>
                </w:txbxContent>
              </v:textbox>
              <w10:wrap type="none"/>
            </v:shape>
            <v:shape style="position:absolute;left:5527;top:98;width:70;height:138" type="#_x0000_t202" filled="false" stroked="false">
              <v:textbox inset="0,0,0,0">
                <w:txbxContent>
                  <w:p>
                    <w:pPr>
                      <w:spacing w:line="138" w:lineRule="exact" w:before="0"/>
                      <w:ind w:left="0" w:right="0" w:firstLine="0"/>
                      <w:jc w:val="left"/>
                      <w:rPr>
                        <w:rFonts w:ascii="Calibri"/>
                        <w:sz w:val="13"/>
                      </w:rPr>
                    </w:pPr>
                    <w:r>
                      <w:rPr>
                        <w:rFonts w:ascii="Calibri"/>
                        <w:w w:val="106"/>
                        <w:sz w:val="13"/>
                      </w:rPr>
                      <w:t>0</w:t>
                    </w:r>
                  </w:p>
                </w:txbxContent>
              </v:textbox>
              <w10:wrap type="none"/>
            </v:shape>
            <v:shape style="position:absolute;left:6383;top:-11;width:175;height:138" type="#_x0000_t202" filled="false" stroked="false">
              <v:textbox inset="0,0,0,0">
                <w:txbxContent>
                  <w:p>
                    <w:pPr>
                      <w:spacing w:line="138" w:lineRule="exact" w:before="0"/>
                      <w:ind w:left="0" w:right="-18" w:firstLine="0"/>
                      <w:jc w:val="left"/>
                      <w:rPr>
                        <w:rFonts w:ascii="Calibri"/>
                        <w:sz w:val="13"/>
                      </w:rPr>
                    </w:pPr>
                    <w:r>
                      <w:rPr>
                        <w:rFonts w:ascii="Calibri"/>
                        <w:w w:val="105"/>
                        <w:sz w:val="13"/>
                      </w:rPr>
                      <w:t>9.3</w:t>
                    </w:r>
                  </w:p>
                </w:txbxContent>
              </v:textbox>
              <w10:wrap type="none"/>
            </v:shape>
            <v:shape style="position:absolute;left:7069;top:17;width:245;height:138" type="#_x0000_t202" filled="false" stroked="false">
              <v:textbox inset="0,0,0,0">
                <w:txbxContent>
                  <w:p>
                    <w:pPr>
                      <w:spacing w:line="138" w:lineRule="exact" w:before="0"/>
                      <w:ind w:left="0" w:right="-17" w:firstLine="0"/>
                      <w:jc w:val="left"/>
                      <w:rPr>
                        <w:rFonts w:ascii="Calibri"/>
                        <w:sz w:val="13"/>
                      </w:rPr>
                    </w:pPr>
                    <w:r>
                      <w:rPr>
                        <w:rFonts w:ascii="Calibri"/>
                        <w:w w:val="105"/>
                        <w:sz w:val="13"/>
                      </w:rPr>
                      <w:t>18.3</w:t>
                    </w:r>
                  </w:p>
                </w:txbxContent>
              </v:textbox>
              <w10:wrap type="none"/>
            </v:shape>
            <v:shape style="position:absolute;left:7844;top:17;width:140;height:138" type="#_x0000_t202" filled="false" stroked="false">
              <v:textbox inset="0,0,0,0">
                <w:txbxContent>
                  <w:p>
                    <w:pPr>
                      <w:spacing w:line="138" w:lineRule="exact" w:before="0"/>
                      <w:ind w:left="0" w:right="-19" w:firstLine="0"/>
                      <w:jc w:val="left"/>
                      <w:rPr>
                        <w:rFonts w:ascii="Calibri"/>
                        <w:sz w:val="13"/>
                      </w:rPr>
                    </w:pPr>
                    <w:r>
                      <w:rPr>
                        <w:rFonts w:ascii="Calibri"/>
                        <w:w w:val="105"/>
                        <w:sz w:val="13"/>
                      </w:rPr>
                      <w:t>24</w:t>
                    </w:r>
                  </w:p>
                </w:txbxContent>
              </v:textbox>
              <w10:wrap type="none"/>
            </v:shape>
            <v:shape style="position:absolute;left:5658;top:406;width:175;height:138" type="#_x0000_t202" filled="false" stroked="false">
              <v:textbox inset="0,0,0,0">
                <w:txbxContent>
                  <w:p>
                    <w:pPr>
                      <w:spacing w:line="138" w:lineRule="exact" w:before="0"/>
                      <w:ind w:left="0" w:right="-18" w:firstLine="0"/>
                      <w:jc w:val="left"/>
                      <w:rPr>
                        <w:rFonts w:ascii="Calibri"/>
                        <w:sz w:val="13"/>
                      </w:rPr>
                    </w:pPr>
                    <w:r>
                      <w:rPr>
                        <w:rFonts w:ascii="Calibri"/>
                        <w:w w:val="105"/>
                        <w:sz w:val="13"/>
                      </w:rPr>
                      <w:t>4.7</w:t>
                    </w:r>
                  </w:p>
                </w:txbxContent>
              </v:textbox>
              <w10:wrap type="none"/>
            </v:shape>
            <v:shape style="position:absolute;left:5683;top:792;width:70;height:138" type="#_x0000_t202" filled="false" stroked="false">
              <v:textbox inset="0,0,0,0">
                <w:txbxContent>
                  <w:p>
                    <w:pPr>
                      <w:spacing w:line="138" w:lineRule="exact" w:before="0"/>
                      <w:ind w:left="0" w:right="0" w:firstLine="0"/>
                      <w:jc w:val="left"/>
                      <w:rPr>
                        <w:rFonts w:ascii="Calibri"/>
                        <w:sz w:val="13"/>
                      </w:rPr>
                    </w:pPr>
                    <w:r>
                      <w:rPr>
                        <w:rFonts w:ascii="Calibri"/>
                        <w:w w:val="106"/>
                        <w:sz w:val="13"/>
                      </w:rPr>
                      <w:t>9</w:t>
                    </w:r>
                  </w:p>
                </w:txbxContent>
              </v:textbox>
              <w10:wrap type="none"/>
            </v:shape>
            <v:shape style="position:absolute;left:5649;top:1467;width:140;height:138" type="#_x0000_t202" filled="false" stroked="false">
              <v:textbox inset="0,0,0,0">
                <w:txbxContent>
                  <w:p>
                    <w:pPr>
                      <w:spacing w:line="138" w:lineRule="exact" w:before="0"/>
                      <w:ind w:left="0" w:right="-19" w:firstLine="0"/>
                      <w:jc w:val="left"/>
                      <w:rPr>
                        <w:rFonts w:ascii="Calibri"/>
                        <w:sz w:val="13"/>
                      </w:rPr>
                    </w:pPr>
                    <w:r>
                      <w:rPr>
                        <w:rFonts w:ascii="Calibri"/>
                        <w:w w:val="105"/>
                        <w:sz w:val="13"/>
                      </w:rPr>
                      <w:t>11</w:t>
                    </w:r>
                  </w:p>
                </w:txbxContent>
              </v:textbox>
              <w10:wrap type="none"/>
            </v:shape>
            <w10:wrap type="none"/>
          </v:group>
        </w:pict>
      </w:r>
      <w:r>
        <w:rPr>
          <w:rFonts w:ascii="Calibri" w:hAnsi="Calibri"/>
          <w:w w:val="105"/>
          <w:sz w:val="13"/>
        </w:rPr>
        <w:t>Índice</w:t>
      </w:r>
      <w:r>
        <w:rPr>
          <w:rFonts w:ascii="Calibri" w:hAnsi="Calibri"/>
          <w:spacing w:val="2"/>
          <w:w w:val="105"/>
          <w:sz w:val="13"/>
        </w:rPr>
        <w:t> </w:t>
      </w:r>
      <w:r>
        <w:rPr>
          <w:rFonts w:ascii="Calibri" w:hAnsi="Calibri"/>
          <w:w w:val="105"/>
          <w:sz w:val="13"/>
        </w:rPr>
        <w:t>Territorio</w:t>
        <w:tab/>
        <w:t>Índice</w:t>
      </w:r>
      <w:r>
        <w:rPr>
          <w:rFonts w:ascii="Calibri" w:hAnsi="Calibri"/>
          <w:spacing w:val="10"/>
          <w:w w:val="105"/>
          <w:sz w:val="13"/>
        </w:rPr>
        <w:t> </w:t>
      </w:r>
      <w:r>
        <w:rPr>
          <w:rFonts w:ascii="Calibri" w:hAnsi="Calibri"/>
          <w:w w:val="105"/>
          <w:sz w:val="13"/>
        </w:rPr>
        <w:t>Ambiental</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sz w:val="25"/>
        </w:rPr>
      </w:pPr>
    </w:p>
    <w:p>
      <w:pPr>
        <w:spacing w:before="83"/>
        <w:ind w:left="382" w:right="1723" w:firstLine="0"/>
        <w:jc w:val="center"/>
        <w:rPr>
          <w:rFonts w:ascii="Calibri" w:hAnsi="Calibri"/>
          <w:sz w:val="13"/>
        </w:rPr>
      </w:pPr>
      <w:r>
        <w:rPr>
          <w:rFonts w:ascii="Calibri" w:hAnsi="Calibri"/>
          <w:w w:val="105"/>
          <w:sz w:val="13"/>
        </w:rPr>
        <w:t>Índice Económico</w:t>
      </w:r>
    </w:p>
    <w:p>
      <w:pPr>
        <w:pStyle w:val="BodyText"/>
        <w:rPr>
          <w:rFonts w:ascii="Calibri"/>
          <w:sz w:val="20"/>
        </w:rPr>
      </w:pPr>
    </w:p>
    <w:p>
      <w:pPr>
        <w:pStyle w:val="BodyText"/>
        <w:rPr>
          <w:rFonts w:ascii="Calibri"/>
          <w:sz w:val="18"/>
        </w:rPr>
      </w:pPr>
    </w:p>
    <w:p>
      <w:pPr>
        <w:spacing w:before="0"/>
        <w:ind w:left="268" w:right="0" w:firstLine="0"/>
        <w:jc w:val="both"/>
        <w:rPr>
          <w:sz w:val="21"/>
        </w:rPr>
      </w:pPr>
      <w:r>
        <w:rPr>
          <w:w w:val="105"/>
          <w:sz w:val="21"/>
        </w:rPr>
        <w:t>Fuente: Elaboración propia con base al estudio realizado.</w:t>
      </w:r>
    </w:p>
    <w:p>
      <w:pPr>
        <w:pStyle w:val="BodyText"/>
        <w:spacing w:before="2"/>
        <w:rPr>
          <w:sz w:val="21"/>
        </w:rPr>
      </w:pPr>
    </w:p>
    <w:p>
      <w:pPr>
        <w:pStyle w:val="BodyText"/>
        <w:spacing w:line="360" w:lineRule="auto"/>
        <w:ind w:left="268" w:right="231"/>
        <w:jc w:val="both"/>
      </w:pPr>
      <w:r>
        <w:rPr/>
        <w:t>La representación de la gráfica 5 muestra las distancia que guardan los tres escenarios de los resultados del sistema de indicadores, así mismo se puede observar que el índice social en el escenario real sobre sale y traspasa el área que guardan los datos del escenario deseable, demostrando que la parte ambiental y territorial presentan una mayor distancia del los resultados; deseable y óptimo.</w:t>
      </w:r>
    </w:p>
    <w:p>
      <w:pPr>
        <w:pStyle w:val="BodyText"/>
        <w:spacing w:line="360" w:lineRule="auto" w:before="122"/>
        <w:ind w:left="268" w:right="231"/>
        <w:jc w:val="both"/>
      </w:pPr>
      <w:r>
        <w:rPr/>
        <w:t>En las páginas siguientes se muestran los resultados obtenidos en los siete conjuntos urbanos restantes, cada desarrollo habitacional muestra resultados, características y elementos específicos como se puede apreciar en los mapas, las tablas y las graficas correspondientes, y éstos obedecen al tipo de vivienda desarrollada, la calidad de los materiales con los que construyó la empresa inmobiliaria y sobre todo los datos sociales de sus habitantes.</w:t>
      </w:r>
    </w:p>
    <w:p>
      <w:pPr>
        <w:spacing w:after="0" w:line="360" w:lineRule="auto"/>
        <w:jc w:val="both"/>
        <w:sectPr>
          <w:footerReference w:type="default" r:id="rId145"/>
          <w:pgSz w:w="12240" w:h="15840"/>
          <w:pgMar w:footer="1066" w:header="730" w:top="1320" w:bottom="1260" w:left="1720" w:right="1180"/>
        </w:sectPr>
      </w:pPr>
    </w:p>
    <w:p>
      <w:pPr>
        <w:pStyle w:val="BodyText"/>
        <w:spacing w:before="1"/>
        <w:rPr>
          <w:sz w:val="18"/>
        </w:rPr>
      </w:pPr>
    </w:p>
    <w:p>
      <w:pPr>
        <w:pStyle w:val="BodyText"/>
        <w:spacing w:line="360" w:lineRule="auto" w:before="69"/>
        <w:ind w:left="268" w:right="233"/>
        <w:jc w:val="both"/>
      </w:pPr>
      <w:r>
        <w:rPr/>
        <w:pict>
          <v:line style="position:absolute;mso-position-horizontal-relative:page;mso-position-vertical-relative:paragraph;z-index:9328" from="93.199997pt,-19.614155pt" to="546.799997pt,-19.614155pt" stroked="true" strokeweight=".479981pt" strokecolor="#000000">
            <w10:wrap type="none"/>
          </v:line>
        </w:pict>
      </w:r>
      <w:r>
        <w:rPr/>
        <w:t>Al final de la presentación de los resultados obtenidos en los siete conjuntos urbanos restantes, en el subcapítulo que continua se expone un análisis general  de los nueve conjuntos urbanos que existen en el territorio del municipio de Calimaya, lo que permite conocer la evaluación de la sustentabilidad del territorio con el estudio de los datos obtenidos que muestran el impacto del desarrollo de vivienda formal.</w:t>
      </w:r>
    </w:p>
    <w:p>
      <w:pPr>
        <w:pStyle w:val="BodyText"/>
        <w:spacing w:line="360" w:lineRule="auto" w:before="122"/>
        <w:ind w:left="268" w:right="231"/>
        <w:jc w:val="both"/>
      </w:pPr>
      <w:r>
        <w:rPr/>
        <w:t>El conjunto urbano de tipo medio denominado “Villas del Campo II”, autorizado a la empresa Inmobiliaria GEO Edificaciones, S.A. de C.V. en agosto de 2009, forma parte del proyecto original denominado “Villas del Campo I” por lo que el mapa ocho muestra que es un solo conjunto urbano con dos autorizaciones.</w:t>
      </w:r>
    </w:p>
    <w:p>
      <w:pPr>
        <w:spacing w:before="131"/>
        <w:ind w:left="268" w:right="0" w:firstLine="0"/>
        <w:jc w:val="both"/>
        <w:rPr>
          <w:sz w:val="21"/>
        </w:rPr>
      </w:pPr>
      <w:r>
        <w:rPr>
          <w:w w:val="105"/>
          <w:sz w:val="21"/>
        </w:rPr>
        <w:t>Mapa 8. CU Villas del Campo.</w:t>
      </w:r>
    </w:p>
    <w:p>
      <w:pPr>
        <w:pStyle w:val="BodyText"/>
        <w:spacing w:before="10"/>
        <w:rPr>
          <w:sz w:val="10"/>
        </w:rPr>
      </w:pPr>
      <w:r>
        <w:rPr/>
        <w:drawing>
          <wp:anchor distT="0" distB="0" distL="0" distR="0" allowOverlap="1" layoutInCell="1" locked="0" behindDoc="0" simplePos="0" relativeHeight="9304">
            <wp:simplePos x="0" y="0"/>
            <wp:positionH relativeFrom="page">
              <wp:posOffset>1265300</wp:posOffset>
            </wp:positionH>
            <wp:positionV relativeFrom="paragraph">
              <wp:posOffset>104329</wp:posOffset>
            </wp:positionV>
            <wp:extent cx="5590290" cy="4237482"/>
            <wp:effectExtent l="0" t="0" r="0" b="0"/>
            <wp:wrapTopAndBottom/>
            <wp:docPr id="31" name="image89.jpeg" descr=""/>
            <wp:cNvGraphicFramePr>
              <a:graphicFrameLocks noChangeAspect="1"/>
            </wp:cNvGraphicFramePr>
            <a:graphic>
              <a:graphicData uri="http://schemas.openxmlformats.org/drawingml/2006/picture">
                <pic:pic>
                  <pic:nvPicPr>
                    <pic:cNvPr id="32" name="image89.jpeg"/>
                    <pic:cNvPicPr/>
                  </pic:nvPicPr>
                  <pic:blipFill>
                    <a:blip r:embed="rId158" cstate="print"/>
                    <a:stretch>
                      <a:fillRect/>
                    </a:stretch>
                  </pic:blipFill>
                  <pic:spPr>
                    <a:xfrm>
                      <a:off x="0" y="0"/>
                      <a:ext cx="5590290" cy="4237482"/>
                    </a:xfrm>
                    <a:prstGeom prst="rect">
                      <a:avLst/>
                    </a:prstGeom>
                  </pic:spPr>
                </pic:pic>
              </a:graphicData>
            </a:graphic>
          </wp:anchor>
        </w:drawing>
      </w:r>
    </w:p>
    <w:p>
      <w:pPr>
        <w:spacing w:before="87"/>
        <w:ind w:left="268" w:right="0" w:firstLine="0"/>
        <w:jc w:val="both"/>
        <w:rPr>
          <w:sz w:val="21"/>
        </w:rPr>
      </w:pPr>
      <w:r>
        <w:rPr>
          <w:w w:val="105"/>
          <w:sz w:val="21"/>
        </w:rPr>
        <w:t>Fuente: Elaboración propia con base al estudio realizado.</w:t>
      </w:r>
    </w:p>
    <w:p>
      <w:pPr>
        <w:spacing w:after="0"/>
        <w:jc w:val="both"/>
        <w:rPr>
          <w:sz w:val="21"/>
        </w:rPr>
        <w:sectPr>
          <w:footerReference w:type="default" r:id="rId157"/>
          <w:pgSz w:w="12240" w:h="15840"/>
          <w:pgMar w:footer="1066" w:header="730" w:top="1320" w:bottom="1260" w:left="1720" w:right="1180"/>
          <w:pgNumType w:start="191"/>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9352" from="93.199997pt,-19.614155pt" to="546.799997pt,-19.614155pt" stroked="true" strokeweight=".479981pt" strokecolor="#000000">
            <w10:wrap type="none"/>
          </v:line>
        </w:pict>
      </w:r>
      <w:r>
        <w:rPr/>
        <w:t>En lo que respecta al conjunto urbano de Villas del Campo II, cabe aclarar que fue autorizado en predios ubicados en el conjunto urbano Villas del Campo. Villas del Campo II es una autorización realizada en una extinción parcial de la primera autorización, en la extinción parcial de Villas del Campo se quitaron 1,333 viviendas de tipo medio y con la autorización de Villas del Campo II, se aumentaron 559 viviendas adicionales a la versión original del</w:t>
      </w:r>
      <w:r>
        <w:rPr>
          <w:spacing w:val="-1"/>
        </w:rPr>
        <w:t> </w:t>
      </w:r>
      <w:r>
        <w:rPr/>
        <w:t>proyecto.</w:t>
      </w:r>
    </w:p>
    <w:p>
      <w:pPr>
        <w:pStyle w:val="BodyText"/>
        <w:spacing w:line="360" w:lineRule="auto" w:before="122"/>
        <w:ind w:left="268" w:right="231"/>
        <w:jc w:val="both"/>
      </w:pPr>
      <w:r>
        <w:rPr/>
        <w:t>Para el análisis de los datos se tomó en cuenta la individualidad de cada proyecto con sus superficies aplicables de acuerdo a la normatividad, dado que las superficies de áreas verdes, urbanización, infraestructura y áreas de donación no fueron afectadas ni en mayor, ni en menor medida, la modificación realizada fue sobre la superficie de los lotes privativos de cada vivienda, ya que los lotes autorizados en la primera versión del conjunto urbano contaban con mayor superficie de terreno.</w:t>
      </w:r>
    </w:p>
    <w:p>
      <w:pPr>
        <w:pStyle w:val="BodyText"/>
        <w:spacing w:line="360" w:lineRule="auto" w:before="127"/>
        <w:ind w:left="268" w:right="231"/>
        <w:jc w:val="both"/>
      </w:pPr>
      <w:r>
        <w:rPr/>
        <w:t>Al reducir la superficie de terreno de la vivienda sin disminuir la superficie de construcción del tipo de vivienda que se estaba realizando, pudieron lograr contar con una superficie adicional para incrementar el número de viviendas del proyecto.</w:t>
      </w:r>
    </w:p>
    <w:p>
      <w:pPr>
        <w:pStyle w:val="BodyText"/>
        <w:spacing w:line="360" w:lineRule="auto" w:before="122"/>
        <w:ind w:left="268" w:right="231"/>
        <w:jc w:val="both"/>
      </w:pPr>
      <w:r>
        <w:rPr/>
        <w:t>En relación a los indicadores obtenidos y los índices de sustentabilidad la diferencia entre ambos proyectos es mínima, ya que en realidad y físicamente el proyecto es uno, cuenta con las mismas características y no se encuentran dividido físicamente uno del otro.</w:t>
      </w:r>
    </w:p>
    <w:p>
      <w:pPr>
        <w:pStyle w:val="BodyText"/>
        <w:spacing w:line="360" w:lineRule="auto" w:before="122"/>
        <w:ind w:left="268" w:right="231"/>
        <w:jc w:val="both"/>
      </w:pPr>
      <w:r>
        <w:rPr/>
        <w:t>Con base en el trabajo de campo realizado, en las entrevistas con administradores públicos y desarrolladores inmobiliarios, este tipo de estrategia obedeció a una estructura en el proceso de venta de las viviendas, puesto que al reducir los lotes de las viviendas podrían reducir el costo de las mismas, así como aumentar el número de viviendas a la venta.</w:t>
      </w:r>
    </w:p>
    <w:p>
      <w:pPr>
        <w:pStyle w:val="BodyText"/>
        <w:spacing w:line="360" w:lineRule="auto" w:before="127"/>
        <w:ind w:left="268" w:right="231"/>
        <w:jc w:val="both"/>
      </w:pPr>
      <w:r>
        <w:rPr/>
        <w:t>Esta estrategia permitió aumentar la ganancia de la empresa en las viviendas puesto que la venta de superficie construida más superficie sin construir representa un ingreso mayor que en comparación a la venta de terreno</w:t>
      </w:r>
      <w:r>
        <w:rPr>
          <w:spacing w:val="-2"/>
        </w:rPr>
        <w:t> </w:t>
      </w:r>
      <w:r>
        <w:rPr/>
        <w:t>adicional.</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9376" from="93.199997pt,-19.614155pt" to="546.799997pt,-19.614155pt" stroked="true" strokeweight=".479981pt" strokecolor="#000000">
            <w10:wrap type="none"/>
          </v:line>
        </w:pict>
      </w:r>
      <w:r>
        <w:rPr/>
        <w:t>En este caso en específico el proyecto pudo contar con este tipo de modificación, que hasta cierto punto no representó mayor demérito del conjunto urbano; sin embargo, en otros proyectos pudiera darse el caso de realizar extinciones parciales o totales del proyecto, que pueden generar como resultado cambios drásticos en el tipo de vivienda, mezcla de usos del suelo incompatibles, por mencionar algunos, para el caso de estudio en el Municipio de Calimaya, solo el proyecto de Villas del Campo contó con este tipo de autorización al</w:t>
      </w:r>
      <w:r>
        <w:rPr>
          <w:spacing w:val="-1"/>
        </w:rPr>
        <w:t> </w:t>
      </w:r>
      <w:r>
        <w:rPr/>
        <w:t>proyecto.</w:t>
      </w:r>
    </w:p>
    <w:p>
      <w:pPr>
        <w:pStyle w:val="BodyText"/>
        <w:spacing w:line="360" w:lineRule="auto" w:before="122"/>
        <w:ind w:left="268" w:right="231"/>
        <w:jc w:val="both"/>
      </w:pPr>
      <w:r>
        <w:rPr/>
        <w:t>En relación a la evaluación del índice de sustentabilidad social el desarrollo presenta una valoración positiva al estar por encima en dos décimas del resultado deseable, ver tabla 26. Este resultado indica que el conjunto urbano cuenta con cierto grado de sustentabilidad en los aspectos sociales que abarcan temas relacionados con la vivienda, las oportunidades urbanas, la organización vecinal y su participación, así como la valoración de índices similares en la evaluación del desarrollo a nivel nacional.</w:t>
      </w:r>
    </w:p>
    <w:p>
      <w:pPr>
        <w:pStyle w:val="BodyText"/>
        <w:spacing w:line="360" w:lineRule="auto" w:before="122"/>
        <w:ind w:left="268" w:right="231"/>
        <w:jc w:val="both"/>
      </w:pPr>
      <w:r>
        <w:rPr/>
        <w:t>En relación a la evaluación del índice de sustentabilidad ambiental se obtuvo un resultado con 8.3 puntos que se sitúa por debajo del valor deseable de la evaluación, por lo que el proyecto habitacional refleja que en materia ambiental no es sustentable, como se puede apreciar en la tabla 26.</w:t>
      </w:r>
    </w:p>
    <w:p>
      <w:pPr>
        <w:pStyle w:val="BodyText"/>
        <w:spacing w:line="360" w:lineRule="auto" w:before="122"/>
        <w:ind w:left="268" w:right="232"/>
        <w:jc w:val="both"/>
      </w:pPr>
      <w:r>
        <w:rPr/>
        <w:t>Los resultados obtenidos de los indicadores en el eje ambiental revelan que en los siete subíndices los resultados están por debajo de la evaluación deseable.</w:t>
      </w:r>
    </w:p>
    <w:p>
      <w:pPr>
        <w:pStyle w:val="BodyText"/>
        <w:spacing w:line="360" w:lineRule="auto" w:before="122"/>
        <w:ind w:left="268" w:right="231"/>
        <w:jc w:val="both"/>
      </w:pPr>
      <w:r>
        <w:rPr/>
        <w:t>En la evaluación del índice de sustentabilidad económica, los resultados obtenidos demuestran que el proyecto habitacional se encuentra por debajo del resultado deseable que permita considerar que los subíndices obtenidos garanticen factores positivos en materia económica a los habitantes, como se puede observar en la tabla 26.</w:t>
      </w:r>
    </w:p>
    <w:p>
      <w:pPr>
        <w:spacing w:after="0" w:line="360" w:lineRule="auto"/>
        <w:jc w:val="both"/>
        <w:sectPr>
          <w:pgSz w:w="12240" w:h="15840"/>
          <w:pgMar w:header="730" w:footer="1066" w:top="1320" w:bottom="1260" w:left="1720" w:right="1180"/>
        </w:sectPr>
      </w:pPr>
    </w:p>
    <w:p>
      <w:pPr>
        <w:pStyle w:val="BodyText"/>
        <w:spacing w:line="20" w:lineRule="exact"/>
        <w:ind w:left="139"/>
        <w:rPr>
          <w:sz w:val="2"/>
        </w:rPr>
      </w:pPr>
      <w:r>
        <w:rPr>
          <w:sz w:val="2"/>
        </w:rPr>
        <w:pict>
          <v:group style="width:454.1pt;height:.5pt;mso-position-horizontal-relative:char;mso-position-vertical-relative:line" coordorigin="0,0" coordsize="9082,10">
            <v:line style="position:absolute" from="5,5" to="9077,5" stroked="true" strokeweight=".479981pt" strokecolor="#000000"/>
          </v:group>
        </w:pict>
      </w:r>
      <w:r>
        <w:rPr>
          <w:sz w:val="2"/>
        </w:rPr>
      </w:r>
    </w:p>
    <w:p>
      <w:pPr>
        <w:pStyle w:val="BodyText"/>
        <w:rPr>
          <w:sz w:val="20"/>
        </w:rPr>
      </w:pPr>
    </w:p>
    <w:p>
      <w:pPr>
        <w:pStyle w:val="BodyText"/>
        <w:rPr>
          <w:sz w:val="20"/>
        </w:rPr>
      </w:pPr>
    </w:p>
    <w:p>
      <w:pPr>
        <w:pStyle w:val="BodyText"/>
        <w:rPr>
          <w:sz w:val="20"/>
        </w:rPr>
      </w:pPr>
    </w:p>
    <w:p>
      <w:pPr>
        <w:pStyle w:val="BodyText"/>
        <w:spacing w:before="1"/>
        <w:rPr>
          <w:sz w:val="28"/>
        </w:rPr>
      </w:pPr>
    </w:p>
    <w:p>
      <w:pPr>
        <w:spacing w:before="83"/>
        <w:ind w:left="3133" w:right="0" w:firstLine="0"/>
        <w:jc w:val="left"/>
        <w:rPr>
          <w:b/>
          <w:sz w:val="15"/>
        </w:rPr>
      </w:pPr>
      <w:r>
        <w:rPr>
          <w:b/>
          <w:color w:val="595959"/>
          <w:sz w:val="15"/>
        </w:rPr>
        <w:t>Indicadores por Índices de Sustentabilidad</w:t>
      </w:r>
    </w:p>
    <w:p>
      <w:pPr>
        <w:pStyle w:val="BodyText"/>
        <w:spacing w:before="8"/>
        <w:rPr>
          <w:b/>
          <w:sz w:val="13"/>
        </w:rPr>
      </w:pPr>
    </w:p>
    <w:p>
      <w:pPr>
        <w:tabs>
          <w:tab w:pos="4054" w:val="left" w:leader="none"/>
          <w:tab w:pos="4899" w:val="left" w:leader="none"/>
          <w:tab w:pos="5798" w:val="left" w:leader="none"/>
        </w:tabs>
        <w:spacing w:before="1"/>
        <w:ind w:left="3394" w:right="0" w:firstLine="0"/>
        <w:jc w:val="left"/>
        <w:rPr>
          <w:b/>
          <w:sz w:val="9"/>
        </w:rPr>
      </w:pPr>
      <w:r>
        <w:rPr/>
        <w:pict>
          <v:group style="position:absolute;margin-left:203.042847pt;margin-top:12.152047pt;width:235.9pt;height:236.6pt;mso-position-horizontal-relative:page;mso-position-vertical-relative:paragraph;z-index:9448;mso-wrap-distance-left:0;mso-wrap-distance-right:0" coordorigin="4061,243" coordsize="4718,4732">
            <v:shape style="position:absolute;left:6169;top:2389;width:478;height:479" type="#_x0000_t75" stroked="false">
              <v:imagedata r:id="rId113" o:title=""/>
            </v:shape>
            <v:shape style="position:absolute;left:4061;top:278;width:4692;height:4696" type="#_x0000_t75" stroked="false">
              <v:imagedata r:id="rId160" o:title=""/>
            </v:shape>
            <v:line style="position:absolute" from="7815,2623" to="8739,2775" stroked="true" strokeweight="1.223655pt" strokecolor="#1ac31a"/>
            <v:line style="position:absolute" from="8739,2775" to="8728,2916" stroked="true" strokeweight="1.222562pt" strokecolor="#1ac31a"/>
            <v:line style="position:absolute" from="8728,2916" to="6403,2623" stroked="true" strokeweight="1.223667pt" strokecolor="#1ac31a"/>
            <v:line style="position:absolute" from="6403,2623" to="8674,3210" stroked="true" strokeweight="1.223614pt" strokecolor="#1ac31a"/>
            <v:line style="position:absolute" from="8674,3210" to="6403,2623" stroked="true" strokeweight="1.223614pt" strokecolor="#1ac31a"/>
            <v:line style="position:absolute" from="6403,2623" to="7489,3058" stroked="true" strokeweight="1.223528pt" strokecolor="#1ac31a"/>
            <v:line style="position:absolute" from="7489,3058" to="6403,2623" stroked="true" strokeweight="1.223528pt" strokecolor="#1ac31a"/>
            <v:line style="position:absolute" from="6403,2623" to="7392,3253" stroked="true" strokeweight="1.223358pt" strokecolor="#1ac31a"/>
            <v:line style="position:absolute" from="7392,3253" to="7348,3319" stroked="true" strokeweight="1.222903pt" strokecolor="#1ac31a"/>
            <v:line style="position:absolute" from="7348,3319" to="7305,3373" stroked="true" strokeweight="1.222996pt" strokecolor="#1ac31a"/>
            <v:line style="position:absolute" from="7305,3373" to="8109,4232" stroked="true" strokeweight="1.223083pt" strokecolor="#1ac31a"/>
            <v:line style="position:absolute" from="8109,4232" to="7207,3482" stroked="true" strokeweight="1.223223pt" strokecolor="#1ac31a"/>
            <v:line style="position:absolute" from="7207,3482" to="7153,3525" stroked="true" strokeweight="1.223243pt" strokecolor="#1ac31a"/>
            <v:line style="position:absolute" from="7153,3525" to="6403,2623" stroked="true" strokeweight="1.223016pt" strokecolor="#1ac31a"/>
            <v:line style="position:absolute" from="6403,2623" to="7663,4602" stroked="true" strokeweight="1.222881pt" strokecolor="#1ac31a"/>
            <v:line style="position:absolute" from="7663,4602" to="6968,3656" stroked="true" strokeweight="1.222952pt" strokecolor="#1ac31a"/>
            <v:line style="position:absolute" from="6968,3656" to="6609,3047" stroked="true" strokeweight="1.222846pt" strokecolor="#1ac31a"/>
            <v:line style="position:absolute" from="6609,3047" to="6403,2623" stroked="true" strokeweight="1.222772pt" strokecolor="#1ac31a"/>
            <v:shape style="position:absolute;left:7779;top:2587;width:76;height:76" type="#_x0000_t75" stroked="false">
              <v:imagedata r:id="rId115" o:title=""/>
            </v:shape>
            <v:shape style="position:absolute;left:8703;top:2739;width:76;height:76" type="#_x0000_t75" stroked="false">
              <v:imagedata r:id="rId115" o:title=""/>
            </v:shape>
            <v:shape style="position:absolute;left:8692;top:2881;width:76;height:76" type="#_x0000_t75" stroked="false">
              <v:imagedata r:id="rId115" o:title=""/>
            </v:shape>
            <v:shape style="position:absolute;left:8637;top:3174;width:76;height:76" type="#_x0000_t75" stroked="false">
              <v:imagedata r:id="rId115" o:title=""/>
            </v:shape>
            <v:shape style="position:absolute;left:7453;top:3022;width:76;height:76" type="#_x0000_t75" stroked="false">
              <v:imagedata r:id="rId115" o:title=""/>
            </v:shape>
            <v:shape style="position:absolute;left:8072;top:4197;width:76;height:76" type="#_x0000_t75" stroked="false">
              <v:imagedata r:id="rId115" o:title=""/>
            </v:shape>
            <v:shape style="position:absolute;left:7116;top:3218;width:315;height:348" type="#_x0000_t75" stroked="false">
              <v:imagedata r:id="rId139" o:title=""/>
            </v:shape>
            <v:shape style="position:absolute;left:7627;top:4567;width:76;height:76" type="#_x0000_t75" stroked="false">
              <v:imagedata r:id="rId115" o:title=""/>
            </v:shape>
            <v:shape style="position:absolute;left:6931;top:3620;width:76;height:76" type="#_x0000_t75" stroked="false">
              <v:imagedata r:id="rId115" o:title=""/>
            </v:shape>
            <v:shape style="position:absolute;left:6573;top:3011;width:76;height:76" type="#_x0000_t75" stroked="false">
              <v:imagedata r:id="rId115" o:title=""/>
            </v:shape>
            <v:shape style="position:absolute;left:6366;top:2587;width:76;height:76" type="#_x0000_t75" stroked="false">
              <v:imagedata r:id="rId140" o:title=""/>
            </v:shape>
            <v:line style="position:absolute" from="6403,2623" to="5153,4602" stroked="true" strokeweight="1.222877pt" strokecolor="#ffca00"/>
            <v:line style="position:absolute" from="5153,4602" to="5164,4330" stroked="true" strokeweight="1.222557pt" strokecolor="#ffca00"/>
            <v:line style="position:absolute" from="5164,4330" to="5512,3710" stroked="true" strokeweight="1.222826pt" strokecolor="#ffca00"/>
            <v:line style="position:absolute" from="5512,3710" to="5283,3819" stroked="true" strokeweight="1.223475pt" strokecolor="#ffca00"/>
            <v:line style="position:absolute" from="5283,3819" to="6403,2623" stroked="true" strokeweight="1.223082pt" strokecolor="#ffca00"/>
            <v:line style="position:absolute" from="6403,2623" to="5077,3591" stroked="true" strokeweight="1.223292pt" strokecolor="#ffca00"/>
            <v:line style="position:absolute" from="5077,3591" to="6012,2873" stroked="true" strokeweight="1.223266pt" strokecolor="#ffca00"/>
            <v:line style="position:absolute" from="6012,2873" to="5175,3308" stroked="true" strokeweight="1.223444pt" strokecolor="#ffca00"/>
            <v:shape style="position:absolute;left:5116;top:4567;width:76;height:76" type="#_x0000_t75" stroked="false">
              <v:imagedata r:id="rId119" o:title=""/>
            </v:shape>
            <v:shape style="position:absolute;left:5127;top:4295;width:76;height:76" type="#_x0000_t75" stroked="false">
              <v:imagedata r:id="rId119" o:title=""/>
            </v:shape>
            <v:shape style="position:absolute;left:5475;top:3675;width:76;height:76" type="#_x0000_t75" stroked="false">
              <v:imagedata r:id="rId119" o:title=""/>
            </v:shape>
            <v:shape style="position:absolute;left:5247;top:3783;width:76;height:76" type="#_x0000_t75" stroked="false">
              <v:imagedata r:id="rId119" o:title=""/>
            </v:shape>
            <v:shape style="position:absolute;left:6366;top:2587;width:76;height:76" type="#_x0000_t75" stroked="false">
              <v:imagedata r:id="rId141" o:title=""/>
            </v:shape>
            <v:shape style="position:absolute;left:5040;top:3555;width:76;height:76" type="#_x0000_t75" stroked="false">
              <v:imagedata r:id="rId119" o:title=""/>
            </v:shape>
            <v:shape style="position:absolute;left:5975;top:2837;width:76;height:76" type="#_x0000_t75" stroked="false">
              <v:imagedata r:id="rId119" o:title=""/>
            </v:shape>
            <v:shape style="position:absolute;left:5138;top:3272;width:76;height:76" type="#_x0000_t75" stroked="false">
              <v:imagedata r:id="rId119" o:title=""/>
            </v:shape>
            <v:line style="position:absolute" from="5273,2329" to="5294,2264" stroked="true" strokeweight="1.222668pt" strokecolor="#927200"/>
            <v:line style="position:absolute" from="5294,2264" to="4229,1763" stroked="true" strokeweight="1.223480pt" strokecolor="#927200"/>
            <v:line style="position:absolute" from="4229,1763" to="5349,2122" stroked="true" strokeweight="1.223579pt" strokecolor="#927200"/>
            <v:line style="position:absolute" from="5349,2122" to="5381,2057" stroked="true" strokeweight="1.222781pt" strokecolor="#927200"/>
            <v:line style="position:absolute" from="5381,2057" to="6403,2623" stroked="true" strokeweight="1.22342pt" strokecolor="#927200"/>
            <v:line style="position:absolute" from="6403,2623" to="5935,2285" stroked="true" strokeweight="1.223298pt" strokecolor="#927200"/>
            <v:line style="position:absolute" from="5935,2285" to="4599,1132" stroked="true" strokeweight="1.223203pt" strokecolor="#927200"/>
            <v:line style="position:absolute" from="4599,1132" to="5979,2220" stroked="true" strokeweight="1.223252pt" strokecolor="#927200"/>
            <v:line style="position:absolute" from="5979,2220" to="5349,1502" stroked="true" strokeweight="1.223047pt" strokecolor="#927200"/>
            <v:line style="position:absolute" from="5349,1502" to="5512,1546" stroked="true" strokeweight="1.223609pt" strokecolor="#927200"/>
            <v:line style="position:absolute" from="5512,1546" to="6131,2242" stroked="true" strokeweight="1.223054pt" strokecolor="#927200"/>
            <v:line style="position:absolute" from="6131,2242" to="5903,1828" stroked="true" strokeweight="1.222819pt" strokecolor="#927200"/>
            <v:line style="position:absolute" from="5903,1828" to="5838,1600" stroked="true" strokeweight="1.222641pt" strokecolor="#927200"/>
            <v:line style="position:absolute" from="5838,1600" to="6403,2623" stroked="true" strokeweight="1.22282pt" strokecolor="#927200"/>
            <v:line style="position:absolute" from="6403,2623" to="6044,1513" stroked="true" strokeweight="1.222662pt" strokecolor="#927200"/>
            <v:shape style="position:absolute;left:5236;top:2228;width:98;height:141" type="#_x0000_t75" stroked="false">
              <v:imagedata r:id="rId161" o:title=""/>
            </v:shape>
            <v:shape style="position:absolute;left:4193;top:1728;width:76;height:76" type="#_x0000_t75" stroked="false">
              <v:imagedata r:id="rId122" o:title=""/>
            </v:shape>
            <v:shape style="position:absolute;left:5312;top:2021;width:109;height:141" type="#_x0000_t75" stroked="false">
              <v:imagedata r:id="rId162" o:title=""/>
            </v:shape>
            <v:shape style="position:absolute;left:4562;top:1097;width:76;height:76" type="#_x0000_t75" stroked="false">
              <v:imagedata r:id="rId122" o:title=""/>
            </v:shape>
            <v:shape style="position:absolute;left:5899;top:2184;width:120;height:141" type="#_x0000_t75" stroked="false">
              <v:imagedata r:id="rId143" o:title=""/>
            </v:shape>
            <v:shape style="position:absolute;left:5312;top:1467;width:76;height:76" type="#_x0000_t75" stroked="false">
              <v:imagedata r:id="rId122" o:title=""/>
            </v:shape>
            <v:shape style="position:absolute;left:5475;top:1510;width:76;height:76" type="#_x0000_t75" stroked="false">
              <v:imagedata r:id="rId122" o:title=""/>
            </v:shape>
            <v:shape style="position:absolute;left:6094;top:2206;width:76;height:76" type="#_x0000_t75" stroked="false">
              <v:imagedata r:id="rId122" o:title=""/>
            </v:shape>
            <v:shape style="position:absolute;left:5866;top:1793;width:76;height:76" type="#_x0000_t75" stroked="false">
              <v:imagedata r:id="rId122" o:title=""/>
            </v:shape>
            <v:shape style="position:absolute;left:5801;top:1564;width:76;height:76" type="#_x0000_t75" stroked="false">
              <v:imagedata r:id="rId122" o:title=""/>
            </v:shape>
            <v:shape style="position:absolute;left:6366;top:2587;width:76;height:76" type="#_x0000_t75" stroked="false">
              <v:imagedata r:id="rId144" o:title=""/>
            </v:shape>
            <v:shape style="position:absolute;left:6007;top:1477;width:76;height:76" type="#_x0000_t75" stroked="false">
              <v:imagedata r:id="rId122" o:title=""/>
            </v:shape>
            <v:shape style="position:absolute;left:6189;top:243;width:131;height:2442" type="#_x0000_t202" filled="false" stroked="false">
              <v:textbox inset="0,0,0,0">
                <w:txbxContent>
                  <w:p>
                    <w:pPr>
                      <w:spacing w:line="101" w:lineRule="exact" w:before="0"/>
                      <w:ind w:left="80" w:right="0" w:firstLine="0"/>
                      <w:jc w:val="left"/>
                      <w:rPr>
                        <w:rFonts w:ascii="Calibri"/>
                        <w:sz w:val="9"/>
                      </w:rPr>
                    </w:pPr>
                    <w:r>
                      <w:rPr>
                        <w:rFonts w:ascii="Calibri"/>
                        <w:color w:val="595959"/>
                        <w:w w:val="108"/>
                        <w:sz w:val="9"/>
                      </w:rPr>
                      <w:t>1</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0.9</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0.8</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0.7</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0.6</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0.5</w:t>
                    </w:r>
                  </w:p>
                  <w:p>
                    <w:pPr>
                      <w:spacing w:line="240" w:lineRule="auto" w:before="9"/>
                      <w:rPr>
                        <w:b/>
                        <w:sz w:val="10"/>
                      </w:rPr>
                    </w:pPr>
                  </w:p>
                  <w:p>
                    <w:pPr>
                      <w:spacing w:before="0"/>
                      <w:ind w:left="0" w:right="-15" w:firstLine="0"/>
                      <w:jc w:val="left"/>
                      <w:rPr>
                        <w:rFonts w:ascii="Calibri"/>
                        <w:sz w:val="9"/>
                      </w:rPr>
                    </w:pPr>
                    <w:r>
                      <w:rPr>
                        <w:rFonts w:ascii="Calibri"/>
                        <w:color w:val="595959"/>
                        <w:w w:val="110"/>
                        <w:sz w:val="9"/>
                      </w:rPr>
                      <w:t>0.4</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0.3</w:t>
                    </w:r>
                  </w:p>
                  <w:p>
                    <w:pPr>
                      <w:spacing w:line="240" w:lineRule="auto" w:before="9"/>
                      <w:rPr>
                        <w:b/>
                        <w:sz w:val="10"/>
                      </w:rPr>
                    </w:pPr>
                  </w:p>
                  <w:p>
                    <w:pPr>
                      <w:spacing w:before="0"/>
                      <w:ind w:left="0" w:right="-15" w:firstLine="0"/>
                      <w:jc w:val="left"/>
                      <w:rPr>
                        <w:rFonts w:ascii="Calibri"/>
                        <w:sz w:val="9"/>
                      </w:rPr>
                    </w:pPr>
                    <w:r>
                      <w:rPr>
                        <w:rFonts w:ascii="Calibri"/>
                        <w:color w:val="595959"/>
                        <w:w w:val="110"/>
                        <w:sz w:val="9"/>
                      </w:rPr>
                      <w:t>0.2</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0.1</w:t>
                    </w:r>
                  </w:p>
                  <w:p>
                    <w:pPr>
                      <w:spacing w:line="240" w:lineRule="auto" w:before="9"/>
                      <w:rPr>
                        <w:b/>
                        <w:sz w:val="10"/>
                      </w:rPr>
                    </w:pPr>
                  </w:p>
                  <w:p>
                    <w:pPr>
                      <w:spacing w:line="107" w:lineRule="exact" w:before="0"/>
                      <w:ind w:left="76" w:right="0" w:firstLine="0"/>
                      <w:jc w:val="left"/>
                      <w:rPr>
                        <w:rFonts w:ascii="Calibri"/>
                        <w:sz w:val="9"/>
                      </w:rPr>
                    </w:pPr>
                    <w:r>
                      <w:rPr>
                        <w:rFonts w:ascii="Calibri"/>
                        <w:color w:val="595959"/>
                        <w:w w:val="108"/>
                        <w:sz w:val="9"/>
                      </w:rPr>
                      <w:t>0</w:t>
                    </w:r>
                  </w:p>
                </w:txbxContent>
              </v:textbox>
              <w10:wrap type="none"/>
            </v:shape>
            <w10:wrap type="topAndBottom"/>
          </v:group>
        </w:pict>
      </w:r>
      <w:r>
        <w:rPr/>
        <w:pict>
          <v:group style="position:absolute;margin-left:243.623001pt;margin-top:.597751pt;width:11.7pt;height:3.3pt;mso-position-horizontal-relative:page;mso-position-vertical-relative:paragraph;z-index:9472" coordorigin="4872,12" coordsize="234,66">
            <v:line style="position:absolute" from="4885,42" to="5094,42" stroked="true" strokeweight="1.223684pt" strokecolor="#8448b0"/>
            <v:shape style="position:absolute;left:4957;top:17;width:55;height:55" coordorigin="4957,17" coordsize="55,55" path="m5000,17l4970,17,4957,30,4957,60,4970,72,5000,72,5012,60,5012,30,5000,17xe" filled="true" fillcolor="#6cacdd" stroked="false">
              <v:path arrowok="t"/>
              <v:fill type="solid"/>
            </v:shape>
            <v:shape style="position:absolute;left:4957;top:17;width:55;height:55" coordorigin="4957,17" coordsize="55,55" path="m5012,45l5012,60,5000,72,4985,72,4970,72,4957,60,4957,45,4957,30,4970,17,4985,17,5000,17,5012,30,5012,45xe" filled="false" stroked="true" strokeweight=".543609pt" strokecolor="#ff2600">
              <v:path arrowok="t"/>
            </v:shape>
            <w10:wrap type="none"/>
          </v:group>
        </w:pict>
      </w:r>
      <w:r>
        <w:rPr/>
        <w:pict>
          <v:group style="position:absolute;margin-left:276.630005pt;margin-top:.597751pt;width:11.7pt;height:3.3pt;mso-position-horizontal-relative:page;mso-position-vertical-relative:paragraph;z-index:-1148536" coordorigin="5533,12" coordsize="234,66">
            <v:line style="position:absolute" from="5545,42" to="5754,42" stroked="true" strokeweight="1.223684pt" strokecolor="#1ac31a"/>
            <v:shape style="position:absolute;left:5620;top:17;width:55;height:55" coordorigin="5620,17" coordsize="55,55" path="m5662,17l5632,17,5620,30,5620,60,5632,72,5662,72,5675,60,5675,30,5662,17xe" filled="true" fillcolor="#f2913f" stroked="false">
              <v:path arrowok="t"/>
              <v:fill type="solid"/>
            </v:shape>
            <v:shape style="position:absolute;left:5620;top:17;width:55;height:55" coordorigin="5620,17" coordsize="55,55" path="m5675,45l5675,60,5662,72,5647,72,5632,72,5620,60,5620,45,5620,30,5632,17,5647,17,5662,17,5675,30,5675,45xe" filled="false" stroked="true" strokeweight=".543609pt" strokecolor="#ff2600">
              <v:path arrowok="t"/>
            </v:shape>
            <w10:wrap type="none"/>
          </v:group>
        </w:pict>
      </w:r>
      <w:r>
        <w:rPr/>
        <w:pict>
          <v:group style="position:absolute;margin-left:318.871002pt;margin-top:.597751pt;width:11.7pt;height:3.3pt;mso-position-horizontal-relative:page;mso-position-vertical-relative:paragraph;z-index:-1148512" coordorigin="6377,12" coordsize="234,66">
            <v:line style="position:absolute" from="6390,42" to="6599,42" stroked="true" strokeweight="1.223684pt" strokecolor="#ffca00"/>
            <v:shape style="position:absolute;left:6467;top:17;width:55;height:55" coordorigin="6467,17" coordsize="55,55" path="m6509,17l6479,17,6467,30,6467,60,6479,72,6509,72,6521,60,6521,30,6509,17xe" filled="true" fillcolor="#b4b4b4" stroked="false">
              <v:path arrowok="t"/>
              <v:fill type="solid"/>
            </v:shape>
            <v:shape style="position:absolute;left:6467;top:17;width:55;height:55" coordorigin="6467,17" coordsize="55,55" path="m6521,45l6521,60,6509,72,6494,72,6479,72,6467,60,6467,45,6467,30,6479,17,6494,17,6509,17,6521,30,6521,45xe" filled="false" stroked="true" strokeweight=".543609pt" strokecolor="#ff2600">
              <v:path arrowok="t"/>
            </v:shape>
            <w10:wrap type="none"/>
          </v:group>
        </w:pict>
      </w:r>
      <w:r>
        <w:rPr/>
        <w:pict>
          <v:group style="position:absolute;margin-left:363.828979pt;margin-top:.597751pt;width:11.7pt;height:3.3pt;mso-position-horizontal-relative:page;mso-position-vertical-relative:paragraph;z-index:-1148488" coordorigin="7277,12" coordsize="234,66">
            <v:line style="position:absolute" from="7289,42" to="7498,42" stroked="true" strokeweight="1.223684pt" strokecolor="#927200"/>
            <v:shape style="position:absolute;left:7366;top:17;width:55;height:55" coordorigin="7366,17" coordsize="55,55" path="m7408,17l7378,17,7366,30,7366,60,7378,72,7408,72,7421,60,7421,30,7408,17xe" filled="true" fillcolor="#ffca00" stroked="false">
              <v:path arrowok="t"/>
              <v:fill type="solid"/>
            </v:shape>
            <v:shape style="position:absolute;left:7366;top:17;width:55;height:55" coordorigin="7366,17" coordsize="55,55" path="m7421,45l7421,60,7408,72,7393,72,7378,72,7366,60,7366,45,7366,30,7378,17,7393,17,7408,17,7421,30,7421,45xe" filled="false" stroked="true" strokeweight=".543609pt" strokecolor="#ff2600">
              <v:path arrowok="t"/>
            </v:shape>
            <w10:wrap type="none"/>
          </v:group>
        </w:pict>
      </w:r>
      <w:r>
        <w:rPr>
          <w:b/>
          <w:color w:val="595959"/>
          <w:w w:val="110"/>
          <w:sz w:val="9"/>
        </w:rPr>
        <w:t>Social</w:t>
        <w:tab/>
        <w:t>Ambiental</w:t>
        <w:tab/>
        <w:t>Económico</w:t>
        <w:tab/>
        <w:t>Territorial</w:t>
      </w:r>
    </w:p>
    <w:p>
      <w:pPr>
        <w:pStyle w:val="BodyText"/>
        <w:spacing w:before="6"/>
        <w:rPr>
          <w:b/>
          <w:sz w:val="14"/>
        </w:rPr>
      </w:pPr>
    </w:p>
    <w:p>
      <w:pPr>
        <w:spacing w:before="79"/>
        <w:ind w:left="268" w:right="0" w:firstLine="0"/>
        <w:jc w:val="left"/>
        <w:rPr>
          <w:sz w:val="21"/>
        </w:rPr>
      </w:pPr>
      <w:r>
        <w:rPr>
          <w:w w:val="105"/>
          <w:sz w:val="21"/>
        </w:rPr>
        <w:t>Fuente: Elaboración propia con base al estudio realizado.</w:t>
      </w:r>
    </w:p>
    <w:p>
      <w:pPr>
        <w:pStyle w:val="BodyText"/>
        <w:rPr>
          <w:sz w:val="22"/>
        </w:rPr>
      </w:pPr>
    </w:p>
    <w:p>
      <w:pPr>
        <w:pStyle w:val="BodyText"/>
        <w:rPr>
          <w:sz w:val="22"/>
        </w:rPr>
      </w:pPr>
    </w:p>
    <w:p>
      <w:pPr>
        <w:pStyle w:val="BodyText"/>
        <w:spacing w:before="136"/>
        <w:ind w:left="268"/>
      </w:pPr>
      <w:r>
        <w:rPr/>
        <w:pict>
          <v:rect style="position:absolute;margin-left:295.265015pt;margin-top:76.618965pt;width:50.9766pt;height:16.003900pt;mso-position-horizontal-relative:page;mso-position-vertical-relative:paragraph;z-index:-1148464" filled="true" fillcolor="#f79646" stroked="false">
            <v:fill type="solid"/>
            <w10:wrap type="none"/>
          </v:rect>
        </w:pict>
      </w:r>
      <w:r>
        <w:rPr/>
        <w:pict>
          <v:rect style="position:absolute;margin-left:295.265015pt;margin-top:106.625961pt;width:50.9766pt;height:16.003900pt;mso-position-horizontal-relative:page;mso-position-vertical-relative:paragraph;z-index:-1148440" filled="true" fillcolor="#f79646" stroked="false">
            <v:fill type="solid"/>
            <w10:wrap type="none"/>
          </v:rect>
        </w:pict>
      </w:r>
      <w:r>
        <w:rPr/>
        <w:t>Tabla 26. Resultado de índices de sustentabilidad Villas del Campo II.</w:t>
      </w:r>
    </w:p>
    <w:p>
      <w:pPr>
        <w:pStyle w:val="BodyText"/>
        <w:spacing w:before="8"/>
        <w:rPr>
          <w:sz w:val="8"/>
        </w:rPr>
      </w:pPr>
    </w:p>
    <w:tbl>
      <w:tblPr>
        <w:tblW w:w="0" w:type="auto"/>
        <w:jc w:val="left"/>
        <w:tblInd w:w="134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28"/>
        <w:gridCol w:w="1309"/>
        <w:gridCol w:w="1369"/>
      </w:tblGrid>
      <w:tr>
        <w:trPr>
          <w:trHeight w:val="740" w:hRule="exact"/>
        </w:trPr>
        <w:tc>
          <w:tcPr>
            <w:tcW w:w="6507" w:type="dxa"/>
            <w:gridSpan w:val="3"/>
            <w:shd w:val="clear" w:color="auto" w:fill="000000"/>
          </w:tcPr>
          <w:p>
            <w:pPr>
              <w:pStyle w:val="TableParagraph"/>
              <w:spacing w:before="65"/>
              <w:ind w:left="921" w:right="895"/>
              <w:rPr>
                <w:sz w:val="24"/>
              </w:rPr>
            </w:pPr>
            <w:r>
              <w:rPr>
                <w:color w:val="FFFFFF"/>
                <w:sz w:val="24"/>
              </w:rPr>
              <w:t>Villas del Campo II</w:t>
            </w:r>
          </w:p>
          <w:p>
            <w:pPr>
              <w:pStyle w:val="TableParagraph"/>
              <w:spacing w:before="24"/>
              <w:ind w:left="954" w:right="895"/>
              <w:rPr>
                <w:sz w:val="24"/>
              </w:rPr>
            </w:pPr>
            <w:r>
              <w:rPr>
                <w:color w:val="FFFFFF"/>
                <w:sz w:val="24"/>
              </w:rPr>
              <w:t>Resultado de los Índices de sustentabilidad</w:t>
            </w:r>
          </w:p>
        </w:tc>
      </w:tr>
      <w:tr>
        <w:trPr>
          <w:trHeight w:val="280" w:hRule="exact"/>
        </w:trPr>
        <w:tc>
          <w:tcPr>
            <w:tcW w:w="6507" w:type="dxa"/>
            <w:gridSpan w:val="3"/>
            <w:tcBorders>
              <w:left w:val="single" w:sz="8" w:space="0" w:color="000000"/>
              <w:right w:val="single" w:sz="16" w:space="0" w:color="000000"/>
            </w:tcBorders>
          </w:tcPr>
          <w:p>
            <w:pPr>
              <w:pStyle w:val="TableParagraph"/>
              <w:tabs>
                <w:tab w:pos="3978" w:val="left" w:leader="none"/>
                <w:tab w:pos="5437" w:val="left" w:leader="none"/>
              </w:tabs>
              <w:spacing w:line="261" w:lineRule="exact"/>
              <w:ind w:left="3078"/>
              <w:jc w:val="left"/>
              <w:rPr>
                <w:sz w:val="24"/>
              </w:rPr>
            </w:pPr>
            <w:r>
              <w:rPr>
                <w:sz w:val="24"/>
              </w:rPr>
              <w:t>Real</w:t>
              <w:tab/>
              <w:t>Deseable</w:t>
              <w:tab/>
              <w:t>Óptimo</w:t>
            </w:r>
          </w:p>
        </w:tc>
      </w:tr>
      <w:tr>
        <w:trPr>
          <w:trHeight w:val="320" w:hRule="exact"/>
        </w:trPr>
        <w:tc>
          <w:tcPr>
            <w:tcW w:w="3828" w:type="dxa"/>
            <w:tcBorders>
              <w:left w:val="single" w:sz="8" w:space="0" w:color="000000"/>
            </w:tcBorders>
          </w:tcPr>
          <w:p>
            <w:pPr>
              <w:pStyle w:val="TableParagraph"/>
              <w:tabs>
                <w:tab w:pos="3547" w:val="right" w:leader="none"/>
              </w:tabs>
              <w:spacing w:before="5"/>
              <w:ind w:left="39"/>
              <w:jc w:val="left"/>
              <w:rPr>
                <w:sz w:val="24"/>
              </w:rPr>
            </w:pPr>
            <w:r>
              <w:rPr>
                <w:sz w:val="24"/>
              </w:rPr>
              <w:t>Índice</w:t>
            </w:r>
            <w:r>
              <w:rPr>
                <w:spacing w:val="-1"/>
                <w:sz w:val="24"/>
              </w:rPr>
              <w:t> </w:t>
            </w:r>
            <w:r>
              <w:rPr>
                <w:sz w:val="24"/>
              </w:rPr>
              <w:t>Social</w:t>
              <w:tab/>
            </w:r>
            <w:r>
              <w:rPr>
                <w:spacing w:val="-5"/>
                <w:sz w:val="24"/>
              </w:rPr>
              <w:t>11.6</w:t>
            </w:r>
          </w:p>
        </w:tc>
        <w:tc>
          <w:tcPr>
            <w:tcW w:w="1309" w:type="dxa"/>
            <w:tcBorders>
              <w:right w:val="single" w:sz="8" w:space="0" w:color="FFFFFF"/>
            </w:tcBorders>
            <w:shd w:val="clear" w:color="auto" w:fill="FFFF00"/>
          </w:tcPr>
          <w:p>
            <w:pPr>
              <w:pStyle w:val="TableParagraph"/>
              <w:spacing w:before="5"/>
              <w:ind w:left="339" w:right="310"/>
              <w:rPr>
                <w:sz w:val="24"/>
              </w:rPr>
            </w:pPr>
            <w:r>
              <w:rPr>
                <w:sz w:val="24"/>
              </w:rPr>
              <w:t>11.4</w:t>
            </w:r>
          </w:p>
        </w:tc>
        <w:tc>
          <w:tcPr>
            <w:tcW w:w="1369" w:type="dxa"/>
            <w:tcBorders>
              <w:left w:val="single" w:sz="8" w:space="0" w:color="FFFFFF"/>
              <w:right w:val="single" w:sz="16" w:space="0" w:color="000000"/>
            </w:tcBorders>
            <w:shd w:val="clear" w:color="auto" w:fill="67ED4D"/>
          </w:tcPr>
          <w:p>
            <w:pPr>
              <w:pStyle w:val="TableParagraph"/>
              <w:spacing w:before="5"/>
              <w:ind w:left="516" w:right="510"/>
              <w:rPr>
                <w:sz w:val="24"/>
              </w:rPr>
            </w:pPr>
            <w:r>
              <w:rPr>
                <w:sz w:val="24"/>
              </w:rPr>
              <w:t>15</w:t>
            </w:r>
          </w:p>
        </w:tc>
      </w:tr>
      <w:tr>
        <w:trPr>
          <w:trHeight w:val="280" w:hRule="exact"/>
        </w:trPr>
        <w:tc>
          <w:tcPr>
            <w:tcW w:w="6507" w:type="dxa"/>
            <w:gridSpan w:val="3"/>
            <w:tcBorders>
              <w:left w:val="single" w:sz="8" w:space="0" w:color="000000"/>
              <w:right w:val="single" w:sz="16" w:space="0" w:color="000000"/>
            </w:tcBorders>
          </w:tcPr>
          <w:p>
            <w:pPr/>
          </w:p>
        </w:tc>
      </w:tr>
      <w:tr>
        <w:trPr>
          <w:trHeight w:val="320" w:hRule="exact"/>
        </w:trPr>
        <w:tc>
          <w:tcPr>
            <w:tcW w:w="3828" w:type="dxa"/>
            <w:tcBorders>
              <w:left w:val="single" w:sz="8" w:space="0" w:color="000000"/>
            </w:tcBorders>
          </w:tcPr>
          <w:p>
            <w:pPr>
              <w:pStyle w:val="TableParagraph"/>
              <w:tabs>
                <w:tab w:pos="3491" w:val="right" w:leader="none"/>
              </w:tabs>
              <w:spacing w:before="5"/>
              <w:ind w:left="39"/>
              <w:jc w:val="left"/>
              <w:rPr>
                <w:sz w:val="24"/>
              </w:rPr>
            </w:pPr>
            <w:r>
              <w:rPr>
                <w:sz w:val="24"/>
              </w:rPr>
              <w:t>Índice</w:t>
            </w:r>
            <w:r>
              <w:rPr>
                <w:spacing w:val="-15"/>
                <w:sz w:val="24"/>
              </w:rPr>
              <w:t> </w:t>
            </w:r>
            <w:r>
              <w:rPr>
                <w:sz w:val="24"/>
              </w:rPr>
              <w:t>Ambiental</w:t>
              <w:tab/>
              <w:t>8.3</w:t>
            </w:r>
          </w:p>
        </w:tc>
        <w:tc>
          <w:tcPr>
            <w:tcW w:w="1309" w:type="dxa"/>
            <w:tcBorders>
              <w:right w:val="single" w:sz="8" w:space="0" w:color="FFFFFF"/>
            </w:tcBorders>
            <w:shd w:val="clear" w:color="auto" w:fill="FFFF00"/>
          </w:tcPr>
          <w:p>
            <w:pPr>
              <w:pStyle w:val="TableParagraph"/>
              <w:spacing w:before="5"/>
              <w:ind w:left="326" w:right="319"/>
              <w:rPr>
                <w:sz w:val="24"/>
              </w:rPr>
            </w:pPr>
            <w:r>
              <w:rPr>
                <w:sz w:val="24"/>
              </w:rPr>
              <w:t>18.3</w:t>
            </w:r>
          </w:p>
        </w:tc>
        <w:tc>
          <w:tcPr>
            <w:tcW w:w="1369" w:type="dxa"/>
            <w:tcBorders>
              <w:left w:val="single" w:sz="8" w:space="0" w:color="FFFFFF"/>
              <w:right w:val="single" w:sz="16" w:space="0" w:color="000000"/>
            </w:tcBorders>
            <w:shd w:val="clear" w:color="auto" w:fill="67ED4D"/>
          </w:tcPr>
          <w:p>
            <w:pPr>
              <w:pStyle w:val="TableParagraph"/>
              <w:spacing w:before="5"/>
              <w:ind w:left="516" w:right="510"/>
              <w:rPr>
                <w:sz w:val="24"/>
              </w:rPr>
            </w:pPr>
            <w:r>
              <w:rPr>
                <w:sz w:val="24"/>
              </w:rPr>
              <w:t>24</w:t>
            </w:r>
          </w:p>
        </w:tc>
      </w:tr>
      <w:tr>
        <w:trPr>
          <w:trHeight w:val="280" w:hRule="exact"/>
        </w:trPr>
        <w:tc>
          <w:tcPr>
            <w:tcW w:w="6507" w:type="dxa"/>
            <w:gridSpan w:val="3"/>
            <w:tcBorders>
              <w:left w:val="single" w:sz="8" w:space="0" w:color="000000"/>
              <w:right w:val="single" w:sz="16" w:space="0" w:color="000000"/>
            </w:tcBorders>
          </w:tcPr>
          <w:p>
            <w:pPr/>
          </w:p>
        </w:tc>
      </w:tr>
      <w:tr>
        <w:trPr>
          <w:trHeight w:val="320" w:hRule="exact"/>
        </w:trPr>
        <w:tc>
          <w:tcPr>
            <w:tcW w:w="3828" w:type="dxa"/>
            <w:tcBorders>
              <w:left w:val="single" w:sz="8" w:space="0" w:color="000000"/>
            </w:tcBorders>
          </w:tcPr>
          <w:p>
            <w:pPr>
              <w:pStyle w:val="TableParagraph"/>
              <w:tabs>
                <w:tab w:pos="3491" w:val="right" w:leader="none"/>
              </w:tabs>
              <w:spacing w:before="5"/>
              <w:ind w:left="39"/>
              <w:jc w:val="left"/>
              <w:rPr>
                <w:sz w:val="24"/>
              </w:rPr>
            </w:pPr>
            <w:r>
              <w:rPr>
                <w:sz w:val="24"/>
              </w:rPr>
              <w:t>Índice</w:t>
            </w:r>
            <w:r>
              <w:rPr>
                <w:spacing w:val="-2"/>
                <w:sz w:val="24"/>
              </w:rPr>
              <w:t> </w:t>
            </w:r>
            <w:r>
              <w:rPr>
                <w:sz w:val="24"/>
              </w:rPr>
              <w:t>Económico</w:t>
              <w:tab/>
              <w:t>5.5</w:t>
            </w:r>
          </w:p>
        </w:tc>
        <w:tc>
          <w:tcPr>
            <w:tcW w:w="1309" w:type="dxa"/>
            <w:tcBorders>
              <w:right w:val="single" w:sz="8" w:space="0" w:color="FFFFFF"/>
            </w:tcBorders>
            <w:shd w:val="clear" w:color="auto" w:fill="FFFF00"/>
          </w:tcPr>
          <w:p>
            <w:pPr>
              <w:pStyle w:val="TableParagraph"/>
              <w:spacing w:before="5"/>
              <w:ind w:left="33"/>
              <w:rPr>
                <w:sz w:val="24"/>
              </w:rPr>
            </w:pPr>
            <w:r>
              <w:rPr>
                <w:w w:val="99"/>
                <w:sz w:val="24"/>
              </w:rPr>
              <w:t>9</w:t>
            </w:r>
          </w:p>
        </w:tc>
        <w:tc>
          <w:tcPr>
            <w:tcW w:w="1369" w:type="dxa"/>
            <w:tcBorders>
              <w:left w:val="single" w:sz="8" w:space="0" w:color="FFFFFF"/>
              <w:right w:val="single" w:sz="16" w:space="0" w:color="000000"/>
            </w:tcBorders>
            <w:shd w:val="clear" w:color="auto" w:fill="67ED4D"/>
          </w:tcPr>
          <w:p>
            <w:pPr>
              <w:pStyle w:val="TableParagraph"/>
              <w:spacing w:before="5"/>
              <w:ind w:left="519" w:right="508"/>
              <w:rPr>
                <w:sz w:val="24"/>
              </w:rPr>
            </w:pPr>
            <w:r>
              <w:rPr>
                <w:sz w:val="24"/>
              </w:rPr>
              <w:t>11</w:t>
            </w:r>
          </w:p>
        </w:tc>
      </w:tr>
      <w:tr>
        <w:trPr>
          <w:trHeight w:val="280" w:hRule="exact"/>
        </w:trPr>
        <w:tc>
          <w:tcPr>
            <w:tcW w:w="6507" w:type="dxa"/>
            <w:gridSpan w:val="3"/>
            <w:tcBorders>
              <w:left w:val="single" w:sz="8" w:space="0" w:color="000000"/>
              <w:right w:val="single" w:sz="16" w:space="0" w:color="000000"/>
            </w:tcBorders>
          </w:tcPr>
          <w:p>
            <w:pPr/>
          </w:p>
        </w:tc>
      </w:tr>
      <w:tr>
        <w:trPr>
          <w:trHeight w:val="320" w:hRule="exact"/>
        </w:trPr>
        <w:tc>
          <w:tcPr>
            <w:tcW w:w="3828" w:type="dxa"/>
            <w:tcBorders>
              <w:left w:val="single" w:sz="8" w:space="0" w:color="000000"/>
            </w:tcBorders>
          </w:tcPr>
          <w:p>
            <w:pPr>
              <w:pStyle w:val="TableParagraph"/>
              <w:tabs>
                <w:tab w:pos="3391" w:val="right" w:leader="none"/>
              </w:tabs>
              <w:spacing w:before="5"/>
              <w:ind w:left="39"/>
              <w:jc w:val="left"/>
              <w:rPr>
                <w:sz w:val="24"/>
              </w:rPr>
            </w:pPr>
            <w:r>
              <w:rPr>
                <w:sz w:val="24"/>
              </w:rPr>
              <w:t>Índice</w:t>
            </w:r>
            <w:r>
              <w:rPr>
                <w:spacing w:val="-5"/>
                <w:sz w:val="24"/>
              </w:rPr>
              <w:t> </w:t>
            </w:r>
            <w:r>
              <w:rPr>
                <w:spacing w:val="-3"/>
                <w:sz w:val="24"/>
              </w:rPr>
              <w:t>Territorio</w:t>
              <w:tab/>
            </w:r>
            <w:r>
              <w:rPr>
                <w:sz w:val="24"/>
              </w:rPr>
              <w:t>8</w:t>
            </w:r>
          </w:p>
        </w:tc>
        <w:tc>
          <w:tcPr>
            <w:tcW w:w="1309" w:type="dxa"/>
            <w:tcBorders>
              <w:right w:val="single" w:sz="8" w:space="0" w:color="FFFFFF"/>
            </w:tcBorders>
            <w:shd w:val="clear" w:color="auto" w:fill="FFFF00"/>
          </w:tcPr>
          <w:p>
            <w:pPr>
              <w:pStyle w:val="TableParagraph"/>
              <w:spacing w:before="5"/>
              <w:ind w:left="339" w:right="319"/>
              <w:rPr>
                <w:sz w:val="24"/>
              </w:rPr>
            </w:pPr>
            <w:r>
              <w:rPr>
                <w:sz w:val="24"/>
              </w:rPr>
              <w:t>12.66</w:t>
            </w:r>
          </w:p>
        </w:tc>
        <w:tc>
          <w:tcPr>
            <w:tcW w:w="1369" w:type="dxa"/>
            <w:tcBorders>
              <w:left w:val="single" w:sz="8" w:space="0" w:color="FFFFFF"/>
              <w:right w:val="single" w:sz="16" w:space="0" w:color="000000"/>
            </w:tcBorders>
            <w:shd w:val="clear" w:color="auto" w:fill="67ED4D"/>
          </w:tcPr>
          <w:p>
            <w:pPr>
              <w:pStyle w:val="TableParagraph"/>
              <w:spacing w:before="5"/>
              <w:ind w:left="516" w:right="510"/>
              <w:rPr>
                <w:sz w:val="24"/>
              </w:rPr>
            </w:pPr>
            <w:r>
              <w:rPr>
                <w:sz w:val="24"/>
              </w:rPr>
              <w:t>17</w:t>
            </w:r>
          </w:p>
        </w:tc>
      </w:tr>
      <w:tr>
        <w:trPr>
          <w:trHeight w:val="280" w:hRule="exact"/>
        </w:trPr>
        <w:tc>
          <w:tcPr>
            <w:tcW w:w="6507" w:type="dxa"/>
            <w:gridSpan w:val="3"/>
            <w:tcBorders>
              <w:left w:val="single" w:sz="8" w:space="0" w:color="000000"/>
              <w:right w:val="single" w:sz="16" w:space="0" w:color="000000"/>
            </w:tcBorders>
          </w:tcPr>
          <w:p>
            <w:pPr/>
          </w:p>
        </w:tc>
      </w:tr>
      <w:tr>
        <w:trPr>
          <w:trHeight w:val="320" w:hRule="exact"/>
        </w:trPr>
        <w:tc>
          <w:tcPr>
            <w:tcW w:w="3828" w:type="dxa"/>
            <w:tcBorders>
              <w:left w:val="single" w:sz="8" w:space="0" w:color="000000"/>
            </w:tcBorders>
          </w:tcPr>
          <w:p>
            <w:pPr>
              <w:pStyle w:val="TableParagraph"/>
              <w:tabs>
                <w:tab w:pos="3098" w:val="left" w:leader="none"/>
              </w:tabs>
              <w:spacing w:before="5"/>
              <w:ind w:left="39"/>
              <w:jc w:val="left"/>
              <w:rPr>
                <w:sz w:val="24"/>
              </w:rPr>
            </w:pPr>
            <w:r>
              <w:rPr>
                <w:sz w:val="24"/>
              </w:rPr>
              <w:t>Índice</w:t>
            </w:r>
            <w:r>
              <w:rPr>
                <w:spacing w:val="-2"/>
                <w:sz w:val="24"/>
              </w:rPr>
              <w:t> </w:t>
            </w:r>
            <w:r>
              <w:rPr>
                <w:sz w:val="24"/>
              </w:rPr>
              <w:t>de</w:t>
            </w:r>
            <w:r>
              <w:rPr>
                <w:spacing w:val="-2"/>
                <w:sz w:val="24"/>
              </w:rPr>
              <w:t> </w:t>
            </w:r>
            <w:r>
              <w:rPr>
                <w:sz w:val="24"/>
              </w:rPr>
              <w:t>Sustentabilidad</w:t>
              <w:tab/>
              <w:t>33.4</w:t>
            </w:r>
          </w:p>
        </w:tc>
        <w:tc>
          <w:tcPr>
            <w:tcW w:w="1309" w:type="dxa"/>
            <w:tcBorders>
              <w:right w:val="single" w:sz="8" w:space="0" w:color="FFFFFF"/>
            </w:tcBorders>
            <w:shd w:val="clear" w:color="auto" w:fill="FFFF00"/>
          </w:tcPr>
          <w:p>
            <w:pPr>
              <w:pStyle w:val="TableParagraph"/>
              <w:spacing w:before="5"/>
              <w:ind w:left="339" w:right="319"/>
              <w:rPr>
                <w:sz w:val="24"/>
              </w:rPr>
            </w:pPr>
            <w:r>
              <w:rPr>
                <w:sz w:val="24"/>
              </w:rPr>
              <w:t>51.36</w:t>
            </w:r>
          </w:p>
        </w:tc>
        <w:tc>
          <w:tcPr>
            <w:tcW w:w="1369" w:type="dxa"/>
            <w:tcBorders>
              <w:left w:val="single" w:sz="8" w:space="0" w:color="FFFFFF"/>
              <w:right w:val="single" w:sz="16" w:space="0" w:color="000000"/>
            </w:tcBorders>
            <w:shd w:val="clear" w:color="auto" w:fill="67ED4D"/>
          </w:tcPr>
          <w:p>
            <w:pPr>
              <w:pStyle w:val="TableParagraph"/>
              <w:spacing w:before="5"/>
              <w:ind w:left="516" w:right="510"/>
              <w:rPr>
                <w:sz w:val="24"/>
              </w:rPr>
            </w:pPr>
            <w:r>
              <w:rPr>
                <w:sz w:val="24"/>
              </w:rPr>
              <w:t>67</w:t>
            </w:r>
          </w:p>
        </w:tc>
      </w:tr>
      <w:tr>
        <w:trPr>
          <w:trHeight w:val="300" w:hRule="exact"/>
        </w:trPr>
        <w:tc>
          <w:tcPr>
            <w:tcW w:w="6507" w:type="dxa"/>
            <w:gridSpan w:val="3"/>
            <w:tcBorders>
              <w:left w:val="single" w:sz="8" w:space="0" w:color="000000"/>
              <w:bottom w:val="single" w:sz="16" w:space="0" w:color="000000"/>
              <w:right w:val="single" w:sz="16" w:space="0" w:color="000000"/>
            </w:tcBorders>
          </w:tcPr>
          <w:p>
            <w:pPr/>
          </w:p>
        </w:tc>
      </w:tr>
    </w:tbl>
    <w:p>
      <w:pPr>
        <w:spacing w:before="146"/>
        <w:ind w:left="513" w:right="0" w:firstLine="0"/>
        <w:jc w:val="left"/>
        <w:rPr>
          <w:sz w:val="21"/>
        </w:rPr>
      </w:pPr>
      <w:r>
        <w:rPr/>
        <w:pict>
          <v:rect style="position:absolute;margin-left:295.265015pt;margin-top:-92.034019pt;width:50.9766pt;height:16.003900pt;mso-position-horizontal-relative:page;mso-position-vertical-relative:paragraph;z-index:-1148416" filled="true" fillcolor="#f79646" stroked="false">
            <v:fill type="solid"/>
            <w10:wrap type="none"/>
          </v:rect>
        </w:pict>
      </w:r>
      <w:r>
        <w:rPr/>
        <w:pict>
          <v:rect style="position:absolute;margin-left:295.265015pt;margin-top:-62.026123pt;width:50.9766pt;height:16.0040pt;mso-position-horizontal-relative:page;mso-position-vertical-relative:paragraph;z-index:-1148392" filled="true" fillcolor="#f79646" stroked="false">
            <v:fill type="solid"/>
            <w10:wrap type="none"/>
          </v:rect>
        </w:pict>
      </w:r>
      <w:r>
        <w:rPr/>
        <w:pict>
          <v:rect style="position:absolute;margin-left:295.265015pt;margin-top:-32.019024pt;width:50.9766pt;height:16.003900pt;mso-position-horizontal-relative:page;mso-position-vertical-relative:paragraph;z-index:-1148368" filled="true" fillcolor="#f79646" stroked="false">
            <v:fill type="solid"/>
            <w10:wrap type="none"/>
          </v:rect>
        </w:pict>
      </w:r>
      <w:r>
        <w:rPr>
          <w:w w:val="105"/>
          <w:sz w:val="21"/>
        </w:rPr>
        <w:t>Fuente: Elaboración propia con base al estudio realizado.</w:t>
      </w:r>
    </w:p>
    <w:p>
      <w:pPr>
        <w:spacing w:after="0"/>
        <w:jc w:val="left"/>
        <w:rPr>
          <w:sz w:val="21"/>
        </w:rPr>
        <w:sectPr>
          <w:headerReference w:type="default" r:id="rId159"/>
          <w:pgSz w:w="12240" w:h="15840"/>
          <w:pgMar w:header="730" w:footer="1066" w:top="1140" w:bottom="1260" w:left="1720" w:right="1180"/>
        </w:sectPr>
      </w:pPr>
    </w:p>
    <w:p>
      <w:pPr>
        <w:pStyle w:val="BodyText"/>
        <w:spacing w:line="20" w:lineRule="exact"/>
        <w:ind w:left="139"/>
        <w:rPr>
          <w:sz w:val="2"/>
        </w:rPr>
      </w:pPr>
      <w:r>
        <w:rPr>
          <w:sz w:val="2"/>
        </w:rPr>
        <w:pict>
          <v:group style="width:454.1pt;height:.5pt;mso-position-horizontal-relative:char;mso-position-vertical-relative:line" coordorigin="0,0" coordsize="9082,10">
            <v:line style="position:absolute" from="5,5" to="9077,5" stroked="true" strokeweight=".479981pt" strokecolor="#000000"/>
          </v:group>
        </w:pict>
      </w:r>
      <w:r>
        <w:rPr>
          <w:sz w:val="2"/>
        </w:rPr>
      </w:r>
    </w:p>
    <w:p>
      <w:pPr>
        <w:pStyle w:val="BodyText"/>
        <w:rPr>
          <w:sz w:val="20"/>
        </w:rPr>
      </w:pPr>
    </w:p>
    <w:p>
      <w:pPr>
        <w:pStyle w:val="BodyText"/>
        <w:spacing w:before="8"/>
        <w:rPr>
          <w:sz w:val="18"/>
        </w:rPr>
      </w:pPr>
    </w:p>
    <w:p>
      <w:pPr>
        <w:spacing w:before="0"/>
        <w:ind w:left="268" w:right="0" w:firstLine="0"/>
        <w:jc w:val="left"/>
        <w:rPr>
          <w:sz w:val="21"/>
        </w:rPr>
      </w:pPr>
      <w:r>
        <w:rPr>
          <w:w w:val="105"/>
          <w:sz w:val="21"/>
        </w:rPr>
        <w:t>Gráfica 7. Escenario de resultados por índices.</w:t>
      </w:r>
    </w:p>
    <w:p>
      <w:pPr>
        <w:pStyle w:val="BodyText"/>
        <w:rPr>
          <w:sz w:val="20"/>
        </w:rPr>
      </w:pPr>
    </w:p>
    <w:p>
      <w:pPr>
        <w:pStyle w:val="Heading2"/>
        <w:spacing w:before="216"/>
        <w:ind w:left="2165"/>
      </w:pPr>
      <w:r>
        <w:rPr/>
        <w:t>Distribución de índices de Villas del Campo II</w:t>
      </w:r>
    </w:p>
    <w:p>
      <w:pPr>
        <w:pStyle w:val="BodyText"/>
        <w:spacing w:before="8"/>
        <w:rPr>
          <w:rFonts w:ascii="Calibri"/>
          <w:b/>
          <w:sz w:val="9"/>
        </w:rPr>
      </w:pPr>
    </w:p>
    <w:p>
      <w:pPr>
        <w:tabs>
          <w:tab w:pos="1154" w:val="left" w:leader="none"/>
          <w:tab w:pos="2199" w:val="left" w:leader="none"/>
        </w:tabs>
        <w:spacing w:before="75"/>
        <w:ind w:left="408" w:right="0" w:firstLine="0"/>
        <w:jc w:val="center"/>
        <w:rPr>
          <w:rFonts w:ascii="Calibri" w:hAnsi="Calibri"/>
          <w:sz w:val="15"/>
        </w:rPr>
      </w:pPr>
      <w:r>
        <w:rPr/>
        <w:pict>
          <v:group style="position:absolute;margin-left:255.970993pt;margin-top:5.552728pt;width:17.4pt;height:5.1pt;mso-position-horizontal-relative:page;mso-position-vertical-relative:paragraph;z-index:10168" coordorigin="5119,111" coordsize="348,102">
            <v:line style="position:absolute" from="5148,159" to="5438,159" stroked="true" strokeweight="2.832059pt" strokecolor="#5b92c7"/>
            <v:shape style="position:absolute;left:5250;top:119;width:89;height:85" type="#_x0000_t75" stroked="false">
              <v:imagedata r:id="rId164" o:title=""/>
            </v:shape>
            <v:shape style="position:absolute;left:5250;top:119;width:89;height:86" coordorigin="5250,119" coordsize="89,86" path="m5295,119l5338,164,5295,204,5250,164,5295,119xe" filled="false" stroked="true" strokeweight=".755284pt" strokecolor="#5b92c7">
              <v:path arrowok="t"/>
            </v:shape>
            <w10:wrap type="none"/>
          </v:group>
        </w:pict>
      </w:r>
      <w:r>
        <w:rPr/>
        <w:pict>
          <v:group style="position:absolute;margin-left:293.260986pt;margin-top:5.552728pt;width:17.4pt;height:5.1pt;mso-position-horizontal-relative:page;mso-position-vertical-relative:paragraph;z-index:-1147840" coordorigin="5865,111" coordsize="348,102">
            <v:line style="position:absolute" from="5894,159" to="6184,159" stroked="true" strokeweight="2.832059pt" strokecolor="#cc615a"/>
            <v:shape style="position:absolute;left:5990;top:119;width:91;height:85" type="#_x0000_t75" stroked="false">
              <v:imagedata r:id="rId165" o:title=""/>
            </v:shape>
            <v:rect style="position:absolute;left:5990;top:119;width:91;height:85" filled="false" stroked="true" strokeweight=".755282pt" strokecolor="#cc615a"/>
            <w10:wrap type="none"/>
          </v:group>
        </w:pict>
      </w:r>
      <w:r>
        <w:rPr/>
        <w:pict>
          <v:group style="position:absolute;margin-left:345.534973pt;margin-top:5.552728pt;width:17.4pt;height:5.1pt;mso-position-horizontal-relative:page;mso-position-vertical-relative:paragraph;z-index:-1147816" coordorigin="6911,111" coordsize="348,102">
            <v:line style="position:absolute" from="6939,159" to="7229,159" stroked="true" strokeweight="2.832059pt" strokecolor="#a8c367"/>
            <v:shape style="position:absolute;left:7032;top:119;width:91;height:85" type="#_x0000_t75" stroked="false">
              <v:imagedata r:id="rId166" o:title=""/>
            </v:shape>
            <v:shape style="position:absolute;left:7032;top:119;width:91;height:86" coordorigin="7032,119" coordsize="91,86" path="m7078,119l7123,204,7032,204,7078,119xe" filled="false" stroked="true" strokeweight=".755282pt" strokecolor="#a8c367">
              <v:path arrowok="t"/>
            </v:shape>
            <w10:wrap type="none"/>
          </v:group>
        </w:pict>
      </w:r>
      <w:r>
        <w:rPr>
          <w:rFonts w:ascii="Calibri" w:hAnsi="Calibri"/>
          <w:sz w:val="15"/>
        </w:rPr>
        <w:t>Real</w:t>
        <w:tab/>
        <w:t>Deseable</w:t>
        <w:tab/>
        <w:t>Óptimo</w:t>
      </w:r>
    </w:p>
    <w:p>
      <w:pPr>
        <w:pStyle w:val="BodyText"/>
        <w:spacing w:before="4"/>
        <w:rPr>
          <w:rFonts w:ascii="Calibri"/>
          <w:sz w:val="21"/>
        </w:rPr>
      </w:pPr>
    </w:p>
    <w:p>
      <w:pPr>
        <w:spacing w:before="75"/>
        <w:ind w:left="30" w:right="0" w:firstLine="0"/>
        <w:jc w:val="center"/>
        <w:rPr>
          <w:rFonts w:ascii="Calibri" w:hAnsi="Calibri"/>
          <w:sz w:val="15"/>
        </w:rPr>
      </w:pPr>
      <w:r>
        <w:rPr>
          <w:rFonts w:ascii="Calibri" w:hAnsi="Calibri"/>
          <w:sz w:val="15"/>
        </w:rPr>
        <w:t>Índice Social</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15"/>
        </w:rPr>
      </w:pPr>
    </w:p>
    <w:p>
      <w:pPr>
        <w:tabs>
          <w:tab w:pos="7966" w:val="left" w:leader="none"/>
        </w:tabs>
        <w:spacing w:before="75"/>
        <w:ind w:left="412" w:right="0" w:firstLine="0"/>
        <w:jc w:val="left"/>
        <w:rPr>
          <w:rFonts w:ascii="Calibri" w:hAnsi="Calibri"/>
          <w:sz w:val="15"/>
        </w:rPr>
      </w:pPr>
      <w:r>
        <w:rPr/>
        <w:pict>
          <v:group style="position:absolute;margin-left:162.380386pt;margin-top:-152.790558pt;width:316.150pt;height:318.8pt;mso-position-horizontal-relative:page;mso-position-vertical-relative:paragraph;z-index:-1147888" coordorigin="3248,-3056" coordsize="6323,6376">
            <v:shape style="position:absolute;left:84195;top:-106077196;width:105918006;height:106152397" coordorigin="84195,-106077196" coordsize="105918006,106152397" path="m6413,-476l7032,158m7032,158l6413,792m6413,792l5779,158m5779,158l6413,-476m6413,-1096l7667,158m7667,158l6413,1427m6413,1427l5144,158m5144,158l6413,-1096m6413,-1730l8301,158m8301,158l6413,2046m6413,2046l4510,158m4510,158l6413,-1730m6413,-2364l8936,158m8936,158l6413,2680m6413,2680l3875,158m3875,158l6413,-2364m6413,-2999l9555,158m9555,158l6413,3314m6413,3314l3256,158m3256,158l6413,-2999m6413,158l6413,-2999m6413,158l9555,158m6413,158l6413,3314m6413,158l3256,158m6413,158l6413,-2999e" filled="false" stroked="true" strokeweight=".755287pt" strokecolor="#989898">
              <v:path arrowok="t"/>
            </v:shape>
            <v:shape style="position:absolute;left:6277;top:-1407;width:272;height:257" type="#_x0000_t75" stroked="false">
              <v:imagedata r:id="rId167" o:title=""/>
            </v:shape>
            <v:shape style="position:absolute;left:7319;top:58;width:272;height:257" type="#_x0000_t75" stroked="false">
              <v:imagedata r:id="rId167" o:title=""/>
            </v:shape>
            <v:shape style="position:absolute;left:6277;top:753;width:272;height:257" type="#_x0000_t75" stroked="false">
              <v:imagedata r:id="rId167" o:title=""/>
            </v:shape>
            <v:shape style="position:absolute;left:5265;top:58;width:272;height:257" type="#_x0000_t75" stroked="false">
              <v:imagedata r:id="rId167" o:title=""/>
            </v:shape>
            <v:shape style="position:absolute;left:6277;top:-1377;width:272;height:257" type="#_x0000_t75" stroked="false">
              <v:imagedata r:id="rId168" o:title=""/>
            </v:shape>
            <v:shape style="position:absolute;left:8573;top:58;width:272;height:257" type="#_x0000_t75" stroked="false">
              <v:imagedata r:id="rId168" o:title=""/>
            </v:shape>
            <v:shape style="position:absolute;left:4676;top:58;width:272;height:257" type="#_x0000_t75" stroked="false">
              <v:imagedata r:id="rId168" o:title=""/>
            </v:shape>
            <v:shape style="position:absolute;left:6277;top:-1830;width:272;height:257" type="#_x0000_t75" stroked="false">
              <v:imagedata r:id="rId169" o:title=""/>
            </v:shape>
            <v:shape style="position:absolute;left:9298;top:58;width:272;height:257" type="#_x0000_t75" stroked="false">
              <v:imagedata r:id="rId169" o:title=""/>
            </v:shape>
            <v:shape style="position:absolute;left:6277;top:1191;width:272;height:514" type="#_x0000_t75" stroked="false">
              <v:imagedata r:id="rId170" o:title=""/>
            </v:shape>
            <v:shape style="position:absolute;left:4117;top:58;width:272;height:257" type="#_x0000_t75" stroked="false">
              <v:imagedata r:id="rId169" o:title=""/>
            </v:shape>
            <v:shape style="position:absolute;left:82841;top:-36263598;width:34501359;height:36321976" coordorigin="82841,-36263598" coordsize="34501359,36321976" path="m5401,155l6413,-1310m6413,-1310l7453,155m7453,155l6413,850m6413,850l5401,155e" filled="false" stroked="true" strokeweight="2.832325pt" strokecolor="#5b92c7">
              <v:path arrowok="t"/>
            </v:shape>
            <v:shape style="position:absolute;left:6337;top:-1392;width:151;height:166" type="#_x0000_t75" stroked="false">
              <v:imagedata r:id="rId171" o:title=""/>
            </v:shape>
            <v:shape style="position:absolute;left:7380;top:73;width:151;height:166" type="#_x0000_t75" stroked="false">
              <v:imagedata r:id="rId171" o:title=""/>
            </v:shape>
            <v:shape style="position:absolute;left:6337;top:768;width:151;height:166" type="#_x0000_t75" stroked="false">
              <v:imagedata r:id="rId171" o:title=""/>
            </v:shape>
            <v:shape style="position:absolute;left:5325;top:73;width:151;height:166" type="#_x0000_t75" stroked="false">
              <v:imagedata r:id="rId171" o:title=""/>
            </v:shape>
            <v:shape style="position:absolute;left:64079;top:-43205196;width:65531922;height:43179934" coordorigin="64079,-43205196" coordsize="65531922,43179934" path="m4812,158l6413,-1277m6413,-1277l8709,158m8709,158l6413,1291m6413,1291l4812,158e" filled="false" stroked="true" strokeweight="2.832325pt" strokecolor="#cc615a">
              <v:path arrowok="t"/>
            </v:shape>
            <v:shape style="position:absolute;left:6337;top:-1362;width:151;height:166" type="#_x0000_t75" stroked="false">
              <v:imagedata r:id="rId172" o:title=""/>
            </v:shape>
            <v:shape style="position:absolute;left:8634;top:73;width:151;height:166" type="#_x0000_t75" stroked="false">
              <v:imagedata r:id="rId172" o:title=""/>
            </v:shape>
            <v:shape style="position:absolute;left:6337;top:1206;width:151;height:166" type="#_x0000_t75" stroked="false">
              <v:imagedata r:id="rId172" o:title=""/>
            </v:shape>
            <v:shape style="position:absolute;left:4736;top:73;width:151;height:166" type="#_x0000_t75" stroked="false">
              <v:imagedata r:id="rId172" o:title=""/>
            </v:shape>
            <v:shape style="position:absolute;left:-125625;top:-55155796;width:87116426;height:55112301" coordorigin="-125625,-55155796" coordsize="87116426,55112301" path="m4253,158l6413,-1730m6413,-1730l9434,158m9434,158l6413,1547m6413,1547l4253,158e" filled="false" stroked="true" strokeweight="2.832325pt" strokecolor="#a8c367">
              <v:path arrowok="t"/>
            </v:shape>
            <v:shape style="position:absolute;left:6337;top:-1815;width:151;height:166" type="#_x0000_t75" stroked="false">
              <v:imagedata r:id="rId173" o:title=""/>
            </v:shape>
            <v:shape style="position:absolute;left:9359;top:73;width:151;height:166" type="#_x0000_t75" stroked="false">
              <v:imagedata r:id="rId173" o:title=""/>
            </v:shape>
            <v:shape style="position:absolute;left:6337;top:1463;width:151;height:166" type="#_x0000_t75" stroked="false">
              <v:imagedata r:id="rId173" o:title=""/>
            </v:shape>
            <v:shape style="position:absolute;left:4177;top:73;width:151;height:166" type="#_x0000_t75" stroked="false">
              <v:imagedata r:id="rId173" o:title=""/>
            </v:shape>
            <v:shape style="position:absolute;left:6120;top:-3056;width:154;height:152" type="#_x0000_t202" filled="false" stroked="false">
              <v:textbox inset="0,0,0,0">
                <w:txbxContent>
                  <w:p>
                    <w:pPr>
                      <w:spacing w:line="151" w:lineRule="exact" w:before="0"/>
                      <w:ind w:left="0" w:right="-19" w:firstLine="0"/>
                      <w:jc w:val="left"/>
                      <w:rPr>
                        <w:rFonts w:ascii="Calibri"/>
                        <w:sz w:val="15"/>
                      </w:rPr>
                    </w:pPr>
                    <w:r>
                      <w:rPr>
                        <w:rFonts w:ascii="Calibri"/>
                        <w:sz w:val="15"/>
                      </w:rPr>
                      <w:t>25</w:t>
                    </w:r>
                  </w:p>
                </w:txbxContent>
              </v:textbox>
              <w10:wrap type="none"/>
            </v:shape>
            <v:shape style="position:absolute;left:6120;top:-2425;width:154;height:152" type="#_x0000_t202" filled="false" stroked="false">
              <v:textbox inset="0,0,0,0">
                <w:txbxContent>
                  <w:p>
                    <w:pPr>
                      <w:spacing w:line="151" w:lineRule="exact" w:before="0"/>
                      <w:ind w:left="0" w:right="-19" w:firstLine="0"/>
                      <w:jc w:val="left"/>
                      <w:rPr>
                        <w:rFonts w:ascii="Calibri"/>
                        <w:sz w:val="15"/>
                      </w:rPr>
                    </w:pPr>
                    <w:r>
                      <w:rPr>
                        <w:rFonts w:ascii="Calibri"/>
                        <w:sz w:val="15"/>
                      </w:rPr>
                      <w:t>20</w:t>
                    </w:r>
                  </w:p>
                </w:txbxContent>
              </v:textbox>
              <w10:wrap type="none"/>
            </v:shape>
            <v:shape style="position:absolute;left:6120;top:-1794;width:154;height:152" type="#_x0000_t202" filled="false" stroked="false">
              <v:textbox inset="0,0,0,0">
                <w:txbxContent>
                  <w:p>
                    <w:pPr>
                      <w:spacing w:line="151" w:lineRule="exact" w:before="0"/>
                      <w:ind w:left="0" w:right="-19" w:firstLine="0"/>
                      <w:jc w:val="left"/>
                      <w:rPr>
                        <w:rFonts w:ascii="Calibri"/>
                        <w:sz w:val="15"/>
                      </w:rPr>
                    </w:pPr>
                    <w:r>
                      <w:rPr>
                        <w:rFonts w:ascii="Calibri"/>
                        <w:sz w:val="15"/>
                      </w:rPr>
                      <w:t>15</w:t>
                    </w:r>
                  </w:p>
                </w:txbxContent>
              </v:textbox>
              <w10:wrap type="none"/>
            </v:shape>
            <v:shape style="position:absolute;left:6495;top:-1865;width:154;height:152" type="#_x0000_t202" filled="false" stroked="false">
              <v:textbox inset="0,0,0,0">
                <w:txbxContent>
                  <w:p>
                    <w:pPr>
                      <w:spacing w:line="151" w:lineRule="exact" w:before="0"/>
                      <w:ind w:left="0" w:right="-19" w:firstLine="0"/>
                      <w:jc w:val="left"/>
                      <w:rPr>
                        <w:rFonts w:ascii="Calibri"/>
                        <w:sz w:val="15"/>
                      </w:rPr>
                    </w:pPr>
                    <w:r>
                      <w:rPr>
                        <w:rFonts w:ascii="Calibri"/>
                        <w:sz w:val="15"/>
                      </w:rPr>
                      <w:t>15</w:t>
                    </w:r>
                  </w:p>
                </w:txbxContent>
              </v:textbox>
              <w10:wrap type="none"/>
            </v:shape>
            <v:shape style="position:absolute;left:6510;top:-1345;width:268;height:152" type="#_x0000_t202" filled="false" stroked="false">
              <v:textbox inset="0,0,0,0">
                <w:txbxContent>
                  <w:p>
                    <w:pPr>
                      <w:spacing w:line="151" w:lineRule="exact" w:before="0"/>
                      <w:ind w:left="0" w:right="-18" w:firstLine="0"/>
                      <w:jc w:val="left"/>
                      <w:rPr>
                        <w:rFonts w:ascii="Calibri"/>
                        <w:sz w:val="15"/>
                      </w:rPr>
                    </w:pPr>
                    <w:r>
                      <w:rPr>
                        <w:rFonts w:ascii="Calibri"/>
                        <w:sz w:val="15"/>
                      </w:rPr>
                      <w:t>11.6</w:t>
                    </w:r>
                  </w:p>
                </w:txbxContent>
              </v:textbox>
              <w10:wrap type="none"/>
            </v:shape>
            <v:shape style="position:absolute;left:6120;top:-1163;width:154;height:152" type="#_x0000_t202" filled="false" stroked="false">
              <v:textbox inset="0,0,0,0">
                <w:txbxContent>
                  <w:p>
                    <w:pPr>
                      <w:spacing w:line="151" w:lineRule="exact" w:before="0"/>
                      <w:ind w:left="0" w:right="-19" w:firstLine="0"/>
                      <w:jc w:val="left"/>
                      <w:rPr>
                        <w:rFonts w:ascii="Calibri"/>
                        <w:sz w:val="15"/>
                      </w:rPr>
                    </w:pPr>
                    <w:r>
                      <w:rPr>
                        <w:rFonts w:ascii="Calibri"/>
                        <w:sz w:val="15"/>
                      </w:rPr>
                      <w:t>10</w:t>
                    </w:r>
                  </w:p>
                </w:txbxContent>
              </v:textbox>
              <w10:wrap type="none"/>
            </v:shape>
            <v:shape style="position:absolute;left:6405;top:-987;width:268;height:152" type="#_x0000_t202" filled="false" stroked="false">
              <v:textbox inset="0,0,0,0">
                <w:txbxContent>
                  <w:p>
                    <w:pPr>
                      <w:spacing w:line="151" w:lineRule="exact" w:before="0"/>
                      <w:ind w:left="0" w:right="-18" w:firstLine="0"/>
                      <w:jc w:val="left"/>
                      <w:rPr>
                        <w:rFonts w:ascii="Calibri"/>
                        <w:sz w:val="15"/>
                      </w:rPr>
                    </w:pPr>
                    <w:r>
                      <w:rPr>
                        <w:rFonts w:ascii="Calibri"/>
                        <w:sz w:val="15"/>
                      </w:rPr>
                      <w:t>11.4</w:t>
                    </w:r>
                  </w:p>
                </w:txbxContent>
              </v:textbox>
              <w10:wrap type="none"/>
            </v:shape>
            <v:shape style="position:absolute;left:6197;top:-532;width:77;height:152" type="#_x0000_t202" filled="false" stroked="false">
              <v:textbox inset="0,0,0,0">
                <w:txbxContent>
                  <w:p>
                    <w:pPr>
                      <w:spacing w:line="151" w:lineRule="exact" w:before="0"/>
                      <w:ind w:left="0" w:right="0" w:firstLine="0"/>
                      <w:jc w:val="left"/>
                      <w:rPr>
                        <w:rFonts w:ascii="Calibri"/>
                        <w:sz w:val="15"/>
                      </w:rPr>
                    </w:pPr>
                    <w:r>
                      <w:rPr>
                        <w:rFonts w:ascii="Calibri"/>
                        <w:w w:val="100"/>
                        <w:sz w:val="15"/>
                      </w:rPr>
                      <w:t>5</w:t>
                    </w:r>
                  </w:p>
                </w:txbxContent>
              </v:textbox>
              <w10:wrap type="none"/>
            </v:shape>
            <v:shape style="position:absolute;left:4051;top:24;width:154;height:152" type="#_x0000_t202" filled="false" stroked="false">
              <v:textbox inset="0,0,0,0">
                <w:txbxContent>
                  <w:p>
                    <w:pPr>
                      <w:spacing w:line="151" w:lineRule="exact" w:before="0"/>
                      <w:ind w:left="0" w:right="-19" w:firstLine="0"/>
                      <w:jc w:val="left"/>
                      <w:rPr>
                        <w:rFonts w:ascii="Calibri"/>
                        <w:sz w:val="15"/>
                      </w:rPr>
                    </w:pPr>
                    <w:r>
                      <w:rPr>
                        <w:rFonts w:ascii="Calibri"/>
                        <w:sz w:val="15"/>
                      </w:rPr>
                      <w:t>17</w:t>
                    </w:r>
                  </w:p>
                </w:txbxContent>
              </v:textbox>
              <w10:wrap type="none"/>
            </v:shape>
            <v:shape style="position:absolute;left:4959;top:40;width:345;height:152" type="#_x0000_t202" filled="false" stroked="false">
              <v:textbox inset="0,0,0,0">
                <w:txbxContent>
                  <w:p>
                    <w:pPr>
                      <w:spacing w:line="151" w:lineRule="exact" w:before="0"/>
                      <w:ind w:left="0" w:right="-17" w:firstLine="0"/>
                      <w:jc w:val="left"/>
                      <w:rPr>
                        <w:rFonts w:ascii="Calibri"/>
                        <w:sz w:val="15"/>
                      </w:rPr>
                    </w:pPr>
                    <w:r>
                      <w:rPr>
                        <w:rFonts w:ascii="Calibri"/>
                        <w:sz w:val="15"/>
                      </w:rPr>
                      <w:t>12.66</w:t>
                    </w:r>
                  </w:p>
                </w:txbxContent>
              </v:textbox>
              <w10:wrap type="none"/>
            </v:shape>
            <v:shape style="position:absolute;left:5589;top:40;width:77;height:152" type="#_x0000_t202" filled="false" stroked="false">
              <v:textbox inset="0,0,0,0">
                <w:txbxContent>
                  <w:p>
                    <w:pPr>
                      <w:spacing w:line="151" w:lineRule="exact" w:before="0"/>
                      <w:ind w:left="0" w:right="0" w:firstLine="0"/>
                      <w:jc w:val="left"/>
                      <w:rPr>
                        <w:rFonts w:ascii="Calibri"/>
                        <w:sz w:val="15"/>
                      </w:rPr>
                    </w:pPr>
                    <w:r>
                      <w:rPr>
                        <w:rFonts w:ascii="Calibri"/>
                        <w:w w:val="100"/>
                        <w:sz w:val="15"/>
                      </w:rPr>
                      <w:t>8</w:t>
                    </w:r>
                  </w:p>
                </w:txbxContent>
              </v:textbox>
              <w10:wrap type="none"/>
            </v:shape>
            <v:shape style="position:absolute;left:6197;top:98;width:77;height:152" type="#_x0000_t202" filled="false" stroked="false">
              <v:textbox inset="0,0,0,0">
                <w:txbxContent>
                  <w:p>
                    <w:pPr>
                      <w:spacing w:line="151" w:lineRule="exact" w:before="0"/>
                      <w:ind w:left="0" w:right="0" w:firstLine="0"/>
                      <w:jc w:val="left"/>
                      <w:rPr>
                        <w:rFonts w:ascii="Calibri"/>
                        <w:sz w:val="15"/>
                      </w:rPr>
                    </w:pPr>
                    <w:r>
                      <w:rPr>
                        <w:rFonts w:ascii="Calibri"/>
                        <w:w w:val="100"/>
                        <w:sz w:val="15"/>
                      </w:rPr>
                      <w:t>0</w:t>
                    </w:r>
                  </w:p>
                </w:txbxContent>
              </v:textbox>
              <w10:wrap type="none"/>
            </v:shape>
            <v:shape style="position:absolute;left:7070;top:9;width:192;height:152" type="#_x0000_t202" filled="false" stroked="false">
              <v:textbox inset="0,0,0,0">
                <w:txbxContent>
                  <w:p>
                    <w:pPr>
                      <w:spacing w:line="151" w:lineRule="exact" w:before="0"/>
                      <w:ind w:left="0" w:right="-18" w:firstLine="0"/>
                      <w:jc w:val="left"/>
                      <w:rPr>
                        <w:rFonts w:ascii="Calibri"/>
                        <w:sz w:val="15"/>
                      </w:rPr>
                    </w:pPr>
                    <w:r>
                      <w:rPr>
                        <w:rFonts w:ascii="Calibri"/>
                        <w:sz w:val="15"/>
                      </w:rPr>
                      <w:t>8.3</w:t>
                    </w:r>
                  </w:p>
                </w:txbxContent>
              </v:textbox>
              <w10:wrap type="none"/>
            </v:shape>
            <v:shape style="position:absolute;left:8182;top:9;width:268;height:152" type="#_x0000_t202" filled="false" stroked="false">
              <v:textbox inset="0,0,0,0">
                <w:txbxContent>
                  <w:p>
                    <w:pPr>
                      <w:spacing w:line="151" w:lineRule="exact" w:before="0"/>
                      <w:ind w:left="0" w:right="-18" w:firstLine="0"/>
                      <w:jc w:val="left"/>
                      <w:rPr>
                        <w:rFonts w:ascii="Calibri"/>
                        <w:sz w:val="15"/>
                      </w:rPr>
                    </w:pPr>
                    <w:r>
                      <w:rPr>
                        <w:rFonts w:ascii="Calibri"/>
                        <w:sz w:val="15"/>
                      </w:rPr>
                      <w:t>18.3</w:t>
                    </w:r>
                  </w:p>
                </w:txbxContent>
              </v:textbox>
              <w10:wrap type="none"/>
            </v:shape>
            <v:shape style="position:absolute;left:9020;top:9;width:154;height:152" type="#_x0000_t202" filled="false" stroked="false">
              <v:textbox inset="0,0,0,0">
                <w:txbxContent>
                  <w:p>
                    <w:pPr>
                      <w:spacing w:line="151" w:lineRule="exact" w:before="0"/>
                      <w:ind w:left="0" w:right="-19" w:firstLine="0"/>
                      <w:jc w:val="left"/>
                      <w:rPr>
                        <w:rFonts w:ascii="Calibri"/>
                        <w:sz w:val="15"/>
                      </w:rPr>
                    </w:pPr>
                    <w:r>
                      <w:rPr>
                        <w:rFonts w:ascii="Calibri"/>
                        <w:sz w:val="15"/>
                      </w:rPr>
                      <w:t>24</w:t>
                    </w:r>
                  </w:p>
                </w:txbxContent>
              </v:textbox>
              <w10:wrap type="none"/>
            </v:shape>
            <v:shape style="position:absolute;left:6419;top:534;width:192;height:152" type="#_x0000_t202" filled="false" stroked="false">
              <v:textbox inset="0,0,0,0">
                <w:txbxContent>
                  <w:p>
                    <w:pPr>
                      <w:spacing w:line="151" w:lineRule="exact" w:before="0"/>
                      <w:ind w:left="0" w:right="-18" w:firstLine="0"/>
                      <w:jc w:val="left"/>
                      <w:rPr>
                        <w:rFonts w:ascii="Calibri"/>
                        <w:sz w:val="15"/>
                      </w:rPr>
                    </w:pPr>
                    <w:r>
                      <w:rPr>
                        <w:rFonts w:ascii="Calibri"/>
                        <w:sz w:val="15"/>
                      </w:rPr>
                      <w:t>5.5</w:t>
                    </w:r>
                  </w:p>
                </w:txbxContent>
              </v:textbox>
              <w10:wrap type="none"/>
            </v:shape>
            <v:shape style="position:absolute;left:6505;top:1005;width:77;height:152" type="#_x0000_t202" filled="false" stroked="false">
              <v:textbox inset="0,0,0,0">
                <w:txbxContent>
                  <w:p>
                    <w:pPr>
                      <w:spacing w:line="151" w:lineRule="exact" w:before="0"/>
                      <w:ind w:left="0" w:right="0" w:firstLine="0"/>
                      <w:jc w:val="left"/>
                      <w:rPr>
                        <w:rFonts w:ascii="Calibri"/>
                        <w:sz w:val="15"/>
                      </w:rPr>
                    </w:pPr>
                    <w:r>
                      <w:rPr>
                        <w:rFonts w:ascii="Calibri"/>
                        <w:w w:val="100"/>
                        <w:sz w:val="15"/>
                      </w:rPr>
                      <w:t>9</w:t>
                    </w:r>
                  </w:p>
                </w:txbxContent>
              </v:textbox>
              <w10:wrap type="none"/>
            </v:shape>
            <v:shape style="position:absolute;left:6495;top:1620;width:154;height:152" type="#_x0000_t202" filled="false" stroked="false">
              <v:textbox inset="0,0,0,0">
                <w:txbxContent>
                  <w:p>
                    <w:pPr>
                      <w:spacing w:line="151" w:lineRule="exact" w:before="0"/>
                      <w:ind w:left="0" w:right="-19" w:firstLine="0"/>
                      <w:jc w:val="left"/>
                      <w:rPr>
                        <w:rFonts w:ascii="Calibri"/>
                        <w:sz w:val="15"/>
                      </w:rPr>
                    </w:pPr>
                    <w:r>
                      <w:rPr>
                        <w:rFonts w:ascii="Calibri"/>
                        <w:sz w:val="15"/>
                      </w:rPr>
                      <w:t>11</w:t>
                    </w:r>
                  </w:p>
                </w:txbxContent>
              </v:textbox>
              <w10:wrap type="none"/>
            </v:shape>
            <w10:wrap type="none"/>
          </v:group>
        </w:pict>
      </w:r>
      <w:r>
        <w:rPr>
          <w:rFonts w:ascii="Calibri" w:hAnsi="Calibri"/>
          <w:sz w:val="15"/>
        </w:rPr>
        <w:t>Índice</w:t>
      </w:r>
      <w:r>
        <w:rPr>
          <w:rFonts w:ascii="Calibri" w:hAnsi="Calibri"/>
          <w:spacing w:val="1"/>
          <w:sz w:val="15"/>
        </w:rPr>
        <w:t> </w:t>
      </w:r>
      <w:r>
        <w:rPr>
          <w:rFonts w:ascii="Calibri" w:hAnsi="Calibri"/>
          <w:sz w:val="15"/>
        </w:rPr>
        <w:t>Territorio</w:t>
        <w:tab/>
        <w:t>Índice</w:t>
      </w:r>
      <w:r>
        <w:rPr>
          <w:rFonts w:ascii="Calibri" w:hAnsi="Calibri"/>
          <w:spacing w:val="7"/>
          <w:sz w:val="15"/>
        </w:rPr>
        <w:t> </w:t>
      </w:r>
      <w:r>
        <w:rPr>
          <w:rFonts w:ascii="Calibri" w:hAnsi="Calibri"/>
          <w:sz w:val="15"/>
        </w:rPr>
        <w:t>Ambiental</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15"/>
        </w:rPr>
      </w:pPr>
    </w:p>
    <w:p>
      <w:pPr>
        <w:spacing w:before="75"/>
        <w:ind w:left="28" w:right="0" w:firstLine="0"/>
        <w:jc w:val="center"/>
        <w:rPr>
          <w:rFonts w:ascii="Calibri" w:hAnsi="Calibri"/>
          <w:sz w:val="15"/>
        </w:rPr>
      </w:pPr>
      <w:r>
        <w:rPr>
          <w:rFonts w:ascii="Calibri" w:hAnsi="Calibri"/>
          <w:sz w:val="15"/>
        </w:rPr>
        <w:t>Índice Económico</w:t>
      </w:r>
    </w:p>
    <w:p>
      <w:pPr>
        <w:pStyle w:val="BodyText"/>
        <w:spacing w:before="2"/>
        <w:rPr>
          <w:rFonts w:ascii="Calibri"/>
          <w:sz w:val="26"/>
        </w:rPr>
      </w:pPr>
    </w:p>
    <w:p>
      <w:pPr>
        <w:spacing w:before="78"/>
        <w:ind w:left="268" w:right="0" w:firstLine="0"/>
        <w:jc w:val="left"/>
        <w:rPr>
          <w:sz w:val="21"/>
        </w:rPr>
      </w:pPr>
      <w:r>
        <w:rPr>
          <w:w w:val="105"/>
          <w:sz w:val="21"/>
        </w:rPr>
        <w:t>Fuente: Elaboración propia con base al estudio realizado.</w:t>
      </w:r>
    </w:p>
    <w:p>
      <w:pPr>
        <w:spacing w:after="0"/>
        <w:jc w:val="left"/>
        <w:rPr>
          <w:sz w:val="21"/>
        </w:rPr>
        <w:sectPr>
          <w:headerReference w:type="default" r:id="rId163"/>
          <w:pgSz w:w="12240" w:h="15840"/>
          <w:pgMar w:header="730" w:footer="1066" w:top="114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0264" from="93.199997pt,-19.614155pt" to="546.799997pt,-19.614155pt" stroked="true" strokeweight=".479981pt" strokecolor="#000000">
            <w10:wrap type="none"/>
          </v:line>
        </w:pict>
      </w:r>
      <w:r>
        <w:rPr/>
        <w:t>El conjunto urbano de tipo interés social denominado “Valle del Nevado”, autorizado a la empresa Inmobiliaria Proyectos Inmobiliarios de Culiacán, S.A.   de</w:t>
      </w:r>
    </w:p>
    <w:p>
      <w:pPr>
        <w:pStyle w:val="BodyText"/>
        <w:spacing w:line="360" w:lineRule="auto" w:before="2"/>
        <w:ind w:left="268" w:right="231"/>
        <w:jc w:val="both"/>
      </w:pPr>
      <w:r>
        <w:rPr/>
        <w:t>C.V. en octubre de 2009, se ubica en el limite territorial del municioio de Calimaya en el mapa nueve se puede apreciar que los terrenos colindantes son de uso agrícola, su acceo es por otro conjunto urbano ubicado en el municipio de San Antonio la Isla.</w:t>
      </w:r>
    </w:p>
    <w:p>
      <w:pPr>
        <w:spacing w:before="131"/>
        <w:ind w:left="268" w:right="0" w:firstLine="0"/>
        <w:jc w:val="both"/>
        <w:rPr>
          <w:sz w:val="21"/>
        </w:rPr>
      </w:pPr>
      <w:r>
        <w:rPr>
          <w:w w:val="105"/>
          <w:sz w:val="21"/>
        </w:rPr>
        <w:t>Mapa 9. CU Valle del Nevado.</w:t>
      </w:r>
    </w:p>
    <w:p>
      <w:pPr>
        <w:pStyle w:val="BodyText"/>
        <w:spacing w:before="2"/>
        <w:rPr>
          <w:sz w:val="21"/>
        </w:rPr>
      </w:pPr>
      <w:r>
        <w:rPr/>
        <w:drawing>
          <wp:anchor distT="0" distB="0" distL="0" distR="0" allowOverlap="1" layoutInCell="1" locked="0" behindDoc="0" simplePos="0" relativeHeight="10240">
            <wp:simplePos x="0" y="0"/>
            <wp:positionH relativeFrom="page">
              <wp:posOffset>1261491</wp:posOffset>
            </wp:positionH>
            <wp:positionV relativeFrom="paragraph">
              <wp:posOffset>179703</wp:posOffset>
            </wp:positionV>
            <wp:extent cx="5617216" cy="4243863"/>
            <wp:effectExtent l="0" t="0" r="0" b="0"/>
            <wp:wrapTopAndBottom/>
            <wp:docPr id="33" name="image103.jpeg" descr=""/>
            <wp:cNvGraphicFramePr>
              <a:graphicFrameLocks noChangeAspect="1"/>
            </wp:cNvGraphicFramePr>
            <a:graphic>
              <a:graphicData uri="http://schemas.openxmlformats.org/drawingml/2006/picture">
                <pic:pic>
                  <pic:nvPicPr>
                    <pic:cNvPr id="34" name="image103.jpeg"/>
                    <pic:cNvPicPr/>
                  </pic:nvPicPr>
                  <pic:blipFill>
                    <a:blip r:embed="rId174" cstate="print"/>
                    <a:stretch>
                      <a:fillRect/>
                    </a:stretch>
                  </pic:blipFill>
                  <pic:spPr>
                    <a:xfrm>
                      <a:off x="0" y="0"/>
                      <a:ext cx="5617216" cy="4243863"/>
                    </a:xfrm>
                    <a:prstGeom prst="rect">
                      <a:avLst/>
                    </a:prstGeom>
                  </pic:spPr>
                </pic:pic>
              </a:graphicData>
            </a:graphic>
          </wp:anchor>
        </w:drawing>
      </w:r>
    </w:p>
    <w:p>
      <w:pPr>
        <w:spacing w:before="69"/>
        <w:ind w:left="268" w:right="0" w:firstLine="0"/>
        <w:jc w:val="both"/>
        <w:rPr>
          <w:sz w:val="21"/>
        </w:rPr>
      </w:pPr>
      <w:r>
        <w:rPr>
          <w:w w:val="105"/>
          <w:sz w:val="21"/>
        </w:rPr>
        <w:t>Fuente: Elaboración propia con base al estudio realizado.</w:t>
      </w:r>
    </w:p>
    <w:p>
      <w:pPr>
        <w:spacing w:after="0"/>
        <w:jc w:val="both"/>
        <w:rPr>
          <w:sz w:val="21"/>
        </w:rPr>
        <w:sectPr>
          <w:pgSz w:w="12240" w:h="15840"/>
          <w:pgMar w:header="730" w:footer="1066" w:top="1320" w:bottom="1260" w:left="1720" w:right="1180"/>
        </w:sectPr>
      </w:pPr>
    </w:p>
    <w:p>
      <w:pPr>
        <w:pStyle w:val="BodyText"/>
        <w:spacing w:line="20" w:lineRule="exact"/>
        <w:ind w:left="139"/>
        <w:rPr>
          <w:sz w:val="2"/>
        </w:rPr>
      </w:pPr>
      <w:r>
        <w:rPr>
          <w:sz w:val="2"/>
        </w:rPr>
        <w:pict>
          <v:group style="width:454.1pt;height:.5pt;mso-position-horizontal-relative:char;mso-position-vertical-relative:line" coordorigin="0,0" coordsize="9082,10">
            <v:line style="position:absolute" from="5,5" to="9077,5" stroked="true" strokeweight=".479981pt" strokecolor="#000000"/>
          </v:group>
        </w:pict>
      </w:r>
      <w:r>
        <w:rPr>
          <w:sz w:val="2"/>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p>
    <w:p>
      <w:pPr>
        <w:spacing w:before="0"/>
        <w:ind w:left="3133" w:right="0" w:firstLine="0"/>
        <w:jc w:val="left"/>
        <w:rPr>
          <w:b/>
          <w:sz w:val="15"/>
        </w:rPr>
      </w:pPr>
      <w:r>
        <w:rPr>
          <w:b/>
          <w:color w:val="595959"/>
          <w:sz w:val="15"/>
        </w:rPr>
        <w:t>Indicadores por Índices de Sustentabilidad</w:t>
      </w:r>
    </w:p>
    <w:p>
      <w:pPr>
        <w:pStyle w:val="BodyText"/>
        <w:spacing w:before="8"/>
        <w:rPr>
          <w:b/>
          <w:sz w:val="13"/>
        </w:rPr>
      </w:pPr>
    </w:p>
    <w:p>
      <w:pPr>
        <w:tabs>
          <w:tab w:pos="934" w:val="left" w:leader="none"/>
          <w:tab w:pos="1735" w:val="left" w:leader="none"/>
          <w:tab w:pos="2585" w:val="left" w:leader="none"/>
        </w:tabs>
        <w:spacing w:before="1"/>
        <w:ind w:left="301" w:right="0" w:firstLine="0"/>
        <w:jc w:val="center"/>
        <w:rPr>
          <w:sz w:val="9"/>
        </w:rPr>
      </w:pPr>
      <w:r>
        <w:rPr/>
        <w:pict>
          <v:group style="position:absolute;margin-left:203.042847pt;margin-top:12.152036pt;width:235.9pt;height:236.6pt;mso-position-horizontal-relative:page;mso-position-vertical-relative:paragraph;z-index:10336;mso-wrap-distance-left:0;mso-wrap-distance-right:0" coordorigin="4061,243" coordsize="4718,4732">
            <v:shape style="position:absolute;left:6169;top:2389;width:478;height:479" type="#_x0000_t75" stroked="false">
              <v:imagedata r:id="rId113" o:title=""/>
            </v:shape>
            <v:shape style="position:absolute;left:4061;top:278;width:4692;height:4696" type="#_x0000_t75" stroked="false">
              <v:imagedata r:id="rId176" o:title=""/>
            </v:shape>
            <v:line style="position:absolute" from="7815,2623" to="8739,2775" stroked="true" strokeweight="1.223655pt" strokecolor="#1ac31a"/>
            <v:line style="position:absolute" from="8739,2775" to="8728,2916" stroked="true" strokeweight="1.222562pt" strokecolor="#1ac31a"/>
            <v:line style="position:absolute" from="8728,2916" to="6403,2623" stroked="true" strokeweight="1.223667pt" strokecolor="#1ac31a"/>
            <v:line style="position:absolute" from="6403,2623" to="8674,3210" stroked="true" strokeweight="1.223614pt" strokecolor="#1ac31a"/>
            <v:line style="position:absolute" from="8674,3210" to="6403,2623" stroked="true" strokeweight="1.223614pt" strokecolor="#1ac31a"/>
            <v:line style="position:absolute" from="6403,2623" to="7489,3058" stroked="true" strokeweight="1.223528pt" strokecolor="#1ac31a"/>
            <v:line style="position:absolute" from="7489,3058" to="7468,3123" stroked="true" strokeweight="1.222668pt" strokecolor="#1ac31a"/>
            <v:line style="position:absolute" from="7468,3123" to="6403,2623" stroked="true" strokeweight="1.223480pt" strokecolor="#1ac31a"/>
            <v:line style="position:absolute" from="6403,2623" to="7392,3253" stroked="true" strokeweight="1.223358pt" strokecolor="#1ac31a"/>
            <v:line style="position:absolute" from="7392,3253" to="7348,3319" stroked="true" strokeweight="1.222903pt" strokecolor="#1ac31a"/>
            <v:line style="position:absolute" from="7348,3319" to="6403,2623" stroked="true" strokeweight="1.223288pt" strokecolor="#1ac31a"/>
            <v:line style="position:absolute" from="6403,2623" to="8109,4232" stroked="true" strokeweight="1.223153pt" strokecolor="#1ac31a"/>
            <v:line style="position:absolute" from="8109,4232" to="7207,3482" stroked="true" strokeweight="1.223223pt" strokecolor="#1ac31a"/>
            <v:line style="position:absolute" from="7207,3482" to="7153,3525" stroked="true" strokeweight="1.223243pt" strokecolor="#1ac31a"/>
            <v:line style="position:absolute" from="7153,3525" to="6403,2623" stroked="true" strokeweight="1.223016pt" strokecolor="#1ac31a"/>
            <v:line style="position:absolute" from="6403,2623" to="7663,4602" stroked="true" strokeweight="1.222881pt" strokecolor="#1ac31a"/>
            <v:line style="position:absolute" from="7663,4602" to="6968,3656" stroked="true" strokeweight="1.222952pt" strokecolor="#1ac31a"/>
            <v:line style="position:absolute" from="6968,3656" to="6609,3047" stroked="true" strokeweight="1.222846pt" strokecolor="#1ac31a"/>
            <v:line style="position:absolute" from="6609,3047" to="6403,2623" stroked="true" strokeweight="1.222772pt" strokecolor="#1ac31a"/>
            <v:shape style="position:absolute;left:7779;top:2587;width:76;height:76" type="#_x0000_t75" stroked="false">
              <v:imagedata r:id="rId115" o:title=""/>
            </v:shape>
            <v:shape style="position:absolute;left:8703;top:2739;width:76;height:76" type="#_x0000_t75" stroked="false">
              <v:imagedata r:id="rId115" o:title=""/>
            </v:shape>
            <v:shape style="position:absolute;left:8692;top:2881;width:76;height:76" type="#_x0000_t75" stroked="false">
              <v:imagedata r:id="rId115" o:title=""/>
            </v:shape>
            <v:shape style="position:absolute;left:8637;top:3174;width:76;height:76" type="#_x0000_t75" stroked="false">
              <v:imagedata r:id="rId115" o:title=""/>
            </v:shape>
            <v:shape style="position:absolute;left:7311;top:3022;width:217;height:337" type="#_x0000_t75" stroked="false">
              <v:imagedata r:id="rId177" o:title=""/>
            </v:shape>
            <v:shape style="position:absolute;left:8072;top:4197;width:76;height:76" type="#_x0000_t75" stroked="false">
              <v:imagedata r:id="rId115" o:title=""/>
            </v:shape>
            <v:shape style="position:absolute;left:7116;top:3446;width:130;height:120" type="#_x0000_t75" stroked="false">
              <v:imagedata r:id="rId178" o:title=""/>
            </v:shape>
            <v:shape style="position:absolute;left:7627;top:4567;width:76;height:76" type="#_x0000_t75" stroked="false">
              <v:imagedata r:id="rId115" o:title=""/>
            </v:shape>
            <v:shape style="position:absolute;left:6931;top:3620;width:76;height:76" type="#_x0000_t75" stroked="false">
              <v:imagedata r:id="rId115" o:title=""/>
            </v:shape>
            <v:shape style="position:absolute;left:6573;top:3011;width:76;height:76" type="#_x0000_t75" stroked="false">
              <v:imagedata r:id="rId115" o:title=""/>
            </v:shape>
            <v:shape style="position:absolute;left:6366;top:2587;width:76;height:76" type="#_x0000_t75" stroked="false">
              <v:imagedata r:id="rId140" o:title=""/>
            </v:shape>
            <v:line style="position:absolute" from="6403,2623" to="5153,4602" stroked="true" strokeweight="1.222877pt" strokecolor="#ffca00"/>
            <v:line style="position:absolute" from="5153,4602" to="5164,4330" stroked="true" strokeweight="1.222557pt" strokecolor="#ffca00"/>
            <v:line style="position:absolute" from="5164,4330" to="5512,3710" stroked="true" strokeweight="1.222826pt" strokecolor="#ffca00"/>
            <v:line style="position:absolute" from="5512,3710" to="4805,4330" stroked="true" strokeweight="1.223193pt" strokecolor="#ffca00"/>
            <v:line style="position:absolute" from="4805,4330" to="6066,2949" stroked="true" strokeweight="1.223069pt" strokecolor="#ffca00"/>
            <v:line style="position:absolute" from="6066,2949" to="4599,4124" stroked="true" strokeweight="1.223243pt" strokecolor="#ffca00"/>
            <v:line style="position:absolute" from="4599,4124" to="5077,3591" stroked="true" strokeweight="1.223059pt" strokecolor="#ffca00"/>
            <v:line style="position:absolute" from="5077,3591" to="6403,2623" stroked="true" strokeweight="1.223292pt" strokecolor="#ffca00"/>
            <v:line style="position:absolute" from="6403,2623" to="5175,3308" stroked="true" strokeweight="1.223416pt" strokecolor="#ffca00"/>
            <v:shape style="position:absolute;left:5116;top:4567;width:76;height:76" type="#_x0000_t75" stroked="false">
              <v:imagedata r:id="rId119" o:title=""/>
            </v:shape>
            <v:shape style="position:absolute;left:5127;top:4295;width:76;height:76" type="#_x0000_t75" stroked="false">
              <v:imagedata r:id="rId119" o:title=""/>
            </v:shape>
            <v:shape style="position:absolute;left:5475;top:3675;width:76;height:76" type="#_x0000_t75" stroked="false">
              <v:imagedata r:id="rId119" o:title=""/>
            </v:shape>
            <v:shape style="position:absolute;left:4769;top:4295;width:76;height:76" type="#_x0000_t75" stroked="false">
              <v:imagedata r:id="rId119" o:title=""/>
            </v:shape>
            <v:shape style="position:absolute;left:6029;top:2913;width:76;height:76" type="#_x0000_t75" stroked="false">
              <v:imagedata r:id="rId119" o:title=""/>
            </v:shape>
            <v:shape style="position:absolute;left:4562;top:4088;width:76;height:76" type="#_x0000_t75" stroked="false">
              <v:imagedata r:id="rId119" o:title=""/>
            </v:shape>
            <v:shape style="position:absolute;left:5040;top:3555;width:76;height:76" type="#_x0000_t75" stroked="false">
              <v:imagedata r:id="rId119" o:title=""/>
            </v:shape>
            <v:shape style="position:absolute;left:6366;top:2587;width:76;height:76" type="#_x0000_t75" stroked="false">
              <v:imagedata r:id="rId179" o:title=""/>
            </v:shape>
            <v:shape style="position:absolute;left:5138;top:3272;width:76;height:76" type="#_x0000_t75" stroked="false">
              <v:imagedata r:id="rId119" o:title=""/>
            </v:shape>
            <v:line style="position:absolute" from="5273,2329" to="5294,2264" stroked="true" strokeweight="1.222668pt" strokecolor="#927200"/>
            <v:line style="position:absolute" from="5294,2264" to="4229,1763" stroked="true" strokeweight="1.223480pt" strokecolor="#927200"/>
            <v:line style="position:absolute" from="4229,1763" to="5349,2122" stroked="true" strokeweight="1.223579pt" strokecolor="#927200"/>
            <v:line style="position:absolute" from="5349,2122" to="5381,2057" stroked="true" strokeweight="1.222781pt" strokecolor="#927200"/>
            <v:line style="position:absolute" from="5381,2057" to="6403,2623" stroked="true" strokeweight="1.22342pt" strokecolor="#927200"/>
            <v:line style="position:absolute" from="6403,2623" to="5457,1937" stroked="true" strokeweight="1.223296pt" strokecolor="#927200"/>
            <v:line style="position:absolute" from="5457,1937" to="5686,2024" stroked="true" strokeweight="1.223541pt" strokecolor="#927200"/>
            <v:line style="position:absolute" from="5686,2024" to="5120,1426" stroked="true" strokeweight="1.223088pt" strokecolor="#927200"/>
            <v:line style="position:absolute" from="5120,1426" to="5349,1502" stroked="true" strokeweight="1.223571pt" strokecolor="#927200"/>
            <v:line style="position:absolute" from="5349,1502" to="5512,1546" stroked="true" strokeweight="1.223609pt" strokecolor="#927200"/>
            <v:line style="position:absolute" from="5512,1546" to="5859,1872" stroked="true" strokeweight="1.223156pt" strokecolor="#927200"/>
            <v:line style="position:absolute" from="5859,1872" to="5903,1828" stroked="true" strokeweight="1.22312pt" strokecolor="#927200"/>
            <v:line style="position:absolute" from="5903,1828" to="5273,567" stroked="true" strokeweight="1.222781pt" strokecolor="#927200"/>
            <v:line style="position:absolute" from="5273,567" to="5903,1567" stroked="true" strokeweight="1.222876pt" strokecolor="#927200"/>
            <v:line style="position:absolute" from="5903,1567" to="6403,2623" stroked="true" strokeweight="1.222763pt" strokecolor="#927200"/>
            <v:shape style="position:absolute;left:5236;top:2228;width:98;height:141" type="#_x0000_t75" stroked="false">
              <v:imagedata r:id="rId161" o:title=""/>
            </v:shape>
            <v:shape style="position:absolute;left:4193;top:1728;width:76;height:76" type="#_x0000_t75" stroked="false">
              <v:imagedata r:id="rId122" o:title=""/>
            </v:shape>
            <v:shape style="position:absolute;left:5312;top:1902;width:185;height:261" type="#_x0000_t75" stroked="false">
              <v:imagedata r:id="rId180" o:title=""/>
            </v:shape>
            <v:shape style="position:absolute;left:5649;top:1989;width:76;height:76" type="#_x0000_t75" stroked="false">
              <v:imagedata r:id="rId122" o:title=""/>
            </v:shape>
            <v:shape style="position:absolute;left:5084;top:1390;width:76;height:76" type="#_x0000_t75" stroked="false">
              <v:imagedata r:id="rId122" o:title=""/>
            </v:shape>
            <v:shape style="position:absolute;left:5312;top:1467;width:76;height:76" type="#_x0000_t75" stroked="false">
              <v:imagedata r:id="rId122" o:title=""/>
            </v:shape>
            <v:shape style="position:absolute;left:5475;top:1510;width:76;height:76" type="#_x0000_t75" stroked="false">
              <v:imagedata r:id="rId122" o:title=""/>
            </v:shape>
            <v:shape style="position:absolute;left:5823;top:1793;width:120;height:120" type="#_x0000_t75" stroked="false">
              <v:imagedata r:id="rId181" o:title=""/>
            </v:shape>
            <v:shape style="position:absolute;left:5236;top:531;width:76;height:76" type="#_x0000_t75" stroked="false">
              <v:imagedata r:id="rId122" o:title=""/>
            </v:shape>
            <v:shape style="position:absolute;left:5866;top:1532;width:76;height:76" type="#_x0000_t75" stroked="false">
              <v:imagedata r:id="rId122" o:title=""/>
            </v:shape>
            <v:shape style="position:absolute;left:6366;top:2587;width:76;height:76" type="#_x0000_t75" stroked="false">
              <v:imagedata r:id="rId144" o:title=""/>
            </v:shape>
            <v:shape style="position:absolute;left:6189;top:243;width:131;height:2442" type="#_x0000_t202" filled="false" stroked="false">
              <v:textbox inset="0,0,0,0">
                <w:txbxContent>
                  <w:p>
                    <w:pPr>
                      <w:spacing w:line="101" w:lineRule="exact" w:before="0"/>
                      <w:ind w:left="80" w:right="0" w:firstLine="0"/>
                      <w:jc w:val="left"/>
                      <w:rPr>
                        <w:rFonts w:ascii="Calibri"/>
                        <w:sz w:val="9"/>
                      </w:rPr>
                    </w:pPr>
                    <w:r>
                      <w:rPr>
                        <w:rFonts w:ascii="Calibri"/>
                        <w:color w:val="595959"/>
                        <w:w w:val="108"/>
                        <w:sz w:val="9"/>
                      </w:rPr>
                      <w:t>1</w:t>
                    </w:r>
                  </w:p>
                  <w:p>
                    <w:pPr>
                      <w:spacing w:line="240" w:lineRule="auto" w:before="9"/>
                      <w:rPr>
                        <w:sz w:val="10"/>
                      </w:rPr>
                    </w:pPr>
                  </w:p>
                  <w:p>
                    <w:pPr>
                      <w:spacing w:before="0"/>
                      <w:ind w:left="6" w:right="-15" w:firstLine="0"/>
                      <w:jc w:val="left"/>
                      <w:rPr>
                        <w:rFonts w:ascii="Calibri"/>
                        <w:sz w:val="9"/>
                      </w:rPr>
                    </w:pPr>
                    <w:r>
                      <w:rPr>
                        <w:rFonts w:ascii="Calibri"/>
                        <w:color w:val="595959"/>
                        <w:w w:val="105"/>
                        <w:sz w:val="9"/>
                      </w:rPr>
                      <w:t>0.9</w:t>
                    </w:r>
                  </w:p>
                  <w:p>
                    <w:pPr>
                      <w:spacing w:line="240" w:lineRule="auto" w:before="9"/>
                      <w:rPr>
                        <w:sz w:val="10"/>
                      </w:rPr>
                    </w:pPr>
                  </w:p>
                  <w:p>
                    <w:pPr>
                      <w:spacing w:before="0"/>
                      <w:ind w:left="6" w:right="-15" w:firstLine="0"/>
                      <w:jc w:val="left"/>
                      <w:rPr>
                        <w:rFonts w:ascii="Calibri"/>
                        <w:sz w:val="9"/>
                      </w:rPr>
                    </w:pPr>
                    <w:r>
                      <w:rPr>
                        <w:rFonts w:ascii="Calibri"/>
                        <w:color w:val="595959"/>
                        <w:w w:val="105"/>
                        <w:sz w:val="9"/>
                      </w:rPr>
                      <w:t>0.8</w:t>
                    </w:r>
                  </w:p>
                  <w:p>
                    <w:pPr>
                      <w:spacing w:line="240" w:lineRule="auto" w:before="9"/>
                      <w:rPr>
                        <w:sz w:val="10"/>
                      </w:rPr>
                    </w:pPr>
                  </w:p>
                  <w:p>
                    <w:pPr>
                      <w:spacing w:before="0"/>
                      <w:ind w:left="6" w:right="-15" w:firstLine="0"/>
                      <w:jc w:val="left"/>
                      <w:rPr>
                        <w:rFonts w:ascii="Calibri"/>
                        <w:sz w:val="9"/>
                      </w:rPr>
                    </w:pPr>
                    <w:r>
                      <w:rPr>
                        <w:rFonts w:ascii="Calibri"/>
                        <w:color w:val="595959"/>
                        <w:w w:val="105"/>
                        <w:sz w:val="9"/>
                      </w:rPr>
                      <w:t>0.7</w:t>
                    </w:r>
                  </w:p>
                  <w:p>
                    <w:pPr>
                      <w:spacing w:line="240" w:lineRule="auto" w:before="9"/>
                      <w:rPr>
                        <w:sz w:val="10"/>
                      </w:rPr>
                    </w:pPr>
                  </w:p>
                  <w:p>
                    <w:pPr>
                      <w:spacing w:before="0"/>
                      <w:ind w:left="6" w:right="-15" w:firstLine="0"/>
                      <w:jc w:val="left"/>
                      <w:rPr>
                        <w:rFonts w:ascii="Calibri"/>
                        <w:sz w:val="9"/>
                      </w:rPr>
                    </w:pPr>
                    <w:r>
                      <w:rPr>
                        <w:rFonts w:ascii="Calibri"/>
                        <w:color w:val="595959"/>
                        <w:w w:val="105"/>
                        <w:sz w:val="9"/>
                      </w:rPr>
                      <w:t>0.6</w:t>
                    </w:r>
                  </w:p>
                  <w:p>
                    <w:pPr>
                      <w:spacing w:line="240" w:lineRule="auto" w:before="9"/>
                      <w:rPr>
                        <w:sz w:val="10"/>
                      </w:rPr>
                    </w:pPr>
                  </w:p>
                  <w:p>
                    <w:pPr>
                      <w:spacing w:before="0"/>
                      <w:ind w:left="6" w:right="-15" w:firstLine="0"/>
                      <w:jc w:val="left"/>
                      <w:rPr>
                        <w:rFonts w:ascii="Calibri"/>
                        <w:sz w:val="9"/>
                      </w:rPr>
                    </w:pPr>
                    <w:r>
                      <w:rPr>
                        <w:rFonts w:ascii="Calibri"/>
                        <w:color w:val="595959"/>
                        <w:w w:val="105"/>
                        <w:sz w:val="9"/>
                      </w:rPr>
                      <w:t>0.5</w:t>
                    </w:r>
                  </w:p>
                  <w:p>
                    <w:pPr>
                      <w:spacing w:line="240" w:lineRule="auto" w:before="9"/>
                      <w:rPr>
                        <w:sz w:val="10"/>
                      </w:rPr>
                    </w:pPr>
                  </w:p>
                  <w:p>
                    <w:pPr>
                      <w:spacing w:before="0"/>
                      <w:ind w:left="0" w:right="-15" w:firstLine="0"/>
                      <w:jc w:val="left"/>
                      <w:rPr>
                        <w:rFonts w:ascii="Calibri"/>
                        <w:sz w:val="9"/>
                      </w:rPr>
                    </w:pPr>
                    <w:r>
                      <w:rPr>
                        <w:rFonts w:ascii="Calibri"/>
                        <w:color w:val="595959"/>
                        <w:w w:val="110"/>
                        <w:sz w:val="9"/>
                      </w:rPr>
                      <w:t>0.4</w:t>
                    </w:r>
                  </w:p>
                  <w:p>
                    <w:pPr>
                      <w:spacing w:line="240" w:lineRule="auto" w:before="9"/>
                      <w:rPr>
                        <w:sz w:val="10"/>
                      </w:rPr>
                    </w:pPr>
                  </w:p>
                  <w:p>
                    <w:pPr>
                      <w:spacing w:before="0"/>
                      <w:ind w:left="6" w:right="-15" w:firstLine="0"/>
                      <w:jc w:val="left"/>
                      <w:rPr>
                        <w:rFonts w:ascii="Calibri"/>
                        <w:sz w:val="9"/>
                      </w:rPr>
                    </w:pPr>
                    <w:r>
                      <w:rPr>
                        <w:rFonts w:ascii="Calibri"/>
                        <w:color w:val="595959"/>
                        <w:w w:val="105"/>
                        <w:sz w:val="9"/>
                      </w:rPr>
                      <w:t>0.3</w:t>
                    </w:r>
                  </w:p>
                  <w:p>
                    <w:pPr>
                      <w:spacing w:line="240" w:lineRule="auto" w:before="9"/>
                      <w:rPr>
                        <w:sz w:val="10"/>
                      </w:rPr>
                    </w:pPr>
                  </w:p>
                  <w:p>
                    <w:pPr>
                      <w:spacing w:before="0"/>
                      <w:ind w:left="0" w:right="-15" w:firstLine="0"/>
                      <w:jc w:val="left"/>
                      <w:rPr>
                        <w:rFonts w:ascii="Calibri"/>
                        <w:sz w:val="9"/>
                      </w:rPr>
                    </w:pPr>
                    <w:r>
                      <w:rPr>
                        <w:rFonts w:ascii="Calibri"/>
                        <w:color w:val="595959"/>
                        <w:w w:val="110"/>
                        <w:sz w:val="9"/>
                      </w:rPr>
                      <w:t>0.2</w:t>
                    </w:r>
                  </w:p>
                  <w:p>
                    <w:pPr>
                      <w:spacing w:line="240" w:lineRule="auto" w:before="9"/>
                      <w:rPr>
                        <w:sz w:val="10"/>
                      </w:rPr>
                    </w:pPr>
                  </w:p>
                  <w:p>
                    <w:pPr>
                      <w:spacing w:before="0"/>
                      <w:ind w:left="6" w:right="-15" w:firstLine="0"/>
                      <w:jc w:val="left"/>
                      <w:rPr>
                        <w:rFonts w:ascii="Calibri"/>
                        <w:sz w:val="9"/>
                      </w:rPr>
                    </w:pPr>
                    <w:r>
                      <w:rPr>
                        <w:rFonts w:ascii="Calibri"/>
                        <w:color w:val="595959"/>
                        <w:w w:val="105"/>
                        <w:sz w:val="9"/>
                      </w:rPr>
                      <w:t>0.1</w:t>
                    </w:r>
                  </w:p>
                  <w:p>
                    <w:pPr>
                      <w:spacing w:line="240" w:lineRule="auto" w:before="9"/>
                      <w:rPr>
                        <w:sz w:val="10"/>
                      </w:rPr>
                    </w:pPr>
                  </w:p>
                  <w:p>
                    <w:pPr>
                      <w:spacing w:line="107" w:lineRule="exact" w:before="0"/>
                      <w:ind w:left="76" w:right="0" w:firstLine="0"/>
                      <w:jc w:val="left"/>
                      <w:rPr>
                        <w:rFonts w:ascii="Calibri"/>
                        <w:sz w:val="9"/>
                      </w:rPr>
                    </w:pPr>
                    <w:r>
                      <w:rPr>
                        <w:rFonts w:ascii="Calibri"/>
                        <w:color w:val="595959"/>
                        <w:w w:val="108"/>
                        <w:sz w:val="9"/>
                      </w:rPr>
                      <w:t>0</w:t>
                    </w:r>
                  </w:p>
                </w:txbxContent>
              </v:textbox>
              <w10:wrap type="none"/>
            </v:shape>
            <w10:wrap type="topAndBottom"/>
          </v:group>
        </w:pict>
      </w:r>
      <w:r>
        <w:rPr/>
        <w:pict>
          <v:group style="position:absolute;margin-left:247.824005pt;margin-top:.597736pt;width:11.7pt;height:3.3pt;mso-position-horizontal-relative:page;mso-position-vertical-relative:paragraph;z-index:10360" coordorigin="4956,12" coordsize="234,66">
            <v:line style="position:absolute" from="4969,42" to="5178,42" stroked="true" strokeweight="1.223684pt" strokecolor="#8448b0"/>
            <v:shape style="position:absolute;left:5044;top:17;width:55;height:55" coordorigin="5044,17" coordsize="55,55" path="m5087,17l5057,17,5044,30,5044,60,5057,72,5087,72,5099,60,5099,30,5087,17xe" filled="true" fillcolor="#6cacdd" stroked="false">
              <v:path arrowok="t"/>
              <v:fill type="solid"/>
            </v:shape>
            <v:shape style="position:absolute;left:5044;top:17;width:55;height:55" coordorigin="5044,17" coordsize="55,55" path="m5099,45l5099,60,5087,72,5072,72,5057,72,5044,60,5044,45,5044,30,5057,17,5072,17,5087,17,5099,30,5099,45xe" filled="false" stroked="true" strokeweight=".543609pt" strokecolor="#ff2600">
              <v:path arrowok="t"/>
            </v:shape>
            <w10:wrap type="none"/>
          </v:group>
        </w:pict>
      </w:r>
      <w:r>
        <w:rPr/>
        <w:pict>
          <v:group style="position:absolute;margin-left:279.445007pt;margin-top:.597736pt;width:11.7pt;height:3.3pt;mso-position-horizontal-relative:page;mso-position-vertical-relative:paragraph;z-index:-1147648" coordorigin="5589,12" coordsize="234,66">
            <v:line style="position:absolute" from="5601,42" to="5810,42" stroked="true" strokeweight="1.223684pt" strokecolor="#1ac31a"/>
            <v:shape style="position:absolute;left:5675;top:17;width:55;height:55" coordorigin="5675,17" coordsize="55,55" path="m5717,17l5687,17,5675,30,5675,60,5687,72,5717,72,5729,60,5729,30,5717,17xe" filled="true" fillcolor="#f2913f" stroked="false">
              <v:path arrowok="t"/>
              <v:fill type="solid"/>
            </v:shape>
            <v:shape style="position:absolute;left:5675;top:17;width:55;height:55" coordorigin="5675,17" coordsize="55,55" path="m5729,45l5729,60,5717,72,5702,72,5687,72,5675,60,5675,45,5675,30,5687,17,5702,17,5717,17,5729,30,5729,45xe" filled="false" stroked="true" strokeweight=".543609pt" strokecolor="#ff2600">
              <v:path arrowok="t"/>
            </v:shape>
            <w10:wrap type="none"/>
          </v:group>
        </w:pict>
      </w:r>
      <w:r>
        <w:rPr/>
        <w:pict>
          <v:group style="position:absolute;margin-left:319.491974pt;margin-top:.597736pt;width:11.7pt;height:3.3pt;mso-position-horizontal-relative:page;mso-position-vertical-relative:paragraph;z-index:-1147624" coordorigin="6390,12" coordsize="234,66">
            <v:line style="position:absolute" from="6402,42" to="6611,42" stroked="true" strokeweight="1.223684pt" strokecolor="#ffca00"/>
            <v:shape style="position:absolute;left:6479;top:17;width:55;height:55" coordorigin="6479,17" coordsize="55,55" path="m6521,17l6491,17,6479,30,6479,60,6491,72,6521,72,6533,60,6533,30,6521,17xe" filled="true" fillcolor="#b4b4b4" stroked="false">
              <v:path arrowok="t"/>
              <v:fill type="solid"/>
            </v:shape>
            <v:shape style="position:absolute;left:6479;top:17;width:55;height:55" coordorigin="6479,17" coordsize="55,55" path="m6533,45l6533,60,6521,72,6506,72,6491,72,6479,60,6479,45,6479,30,6491,17,6506,17,6521,17,6533,30,6533,45xe" filled="false" stroked="true" strokeweight=".543609pt" strokecolor="#ff2600">
              <v:path arrowok="t"/>
            </v:shape>
            <w10:wrap type="none"/>
          </v:group>
        </w:pict>
      </w:r>
      <w:r>
        <w:rPr/>
        <w:pict>
          <v:group style="position:absolute;margin-left:361.984955pt;margin-top:.597736pt;width:11.7pt;height:3.3pt;mso-position-horizontal-relative:page;mso-position-vertical-relative:paragraph;z-index:-1147600" coordorigin="7240,12" coordsize="234,66">
            <v:line style="position:absolute" from="7252,42" to="7461,42" stroked="true" strokeweight="1.223684pt" strokecolor="#927200"/>
            <v:shape style="position:absolute;left:7326;top:17;width:55;height:55" coordorigin="7326,17" coordsize="55,55" path="m7369,17l7339,17,7326,30,7326,60,7339,72,7369,72,7381,60,7381,30,7369,17xe" filled="true" fillcolor="#ffca00" stroked="false">
              <v:path arrowok="t"/>
              <v:fill type="solid"/>
            </v:shape>
            <v:shape style="position:absolute;left:7326;top:17;width:55;height:55" coordorigin="7326,17" coordsize="55,55" path="m7381,45l7381,60,7369,72,7354,72,7339,72,7326,60,7326,45,7326,30,7339,17,7354,17,7369,17,7381,30,7381,45xe" filled="false" stroked="true" strokeweight=".543609pt" strokecolor="#ff2600">
              <v:path arrowok="t"/>
            </v:shape>
            <w10:wrap type="none"/>
          </v:group>
        </w:pict>
      </w:r>
      <w:r>
        <w:rPr>
          <w:color w:val="595959"/>
          <w:w w:val="110"/>
          <w:sz w:val="9"/>
        </w:rPr>
        <w:t>Social</w:t>
        <w:tab/>
        <w:t>Ambiental</w:t>
        <w:tab/>
        <w:t>Económico</w:t>
        <w:tab/>
        <w:t>Territorial</w:t>
      </w:r>
    </w:p>
    <w:p>
      <w:pPr>
        <w:pStyle w:val="BodyText"/>
        <w:rPr>
          <w:sz w:val="20"/>
        </w:rPr>
      </w:pPr>
    </w:p>
    <w:p>
      <w:pPr>
        <w:pStyle w:val="BodyText"/>
        <w:spacing w:before="6"/>
        <w:rPr>
          <w:sz w:val="18"/>
        </w:rPr>
      </w:pPr>
    </w:p>
    <w:p>
      <w:pPr>
        <w:spacing w:before="79"/>
        <w:ind w:left="268" w:right="0" w:firstLine="0"/>
        <w:jc w:val="left"/>
        <w:rPr>
          <w:sz w:val="21"/>
        </w:rPr>
      </w:pPr>
      <w:r>
        <w:rPr>
          <w:w w:val="105"/>
          <w:sz w:val="21"/>
        </w:rPr>
        <w:t>Fuente: Elaboración propia con base al estudio realizado.</w:t>
      </w:r>
    </w:p>
    <w:p>
      <w:pPr>
        <w:pStyle w:val="BodyText"/>
        <w:spacing w:before="2"/>
        <w:rPr>
          <w:sz w:val="21"/>
        </w:rPr>
      </w:pPr>
    </w:p>
    <w:p>
      <w:pPr>
        <w:pStyle w:val="BodyText"/>
        <w:ind w:left="268"/>
      </w:pPr>
      <w:r>
        <w:rPr/>
        <w:pict>
          <v:rect style="position:absolute;margin-left:304.393005pt;margin-top:82.467468pt;width:66.029300pt;height:16.011400pt;mso-position-horizontal-relative:page;mso-position-vertical-relative:paragraph;z-index:-1147576" filled="true" fillcolor="#f79646" stroked="false">
            <v:fill type="solid"/>
            <w10:wrap type="none"/>
          </v:rect>
        </w:pict>
      </w:r>
      <w:r>
        <w:rPr/>
        <w:pict>
          <v:rect style="position:absolute;margin-left:304.393005pt;margin-top:112.489471pt;width:66.029300pt;height:16.011400pt;mso-position-horizontal-relative:page;mso-position-vertical-relative:paragraph;z-index:-1147552" filled="true" fillcolor="#f79646" stroked="false">
            <v:fill type="solid"/>
            <w10:wrap type="none"/>
          </v:rect>
        </w:pict>
      </w:r>
      <w:r>
        <w:rPr/>
        <w:t>Tabla 27. Resultado de índices de sustentabilidad Valle del Nevado.</w:t>
      </w:r>
    </w:p>
    <w:p>
      <w:pPr>
        <w:pStyle w:val="BodyText"/>
        <w:spacing w:before="7"/>
        <w:rPr>
          <w:sz w:val="17"/>
        </w:rPr>
      </w:pPr>
    </w:p>
    <w:tbl>
      <w:tblPr>
        <w:tblW w:w="0" w:type="auto"/>
        <w:jc w:val="left"/>
        <w:tblInd w:w="152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62"/>
        <w:gridCol w:w="1169"/>
        <w:gridCol w:w="1311"/>
        <w:gridCol w:w="1291"/>
      </w:tblGrid>
      <w:tr>
        <w:trPr>
          <w:trHeight w:val="891" w:hRule="exact"/>
        </w:trPr>
        <w:tc>
          <w:tcPr>
            <w:tcW w:w="6733" w:type="dxa"/>
            <w:gridSpan w:val="4"/>
            <w:shd w:val="clear" w:color="auto" w:fill="000000"/>
          </w:tcPr>
          <w:p>
            <w:pPr>
              <w:pStyle w:val="TableParagraph"/>
              <w:spacing w:before="115"/>
              <w:ind w:left="1004" w:right="998"/>
              <w:rPr>
                <w:sz w:val="24"/>
              </w:rPr>
            </w:pPr>
            <w:r>
              <w:rPr>
                <w:color w:val="FFFFFF"/>
                <w:sz w:val="24"/>
              </w:rPr>
              <w:t>Valle del Nevado</w:t>
            </w:r>
          </w:p>
          <w:p>
            <w:pPr>
              <w:pStyle w:val="TableParagraph"/>
              <w:spacing w:before="24"/>
              <w:ind w:left="1077" w:right="998"/>
              <w:rPr>
                <w:sz w:val="24"/>
              </w:rPr>
            </w:pPr>
            <w:r>
              <w:rPr>
                <w:color w:val="FFFFFF"/>
                <w:sz w:val="24"/>
              </w:rPr>
              <w:t>Resultado de los Índices de sustentabilidad</w:t>
            </w:r>
          </w:p>
        </w:tc>
      </w:tr>
      <w:tr>
        <w:trPr>
          <w:trHeight w:val="280" w:hRule="exact"/>
        </w:trPr>
        <w:tc>
          <w:tcPr>
            <w:tcW w:w="2962" w:type="dxa"/>
            <w:tcBorders>
              <w:left w:val="single" w:sz="8" w:space="0" w:color="000000"/>
            </w:tcBorders>
          </w:tcPr>
          <w:p>
            <w:pPr/>
          </w:p>
        </w:tc>
        <w:tc>
          <w:tcPr>
            <w:tcW w:w="1169" w:type="dxa"/>
          </w:tcPr>
          <w:p>
            <w:pPr>
              <w:pStyle w:val="TableParagraph"/>
              <w:spacing w:line="261" w:lineRule="exact"/>
              <w:ind w:left="289"/>
              <w:jc w:val="left"/>
              <w:rPr>
                <w:sz w:val="24"/>
              </w:rPr>
            </w:pPr>
            <w:r>
              <w:rPr>
                <w:sz w:val="24"/>
              </w:rPr>
              <w:t>Real</w:t>
            </w:r>
          </w:p>
        </w:tc>
        <w:tc>
          <w:tcPr>
            <w:tcW w:w="1311" w:type="dxa"/>
          </w:tcPr>
          <w:p>
            <w:pPr>
              <w:pStyle w:val="TableParagraph"/>
              <w:spacing w:line="261" w:lineRule="exact"/>
              <w:ind w:left="140" w:right="116"/>
              <w:rPr>
                <w:sz w:val="24"/>
              </w:rPr>
            </w:pPr>
            <w:r>
              <w:rPr>
                <w:sz w:val="24"/>
              </w:rPr>
              <w:t>Deseable</w:t>
            </w:r>
          </w:p>
        </w:tc>
        <w:tc>
          <w:tcPr>
            <w:tcW w:w="1291" w:type="dxa"/>
            <w:tcBorders>
              <w:right w:val="single" w:sz="16" w:space="0" w:color="000000"/>
            </w:tcBorders>
          </w:tcPr>
          <w:p>
            <w:pPr>
              <w:pStyle w:val="TableParagraph"/>
              <w:spacing w:line="261" w:lineRule="exact"/>
              <w:ind w:left="250" w:right="207"/>
              <w:rPr>
                <w:sz w:val="24"/>
              </w:rPr>
            </w:pPr>
            <w:r>
              <w:rPr>
                <w:sz w:val="24"/>
              </w:rPr>
              <w:t>Óptimo</w:t>
            </w:r>
          </w:p>
        </w:tc>
      </w:tr>
      <w:tr>
        <w:trPr>
          <w:trHeight w:val="320" w:hRule="exact"/>
        </w:trPr>
        <w:tc>
          <w:tcPr>
            <w:tcW w:w="2962" w:type="dxa"/>
            <w:tcBorders>
              <w:left w:val="single" w:sz="8" w:space="0" w:color="000000"/>
            </w:tcBorders>
          </w:tcPr>
          <w:p>
            <w:pPr>
              <w:pStyle w:val="TableParagraph"/>
              <w:spacing w:before="5"/>
              <w:ind w:left="40"/>
              <w:jc w:val="left"/>
              <w:rPr>
                <w:sz w:val="24"/>
              </w:rPr>
            </w:pPr>
            <w:r>
              <w:rPr>
                <w:sz w:val="24"/>
              </w:rPr>
              <w:t>Índice Social</w:t>
            </w:r>
          </w:p>
        </w:tc>
        <w:tc>
          <w:tcPr>
            <w:tcW w:w="1169" w:type="dxa"/>
          </w:tcPr>
          <w:p>
            <w:pPr>
              <w:pStyle w:val="TableParagraph"/>
              <w:spacing w:before="5"/>
              <w:ind w:left="289"/>
              <w:jc w:val="left"/>
              <w:rPr>
                <w:sz w:val="24"/>
              </w:rPr>
            </w:pPr>
            <w:r>
              <w:rPr>
                <w:sz w:val="24"/>
              </w:rPr>
              <w:t>10.4</w:t>
            </w:r>
          </w:p>
        </w:tc>
        <w:tc>
          <w:tcPr>
            <w:tcW w:w="1311" w:type="dxa"/>
            <w:tcBorders>
              <w:right w:val="single" w:sz="8" w:space="0" w:color="FFFFFF"/>
            </w:tcBorders>
            <w:shd w:val="clear" w:color="auto" w:fill="FFFF00"/>
          </w:tcPr>
          <w:p>
            <w:pPr>
              <w:pStyle w:val="TableParagraph"/>
              <w:spacing w:before="5"/>
              <w:ind w:left="340" w:right="311"/>
              <w:rPr>
                <w:sz w:val="24"/>
              </w:rPr>
            </w:pPr>
            <w:r>
              <w:rPr>
                <w:sz w:val="24"/>
              </w:rPr>
              <w:t>11.4</w:t>
            </w:r>
          </w:p>
        </w:tc>
        <w:tc>
          <w:tcPr>
            <w:tcW w:w="1291" w:type="dxa"/>
            <w:tcBorders>
              <w:left w:val="single" w:sz="8" w:space="0" w:color="FFFFFF"/>
              <w:right w:val="single" w:sz="16" w:space="0" w:color="000000"/>
            </w:tcBorders>
            <w:shd w:val="clear" w:color="auto" w:fill="67ED4D"/>
          </w:tcPr>
          <w:p>
            <w:pPr>
              <w:pStyle w:val="TableParagraph"/>
              <w:spacing w:before="5"/>
              <w:ind w:left="477" w:right="471"/>
              <w:rPr>
                <w:sz w:val="24"/>
              </w:rPr>
            </w:pPr>
            <w:r>
              <w:rPr>
                <w:sz w:val="24"/>
              </w:rPr>
              <w:t>15</w:t>
            </w:r>
          </w:p>
        </w:tc>
      </w:tr>
      <w:tr>
        <w:trPr>
          <w:trHeight w:val="280" w:hRule="exact"/>
        </w:trPr>
        <w:tc>
          <w:tcPr>
            <w:tcW w:w="6733" w:type="dxa"/>
            <w:gridSpan w:val="4"/>
            <w:tcBorders>
              <w:left w:val="single" w:sz="8" w:space="0" w:color="000000"/>
              <w:right w:val="single" w:sz="16" w:space="0" w:color="000000"/>
            </w:tcBorders>
          </w:tcPr>
          <w:p>
            <w:pPr/>
          </w:p>
        </w:tc>
      </w:tr>
      <w:tr>
        <w:trPr>
          <w:trHeight w:val="320" w:hRule="exact"/>
        </w:trPr>
        <w:tc>
          <w:tcPr>
            <w:tcW w:w="2962" w:type="dxa"/>
            <w:tcBorders>
              <w:left w:val="single" w:sz="8" w:space="0" w:color="000000"/>
            </w:tcBorders>
          </w:tcPr>
          <w:p>
            <w:pPr>
              <w:pStyle w:val="TableParagraph"/>
              <w:spacing w:before="5"/>
              <w:ind w:left="40"/>
              <w:jc w:val="left"/>
              <w:rPr>
                <w:sz w:val="24"/>
              </w:rPr>
            </w:pPr>
            <w:r>
              <w:rPr>
                <w:sz w:val="24"/>
              </w:rPr>
              <w:t>Índice Ambiental</w:t>
            </w:r>
          </w:p>
        </w:tc>
        <w:tc>
          <w:tcPr>
            <w:tcW w:w="1169" w:type="dxa"/>
          </w:tcPr>
          <w:p>
            <w:pPr>
              <w:pStyle w:val="TableParagraph"/>
              <w:spacing w:before="5"/>
              <w:ind w:left="369"/>
              <w:jc w:val="left"/>
              <w:rPr>
                <w:sz w:val="24"/>
              </w:rPr>
            </w:pPr>
            <w:r>
              <w:rPr>
                <w:sz w:val="24"/>
              </w:rPr>
              <w:t>9.3</w:t>
            </w:r>
          </w:p>
        </w:tc>
        <w:tc>
          <w:tcPr>
            <w:tcW w:w="1311" w:type="dxa"/>
            <w:tcBorders>
              <w:right w:val="single" w:sz="8" w:space="0" w:color="FFFFFF"/>
            </w:tcBorders>
            <w:shd w:val="clear" w:color="auto" w:fill="FFFF00"/>
          </w:tcPr>
          <w:p>
            <w:pPr>
              <w:pStyle w:val="TableParagraph"/>
              <w:spacing w:before="5"/>
              <w:ind w:left="327" w:right="320"/>
              <w:rPr>
                <w:sz w:val="24"/>
              </w:rPr>
            </w:pPr>
            <w:r>
              <w:rPr>
                <w:sz w:val="24"/>
              </w:rPr>
              <w:t>18.3</w:t>
            </w:r>
          </w:p>
        </w:tc>
        <w:tc>
          <w:tcPr>
            <w:tcW w:w="1291" w:type="dxa"/>
            <w:tcBorders>
              <w:left w:val="single" w:sz="8" w:space="0" w:color="FFFFFF"/>
              <w:right w:val="single" w:sz="16" w:space="0" w:color="000000"/>
            </w:tcBorders>
            <w:shd w:val="clear" w:color="auto" w:fill="67ED4D"/>
          </w:tcPr>
          <w:p>
            <w:pPr>
              <w:pStyle w:val="TableParagraph"/>
              <w:spacing w:before="5"/>
              <w:ind w:left="477" w:right="471"/>
              <w:rPr>
                <w:sz w:val="24"/>
              </w:rPr>
            </w:pPr>
            <w:r>
              <w:rPr>
                <w:sz w:val="24"/>
              </w:rPr>
              <w:t>24</w:t>
            </w:r>
          </w:p>
        </w:tc>
      </w:tr>
      <w:tr>
        <w:trPr>
          <w:trHeight w:val="280" w:hRule="exact"/>
        </w:trPr>
        <w:tc>
          <w:tcPr>
            <w:tcW w:w="6733" w:type="dxa"/>
            <w:gridSpan w:val="4"/>
            <w:tcBorders>
              <w:left w:val="single" w:sz="8" w:space="0" w:color="000000"/>
              <w:right w:val="single" w:sz="16" w:space="0" w:color="000000"/>
            </w:tcBorders>
          </w:tcPr>
          <w:p>
            <w:pPr/>
          </w:p>
        </w:tc>
      </w:tr>
      <w:tr>
        <w:trPr>
          <w:trHeight w:val="320" w:hRule="exact"/>
        </w:trPr>
        <w:tc>
          <w:tcPr>
            <w:tcW w:w="2962" w:type="dxa"/>
            <w:tcBorders>
              <w:left w:val="single" w:sz="8" w:space="0" w:color="000000"/>
            </w:tcBorders>
          </w:tcPr>
          <w:p>
            <w:pPr>
              <w:pStyle w:val="TableParagraph"/>
              <w:spacing w:before="5"/>
              <w:ind w:left="40"/>
              <w:jc w:val="left"/>
              <w:rPr>
                <w:sz w:val="24"/>
              </w:rPr>
            </w:pPr>
            <w:r>
              <w:rPr>
                <w:sz w:val="24"/>
              </w:rPr>
              <w:t>Índice Económico</w:t>
            </w:r>
          </w:p>
        </w:tc>
        <w:tc>
          <w:tcPr>
            <w:tcW w:w="1169" w:type="dxa"/>
          </w:tcPr>
          <w:p>
            <w:pPr>
              <w:pStyle w:val="TableParagraph"/>
              <w:spacing w:before="5"/>
              <w:ind w:right="95"/>
              <w:rPr>
                <w:sz w:val="24"/>
              </w:rPr>
            </w:pPr>
            <w:r>
              <w:rPr>
                <w:w w:val="99"/>
                <w:sz w:val="24"/>
              </w:rPr>
              <w:t>6</w:t>
            </w:r>
          </w:p>
        </w:tc>
        <w:tc>
          <w:tcPr>
            <w:tcW w:w="1311" w:type="dxa"/>
            <w:tcBorders>
              <w:right w:val="single" w:sz="8" w:space="0" w:color="FFFFFF"/>
            </w:tcBorders>
            <w:shd w:val="clear" w:color="auto" w:fill="FFFF00"/>
          </w:tcPr>
          <w:p>
            <w:pPr>
              <w:pStyle w:val="TableParagraph"/>
              <w:spacing w:before="5"/>
              <w:ind w:left="33"/>
              <w:rPr>
                <w:sz w:val="24"/>
              </w:rPr>
            </w:pPr>
            <w:r>
              <w:rPr>
                <w:w w:val="99"/>
                <w:sz w:val="24"/>
              </w:rPr>
              <w:t>9</w:t>
            </w:r>
          </w:p>
        </w:tc>
        <w:tc>
          <w:tcPr>
            <w:tcW w:w="1291" w:type="dxa"/>
            <w:tcBorders>
              <w:left w:val="single" w:sz="8" w:space="0" w:color="FFFFFF"/>
              <w:right w:val="single" w:sz="16" w:space="0" w:color="000000"/>
            </w:tcBorders>
            <w:shd w:val="clear" w:color="auto" w:fill="67ED4D"/>
          </w:tcPr>
          <w:p>
            <w:pPr>
              <w:pStyle w:val="TableParagraph"/>
              <w:spacing w:before="5"/>
              <w:ind w:left="479" w:right="468"/>
              <w:rPr>
                <w:sz w:val="24"/>
              </w:rPr>
            </w:pPr>
            <w:r>
              <w:rPr>
                <w:sz w:val="24"/>
              </w:rPr>
              <w:t>11</w:t>
            </w:r>
          </w:p>
        </w:tc>
      </w:tr>
      <w:tr>
        <w:trPr>
          <w:trHeight w:val="280" w:hRule="exact"/>
        </w:trPr>
        <w:tc>
          <w:tcPr>
            <w:tcW w:w="6733" w:type="dxa"/>
            <w:gridSpan w:val="4"/>
            <w:tcBorders>
              <w:left w:val="single" w:sz="8" w:space="0" w:color="000000"/>
              <w:right w:val="single" w:sz="16" w:space="0" w:color="000000"/>
            </w:tcBorders>
          </w:tcPr>
          <w:p>
            <w:pPr/>
          </w:p>
        </w:tc>
      </w:tr>
      <w:tr>
        <w:trPr>
          <w:trHeight w:val="320" w:hRule="exact"/>
        </w:trPr>
        <w:tc>
          <w:tcPr>
            <w:tcW w:w="2962" w:type="dxa"/>
            <w:tcBorders>
              <w:left w:val="single" w:sz="8" w:space="0" w:color="000000"/>
            </w:tcBorders>
          </w:tcPr>
          <w:p>
            <w:pPr>
              <w:pStyle w:val="TableParagraph"/>
              <w:spacing w:before="5"/>
              <w:ind w:left="40"/>
              <w:jc w:val="left"/>
              <w:rPr>
                <w:sz w:val="24"/>
              </w:rPr>
            </w:pPr>
            <w:r>
              <w:rPr>
                <w:sz w:val="24"/>
              </w:rPr>
              <w:t>Índice Territorio</w:t>
            </w:r>
          </w:p>
        </w:tc>
        <w:tc>
          <w:tcPr>
            <w:tcW w:w="1169" w:type="dxa"/>
          </w:tcPr>
          <w:p>
            <w:pPr>
              <w:pStyle w:val="TableParagraph"/>
              <w:spacing w:before="5"/>
              <w:ind w:left="289"/>
              <w:jc w:val="left"/>
              <w:rPr>
                <w:sz w:val="24"/>
              </w:rPr>
            </w:pPr>
            <w:r>
              <w:rPr>
                <w:sz w:val="24"/>
              </w:rPr>
              <w:t>8.21</w:t>
            </w:r>
          </w:p>
        </w:tc>
        <w:tc>
          <w:tcPr>
            <w:tcW w:w="1311" w:type="dxa"/>
            <w:tcBorders>
              <w:right w:val="single" w:sz="8" w:space="0" w:color="FFFFFF"/>
            </w:tcBorders>
            <w:shd w:val="clear" w:color="auto" w:fill="FFFF00"/>
          </w:tcPr>
          <w:p>
            <w:pPr>
              <w:pStyle w:val="TableParagraph"/>
              <w:spacing w:before="5"/>
              <w:ind w:left="340" w:right="320"/>
              <w:rPr>
                <w:sz w:val="24"/>
              </w:rPr>
            </w:pPr>
            <w:r>
              <w:rPr>
                <w:sz w:val="24"/>
              </w:rPr>
              <w:t>12.66</w:t>
            </w:r>
          </w:p>
        </w:tc>
        <w:tc>
          <w:tcPr>
            <w:tcW w:w="1291" w:type="dxa"/>
            <w:tcBorders>
              <w:left w:val="single" w:sz="8" w:space="0" w:color="FFFFFF"/>
              <w:right w:val="single" w:sz="16" w:space="0" w:color="000000"/>
            </w:tcBorders>
            <w:shd w:val="clear" w:color="auto" w:fill="67ED4D"/>
          </w:tcPr>
          <w:p>
            <w:pPr>
              <w:pStyle w:val="TableParagraph"/>
              <w:spacing w:before="5"/>
              <w:ind w:left="477" w:right="471"/>
              <w:rPr>
                <w:sz w:val="24"/>
              </w:rPr>
            </w:pPr>
            <w:r>
              <w:rPr>
                <w:sz w:val="24"/>
              </w:rPr>
              <w:t>17</w:t>
            </w:r>
          </w:p>
        </w:tc>
      </w:tr>
      <w:tr>
        <w:trPr>
          <w:trHeight w:val="280" w:hRule="exact"/>
        </w:trPr>
        <w:tc>
          <w:tcPr>
            <w:tcW w:w="6733" w:type="dxa"/>
            <w:gridSpan w:val="4"/>
            <w:tcBorders>
              <w:left w:val="single" w:sz="8" w:space="0" w:color="000000"/>
              <w:right w:val="single" w:sz="16" w:space="0" w:color="000000"/>
            </w:tcBorders>
          </w:tcPr>
          <w:p>
            <w:pPr/>
          </w:p>
        </w:tc>
      </w:tr>
      <w:tr>
        <w:trPr>
          <w:trHeight w:val="320" w:hRule="exact"/>
        </w:trPr>
        <w:tc>
          <w:tcPr>
            <w:tcW w:w="2962" w:type="dxa"/>
            <w:tcBorders>
              <w:left w:val="single" w:sz="8" w:space="0" w:color="000000"/>
            </w:tcBorders>
          </w:tcPr>
          <w:p>
            <w:pPr>
              <w:pStyle w:val="TableParagraph"/>
              <w:spacing w:before="5"/>
              <w:ind w:left="40"/>
              <w:jc w:val="left"/>
              <w:rPr>
                <w:sz w:val="24"/>
              </w:rPr>
            </w:pPr>
            <w:r>
              <w:rPr>
                <w:sz w:val="24"/>
              </w:rPr>
              <w:t>Índice de Sustentabilidad</w:t>
            </w:r>
          </w:p>
        </w:tc>
        <w:tc>
          <w:tcPr>
            <w:tcW w:w="1169" w:type="dxa"/>
          </w:tcPr>
          <w:p>
            <w:pPr>
              <w:pStyle w:val="TableParagraph"/>
              <w:spacing w:before="5"/>
              <w:ind w:left="229"/>
              <w:jc w:val="left"/>
              <w:rPr>
                <w:sz w:val="24"/>
              </w:rPr>
            </w:pPr>
            <w:r>
              <w:rPr>
                <w:sz w:val="24"/>
              </w:rPr>
              <w:t>33.91</w:t>
            </w:r>
          </w:p>
        </w:tc>
        <w:tc>
          <w:tcPr>
            <w:tcW w:w="1311" w:type="dxa"/>
            <w:tcBorders>
              <w:right w:val="single" w:sz="8" w:space="0" w:color="FFFFFF"/>
            </w:tcBorders>
            <w:shd w:val="clear" w:color="auto" w:fill="FFFF00"/>
          </w:tcPr>
          <w:p>
            <w:pPr>
              <w:pStyle w:val="TableParagraph"/>
              <w:spacing w:before="5"/>
              <w:ind w:left="340" w:right="320"/>
              <w:rPr>
                <w:sz w:val="24"/>
              </w:rPr>
            </w:pPr>
            <w:r>
              <w:rPr>
                <w:sz w:val="24"/>
              </w:rPr>
              <w:t>51.36</w:t>
            </w:r>
          </w:p>
        </w:tc>
        <w:tc>
          <w:tcPr>
            <w:tcW w:w="1291" w:type="dxa"/>
            <w:tcBorders>
              <w:left w:val="single" w:sz="8" w:space="0" w:color="FFFFFF"/>
              <w:right w:val="single" w:sz="16" w:space="0" w:color="000000"/>
            </w:tcBorders>
            <w:shd w:val="clear" w:color="auto" w:fill="67ED4D"/>
          </w:tcPr>
          <w:p>
            <w:pPr>
              <w:pStyle w:val="TableParagraph"/>
              <w:spacing w:before="5"/>
              <w:ind w:left="477" w:right="471"/>
              <w:rPr>
                <w:sz w:val="24"/>
              </w:rPr>
            </w:pPr>
            <w:r>
              <w:rPr>
                <w:sz w:val="24"/>
              </w:rPr>
              <w:t>67</w:t>
            </w:r>
          </w:p>
        </w:tc>
      </w:tr>
      <w:tr>
        <w:trPr>
          <w:trHeight w:val="300" w:hRule="exact"/>
        </w:trPr>
        <w:tc>
          <w:tcPr>
            <w:tcW w:w="6733" w:type="dxa"/>
            <w:gridSpan w:val="4"/>
            <w:tcBorders>
              <w:left w:val="single" w:sz="8" w:space="0" w:color="000000"/>
              <w:bottom w:val="single" w:sz="16" w:space="0" w:color="000000"/>
              <w:right w:val="single" w:sz="16" w:space="0" w:color="000000"/>
            </w:tcBorders>
          </w:tcPr>
          <w:p>
            <w:pPr/>
          </w:p>
        </w:tc>
      </w:tr>
    </w:tbl>
    <w:p>
      <w:pPr>
        <w:spacing w:before="146"/>
        <w:ind w:left="382" w:right="2103" w:firstLine="0"/>
        <w:jc w:val="center"/>
        <w:rPr>
          <w:sz w:val="21"/>
        </w:rPr>
      </w:pPr>
      <w:r>
        <w:rPr/>
        <w:pict>
          <v:rect style="position:absolute;margin-left:304.393005pt;margin-top:-92.076523pt;width:66.029300pt;height:16.011400pt;mso-position-horizontal-relative:page;mso-position-vertical-relative:paragraph;z-index:-1147528" filled="true" fillcolor="#f79646" stroked="false">
            <v:fill type="solid"/>
            <w10:wrap type="none"/>
          </v:rect>
        </w:pict>
      </w:r>
      <w:r>
        <w:rPr/>
        <w:pict>
          <v:rect style="position:absolute;margin-left:304.393005pt;margin-top:-62.055523pt;width:66.029300pt;height:16.011400pt;mso-position-horizontal-relative:page;mso-position-vertical-relative:paragraph;z-index:-1147504" filled="true" fillcolor="#f79646" stroked="false">
            <v:fill type="solid"/>
            <w10:wrap type="none"/>
          </v:rect>
        </w:pict>
      </w:r>
      <w:r>
        <w:rPr/>
        <w:pict>
          <v:rect style="position:absolute;margin-left:304.393005pt;margin-top:-32.033524pt;width:66.029300pt;height:16.011400pt;mso-position-horizontal-relative:page;mso-position-vertical-relative:paragraph;z-index:-1147480" filled="true" fillcolor="#f79646" stroked="false">
            <v:fill type="solid"/>
            <w10:wrap type="none"/>
          </v:rect>
        </w:pict>
      </w:r>
      <w:r>
        <w:rPr>
          <w:w w:val="105"/>
          <w:sz w:val="21"/>
        </w:rPr>
        <w:t>Fuente: Elaboración propia con base al estudio realizado.</w:t>
      </w:r>
    </w:p>
    <w:p>
      <w:pPr>
        <w:spacing w:after="0"/>
        <w:jc w:val="center"/>
        <w:rPr>
          <w:sz w:val="21"/>
        </w:rPr>
        <w:sectPr>
          <w:headerReference w:type="default" r:id="rId175"/>
          <w:pgSz w:w="12240" w:h="15840"/>
          <w:pgMar w:header="730" w:footer="1066" w:top="1140" w:bottom="1260" w:left="1720" w:right="1180"/>
        </w:sectPr>
      </w:pPr>
    </w:p>
    <w:p>
      <w:pPr>
        <w:pStyle w:val="BodyText"/>
        <w:spacing w:line="20" w:lineRule="exact"/>
        <w:ind w:left="139"/>
        <w:rPr>
          <w:sz w:val="2"/>
        </w:rPr>
      </w:pPr>
      <w:r>
        <w:rPr>
          <w:sz w:val="2"/>
        </w:rPr>
        <w:pict>
          <v:group style="width:454.1pt;height:.5pt;mso-position-horizontal-relative:char;mso-position-vertical-relative:line" coordorigin="0,0" coordsize="9082,10">
            <v:line style="position:absolute" from="5,5" to="9077,5" stroked="true" strokeweight=".479981pt" strokecolor="#000000"/>
          </v:group>
        </w:pict>
      </w:r>
      <w:r>
        <w:rPr>
          <w:sz w:val="2"/>
        </w:rPr>
      </w:r>
    </w:p>
    <w:p>
      <w:pPr>
        <w:pStyle w:val="BodyText"/>
        <w:rPr>
          <w:sz w:val="20"/>
        </w:rPr>
      </w:pPr>
    </w:p>
    <w:p>
      <w:pPr>
        <w:pStyle w:val="BodyText"/>
        <w:spacing w:before="8"/>
        <w:rPr>
          <w:sz w:val="18"/>
        </w:rPr>
      </w:pPr>
    </w:p>
    <w:p>
      <w:pPr>
        <w:spacing w:before="0"/>
        <w:ind w:left="268" w:right="0" w:firstLine="0"/>
        <w:jc w:val="left"/>
        <w:rPr>
          <w:sz w:val="21"/>
        </w:rPr>
      </w:pPr>
      <w:r>
        <w:rPr>
          <w:w w:val="105"/>
          <w:sz w:val="21"/>
        </w:rPr>
        <w:t>Gráfica 9. Escenario de resultados por índices.</w:t>
      </w:r>
    </w:p>
    <w:p>
      <w:pPr>
        <w:pStyle w:val="Heading1"/>
        <w:ind w:left="2084"/>
      </w:pPr>
      <w:r>
        <w:rPr/>
        <w:t>Distribución de índices de Valle del Nevado</w:t>
      </w:r>
    </w:p>
    <w:p>
      <w:pPr>
        <w:pStyle w:val="BodyText"/>
        <w:spacing w:before="6"/>
        <w:rPr>
          <w:rFonts w:ascii="Calibri"/>
          <w:b/>
          <w:sz w:val="10"/>
        </w:rPr>
      </w:pPr>
    </w:p>
    <w:p>
      <w:pPr>
        <w:tabs>
          <w:tab w:pos="1209" w:val="left" w:leader="none"/>
          <w:tab w:pos="2299" w:val="left" w:leader="none"/>
        </w:tabs>
        <w:spacing w:before="80"/>
        <w:ind w:left="432" w:right="0" w:firstLine="0"/>
        <w:jc w:val="center"/>
        <w:rPr>
          <w:rFonts w:ascii="Calibri" w:hAnsi="Calibri"/>
          <w:sz w:val="15"/>
        </w:rPr>
      </w:pPr>
      <w:r>
        <w:rPr/>
        <w:pict>
          <v:group style="position:absolute;margin-left:253.395996pt;margin-top:5.587038pt;width:18.150pt;height:5.25pt;mso-position-horizontal-relative:page;mso-position-vertical-relative:paragraph;z-index:-1147408" coordorigin="5068,112" coordsize="363,105">
            <v:line style="position:absolute" from="5098,161" to="5400,161" stroked="true" strokeweight="2.956027pt" strokecolor="#5b92c7"/>
            <v:shape style="position:absolute;left:5208;top:120;width:88;height:89" type="#_x0000_t75" stroked="false">
              <v:imagedata r:id="rId183" o:title=""/>
            </v:shape>
            <v:shape style="position:absolute;left:5208;top:120;width:89;height:89" coordorigin="5208,120" coordsize="89,89" path="m5255,120l5296,167,5255,209,5208,167,5255,120xe" filled="false" stroked="true" strokeweight=".787952pt" strokecolor="#5b92c7">
              <v:path arrowok="t"/>
            </v:shape>
            <w10:wrap type="none"/>
          </v:group>
        </w:pict>
      </w:r>
      <w:r>
        <w:rPr/>
        <w:pict>
          <v:group style="position:absolute;margin-left:292.277985pt;margin-top:5.587038pt;width:18.150pt;height:5.25pt;mso-position-horizontal-relative:page;mso-position-vertical-relative:paragraph;z-index:-1147384" coordorigin="5846,112" coordsize="363,105">
            <v:line style="position:absolute" from="5876,161" to="6178,161" stroked="true" strokeweight="2.956027pt" strokecolor="#cc615a"/>
            <v:shape style="position:absolute;left:5980;top:120;width:94;height:89" type="#_x0000_t75" stroked="false">
              <v:imagedata r:id="rId184" o:title=""/>
            </v:shape>
            <v:rect style="position:absolute;left:5980;top:120;width:94;height:89" filled="false" stroked="true" strokeweight=".787973pt" strokecolor="#cc615a"/>
            <w10:wrap type="none"/>
          </v:group>
        </w:pict>
      </w:r>
      <w:r>
        <w:rPr/>
        <w:pict>
          <v:group style="position:absolute;margin-left:346.786987pt;margin-top:5.587038pt;width:18.150pt;height:5.25pt;mso-position-horizontal-relative:page;mso-position-vertical-relative:paragraph;z-index:-1147360" coordorigin="6936,112" coordsize="363,105">
            <v:line style="position:absolute" from="6966,161" to="7268,161" stroked="true" strokeweight="2.956027pt" strokecolor="#a8c367"/>
            <v:shape style="position:absolute;left:7067;top:120;width:95;height:89" type="#_x0000_t75" stroked="false">
              <v:imagedata r:id="rId185" o:title=""/>
            </v:shape>
            <v:shape style="position:absolute;left:7067;top:120;width:95;height:89" coordorigin="7067,120" coordsize="95,89" path="m7114,120l7161,209,7067,209,7114,120xe" filled="false" stroked="true" strokeweight=".787974pt" strokecolor="#a8c367">
              <v:path arrowok="t"/>
            </v:shape>
            <w10:wrap type="none"/>
          </v:group>
        </w:pict>
      </w:r>
      <w:r>
        <w:rPr>
          <w:rFonts w:ascii="Calibri" w:hAnsi="Calibri"/>
          <w:w w:val="105"/>
          <w:sz w:val="15"/>
        </w:rPr>
        <w:t>Real</w:t>
        <w:tab/>
        <w:t>Deseable</w:t>
        <w:tab/>
        <w:t>Óptimo</w:t>
      </w:r>
    </w:p>
    <w:p>
      <w:pPr>
        <w:pStyle w:val="BodyText"/>
        <w:spacing w:before="10"/>
        <w:rPr>
          <w:rFonts w:ascii="Calibri"/>
        </w:rPr>
      </w:pPr>
    </w:p>
    <w:p>
      <w:pPr>
        <w:spacing w:line="283" w:lineRule="auto" w:before="80"/>
        <w:ind w:left="4391" w:right="4236" w:hanging="99"/>
        <w:jc w:val="left"/>
        <w:rPr>
          <w:rFonts w:ascii="Calibri" w:hAnsi="Calibri"/>
          <w:sz w:val="15"/>
        </w:rPr>
      </w:pPr>
      <w:r>
        <w:rPr/>
        <w:pict>
          <v:group style="position:absolute;margin-left:165.484848pt;margin-top:18.260183pt;width:310.350pt;height:310.6pt;mso-position-horizontal-relative:page;mso-position-vertical-relative:paragraph;z-index:-1147432" coordorigin="3310,365" coordsize="6207,6212">
            <v:shape style="position:absolute;left:68317;top:-99727425;width:99763284;height:99822100" coordorigin="68317,-99727425" coordsize="99763284,99822100" path="m6405,2861l7035,3476m7035,3476l6405,4091m6405,4091l5791,3476m5791,3476l6405,2861m6405,2230l7650,3476m7650,3476l6405,4705m6405,4705l5177,3476m5177,3476l6405,2230m6405,1615l8264,3476m8264,3476l6405,5336m6405,5336l4546,3476m4546,3476l6405,1615m6405,1001l8878,3476m8878,3476l6405,5951m6405,5951l3932,3476m3932,3476l6405,1001m6405,370l9505,3476m9505,3476l6405,6566m6405,6566l3318,3476m3318,3476l6405,370m6405,3476l6405,370m6405,3476l9505,3476m6405,3476l6405,6566m6405,3476l3318,3476m6405,3476l6405,370e" filled="false" stroked="true" strokeweight=".787954pt" strokecolor="#989898">
              <v:path arrowok="t"/>
            </v:shape>
            <v:shape style="position:absolute;left:6271;top:2076;width:268;height:268" type="#_x0000_t75" stroked="false">
              <v:imagedata r:id="rId186" o:title=""/>
            </v:shape>
            <v:shape style="position:absolute;left:7421;top:3369;width:268;height:268" type="#_x0000_t75" stroked="false">
              <v:imagedata r:id="rId186" o:title=""/>
            </v:shape>
            <v:shape style="position:absolute;left:6271;top:4110;width:268;height:268" type="#_x0000_t75" stroked="false">
              <v:imagedata r:id="rId186" o:title=""/>
            </v:shape>
            <v:shape style="position:absolute;left:5263;top:3369;width:268;height:268" type="#_x0000_t75" stroked="false">
              <v:imagedata r:id="rId186" o:title=""/>
            </v:shape>
            <v:shape style="position:absolute;left:6271;top:1950;width:268;height:268" type="#_x0000_t75" stroked="false">
              <v:imagedata r:id="rId187" o:title=""/>
            </v:shape>
            <v:shape style="position:absolute;left:8540;top:3369;width:268;height:268" type="#_x0000_t75" stroked="false">
              <v:imagedata r:id="rId187" o:title=""/>
            </v:shape>
            <v:shape style="position:absolute;left:4712;top:3369;width:268;height:268" type="#_x0000_t75" stroked="false">
              <v:imagedata r:id="rId187" o:title=""/>
            </v:shape>
            <v:shape style="position:absolute;left:6271;top:1508;width:268;height:268" type="#_x0000_t75" stroked="false">
              <v:imagedata r:id="rId188" o:title=""/>
            </v:shape>
            <v:shape style="position:absolute;left:9249;top:3369;width:268;height:268" type="#_x0000_t75" stroked="false">
              <v:imagedata r:id="rId188" o:title=""/>
            </v:shape>
            <v:shape style="position:absolute;left:6271;top:4488;width:268;height:505" type="#_x0000_t75" stroked="false">
              <v:imagedata r:id="rId189" o:title=""/>
            </v:shape>
            <v:shape style="position:absolute;left:4176;top:3369;width:268;height:268" type="#_x0000_t75" stroked="false">
              <v:imagedata r:id="rId188" o:title=""/>
            </v:shape>
            <v:shape style="position:absolute;left:72855;top:-32730422;width:34797946;height:32765941" coordorigin="72855,-32730422" coordsize="34797946,32765941" path="m5397,3478l6405,2185m6405,2185l7555,3478m7555,3478l6405,4219m6405,4219l5397,3478e" filled="false" stroked="true" strokeweight="2.954829pt" strokecolor="#5b92c7">
              <v:path arrowok="t"/>
            </v:shape>
            <v:shape style="position:absolute;left:6319;top:2107;width:173;height:158" type="#_x0000_t75" stroked="false">
              <v:imagedata r:id="rId190" o:title=""/>
            </v:shape>
            <v:shape style="position:absolute;left:7469;top:3400;width:173;height:158" type="#_x0000_t75" stroked="false">
              <v:imagedata r:id="rId190" o:title=""/>
            </v:shape>
            <v:shape style="position:absolute;left:6319;top:4141;width:173;height:158" type="#_x0000_t75" stroked="false">
              <v:imagedata r:id="rId190" o:title=""/>
            </v:shape>
            <v:shape style="position:absolute;left:5310;top:3400;width:173;height:158" type="#_x0000_t75" stroked="false">
              <v:imagedata r:id="rId190" o:title=""/>
            </v:shape>
            <v:shape style="position:absolute;left:67881;top:-40718622;width:61721920;height:40789509" coordorigin="67881,-40718622" coordsize="61721920,40789509" path="m4846,3478l6405,2059m6405,2059l8674,3478m8674,3478l6405,4591m6405,4591l4846,3478e" filled="false" stroked="true" strokeweight="2.954829pt" strokecolor="#cc615a">
              <v:path arrowok="t"/>
            </v:shape>
            <v:shape style="position:absolute;left:6319;top:1981;width:173;height:158" type="#_x0000_t75" stroked="false">
              <v:imagedata r:id="rId191" o:title=""/>
            </v:shape>
            <v:shape style="position:absolute;left:8587;top:3400;width:173;height:158" type="#_x0000_t75" stroked="false">
              <v:imagedata r:id="rId191" o:title=""/>
            </v:shape>
            <v:shape style="position:absolute;left:6319;top:4520;width:173;height:158" type="#_x0000_t75" stroked="false">
              <v:imagedata r:id="rId191" o:title=""/>
            </v:shape>
            <v:shape style="position:absolute;left:4759;top:3400;width:173;height:158" type="#_x0000_t75" stroked="false">
              <v:imagedata r:id="rId191" o:title=""/>
            </v:shape>
            <v:shape style="position:absolute;left:97279;top:-51821020;width:81764721;height:51816025" coordorigin="97279,-51821020" coordsize="81764721,51816025" path="m4310,3481l6405,1620m6405,1620l9381,3481m9381,3481l6405,4837m6405,4837l4310,3481e" filled="false" stroked="true" strokeweight="2.954829pt" strokecolor="#a8c367">
              <v:path arrowok="t"/>
            </v:shape>
            <v:shape style="position:absolute;left:6319;top:1540;width:173;height:158" type="#_x0000_t75" stroked="false">
              <v:imagedata r:id="rId192" o:title=""/>
            </v:shape>
            <v:shape style="position:absolute;left:9296;top:3400;width:173;height:158" type="#_x0000_t75" stroked="false">
              <v:imagedata r:id="rId192" o:title=""/>
            </v:shape>
            <v:shape style="position:absolute;left:6319;top:4756;width:173;height:158" type="#_x0000_t75" stroked="false">
              <v:imagedata r:id="rId192" o:title=""/>
            </v:shape>
            <v:shape style="position:absolute;left:4223;top:3400;width:173;height:158" type="#_x0000_t75" stroked="false">
              <v:imagedata r:id="rId192" o:title=""/>
            </v:shape>
            <w10:wrap type="none"/>
          </v:group>
        </w:pict>
      </w:r>
      <w:r>
        <w:rPr>
          <w:rFonts w:ascii="Calibri" w:hAnsi="Calibri"/>
          <w:w w:val="105"/>
          <w:sz w:val="15"/>
        </w:rPr>
        <w:t>Índice Social 25</w:t>
      </w:r>
    </w:p>
    <w:p>
      <w:pPr>
        <w:pStyle w:val="BodyText"/>
        <w:spacing w:before="6"/>
        <w:rPr>
          <w:rFonts w:ascii="Calibri"/>
          <w:sz w:val="26"/>
        </w:rPr>
      </w:pPr>
    </w:p>
    <w:p>
      <w:pPr>
        <w:spacing w:before="80"/>
        <w:ind w:left="382" w:right="778" w:firstLine="0"/>
        <w:jc w:val="center"/>
        <w:rPr>
          <w:rFonts w:ascii="Calibri"/>
          <w:sz w:val="15"/>
        </w:rPr>
      </w:pPr>
      <w:r>
        <w:rPr>
          <w:rFonts w:ascii="Calibri"/>
          <w:w w:val="105"/>
          <w:sz w:val="15"/>
        </w:rPr>
        <w:t>20</w:t>
      </w:r>
    </w:p>
    <w:p>
      <w:pPr>
        <w:pStyle w:val="BodyText"/>
        <w:spacing w:before="5"/>
        <w:rPr>
          <w:rFonts w:ascii="Calibri"/>
          <w:sz w:val="22"/>
        </w:rPr>
      </w:pPr>
    </w:p>
    <w:p>
      <w:pPr>
        <w:tabs>
          <w:tab w:pos="361" w:val="left" w:leader="none"/>
        </w:tabs>
        <w:spacing w:before="81"/>
        <w:ind w:left="0" w:right="33" w:firstLine="0"/>
        <w:jc w:val="center"/>
        <w:rPr>
          <w:rFonts w:ascii="Calibri"/>
          <w:sz w:val="15"/>
        </w:rPr>
      </w:pPr>
      <w:r>
        <w:rPr>
          <w:rFonts w:ascii="Calibri"/>
          <w:w w:val="105"/>
          <w:position w:val="-7"/>
          <w:sz w:val="15"/>
        </w:rPr>
        <w:t>15</w:t>
        <w:tab/>
      </w:r>
      <w:r>
        <w:rPr>
          <w:rFonts w:ascii="Calibri"/>
          <w:w w:val="105"/>
          <w:sz w:val="15"/>
        </w:rPr>
        <w:t>15</w:t>
      </w:r>
    </w:p>
    <w:p>
      <w:pPr>
        <w:pStyle w:val="BodyText"/>
        <w:spacing w:before="5"/>
        <w:rPr>
          <w:rFonts w:ascii="Calibri"/>
          <w:sz w:val="8"/>
        </w:rPr>
      </w:pPr>
    </w:p>
    <w:p>
      <w:pPr>
        <w:spacing w:before="80"/>
        <w:ind w:left="423" w:right="0" w:firstLine="0"/>
        <w:jc w:val="center"/>
        <w:rPr>
          <w:rFonts w:ascii="Calibri"/>
          <w:sz w:val="15"/>
        </w:rPr>
      </w:pPr>
      <w:r>
        <w:rPr>
          <w:rFonts w:ascii="Calibri"/>
          <w:w w:val="105"/>
          <w:sz w:val="15"/>
        </w:rPr>
        <w:t>11.4</w:t>
      </w:r>
    </w:p>
    <w:p>
      <w:pPr>
        <w:spacing w:before="72"/>
        <w:ind w:left="382" w:right="778" w:firstLine="0"/>
        <w:jc w:val="center"/>
        <w:rPr>
          <w:rFonts w:ascii="Calibri"/>
          <w:sz w:val="15"/>
        </w:rPr>
      </w:pPr>
      <w:r>
        <w:rPr>
          <w:rFonts w:ascii="Calibri"/>
          <w:w w:val="105"/>
          <w:sz w:val="15"/>
        </w:rPr>
        <w:t>10</w:t>
      </w:r>
    </w:p>
    <w:p>
      <w:pPr>
        <w:spacing w:before="142"/>
        <w:ind w:left="328" w:right="0" w:firstLine="0"/>
        <w:jc w:val="center"/>
        <w:rPr>
          <w:rFonts w:ascii="Calibri"/>
          <w:sz w:val="15"/>
        </w:rPr>
      </w:pPr>
      <w:r>
        <w:rPr>
          <w:rFonts w:ascii="Calibri"/>
          <w:w w:val="105"/>
          <w:sz w:val="15"/>
        </w:rPr>
        <w:t>10.4</w:t>
      </w:r>
    </w:p>
    <w:p>
      <w:pPr>
        <w:spacing w:before="111"/>
        <w:ind w:left="0" w:right="315" w:firstLine="0"/>
        <w:jc w:val="center"/>
        <w:rPr>
          <w:rFonts w:ascii="Calibri"/>
          <w:sz w:val="15"/>
        </w:rPr>
      </w:pPr>
      <w:r>
        <w:rPr>
          <w:rFonts w:ascii="Calibri"/>
          <w:w w:val="105"/>
          <w:sz w:val="15"/>
        </w:rPr>
        <w:t>5</w:t>
      </w:r>
    </w:p>
    <w:p>
      <w:pPr>
        <w:pStyle w:val="BodyText"/>
        <w:spacing w:before="12"/>
        <w:rPr>
          <w:rFonts w:ascii="Calibri"/>
          <w:sz w:val="18"/>
        </w:rPr>
      </w:pPr>
    </w:p>
    <w:p>
      <w:pPr>
        <w:spacing w:after="0"/>
        <w:rPr>
          <w:rFonts w:ascii="Calibri"/>
          <w:sz w:val="18"/>
        </w:rPr>
        <w:sectPr>
          <w:headerReference w:type="default" r:id="rId182"/>
          <w:pgSz w:w="12240" w:h="15840"/>
          <w:pgMar w:header="730" w:footer="1066" w:top="1140" w:bottom="1260" w:left="1720" w:right="1180"/>
        </w:sectPr>
      </w:pPr>
    </w:p>
    <w:p>
      <w:pPr>
        <w:pStyle w:val="BodyText"/>
        <w:spacing w:before="11"/>
        <w:rPr>
          <w:rFonts w:ascii="Calibri"/>
          <w:sz w:val="16"/>
        </w:rPr>
      </w:pPr>
    </w:p>
    <w:p>
      <w:pPr>
        <w:spacing w:before="0"/>
        <w:ind w:left="434" w:right="-19" w:firstLine="0"/>
        <w:jc w:val="left"/>
        <w:rPr>
          <w:rFonts w:ascii="Calibri" w:hAnsi="Calibri"/>
          <w:sz w:val="15"/>
        </w:rPr>
      </w:pPr>
      <w:r>
        <w:rPr>
          <w:rFonts w:ascii="Calibri" w:hAnsi="Calibri"/>
          <w:w w:val="105"/>
          <w:sz w:val="15"/>
        </w:rPr>
        <w:t>Índice Territorio</w:t>
      </w:r>
    </w:p>
    <w:p>
      <w:pPr>
        <w:tabs>
          <w:tab w:pos="1419" w:val="left" w:leader="none"/>
        </w:tabs>
        <w:spacing w:before="107"/>
        <w:ind w:left="434" w:right="0" w:firstLine="0"/>
        <w:jc w:val="left"/>
        <w:rPr>
          <w:rFonts w:ascii="Calibri"/>
          <w:sz w:val="15"/>
        </w:rPr>
      </w:pPr>
      <w:r>
        <w:rPr/>
        <w:br w:type="column"/>
      </w:r>
      <w:r>
        <w:rPr>
          <w:rFonts w:ascii="Calibri"/>
          <w:w w:val="105"/>
          <w:position w:val="2"/>
          <w:sz w:val="15"/>
        </w:rPr>
        <w:t>17</w:t>
        <w:tab/>
      </w:r>
      <w:r>
        <w:rPr>
          <w:rFonts w:ascii="Calibri"/>
          <w:w w:val="105"/>
          <w:sz w:val="15"/>
        </w:rPr>
        <w:t>12.66</w:t>
      </w:r>
    </w:p>
    <w:p>
      <w:pPr>
        <w:tabs>
          <w:tab w:pos="712" w:val="left" w:leader="none"/>
        </w:tabs>
        <w:spacing w:before="112"/>
        <w:ind w:left="118" w:right="0" w:firstLine="0"/>
        <w:jc w:val="left"/>
        <w:rPr>
          <w:rFonts w:ascii="Calibri"/>
          <w:sz w:val="15"/>
        </w:rPr>
      </w:pPr>
      <w:r>
        <w:rPr/>
        <w:br w:type="column"/>
      </w:r>
      <w:r>
        <w:rPr>
          <w:rFonts w:ascii="Calibri"/>
          <w:w w:val="105"/>
          <w:sz w:val="15"/>
        </w:rPr>
        <w:t>8.21</w:t>
        <w:tab/>
      </w:r>
      <w:r>
        <w:rPr>
          <w:rFonts w:ascii="Calibri"/>
          <w:w w:val="105"/>
          <w:position w:val="-8"/>
          <w:sz w:val="15"/>
        </w:rPr>
        <w:t>0</w:t>
      </w:r>
    </w:p>
    <w:p>
      <w:pPr>
        <w:spacing w:before="80"/>
        <w:ind w:left="0" w:right="0" w:firstLine="0"/>
        <w:jc w:val="right"/>
        <w:rPr>
          <w:rFonts w:ascii="Calibri"/>
          <w:sz w:val="15"/>
        </w:rPr>
      </w:pPr>
      <w:r>
        <w:rPr/>
        <w:br w:type="column"/>
      </w:r>
      <w:r>
        <w:rPr>
          <w:rFonts w:ascii="Calibri"/>
          <w:w w:val="105"/>
          <w:sz w:val="15"/>
        </w:rPr>
        <w:t>9.3</w:t>
      </w:r>
    </w:p>
    <w:p>
      <w:pPr>
        <w:spacing w:before="80"/>
        <w:ind w:left="434" w:right="-20" w:firstLine="0"/>
        <w:jc w:val="left"/>
        <w:rPr>
          <w:rFonts w:ascii="Calibri"/>
          <w:sz w:val="15"/>
        </w:rPr>
      </w:pPr>
      <w:r>
        <w:rPr/>
        <w:br w:type="column"/>
      </w:r>
      <w:r>
        <w:rPr>
          <w:rFonts w:ascii="Calibri"/>
          <w:w w:val="105"/>
          <w:sz w:val="15"/>
        </w:rPr>
        <w:t>18.3</w:t>
      </w:r>
    </w:p>
    <w:p>
      <w:pPr>
        <w:tabs>
          <w:tab w:pos="1087" w:val="left" w:leader="none"/>
        </w:tabs>
        <w:spacing w:before="116"/>
        <w:ind w:left="434" w:right="0" w:firstLine="0"/>
        <w:jc w:val="left"/>
        <w:rPr>
          <w:rFonts w:ascii="Calibri" w:hAnsi="Calibri"/>
          <w:sz w:val="15"/>
        </w:rPr>
      </w:pPr>
      <w:r>
        <w:rPr/>
        <w:br w:type="column"/>
      </w:r>
      <w:r>
        <w:rPr>
          <w:rFonts w:ascii="Calibri" w:hAnsi="Calibri"/>
          <w:w w:val="105"/>
          <w:position w:val="9"/>
          <w:sz w:val="15"/>
        </w:rPr>
        <w:t>24</w:t>
        <w:tab/>
      </w:r>
      <w:r>
        <w:rPr>
          <w:rFonts w:ascii="Calibri" w:hAnsi="Calibri"/>
          <w:w w:val="105"/>
          <w:sz w:val="15"/>
        </w:rPr>
        <w:t>Índice</w:t>
      </w:r>
      <w:r>
        <w:rPr>
          <w:rFonts w:ascii="Calibri" w:hAnsi="Calibri"/>
          <w:spacing w:val="-1"/>
          <w:w w:val="105"/>
          <w:sz w:val="15"/>
        </w:rPr>
        <w:t> </w:t>
      </w:r>
      <w:r>
        <w:rPr>
          <w:rFonts w:ascii="Calibri" w:hAnsi="Calibri"/>
          <w:w w:val="105"/>
          <w:sz w:val="15"/>
        </w:rPr>
        <w:t>Ambiental</w:t>
      </w:r>
    </w:p>
    <w:p>
      <w:pPr>
        <w:spacing w:after="0"/>
        <w:jc w:val="left"/>
        <w:rPr>
          <w:rFonts w:ascii="Calibri" w:hAnsi="Calibri"/>
          <w:sz w:val="15"/>
        </w:rPr>
        <w:sectPr>
          <w:type w:val="continuous"/>
          <w:pgSz w:w="12240" w:h="15840"/>
          <w:pgMar w:top="1500" w:bottom="280" w:left="1720" w:right="1180"/>
          <w:cols w:num="6" w:equalWidth="0">
            <w:col w:w="1468" w:space="473"/>
            <w:col w:w="1779" w:space="40"/>
            <w:col w:w="792" w:space="379"/>
            <w:col w:w="634" w:space="352"/>
            <w:col w:w="714" w:space="190"/>
            <w:col w:w="2519"/>
          </w:cols>
        </w:sectPr>
      </w:pPr>
    </w:p>
    <w:p>
      <w:pPr>
        <w:pStyle w:val="BodyText"/>
        <w:spacing w:before="6"/>
        <w:rPr>
          <w:rFonts w:ascii="Calibri"/>
          <w:sz w:val="16"/>
        </w:rPr>
      </w:pPr>
    </w:p>
    <w:p>
      <w:pPr>
        <w:spacing w:before="80"/>
        <w:ind w:left="130" w:right="0" w:firstLine="0"/>
        <w:jc w:val="center"/>
        <w:rPr>
          <w:rFonts w:ascii="Calibri"/>
          <w:sz w:val="15"/>
        </w:rPr>
      </w:pPr>
      <w:r>
        <w:rPr>
          <w:rFonts w:ascii="Calibri"/>
          <w:w w:val="105"/>
          <w:sz w:val="15"/>
        </w:rPr>
        <w:t>6</w:t>
      </w:r>
    </w:p>
    <w:p>
      <w:pPr>
        <w:pStyle w:val="BodyText"/>
        <w:spacing w:before="4"/>
        <w:rPr>
          <w:rFonts w:ascii="Calibri"/>
          <w:sz w:val="15"/>
        </w:rPr>
      </w:pPr>
    </w:p>
    <w:p>
      <w:pPr>
        <w:spacing w:before="80"/>
        <w:ind w:left="227" w:right="0" w:firstLine="0"/>
        <w:jc w:val="center"/>
        <w:rPr>
          <w:rFonts w:ascii="Calibri"/>
          <w:sz w:val="15"/>
        </w:rPr>
      </w:pPr>
      <w:r>
        <w:rPr>
          <w:rFonts w:ascii="Calibri"/>
          <w:w w:val="105"/>
          <w:sz w:val="15"/>
        </w:rPr>
        <w:t>9</w:t>
      </w:r>
    </w:p>
    <w:p>
      <w:pPr>
        <w:pStyle w:val="BodyText"/>
        <w:spacing w:before="1"/>
        <w:rPr>
          <w:rFonts w:ascii="Calibri"/>
          <w:sz w:val="27"/>
        </w:rPr>
      </w:pPr>
    </w:p>
    <w:p>
      <w:pPr>
        <w:spacing w:before="81"/>
        <w:ind w:left="357" w:right="0" w:firstLine="0"/>
        <w:jc w:val="center"/>
        <w:rPr>
          <w:rFonts w:ascii="Calibri"/>
          <w:sz w:val="15"/>
        </w:rPr>
      </w:pPr>
      <w:r>
        <w:rPr>
          <w:rFonts w:ascii="Calibri"/>
          <w:w w:val="105"/>
          <w:sz w:val="15"/>
        </w:rPr>
        <w:t>11</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26"/>
        </w:rPr>
      </w:pPr>
    </w:p>
    <w:p>
      <w:pPr>
        <w:spacing w:before="80"/>
        <w:ind w:left="35" w:right="0" w:firstLine="0"/>
        <w:jc w:val="center"/>
        <w:rPr>
          <w:rFonts w:ascii="Calibri" w:hAnsi="Calibri"/>
          <w:sz w:val="15"/>
        </w:rPr>
      </w:pPr>
      <w:r>
        <w:rPr>
          <w:rFonts w:ascii="Calibri" w:hAnsi="Calibri"/>
          <w:w w:val="105"/>
          <w:sz w:val="15"/>
        </w:rPr>
        <w:t>Índice Económico</w:t>
      </w:r>
    </w:p>
    <w:p>
      <w:pPr>
        <w:pStyle w:val="BodyText"/>
        <w:rPr>
          <w:rFonts w:ascii="Calibri"/>
          <w:sz w:val="20"/>
        </w:rPr>
      </w:pPr>
    </w:p>
    <w:p>
      <w:pPr>
        <w:pStyle w:val="BodyText"/>
        <w:rPr>
          <w:rFonts w:ascii="Calibri"/>
          <w:sz w:val="20"/>
        </w:rPr>
      </w:pPr>
    </w:p>
    <w:p>
      <w:pPr>
        <w:pStyle w:val="BodyText"/>
        <w:spacing w:before="10"/>
        <w:rPr>
          <w:rFonts w:ascii="Calibri"/>
          <w:sz w:val="17"/>
        </w:rPr>
      </w:pPr>
    </w:p>
    <w:p>
      <w:pPr>
        <w:spacing w:before="0"/>
        <w:ind w:left="268" w:right="0" w:firstLine="0"/>
        <w:jc w:val="left"/>
        <w:rPr>
          <w:sz w:val="21"/>
        </w:rPr>
      </w:pPr>
      <w:r>
        <w:rPr>
          <w:w w:val="105"/>
          <w:sz w:val="21"/>
        </w:rPr>
        <w:t>Fuente: Elaboración propia con base al estudio realizado.</w:t>
      </w:r>
    </w:p>
    <w:p>
      <w:pPr>
        <w:spacing w:after="0"/>
        <w:jc w:val="left"/>
        <w:rPr>
          <w:sz w:val="21"/>
        </w:rPr>
        <w:sectPr>
          <w:type w:val="continuous"/>
          <w:pgSz w:w="12240" w:h="15840"/>
          <w:pgMar w:top="1500" w:bottom="28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0720" from="93.199997pt,-19.614155pt" to="546.799997pt,-19.614155pt" stroked="true" strokeweight=".479981pt" strokecolor="#000000">
            <w10:wrap type="none"/>
          </v:line>
        </w:pict>
      </w:r>
      <w:r>
        <w:rPr/>
        <w:t>El conjunto urbano de tipo medio denominado “Rancho la Providencia”, autorizado a la empresa Inmobiliaria Proyectos Inmobiliarios de Culiacán, S.A. de C.V. en febrero de 2009, se encuentra ubicado en el limite sur del territorio de calimaya su acceso es por la carretera federal Toluca -Tenango, el mapa diez muestra la lotificación del conjunto urbano.</w:t>
      </w:r>
    </w:p>
    <w:p>
      <w:pPr>
        <w:spacing w:before="131"/>
        <w:ind w:left="268" w:right="0" w:firstLine="0"/>
        <w:jc w:val="both"/>
        <w:rPr>
          <w:sz w:val="21"/>
        </w:rPr>
      </w:pPr>
      <w:r>
        <w:rPr>
          <w:w w:val="105"/>
          <w:sz w:val="21"/>
        </w:rPr>
        <w:t>Mapa 10. CU La Providencia 1.</w:t>
      </w:r>
    </w:p>
    <w:p>
      <w:pPr>
        <w:pStyle w:val="BodyText"/>
        <w:spacing w:before="8"/>
        <w:rPr>
          <w:sz w:val="21"/>
        </w:rPr>
      </w:pPr>
      <w:r>
        <w:rPr/>
        <w:drawing>
          <wp:anchor distT="0" distB="0" distL="0" distR="0" allowOverlap="1" layoutInCell="1" locked="0" behindDoc="0" simplePos="0" relativeHeight="10696">
            <wp:simplePos x="0" y="0"/>
            <wp:positionH relativeFrom="page">
              <wp:posOffset>1261491</wp:posOffset>
            </wp:positionH>
            <wp:positionV relativeFrom="paragraph">
              <wp:posOffset>183577</wp:posOffset>
            </wp:positionV>
            <wp:extent cx="5612076" cy="4237482"/>
            <wp:effectExtent l="0" t="0" r="0" b="0"/>
            <wp:wrapTopAndBottom/>
            <wp:docPr id="35" name="image120.jpeg" descr=""/>
            <wp:cNvGraphicFramePr>
              <a:graphicFrameLocks noChangeAspect="1"/>
            </wp:cNvGraphicFramePr>
            <a:graphic>
              <a:graphicData uri="http://schemas.openxmlformats.org/drawingml/2006/picture">
                <pic:pic>
                  <pic:nvPicPr>
                    <pic:cNvPr id="36" name="image120.jpeg"/>
                    <pic:cNvPicPr/>
                  </pic:nvPicPr>
                  <pic:blipFill>
                    <a:blip r:embed="rId193" cstate="print"/>
                    <a:stretch>
                      <a:fillRect/>
                    </a:stretch>
                  </pic:blipFill>
                  <pic:spPr>
                    <a:xfrm>
                      <a:off x="0" y="0"/>
                      <a:ext cx="5612076" cy="4237482"/>
                    </a:xfrm>
                    <a:prstGeom prst="rect">
                      <a:avLst/>
                    </a:prstGeom>
                  </pic:spPr>
                </pic:pic>
              </a:graphicData>
            </a:graphic>
          </wp:anchor>
        </w:drawing>
      </w:r>
    </w:p>
    <w:p>
      <w:pPr>
        <w:spacing w:before="68"/>
        <w:ind w:left="268" w:right="0" w:firstLine="0"/>
        <w:jc w:val="both"/>
        <w:rPr>
          <w:sz w:val="21"/>
        </w:rPr>
      </w:pPr>
      <w:r>
        <w:rPr>
          <w:w w:val="105"/>
          <w:sz w:val="21"/>
        </w:rPr>
        <w:t>Fuente: Elaboración propia con base al estudio realizado.</w:t>
      </w:r>
    </w:p>
    <w:p>
      <w:pPr>
        <w:spacing w:after="0"/>
        <w:jc w:val="both"/>
        <w:rPr>
          <w:sz w:val="21"/>
        </w:rPr>
        <w:sectPr>
          <w:pgSz w:w="12240" w:h="15840"/>
          <w:pgMar w:header="730" w:footer="1066" w:top="1320" w:bottom="1260" w:left="1720" w:right="1180"/>
        </w:sectPr>
      </w:pPr>
    </w:p>
    <w:p>
      <w:pPr>
        <w:pStyle w:val="BodyText"/>
        <w:spacing w:before="1"/>
        <w:rPr>
          <w:sz w:val="18"/>
        </w:rPr>
      </w:pPr>
    </w:p>
    <w:p>
      <w:pPr>
        <w:spacing w:before="78"/>
        <w:ind w:left="268" w:right="0" w:firstLine="0"/>
        <w:jc w:val="left"/>
        <w:rPr>
          <w:sz w:val="21"/>
        </w:rPr>
      </w:pPr>
      <w:r>
        <w:rPr/>
        <w:pict>
          <v:line style="position:absolute;mso-position-horizontal-relative:page;mso-position-vertical-relative:paragraph;z-index:10792" from="93.199997pt,-19.611116pt" to="546.799997pt,-19.611116pt" stroked="true" strokeweight=".479981pt" strokecolor="#000000">
            <w10:wrap type="none"/>
          </v:line>
        </w:pict>
      </w:r>
      <w:r>
        <w:rPr>
          <w:w w:val="105"/>
          <w:sz w:val="21"/>
        </w:rPr>
        <w:t>Gráfica 10. Escenario de resultados por índices.</w:t>
      </w:r>
    </w:p>
    <w:p>
      <w:pPr>
        <w:pStyle w:val="BodyText"/>
        <w:spacing w:before="4"/>
        <w:rPr>
          <w:sz w:val="28"/>
        </w:rPr>
      </w:pPr>
    </w:p>
    <w:p>
      <w:pPr>
        <w:spacing w:before="83"/>
        <w:ind w:left="3133" w:right="0" w:firstLine="0"/>
        <w:jc w:val="left"/>
        <w:rPr>
          <w:b/>
          <w:sz w:val="15"/>
        </w:rPr>
      </w:pPr>
      <w:r>
        <w:rPr>
          <w:b/>
          <w:color w:val="595959"/>
          <w:sz w:val="15"/>
        </w:rPr>
        <w:t>Indicadores por Índices de Sustentabilidad</w:t>
      </w:r>
    </w:p>
    <w:p>
      <w:pPr>
        <w:pStyle w:val="BodyText"/>
        <w:spacing w:before="8"/>
        <w:rPr>
          <w:b/>
          <w:sz w:val="13"/>
        </w:rPr>
      </w:pPr>
    </w:p>
    <w:p>
      <w:pPr>
        <w:tabs>
          <w:tab w:pos="4054" w:val="left" w:leader="none"/>
          <w:tab w:pos="4899" w:val="left" w:leader="none"/>
          <w:tab w:pos="5798" w:val="left" w:leader="none"/>
        </w:tabs>
        <w:spacing w:before="1"/>
        <w:ind w:left="3394" w:right="0" w:firstLine="0"/>
        <w:jc w:val="left"/>
        <w:rPr>
          <w:b/>
          <w:sz w:val="9"/>
        </w:rPr>
      </w:pPr>
      <w:r>
        <w:rPr/>
        <w:pict>
          <v:group style="position:absolute;margin-left:203.042847pt;margin-top:12.152047pt;width:235.9pt;height:236.6pt;mso-position-horizontal-relative:page;mso-position-vertical-relative:paragraph;z-index:10768;mso-wrap-distance-left:0;mso-wrap-distance-right:0" coordorigin="4061,243" coordsize="4718,4732">
            <v:shape style="position:absolute;left:6169;top:2389;width:478;height:479" type="#_x0000_t75" stroked="false">
              <v:imagedata r:id="rId113" o:title=""/>
            </v:shape>
            <v:shape style="position:absolute;left:4061;top:278;width:4692;height:4696" type="#_x0000_t75" stroked="false">
              <v:imagedata r:id="rId195" o:title=""/>
            </v:shape>
            <v:line style="position:absolute" from="6403,2623" to="8739,2775" stroked="true" strokeweight="1.223680pt" strokecolor="#1ac31a"/>
            <v:line style="position:absolute" from="8739,2775" to="8728,2916" stroked="true" strokeweight="1.222562pt" strokecolor="#1ac31a"/>
            <v:line style="position:absolute" from="8728,2916" to="6403,2623" stroked="true" strokeweight="1.223667pt" strokecolor="#1ac31a"/>
            <v:line style="position:absolute" from="6403,2623" to="8674,3210" stroked="true" strokeweight="1.223614pt" strokecolor="#1ac31a"/>
            <v:line style="position:absolute" from="8674,3210" to="6403,2623" stroked="true" strokeweight="1.223614pt" strokecolor="#1ac31a"/>
            <v:line style="position:absolute" from="6403,2623" to="7468,3123" stroked="true" strokeweight="1.223480pt" strokecolor="#1ac31a"/>
            <v:line style="position:absolute" from="7468,3123" to="6403,2623" stroked="true" strokeweight="1.223480pt" strokecolor="#1ac31a"/>
            <v:line style="position:absolute" from="6403,2623" to="8109,4232" stroked="true" strokeweight="1.223153pt" strokecolor="#1ac31a"/>
            <v:line style="position:absolute" from="8109,4232" to="7207,3482" stroked="true" strokeweight="1.223223pt" strokecolor="#1ac31a"/>
            <v:line style="position:absolute" from="7207,3482" to="7153,3525" stroked="true" strokeweight="1.223243pt" strokecolor="#1ac31a"/>
            <v:line style="position:absolute" from="7153,3525" to="6403,2623" stroked="true" strokeweight="1.223016pt" strokecolor="#1ac31a"/>
            <v:line style="position:absolute" from="6403,2623" to="7663,4602" stroked="true" strokeweight="1.222881pt" strokecolor="#1ac31a"/>
            <v:line style="position:absolute" from="7663,4602" to="6968,3656" stroked="true" strokeweight="1.222952pt" strokecolor="#1ac31a"/>
            <v:line style="position:absolute" from="6968,3656" to="6609,3047" stroked="true" strokeweight="1.222846pt" strokecolor="#1ac31a"/>
            <v:line style="position:absolute" from="6609,3047" to="6403,2623" stroked="true" strokeweight="1.222772pt" strokecolor="#1ac31a"/>
            <v:shape style="position:absolute;left:8703;top:2739;width:76;height:76" type="#_x0000_t75" stroked="false">
              <v:imagedata r:id="rId115" o:title=""/>
            </v:shape>
            <v:shape style="position:absolute;left:8692;top:2881;width:76;height:76" type="#_x0000_t75" stroked="false">
              <v:imagedata r:id="rId115" o:title=""/>
            </v:shape>
            <v:shape style="position:absolute;left:8637;top:3174;width:76;height:76" type="#_x0000_t75" stroked="false">
              <v:imagedata r:id="rId115" o:title=""/>
            </v:shape>
            <v:shape style="position:absolute;left:7431;top:3087;width:76;height:76" type="#_x0000_t75" stroked="false">
              <v:imagedata r:id="rId115" o:title=""/>
            </v:shape>
            <v:shape style="position:absolute;left:8072;top:4197;width:76;height:76" type="#_x0000_t75" stroked="false">
              <v:imagedata r:id="rId115" o:title=""/>
            </v:shape>
            <v:shape style="position:absolute;left:7116;top:3446;width:130;height:120" type="#_x0000_t75" stroked="false">
              <v:imagedata r:id="rId178" o:title=""/>
            </v:shape>
            <v:shape style="position:absolute;left:7627;top:4567;width:76;height:76" type="#_x0000_t75" stroked="false">
              <v:imagedata r:id="rId115" o:title=""/>
            </v:shape>
            <v:shape style="position:absolute;left:6931;top:3620;width:76;height:76" type="#_x0000_t75" stroked="false">
              <v:imagedata r:id="rId115" o:title=""/>
            </v:shape>
            <v:shape style="position:absolute;left:6573;top:3011;width:76;height:76" type="#_x0000_t75" stroked="false">
              <v:imagedata r:id="rId115" o:title=""/>
            </v:shape>
            <v:shape style="position:absolute;left:6366;top:2587;width:76;height:76" type="#_x0000_t75" stroked="false">
              <v:imagedata r:id="rId196" o:title=""/>
            </v:shape>
            <v:line style="position:absolute" from="5403,4744" to="6403,2623" stroked="true" strokeweight="1.222761pt" strokecolor="#ffca00"/>
            <v:line style="position:absolute" from="6403,2623" to="5153,4602" stroked="true" strokeweight="1.222877pt" strokecolor="#ffca00"/>
            <v:line style="position:absolute" from="5153,4602" to="5164,4330" stroked="true" strokeweight="1.222557pt" strokecolor="#ffca00"/>
            <v:line style="position:absolute" from="5164,4330" to="5512,3710" stroked="true" strokeweight="1.222826pt" strokecolor="#ffca00"/>
            <v:line style="position:absolute" from="5512,3710" to="6403,2623" stroked="true" strokeweight="1.223009pt" strokecolor="#ffca00"/>
            <v:line style="position:absolute" from="6403,2623" to="6044,2927" stroked="true" strokeweight="1.223211pt" strokecolor="#ffca00"/>
            <v:line style="position:absolute" from="6044,2927" to="5077,3591" stroked="true" strokeweight="1.223323pt" strokecolor="#ffca00"/>
            <v:line style="position:absolute" from="5077,3591" to="4425,3884" stroked="true" strokeweight="1.223494pt" strokecolor="#ffca00"/>
            <v:line style="position:absolute" from="4425,3884" to="5175,3308" stroked="true" strokeweight="1.223265pt" strokecolor="#ffca00"/>
            <v:shape style="position:absolute;left:5366;top:4708;width:76;height:76" type="#_x0000_t75" stroked="false">
              <v:imagedata r:id="rId119" o:title=""/>
            </v:shape>
            <v:shape style="position:absolute;left:5116;top:4567;width:76;height:76" type="#_x0000_t75" stroked="false">
              <v:imagedata r:id="rId119" o:title=""/>
            </v:shape>
            <v:shape style="position:absolute;left:5127;top:4295;width:76;height:76" type="#_x0000_t75" stroked="false">
              <v:imagedata r:id="rId119" o:title=""/>
            </v:shape>
            <v:shape style="position:absolute;left:5475;top:3675;width:76;height:76" type="#_x0000_t75" stroked="false">
              <v:imagedata r:id="rId119" o:title=""/>
            </v:shape>
            <v:shape style="position:absolute;left:6366;top:2587;width:76;height:76" type="#_x0000_t75" stroked="false">
              <v:imagedata r:id="rId179" o:title=""/>
            </v:shape>
            <v:shape style="position:absolute;left:6007;top:2891;width:76;height:76" type="#_x0000_t75" stroked="false">
              <v:imagedata r:id="rId119" o:title=""/>
            </v:shape>
            <v:shape style="position:absolute;left:5040;top:3555;width:76;height:76" type="#_x0000_t75" stroked="false">
              <v:imagedata r:id="rId119" o:title=""/>
            </v:shape>
            <v:shape style="position:absolute;left:4388;top:3849;width:76;height:76" type="#_x0000_t75" stroked="false">
              <v:imagedata r:id="rId119" o:title=""/>
            </v:shape>
            <v:shape style="position:absolute;left:5138;top:3272;width:76;height:76" type="#_x0000_t75" stroked="false">
              <v:imagedata r:id="rId119" o:title=""/>
            </v:shape>
            <v:line style="position:absolute" from="6403,2623" to="5294,2264" stroked="true" strokeweight="1.223577pt" strokecolor="#927200"/>
            <v:line style="position:absolute" from="5294,2264" to="4229,1763" stroked="true" strokeweight="1.223480pt" strokecolor="#927200"/>
            <v:line style="position:absolute" from="4229,1763" to="6403,2623" stroked="true" strokeweight="1.223532pt" strokecolor="#927200"/>
            <v:line style="position:absolute" from="6403,2623" to="5935,2285" stroked="true" strokeweight="1.223298pt" strokecolor="#927200"/>
            <v:line style="position:absolute" from="5935,2285" to="4957,1426" stroked="true" strokeweight="1.223193pt" strokecolor="#927200"/>
            <v:line style="position:absolute" from="4957,1426" to="5555,1818" stroked="true" strokeweight="1.223345pt" strokecolor="#927200"/>
            <v:line style="position:absolute" from="5555,1818" to="5349,1502" stroked="true" strokeweight="1.222894pt" strokecolor="#927200"/>
            <v:line style="position:absolute" from="5349,1502" to="6109,2264" stroked="true" strokeweight="1.22312pt" strokecolor="#927200"/>
            <v:line style="position:absolute" from="6109,2264" to="6403,2623" stroked="true" strokeweight="1.223008pt" strokecolor="#927200"/>
            <v:line style="position:absolute" from="6403,2623" to="6153,2231" stroked="true" strokeweight="1.222882pt" strokecolor="#927200"/>
            <v:line style="position:absolute" from="6153,2231" to="5838,1600" stroked="true" strokeweight="1.222781pt" strokecolor="#927200"/>
            <v:line style="position:absolute" from="5838,1600" to="6403,2623" stroked="true" strokeweight="1.22282pt" strokecolor="#927200"/>
            <v:line style="position:absolute" from="6403,2623" to="6044,1513" stroked="true" strokeweight="1.222662pt" strokecolor="#927200"/>
            <v:shape style="position:absolute;left:5258;top:2228;width:76;height:76" type="#_x0000_t75" stroked="false">
              <v:imagedata r:id="rId122" o:title=""/>
            </v:shape>
            <v:shape style="position:absolute;left:4193;top:1728;width:76;height:76" type="#_x0000_t75" stroked="false">
              <v:imagedata r:id="rId122" o:title=""/>
            </v:shape>
            <v:shape style="position:absolute;left:5899;top:2250;width:76;height:76" type="#_x0000_t75" stroked="false">
              <v:imagedata r:id="rId122" o:title=""/>
            </v:shape>
            <v:shape style="position:absolute;left:4921;top:1390;width:76;height:76" type="#_x0000_t75" stroked="false">
              <v:imagedata r:id="rId122" o:title=""/>
            </v:shape>
            <v:shape style="position:absolute;left:5518;top:1782;width:76;height:76" type="#_x0000_t75" stroked="false">
              <v:imagedata r:id="rId122" o:title=""/>
            </v:shape>
            <v:shape style="position:absolute;left:5312;top:1467;width:76;height:76" type="#_x0000_t75" stroked="false">
              <v:imagedata r:id="rId122" o:title=""/>
            </v:shape>
            <v:shape style="position:absolute;left:6073;top:2195;width:120;height:109" type="#_x0000_t75" stroked="false">
              <v:imagedata r:id="rId197" o:title=""/>
            </v:shape>
            <v:shape style="position:absolute;left:5801;top:1564;width:76;height:76" type="#_x0000_t75" stroked="false">
              <v:imagedata r:id="rId122" o:title=""/>
            </v:shape>
            <v:shape style="position:absolute;left:6366;top:2587;width:76;height:76" type="#_x0000_t75" stroked="false">
              <v:imagedata r:id="rId198" o:title=""/>
            </v:shape>
            <v:shape style="position:absolute;left:6007;top:1477;width:76;height:76" type="#_x0000_t75" stroked="false">
              <v:imagedata r:id="rId122" o:title=""/>
            </v:shape>
            <v:shape style="position:absolute;left:6189;top:243;width:131;height:2442" type="#_x0000_t202" filled="false" stroked="false">
              <v:textbox inset="0,0,0,0">
                <w:txbxContent>
                  <w:p>
                    <w:pPr>
                      <w:spacing w:line="101" w:lineRule="exact" w:before="0"/>
                      <w:ind w:left="80" w:right="0" w:firstLine="0"/>
                      <w:jc w:val="left"/>
                      <w:rPr>
                        <w:rFonts w:ascii="Calibri"/>
                        <w:sz w:val="9"/>
                      </w:rPr>
                    </w:pPr>
                    <w:r>
                      <w:rPr>
                        <w:rFonts w:ascii="Calibri"/>
                        <w:color w:val="595959"/>
                        <w:w w:val="108"/>
                        <w:sz w:val="9"/>
                      </w:rPr>
                      <w:t>1</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0.9</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0.8</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0.7</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0.6</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0.5</w:t>
                    </w:r>
                  </w:p>
                  <w:p>
                    <w:pPr>
                      <w:spacing w:line="240" w:lineRule="auto" w:before="9"/>
                      <w:rPr>
                        <w:b/>
                        <w:sz w:val="10"/>
                      </w:rPr>
                    </w:pPr>
                  </w:p>
                  <w:p>
                    <w:pPr>
                      <w:spacing w:before="0"/>
                      <w:ind w:left="0" w:right="-15" w:firstLine="0"/>
                      <w:jc w:val="left"/>
                      <w:rPr>
                        <w:rFonts w:ascii="Calibri"/>
                        <w:sz w:val="9"/>
                      </w:rPr>
                    </w:pPr>
                    <w:r>
                      <w:rPr>
                        <w:rFonts w:ascii="Calibri"/>
                        <w:color w:val="595959"/>
                        <w:w w:val="110"/>
                        <w:sz w:val="9"/>
                      </w:rPr>
                      <w:t>0.4</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0.3</w:t>
                    </w:r>
                  </w:p>
                  <w:p>
                    <w:pPr>
                      <w:spacing w:line="240" w:lineRule="auto" w:before="9"/>
                      <w:rPr>
                        <w:b/>
                        <w:sz w:val="10"/>
                      </w:rPr>
                    </w:pPr>
                  </w:p>
                  <w:p>
                    <w:pPr>
                      <w:spacing w:before="0"/>
                      <w:ind w:left="0" w:right="-15" w:firstLine="0"/>
                      <w:jc w:val="left"/>
                      <w:rPr>
                        <w:rFonts w:ascii="Calibri"/>
                        <w:sz w:val="9"/>
                      </w:rPr>
                    </w:pPr>
                    <w:r>
                      <w:rPr>
                        <w:rFonts w:ascii="Calibri"/>
                        <w:color w:val="595959"/>
                        <w:w w:val="110"/>
                        <w:sz w:val="9"/>
                      </w:rPr>
                      <w:t>0.2</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0.1</w:t>
                    </w:r>
                  </w:p>
                  <w:p>
                    <w:pPr>
                      <w:spacing w:line="240" w:lineRule="auto" w:before="9"/>
                      <w:rPr>
                        <w:b/>
                        <w:sz w:val="10"/>
                      </w:rPr>
                    </w:pPr>
                  </w:p>
                  <w:p>
                    <w:pPr>
                      <w:spacing w:line="107" w:lineRule="exact" w:before="0"/>
                      <w:ind w:left="76" w:right="0" w:firstLine="0"/>
                      <w:jc w:val="left"/>
                      <w:rPr>
                        <w:rFonts w:ascii="Calibri"/>
                        <w:sz w:val="9"/>
                      </w:rPr>
                    </w:pPr>
                    <w:r>
                      <w:rPr>
                        <w:rFonts w:ascii="Calibri"/>
                        <w:color w:val="595959"/>
                        <w:w w:val="108"/>
                        <w:sz w:val="9"/>
                      </w:rPr>
                      <w:t>0</w:t>
                    </w:r>
                  </w:p>
                </w:txbxContent>
              </v:textbox>
              <w10:wrap type="none"/>
            </v:shape>
            <w10:wrap type="topAndBottom"/>
          </v:group>
        </w:pict>
      </w:r>
      <w:r>
        <w:rPr/>
        <w:pict>
          <v:group style="position:absolute;margin-left:243.623001pt;margin-top:.597751pt;width:11.7pt;height:3.3pt;mso-position-horizontal-relative:page;mso-position-vertical-relative:paragraph;z-index:10816" coordorigin="4872,12" coordsize="234,66">
            <v:line style="position:absolute" from="4885,42" to="5094,42" stroked="true" strokeweight="1.223684pt" strokecolor="#8448b0"/>
            <v:shape style="position:absolute;left:4957;top:17;width:55;height:55" coordorigin="4957,17" coordsize="55,55" path="m5000,17l4970,17,4957,30,4957,60,4970,72,5000,72,5012,60,5012,30,5000,17xe" filled="true" fillcolor="#6cacdd" stroked="false">
              <v:path arrowok="t"/>
              <v:fill type="solid"/>
            </v:shape>
            <v:shape style="position:absolute;left:4957;top:17;width:55;height:55" coordorigin="4957,17" coordsize="55,55" path="m5012,45l5012,60,5000,72,4985,72,4970,72,4957,60,4957,45,4957,30,4970,17,4985,17,5000,17,5012,30,5012,45xe" filled="false" stroked="true" strokeweight=".543609pt" strokecolor="#ff2600">
              <v:path arrowok="t"/>
            </v:shape>
            <w10:wrap type="none"/>
          </v:group>
        </w:pict>
      </w:r>
      <w:r>
        <w:rPr/>
        <w:pict>
          <v:group style="position:absolute;margin-left:276.630005pt;margin-top:.597751pt;width:11.7pt;height:3.3pt;mso-position-horizontal-relative:page;mso-position-vertical-relative:paragraph;z-index:-1147192" coordorigin="5533,12" coordsize="234,66">
            <v:line style="position:absolute" from="5545,42" to="5754,42" stroked="true" strokeweight="1.223684pt" strokecolor="#1ac31a"/>
            <v:shape style="position:absolute;left:5620;top:17;width:55;height:55" coordorigin="5620,17" coordsize="55,55" path="m5662,17l5632,17,5620,30,5620,60,5632,72,5662,72,5675,60,5675,30,5662,17xe" filled="true" fillcolor="#f2913f" stroked="false">
              <v:path arrowok="t"/>
              <v:fill type="solid"/>
            </v:shape>
            <v:shape style="position:absolute;left:5620;top:17;width:55;height:55" coordorigin="5620,17" coordsize="55,55" path="m5675,45l5675,60,5662,72,5647,72,5632,72,5620,60,5620,45,5620,30,5632,17,5647,17,5662,17,5675,30,5675,45xe" filled="false" stroked="true" strokeweight=".543609pt" strokecolor="#ff2600">
              <v:path arrowok="t"/>
            </v:shape>
            <w10:wrap type="none"/>
          </v:group>
        </w:pict>
      </w:r>
      <w:r>
        <w:rPr/>
        <w:pict>
          <v:group style="position:absolute;margin-left:318.871002pt;margin-top:.597751pt;width:11.7pt;height:3.3pt;mso-position-horizontal-relative:page;mso-position-vertical-relative:paragraph;z-index:-1147168" coordorigin="6377,12" coordsize="234,66">
            <v:line style="position:absolute" from="6390,42" to="6599,42" stroked="true" strokeweight="1.223684pt" strokecolor="#ffca00"/>
            <v:shape style="position:absolute;left:6467;top:17;width:55;height:55" coordorigin="6467,17" coordsize="55,55" path="m6509,17l6479,17,6467,30,6467,60,6479,72,6509,72,6521,60,6521,30,6509,17xe" filled="true" fillcolor="#b4b4b4" stroked="false">
              <v:path arrowok="t"/>
              <v:fill type="solid"/>
            </v:shape>
            <v:shape style="position:absolute;left:6467;top:17;width:55;height:55" coordorigin="6467,17" coordsize="55,55" path="m6521,45l6521,60,6509,72,6494,72,6479,72,6467,60,6467,45,6467,30,6479,17,6494,17,6509,17,6521,30,6521,45xe" filled="false" stroked="true" strokeweight=".543609pt" strokecolor="#ff2600">
              <v:path arrowok="t"/>
            </v:shape>
            <w10:wrap type="none"/>
          </v:group>
        </w:pict>
      </w:r>
      <w:r>
        <w:rPr/>
        <w:pict>
          <v:group style="position:absolute;margin-left:363.828979pt;margin-top:.597751pt;width:11.7pt;height:3.3pt;mso-position-horizontal-relative:page;mso-position-vertical-relative:paragraph;z-index:-1147144" coordorigin="7277,12" coordsize="234,66">
            <v:line style="position:absolute" from="7289,42" to="7498,42" stroked="true" strokeweight="1.223684pt" strokecolor="#927200"/>
            <v:shape style="position:absolute;left:7366;top:17;width:55;height:55" coordorigin="7366,17" coordsize="55,55" path="m7408,17l7378,17,7366,30,7366,60,7378,72,7408,72,7421,60,7421,30,7408,17xe" filled="true" fillcolor="#ffca00" stroked="false">
              <v:path arrowok="t"/>
              <v:fill type="solid"/>
            </v:shape>
            <v:shape style="position:absolute;left:7366;top:17;width:55;height:55" coordorigin="7366,17" coordsize="55,55" path="m7421,45l7421,60,7408,72,7393,72,7378,72,7366,60,7366,45,7366,30,7378,17,7393,17,7408,17,7421,30,7421,45xe" filled="false" stroked="true" strokeweight=".543609pt" strokecolor="#ff2600">
              <v:path arrowok="t"/>
            </v:shape>
            <w10:wrap type="none"/>
          </v:group>
        </w:pict>
      </w:r>
      <w:r>
        <w:rPr>
          <w:b/>
          <w:color w:val="595959"/>
          <w:w w:val="110"/>
          <w:sz w:val="9"/>
        </w:rPr>
        <w:t>Social</w:t>
        <w:tab/>
        <w:t>Ambiental</w:t>
        <w:tab/>
        <w:t>Económico</w:t>
        <w:tab/>
        <w:t>Territorial</w:t>
      </w:r>
    </w:p>
    <w:p>
      <w:pPr>
        <w:pStyle w:val="BodyText"/>
        <w:spacing w:before="6"/>
        <w:rPr>
          <w:b/>
          <w:sz w:val="14"/>
        </w:rPr>
      </w:pPr>
    </w:p>
    <w:p>
      <w:pPr>
        <w:spacing w:before="79"/>
        <w:ind w:left="268" w:right="0" w:firstLine="0"/>
        <w:jc w:val="left"/>
        <w:rPr>
          <w:sz w:val="21"/>
        </w:rPr>
      </w:pPr>
      <w:r>
        <w:rPr>
          <w:w w:val="105"/>
          <w:sz w:val="21"/>
        </w:rPr>
        <w:t>Fuente: Elaboración propia con base al estudio realizado.</w:t>
      </w:r>
    </w:p>
    <w:p>
      <w:pPr>
        <w:pStyle w:val="BodyText"/>
        <w:rPr>
          <w:sz w:val="22"/>
        </w:rPr>
      </w:pPr>
    </w:p>
    <w:p>
      <w:pPr>
        <w:pStyle w:val="BodyText"/>
        <w:rPr>
          <w:sz w:val="22"/>
        </w:rPr>
      </w:pPr>
    </w:p>
    <w:p>
      <w:pPr>
        <w:pStyle w:val="BodyText"/>
        <w:spacing w:before="136"/>
        <w:ind w:left="268"/>
      </w:pPr>
      <w:r>
        <w:rPr/>
        <w:pict>
          <v:rect style="position:absolute;margin-left:362.207001pt;margin-top:109.186958pt;width:65.9612pt;height:16.0299pt;mso-position-horizontal-relative:page;mso-position-vertical-relative:paragraph;z-index:-1147120" filled="true" fillcolor="#ffff00" stroked="false">
            <v:fill type="solid"/>
            <w10:wrap type="none"/>
          </v:rect>
        </w:pict>
      </w:r>
      <w:r>
        <w:rPr/>
        <w:pict>
          <v:rect style="position:absolute;margin-left:362.207001pt;margin-top:139.242966pt;width:65.9612pt;height:16.0299pt;mso-position-horizontal-relative:page;mso-position-vertical-relative:paragraph;z-index:-1147096" filled="true" fillcolor="#ffff00" stroked="false">
            <v:fill type="solid"/>
            <w10:wrap type="none"/>
          </v:rect>
        </w:pict>
      </w:r>
      <w:r>
        <w:rPr/>
        <w:t>Tabla 28. Resultado de índices de sustentabilidad Rancho la Providencia.</w:t>
      </w:r>
    </w:p>
    <w:p>
      <w:pPr>
        <w:pStyle w:val="BodyText"/>
        <w:rPr>
          <w:sz w:val="20"/>
        </w:rPr>
      </w:pPr>
    </w:p>
    <w:p>
      <w:pPr>
        <w:pStyle w:val="BodyText"/>
        <w:spacing w:before="1"/>
        <w:rPr>
          <w:sz w:val="12"/>
        </w:rPr>
      </w:pPr>
    </w:p>
    <w:tbl>
      <w:tblPr>
        <w:tblW w:w="0" w:type="auto"/>
        <w:jc w:val="left"/>
        <w:tblInd w:w="134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19"/>
        <w:gridCol w:w="1348"/>
        <w:gridCol w:w="1302"/>
        <w:gridCol w:w="1297"/>
      </w:tblGrid>
      <w:tr>
        <w:trPr>
          <w:trHeight w:val="1042" w:hRule="exact"/>
        </w:trPr>
        <w:tc>
          <w:tcPr>
            <w:tcW w:w="6766" w:type="dxa"/>
            <w:gridSpan w:val="4"/>
            <w:shd w:val="clear" w:color="auto" w:fill="000000"/>
          </w:tcPr>
          <w:p>
            <w:pPr>
              <w:pStyle w:val="TableParagraph"/>
              <w:spacing w:before="4"/>
              <w:jc w:val="left"/>
              <w:rPr>
                <w:sz w:val="21"/>
              </w:rPr>
            </w:pPr>
          </w:p>
          <w:p>
            <w:pPr>
              <w:pStyle w:val="TableParagraph"/>
              <w:spacing w:line="261" w:lineRule="auto"/>
              <w:ind w:left="1116" w:right="1034" w:firstLine="1072"/>
              <w:jc w:val="left"/>
              <w:rPr>
                <w:sz w:val="24"/>
              </w:rPr>
            </w:pPr>
            <w:r>
              <w:rPr>
                <w:color w:val="FFFFFF"/>
                <w:sz w:val="24"/>
              </w:rPr>
              <w:t>Rancho la Providencia Resultado de los Índices de</w:t>
            </w:r>
            <w:r>
              <w:rPr>
                <w:color w:val="FFFFFF"/>
                <w:spacing w:val="-8"/>
                <w:sz w:val="24"/>
              </w:rPr>
              <w:t> </w:t>
            </w:r>
            <w:r>
              <w:rPr>
                <w:color w:val="FFFFFF"/>
                <w:sz w:val="24"/>
              </w:rPr>
              <w:t>sustentabilidad</w:t>
            </w:r>
          </w:p>
        </w:tc>
      </w:tr>
      <w:tr>
        <w:trPr>
          <w:trHeight w:val="361" w:hRule="exact"/>
        </w:trPr>
        <w:tc>
          <w:tcPr>
            <w:tcW w:w="2819" w:type="dxa"/>
            <w:tcBorders>
              <w:left w:val="single" w:sz="8" w:space="0" w:color="000000"/>
            </w:tcBorders>
          </w:tcPr>
          <w:p>
            <w:pPr/>
          </w:p>
        </w:tc>
        <w:tc>
          <w:tcPr>
            <w:tcW w:w="1348" w:type="dxa"/>
          </w:tcPr>
          <w:p>
            <w:pPr>
              <w:pStyle w:val="TableParagraph"/>
              <w:spacing w:before="22"/>
              <w:ind w:left="88"/>
              <w:rPr>
                <w:rFonts w:ascii="Calibri"/>
                <w:sz w:val="24"/>
              </w:rPr>
            </w:pPr>
            <w:r>
              <w:rPr>
                <w:rFonts w:ascii="Calibri"/>
                <w:sz w:val="24"/>
              </w:rPr>
              <w:t>Real</w:t>
            </w:r>
          </w:p>
        </w:tc>
        <w:tc>
          <w:tcPr>
            <w:tcW w:w="1302" w:type="dxa"/>
          </w:tcPr>
          <w:p>
            <w:pPr>
              <w:pStyle w:val="TableParagraph"/>
              <w:spacing w:before="22"/>
              <w:ind w:left="199" w:right="166"/>
              <w:rPr>
                <w:rFonts w:ascii="Calibri"/>
                <w:sz w:val="24"/>
              </w:rPr>
            </w:pPr>
            <w:r>
              <w:rPr>
                <w:rFonts w:ascii="Calibri"/>
                <w:sz w:val="24"/>
              </w:rPr>
              <w:t>Deseable</w:t>
            </w:r>
          </w:p>
        </w:tc>
        <w:tc>
          <w:tcPr>
            <w:tcW w:w="1297" w:type="dxa"/>
            <w:tcBorders>
              <w:right w:val="single" w:sz="16" w:space="0" w:color="000000"/>
            </w:tcBorders>
          </w:tcPr>
          <w:p>
            <w:pPr>
              <w:pStyle w:val="TableParagraph"/>
              <w:spacing w:before="22"/>
              <w:ind w:left="277" w:right="221"/>
              <w:rPr>
                <w:rFonts w:ascii="Calibri" w:hAnsi="Calibri"/>
                <w:sz w:val="24"/>
              </w:rPr>
            </w:pPr>
            <w:r>
              <w:rPr>
                <w:rFonts w:ascii="Calibri" w:hAnsi="Calibri"/>
                <w:sz w:val="24"/>
              </w:rPr>
              <w:t>Óptimo</w:t>
            </w:r>
          </w:p>
        </w:tc>
      </w:tr>
      <w:tr>
        <w:trPr>
          <w:trHeight w:val="321" w:hRule="exact"/>
        </w:trPr>
        <w:tc>
          <w:tcPr>
            <w:tcW w:w="2819" w:type="dxa"/>
            <w:tcBorders>
              <w:left w:val="single" w:sz="8" w:space="0" w:color="000000"/>
            </w:tcBorders>
          </w:tcPr>
          <w:p>
            <w:pPr>
              <w:pStyle w:val="TableParagraph"/>
              <w:spacing w:before="5"/>
              <w:ind w:left="39"/>
              <w:jc w:val="left"/>
              <w:rPr>
                <w:sz w:val="24"/>
              </w:rPr>
            </w:pPr>
            <w:r>
              <w:rPr>
                <w:sz w:val="24"/>
              </w:rPr>
              <w:t>Índice Social</w:t>
            </w:r>
          </w:p>
        </w:tc>
        <w:tc>
          <w:tcPr>
            <w:tcW w:w="1348" w:type="dxa"/>
          </w:tcPr>
          <w:p>
            <w:pPr>
              <w:pStyle w:val="TableParagraph"/>
              <w:tabs>
                <w:tab w:pos="488" w:val="left" w:leader="none"/>
                <w:tab w:pos="1368" w:val="left" w:leader="none"/>
              </w:tabs>
              <w:spacing w:before="2"/>
              <w:ind w:left="48" w:right="-20"/>
              <w:rPr>
                <w:rFonts w:ascii="Calibri"/>
                <w:sz w:val="24"/>
              </w:rPr>
            </w:pPr>
            <w:r>
              <w:rPr>
                <w:rFonts w:ascii="Times New Roman"/>
                <w:w w:val="99"/>
                <w:sz w:val="24"/>
                <w:shd w:fill="F79646" w:color="auto" w:val="clear"/>
              </w:rPr>
              <w:t> </w:t>
            </w:r>
            <w:r>
              <w:rPr>
                <w:rFonts w:ascii="Times New Roman"/>
                <w:sz w:val="24"/>
                <w:shd w:fill="F79646" w:color="auto" w:val="clear"/>
              </w:rPr>
              <w:tab/>
            </w:r>
            <w:r>
              <w:rPr>
                <w:rFonts w:ascii="Calibri"/>
                <w:sz w:val="24"/>
                <w:shd w:fill="F79646" w:color="auto" w:val="clear"/>
              </w:rPr>
              <w:t>11.2</w:t>
              <w:tab/>
            </w:r>
          </w:p>
        </w:tc>
        <w:tc>
          <w:tcPr>
            <w:tcW w:w="1302" w:type="dxa"/>
          </w:tcPr>
          <w:p>
            <w:pPr>
              <w:pStyle w:val="TableParagraph"/>
              <w:spacing w:before="2"/>
              <w:ind w:left="169" w:right="166"/>
              <w:rPr>
                <w:rFonts w:ascii="Calibri"/>
                <w:sz w:val="24"/>
              </w:rPr>
            </w:pPr>
            <w:r>
              <w:rPr>
                <w:rFonts w:ascii="Calibri"/>
                <w:sz w:val="24"/>
              </w:rPr>
              <w:t>11.4</w:t>
            </w:r>
          </w:p>
        </w:tc>
        <w:tc>
          <w:tcPr>
            <w:tcW w:w="1297" w:type="dxa"/>
            <w:tcBorders>
              <w:right w:val="single" w:sz="16" w:space="0" w:color="000000"/>
            </w:tcBorders>
            <w:shd w:val="clear" w:color="auto" w:fill="67ED4D"/>
          </w:tcPr>
          <w:p>
            <w:pPr>
              <w:pStyle w:val="TableParagraph"/>
              <w:spacing w:before="2"/>
              <w:ind w:left="261" w:right="221"/>
              <w:rPr>
                <w:rFonts w:ascii="Calibri"/>
                <w:sz w:val="24"/>
              </w:rPr>
            </w:pPr>
            <w:r>
              <w:rPr>
                <w:rFonts w:ascii="Calibri"/>
                <w:sz w:val="24"/>
              </w:rPr>
              <w:t>15</w:t>
            </w:r>
          </w:p>
        </w:tc>
      </w:tr>
      <w:tr>
        <w:trPr>
          <w:trHeight w:val="281" w:hRule="exact"/>
        </w:trPr>
        <w:tc>
          <w:tcPr>
            <w:tcW w:w="6766" w:type="dxa"/>
            <w:gridSpan w:val="4"/>
            <w:tcBorders>
              <w:left w:val="single" w:sz="8" w:space="0" w:color="000000"/>
              <w:right w:val="single" w:sz="16" w:space="0" w:color="000000"/>
            </w:tcBorders>
          </w:tcPr>
          <w:p>
            <w:pPr/>
          </w:p>
        </w:tc>
      </w:tr>
      <w:tr>
        <w:trPr>
          <w:trHeight w:val="321" w:hRule="exact"/>
        </w:trPr>
        <w:tc>
          <w:tcPr>
            <w:tcW w:w="2819" w:type="dxa"/>
            <w:tcBorders>
              <w:left w:val="single" w:sz="8" w:space="0" w:color="000000"/>
            </w:tcBorders>
          </w:tcPr>
          <w:p>
            <w:pPr>
              <w:pStyle w:val="TableParagraph"/>
              <w:spacing w:before="5"/>
              <w:ind w:left="39"/>
              <w:jc w:val="left"/>
              <w:rPr>
                <w:sz w:val="24"/>
              </w:rPr>
            </w:pPr>
            <w:r>
              <w:rPr>
                <w:sz w:val="24"/>
              </w:rPr>
              <w:t>Índice Ambiental</w:t>
            </w:r>
          </w:p>
        </w:tc>
        <w:tc>
          <w:tcPr>
            <w:tcW w:w="1348" w:type="dxa"/>
          </w:tcPr>
          <w:p>
            <w:pPr>
              <w:pStyle w:val="TableParagraph"/>
              <w:tabs>
                <w:tab w:pos="548" w:val="left" w:leader="none"/>
                <w:tab w:pos="1368" w:val="left" w:leader="none"/>
              </w:tabs>
              <w:spacing w:before="2"/>
              <w:ind w:left="48" w:right="-20"/>
              <w:rPr>
                <w:rFonts w:ascii="Calibri"/>
                <w:sz w:val="24"/>
              </w:rPr>
            </w:pPr>
            <w:r>
              <w:rPr>
                <w:rFonts w:ascii="Times New Roman"/>
                <w:w w:val="99"/>
                <w:sz w:val="24"/>
                <w:shd w:fill="F79646" w:color="auto" w:val="clear"/>
              </w:rPr>
              <w:t> </w:t>
            </w:r>
            <w:r>
              <w:rPr>
                <w:rFonts w:ascii="Times New Roman"/>
                <w:sz w:val="24"/>
                <w:shd w:fill="F79646" w:color="auto" w:val="clear"/>
              </w:rPr>
              <w:tab/>
            </w:r>
            <w:r>
              <w:rPr>
                <w:rFonts w:ascii="Calibri"/>
                <w:sz w:val="24"/>
                <w:shd w:fill="F79646" w:color="auto" w:val="clear"/>
              </w:rPr>
              <w:t>7.2</w:t>
              <w:tab/>
            </w:r>
          </w:p>
        </w:tc>
        <w:tc>
          <w:tcPr>
            <w:tcW w:w="1302" w:type="dxa"/>
          </w:tcPr>
          <w:p>
            <w:pPr>
              <w:pStyle w:val="TableParagraph"/>
              <w:spacing w:before="2"/>
              <w:ind w:left="169" w:right="166"/>
              <w:rPr>
                <w:rFonts w:ascii="Calibri"/>
                <w:sz w:val="24"/>
              </w:rPr>
            </w:pPr>
            <w:r>
              <w:rPr>
                <w:rFonts w:ascii="Calibri"/>
                <w:sz w:val="24"/>
              </w:rPr>
              <w:t>18.3</w:t>
            </w:r>
          </w:p>
        </w:tc>
        <w:tc>
          <w:tcPr>
            <w:tcW w:w="1297" w:type="dxa"/>
            <w:tcBorders>
              <w:right w:val="single" w:sz="16" w:space="0" w:color="000000"/>
            </w:tcBorders>
            <w:shd w:val="clear" w:color="auto" w:fill="67ED4D"/>
          </w:tcPr>
          <w:p>
            <w:pPr>
              <w:pStyle w:val="TableParagraph"/>
              <w:spacing w:before="2"/>
              <w:ind w:left="261" w:right="221"/>
              <w:rPr>
                <w:rFonts w:ascii="Calibri"/>
                <w:sz w:val="24"/>
              </w:rPr>
            </w:pPr>
            <w:r>
              <w:rPr>
                <w:rFonts w:ascii="Calibri"/>
                <w:sz w:val="24"/>
              </w:rPr>
              <w:t>24</w:t>
            </w:r>
          </w:p>
        </w:tc>
      </w:tr>
      <w:tr>
        <w:trPr>
          <w:trHeight w:val="281" w:hRule="exact"/>
        </w:trPr>
        <w:tc>
          <w:tcPr>
            <w:tcW w:w="6766" w:type="dxa"/>
            <w:gridSpan w:val="4"/>
            <w:tcBorders>
              <w:left w:val="single" w:sz="8" w:space="0" w:color="000000"/>
              <w:right w:val="single" w:sz="16" w:space="0" w:color="000000"/>
            </w:tcBorders>
          </w:tcPr>
          <w:p>
            <w:pPr/>
          </w:p>
        </w:tc>
      </w:tr>
      <w:tr>
        <w:trPr>
          <w:trHeight w:val="321" w:hRule="exact"/>
        </w:trPr>
        <w:tc>
          <w:tcPr>
            <w:tcW w:w="2819" w:type="dxa"/>
            <w:tcBorders>
              <w:left w:val="single" w:sz="8" w:space="0" w:color="000000"/>
            </w:tcBorders>
          </w:tcPr>
          <w:p>
            <w:pPr>
              <w:pStyle w:val="TableParagraph"/>
              <w:spacing w:before="5"/>
              <w:ind w:left="39"/>
              <w:jc w:val="left"/>
              <w:rPr>
                <w:sz w:val="24"/>
              </w:rPr>
            </w:pPr>
            <w:r>
              <w:rPr>
                <w:sz w:val="24"/>
              </w:rPr>
              <w:t>Índice Económico</w:t>
            </w:r>
          </w:p>
        </w:tc>
        <w:tc>
          <w:tcPr>
            <w:tcW w:w="1348" w:type="dxa"/>
          </w:tcPr>
          <w:p>
            <w:pPr>
              <w:pStyle w:val="TableParagraph"/>
              <w:tabs>
                <w:tab w:pos="648" w:val="left" w:leader="none"/>
                <w:tab w:pos="1368" w:val="left" w:leader="none"/>
              </w:tabs>
              <w:spacing w:before="2"/>
              <w:ind w:left="48" w:right="-20"/>
              <w:rPr>
                <w:rFonts w:ascii="Calibri"/>
                <w:sz w:val="24"/>
              </w:rPr>
            </w:pPr>
            <w:r>
              <w:rPr>
                <w:rFonts w:ascii="Times New Roman"/>
                <w:w w:val="99"/>
                <w:sz w:val="24"/>
                <w:shd w:fill="F79646" w:color="auto" w:val="clear"/>
              </w:rPr>
              <w:t> </w:t>
            </w:r>
            <w:r>
              <w:rPr>
                <w:rFonts w:ascii="Times New Roman"/>
                <w:sz w:val="24"/>
                <w:shd w:fill="F79646" w:color="auto" w:val="clear"/>
              </w:rPr>
              <w:tab/>
            </w:r>
            <w:r>
              <w:rPr>
                <w:rFonts w:ascii="Calibri"/>
                <w:sz w:val="24"/>
                <w:shd w:fill="F79646" w:color="auto" w:val="clear"/>
              </w:rPr>
              <w:t>6</w:t>
              <w:tab/>
            </w:r>
          </w:p>
        </w:tc>
        <w:tc>
          <w:tcPr>
            <w:tcW w:w="1302" w:type="dxa"/>
          </w:tcPr>
          <w:p>
            <w:pPr>
              <w:pStyle w:val="TableParagraph"/>
              <w:spacing w:before="2"/>
              <w:ind w:left="19"/>
              <w:rPr>
                <w:rFonts w:ascii="Calibri"/>
                <w:sz w:val="24"/>
              </w:rPr>
            </w:pPr>
            <w:r>
              <w:rPr>
                <w:rFonts w:ascii="Calibri"/>
                <w:w w:val="99"/>
                <w:sz w:val="24"/>
              </w:rPr>
              <w:t>9</w:t>
            </w:r>
          </w:p>
        </w:tc>
        <w:tc>
          <w:tcPr>
            <w:tcW w:w="1297" w:type="dxa"/>
            <w:tcBorders>
              <w:right w:val="single" w:sz="16" w:space="0" w:color="000000"/>
            </w:tcBorders>
            <w:shd w:val="clear" w:color="auto" w:fill="67ED4D"/>
          </w:tcPr>
          <w:p>
            <w:pPr>
              <w:pStyle w:val="TableParagraph"/>
              <w:spacing w:before="2"/>
              <w:ind w:left="261" w:right="221"/>
              <w:rPr>
                <w:rFonts w:ascii="Calibri"/>
                <w:sz w:val="24"/>
              </w:rPr>
            </w:pPr>
            <w:r>
              <w:rPr>
                <w:rFonts w:ascii="Calibri"/>
                <w:sz w:val="24"/>
              </w:rPr>
              <w:t>11</w:t>
            </w:r>
          </w:p>
        </w:tc>
      </w:tr>
      <w:tr>
        <w:trPr>
          <w:trHeight w:val="882" w:hRule="exact"/>
        </w:trPr>
        <w:tc>
          <w:tcPr>
            <w:tcW w:w="2819" w:type="dxa"/>
            <w:tcBorders>
              <w:left w:val="single" w:sz="8" w:space="0" w:color="000000"/>
            </w:tcBorders>
          </w:tcPr>
          <w:p>
            <w:pPr>
              <w:pStyle w:val="TableParagraph"/>
              <w:spacing w:before="9"/>
              <w:jc w:val="left"/>
              <w:rPr>
                <w:sz w:val="24"/>
              </w:rPr>
            </w:pPr>
          </w:p>
          <w:p>
            <w:pPr>
              <w:pStyle w:val="TableParagraph"/>
              <w:spacing w:before="1"/>
              <w:ind w:left="39"/>
              <w:jc w:val="left"/>
              <w:rPr>
                <w:sz w:val="24"/>
              </w:rPr>
            </w:pPr>
            <w:r>
              <w:rPr>
                <w:sz w:val="24"/>
              </w:rPr>
              <w:t>Índice Territorio</w:t>
            </w:r>
          </w:p>
        </w:tc>
        <w:tc>
          <w:tcPr>
            <w:tcW w:w="1348" w:type="dxa"/>
          </w:tcPr>
          <w:p>
            <w:pPr>
              <w:pStyle w:val="TableParagraph"/>
              <w:spacing w:before="6"/>
              <w:jc w:val="left"/>
              <w:rPr>
                <w:sz w:val="24"/>
              </w:rPr>
            </w:pPr>
          </w:p>
          <w:p>
            <w:pPr>
              <w:pStyle w:val="TableParagraph"/>
              <w:tabs>
                <w:tab w:pos="488" w:val="left" w:leader="none"/>
                <w:tab w:pos="1348" w:val="left" w:leader="none"/>
              </w:tabs>
              <w:ind w:left="48"/>
              <w:rPr>
                <w:rFonts w:ascii="Calibri"/>
                <w:sz w:val="24"/>
              </w:rPr>
            </w:pPr>
            <w:r>
              <w:rPr>
                <w:rFonts w:ascii="Times New Roman"/>
                <w:w w:val="99"/>
                <w:sz w:val="24"/>
                <w:shd w:fill="F79646" w:color="auto" w:val="clear"/>
              </w:rPr>
              <w:t> </w:t>
            </w:r>
            <w:r>
              <w:rPr>
                <w:rFonts w:ascii="Times New Roman"/>
                <w:sz w:val="24"/>
                <w:shd w:fill="F79646" w:color="auto" w:val="clear"/>
              </w:rPr>
              <w:tab/>
            </w:r>
            <w:r>
              <w:rPr>
                <w:rFonts w:ascii="Calibri"/>
                <w:sz w:val="24"/>
                <w:shd w:fill="F79646" w:color="auto" w:val="clear"/>
              </w:rPr>
              <w:t>5.11</w:t>
              <w:tab/>
            </w:r>
          </w:p>
        </w:tc>
        <w:tc>
          <w:tcPr>
            <w:tcW w:w="1302" w:type="dxa"/>
          </w:tcPr>
          <w:p>
            <w:pPr>
              <w:pStyle w:val="TableParagraph"/>
              <w:spacing w:before="6"/>
              <w:jc w:val="left"/>
              <w:rPr>
                <w:sz w:val="24"/>
              </w:rPr>
            </w:pPr>
          </w:p>
          <w:p>
            <w:pPr>
              <w:pStyle w:val="TableParagraph"/>
              <w:tabs>
                <w:tab w:pos="379" w:val="left" w:leader="none"/>
                <w:tab w:pos="1319" w:val="left" w:leader="none"/>
              </w:tabs>
              <w:ind w:right="-18"/>
              <w:rPr>
                <w:rFonts w:ascii="Calibri"/>
                <w:sz w:val="24"/>
              </w:rPr>
            </w:pPr>
            <w:r>
              <w:rPr>
                <w:rFonts w:ascii="Times New Roman"/>
                <w:w w:val="99"/>
                <w:sz w:val="24"/>
                <w:shd w:fill="FFFF00" w:color="auto" w:val="clear"/>
              </w:rPr>
              <w:t> </w:t>
            </w:r>
            <w:r>
              <w:rPr>
                <w:rFonts w:ascii="Times New Roman"/>
                <w:sz w:val="24"/>
                <w:shd w:fill="FFFF00" w:color="auto" w:val="clear"/>
              </w:rPr>
              <w:tab/>
            </w:r>
            <w:r>
              <w:rPr>
                <w:rFonts w:ascii="Calibri"/>
                <w:sz w:val="24"/>
                <w:shd w:fill="FFFF00" w:color="auto" w:val="clear"/>
              </w:rPr>
              <w:t>12.66</w:t>
              <w:tab/>
            </w:r>
          </w:p>
        </w:tc>
        <w:tc>
          <w:tcPr>
            <w:tcW w:w="1297" w:type="dxa"/>
            <w:tcBorders>
              <w:right w:val="single" w:sz="16" w:space="0" w:color="000000"/>
            </w:tcBorders>
          </w:tcPr>
          <w:p>
            <w:pPr>
              <w:pStyle w:val="TableParagraph"/>
              <w:spacing w:before="6"/>
              <w:jc w:val="left"/>
              <w:rPr>
                <w:sz w:val="24"/>
              </w:rPr>
            </w:pPr>
          </w:p>
          <w:p>
            <w:pPr>
              <w:pStyle w:val="TableParagraph"/>
              <w:ind w:left="261" w:right="221"/>
              <w:rPr>
                <w:rFonts w:ascii="Calibri"/>
                <w:sz w:val="24"/>
              </w:rPr>
            </w:pPr>
            <w:r>
              <w:rPr>
                <w:rFonts w:ascii="Calibri"/>
                <w:sz w:val="24"/>
              </w:rPr>
              <w:t>17</w:t>
            </w:r>
          </w:p>
        </w:tc>
      </w:tr>
      <w:tr>
        <w:trPr>
          <w:trHeight w:val="461" w:hRule="exact"/>
        </w:trPr>
        <w:tc>
          <w:tcPr>
            <w:tcW w:w="2819" w:type="dxa"/>
            <w:tcBorders>
              <w:left w:val="single" w:sz="8" w:space="0" w:color="000000"/>
              <w:bottom w:val="single" w:sz="16" w:space="0" w:color="000000"/>
            </w:tcBorders>
          </w:tcPr>
          <w:p>
            <w:pPr>
              <w:pStyle w:val="TableParagraph"/>
              <w:spacing w:before="85"/>
              <w:ind w:left="79"/>
              <w:jc w:val="left"/>
              <w:rPr>
                <w:sz w:val="24"/>
              </w:rPr>
            </w:pPr>
            <w:r>
              <w:rPr>
                <w:sz w:val="24"/>
              </w:rPr>
              <w:t>Índice de Sustentabilidad</w:t>
            </w:r>
          </w:p>
        </w:tc>
        <w:tc>
          <w:tcPr>
            <w:tcW w:w="1348" w:type="dxa"/>
            <w:tcBorders>
              <w:bottom w:val="single" w:sz="16" w:space="0" w:color="000000"/>
            </w:tcBorders>
          </w:tcPr>
          <w:p>
            <w:pPr>
              <w:pStyle w:val="TableParagraph"/>
              <w:spacing w:before="82"/>
              <w:ind w:left="56"/>
              <w:rPr>
                <w:rFonts w:ascii="Calibri"/>
                <w:sz w:val="24"/>
              </w:rPr>
            </w:pPr>
            <w:r>
              <w:rPr>
                <w:rFonts w:ascii="Calibri"/>
                <w:sz w:val="24"/>
              </w:rPr>
              <w:t>29.51</w:t>
            </w:r>
          </w:p>
        </w:tc>
        <w:tc>
          <w:tcPr>
            <w:tcW w:w="1302" w:type="dxa"/>
            <w:tcBorders>
              <w:bottom w:val="single" w:sz="16" w:space="0" w:color="000000"/>
              <w:right w:val="single" w:sz="8" w:space="0" w:color="FFFFFF"/>
            </w:tcBorders>
            <w:shd w:val="clear" w:color="auto" w:fill="FFFF00"/>
          </w:tcPr>
          <w:p>
            <w:pPr>
              <w:pStyle w:val="TableParagraph"/>
              <w:spacing w:before="82"/>
              <w:ind w:left="359" w:right="345"/>
              <w:rPr>
                <w:rFonts w:ascii="Calibri"/>
                <w:sz w:val="24"/>
              </w:rPr>
            </w:pPr>
            <w:r>
              <w:rPr>
                <w:rFonts w:ascii="Calibri"/>
                <w:sz w:val="24"/>
              </w:rPr>
              <w:t>51.36</w:t>
            </w:r>
          </w:p>
        </w:tc>
        <w:tc>
          <w:tcPr>
            <w:tcW w:w="1297" w:type="dxa"/>
            <w:tcBorders>
              <w:left w:val="single" w:sz="8" w:space="0" w:color="FFFFFF"/>
              <w:bottom w:val="single" w:sz="16" w:space="0" w:color="000000"/>
              <w:right w:val="single" w:sz="16" w:space="0" w:color="000000"/>
            </w:tcBorders>
            <w:shd w:val="clear" w:color="auto" w:fill="67ED4D"/>
          </w:tcPr>
          <w:p>
            <w:pPr>
              <w:pStyle w:val="TableParagraph"/>
              <w:spacing w:before="82"/>
              <w:ind w:left="506" w:right="476"/>
              <w:rPr>
                <w:rFonts w:ascii="Calibri"/>
                <w:sz w:val="24"/>
              </w:rPr>
            </w:pPr>
            <w:r>
              <w:rPr>
                <w:rFonts w:ascii="Calibri"/>
                <w:sz w:val="24"/>
              </w:rPr>
              <w:t>67</w:t>
            </w:r>
          </w:p>
        </w:tc>
      </w:tr>
    </w:tbl>
    <w:p>
      <w:pPr>
        <w:pStyle w:val="BodyText"/>
        <w:spacing w:before="1"/>
        <w:rPr>
          <w:sz w:val="35"/>
        </w:rPr>
      </w:pPr>
    </w:p>
    <w:p>
      <w:pPr>
        <w:spacing w:before="0"/>
        <w:ind w:left="696" w:right="0" w:firstLine="0"/>
        <w:jc w:val="left"/>
        <w:rPr>
          <w:sz w:val="21"/>
        </w:rPr>
      </w:pPr>
      <w:r>
        <w:rPr/>
        <w:pict>
          <v:rect style="position:absolute;margin-left:362.207001pt;margin-top:-104.348022pt;width:65.9612pt;height:16.0299pt;mso-position-horizontal-relative:page;mso-position-vertical-relative:paragraph;z-index:-1147072" filled="true" fillcolor="#ffff00" stroked="false">
            <v:fill type="solid"/>
            <w10:wrap type="none"/>
          </v:rect>
        </w:pict>
      </w:r>
      <w:r>
        <w:rPr/>
        <w:pict>
          <v:rect style="position:absolute;margin-left:427.169006pt;margin-top:-74.292023pt;width:65.9612pt;height:16.0299pt;mso-position-horizontal-relative:page;mso-position-vertical-relative:paragraph;z-index:-1147048" filled="true" fillcolor="#67ed4d" stroked="false">
            <v:fill type="solid"/>
            <w10:wrap type="none"/>
          </v:rect>
        </w:pict>
      </w:r>
      <w:r>
        <w:rPr/>
        <w:pict>
          <v:rect style="position:absolute;margin-left:297.244995pt;margin-top:-44.236023pt;width:65.9612pt;height:24.04490pt;mso-position-horizontal-relative:page;mso-position-vertical-relative:paragraph;z-index:-1147024" filled="true" fillcolor="#f79646" stroked="false">
            <v:fill type="solid"/>
            <w10:wrap type="none"/>
          </v:rect>
        </w:pict>
      </w:r>
      <w:r>
        <w:rPr>
          <w:w w:val="105"/>
          <w:sz w:val="21"/>
        </w:rPr>
        <w:t>Fuente: Elaboración propia con base al estudio realizado.</w:t>
      </w:r>
    </w:p>
    <w:p>
      <w:pPr>
        <w:spacing w:after="0"/>
        <w:jc w:val="left"/>
        <w:rPr>
          <w:sz w:val="21"/>
        </w:rPr>
        <w:sectPr>
          <w:footerReference w:type="default" r:id="rId194"/>
          <w:pgSz w:w="12240" w:h="15840"/>
          <w:pgMar w:footer="1066" w:header="730" w:top="1320" w:bottom="1260" w:left="1720" w:right="1180"/>
        </w:sectPr>
      </w:pPr>
    </w:p>
    <w:p>
      <w:pPr>
        <w:pStyle w:val="BodyText"/>
        <w:rPr>
          <w:sz w:val="20"/>
        </w:rPr>
      </w:pPr>
    </w:p>
    <w:p>
      <w:pPr>
        <w:pStyle w:val="BodyText"/>
        <w:rPr>
          <w:sz w:val="20"/>
        </w:rPr>
      </w:pPr>
    </w:p>
    <w:p>
      <w:pPr>
        <w:pStyle w:val="BodyText"/>
        <w:rPr>
          <w:sz w:val="20"/>
        </w:rPr>
      </w:pPr>
    </w:p>
    <w:p>
      <w:pPr>
        <w:pStyle w:val="BodyText"/>
        <w:spacing w:before="10"/>
        <w:rPr>
          <w:sz w:val="17"/>
        </w:rPr>
      </w:pPr>
    </w:p>
    <w:p>
      <w:pPr>
        <w:spacing w:before="0"/>
        <w:ind w:left="268" w:right="0" w:firstLine="0"/>
        <w:jc w:val="left"/>
        <w:rPr>
          <w:sz w:val="21"/>
        </w:rPr>
      </w:pPr>
      <w:r>
        <w:rPr/>
        <w:pict>
          <v:line style="position:absolute;mso-position-horizontal-relative:page;mso-position-vertical-relative:paragraph;z-index:11032" from="93.199997pt,-53.991096pt" to="546.799997pt,-53.991096pt" stroked="true" strokeweight=".479981pt" strokecolor="#000000">
            <w10:wrap type="none"/>
          </v:line>
        </w:pict>
      </w:r>
      <w:r>
        <w:rPr>
          <w:w w:val="105"/>
          <w:sz w:val="21"/>
        </w:rPr>
        <w:t>Gráfica 11. Escenario de resultados por índices.</w:t>
      </w:r>
    </w:p>
    <w:p>
      <w:pPr>
        <w:pStyle w:val="Heading1"/>
        <w:spacing w:before="187"/>
      </w:pPr>
      <w:r>
        <w:rPr>
          <w:w w:val="105"/>
        </w:rPr>
        <w:t>Distibución de índices de Rancho la Providencia</w:t>
      </w:r>
    </w:p>
    <w:p>
      <w:pPr>
        <w:pStyle w:val="BodyText"/>
        <w:spacing w:before="9"/>
        <w:rPr>
          <w:rFonts w:ascii="Calibri"/>
          <w:b/>
          <w:sz w:val="10"/>
        </w:rPr>
      </w:pPr>
    </w:p>
    <w:p>
      <w:pPr>
        <w:tabs>
          <w:tab w:pos="1225" w:val="left" w:leader="none"/>
          <w:tab w:pos="2329" w:val="left" w:leader="none"/>
        </w:tabs>
        <w:spacing w:before="72"/>
        <w:ind w:left="437" w:right="0" w:firstLine="0"/>
        <w:jc w:val="center"/>
        <w:rPr>
          <w:rFonts w:ascii="Calibri" w:hAnsi="Calibri"/>
          <w:sz w:val="16"/>
        </w:rPr>
      </w:pPr>
      <w:r>
        <w:rPr/>
        <w:pict>
          <v:group style="position:absolute;margin-left:252.578995pt;margin-top:5.602962pt;width:18.350pt;height:5.3pt;mso-position-horizontal-relative:page;mso-position-vertical-relative:paragraph;z-index:11080" coordorigin="5052,112" coordsize="367,106">
            <v:line style="position:absolute" from="5082,162" to="5388,162" stroked="true" strokeweight="2.990326pt" strokecolor="#5b92c7"/>
            <v:shape style="position:absolute;left:5185;top:120;width:96;height:90" type="#_x0000_t75" stroked="false">
              <v:imagedata r:id="rId200" o:title=""/>
            </v:shape>
            <v:shape style="position:absolute;left:5185;top:120;width:96;height:90" coordorigin="5185,120" coordsize="96,90" path="m5233,120l5281,168,5233,210,5185,168,5233,120xe" filled="false" stroked="true" strokeweight=".797522pt" strokecolor="#5b92c7">
              <v:path arrowok="t"/>
            </v:shape>
            <w10:wrap type="none"/>
          </v:group>
        </w:pict>
      </w:r>
      <w:r>
        <w:rPr/>
        <w:pict>
          <v:group style="position:absolute;margin-left:291.955994pt;margin-top:5.602962pt;width:18.350pt;height:5.3pt;mso-position-horizontal-relative:page;mso-position-vertical-relative:paragraph;z-index:-1146928" coordorigin="5839,112" coordsize="367,106">
            <v:line style="position:absolute" from="5869,162" to="6175,162" stroked="true" strokeweight="2.990326pt" strokecolor="#cc615a"/>
            <v:shape style="position:absolute;left:5967;top:120;width:96;height:90" type="#_x0000_t75" stroked="false">
              <v:imagedata r:id="rId201" o:title=""/>
            </v:shape>
            <v:rect style="position:absolute;left:5967;top:120;width:96;height:90" filled="false" stroked="true" strokeweight=".797522pt" strokecolor="#cc615a"/>
            <w10:wrap type="none"/>
          </v:group>
        </w:pict>
      </w:r>
      <w:r>
        <w:rPr/>
        <w:pict>
          <v:group style="position:absolute;margin-left:347.157013pt;margin-top:5.602962pt;width:18.350pt;height:5.3pt;mso-position-horizontal-relative:page;mso-position-vertical-relative:paragraph;z-index:-1146904" coordorigin="6943,112" coordsize="367,106">
            <v:line style="position:absolute" from="6973,162" to="7279,162" stroked="true" strokeweight="2.990326pt" strokecolor="#a8c367"/>
            <v:shape style="position:absolute;left:7084;top:120;width:91;height:90" type="#_x0000_t75" stroked="false">
              <v:imagedata r:id="rId202" o:title=""/>
            </v:shape>
            <v:shape style="position:absolute;left:7083;top:120;width:91;height:90" coordorigin="7083,120" coordsize="91,90" path="m7131,120l7174,210,7083,210,7131,120xe" filled="false" stroked="true" strokeweight=".797527pt" strokecolor="#a8c367">
              <v:path arrowok="t"/>
            </v:shape>
            <w10:wrap type="none"/>
          </v:group>
        </w:pict>
      </w:r>
      <w:r>
        <w:rPr>
          <w:rFonts w:ascii="Calibri" w:hAnsi="Calibri"/>
          <w:sz w:val="16"/>
        </w:rPr>
        <w:t>Real</w:t>
        <w:tab/>
        <w:t>Deseable</w:t>
        <w:tab/>
        <w:t>Óptimo</w:t>
      </w:r>
    </w:p>
    <w:p>
      <w:pPr>
        <w:pStyle w:val="BodyText"/>
        <w:spacing w:before="4"/>
        <w:rPr>
          <w:rFonts w:ascii="Calibri"/>
          <w:sz w:val="10"/>
        </w:rPr>
      </w:pPr>
    </w:p>
    <w:p>
      <w:pPr>
        <w:spacing w:line="266" w:lineRule="auto" w:before="72"/>
        <w:ind w:left="4388" w:right="4227" w:hanging="100"/>
        <w:jc w:val="left"/>
        <w:rPr>
          <w:rFonts w:ascii="Calibri" w:hAnsi="Calibri"/>
          <w:sz w:val="16"/>
        </w:rPr>
      </w:pPr>
      <w:r>
        <w:rPr/>
        <w:pict>
          <v:group style="position:absolute;margin-left:166.330276pt;margin-top:18.614986pt;width:308.7pt;height:308.650pt;mso-position-horizontal-relative:page;mso-position-vertical-relative:paragraph;z-index:-1146976" coordorigin="3327,372" coordsize="6174,6173">
            <v:shape style="position:absolute;left:100081;top:-98045078;width:98017120;height:98044021" coordorigin="100081,-98045078" coordsize="98017120,98044021" path="m6413,2836l7020,3458m7020,3458l6413,4080m6413,4080l5791,3458m5791,3458l6413,2836m6413,2230l7642,3458m7642,3458l6413,4686m6413,4686l5169,3458m5169,3458l6413,2230m6413,1608l8264,3458m8264,3458l6413,5308m6413,5308l4563,3458m4563,3458l6413,1608m6413,1002l8870,3458m8870,3458l6413,5930m6413,5930l3941,3458m3941,3458l6413,1002m6413,380l9491,3458m9491,3458l6413,6536m6413,6536l3335,3458m3335,3458l6413,380m6413,3458l6413,380m6413,3458l9491,3458m6413,3458l6413,6536m6413,3458l3335,3458m6413,3458l6413,380e" filled="false" stroked="true" strokeweight=".797528pt" strokecolor="#989898">
              <v:path arrowok="t"/>
            </v:shape>
            <v:shape style="position:absolute;left:6278;top:1983;width:271;height:271" type="#_x0000_t75" stroked="false">
              <v:imagedata r:id="rId203" o:title=""/>
            </v:shape>
            <v:shape style="position:absolute;left:7155;top:3355;width:271;height:271" type="#_x0000_t75" stroked="false">
              <v:imagedata r:id="rId203" o:title=""/>
            </v:shape>
            <v:shape style="position:absolute;left:6278;top:4088;width:271;height:271" type="#_x0000_t75" stroked="false">
              <v:imagedata r:id="rId203" o:title=""/>
            </v:shape>
            <v:shape style="position:absolute;left:5640;top:3355;width:271;height:271" type="#_x0000_t75" stroked="false">
              <v:imagedata r:id="rId203" o:title=""/>
            </v:shape>
            <v:shape style="position:absolute;left:6278;top:1951;width:271;height:271" type="#_x0000_t75" stroked="false">
              <v:imagedata r:id="rId204" o:title=""/>
            </v:shape>
            <v:shape style="position:absolute;left:8527;top:3355;width:271;height:271" type="#_x0000_t75" stroked="false">
              <v:imagedata r:id="rId204" o:title=""/>
            </v:shape>
            <v:shape style="position:absolute;left:4715;top:3355;width:271;height:271" type="#_x0000_t75" stroked="false">
              <v:imagedata r:id="rId204" o:title=""/>
            </v:shape>
            <v:shape style="position:absolute;left:6278;top:1505;width:271;height:271" type="#_x0000_t75" stroked="false">
              <v:imagedata r:id="rId205" o:title=""/>
            </v:shape>
            <v:shape style="position:absolute;left:9229;top:3355;width:271;height:271" type="#_x0000_t75" stroked="false">
              <v:imagedata r:id="rId205" o:title=""/>
            </v:shape>
            <v:shape style="position:absolute;left:6278;top:4471;width:271;height:510" type="#_x0000_t75" stroked="false">
              <v:imagedata r:id="rId152" o:title=""/>
            </v:shape>
            <v:shape style="position:absolute;left:4172;top:3355;width:271;height:271" type="#_x0000_t75" stroked="false">
              <v:imagedata r:id="rId205" o:title=""/>
            </v:shape>
            <v:shape style="position:absolute;left:-68911;top:-33626678;width:24129912;height:33527962" coordorigin="-68911,-33626678" coordsize="24129912,33527962" path="m5775,3458l6413,2087m6413,2087l7291,3458m7291,3458l6413,4192m6413,4192l5775,3458e" filled="false" stroked="true" strokeweight="2.990731pt" strokecolor="#5b92c7">
              <v:path arrowok="t"/>
            </v:shape>
            <v:shape style="position:absolute;left:6326;top:1999;width:175;height:175" type="#_x0000_t75" stroked="false">
              <v:imagedata r:id="rId153" o:title=""/>
            </v:shape>
            <v:shape style="position:absolute;left:7203;top:3371;width:175;height:175" type="#_x0000_t75" stroked="false">
              <v:imagedata r:id="rId153" o:title=""/>
            </v:shape>
            <v:shape style="position:absolute;left:6326;top:4104;width:175;height:175" type="#_x0000_t75" stroked="false">
              <v:imagedata r:id="rId153" o:title=""/>
            </v:shape>
            <v:shape style="position:absolute;left:5688;top:3371;width:175;height:175" type="#_x0000_t75" stroked="false">
              <v:imagedata r:id="rId153" o:title=""/>
            </v:shape>
            <v:shape style="position:absolute;left:14781;top:-40019478;width:60706019;height:40036305" coordorigin="14781,-40019478" coordsize="60706019,40036305" path="m4850,3458l6413,2055m6413,2055l8663,3458m8663,3458l6413,4569m6413,4569l4850,3458e" filled="false" stroked="true" strokeweight="2.990731pt" strokecolor="#cc615a">
              <v:path arrowok="t"/>
            </v:shape>
            <v:shape style="position:absolute;left:6326;top:1967;width:175;height:175" type="#_x0000_t75" stroked="false">
              <v:imagedata r:id="rId155" o:title=""/>
            </v:shape>
            <v:shape style="position:absolute;left:8575;top:3371;width:175;height:175" type="#_x0000_t75" stroked="false">
              <v:imagedata r:id="rId155" o:title=""/>
            </v:shape>
            <v:shape style="position:absolute;left:6326;top:4487;width:175;height:175" type="#_x0000_t75" stroked="false">
              <v:imagedata r:id="rId155" o:title=""/>
            </v:shape>
            <v:shape style="position:absolute;left:4762;top:3371;width:175;height:175" type="#_x0000_t75" stroked="false">
              <v:imagedata r:id="rId155" o:title=""/>
            </v:shape>
            <v:shape style="position:absolute;left:-104660;top:-50989678;width:80518060;height:51054068" coordorigin="-104660,-50989678" coordsize="80518060,51054068" path="m4308,3458l6413,1608m6413,1608l9365,3458m9365,3458l6413,4814m6413,4814l4308,3458e" filled="false" stroked="true" strokeweight="2.990731pt" strokecolor="#a8c367">
              <v:path arrowok="t"/>
            </v:shape>
            <v:shape style="position:absolute;left:6326;top:1521;width:175;height:175" type="#_x0000_t75" stroked="false">
              <v:imagedata r:id="rId156" o:title=""/>
            </v:shape>
            <v:shape style="position:absolute;left:9277;top:3371;width:175;height:175" type="#_x0000_t75" stroked="false">
              <v:imagedata r:id="rId156" o:title=""/>
            </v:shape>
            <v:shape style="position:absolute;left:6326;top:4726;width:175;height:175" type="#_x0000_t75" stroked="false">
              <v:imagedata r:id="rId156" o:title=""/>
            </v:shape>
            <v:shape style="position:absolute;left:4220;top:3371;width:175;height:175" type="#_x0000_t75" stroked="false">
              <v:imagedata r:id="rId156" o:title=""/>
            </v:shape>
            <w10:wrap type="none"/>
          </v:group>
        </w:pict>
      </w:r>
      <w:r>
        <w:rPr>
          <w:rFonts w:ascii="Calibri" w:hAnsi="Calibri"/>
          <w:sz w:val="16"/>
        </w:rPr>
        <w:t>Índice Social 25</w:t>
      </w:r>
    </w:p>
    <w:p>
      <w:pPr>
        <w:pStyle w:val="BodyText"/>
        <w:spacing w:before="9"/>
        <w:rPr>
          <w:rFonts w:ascii="Calibri"/>
          <w:sz w:val="26"/>
        </w:rPr>
      </w:pPr>
    </w:p>
    <w:p>
      <w:pPr>
        <w:spacing w:before="73"/>
        <w:ind w:left="382" w:right="781" w:firstLine="0"/>
        <w:jc w:val="center"/>
        <w:rPr>
          <w:rFonts w:ascii="Calibri"/>
          <w:sz w:val="16"/>
        </w:rPr>
      </w:pPr>
      <w:r>
        <w:rPr>
          <w:rFonts w:ascii="Calibri"/>
          <w:sz w:val="16"/>
        </w:rPr>
        <w:t>20</w:t>
      </w:r>
    </w:p>
    <w:p>
      <w:pPr>
        <w:pStyle w:val="BodyText"/>
        <w:spacing w:before="6"/>
        <w:rPr>
          <w:rFonts w:ascii="Calibri"/>
          <w:sz w:val="13"/>
        </w:rPr>
      </w:pPr>
    </w:p>
    <w:p>
      <w:pPr>
        <w:spacing w:line="190" w:lineRule="exact" w:before="72"/>
        <w:ind w:left="230" w:right="0" w:firstLine="0"/>
        <w:jc w:val="center"/>
        <w:rPr>
          <w:rFonts w:ascii="Calibri"/>
          <w:sz w:val="16"/>
        </w:rPr>
      </w:pPr>
      <w:r>
        <w:rPr>
          <w:rFonts w:ascii="Calibri"/>
          <w:sz w:val="16"/>
        </w:rPr>
        <w:t>15</w:t>
      </w:r>
    </w:p>
    <w:p>
      <w:pPr>
        <w:spacing w:line="190" w:lineRule="exact" w:before="0"/>
        <w:ind w:left="382" w:right="781" w:firstLine="0"/>
        <w:jc w:val="center"/>
        <w:rPr>
          <w:rFonts w:ascii="Calibri"/>
          <w:sz w:val="16"/>
        </w:rPr>
      </w:pPr>
      <w:r>
        <w:rPr>
          <w:rFonts w:ascii="Calibri"/>
          <w:sz w:val="16"/>
        </w:rPr>
        <w:t>15</w:t>
      </w:r>
    </w:p>
    <w:p>
      <w:pPr>
        <w:spacing w:before="80"/>
        <w:ind w:left="294" w:right="0" w:firstLine="0"/>
        <w:jc w:val="center"/>
        <w:rPr>
          <w:rFonts w:ascii="Calibri"/>
          <w:sz w:val="16"/>
        </w:rPr>
      </w:pPr>
      <w:r>
        <w:rPr>
          <w:rFonts w:ascii="Calibri"/>
          <w:sz w:val="16"/>
        </w:rPr>
        <w:t>11.4</w:t>
      </w:r>
    </w:p>
    <w:p>
      <w:pPr>
        <w:pStyle w:val="BodyText"/>
        <w:spacing w:before="10"/>
        <w:rPr>
          <w:rFonts w:ascii="Calibri"/>
          <w:sz w:val="11"/>
        </w:rPr>
      </w:pPr>
    </w:p>
    <w:p>
      <w:pPr>
        <w:spacing w:before="0"/>
        <w:ind w:left="382" w:right="781" w:firstLine="0"/>
        <w:jc w:val="center"/>
        <w:rPr>
          <w:rFonts w:ascii="Calibri"/>
          <w:sz w:val="16"/>
        </w:rPr>
      </w:pPr>
      <w:r>
        <w:rPr>
          <w:rFonts w:ascii="Calibri"/>
          <w:sz w:val="16"/>
        </w:rPr>
        <w:t>10</w:t>
      </w:r>
    </w:p>
    <w:p>
      <w:pPr>
        <w:spacing w:after="0"/>
        <w:jc w:val="center"/>
        <w:rPr>
          <w:rFonts w:ascii="Calibri"/>
          <w:sz w:val="16"/>
        </w:rPr>
        <w:sectPr>
          <w:footerReference w:type="default" r:id="rId199"/>
          <w:pgSz w:w="12240" w:h="15840"/>
          <w:pgMar w:footer="1066" w:header="730" w:top="1320" w:bottom="1260" w:left="1720" w:right="1180"/>
          <w:pgNumType w:start="201"/>
        </w:sect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21"/>
        </w:rPr>
      </w:pPr>
    </w:p>
    <w:p>
      <w:pPr>
        <w:spacing w:before="1"/>
        <w:ind w:left="438" w:right="-19" w:firstLine="0"/>
        <w:jc w:val="left"/>
        <w:rPr>
          <w:rFonts w:ascii="Calibri" w:hAnsi="Calibri"/>
          <w:sz w:val="16"/>
        </w:rPr>
      </w:pPr>
      <w:r>
        <w:rPr>
          <w:rFonts w:ascii="Calibri" w:hAnsi="Calibri"/>
          <w:sz w:val="16"/>
        </w:rPr>
        <w:t>Índice</w:t>
      </w:r>
      <w:r>
        <w:rPr>
          <w:rFonts w:ascii="Calibri" w:hAnsi="Calibri"/>
          <w:spacing w:val="-4"/>
          <w:sz w:val="16"/>
        </w:rPr>
        <w:t> </w:t>
      </w:r>
      <w:r>
        <w:rPr>
          <w:rFonts w:ascii="Calibri" w:hAnsi="Calibri"/>
          <w:sz w:val="16"/>
        </w:rPr>
        <w:t>Territorio</w:t>
      </w:r>
    </w:p>
    <w:p>
      <w:pPr>
        <w:pStyle w:val="BodyText"/>
        <w:rPr>
          <w:rFonts w:ascii="Calibri"/>
          <w:sz w:val="18"/>
        </w:rPr>
      </w:pPr>
      <w:r>
        <w:rPr/>
        <w:br w:type="column"/>
      </w:r>
      <w:r>
        <w:rPr>
          <w:rFonts w:ascii="Calibri"/>
          <w:sz w:val="18"/>
        </w:rPr>
      </w:r>
    </w:p>
    <w:p>
      <w:pPr>
        <w:pStyle w:val="BodyText"/>
        <w:rPr>
          <w:rFonts w:ascii="Calibri"/>
          <w:sz w:val="18"/>
        </w:rPr>
      </w:pPr>
    </w:p>
    <w:p>
      <w:pPr>
        <w:pStyle w:val="BodyText"/>
        <w:rPr>
          <w:rFonts w:ascii="Calibri"/>
          <w:sz w:val="18"/>
        </w:rPr>
      </w:pPr>
    </w:p>
    <w:p>
      <w:pPr>
        <w:pStyle w:val="BodyText"/>
        <w:spacing w:before="7"/>
        <w:rPr>
          <w:rFonts w:ascii="Calibri"/>
          <w:sz w:val="21"/>
        </w:rPr>
      </w:pPr>
    </w:p>
    <w:p>
      <w:pPr>
        <w:tabs>
          <w:tab w:pos="1448" w:val="left" w:leader="none"/>
        </w:tabs>
        <w:spacing w:before="0"/>
        <w:ind w:left="438" w:right="0" w:firstLine="0"/>
        <w:jc w:val="left"/>
        <w:rPr>
          <w:rFonts w:ascii="Calibri"/>
          <w:sz w:val="16"/>
        </w:rPr>
      </w:pPr>
      <w:r>
        <w:rPr>
          <w:rFonts w:ascii="Calibri"/>
          <w:sz w:val="16"/>
        </w:rPr>
        <w:t>17</w:t>
        <w:tab/>
      </w:r>
      <w:r>
        <w:rPr>
          <w:rFonts w:ascii="Calibri"/>
          <w:w w:val="95"/>
          <w:position w:val="2"/>
          <w:sz w:val="16"/>
        </w:rPr>
        <w:t>12.66</w:t>
      </w:r>
    </w:p>
    <w:p>
      <w:pPr>
        <w:pStyle w:val="BodyText"/>
        <w:rPr>
          <w:rFonts w:ascii="Calibri"/>
          <w:sz w:val="16"/>
        </w:rPr>
      </w:pPr>
      <w:r>
        <w:rPr/>
        <w:br w:type="column"/>
      </w:r>
      <w:r>
        <w:rPr>
          <w:rFonts w:ascii="Calibri"/>
          <w:sz w:val="16"/>
        </w:rPr>
      </w:r>
    </w:p>
    <w:p>
      <w:pPr>
        <w:pStyle w:val="BodyText"/>
        <w:spacing w:before="5"/>
        <w:rPr>
          <w:rFonts w:ascii="Calibri"/>
          <w:sz w:val="18"/>
        </w:rPr>
      </w:pPr>
    </w:p>
    <w:p>
      <w:pPr>
        <w:spacing w:before="0"/>
        <w:ind w:left="0" w:right="0" w:firstLine="0"/>
        <w:jc w:val="right"/>
        <w:rPr>
          <w:rFonts w:ascii="Calibri"/>
          <w:sz w:val="16"/>
        </w:rPr>
      </w:pPr>
      <w:r>
        <w:rPr>
          <w:rFonts w:ascii="Calibri"/>
          <w:w w:val="99"/>
          <w:sz w:val="16"/>
        </w:rPr>
        <w:t>5</w:t>
      </w:r>
    </w:p>
    <w:p>
      <w:pPr>
        <w:pStyle w:val="BodyText"/>
        <w:rPr>
          <w:rFonts w:ascii="Calibri"/>
          <w:sz w:val="16"/>
        </w:rPr>
      </w:pPr>
    </w:p>
    <w:p>
      <w:pPr>
        <w:spacing w:line="161" w:lineRule="exact" w:before="99"/>
        <w:ind w:left="358" w:right="0" w:firstLine="0"/>
        <w:jc w:val="left"/>
        <w:rPr>
          <w:rFonts w:ascii="Calibri"/>
          <w:sz w:val="16"/>
        </w:rPr>
      </w:pPr>
      <w:r>
        <w:rPr>
          <w:rFonts w:ascii="Calibri"/>
          <w:sz w:val="16"/>
        </w:rPr>
        <w:t>5.11</w:t>
      </w:r>
    </w:p>
    <w:p>
      <w:pPr>
        <w:spacing w:line="161" w:lineRule="exact" w:before="0"/>
        <w:ind w:left="0" w:right="0" w:firstLine="0"/>
        <w:jc w:val="right"/>
        <w:rPr>
          <w:rFonts w:ascii="Calibri"/>
          <w:sz w:val="16"/>
        </w:rPr>
      </w:pPr>
      <w:r>
        <w:rPr>
          <w:rFonts w:ascii="Calibri"/>
          <w:w w:val="99"/>
          <w:sz w:val="16"/>
        </w:rPr>
        <w:t>0</w:t>
      </w:r>
    </w:p>
    <w:p>
      <w:pPr>
        <w:spacing w:before="143"/>
        <w:ind w:left="53" w:right="-6" w:firstLine="0"/>
        <w:jc w:val="left"/>
        <w:rPr>
          <w:rFonts w:ascii="Calibri"/>
          <w:sz w:val="16"/>
        </w:rPr>
      </w:pPr>
      <w:r>
        <w:rPr/>
        <w:br w:type="column"/>
      </w:r>
      <w:r>
        <w:rPr>
          <w:rFonts w:ascii="Calibri"/>
          <w:w w:val="95"/>
          <w:sz w:val="16"/>
        </w:rPr>
        <w:t>11.2</w:t>
      </w:r>
    </w:p>
    <w:p>
      <w:pPr>
        <w:pStyle w:val="BodyText"/>
        <w:rPr>
          <w:rFonts w:ascii="Calibri"/>
          <w:sz w:val="16"/>
        </w:rPr>
      </w:pPr>
      <w:r>
        <w:rPr/>
        <w:br w:type="column"/>
      </w:r>
      <w:r>
        <w:rPr>
          <w:rFonts w:ascii="Calibri"/>
          <w:sz w:val="16"/>
        </w:rPr>
      </w:r>
    </w:p>
    <w:p>
      <w:pPr>
        <w:pStyle w:val="BodyText"/>
        <w:rPr>
          <w:rFonts w:ascii="Calibri"/>
          <w:sz w:val="16"/>
        </w:rPr>
      </w:pPr>
    </w:p>
    <w:p>
      <w:pPr>
        <w:pStyle w:val="BodyText"/>
        <w:rPr>
          <w:rFonts w:ascii="Calibri"/>
          <w:sz w:val="16"/>
        </w:rPr>
      </w:pPr>
    </w:p>
    <w:p>
      <w:pPr>
        <w:pStyle w:val="BodyText"/>
        <w:rPr>
          <w:rFonts w:ascii="Calibri"/>
          <w:sz w:val="16"/>
        </w:rPr>
      </w:pPr>
    </w:p>
    <w:p>
      <w:pPr>
        <w:spacing w:before="113"/>
        <w:ind w:left="265" w:right="-20" w:firstLine="0"/>
        <w:jc w:val="left"/>
        <w:rPr>
          <w:rFonts w:ascii="Calibri"/>
          <w:sz w:val="16"/>
        </w:rPr>
      </w:pPr>
      <w:r>
        <w:rPr>
          <w:rFonts w:ascii="Calibri"/>
          <w:sz w:val="16"/>
        </w:rPr>
        <w:t>7.2</w:t>
      </w:r>
    </w:p>
    <w:p>
      <w:pPr>
        <w:pStyle w:val="BodyText"/>
        <w:rPr>
          <w:rFonts w:ascii="Calibri"/>
          <w:sz w:val="16"/>
        </w:rPr>
      </w:pPr>
      <w:r>
        <w:rPr/>
        <w:br w:type="column"/>
      </w:r>
      <w:r>
        <w:rPr>
          <w:rFonts w:ascii="Calibri"/>
          <w:sz w:val="16"/>
        </w:rPr>
      </w:r>
    </w:p>
    <w:p>
      <w:pPr>
        <w:pStyle w:val="BodyText"/>
        <w:rPr>
          <w:rFonts w:ascii="Calibri"/>
          <w:sz w:val="16"/>
        </w:rPr>
      </w:pPr>
    </w:p>
    <w:p>
      <w:pPr>
        <w:pStyle w:val="BodyText"/>
        <w:rPr>
          <w:rFonts w:ascii="Calibri"/>
          <w:sz w:val="16"/>
        </w:rPr>
      </w:pPr>
    </w:p>
    <w:p>
      <w:pPr>
        <w:pStyle w:val="BodyText"/>
        <w:rPr>
          <w:rFonts w:ascii="Calibri"/>
          <w:sz w:val="16"/>
        </w:rPr>
      </w:pPr>
    </w:p>
    <w:p>
      <w:pPr>
        <w:pStyle w:val="BodyText"/>
        <w:spacing w:before="2"/>
        <w:rPr>
          <w:rFonts w:ascii="Calibri"/>
          <w:sz w:val="13"/>
        </w:rPr>
      </w:pPr>
    </w:p>
    <w:p>
      <w:pPr>
        <w:spacing w:before="1"/>
        <w:ind w:left="438" w:right="-6" w:firstLine="0"/>
        <w:jc w:val="left"/>
        <w:rPr>
          <w:rFonts w:ascii="Calibri"/>
          <w:sz w:val="16"/>
        </w:rPr>
      </w:pPr>
      <w:r>
        <w:rPr>
          <w:rFonts w:ascii="Calibri"/>
          <w:w w:val="95"/>
          <w:sz w:val="16"/>
        </w:rPr>
        <w:t>18.3</w:t>
      </w:r>
    </w:p>
    <w:p>
      <w:pPr>
        <w:pStyle w:val="BodyText"/>
        <w:rPr>
          <w:rFonts w:ascii="Calibri"/>
          <w:sz w:val="16"/>
        </w:rPr>
      </w:pPr>
      <w:r>
        <w:rPr/>
        <w:br w:type="column"/>
      </w:r>
      <w:r>
        <w:rPr>
          <w:rFonts w:ascii="Calibri"/>
          <w:sz w:val="16"/>
        </w:rPr>
      </w:r>
    </w:p>
    <w:p>
      <w:pPr>
        <w:pStyle w:val="BodyText"/>
        <w:rPr>
          <w:rFonts w:ascii="Calibri"/>
          <w:sz w:val="16"/>
        </w:rPr>
      </w:pPr>
    </w:p>
    <w:p>
      <w:pPr>
        <w:pStyle w:val="BodyText"/>
        <w:rPr>
          <w:rFonts w:ascii="Calibri"/>
          <w:sz w:val="16"/>
        </w:rPr>
      </w:pPr>
    </w:p>
    <w:p>
      <w:pPr>
        <w:pStyle w:val="BodyText"/>
        <w:spacing w:before="4"/>
        <w:rPr>
          <w:rFonts w:ascii="Calibri"/>
          <w:sz w:val="21"/>
        </w:rPr>
      </w:pPr>
    </w:p>
    <w:p>
      <w:pPr>
        <w:spacing w:line="193" w:lineRule="exact" w:before="0"/>
        <w:ind w:left="438" w:right="0" w:firstLine="0"/>
        <w:jc w:val="left"/>
        <w:rPr>
          <w:rFonts w:ascii="Calibri"/>
          <w:sz w:val="16"/>
        </w:rPr>
      </w:pPr>
      <w:r>
        <w:rPr>
          <w:rFonts w:ascii="Calibri"/>
          <w:sz w:val="16"/>
        </w:rPr>
        <w:t>24</w:t>
      </w:r>
    </w:p>
    <w:p>
      <w:pPr>
        <w:spacing w:line="193" w:lineRule="exact" w:before="0"/>
        <w:ind w:left="598" w:right="0" w:firstLine="0"/>
        <w:jc w:val="left"/>
        <w:rPr>
          <w:rFonts w:ascii="Calibri" w:hAnsi="Calibri"/>
          <w:sz w:val="16"/>
        </w:rPr>
      </w:pPr>
      <w:r>
        <w:rPr>
          <w:rFonts w:ascii="Calibri" w:hAnsi="Calibri"/>
          <w:sz w:val="16"/>
        </w:rPr>
        <w:t>Índice Ambiental</w:t>
      </w:r>
    </w:p>
    <w:p>
      <w:pPr>
        <w:spacing w:after="0" w:line="193" w:lineRule="exact"/>
        <w:jc w:val="left"/>
        <w:rPr>
          <w:rFonts w:ascii="Calibri" w:hAnsi="Calibri"/>
          <w:sz w:val="16"/>
        </w:rPr>
        <w:sectPr>
          <w:type w:val="continuous"/>
          <w:pgSz w:w="12240" w:h="15840"/>
          <w:pgMar w:top="1500" w:bottom="280" w:left="1720" w:right="1180"/>
          <w:cols w:num="7" w:equalWidth="0">
            <w:col w:w="1485" w:space="452"/>
            <w:col w:w="1813" w:space="40"/>
            <w:col w:w="761" w:space="40"/>
            <w:col w:w="337" w:space="40"/>
            <w:col w:w="468" w:space="446"/>
            <w:col w:w="722" w:space="693"/>
            <w:col w:w="2043"/>
          </w:cols>
        </w:sectPr>
      </w:pPr>
    </w:p>
    <w:p>
      <w:pPr>
        <w:pStyle w:val="BodyText"/>
        <w:spacing w:before="4"/>
        <w:rPr>
          <w:rFonts w:ascii="Calibri"/>
          <w:sz w:val="13"/>
        </w:rPr>
      </w:pPr>
    </w:p>
    <w:p>
      <w:pPr>
        <w:spacing w:before="72"/>
        <w:ind w:left="262" w:right="0" w:firstLine="0"/>
        <w:jc w:val="center"/>
        <w:rPr>
          <w:rFonts w:ascii="Calibri"/>
          <w:sz w:val="16"/>
        </w:rPr>
      </w:pPr>
      <w:r>
        <w:rPr>
          <w:rFonts w:ascii="Calibri"/>
          <w:w w:val="99"/>
          <w:sz w:val="16"/>
        </w:rPr>
        <w:t>6</w:t>
      </w:r>
    </w:p>
    <w:p>
      <w:pPr>
        <w:pStyle w:val="BodyText"/>
        <w:spacing w:before="11"/>
        <w:rPr>
          <w:rFonts w:ascii="Calibri"/>
          <w:sz w:val="14"/>
        </w:rPr>
      </w:pPr>
    </w:p>
    <w:p>
      <w:pPr>
        <w:spacing w:before="72"/>
        <w:ind w:left="327" w:right="0" w:firstLine="0"/>
        <w:jc w:val="center"/>
        <w:rPr>
          <w:rFonts w:ascii="Calibri"/>
          <w:sz w:val="16"/>
        </w:rPr>
      </w:pPr>
      <w:r>
        <w:rPr>
          <w:rFonts w:ascii="Calibri"/>
          <w:w w:val="99"/>
          <w:sz w:val="16"/>
        </w:rPr>
        <w:t>9</w:t>
      </w:r>
    </w:p>
    <w:p>
      <w:pPr>
        <w:pStyle w:val="BodyText"/>
        <w:rPr>
          <w:rFonts w:ascii="Calibri"/>
          <w:sz w:val="20"/>
        </w:rPr>
      </w:pPr>
    </w:p>
    <w:p>
      <w:pPr>
        <w:pStyle w:val="BodyText"/>
        <w:spacing w:before="1"/>
        <w:rPr>
          <w:rFonts w:ascii="Calibri"/>
          <w:sz w:val="18"/>
        </w:rPr>
      </w:pPr>
    </w:p>
    <w:p>
      <w:pPr>
        <w:spacing w:before="1"/>
        <w:ind w:left="421" w:right="0" w:firstLine="0"/>
        <w:jc w:val="center"/>
        <w:rPr>
          <w:rFonts w:ascii="Calibri"/>
          <w:sz w:val="16"/>
        </w:rPr>
      </w:pPr>
      <w:r>
        <w:rPr>
          <w:rFonts w:ascii="Calibri"/>
          <w:sz w:val="16"/>
        </w:rPr>
        <w:t>11</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22"/>
        </w:rPr>
      </w:pPr>
    </w:p>
    <w:p>
      <w:pPr>
        <w:spacing w:before="73"/>
        <w:ind w:left="37" w:right="0" w:firstLine="0"/>
        <w:jc w:val="center"/>
        <w:rPr>
          <w:rFonts w:ascii="Calibri" w:hAnsi="Calibri"/>
          <w:sz w:val="16"/>
        </w:rPr>
      </w:pPr>
      <w:r>
        <w:rPr>
          <w:rFonts w:ascii="Calibri" w:hAnsi="Calibri"/>
          <w:sz w:val="16"/>
        </w:rPr>
        <w:t>Índice Económico</w:t>
      </w:r>
    </w:p>
    <w:p>
      <w:pPr>
        <w:pStyle w:val="BodyText"/>
        <w:rPr>
          <w:rFonts w:ascii="Calibri"/>
          <w:sz w:val="20"/>
        </w:rPr>
      </w:pPr>
    </w:p>
    <w:p>
      <w:pPr>
        <w:pStyle w:val="BodyText"/>
        <w:rPr>
          <w:rFonts w:ascii="Calibri"/>
          <w:sz w:val="20"/>
        </w:rPr>
      </w:pPr>
    </w:p>
    <w:p>
      <w:pPr>
        <w:pStyle w:val="BodyText"/>
        <w:spacing w:before="10"/>
        <w:rPr>
          <w:rFonts w:ascii="Calibri"/>
          <w:sz w:val="19"/>
        </w:rPr>
      </w:pPr>
    </w:p>
    <w:p>
      <w:pPr>
        <w:spacing w:before="79"/>
        <w:ind w:left="268" w:right="0" w:firstLine="0"/>
        <w:jc w:val="left"/>
        <w:rPr>
          <w:sz w:val="21"/>
        </w:rPr>
      </w:pPr>
      <w:r>
        <w:rPr>
          <w:w w:val="105"/>
          <w:sz w:val="21"/>
        </w:rPr>
        <w:t>Fuente: Elaboración propia con base al estudio realizado.</w:t>
      </w:r>
    </w:p>
    <w:p>
      <w:pPr>
        <w:spacing w:after="0"/>
        <w:jc w:val="left"/>
        <w:rPr>
          <w:sz w:val="21"/>
        </w:rPr>
        <w:sectPr>
          <w:type w:val="continuous"/>
          <w:pgSz w:w="12240" w:h="15840"/>
          <w:pgMar w:top="1500" w:bottom="280" w:left="1720" w:right="1180"/>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11176" from="93.199997pt,-19.614155pt" to="546.799997pt,-19.614155pt" stroked="true" strokeweight=".479981pt" strokecolor="#000000">
            <w10:wrap type="none"/>
          </v:line>
        </w:pict>
      </w:r>
      <w:r>
        <w:rPr/>
        <w:t>El conjunto urbano de tipo medio denominado “Urbi Hacienda Lomas”, autorizado  a la empresa Inmobiliaria Promoción y Desarrollos URBI, S.A. de C.V. en septiembre de 2010, colinda con el conjunto urbano Bosque de las fuentes el  mapa 11 muestra la poligonal del conjunto de</w:t>
      </w:r>
      <w:r>
        <w:rPr>
          <w:spacing w:val="-1"/>
        </w:rPr>
        <w:t> </w:t>
      </w:r>
      <w:r>
        <w:rPr/>
        <w:t>Urbi.</w:t>
      </w:r>
    </w:p>
    <w:p>
      <w:pPr>
        <w:spacing w:before="136"/>
        <w:ind w:left="268" w:right="0" w:firstLine="0"/>
        <w:jc w:val="both"/>
        <w:rPr>
          <w:sz w:val="21"/>
        </w:rPr>
      </w:pPr>
      <w:r>
        <w:rPr>
          <w:w w:val="105"/>
          <w:sz w:val="21"/>
        </w:rPr>
        <w:t>Mapa 11. CU Urbi: Hacienda Lomas</w:t>
      </w:r>
    </w:p>
    <w:p>
      <w:pPr>
        <w:pStyle w:val="BodyText"/>
        <w:spacing w:before="6"/>
        <w:rPr>
          <w:sz w:val="21"/>
        </w:rPr>
      </w:pPr>
      <w:r>
        <w:rPr/>
        <w:drawing>
          <wp:anchor distT="0" distB="0" distL="0" distR="0" allowOverlap="1" layoutInCell="1" locked="0" behindDoc="0" simplePos="0" relativeHeight="11152">
            <wp:simplePos x="0" y="0"/>
            <wp:positionH relativeFrom="page">
              <wp:posOffset>1261491</wp:posOffset>
            </wp:positionH>
            <wp:positionV relativeFrom="paragraph">
              <wp:posOffset>182180</wp:posOffset>
            </wp:positionV>
            <wp:extent cx="5585945" cy="4243863"/>
            <wp:effectExtent l="0" t="0" r="0" b="0"/>
            <wp:wrapTopAndBottom/>
            <wp:docPr id="37" name="image131.jpeg" descr=""/>
            <wp:cNvGraphicFramePr>
              <a:graphicFrameLocks noChangeAspect="1"/>
            </wp:cNvGraphicFramePr>
            <a:graphic>
              <a:graphicData uri="http://schemas.openxmlformats.org/drawingml/2006/picture">
                <pic:pic>
                  <pic:nvPicPr>
                    <pic:cNvPr id="38" name="image131.jpeg"/>
                    <pic:cNvPicPr/>
                  </pic:nvPicPr>
                  <pic:blipFill>
                    <a:blip r:embed="rId206" cstate="print"/>
                    <a:stretch>
                      <a:fillRect/>
                    </a:stretch>
                  </pic:blipFill>
                  <pic:spPr>
                    <a:xfrm>
                      <a:off x="0" y="0"/>
                      <a:ext cx="5585945" cy="4243863"/>
                    </a:xfrm>
                    <a:prstGeom prst="rect">
                      <a:avLst/>
                    </a:prstGeom>
                  </pic:spPr>
                </pic:pic>
              </a:graphicData>
            </a:graphic>
          </wp:anchor>
        </w:drawing>
      </w:r>
    </w:p>
    <w:p>
      <w:pPr>
        <w:pStyle w:val="BodyText"/>
        <w:spacing w:before="9"/>
        <w:rPr>
          <w:sz w:val="29"/>
        </w:rPr>
      </w:pPr>
    </w:p>
    <w:p>
      <w:pPr>
        <w:spacing w:before="1"/>
        <w:ind w:left="268" w:right="0" w:firstLine="0"/>
        <w:jc w:val="both"/>
        <w:rPr>
          <w:sz w:val="21"/>
        </w:rPr>
      </w:pPr>
      <w:r>
        <w:rPr>
          <w:w w:val="105"/>
          <w:sz w:val="21"/>
        </w:rPr>
        <w:t>Fuente: Elaboración propia con base al estudio realizado.</w:t>
      </w:r>
    </w:p>
    <w:p>
      <w:pPr>
        <w:spacing w:after="0"/>
        <w:jc w:val="both"/>
        <w:rPr>
          <w:sz w:val="21"/>
        </w:rPr>
        <w:sectPr>
          <w:pgSz w:w="12240" w:h="15840"/>
          <w:pgMar w:header="730" w:footer="1066" w:top="1320" w:bottom="1260" w:left="1720" w:right="1180"/>
        </w:sectPr>
      </w:pPr>
    </w:p>
    <w:p>
      <w:pPr>
        <w:pStyle w:val="BodyText"/>
        <w:spacing w:before="1"/>
        <w:rPr>
          <w:sz w:val="18"/>
        </w:rPr>
      </w:pPr>
    </w:p>
    <w:p>
      <w:pPr>
        <w:spacing w:before="78"/>
        <w:ind w:left="268" w:right="0" w:firstLine="0"/>
        <w:jc w:val="left"/>
        <w:rPr>
          <w:sz w:val="21"/>
        </w:rPr>
      </w:pPr>
      <w:r>
        <w:rPr/>
        <w:pict>
          <v:line style="position:absolute;mso-position-horizontal-relative:page;mso-position-vertical-relative:paragraph;z-index:11248" from="93.199997pt,-19.611116pt" to="546.799997pt,-19.611116pt" stroked="true" strokeweight=".479981pt" strokecolor="#000000">
            <w10:wrap type="none"/>
          </v:line>
        </w:pict>
      </w:r>
      <w:r>
        <w:rPr>
          <w:w w:val="105"/>
          <w:sz w:val="21"/>
        </w:rPr>
        <w:t>Gráfica 12. Escenario de resultados por índices.</w:t>
      </w:r>
    </w:p>
    <w:p>
      <w:pPr>
        <w:pStyle w:val="BodyText"/>
        <w:spacing w:before="4"/>
        <w:rPr>
          <w:sz w:val="28"/>
        </w:rPr>
      </w:pPr>
    </w:p>
    <w:p>
      <w:pPr>
        <w:spacing w:before="83"/>
        <w:ind w:left="3133" w:right="0" w:firstLine="0"/>
        <w:jc w:val="left"/>
        <w:rPr>
          <w:b/>
          <w:sz w:val="15"/>
        </w:rPr>
      </w:pPr>
      <w:r>
        <w:rPr>
          <w:b/>
          <w:color w:val="595959"/>
          <w:sz w:val="15"/>
        </w:rPr>
        <w:t>Indicadores por Índices de Sustentabilidad</w:t>
      </w:r>
    </w:p>
    <w:p>
      <w:pPr>
        <w:pStyle w:val="BodyText"/>
        <w:spacing w:before="8"/>
        <w:rPr>
          <w:b/>
          <w:sz w:val="13"/>
        </w:rPr>
      </w:pPr>
    </w:p>
    <w:p>
      <w:pPr>
        <w:tabs>
          <w:tab w:pos="934" w:val="left" w:leader="none"/>
          <w:tab w:pos="1735" w:val="left" w:leader="none"/>
          <w:tab w:pos="2585" w:val="left" w:leader="none"/>
        </w:tabs>
        <w:spacing w:before="1"/>
        <w:ind w:left="301" w:right="0" w:firstLine="0"/>
        <w:jc w:val="center"/>
        <w:rPr>
          <w:sz w:val="9"/>
        </w:rPr>
      </w:pPr>
      <w:r>
        <w:rPr/>
        <w:pict>
          <v:group style="position:absolute;margin-left:203.042847pt;margin-top:12.152047pt;width:235.9pt;height:236.6pt;mso-position-horizontal-relative:page;mso-position-vertical-relative:paragraph;z-index:11224;mso-wrap-distance-left:0;mso-wrap-distance-right:0" coordorigin="4061,243" coordsize="4718,4732">
            <v:shape style="position:absolute;left:6169;top:2389;width:478;height:479" type="#_x0000_t75" stroked="false">
              <v:imagedata r:id="rId113" o:title=""/>
            </v:shape>
            <v:shape style="position:absolute;left:4061;top:278;width:4692;height:4696" type="#_x0000_t75" stroked="false">
              <v:imagedata r:id="rId207" o:title=""/>
            </v:shape>
            <v:line style="position:absolute" from="7815,2623" to="8739,2775" stroked="true" strokeweight="1.223655pt" strokecolor="#1ac31a"/>
            <v:line style="position:absolute" from="8739,2775" to="8728,2916" stroked="true" strokeweight="1.222562pt" strokecolor="#1ac31a"/>
            <v:line style="position:absolute" from="8728,2916" to="6403,2623" stroked="true" strokeweight="1.223667pt" strokecolor="#1ac31a"/>
            <v:line style="position:absolute" from="6403,2623" to="8674,3210" stroked="true" strokeweight="1.223614pt" strokecolor="#1ac31a"/>
            <v:line style="position:absolute" from="8674,3210" to="6403,2623" stroked="true" strokeweight="1.223614pt" strokecolor="#1ac31a"/>
            <v:line style="position:absolute" from="6403,2623" to="7489,3058" stroked="true" strokeweight="1.223528pt" strokecolor="#1ac31a"/>
            <v:line style="position:absolute" from="7489,3058" to="6403,2623" stroked="true" strokeweight="1.223528pt" strokecolor="#1ac31a"/>
            <v:line style="position:absolute" from="6403,2623" to="7305,3373" stroked="true" strokeweight="1.223223pt" strokecolor="#1ac31a"/>
            <v:line style="position:absolute" from="7305,3373" to="8109,4232" stroked="true" strokeweight="1.223083pt" strokecolor="#1ac31a"/>
            <v:line style="position:absolute" from="8109,4232" to="7207,3482" stroked="true" strokeweight="1.223223pt" strokecolor="#1ac31a"/>
            <v:line style="position:absolute" from="7207,3482" to="7153,3525" stroked="true" strokeweight="1.223243pt" strokecolor="#1ac31a"/>
            <v:line style="position:absolute" from="7153,3525" to="6403,2623" stroked="true" strokeweight="1.223016pt" strokecolor="#1ac31a"/>
            <v:line style="position:absolute" from="6403,2623" to="7663,4602" stroked="true" strokeweight="1.222881pt" strokecolor="#1ac31a"/>
            <v:line style="position:absolute" from="7663,4602" to="6968,3656" stroked="true" strokeweight="1.222952pt" strokecolor="#1ac31a"/>
            <v:line style="position:absolute" from="6968,3656" to="6609,3047" stroked="true" strokeweight="1.222846pt" strokecolor="#1ac31a"/>
            <v:line style="position:absolute" from="6609,3047" to="6403,2623" stroked="true" strokeweight="1.222772pt" strokecolor="#1ac31a"/>
            <v:shape style="position:absolute;left:7779;top:2587;width:76;height:76" type="#_x0000_t75" stroked="false">
              <v:imagedata r:id="rId115" o:title=""/>
            </v:shape>
            <v:shape style="position:absolute;left:8703;top:2739;width:76;height:76" type="#_x0000_t75" stroked="false">
              <v:imagedata r:id="rId115" o:title=""/>
            </v:shape>
            <v:shape style="position:absolute;left:8692;top:2881;width:76;height:76" type="#_x0000_t75" stroked="false">
              <v:imagedata r:id="rId115" o:title=""/>
            </v:shape>
            <v:shape style="position:absolute;left:8637;top:3174;width:76;height:76" type="#_x0000_t75" stroked="false">
              <v:imagedata r:id="rId115" o:title=""/>
            </v:shape>
            <v:shape style="position:absolute;left:7453;top:3022;width:76;height:76" type="#_x0000_t75" stroked="false">
              <v:imagedata r:id="rId115" o:title=""/>
            </v:shape>
            <v:shape style="position:absolute;left:8072;top:4197;width:76;height:76" type="#_x0000_t75" stroked="false">
              <v:imagedata r:id="rId115" o:title=""/>
            </v:shape>
            <v:shape style="position:absolute;left:7116;top:3337;width:228;height:228" type="#_x0000_t75" stroked="false">
              <v:imagedata r:id="rId208" o:title=""/>
            </v:shape>
            <v:shape style="position:absolute;left:7627;top:4567;width:76;height:76" type="#_x0000_t75" stroked="false">
              <v:imagedata r:id="rId115" o:title=""/>
            </v:shape>
            <v:shape style="position:absolute;left:6931;top:3620;width:76;height:76" type="#_x0000_t75" stroked="false">
              <v:imagedata r:id="rId115" o:title=""/>
            </v:shape>
            <v:shape style="position:absolute;left:6573;top:3011;width:76;height:76" type="#_x0000_t75" stroked="false">
              <v:imagedata r:id="rId115" o:title=""/>
            </v:shape>
            <v:shape style="position:absolute;left:6366;top:2587;width:76;height:76" type="#_x0000_t75" stroked="false">
              <v:imagedata r:id="rId209" o:title=""/>
            </v:shape>
            <v:line style="position:absolute" from="5403,4744" to="6403,2623" stroked="true" strokeweight="1.222761pt" strokecolor="#ffca00"/>
            <v:line style="position:absolute" from="6403,2623" to="5153,4602" stroked="true" strokeweight="1.222877pt" strokecolor="#ffca00"/>
            <v:line style="position:absolute" from="5153,4602" to="5164,4330" stroked="true" strokeweight="1.222557pt" strokecolor="#ffca00"/>
            <v:line style="position:absolute" from="5164,4330" to="5512,3710" stroked="true" strokeweight="1.222826pt" strokecolor="#ffca00"/>
            <v:line style="position:absolute" from="5512,3710" to="5283,3819" stroked="true" strokeweight="1.223475pt" strokecolor="#ffca00"/>
            <v:line style="position:absolute" from="5283,3819" to="6403,2623" stroked="true" strokeweight="1.223082pt" strokecolor="#ffca00"/>
            <v:line style="position:absolute" from="6403,2623" to="5327,3525" stroked="true" strokeweight="1.223218pt" strokecolor="#ffca00"/>
            <v:line style="position:absolute" from="5327,3525" to="5077,3591" stroked="true" strokeweight="1.223612pt" strokecolor="#ffca00"/>
            <v:line style="position:absolute" from="5077,3591" to="5218,3384" stroked="true" strokeweight="1.222915pt" strokecolor="#ffca00"/>
            <v:shape style="position:absolute;left:5366;top:4708;width:76;height:76" type="#_x0000_t75" stroked="false">
              <v:imagedata r:id="rId119" o:title=""/>
            </v:shape>
            <v:shape style="position:absolute;left:5116;top:4567;width:76;height:76" type="#_x0000_t75" stroked="false">
              <v:imagedata r:id="rId119" o:title=""/>
            </v:shape>
            <v:shape style="position:absolute;left:5127;top:4295;width:76;height:76" type="#_x0000_t75" stroked="false">
              <v:imagedata r:id="rId119" o:title=""/>
            </v:shape>
            <v:shape style="position:absolute;left:5475;top:3675;width:76;height:76" type="#_x0000_t75" stroked="false">
              <v:imagedata r:id="rId119" o:title=""/>
            </v:shape>
            <v:shape style="position:absolute;left:5247;top:3783;width:76;height:76" type="#_x0000_t75" stroked="false">
              <v:imagedata r:id="rId119" o:title=""/>
            </v:shape>
            <v:shape style="position:absolute;left:6366;top:2587;width:76;height:76" type="#_x0000_t75" stroked="false">
              <v:imagedata r:id="rId210" o:title=""/>
            </v:shape>
            <v:shape style="position:absolute;left:5290;top:3490;width:76;height:76" type="#_x0000_t75" stroked="false">
              <v:imagedata r:id="rId119" o:title=""/>
            </v:shape>
            <v:shape style="position:absolute;left:5040;top:3555;width:76;height:76" type="#_x0000_t75" stroked="false">
              <v:imagedata r:id="rId119" o:title=""/>
            </v:shape>
            <v:shape style="position:absolute;left:5138;top:3272;width:120;height:152" type="#_x0000_t75" stroked="false">
              <v:imagedata r:id="rId121" o:title=""/>
            </v:shape>
            <v:line style="position:absolute" from="5273,2329" to="5294,2264" stroked="true" strokeweight="1.222668pt" strokecolor="#927200"/>
            <v:line style="position:absolute" from="5294,2264" to="4229,1763" stroked="true" strokeweight="1.223480pt" strokecolor="#927200"/>
            <v:line style="position:absolute" from="4229,1763" to="5349,2122" stroked="true" strokeweight="1.223579pt" strokecolor="#927200"/>
            <v:line style="position:absolute" from="5349,2122" to="5381,2057" stroked="true" strokeweight="1.222781pt" strokecolor="#927200"/>
            <v:line style="position:absolute" from="5381,2057" to="6403,2623" stroked="true" strokeweight="1.22342pt" strokecolor="#927200"/>
            <v:line style="position:absolute" from="6403,2623" to="5457,1937" stroked="true" strokeweight="1.223296pt" strokecolor="#927200"/>
            <v:shape style="position:absolute;left:5336;top:1490;width:579;height:547" type="#_x0000_t75" stroked="false">
              <v:imagedata r:id="rId211" o:title=""/>
            </v:shape>
            <v:line style="position:absolute" from="5903,1567" to="6403,2623" stroked="true" strokeweight="1.222763pt" strokecolor="#927200"/>
            <v:line style="position:absolute" from="6403,2623" to="6044,1513" stroked="true" strokeweight="1.222662pt" strokecolor="#927200"/>
            <v:shape style="position:absolute;left:5236;top:2228;width:98;height:141" type="#_x0000_t75" stroked="false">
              <v:imagedata r:id="rId161" o:title=""/>
            </v:shape>
            <v:shape style="position:absolute;left:4193;top:1728;width:76;height:76" type="#_x0000_t75" stroked="false">
              <v:imagedata r:id="rId122" o:title=""/>
            </v:shape>
            <v:shape style="position:absolute;left:5649;top:1989;width:76;height:76" type="#_x0000_t75" stroked="false">
              <v:imagedata r:id="rId122" o:title=""/>
            </v:shape>
            <v:shape style="position:absolute;left:5312;top:1782;width:283;height:381" type="#_x0000_t75" stroked="false">
              <v:imagedata r:id="rId212" o:title=""/>
            </v:shape>
            <v:shape style="position:absolute;left:5312;top:1467;width:76;height:76" type="#_x0000_t75" stroked="false">
              <v:imagedata r:id="rId122" o:title=""/>
            </v:shape>
            <v:shape style="position:absolute;left:5475;top:1510;width:76;height:76" type="#_x0000_t75" stroked="false">
              <v:imagedata r:id="rId122" o:title=""/>
            </v:shape>
            <v:shape style="position:absolute;left:5823;top:1793;width:120;height:120" type="#_x0000_t75" stroked="false">
              <v:imagedata r:id="rId181" o:title=""/>
            </v:shape>
            <v:shape style="position:absolute;left:5801;top:1532;width:141;height:109" type="#_x0000_t75" stroked="false">
              <v:imagedata r:id="rId125" o:title=""/>
            </v:shape>
            <v:shape style="position:absolute;left:6366;top:2587;width:76;height:76" type="#_x0000_t75" stroked="false">
              <v:imagedata r:id="rId213" o:title=""/>
            </v:shape>
            <v:shape style="position:absolute;left:6007;top:1477;width:76;height:76" type="#_x0000_t75" stroked="false">
              <v:imagedata r:id="rId122" o:title=""/>
            </v:shape>
            <v:shape style="position:absolute;left:6189;top:243;width:131;height:2442" type="#_x0000_t202" filled="false" stroked="false">
              <v:textbox inset="0,0,0,0">
                <w:txbxContent>
                  <w:p>
                    <w:pPr>
                      <w:spacing w:line="101" w:lineRule="exact" w:before="0"/>
                      <w:ind w:left="80" w:right="0" w:firstLine="0"/>
                      <w:jc w:val="left"/>
                      <w:rPr>
                        <w:rFonts w:ascii="Calibri"/>
                        <w:sz w:val="9"/>
                      </w:rPr>
                    </w:pPr>
                    <w:r>
                      <w:rPr>
                        <w:rFonts w:ascii="Calibri"/>
                        <w:color w:val="595959"/>
                        <w:w w:val="108"/>
                        <w:sz w:val="9"/>
                      </w:rPr>
                      <w:t>1</w:t>
                    </w:r>
                  </w:p>
                  <w:p>
                    <w:pPr>
                      <w:spacing w:line="240" w:lineRule="auto" w:before="9"/>
                      <w:rPr>
                        <w:sz w:val="10"/>
                      </w:rPr>
                    </w:pPr>
                  </w:p>
                  <w:p>
                    <w:pPr>
                      <w:spacing w:before="0"/>
                      <w:ind w:left="6" w:right="-15" w:firstLine="0"/>
                      <w:jc w:val="left"/>
                      <w:rPr>
                        <w:rFonts w:ascii="Calibri"/>
                        <w:sz w:val="9"/>
                      </w:rPr>
                    </w:pPr>
                    <w:r>
                      <w:rPr>
                        <w:rFonts w:ascii="Calibri"/>
                        <w:color w:val="595959"/>
                        <w:w w:val="105"/>
                        <w:sz w:val="9"/>
                      </w:rPr>
                      <w:t>0.9</w:t>
                    </w:r>
                  </w:p>
                  <w:p>
                    <w:pPr>
                      <w:spacing w:line="240" w:lineRule="auto" w:before="9"/>
                      <w:rPr>
                        <w:sz w:val="10"/>
                      </w:rPr>
                    </w:pPr>
                  </w:p>
                  <w:p>
                    <w:pPr>
                      <w:spacing w:before="0"/>
                      <w:ind w:left="6" w:right="-15" w:firstLine="0"/>
                      <w:jc w:val="left"/>
                      <w:rPr>
                        <w:rFonts w:ascii="Calibri"/>
                        <w:sz w:val="9"/>
                      </w:rPr>
                    </w:pPr>
                    <w:r>
                      <w:rPr>
                        <w:rFonts w:ascii="Calibri"/>
                        <w:color w:val="595959"/>
                        <w:w w:val="105"/>
                        <w:sz w:val="9"/>
                      </w:rPr>
                      <w:t>0.8</w:t>
                    </w:r>
                  </w:p>
                  <w:p>
                    <w:pPr>
                      <w:spacing w:line="240" w:lineRule="auto" w:before="9"/>
                      <w:rPr>
                        <w:sz w:val="10"/>
                      </w:rPr>
                    </w:pPr>
                  </w:p>
                  <w:p>
                    <w:pPr>
                      <w:spacing w:before="0"/>
                      <w:ind w:left="6" w:right="-15" w:firstLine="0"/>
                      <w:jc w:val="left"/>
                      <w:rPr>
                        <w:rFonts w:ascii="Calibri"/>
                        <w:sz w:val="9"/>
                      </w:rPr>
                    </w:pPr>
                    <w:r>
                      <w:rPr>
                        <w:rFonts w:ascii="Calibri"/>
                        <w:color w:val="595959"/>
                        <w:w w:val="105"/>
                        <w:sz w:val="9"/>
                      </w:rPr>
                      <w:t>0.7</w:t>
                    </w:r>
                  </w:p>
                  <w:p>
                    <w:pPr>
                      <w:spacing w:line="240" w:lineRule="auto" w:before="9"/>
                      <w:rPr>
                        <w:sz w:val="10"/>
                      </w:rPr>
                    </w:pPr>
                  </w:p>
                  <w:p>
                    <w:pPr>
                      <w:spacing w:before="0"/>
                      <w:ind w:left="6" w:right="-15" w:firstLine="0"/>
                      <w:jc w:val="left"/>
                      <w:rPr>
                        <w:rFonts w:ascii="Calibri"/>
                        <w:sz w:val="9"/>
                      </w:rPr>
                    </w:pPr>
                    <w:r>
                      <w:rPr>
                        <w:rFonts w:ascii="Calibri"/>
                        <w:color w:val="595959"/>
                        <w:w w:val="105"/>
                        <w:sz w:val="9"/>
                      </w:rPr>
                      <w:t>0.6</w:t>
                    </w:r>
                  </w:p>
                  <w:p>
                    <w:pPr>
                      <w:spacing w:line="240" w:lineRule="auto" w:before="9"/>
                      <w:rPr>
                        <w:sz w:val="10"/>
                      </w:rPr>
                    </w:pPr>
                  </w:p>
                  <w:p>
                    <w:pPr>
                      <w:spacing w:before="0"/>
                      <w:ind w:left="6" w:right="-15" w:firstLine="0"/>
                      <w:jc w:val="left"/>
                      <w:rPr>
                        <w:rFonts w:ascii="Calibri"/>
                        <w:sz w:val="9"/>
                      </w:rPr>
                    </w:pPr>
                    <w:r>
                      <w:rPr>
                        <w:rFonts w:ascii="Calibri"/>
                        <w:color w:val="595959"/>
                        <w:w w:val="105"/>
                        <w:sz w:val="9"/>
                      </w:rPr>
                      <w:t>0.5</w:t>
                    </w:r>
                  </w:p>
                  <w:p>
                    <w:pPr>
                      <w:spacing w:line="240" w:lineRule="auto" w:before="9"/>
                      <w:rPr>
                        <w:sz w:val="10"/>
                      </w:rPr>
                    </w:pPr>
                  </w:p>
                  <w:p>
                    <w:pPr>
                      <w:spacing w:before="0"/>
                      <w:ind w:left="0" w:right="-15" w:firstLine="0"/>
                      <w:jc w:val="left"/>
                      <w:rPr>
                        <w:rFonts w:ascii="Calibri"/>
                        <w:sz w:val="9"/>
                      </w:rPr>
                    </w:pPr>
                    <w:r>
                      <w:rPr>
                        <w:rFonts w:ascii="Calibri"/>
                        <w:color w:val="595959"/>
                        <w:w w:val="110"/>
                        <w:sz w:val="9"/>
                      </w:rPr>
                      <w:t>0.4</w:t>
                    </w:r>
                  </w:p>
                  <w:p>
                    <w:pPr>
                      <w:spacing w:line="240" w:lineRule="auto" w:before="9"/>
                      <w:rPr>
                        <w:sz w:val="10"/>
                      </w:rPr>
                    </w:pPr>
                  </w:p>
                  <w:p>
                    <w:pPr>
                      <w:spacing w:before="0"/>
                      <w:ind w:left="6" w:right="-15" w:firstLine="0"/>
                      <w:jc w:val="left"/>
                      <w:rPr>
                        <w:rFonts w:ascii="Calibri"/>
                        <w:sz w:val="9"/>
                      </w:rPr>
                    </w:pPr>
                    <w:r>
                      <w:rPr>
                        <w:rFonts w:ascii="Calibri"/>
                        <w:color w:val="595959"/>
                        <w:w w:val="105"/>
                        <w:sz w:val="9"/>
                      </w:rPr>
                      <w:t>0.3</w:t>
                    </w:r>
                  </w:p>
                  <w:p>
                    <w:pPr>
                      <w:spacing w:line="240" w:lineRule="auto" w:before="9"/>
                      <w:rPr>
                        <w:sz w:val="10"/>
                      </w:rPr>
                    </w:pPr>
                  </w:p>
                  <w:p>
                    <w:pPr>
                      <w:spacing w:before="0"/>
                      <w:ind w:left="0" w:right="-15" w:firstLine="0"/>
                      <w:jc w:val="left"/>
                      <w:rPr>
                        <w:rFonts w:ascii="Calibri"/>
                        <w:sz w:val="9"/>
                      </w:rPr>
                    </w:pPr>
                    <w:r>
                      <w:rPr>
                        <w:rFonts w:ascii="Calibri"/>
                        <w:color w:val="595959"/>
                        <w:w w:val="110"/>
                        <w:sz w:val="9"/>
                      </w:rPr>
                      <w:t>0.2</w:t>
                    </w:r>
                  </w:p>
                  <w:p>
                    <w:pPr>
                      <w:spacing w:line="240" w:lineRule="auto" w:before="9"/>
                      <w:rPr>
                        <w:sz w:val="10"/>
                      </w:rPr>
                    </w:pPr>
                  </w:p>
                  <w:p>
                    <w:pPr>
                      <w:spacing w:before="0"/>
                      <w:ind w:left="6" w:right="-15" w:firstLine="0"/>
                      <w:jc w:val="left"/>
                      <w:rPr>
                        <w:rFonts w:ascii="Calibri"/>
                        <w:sz w:val="9"/>
                      </w:rPr>
                    </w:pPr>
                    <w:r>
                      <w:rPr>
                        <w:rFonts w:ascii="Calibri"/>
                        <w:color w:val="595959"/>
                        <w:w w:val="105"/>
                        <w:sz w:val="9"/>
                      </w:rPr>
                      <w:t>0.1</w:t>
                    </w:r>
                  </w:p>
                  <w:p>
                    <w:pPr>
                      <w:spacing w:line="240" w:lineRule="auto" w:before="9"/>
                      <w:rPr>
                        <w:sz w:val="10"/>
                      </w:rPr>
                    </w:pPr>
                  </w:p>
                  <w:p>
                    <w:pPr>
                      <w:spacing w:line="107" w:lineRule="exact" w:before="0"/>
                      <w:ind w:left="76" w:right="0" w:firstLine="0"/>
                      <w:jc w:val="left"/>
                      <w:rPr>
                        <w:rFonts w:ascii="Calibri"/>
                        <w:sz w:val="9"/>
                      </w:rPr>
                    </w:pPr>
                    <w:r>
                      <w:rPr>
                        <w:rFonts w:ascii="Calibri"/>
                        <w:color w:val="595959"/>
                        <w:w w:val="108"/>
                        <w:sz w:val="9"/>
                      </w:rPr>
                      <w:t>0</w:t>
                    </w:r>
                  </w:p>
                </w:txbxContent>
              </v:textbox>
              <w10:wrap type="none"/>
            </v:shape>
            <w10:wrap type="topAndBottom"/>
          </v:group>
        </w:pict>
      </w:r>
      <w:r>
        <w:rPr/>
        <w:pict>
          <v:group style="position:absolute;margin-left:247.824005pt;margin-top:.597751pt;width:11.7pt;height:3.3pt;mso-position-horizontal-relative:page;mso-position-vertical-relative:paragraph;z-index:11272" coordorigin="4956,12" coordsize="234,66">
            <v:line style="position:absolute" from="4969,42" to="5178,42" stroked="true" strokeweight="1.223684pt" strokecolor="#8448b0"/>
            <v:shape style="position:absolute;left:5044;top:17;width:55;height:55" coordorigin="5044,17" coordsize="55,55" path="m5087,17l5057,17,5044,30,5044,60,5057,72,5087,72,5099,60,5099,30,5087,17xe" filled="true" fillcolor="#6cacdd" stroked="false">
              <v:path arrowok="t"/>
              <v:fill type="solid"/>
            </v:shape>
            <v:shape style="position:absolute;left:5044;top:17;width:55;height:55" coordorigin="5044,17" coordsize="55,55" path="m5099,45l5099,60,5087,72,5072,72,5057,72,5044,60,5044,45,5044,30,5057,17,5072,17,5087,17,5099,30,5099,45xe" filled="false" stroked="true" strokeweight=".543609pt" strokecolor="#ff2600">
              <v:path arrowok="t"/>
            </v:shape>
            <w10:wrap type="none"/>
          </v:group>
        </w:pict>
      </w:r>
      <w:r>
        <w:rPr/>
        <w:pict>
          <v:group style="position:absolute;margin-left:279.445007pt;margin-top:.597751pt;width:11.7pt;height:3.3pt;mso-position-horizontal-relative:page;mso-position-vertical-relative:paragraph;z-index:-1146736" coordorigin="5589,12" coordsize="234,66">
            <v:line style="position:absolute" from="5601,42" to="5810,42" stroked="true" strokeweight="1.223684pt" strokecolor="#1ac31a"/>
            <v:shape style="position:absolute;left:5675;top:17;width:55;height:55" coordorigin="5675,17" coordsize="55,55" path="m5717,17l5687,17,5675,30,5675,60,5687,72,5717,72,5729,60,5729,30,5717,17xe" filled="true" fillcolor="#f2913f" stroked="false">
              <v:path arrowok="t"/>
              <v:fill type="solid"/>
            </v:shape>
            <v:shape style="position:absolute;left:5675;top:17;width:55;height:55" coordorigin="5675,17" coordsize="55,55" path="m5729,45l5729,60,5717,72,5702,72,5687,72,5675,60,5675,45,5675,30,5687,17,5702,17,5717,17,5729,30,5729,45xe" filled="false" stroked="true" strokeweight=".543609pt" strokecolor="#ff2600">
              <v:path arrowok="t"/>
            </v:shape>
            <w10:wrap type="none"/>
          </v:group>
        </w:pict>
      </w:r>
      <w:r>
        <w:rPr/>
        <w:pict>
          <v:group style="position:absolute;margin-left:319.491974pt;margin-top:.597751pt;width:11.7pt;height:3.3pt;mso-position-horizontal-relative:page;mso-position-vertical-relative:paragraph;z-index:-1146712" coordorigin="6390,12" coordsize="234,66">
            <v:line style="position:absolute" from="6402,42" to="6611,42" stroked="true" strokeweight="1.223684pt" strokecolor="#ffca00"/>
            <v:shape style="position:absolute;left:6479;top:17;width:55;height:55" coordorigin="6479,17" coordsize="55,55" path="m6521,17l6491,17,6479,30,6479,60,6491,72,6521,72,6533,60,6533,30,6521,17xe" filled="true" fillcolor="#b4b4b4" stroked="false">
              <v:path arrowok="t"/>
              <v:fill type="solid"/>
            </v:shape>
            <v:shape style="position:absolute;left:6479;top:17;width:55;height:55" coordorigin="6479,17" coordsize="55,55" path="m6533,45l6533,60,6521,72,6506,72,6491,72,6479,60,6479,45,6479,30,6491,17,6506,17,6521,17,6533,30,6533,45xe" filled="false" stroked="true" strokeweight=".543609pt" strokecolor="#ff2600">
              <v:path arrowok="t"/>
            </v:shape>
            <w10:wrap type="none"/>
          </v:group>
        </w:pict>
      </w:r>
      <w:r>
        <w:rPr/>
        <w:pict>
          <v:group style="position:absolute;margin-left:361.984955pt;margin-top:.597751pt;width:11.7pt;height:3.3pt;mso-position-horizontal-relative:page;mso-position-vertical-relative:paragraph;z-index:-1146688" coordorigin="7240,12" coordsize="234,66">
            <v:line style="position:absolute" from="7252,42" to="7461,42" stroked="true" strokeweight="1.223684pt" strokecolor="#927200"/>
            <v:shape style="position:absolute;left:7326;top:17;width:55;height:55" coordorigin="7326,17" coordsize="55,55" path="m7369,17l7339,17,7326,30,7326,60,7339,72,7369,72,7381,60,7381,30,7369,17xe" filled="true" fillcolor="#ffca00" stroked="false">
              <v:path arrowok="t"/>
              <v:fill type="solid"/>
            </v:shape>
            <v:shape style="position:absolute;left:7326;top:17;width:55;height:55" coordorigin="7326,17" coordsize="55,55" path="m7381,45l7381,60,7369,72,7354,72,7339,72,7326,60,7326,45,7326,30,7339,17,7354,17,7369,17,7381,30,7381,45xe" filled="false" stroked="true" strokeweight=".543609pt" strokecolor="#ff2600">
              <v:path arrowok="t"/>
            </v:shape>
            <w10:wrap type="none"/>
          </v:group>
        </w:pict>
      </w:r>
      <w:r>
        <w:rPr>
          <w:color w:val="595959"/>
          <w:w w:val="110"/>
          <w:sz w:val="9"/>
        </w:rPr>
        <w:t>Social</w:t>
        <w:tab/>
        <w:t>Ambiental</w:t>
        <w:tab/>
        <w:t>Económico</w:t>
        <w:tab/>
        <w:t>Territorial</w:t>
      </w:r>
    </w:p>
    <w:p>
      <w:pPr>
        <w:pStyle w:val="BodyText"/>
        <w:rPr>
          <w:sz w:val="20"/>
        </w:rPr>
      </w:pPr>
    </w:p>
    <w:p>
      <w:pPr>
        <w:pStyle w:val="BodyText"/>
        <w:rPr>
          <w:sz w:val="20"/>
        </w:rPr>
      </w:pPr>
    </w:p>
    <w:p>
      <w:pPr>
        <w:pStyle w:val="BodyText"/>
        <w:spacing w:before="6"/>
        <w:rPr>
          <w:sz w:val="22"/>
        </w:rPr>
      </w:pPr>
    </w:p>
    <w:p>
      <w:pPr>
        <w:spacing w:before="79"/>
        <w:ind w:left="268" w:right="0" w:firstLine="0"/>
        <w:jc w:val="left"/>
        <w:rPr>
          <w:sz w:val="21"/>
        </w:rPr>
      </w:pPr>
      <w:r>
        <w:rPr>
          <w:w w:val="105"/>
          <w:sz w:val="21"/>
        </w:rPr>
        <w:t>Fuente: Elaboración propia con base al estudio realizado.</w:t>
      </w:r>
    </w:p>
    <w:p>
      <w:pPr>
        <w:pStyle w:val="BodyText"/>
        <w:spacing w:before="2"/>
        <w:rPr>
          <w:sz w:val="21"/>
        </w:rPr>
      </w:pPr>
    </w:p>
    <w:p>
      <w:pPr>
        <w:pStyle w:val="BodyText"/>
        <w:ind w:left="268"/>
      </w:pPr>
      <w:r>
        <w:rPr/>
        <w:pict>
          <v:rect style="position:absolute;margin-left:351.421997pt;margin-top:88.819466pt;width:66.029300pt;height:16.0124pt;mso-position-horizontal-relative:page;mso-position-vertical-relative:paragraph;z-index:-1146664" filled="true" fillcolor="#ffff00" stroked="false">
            <v:fill type="solid"/>
            <w10:wrap type="none"/>
          </v:rect>
        </w:pict>
      </w:r>
      <w:r>
        <w:rPr/>
        <w:pict>
          <v:rect style="position:absolute;margin-left:351.421997pt;margin-top:118.843468pt;width:66.029300pt;height:16.0124pt;mso-position-horizontal-relative:page;mso-position-vertical-relative:paragraph;z-index:-1146640" filled="true" fillcolor="#ffff00" stroked="false">
            <v:fill type="solid"/>
            <w10:wrap type="none"/>
          </v:rect>
        </w:pict>
      </w:r>
      <w:r>
        <w:rPr/>
        <w:t>Tabla 29. Resultado de índices de sustentabilidad Urbi Hacienda Lomas.</w:t>
      </w:r>
    </w:p>
    <w:p>
      <w:pPr>
        <w:pStyle w:val="BodyText"/>
        <w:rPr>
          <w:sz w:val="20"/>
        </w:rPr>
      </w:pPr>
    </w:p>
    <w:p>
      <w:pPr>
        <w:pStyle w:val="BodyText"/>
        <w:spacing w:before="1"/>
        <w:rPr>
          <w:sz w:val="12"/>
        </w:rPr>
      </w:pPr>
    </w:p>
    <w:tbl>
      <w:tblPr>
        <w:tblW w:w="0" w:type="auto"/>
        <w:jc w:val="left"/>
        <w:tblInd w:w="11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82"/>
        <w:gridCol w:w="987"/>
        <w:gridCol w:w="1663"/>
        <w:gridCol w:w="1301"/>
      </w:tblGrid>
      <w:tr>
        <w:trPr>
          <w:trHeight w:val="851" w:hRule="exact"/>
        </w:trPr>
        <w:tc>
          <w:tcPr>
            <w:tcW w:w="3769" w:type="dxa"/>
            <w:gridSpan w:val="2"/>
            <w:shd w:val="clear" w:color="auto" w:fill="000000"/>
          </w:tcPr>
          <w:p>
            <w:pPr>
              <w:pStyle w:val="TableParagraph"/>
              <w:spacing w:line="261" w:lineRule="auto" w:before="115"/>
              <w:ind w:left="1097" w:right="18" w:firstLine="1113"/>
              <w:jc w:val="left"/>
              <w:rPr>
                <w:sz w:val="24"/>
              </w:rPr>
            </w:pPr>
            <w:r>
              <w:rPr>
                <w:color w:val="FFFFFF"/>
                <w:sz w:val="24"/>
              </w:rPr>
              <w:t>Urbi Hacienda Resultado de los Índices</w:t>
            </w:r>
          </w:p>
        </w:tc>
        <w:tc>
          <w:tcPr>
            <w:tcW w:w="2964" w:type="dxa"/>
            <w:gridSpan w:val="2"/>
            <w:shd w:val="clear" w:color="auto" w:fill="000000"/>
          </w:tcPr>
          <w:p>
            <w:pPr>
              <w:pStyle w:val="TableParagraph"/>
              <w:spacing w:before="115"/>
              <w:ind w:left="29"/>
              <w:jc w:val="left"/>
              <w:rPr>
                <w:sz w:val="24"/>
              </w:rPr>
            </w:pPr>
            <w:r>
              <w:rPr>
                <w:color w:val="FFFFFF"/>
                <w:sz w:val="24"/>
              </w:rPr>
              <w:t>Lomas</w:t>
            </w:r>
          </w:p>
          <w:p>
            <w:pPr>
              <w:pStyle w:val="TableParagraph"/>
              <w:spacing w:before="24"/>
              <w:ind w:left="10"/>
              <w:jc w:val="left"/>
              <w:rPr>
                <w:sz w:val="24"/>
              </w:rPr>
            </w:pPr>
            <w:r>
              <w:rPr>
                <w:color w:val="FFFFFF"/>
                <w:sz w:val="24"/>
              </w:rPr>
              <w:t>de sustentabilidad</w:t>
            </w:r>
          </w:p>
        </w:tc>
      </w:tr>
      <w:tr>
        <w:trPr>
          <w:trHeight w:val="280" w:hRule="exact"/>
        </w:trPr>
        <w:tc>
          <w:tcPr>
            <w:tcW w:w="2782" w:type="dxa"/>
            <w:tcBorders>
              <w:left w:val="single" w:sz="8" w:space="0" w:color="000000"/>
            </w:tcBorders>
          </w:tcPr>
          <w:p>
            <w:pPr/>
          </w:p>
        </w:tc>
        <w:tc>
          <w:tcPr>
            <w:tcW w:w="987" w:type="dxa"/>
          </w:tcPr>
          <w:p>
            <w:pPr>
              <w:pStyle w:val="TableParagraph"/>
              <w:spacing w:line="275" w:lineRule="exact"/>
              <w:ind w:left="489" w:right="38"/>
              <w:rPr>
                <w:rFonts w:ascii="Calibri"/>
                <w:sz w:val="24"/>
              </w:rPr>
            </w:pPr>
            <w:r>
              <w:rPr>
                <w:rFonts w:ascii="Calibri"/>
                <w:sz w:val="24"/>
              </w:rPr>
              <w:t>Real</w:t>
            </w:r>
          </w:p>
        </w:tc>
        <w:tc>
          <w:tcPr>
            <w:tcW w:w="1663" w:type="dxa"/>
          </w:tcPr>
          <w:p>
            <w:pPr>
              <w:pStyle w:val="TableParagraph"/>
              <w:spacing w:line="275" w:lineRule="exact"/>
              <w:ind w:left="562" w:right="164"/>
              <w:rPr>
                <w:rFonts w:ascii="Calibri"/>
                <w:sz w:val="24"/>
              </w:rPr>
            </w:pPr>
            <w:r>
              <w:rPr>
                <w:rFonts w:ascii="Calibri"/>
                <w:sz w:val="24"/>
              </w:rPr>
              <w:t>Deseable</w:t>
            </w:r>
          </w:p>
        </w:tc>
        <w:tc>
          <w:tcPr>
            <w:tcW w:w="1301" w:type="dxa"/>
            <w:tcBorders>
              <w:right w:val="single" w:sz="16" w:space="0" w:color="000000"/>
            </w:tcBorders>
          </w:tcPr>
          <w:p>
            <w:pPr>
              <w:pStyle w:val="TableParagraph"/>
              <w:spacing w:line="275" w:lineRule="exact"/>
              <w:ind w:left="279" w:right="221"/>
              <w:rPr>
                <w:rFonts w:ascii="Calibri" w:hAnsi="Calibri"/>
                <w:sz w:val="24"/>
              </w:rPr>
            </w:pPr>
            <w:r>
              <w:rPr>
                <w:rFonts w:ascii="Calibri" w:hAnsi="Calibri"/>
                <w:sz w:val="24"/>
              </w:rPr>
              <w:t>Óptimo</w:t>
            </w:r>
          </w:p>
        </w:tc>
      </w:tr>
      <w:tr>
        <w:trPr>
          <w:trHeight w:val="320" w:hRule="exact"/>
        </w:trPr>
        <w:tc>
          <w:tcPr>
            <w:tcW w:w="2782" w:type="dxa"/>
            <w:tcBorders>
              <w:left w:val="single" w:sz="8" w:space="0" w:color="000000"/>
            </w:tcBorders>
          </w:tcPr>
          <w:p>
            <w:pPr>
              <w:pStyle w:val="TableParagraph"/>
              <w:spacing w:before="5"/>
              <w:ind w:left="40"/>
              <w:jc w:val="left"/>
              <w:rPr>
                <w:sz w:val="24"/>
              </w:rPr>
            </w:pPr>
            <w:r>
              <w:rPr>
                <w:sz w:val="24"/>
              </w:rPr>
              <w:t>Índice Social</w:t>
            </w:r>
          </w:p>
        </w:tc>
        <w:tc>
          <w:tcPr>
            <w:tcW w:w="987" w:type="dxa"/>
          </w:tcPr>
          <w:p>
            <w:pPr>
              <w:pStyle w:val="TableParagraph"/>
              <w:tabs>
                <w:tab w:pos="489" w:val="left" w:leader="none"/>
                <w:tab w:pos="1369" w:val="left" w:leader="none"/>
              </w:tabs>
              <w:spacing w:before="1"/>
              <w:ind w:left="48" w:right="-383"/>
              <w:rPr>
                <w:rFonts w:ascii="Calibri"/>
                <w:sz w:val="24"/>
              </w:rPr>
            </w:pPr>
            <w:r>
              <w:rPr>
                <w:rFonts w:ascii="Times New Roman"/>
                <w:w w:val="99"/>
                <w:sz w:val="24"/>
                <w:shd w:fill="F79646" w:color="auto" w:val="clear"/>
              </w:rPr>
              <w:t> </w:t>
            </w:r>
            <w:r>
              <w:rPr>
                <w:rFonts w:ascii="Times New Roman"/>
                <w:sz w:val="24"/>
                <w:shd w:fill="F79646" w:color="auto" w:val="clear"/>
              </w:rPr>
              <w:tab/>
            </w:r>
            <w:r>
              <w:rPr>
                <w:rFonts w:ascii="Calibri"/>
                <w:sz w:val="24"/>
                <w:shd w:fill="F79646" w:color="auto" w:val="clear"/>
              </w:rPr>
              <w:t>11.6</w:t>
              <w:tab/>
            </w:r>
          </w:p>
        </w:tc>
        <w:tc>
          <w:tcPr>
            <w:tcW w:w="1663" w:type="dxa"/>
          </w:tcPr>
          <w:p>
            <w:pPr>
              <w:pStyle w:val="TableParagraph"/>
              <w:spacing w:before="1"/>
              <w:ind w:left="531" w:right="164"/>
              <w:rPr>
                <w:rFonts w:ascii="Calibri"/>
                <w:sz w:val="24"/>
              </w:rPr>
            </w:pPr>
            <w:r>
              <w:rPr>
                <w:rFonts w:ascii="Calibri"/>
                <w:sz w:val="24"/>
              </w:rPr>
              <w:t>11.4</w:t>
            </w:r>
          </w:p>
        </w:tc>
        <w:tc>
          <w:tcPr>
            <w:tcW w:w="1301" w:type="dxa"/>
            <w:tcBorders>
              <w:right w:val="single" w:sz="16" w:space="0" w:color="000000"/>
            </w:tcBorders>
            <w:shd w:val="clear" w:color="auto" w:fill="67ED4D"/>
          </w:tcPr>
          <w:p>
            <w:pPr>
              <w:pStyle w:val="TableParagraph"/>
              <w:spacing w:before="1"/>
              <w:ind w:left="264" w:right="221"/>
              <w:rPr>
                <w:rFonts w:ascii="Calibri"/>
                <w:sz w:val="24"/>
              </w:rPr>
            </w:pPr>
            <w:r>
              <w:rPr>
                <w:rFonts w:ascii="Calibri"/>
                <w:sz w:val="24"/>
              </w:rPr>
              <w:t>15</w:t>
            </w:r>
          </w:p>
        </w:tc>
      </w:tr>
      <w:tr>
        <w:trPr>
          <w:trHeight w:val="280" w:hRule="exact"/>
        </w:trPr>
        <w:tc>
          <w:tcPr>
            <w:tcW w:w="6733" w:type="dxa"/>
            <w:gridSpan w:val="4"/>
            <w:tcBorders>
              <w:left w:val="single" w:sz="8" w:space="0" w:color="000000"/>
              <w:right w:val="single" w:sz="16" w:space="0" w:color="000000"/>
            </w:tcBorders>
          </w:tcPr>
          <w:p>
            <w:pPr/>
          </w:p>
        </w:tc>
      </w:tr>
      <w:tr>
        <w:trPr>
          <w:trHeight w:val="320" w:hRule="exact"/>
        </w:trPr>
        <w:tc>
          <w:tcPr>
            <w:tcW w:w="2782" w:type="dxa"/>
            <w:tcBorders>
              <w:left w:val="single" w:sz="8" w:space="0" w:color="000000"/>
            </w:tcBorders>
          </w:tcPr>
          <w:p>
            <w:pPr>
              <w:pStyle w:val="TableParagraph"/>
              <w:spacing w:before="5"/>
              <w:ind w:left="40"/>
              <w:jc w:val="left"/>
              <w:rPr>
                <w:sz w:val="24"/>
              </w:rPr>
            </w:pPr>
            <w:r>
              <w:rPr>
                <w:sz w:val="24"/>
              </w:rPr>
              <w:t>Índice Ambiental</w:t>
            </w:r>
          </w:p>
        </w:tc>
        <w:tc>
          <w:tcPr>
            <w:tcW w:w="987" w:type="dxa"/>
          </w:tcPr>
          <w:p>
            <w:pPr>
              <w:pStyle w:val="TableParagraph"/>
              <w:tabs>
                <w:tab w:pos="549" w:val="left" w:leader="none"/>
                <w:tab w:pos="1369" w:val="left" w:leader="none"/>
              </w:tabs>
              <w:spacing w:before="1"/>
              <w:ind w:left="48" w:right="-383"/>
              <w:rPr>
                <w:rFonts w:ascii="Calibri"/>
                <w:sz w:val="24"/>
              </w:rPr>
            </w:pPr>
            <w:r>
              <w:rPr>
                <w:rFonts w:ascii="Times New Roman"/>
                <w:w w:val="99"/>
                <w:sz w:val="24"/>
                <w:shd w:fill="F79646" w:color="auto" w:val="clear"/>
              </w:rPr>
              <w:t> </w:t>
            </w:r>
            <w:r>
              <w:rPr>
                <w:rFonts w:ascii="Times New Roman"/>
                <w:sz w:val="24"/>
                <w:shd w:fill="F79646" w:color="auto" w:val="clear"/>
              </w:rPr>
              <w:tab/>
            </w:r>
            <w:r>
              <w:rPr>
                <w:rFonts w:ascii="Calibri"/>
                <w:sz w:val="24"/>
                <w:shd w:fill="F79646" w:color="auto" w:val="clear"/>
              </w:rPr>
              <w:t>8.3</w:t>
              <w:tab/>
            </w:r>
          </w:p>
        </w:tc>
        <w:tc>
          <w:tcPr>
            <w:tcW w:w="1663" w:type="dxa"/>
          </w:tcPr>
          <w:p>
            <w:pPr>
              <w:pStyle w:val="TableParagraph"/>
              <w:spacing w:before="1"/>
              <w:ind w:left="531" w:right="164"/>
              <w:rPr>
                <w:rFonts w:ascii="Calibri"/>
                <w:sz w:val="24"/>
              </w:rPr>
            </w:pPr>
            <w:r>
              <w:rPr>
                <w:rFonts w:ascii="Calibri"/>
                <w:sz w:val="24"/>
              </w:rPr>
              <w:t>18.3</w:t>
            </w:r>
          </w:p>
        </w:tc>
        <w:tc>
          <w:tcPr>
            <w:tcW w:w="1301" w:type="dxa"/>
            <w:tcBorders>
              <w:right w:val="single" w:sz="16" w:space="0" w:color="000000"/>
            </w:tcBorders>
            <w:shd w:val="clear" w:color="auto" w:fill="67ED4D"/>
          </w:tcPr>
          <w:p>
            <w:pPr>
              <w:pStyle w:val="TableParagraph"/>
              <w:spacing w:before="1"/>
              <w:ind w:left="264" w:right="221"/>
              <w:rPr>
                <w:rFonts w:ascii="Calibri"/>
                <w:sz w:val="24"/>
              </w:rPr>
            </w:pPr>
            <w:r>
              <w:rPr>
                <w:rFonts w:ascii="Calibri"/>
                <w:sz w:val="24"/>
              </w:rPr>
              <w:t>24</w:t>
            </w:r>
          </w:p>
        </w:tc>
      </w:tr>
      <w:tr>
        <w:trPr>
          <w:trHeight w:val="280" w:hRule="exact"/>
        </w:trPr>
        <w:tc>
          <w:tcPr>
            <w:tcW w:w="6733" w:type="dxa"/>
            <w:gridSpan w:val="4"/>
            <w:tcBorders>
              <w:left w:val="single" w:sz="8" w:space="0" w:color="000000"/>
              <w:right w:val="single" w:sz="16" w:space="0" w:color="000000"/>
            </w:tcBorders>
          </w:tcPr>
          <w:p>
            <w:pPr/>
          </w:p>
        </w:tc>
      </w:tr>
      <w:tr>
        <w:trPr>
          <w:trHeight w:val="320" w:hRule="exact"/>
        </w:trPr>
        <w:tc>
          <w:tcPr>
            <w:tcW w:w="2782" w:type="dxa"/>
            <w:tcBorders>
              <w:left w:val="single" w:sz="8" w:space="0" w:color="000000"/>
            </w:tcBorders>
          </w:tcPr>
          <w:p>
            <w:pPr>
              <w:pStyle w:val="TableParagraph"/>
              <w:spacing w:before="5"/>
              <w:ind w:left="40"/>
              <w:jc w:val="left"/>
              <w:rPr>
                <w:sz w:val="24"/>
              </w:rPr>
            </w:pPr>
            <w:r>
              <w:rPr>
                <w:sz w:val="24"/>
              </w:rPr>
              <w:t>Índice Económico</w:t>
            </w:r>
          </w:p>
        </w:tc>
        <w:tc>
          <w:tcPr>
            <w:tcW w:w="987" w:type="dxa"/>
          </w:tcPr>
          <w:p>
            <w:pPr>
              <w:pStyle w:val="TableParagraph"/>
              <w:tabs>
                <w:tab w:pos="549" w:val="left" w:leader="none"/>
                <w:tab w:pos="1369" w:val="left" w:leader="none"/>
              </w:tabs>
              <w:spacing w:before="1"/>
              <w:ind w:left="48" w:right="-383"/>
              <w:rPr>
                <w:rFonts w:ascii="Calibri"/>
                <w:sz w:val="24"/>
              </w:rPr>
            </w:pPr>
            <w:r>
              <w:rPr>
                <w:rFonts w:ascii="Times New Roman"/>
                <w:w w:val="99"/>
                <w:sz w:val="24"/>
                <w:shd w:fill="F79646" w:color="auto" w:val="clear"/>
              </w:rPr>
              <w:t> </w:t>
            </w:r>
            <w:r>
              <w:rPr>
                <w:rFonts w:ascii="Times New Roman"/>
                <w:sz w:val="24"/>
                <w:shd w:fill="F79646" w:color="auto" w:val="clear"/>
              </w:rPr>
              <w:tab/>
            </w:r>
            <w:r>
              <w:rPr>
                <w:rFonts w:ascii="Calibri"/>
                <w:sz w:val="24"/>
                <w:shd w:fill="F79646" w:color="auto" w:val="clear"/>
              </w:rPr>
              <w:t>6.7</w:t>
              <w:tab/>
            </w:r>
          </w:p>
        </w:tc>
        <w:tc>
          <w:tcPr>
            <w:tcW w:w="1663" w:type="dxa"/>
          </w:tcPr>
          <w:p>
            <w:pPr>
              <w:pStyle w:val="TableParagraph"/>
              <w:spacing w:before="1"/>
              <w:ind w:left="383"/>
              <w:rPr>
                <w:rFonts w:ascii="Calibri"/>
                <w:sz w:val="24"/>
              </w:rPr>
            </w:pPr>
            <w:r>
              <w:rPr>
                <w:rFonts w:ascii="Calibri"/>
                <w:w w:val="99"/>
                <w:sz w:val="24"/>
              </w:rPr>
              <w:t>9</w:t>
            </w:r>
          </w:p>
        </w:tc>
        <w:tc>
          <w:tcPr>
            <w:tcW w:w="1301" w:type="dxa"/>
            <w:tcBorders>
              <w:right w:val="single" w:sz="16" w:space="0" w:color="000000"/>
            </w:tcBorders>
            <w:shd w:val="clear" w:color="auto" w:fill="67ED4D"/>
          </w:tcPr>
          <w:p>
            <w:pPr>
              <w:pStyle w:val="TableParagraph"/>
              <w:spacing w:before="1"/>
              <w:ind w:left="264" w:right="221"/>
              <w:rPr>
                <w:rFonts w:ascii="Calibri"/>
                <w:sz w:val="24"/>
              </w:rPr>
            </w:pPr>
            <w:r>
              <w:rPr>
                <w:rFonts w:ascii="Calibri"/>
                <w:sz w:val="24"/>
              </w:rPr>
              <w:t>11</w:t>
            </w:r>
          </w:p>
        </w:tc>
      </w:tr>
      <w:tr>
        <w:trPr>
          <w:trHeight w:val="1201" w:hRule="exact"/>
        </w:trPr>
        <w:tc>
          <w:tcPr>
            <w:tcW w:w="2782" w:type="dxa"/>
            <w:tcBorders>
              <w:left w:val="single" w:sz="8" w:space="0" w:color="000000"/>
              <w:bottom w:val="single" w:sz="16" w:space="0" w:color="000000"/>
            </w:tcBorders>
          </w:tcPr>
          <w:p>
            <w:pPr>
              <w:pStyle w:val="TableParagraph"/>
              <w:spacing w:before="9"/>
              <w:jc w:val="left"/>
              <w:rPr>
                <w:sz w:val="24"/>
              </w:rPr>
            </w:pPr>
          </w:p>
          <w:p>
            <w:pPr>
              <w:pStyle w:val="TableParagraph"/>
              <w:ind w:left="40"/>
              <w:jc w:val="left"/>
              <w:rPr>
                <w:sz w:val="24"/>
              </w:rPr>
            </w:pPr>
            <w:r>
              <w:rPr>
                <w:sz w:val="24"/>
              </w:rPr>
              <w:t>Índice Territorio</w:t>
            </w:r>
          </w:p>
          <w:p>
            <w:pPr>
              <w:pStyle w:val="TableParagraph"/>
              <w:spacing w:before="2"/>
              <w:jc w:val="left"/>
              <w:rPr>
                <w:sz w:val="28"/>
              </w:rPr>
            </w:pPr>
          </w:p>
          <w:p>
            <w:pPr>
              <w:pStyle w:val="TableParagraph"/>
              <w:ind w:left="40"/>
              <w:jc w:val="left"/>
              <w:rPr>
                <w:sz w:val="24"/>
              </w:rPr>
            </w:pPr>
            <w:r>
              <w:rPr>
                <w:sz w:val="24"/>
              </w:rPr>
              <w:t>Índice de Sustentabilidad</w:t>
            </w:r>
          </w:p>
        </w:tc>
        <w:tc>
          <w:tcPr>
            <w:tcW w:w="987" w:type="dxa"/>
            <w:tcBorders>
              <w:bottom w:val="single" w:sz="16" w:space="0" w:color="000000"/>
            </w:tcBorders>
          </w:tcPr>
          <w:p>
            <w:pPr>
              <w:pStyle w:val="TableParagraph"/>
              <w:spacing w:before="5"/>
              <w:jc w:val="left"/>
              <w:rPr>
                <w:sz w:val="24"/>
              </w:rPr>
            </w:pPr>
          </w:p>
          <w:p>
            <w:pPr>
              <w:pStyle w:val="TableParagraph"/>
              <w:tabs>
                <w:tab w:pos="489" w:val="left" w:leader="none"/>
                <w:tab w:pos="1349" w:val="left" w:leader="none"/>
              </w:tabs>
              <w:spacing w:before="1"/>
              <w:ind w:left="48" w:right="-363"/>
              <w:jc w:val="left"/>
              <w:rPr>
                <w:rFonts w:ascii="Calibri"/>
                <w:sz w:val="24"/>
              </w:rPr>
            </w:pPr>
            <w:r>
              <w:rPr>
                <w:rFonts w:ascii="Times New Roman"/>
                <w:w w:val="99"/>
                <w:sz w:val="24"/>
                <w:shd w:fill="F79646" w:color="auto" w:val="clear"/>
              </w:rPr>
              <w:t> </w:t>
            </w:r>
            <w:r>
              <w:rPr>
                <w:rFonts w:ascii="Times New Roman"/>
                <w:sz w:val="24"/>
                <w:shd w:fill="F79646" w:color="auto" w:val="clear"/>
              </w:rPr>
              <w:tab/>
            </w:r>
            <w:r>
              <w:rPr>
                <w:rFonts w:ascii="Calibri"/>
                <w:sz w:val="24"/>
                <w:shd w:fill="F79646" w:color="auto" w:val="clear"/>
              </w:rPr>
              <w:t>7.96</w:t>
              <w:tab/>
            </w:r>
          </w:p>
          <w:p>
            <w:pPr>
              <w:pStyle w:val="TableParagraph"/>
              <w:spacing w:before="8"/>
              <w:jc w:val="left"/>
              <w:rPr>
                <w:sz w:val="26"/>
              </w:rPr>
            </w:pPr>
          </w:p>
          <w:p>
            <w:pPr>
              <w:pStyle w:val="TableParagraph"/>
              <w:tabs>
                <w:tab w:pos="429" w:val="left" w:leader="none"/>
                <w:tab w:pos="1349" w:val="left" w:leader="none"/>
              </w:tabs>
              <w:ind w:left="48" w:right="-363"/>
              <w:jc w:val="left"/>
              <w:rPr>
                <w:rFonts w:ascii="Calibri"/>
                <w:sz w:val="24"/>
              </w:rPr>
            </w:pPr>
            <w:r>
              <w:rPr>
                <w:rFonts w:ascii="Times New Roman"/>
                <w:w w:val="99"/>
                <w:sz w:val="24"/>
                <w:shd w:fill="F79646" w:color="auto" w:val="clear"/>
              </w:rPr>
              <w:t> </w:t>
            </w:r>
            <w:r>
              <w:rPr>
                <w:rFonts w:ascii="Times New Roman"/>
                <w:sz w:val="24"/>
                <w:shd w:fill="F79646" w:color="auto" w:val="clear"/>
              </w:rPr>
              <w:tab/>
            </w:r>
            <w:r>
              <w:rPr>
                <w:rFonts w:ascii="Calibri"/>
                <w:sz w:val="24"/>
                <w:shd w:fill="F79646" w:color="auto" w:val="clear"/>
              </w:rPr>
              <w:t>34.56</w:t>
              <w:tab/>
            </w:r>
          </w:p>
        </w:tc>
        <w:tc>
          <w:tcPr>
            <w:tcW w:w="1663" w:type="dxa"/>
            <w:tcBorders>
              <w:bottom w:val="single" w:sz="16" w:space="0" w:color="000000"/>
            </w:tcBorders>
          </w:tcPr>
          <w:p>
            <w:pPr>
              <w:pStyle w:val="TableParagraph"/>
              <w:spacing w:before="5"/>
              <w:jc w:val="left"/>
              <w:rPr>
                <w:sz w:val="24"/>
              </w:rPr>
            </w:pPr>
          </w:p>
          <w:p>
            <w:pPr>
              <w:pStyle w:val="TableParagraph"/>
              <w:tabs>
                <w:tab w:pos="742" w:val="left" w:leader="none"/>
                <w:tab w:pos="1682" w:val="left" w:leader="none"/>
              </w:tabs>
              <w:spacing w:before="1"/>
              <w:ind w:left="362" w:right="-21"/>
              <w:jc w:val="left"/>
              <w:rPr>
                <w:rFonts w:ascii="Calibri"/>
                <w:sz w:val="24"/>
              </w:rPr>
            </w:pPr>
            <w:r>
              <w:rPr>
                <w:rFonts w:ascii="Times New Roman"/>
                <w:w w:val="99"/>
                <w:sz w:val="24"/>
                <w:shd w:fill="FFFF00" w:color="auto" w:val="clear"/>
              </w:rPr>
              <w:t> </w:t>
            </w:r>
            <w:r>
              <w:rPr>
                <w:rFonts w:ascii="Times New Roman"/>
                <w:sz w:val="24"/>
                <w:shd w:fill="FFFF00" w:color="auto" w:val="clear"/>
              </w:rPr>
              <w:tab/>
            </w:r>
            <w:r>
              <w:rPr>
                <w:rFonts w:ascii="Calibri"/>
                <w:sz w:val="24"/>
                <w:shd w:fill="FFFF00" w:color="auto" w:val="clear"/>
              </w:rPr>
              <w:t>12.66</w:t>
              <w:tab/>
            </w:r>
          </w:p>
          <w:p>
            <w:pPr>
              <w:pStyle w:val="TableParagraph"/>
              <w:spacing w:before="8"/>
              <w:jc w:val="left"/>
              <w:rPr>
                <w:sz w:val="26"/>
              </w:rPr>
            </w:pPr>
          </w:p>
          <w:p>
            <w:pPr>
              <w:pStyle w:val="TableParagraph"/>
              <w:tabs>
                <w:tab w:pos="742" w:val="left" w:leader="none"/>
                <w:tab w:pos="1682" w:val="left" w:leader="none"/>
              </w:tabs>
              <w:ind w:left="362" w:right="-21"/>
              <w:jc w:val="left"/>
              <w:rPr>
                <w:rFonts w:ascii="Calibri"/>
                <w:sz w:val="24"/>
              </w:rPr>
            </w:pPr>
            <w:r>
              <w:rPr>
                <w:rFonts w:ascii="Times New Roman"/>
                <w:w w:val="99"/>
                <w:sz w:val="24"/>
                <w:shd w:fill="FFFF00" w:color="auto" w:val="clear"/>
              </w:rPr>
              <w:t> </w:t>
            </w:r>
            <w:r>
              <w:rPr>
                <w:rFonts w:ascii="Times New Roman"/>
                <w:sz w:val="24"/>
                <w:shd w:fill="FFFF00" w:color="auto" w:val="clear"/>
              </w:rPr>
              <w:tab/>
            </w:r>
            <w:r>
              <w:rPr>
                <w:rFonts w:ascii="Calibri"/>
                <w:sz w:val="24"/>
                <w:shd w:fill="FFFF00" w:color="auto" w:val="clear"/>
              </w:rPr>
              <w:t>51.36</w:t>
              <w:tab/>
            </w:r>
          </w:p>
        </w:tc>
        <w:tc>
          <w:tcPr>
            <w:tcW w:w="1301" w:type="dxa"/>
            <w:tcBorders>
              <w:bottom w:val="single" w:sz="16" w:space="0" w:color="000000"/>
              <w:right w:val="single" w:sz="16" w:space="0" w:color="000000"/>
            </w:tcBorders>
          </w:tcPr>
          <w:p>
            <w:pPr>
              <w:pStyle w:val="TableParagraph"/>
              <w:spacing w:before="5"/>
              <w:jc w:val="left"/>
              <w:rPr>
                <w:sz w:val="24"/>
              </w:rPr>
            </w:pPr>
          </w:p>
          <w:p>
            <w:pPr>
              <w:pStyle w:val="TableParagraph"/>
              <w:spacing w:before="1"/>
              <w:ind w:left="264" w:right="221"/>
              <w:rPr>
                <w:rFonts w:ascii="Calibri"/>
                <w:sz w:val="24"/>
              </w:rPr>
            </w:pPr>
            <w:r>
              <w:rPr>
                <w:rFonts w:ascii="Calibri"/>
                <w:sz w:val="24"/>
              </w:rPr>
              <w:t>17</w:t>
            </w:r>
          </w:p>
          <w:p>
            <w:pPr>
              <w:pStyle w:val="TableParagraph"/>
              <w:spacing w:before="8"/>
              <w:jc w:val="left"/>
              <w:rPr>
                <w:sz w:val="26"/>
              </w:rPr>
            </w:pPr>
          </w:p>
          <w:p>
            <w:pPr>
              <w:pStyle w:val="TableParagraph"/>
              <w:ind w:left="264" w:right="221"/>
              <w:rPr>
                <w:rFonts w:ascii="Calibri"/>
                <w:sz w:val="24"/>
              </w:rPr>
            </w:pPr>
            <w:r>
              <w:rPr>
                <w:rFonts w:ascii="Calibri"/>
                <w:sz w:val="24"/>
              </w:rPr>
              <w:t>67</w:t>
            </w:r>
          </w:p>
        </w:tc>
      </w:tr>
    </w:tbl>
    <w:p>
      <w:pPr>
        <w:pStyle w:val="BodyText"/>
        <w:spacing w:before="3"/>
        <w:rPr>
          <w:sz w:val="35"/>
        </w:rPr>
      </w:pPr>
    </w:p>
    <w:p>
      <w:pPr>
        <w:spacing w:before="0"/>
        <w:ind w:left="513" w:right="0" w:firstLine="0"/>
        <w:jc w:val="left"/>
        <w:rPr>
          <w:sz w:val="21"/>
        </w:rPr>
      </w:pPr>
      <w:r>
        <w:rPr/>
        <w:pict>
          <v:rect style="position:absolute;margin-left:351.421997pt;margin-top:-97.340523pt;width:66.029300pt;height:16.0124pt;mso-position-horizontal-relative:page;mso-position-vertical-relative:paragraph;z-index:-1146616" filled="true" fillcolor="#ffff00" stroked="false">
            <v:fill type="solid"/>
            <w10:wrap type="none"/>
          </v:rect>
        </w:pict>
      </w:r>
      <w:r>
        <w:rPr/>
        <w:pict>
          <v:rect style="position:absolute;margin-left:416.450989pt;margin-top:-67.317528pt;width:66.029300pt;height:16.0124pt;mso-position-horizontal-relative:page;mso-position-vertical-relative:paragraph;z-index:-1146592" filled="true" fillcolor="#67ed4d" stroked="false">
            <v:fill type="solid"/>
            <w10:wrap type="none"/>
          </v:rect>
        </w:pict>
      </w:r>
      <w:r>
        <w:rPr/>
        <w:pict>
          <v:rect style="position:absolute;margin-left:416.450989pt;margin-top:-37.294224pt;width:66.029300pt;height:17.0131pt;mso-position-horizontal-relative:page;mso-position-vertical-relative:paragraph;z-index:-1146568" filled="true" fillcolor="#67ed4d"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spacing w:before="78"/>
        <w:ind w:left="268" w:right="0" w:firstLine="0"/>
        <w:jc w:val="left"/>
        <w:rPr>
          <w:sz w:val="21"/>
        </w:rPr>
      </w:pPr>
      <w:r>
        <w:rPr/>
        <w:pict>
          <v:line style="position:absolute;mso-position-horizontal-relative:page;mso-position-vertical-relative:paragraph;z-index:11488" from="93.199997pt,-66.891083pt" to="546.799997pt,-66.891083pt" stroked="true" strokeweight=".479981pt" strokecolor="#000000">
            <w10:wrap type="none"/>
          </v:line>
        </w:pict>
      </w:r>
      <w:r>
        <w:rPr>
          <w:w w:val="105"/>
          <w:sz w:val="21"/>
        </w:rPr>
        <w:t>Gráfica 13. Escenario de resultados por índices.</w:t>
      </w:r>
    </w:p>
    <w:p>
      <w:pPr>
        <w:pStyle w:val="BodyText"/>
        <w:spacing w:before="4"/>
        <w:rPr>
          <w:sz w:val="18"/>
        </w:rPr>
      </w:pPr>
    </w:p>
    <w:p>
      <w:pPr>
        <w:spacing w:before="0"/>
        <w:ind w:left="1463" w:right="0" w:firstLine="0"/>
        <w:jc w:val="left"/>
        <w:rPr>
          <w:rFonts w:ascii="Calibri" w:hAnsi="Calibri"/>
          <w:b/>
          <w:sz w:val="32"/>
        </w:rPr>
      </w:pPr>
      <w:r>
        <w:rPr>
          <w:rFonts w:ascii="Calibri" w:hAnsi="Calibri"/>
          <w:b/>
          <w:sz w:val="32"/>
        </w:rPr>
        <w:t>Distribución de índices de Urbi Hacienda  Lomas</w:t>
      </w:r>
    </w:p>
    <w:p>
      <w:pPr>
        <w:pStyle w:val="BodyText"/>
        <w:spacing w:before="4"/>
        <w:rPr>
          <w:rFonts w:ascii="Calibri"/>
          <w:b/>
          <w:sz w:val="13"/>
        </w:rPr>
      </w:pPr>
    </w:p>
    <w:p>
      <w:pPr>
        <w:tabs>
          <w:tab w:pos="4453" w:val="left" w:leader="none"/>
          <w:tab w:pos="5711" w:val="left" w:leader="none"/>
        </w:tabs>
        <w:spacing w:before="71"/>
        <w:ind w:left="3555" w:right="0" w:firstLine="0"/>
        <w:jc w:val="left"/>
        <w:rPr>
          <w:rFonts w:ascii="Calibri" w:hAnsi="Calibri"/>
          <w:sz w:val="18"/>
        </w:rPr>
      </w:pPr>
      <w:r>
        <w:rPr/>
        <w:pict>
          <v:group style="position:absolute;margin-left:242.866989pt;margin-top:5.705708pt;width:20.95pt;height:6.1pt;mso-position-horizontal-relative:page;mso-position-vertical-relative:paragraph;z-index:11536" coordorigin="4857,114" coordsize="419,122">
            <v:line style="position:absolute" from="4892,172" to="5241,172" stroked="true" strokeweight="3.405883pt" strokecolor="#5b92c7"/>
            <v:shape style="position:absolute;left:5005;top:124;width:109;height:102" type="#_x0000_t75" stroked="false">
              <v:imagedata r:id="rId214" o:title=""/>
            </v:shape>
            <v:shape style="position:absolute;left:5005;top:124;width:110;height:103" coordorigin="5005,124" coordsize="110,103" path="m5060,124l5114,178,5060,226,5005,178,5060,124xe" filled="false" stroked="true" strokeweight=".908712pt" strokecolor="#5b92c7">
              <v:path arrowok="t"/>
            </v:shape>
            <w10:wrap type="none"/>
          </v:group>
        </w:pict>
      </w:r>
      <w:r>
        <w:rPr/>
        <w:pict>
          <v:group style="position:absolute;margin-left:287.752991pt;margin-top:5.705708pt;width:20.95pt;height:6.1pt;mso-position-horizontal-relative:page;mso-position-vertical-relative:paragraph;z-index:-1146472" coordorigin="5755,114" coordsize="419,122">
            <v:line style="position:absolute" from="5790,172" to="6139,172" stroked="true" strokeweight="3.405883pt" strokecolor="#cc615a"/>
            <v:shape style="position:absolute;left:5915;top:124;width:104;height:102" type="#_x0000_t75" stroked="false">
              <v:imagedata r:id="rId215" o:title=""/>
            </v:shape>
            <v:rect style="position:absolute;left:5915;top:124;width:104;height:102" filled="false" stroked="true" strokeweight=".908735pt" strokecolor="#cc615a"/>
            <w10:wrap type="none"/>
          </v:group>
        </w:pict>
      </w:r>
      <w:r>
        <w:rPr/>
        <w:pict>
          <v:group style="position:absolute;margin-left:350.677979pt;margin-top:5.705708pt;width:20.95pt;height:6.1pt;mso-position-horizontal-relative:page;mso-position-vertical-relative:paragraph;z-index:-1146448" coordorigin="7014,114" coordsize="419,122">
            <v:line style="position:absolute" from="7048,172" to="7397,172" stroked="true" strokeweight="3.405883pt" strokecolor="#a8c367"/>
            <v:shape style="position:absolute;left:7169;top:124;width:108;height:102" type="#_x0000_t75" stroked="false">
              <v:imagedata r:id="rId216" o:title=""/>
            </v:shape>
            <v:shape style="position:absolute;left:7169;top:124;width:108;height:103" coordorigin="7169,124" coordsize="108,103" path="m7224,124l7277,226,7169,226,7224,124xe" filled="false" stroked="true" strokeweight=".908717pt" strokecolor="#a8c367">
              <v:path arrowok="t"/>
            </v:shape>
            <w10:wrap type="none"/>
          </v:group>
        </w:pict>
      </w:r>
      <w:r>
        <w:rPr>
          <w:rFonts w:ascii="Calibri" w:hAnsi="Calibri"/>
          <w:sz w:val="18"/>
        </w:rPr>
        <w:t>Real</w:t>
        <w:tab/>
        <w:t>Deseable</w:t>
        <w:tab/>
        <w:t>Óptimo</w:t>
      </w:r>
    </w:p>
    <w:p>
      <w:pPr>
        <w:spacing w:line="242" w:lineRule="auto" w:before="147"/>
        <w:ind w:left="4342" w:right="4188" w:hanging="115"/>
        <w:jc w:val="left"/>
        <w:rPr>
          <w:rFonts w:ascii="Calibri" w:hAnsi="Calibri"/>
          <w:sz w:val="18"/>
        </w:rPr>
      </w:pPr>
      <w:r>
        <w:rPr/>
        <w:pict>
          <v:group style="position:absolute;margin-left:175.232193pt;margin-top:22.938631pt;width:292.350pt;height:290.7pt;mso-position-horizontal-relative:page;mso-position-vertical-relative:paragraph;z-index:-1146520" coordorigin="3505,459" coordsize="5847,5814">
            <v:shape style="position:absolute;left:117940;top:-80981816;width:80772061;height:81026064" coordorigin="117940,-80981816" coordsize="80772061,81026064" path="m6406,2792l6987,3373m6987,3373l6406,3936m6406,3936l5824,3373m5824,3373l6406,2792m6406,2210l7569,3373m7569,3373l6406,4517m6406,4517l5242,3373m5242,3373l6406,2210m6406,1629l8151,3373m8151,3373l6406,5099m6406,5099l4660,3373m4660,3373l6406,1629m6406,1048l8733,3373m8733,3373l6406,5680m6406,5680l4078,3373m4078,3373l6406,1048m6406,467l9297,3373m9297,3373l6406,6261m6406,6261l3514,3373m3514,3373l6406,467e" filled="false" stroked="true" strokeweight=".908743pt" strokecolor="#989898">
              <v:path arrowok="t"/>
            </v:shape>
            <v:rect style="position:absolute;left:6396;top:468;width:18;height:2906" filled="true" fillcolor="#989898" stroked="false">
              <v:fill type="solid"/>
            </v:rect>
            <v:shape style="position:absolute;left:117960;top:-80981816;width:80772041;height:40386000" coordorigin="117960,-80981816" coordsize="80772041,40386000" path="m6406,3373l9297,3373m6406,3373l6406,6261m6406,3373l3514,3373e" filled="false" stroked="true" strokeweight=".908743pt" strokecolor="#989898">
              <v:path arrowok="t"/>
            </v:shape>
            <v:rect style="position:absolute;left:6396;top:468;width:18;height:2906" filled="true" fillcolor="#989898" stroked="false">
              <v:fill type="solid"/>
            </v:rect>
            <v:shape style="position:absolute;left:7206;top:3257;width:327;height:309" type="#_x0000_t75" stroked="false">
              <v:imagedata r:id="rId217" o:title=""/>
            </v:shape>
            <v:shape style="position:absolute;left:5314;top:3257;width:327;height:309" type="#_x0000_t75" stroked="false">
              <v:imagedata r:id="rId217" o:title=""/>
            </v:shape>
            <v:shape style="position:absolute;left:6242;top:1912;width:327;height:327" type="#_x0000_t75" stroked="false">
              <v:imagedata r:id="rId218" o:title=""/>
            </v:shape>
            <v:shape style="position:absolute;left:8370;top:3257;width:327;height:309" type="#_x0000_t75" stroked="false">
              <v:imagedata r:id="rId219" o:title=""/>
            </v:shape>
            <v:shape style="position:absolute;left:6242;top:4019;width:327;height:581" type="#_x0000_t75" stroked="false">
              <v:imagedata r:id="rId220" o:title=""/>
            </v:shape>
            <v:shape style="position:absolute;left:4769;top:3257;width:327;height:309" type="#_x0000_t75" stroked="false">
              <v:imagedata r:id="rId219" o:title=""/>
            </v:shape>
            <v:shape style="position:absolute;left:6242;top:1513;width:327;height:309" type="#_x0000_t75" stroked="false">
              <v:imagedata r:id="rId221" o:title=""/>
            </v:shape>
            <v:shape style="position:absolute;left:9024;top:3257;width:327;height:309" type="#_x0000_t75" stroked="false">
              <v:imagedata r:id="rId221" o:title=""/>
            </v:shape>
            <v:shape style="position:absolute;left:6242;top:4528;width:327;height:309" type="#_x0000_t75" stroked="false">
              <v:imagedata r:id="rId221" o:title=""/>
            </v:shape>
            <v:shape style="position:absolute;left:4278;top:3257;width:327;height:309" type="#_x0000_t75" stroked="false">
              <v:imagedata r:id="rId221" o:title=""/>
            </v:shape>
            <v:shape style="position:absolute;left:-57540;top:-29553614;width:26401340;height:29463982" coordorigin="-57540,-29553614" coordsize="26401340,29463982" path="m5478,3375l6406,2031m6406,2031l7368,3375m7368,3375l6406,4138m6406,4138l5478,3375e" filled="false" stroked="true" strokeweight="3.407788pt" strokecolor="#5b92c7">
              <v:path arrowok="t"/>
            </v:shape>
            <v:shape style="position:absolute;left:6315;top:1931;width:182;height:200" type="#_x0000_t75" stroked="false">
              <v:imagedata r:id="rId171" o:title=""/>
            </v:shape>
            <v:shape style="position:absolute;left:7278;top:3275;width:182;height:200" type="#_x0000_t75" stroked="false">
              <v:imagedata r:id="rId171" o:title=""/>
            </v:shape>
            <v:shape style="position:absolute;left:6315;top:4038;width:182;height:200" type="#_x0000_t75" stroked="false">
              <v:imagedata r:id="rId171" o:title=""/>
            </v:shape>
            <v:shape style="position:absolute;left:5387;top:3275;width:182;height:200" type="#_x0000_t75" stroked="false">
              <v:imagedata r:id="rId171" o:title=""/>
            </v:shape>
            <v:shape style="position:absolute;left:-62798;top:-33039214;width:50222799;height:33019624" coordorigin="-62798,-33039214" coordsize="50222799,33019624" path="m4933,3375l6406,2049m6406,2049l8528,3375m8528,3375l6406,4411m6406,4411l4933,3375e" filled="false" stroked="true" strokeweight="3.407788pt" strokecolor="#cc615a">
              <v:path arrowok="t"/>
            </v:shape>
            <v:shape style="position:absolute;left:6315;top:1949;width:182;height:200" type="#_x0000_t75" stroked="false">
              <v:imagedata r:id="rId172" o:title=""/>
            </v:shape>
            <v:shape style="position:absolute;left:8442;top:3275;width:182;height:200" type="#_x0000_t75" stroked="false">
              <v:imagedata r:id="rId172" o:title=""/>
            </v:shape>
            <v:shape style="position:absolute;left:6315;top:4310;width:182;height:200" type="#_x0000_t75" stroked="false">
              <v:imagedata r:id="rId172" o:title=""/>
            </v:shape>
            <v:shape style="position:absolute;left:4842;top:3275;width:182;height:200" type="#_x0000_t75" stroked="false">
              <v:imagedata r:id="rId172" o:title=""/>
            </v:shape>
            <v:shape style="position:absolute;left:110699;top:-42112216;width:66293902;height:42102050" coordorigin="110699,-42112216" coordsize="66293902,42102050" path="m4442,3373l6406,1629m6406,1629l9188,3373m9188,3373l6406,4640m6406,4640l4442,3373e" filled="false" stroked="true" strokeweight="3.407788pt" strokecolor="#a8c367">
              <v:path arrowok="t"/>
            </v:shape>
            <v:shape style="position:absolute;left:6315;top:1531;width:182;height:200" type="#_x0000_t75" stroked="false">
              <v:imagedata r:id="rId173" o:title=""/>
            </v:shape>
            <v:shape style="position:absolute;left:9097;top:3275;width:182;height:200" type="#_x0000_t75" stroked="false">
              <v:imagedata r:id="rId173" o:title=""/>
            </v:shape>
            <v:shape style="position:absolute;left:6315;top:4546;width:182;height:200" type="#_x0000_t75" stroked="false">
              <v:imagedata r:id="rId173" o:title=""/>
            </v:shape>
            <v:shape style="position:absolute;left:4351;top:3275;width:182;height:200" type="#_x0000_t75" stroked="false">
              <v:imagedata r:id="rId173" o:title=""/>
            </v:shape>
            <w10:wrap type="none"/>
          </v:group>
        </w:pict>
      </w:r>
      <w:r>
        <w:rPr>
          <w:rFonts w:ascii="Calibri" w:hAnsi="Calibri"/>
          <w:sz w:val="18"/>
        </w:rPr>
        <w:t>Índice Social 25</w:t>
      </w:r>
    </w:p>
    <w:p>
      <w:pPr>
        <w:pStyle w:val="BodyText"/>
        <w:spacing w:before="6"/>
        <w:rPr>
          <w:rFonts w:ascii="Calibri"/>
          <w:sz w:val="23"/>
        </w:rPr>
      </w:pPr>
    </w:p>
    <w:p>
      <w:pPr>
        <w:spacing w:after="0"/>
        <w:rPr>
          <w:rFonts w:ascii="Calibri"/>
          <w:sz w:val="23"/>
        </w:rPr>
        <w:sectPr>
          <w:pgSz w:w="12240" w:h="15840"/>
          <w:pgMar w:header="730" w:footer="1066" w:top="1320" w:bottom="1260" w:left="1720" w:right="1180"/>
        </w:sect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spacing w:before="9"/>
        <w:rPr>
          <w:rFonts w:ascii="Calibri"/>
          <w:sz w:val="15"/>
        </w:rPr>
      </w:pPr>
    </w:p>
    <w:p>
      <w:pPr>
        <w:spacing w:before="0"/>
        <w:ind w:left="477" w:right="-8" w:firstLine="0"/>
        <w:jc w:val="left"/>
        <w:rPr>
          <w:rFonts w:ascii="Calibri" w:hAnsi="Calibri"/>
          <w:sz w:val="18"/>
        </w:rPr>
      </w:pPr>
      <w:r>
        <w:rPr>
          <w:rFonts w:ascii="Calibri" w:hAnsi="Calibri"/>
          <w:sz w:val="18"/>
        </w:rPr>
        <w:t>Índice Territorio</w:t>
      </w:r>
    </w:p>
    <w:p>
      <w:pPr>
        <w:pStyle w:val="BodyText"/>
        <w:rPr>
          <w:rFonts w:ascii="Calibri"/>
        </w:rPr>
      </w:pPr>
      <w:r>
        <w:rPr/>
        <w:br w:type="column"/>
      </w:r>
      <w:r>
        <w:rPr>
          <w:rFonts w:ascii="Calibri"/>
        </w:rPr>
      </w: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tabs>
          <w:tab w:pos="1359" w:val="left" w:leader="none"/>
        </w:tabs>
        <w:spacing w:before="164"/>
        <w:ind w:left="477" w:right="0" w:firstLine="0"/>
        <w:jc w:val="left"/>
        <w:rPr>
          <w:rFonts w:ascii="Calibri"/>
          <w:sz w:val="18"/>
        </w:rPr>
      </w:pPr>
      <w:r>
        <w:rPr>
          <w:rFonts w:ascii="Calibri"/>
          <w:position w:val="6"/>
          <w:sz w:val="18"/>
        </w:rPr>
        <w:t>17</w:t>
        <w:tab/>
      </w:r>
      <w:r>
        <w:rPr>
          <w:rFonts w:ascii="Calibri"/>
          <w:sz w:val="18"/>
        </w:rPr>
        <w:t>12.66</w:t>
      </w:r>
    </w:p>
    <w:p>
      <w:pPr>
        <w:pStyle w:val="BodyText"/>
        <w:rPr>
          <w:rFonts w:ascii="Calibri"/>
          <w:sz w:val="18"/>
        </w:rPr>
      </w:pPr>
      <w:r>
        <w:rPr/>
        <w:br w:type="column"/>
      </w:r>
      <w:r>
        <w:rPr>
          <w:rFonts w:ascii="Calibri"/>
          <w:sz w:val="18"/>
        </w:rPr>
      </w: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spacing w:before="11"/>
        <w:rPr>
          <w:rFonts w:ascii="Calibri"/>
          <w:sz w:val="25"/>
        </w:rPr>
      </w:pPr>
    </w:p>
    <w:p>
      <w:pPr>
        <w:spacing w:before="0"/>
        <w:ind w:left="129" w:right="-16" w:firstLine="0"/>
        <w:jc w:val="left"/>
        <w:rPr>
          <w:rFonts w:ascii="Calibri"/>
          <w:sz w:val="18"/>
        </w:rPr>
      </w:pPr>
      <w:r>
        <w:rPr>
          <w:rFonts w:ascii="Calibri"/>
          <w:sz w:val="18"/>
        </w:rPr>
        <w:t>7.96</w:t>
      </w:r>
    </w:p>
    <w:p>
      <w:pPr>
        <w:spacing w:before="70"/>
        <w:ind w:left="78" w:right="-16" w:firstLine="0"/>
        <w:jc w:val="left"/>
        <w:rPr>
          <w:rFonts w:ascii="Calibri"/>
          <w:sz w:val="18"/>
        </w:rPr>
      </w:pPr>
      <w:r>
        <w:rPr/>
        <w:br w:type="column"/>
      </w:r>
      <w:r>
        <w:rPr>
          <w:rFonts w:ascii="Calibri"/>
          <w:sz w:val="18"/>
        </w:rPr>
        <w:t>20</w:t>
      </w:r>
    </w:p>
    <w:p>
      <w:pPr>
        <w:spacing w:before="127"/>
        <w:ind w:left="506" w:right="-16" w:firstLine="0"/>
        <w:jc w:val="left"/>
        <w:rPr>
          <w:rFonts w:ascii="Calibri"/>
          <w:sz w:val="18"/>
        </w:rPr>
      </w:pPr>
      <w:r>
        <w:rPr>
          <w:rFonts w:ascii="Calibri"/>
          <w:sz w:val="18"/>
        </w:rPr>
        <w:t>15</w:t>
      </w:r>
    </w:p>
    <w:p>
      <w:pPr>
        <w:spacing w:before="12"/>
        <w:ind w:left="78" w:right="-16" w:firstLine="0"/>
        <w:jc w:val="left"/>
        <w:rPr>
          <w:rFonts w:ascii="Calibri"/>
          <w:sz w:val="18"/>
        </w:rPr>
      </w:pPr>
      <w:r>
        <w:rPr>
          <w:rFonts w:ascii="Calibri"/>
          <w:sz w:val="18"/>
        </w:rPr>
        <w:t>15</w:t>
      </w:r>
    </w:p>
    <w:p>
      <w:pPr>
        <w:spacing w:before="95"/>
        <w:ind w:left="532" w:right="-16" w:firstLine="0"/>
        <w:jc w:val="left"/>
        <w:rPr>
          <w:rFonts w:ascii="Calibri"/>
          <w:sz w:val="18"/>
        </w:rPr>
      </w:pPr>
      <w:r>
        <w:rPr>
          <w:rFonts w:ascii="Calibri"/>
          <w:sz w:val="18"/>
        </w:rPr>
        <w:t>11.6</w:t>
      </w:r>
    </w:p>
    <w:p>
      <w:pPr>
        <w:spacing w:line="219" w:lineRule="exact" w:before="44"/>
        <w:ind w:left="78" w:right="-16" w:firstLine="0"/>
        <w:jc w:val="left"/>
        <w:rPr>
          <w:rFonts w:ascii="Calibri"/>
          <w:sz w:val="18"/>
        </w:rPr>
      </w:pPr>
      <w:r>
        <w:rPr>
          <w:rFonts w:ascii="Calibri"/>
          <w:sz w:val="18"/>
        </w:rPr>
        <w:t>10</w:t>
      </w:r>
    </w:p>
    <w:p>
      <w:pPr>
        <w:spacing w:line="219" w:lineRule="exact" w:before="0"/>
        <w:ind w:left="277" w:right="-16" w:firstLine="0"/>
        <w:jc w:val="left"/>
        <w:rPr>
          <w:rFonts w:ascii="Calibri"/>
          <w:sz w:val="18"/>
        </w:rPr>
      </w:pPr>
      <w:r>
        <w:rPr>
          <w:rFonts w:ascii="Calibri"/>
          <w:sz w:val="18"/>
        </w:rPr>
        <w:t>11.4</w:t>
      </w:r>
    </w:p>
    <w:p>
      <w:pPr>
        <w:spacing w:before="140"/>
        <w:ind w:left="170" w:right="0" w:firstLine="0"/>
        <w:jc w:val="left"/>
        <w:rPr>
          <w:rFonts w:ascii="Calibri"/>
          <w:sz w:val="18"/>
        </w:rPr>
      </w:pPr>
      <w:r>
        <w:rPr>
          <w:rFonts w:ascii="Calibri"/>
          <w:w w:val="101"/>
          <w:sz w:val="18"/>
        </w:rPr>
        <w:t>5</w:t>
      </w:r>
    </w:p>
    <w:p>
      <w:pPr>
        <w:pStyle w:val="BodyText"/>
        <w:rPr>
          <w:rFonts w:ascii="Calibri"/>
          <w:sz w:val="18"/>
        </w:rPr>
      </w:pPr>
    </w:p>
    <w:p>
      <w:pPr>
        <w:spacing w:before="140"/>
        <w:ind w:left="170" w:right="0" w:firstLine="0"/>
        <w:jc w:val="left"/>
        <w:rPr>
          <w:rFonts w:ascii="Calibri"/>
          <w:sz w:val="18"/>
        </w:rPr>
      </w:pPr>
      <w:r>
        <w:rPr>
          <w:rFonts w:ascii="Calibri"/>
          <w:w w:val="101"/>
          <w:sz w:val="18"/>
        </w:rPr>
        <w:t>0</w:t>
      </w:r>
    </w:p>
    <w:p>
      <w:pPr>
        <w:pStyle w:val="BodyText"/>
        <w:rPr>
          <w:rFonts w:ascii="Calibri"/>
          <w:sz w:val="18"/>
        </w:rPr>
      </w:pPr>
      <w:r>
        <w:rPr/>
        <w:br w:type="column"/>
      </w:r>
      <w:r>
        <w:rPr>
          <w:rFonts w:ascii="Calibri"/>
          <w:sz w:val="18"/>
        </w:rPr>
      </w: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spacing w:before="4"/>
        <w:rPr>
          <w:rFonts w:ascii="Calibri"/>
        </w:rPr>
      </w:pPr>
    </w:p>
    <w:p>
      <w:pPr>
        <w:spacing w:before="0"/>
        <w:ind w:left="169" w:right="-16" w:firstLine="0"/>
        <w:jc w:val="left"/>
        <w:rPr>
          <w:rFonts w:ascii="Calibri"/>
          <w:sz w:val="18"/>
        </w:rPr>
      </w:pPr>
      <w:r>
        <w:rPr>
          <w:rFonts w:ascii="Calibri"/>
          <w:sz w:val="18"/>
        </w:rPr>
        <w:t>8.3</w:t>
      </w:r>
    </w:p>
    <w:p>
      <w:pPr>
        <w:pStyle w:val="BodyText"/>
        <w:rPr>
          <w:rFonts w:ascii="Calibri"/>
          <w:sz w:val="18"/>
        </w:rPr>
      </w:pPr>
      <w:r>
        <w:rPr/>
        <w:br w:type="column"/>
      </w:r>
      <w:r>
        <w:rPr>
          <w:rFonts w:ascii="Calibri"/>
          <w:sz w:val="18"/>
        </w:rPr>
      </w: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spacing w:before="116"/>
        <w:ind w:left="477" w:right="-17" w:firstLine="0"/>
        <w:jc w:val="left"/>
        <w:rPr>
          <w:rFonts w:ascii="Calibri"/>
          <w:sz w:val="18"/>
        </w:rPr>
      </w:pPr>
      <w:r>
        <w:rPr>
          <w:rFonts w:ascii="Calibri"/>
          <w:sz w:val="18"/>
        </w:rPr>
        <w:t>18.3</w:t>
      </w:r>
    </w:p>
    <w:p>
      <w:pPr>
        <w:pStyle w:val="BodyText"/>
        <w:rPr>
          <w:rFonts w:ascii="Calibri"/>
          <w:sz w:val="18"/>
        </w:rPr>
      </w:pPr>
      <w:r>
        <w:rPr/>
        <w:br w:type="column"/>
      </w:r>
      <w:r>
        <w:rPr>
          <w:rFonts w:ascii="Calibri"/>
          <w:sz w:val="18"/>
        </w:rPr>
      </w: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spacing w:before="11"/>
        <w:rPr>
          <w:rFonts w:ascii="Calibri"/>
          <w:sz w:val="14"/>
        </w:rPr>
      </w:pPr>
    </w:p>
    <w:p>
      <w:pPr>
        <w:spacing w:before="0"/>
        <w:ind w:left="477" w:right="0" w:firstLine="0"/>
        <w:jc w:val="left"/>
        <w:rPr>
          <w:rFonts w:ascii="Calibri"/>
          <w:sz w:val="18"/>
        </w:rPr>
      </w:pPr>
      <w:r>
        <w:rPr>
          <w:rFonts w:ascii="Calibri"/>
          <w:sz w:val="18"/>
        </w:rPr>
        <w:t>24</w:t>
      </w:r>
    </w:p>
    <w:p>
      <w:pPr>
        <w:spacing w:before="10"/>
        <w:ind w:left="594" w:right="0" w:firstLine="0"/>
        <w:jc w:val="left"/>
        <w:rPr>
          <w:rFonts w:ascii="Calibri" w:hAnsi="Calibri"/>
          <w:sz w:val="18"/>
        </w:rPr>
      </w:pPr>
      <w:r>
        <w:rPr>
          <w:rFonts w:ascii="Calibri" w:hAnsi="Calibri"/>
          <w:sz w:val="18"/>
        </w:rPr>
        <w:t>Índice Ambiental</w:t>
      </w:r>
    </w:p>
    <w:p>
      <w:pPr>
        <w:spacing w:after="0"/>
        <w:jc w:val="left"/>
        <w:rPr>
          <w:rFonts w:ascii="Calibri" w:hAnsi="Calibri"/>
          <w:sz w:val="18"/>
        </w:rPr>
        <w:sectPr>
          <w:type w:val="continuous"/>
          <w:pgSz w:w="12240" w:h="15840"/>
          <w:pgMar w:top="1500" w:bottom="280" w:left="1720" w:right="1180"/>
          <w:cols w:num="7" w:equalWidth="0">
            <w:col w:w="1670" w:space="286"/>
            <w:col w:w="1775" w:space="40"/>
            <w:col w:w="453" w:space="40"/>
            <w:col w:w="856" w:space="40"/>
            <w:col w:w="401" w:space="109"/>
            <w:col w:w="800" w:space="638"/>
            <w:col w:w="2232"/>
          </w:cols>
        </w:sectPr>
      </w:pPr>
    </w:p>
    <w:p>
      <w:pPr>
        <w:pStyle w:val="BodyText"/>
        <w:spacing w:before="7"/>
        <w:rPr>
          <w:rFonts w:ascii="Calibri"/>
          <w:sz w:val="16"/>
        </w:rPr>
      </w:pPr>
    </w:p>
    <w:p>
      <w:pPr>
        <w:spacing w:before="70"/>
        <w:ind w:left="188" w:right="0" w:firstLine="0"/>
        <w:jc w:val="center"/>
        <w:rPr>
          <w:rFonts w:ascii="Calibri"/>
          <w:sz w:val="18"/>
        </w:rPr>
      </w:pPr>
      <w:r>
        <w:rPr>
          <w:rFonts w:ascii="Calibri"/>
          <w:sz w:val="18"/>
        </w:rPr>
        <w:t>6.7</w:t>
      </w:r>
    </w:p>
    <w:p>
      <w:pPr>
        <w:spacing w:before="104"/>
        <w:ind w:left="429" w:right="0" w:firstLine="0"/>
        <w:jc w:val="center"/>
        <w:rPr>
          <w:rFonts w:ascii="Calibri"/>
          <w:sz w:val="18"/>
        </w:rPr>
      </w:pPr>
      <w:r>
        <w:rPr>
          <w:rFonts w:ascii="Calibri"/>
          <w:w w:val="101"/>
          <w:sz w:val="18"/>
        </w:rPr>
        <w:t>9</w:t>
      </w:r>
    </w:p>
    <w:p>
      <w:pPr>
        <w:pStyle w:val="BodyText"/>
        <w:spacing w:before="9"/>
        <w:rPr>
          <w:rFonts w:ascii="Calibri"/>
          <w:sz w:val="29"/>
        </w:rPr>
      </w:pPr>
    </w:p>
    <w:p>
      <w:pPr>
        <w:spacing w:before="71"/>
        <w:ind w:left="462" w:right="0" w:firstLine="0"/>
        <w:jc w:val="center"/>
        <w:rPr>
          <w:rFonts w:ascii="Calibri"/>
          <w:sz w:val="18"/>
        </w:rPr>
      </w:pPr>
      <w:r>
        <w:rPr>
          <w:rFonts w:ascii="Calibri"/>
          <w:sz w:val="18"/>
        </w:rPr>
        <w:t>11</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
        <w:rPr>
          <w:rFonts w:ascii="Calibri"/>
          <w:sz w:val="17"/>
        </w:rPr>
      </w:pPr>
    </w:p>
    <w:p>
      <w:pPr>
        <w:spacing w:before="0"/>
        <w:ind w:left="31" w:right="0" w:firstLine="0"/>
        <w:jc w:val="center"/>
        <w:rPr>
          <w:rFonts w:ascii="Calibri" w:hAnsi="Calibri"/>
          <w:sz w:val="18"/>
        </w:rPr>
      </w:pPr>
      <w:r>
        <w:rPr>
          <w:rFonts w:ascii="Calibri" w:hAnsi="Calibri"/>
          <w:sz w:val="18"/>
        </w:rPr>
        <w:t>Índice Económico</w:t>
      </w:r>
    </w:p>
    <w:p>
      <w:pPr>
        <w:pStyle w:val="BodyText"/>
        <w:rPr>
          <w:rFonts w:ascii="Calibri"/>
          <w:sz w:val="20"/>
        </w:rPr>
      </w:pPr>
    </w:p>
    <w:p>
      <w:pPr>
        <w:pStyle w:val="BodyText"/>
        <w:spacing w:before="5"/>
        <w:rPr>
          <w:rFonts w:ascii="Calibri"/>
          <w:sz w:val="18"/>
        </w:rPr>
      </w:pPr>
    </w:p>
    <w:p>
      <w:pPr>
        <w:spacing w:before="0"/>
        <w:ind w:left="268" w:right="0" w:firstLine="0"/>
        <w:jc w:val="left"/>
        <w:rPr>
          <w:sz w:val="21"/>
        </w:rPr>
      </w:pPr>
      <w:r>
        <w:rPr>
          <w:w w:val="105"/>
          <w:sz w:val="21"/>
        </w:rPr>
        <w:t>Fuente: Elaboración propia con base al estudio realizado.</w:t>
      </w:r>
    </w:p>
    <w:p>
      <w:pPr>
        <w:spacing w:after="0"/>
        <w:jc w:val="left"/>
        <w:rPr>
          <w:sz w:val="21"/>
        </w:rPr>
        <w:sectPr>
          <w:type w:val="continuous"/>
          <w:pgSz w:w="12240" w:h="15840"/>
          <w:pgMar w:top="1500" w:bottom="28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1632" from="93.199997pt,-19.614155pt" to="546.799997pt,-19.614155pt" stroked="true" strokeweight=".479981pt" strokecolor="#000000">
            <w10:wrap type="none"/>
          </v:line>
        </w:pict>
      </w:r>
      <w:r>
        <w:rPr/>
        <w:t>El conjunto urbano de tipo mixto denominado “Bosque de las Fuentes”, autorizado a la empresa Inmobiliaria HATTIE, S.A. de C.V. en octubre de 2010, tiene acceso por la vialidad principal del municipio que da acceso a otros conjuntos urbanos en el mapa 12 se puede apreciar la poligonal del conjunto urbano.</w:t>
      </w:r>
    </w:p>
    <w:p>
      <w:pPr>
        <w:pStyle w:val="BodyText"/>
      </w:pPr>
    </w:p>
    <w:p>
      <w:pPr>
        <w:pStyle w:val="BodyText"/>
        <w:spacing w:before="1"/>
        <w:rPr>
          <w:sz w:val="22"/>
        </w:rPr>
      </w:pPr>
    </w:p>
    <w:p>
      <w:pPr>
        <w:spacing w:before="0"/>
        <w:ind w:left="268" w:right="0" w:firstLine="0"/>
        <w:jc w:val="both"/>
        <w:rPr>
          <w:sz w:val="21"/>
        </w:rPr>
      </w:pPr>
      <w:r>
        <w:rPr>
          <w:w w:val="105"/>
          <w:sz w:val="21"/>
        </w:rPr>
        <w:t>Mapa 12. CU Bosque de las Fuentes.</w:t>
      </w:r>
    </w:p>
    <w:p>
      <w:pPr>
        <w:pStyle w:val="BodyText"/>
        <w:spacing w:before="9"/>
        <w:rPr>
          <w:sz w:val="21"/>
        </w:rPr>
      </w:pPr>
      <w:r>
        <w:rPr/>
        <w:drawing>
          <wp:anchor distT="0" distB="0" distL="0" distR="0" allowOverlap="1" layoutInCell="1" locked="0" behindDoc="0" simplePos="0" relativeHeight="11608">
            <wp:simplePos x="0" y="0"/>
            <wp:positionH relativeFrom="page">
              <wp:posOffset>1261491</wp:posOffset>
            </wp:positionH>
            <wp:positionV relativeFrom="paragraph">
              <wp:posOffset>184339</wp:posOffset>
            </wp:positionV>
            <wp:extent cx="5597118" cy="4274820"/>
            <wp:effectExtent l="0" t="0" r="0" b="0"/>
            <wp:wrapTopAndBottom/>
            <wp:docPr id="39" name="image147.jpeg" descr=""/>
            <wp:cNvGraphicFramePr>
              <a:graphicFrameLocks noChangeAspect="1"/>
            </wp:cNvGraphicFramePr>
            <a:graphic>
              <a:graphicData uri="http://schemas.openxmlformats.org/drawingml/2006/picture">
                <pic:pic>
                  <pic:nvPicPr>
                    <pic:cNvPr id="40" name="image147.jpeg"/>
                    <pic:cNvPicPr/>
                  </pic:nvPicPr>
                  <pic:blipFill>
                    <a:blip r:embed="rId222" cstate="print"/>
                    <a:stretch>
                      <a:fillRect/>
                    </a:stretch>
                  </pic:blipFill>
                  <pic:spPr>
                    <a:xfrm>
                      <a:off x="0" y="0"/>
                      <a:ext cx="5597118" cy="4274820"/>
                    </a:xfrm>
                    <a:prstGeom prst="rect">
                      <a:avLst/>
                    </a:prstGeom>
                  </pic:spPr>
                </pic:pic>
              </a:graphicData>
            </a:graphic>
          </wp:anchor>
        </w:drawing>
      </w:r>
    </w:p>
    <w:p>
      <w:pPr>
        <w:pStyle w:val="BodyText"/>
        <w:rPr>
          <w:sz w:val="22"/>
        </w:rPr>
      </w:pPr>
    </w:p>
    <w:p>
      <w:pPr>
        <w:spacing w:before="153"/>
        <w:ind w:left="268" w:right="0" w:firstLine="0"/>
        <w:jc w:val="both"/>
        <w:rPr>
          <w:sz w:val="21"/>
        </w:rPr>
      </w:pPr>
      <w:r>
        <w:rPr>
          <w:w w:val="105"/>
          <w:sz w:val="21"/>
        </w:rPr>
        <w:t>Fuente: Elaboración propia con base al estudio realizado.</w:t>
      </w:r>
    </w:p>
    <w:p>
      <w:pPr>
        <w:spacing w:after="0"/>
        <w:jc w:val="both"/>
        <w:rPr>
          <w:sz w:val="21"/>
        </w:rPr>
        <w:sectPr>
          <w:pgSz w:w="12240" w:h="15840"/>
          <w:pgMar w:header="730" w:footer="1066" w:top="1320" w:bottom="1260" w:left="1720" w:right="1180"/>
        </w:sectPr>
      </w:pPr>
    </w:p>
    <w:p>
      <w:pPr>
        <w:pStyle w:val="BodyText"/>
        <w:spacing w:before="1"/>
        <w:rPr>
          <w:sz w:val="18"/>
        </w:rPr>
      </w:pPr>
    </w:p>
    <w:p>
      <w:pPr>
        <w:spacing w:before="78"/>
        <w:ind w:left="268" w:right="0" w:firstLine="0"/>
        <w:jc w:val="left"/>
        <w:rPr>
          <w:sz w:val="21"/>
        </w:rPr>
      </w:pPr>
      <w:r>
        <w:rPr/>
        <w:pict>
          <v:line style="position:absolute;mso-position-horizontal-relative:page;mso-position-vertical-relative:paragraph;z-index:11704" from="93.199997pt,-19.611116pt" to="546.799997pt,-19.611116pt" stroked="true" strokeweight=".479981pt" strokecolor="#000000">
            <w10:wrap type="none"/>
          </v:line>
        </w:pict>
      </w:r>
      <w:r>
        <w:rPr>
          <w:w w:val="105"/>
          <w:sz w:val="21"/>
        </w:rPr>
        <w:t>Gráfica 14. Escenario de resultados por índices.</w:t>
      </w:r>
    </w:p>
    <w:p>
      <w:pPr>
        <w:pStyle w:val="BodyText"/>
        <w:rPr>
          <w:sz w:val="20"/>
        </w:rPr>
      </w:pPr>
    </w:p>
    <w:p>
      <w:pPr>
        <w:pStyle w:val="BodyText"/>
        <w:rPr>
          <w:sz w:val="20"/>
        </w:rPr>
      </w:pPr>
    </w:p>
    <w:p>
      <w:pPr>
        <w:pStyle w:val="BodyText"/>
        <w:spacing w:before="7"/>
        <w:rPr>
          <w:sz w:val="19"/>
        </w:rPr>
      </w:pPr>
    </w:p>
    <w:p>
      <w:pPr>
        <w:spacing w:before="0"/>
        <w:ind w:left="3133" w:right="0" w:firstLine="0"/>
        <w:jc w:val="left"/>
        <w:rPr>
          <w:b/>
          <w:sz w:val="15"/>
        </w:rPr>
      </w:pPr>
      <w:r>
        <w:rPr>
          <w:b/>
          <w:color w:val="595959"/>
          <w:sz w:val="15"/>
        </w:rPr>
        <w:t>Indicadores por Índices de Sustentabilidad</w:t>
      </w:r>
    </w:p>
    <w:p>
      <w:pPr>
        <w:pStyle w:val="BodyText"/>
        <w:spacing w:before="8"/>
        <w:rPr>
          <w:b/>
          <w:sz w:val="13"/>
        </w:rPr>
      </w:pPr>
    </w:p>
    <w:p>
      <w:pPr>
        <w:tabs>
          <w:tab w:pos="4054" w:val="left" w:leader="none"/>
          <w:tab w:pos="4899" w:val="left" w:leader="none"/>
          <w:tab w:pos="5798" w:val="left" w:leader="none"/>
        </w:tabs>
        <w:spacing w:before="1"/>
        <w:ind w:left="3394" w:right="0" w:firstLine="0"/>
        <w:jc w:val="left"/>
        <w:rPr>
          <w:b/>
          <w:sz w:val="9"/>
        </w:rPr>
      </w:pPr>
      <w:r>
        <w:rPr/>
        <w:pict>
          <v:group style="position:absolute;margin-left:203.042847pt;margin-top:12.152036pt;width:235.9pt;height:236.6pt;mso-position-horizontal-relative:page;mso-position-vertical-relative:paragraph;z-index:11680;mso-wrap-distance-left:0;mso-wrap-distance-right:0" coordorigin="4061,243" coordsize="4718,4732">
            <v:shape style="position:absolute;left:6169;top:2389;width:478;height:479" type="#_x0000_t75" stroked="false">
              <v:imagedata r:id="rId113" o:title=""/>
            </v:shape>
            <v:shape style="position:absolute;left:4061;top:278;width:4692;height:4696" type="#_x0000_t75" stroked="false">
              <v:imagedata r:id="rId223" o:title=""/>
            </v:shape>
            <v:line style="position:absolute" from="7815,2623" to="8739,2775" stroked="true" strokeweight="1.223655pt" strokecolor="#1ac31a"/>
            <v:line style="position:absolute" from="8739,2775" to="8728,2916" stroked="true" strokeweight="1.222562pt" strokecolor="#1ac31a"/>
            <v:line style="position:absolute" from="8728,2916" to="6403,2623" stroked="true" strokeweight="1.223667pt" strokecolor="#1ac31a"/>
            <v:line style="position:absolute" from="6403,2623" to="8674,3210" stroked="true" strokeweight="1.223614pt" strokecolor="#1ac31a"/>
            <v:line style="position:absolute" from="8674,3210" to="6403,2623" stroked="true" strokeweight="1.223614pt" strokecolor="#1ac31a"/>
            <v:line style="position:absolute" from="6403,2623" to="7489,3058" stroked="true" strokeweight="1.223528pt" strokecolor="#1ac31a"/>
            <v:line style="position:absolute" from="7489,3058" to="6403,2623" stroked="true" strokeweight="1.223528pt" strokecolor="#1ac31a"/>
            <v:line style="position:absolute" from="6403,2623" to="7392,3253" stroked="true" strokeweight="1.223358pt" strokecolor="#1ac31a"/>
            <v:line style="position:absolute" from="7392,3253" to="7348,3319" stroked="true" strokeweight="1.222903pt" strokecolor="#1ac31a"/>
            <v:line style="position:absolute" from="7348,3319" to="7305,3373" stroked="true" strokeweight="1.222996pt" strokecolor="#1ac31a"/>
            <v:line style="position:absolute" from="7305,3373" to="8109,4232" stroked="true" strokeweight="1.223083pt" strokecolor="#1ac31a"/>
            <v:line style="position:absolute" from="8109,4232" to="7207,3482" stroked="true" strokeweight="1.223223pt" strokecolor="#1ac31a"/>
            <v:line style="position:absolute" from="7207,3482" to="7153,3525" stroked="true" strokeweight="1.223243pt" strokecolor="#1ac31a"/>
            <v:line style="position:absolute" from="7153,3525" to="6403,2623" stroked="true" strokeweight="1.223016pt" strokecolor="#1ac31a"/>
            <v:line style="position:absolute" from="6403,2623" to="7663,4602" stroked="true" strokeweight="1.222881pt" strokecolor="#1ac31a"/>
            <v:line style="position:absolute" from="7663,4602" to="6968,3656" stroked="true" strokeweight="1.222952pt" strokecolor="#1ac31a"/>
            <v:line style="position:absolute" from="6968,3656" to="6609,3047" stroked="true" strokeweight="1.222846pt" strokecolor="#1ac31a"/>
            <v:line style="position:absolute" from="6609,3047" to="6403,2623" stroked="true" strokeweight="1.222772pt" strokecolor="#1ac31a"/>
            <v:shape style="position:absolute;left:7779;top:2587;width:76;height:76" type="#_x0000_t75" stroked="false">
              <v:imagedata r:id="rId115" o:title=""/>
            </v:shape>
            <v:shape style="position:absolute;left:8703;top:2739;width:76;height:76" type="#_x0000_t75" stroked="false">
              <v:imagedata r:id="rId115" o:title=""/>
            </v:shape>
            <v:shape style="position:absolute;left:8692;top:2881;width:76;height:76" type="#_x0000_t75" stroked="false">
              <v:imagedata r:id="rId115" o:title=""/>
            </v:shape>
            <v:shape style="position:absolute;left:8637;top:3174;width:76;height:76" type="#_x0000_t75" stroked="false">
              <v:imagedata r:id="rId115" o:title=""/>
            </v:shape>
            <v:shape style="position:absolute;left:7453;top:3022;width:76;height:76" type="#_x0000_t75" stroked="false">
              <v:imagedata r:id="rId115" o:title=""/>
            </v:shape>
            <v:shape style="position:absolute;left:8072;top:4197;width:76;height:76" type="#_x0000_t75" stroked="false">
              <v:imagedata r:id="rId115" o:title=""/>
            </v:shape>
            <v:shape style="position:absolute;left:7116;top:3218;width:315;height:348" type="#_x0000_t75" stroked="false">
              <v:imagedata r:id="rId139" o:title=""/>
            </v:shape>
            <v:shape style="position:absolute;left:7627;top:4567;width:76;height:76" type="#_x0000_t75" stroked="false">
              <v:imagedata r:id="rId115" o:title=""/>
            </v:shape>
            <v:shape style="position:absolute;left:6931;top:3620;width:76;height:76" type="#_x0000_t75" stroked="false">
              <v:imagedata r:id="rId115" o:title=""/>
            </v:shape>
            <v:shape style="position:absolute;left:6573;top:3011;width:76;height:76" type="#_x0000_t75" stroked="false">
              <v:imagedata r:id="rId115" o:title=""/>
            </v:shape>
            <v:shape style="position:absolute;left:6366;top:2587;width:76;height:76" type="#_x0000_t75" stroked="false">
              <v:imagedata r:id="rId224" o:title=""/>
            </v:shape>
            <v:line style="position:absolute" from="5403,4744" to="6403,2623" stroked="true" strokeweight="1.222761pt" strokecolor="#ffca00"/>
            <v:line style="position:absolute" from="6403,2623" to="5153,4602" stroked="true" strokeweight="1.222877pt" strokecolor="#ffca00"/>
            <v:line style="position:absolute" from="5153,4602" to="5164,4330" stroked="true" strokeweight="1.222557pt" strokecolor="#ffca00"/>
            <v:line style="position:absolute" from="5164,4330" to="5512,3710" stroked="true" strokeweight="1.222826pt" strokecolor="#ffca00"/>
            <v:line style="position:absolute" from="5512,3710" to="5446,3645" stroked="true" strokeweight="1.22312pt" strokecolor="#ffca00"/>
            <v:line style="position:absolute" from="5446,3645" to="6403,2623" stroked="true" strokeweight="1.223082pt" strokecolor="#ffca00"/>
            <v:line style="position:absolute" from="6403,2623" to="5077,3591" stroked="true" strokeweight="1.223292pt" strokecolor="#ffca00"/>
            <v:line style="position:absolute" from="5077,3591" to="6403,2623" stroked="true" strokeweight="1.223292pt" strokecolor="#ffca00"/>
            <v:line style="position:absolute" from="6403,2623" to="5175,3308" stroked="true" strokeweight="1.223416pt" strokecolor="#ffca00"/>
            <v:shape style="position:absolute;left:5366;top:4708;width:76;height:76" type="#_x0000_t75" stroked="false">
              <v:imagedata r:id="rId119" o:title=""/>
            </v:shape>
            <v:shape style="position:absolute;left:5116;top:4567;width:76;height:76" type="#_x0000_t75" stroked="false">
              <v:imagedata r:id="rId119" o:title=""/>
            </v:shape>
            <v:shape style="position:absolute;left:5127;top:4295;width:76;height:76" type="#_x0000_t75" stroked="false">
              <v:imagedata r:id="rId119" o:title=""/>
            </v:shape>
            <v:shape style="position:absolute;left:5410;top:3609;width:141;height:141" type="#_x0000_t75" stroked="false">
              <v:imagedata r:id="rId225" o:title=""/>
            </v:shape>
            <v:shape style="position:absolute;left:5040;top:3555;width:76;height:76" type="#_x0000_t75" stroked="false">
              <v:imagedata r:id="rId119" o:title=""/>
            </v:shape>
            <v:shape style="position:absolute;left:6366;top:2587;width:76;height:76" type="#_x0000_t75" stroked="false">
              <v:imagedata r:id="rId226" o:title=""/>
            </v:shape>
            <v:shape style="position:absolute;left:5138;top:3272;width:76;height:76" type="#_x0000_t75" stroked="false">
              <v:imagedata r:id="rId119" o:title=""/>
            </v:shape>
            <v:line style="position:absolute" from="5273,2329" to="5294,2264" stroked="true" strokeweight="1.222668pt" strokecolor="#927200"/>
            <v:line style="position:absolute" from="5294,2264" to="4229,1763" stroked="true" strokeweight="1.223480pt" strokecolor="#927200"/>
            <v:line style="position:absolute" from="4229,1763" to="5349,2122" stroked="true" strokeweight="1.223579pt" strokecolor="#927200"/>
            <v:line style="position:absolute" from="5349,2122" to="5381,2057" stroked="true" strokeweight="1.222781pt" strokecolor="#927200"/>
            <v:line style="position:absolute" from="5381,2057" to="6403,2623" stroked="true" strokeweight="1.22342pt" strokecolor="#927200"/>
            <v:line style="position:absolute" from="6403,2623" to="5457,1937" stroked="true" strokeweight="1.223296pt" strokecolor="#927200"/>
            <v:line style="position:absolute" from="5457,1937" to="5686,2024" stroked="true" strokeweight="1.223541pt" strokecolor="#927200"/>
            <v:line style="position:absolute" from="5686,2024" to="5120,1426" stroked="true" strokeweight="1.223088pt" strokecolor="#927200"/>
            <v:line style="position:absolute" from="5120,1426" to="5349,1502" stroked="true" strokeweight="1.223571pt" strokecolor="#927200"/>
            <v:line style="position:absolute" from="5349,1502" to="5207,1176" stroked="true" strokeweight="1.222734pt" strokecolor="#927200"/>
            <v:line style="position:absolute" from="5207,1176" to="6131,2242" stroked="true" strokeweight="1.223040pt" strokecolor="#927200"/>
            <v:line style="position:absolute" from="6131,2242" to="5903,1829" stroked="true" strokeweight="1.222819pt" strokecolor="#927200"/>
            <v:line style="position:absolute" from="5903,1829" to="5838,1600" stroked="true" strokeweight="1.222641pt" strokecolor="#927200"/>
            <v:line style="position:absolute" from="5838,1600" to="6403,2623" stroked="true" strokeweight="1.22282pt" strokecolor="#927200"/>
            <v:shape style="position:absolute;left:5236;top:2228;width:98;height:141" type="#_x0000_t75" stroked="false">
              <v:imagedata r:id="rId161" o:title=""/>
            </v:shape>
            <v:shape style="position:absolute;left:4193;top:1728;width:76;height:76" type="#_x0000_t75" stroked="false">
              <v:imagedata r:id="rId122" o:title=""/>
            </v:shape>
            <v:shape style="position:absolute;left:5312;top:1902;width:185;height:261" type="#_x0000_t75" stroked="false">
              <v:imagedata r:id="rId180" o:title=""/>
            </v:shape>
            <v:shape style="position:absolute;left:5649;top:1989;width:76;height:76" type="#_x0000_t75" stroked="false">
              <v:imagedata r:id="rId122" o:title=""/>
            </v:shape>
            <v:shape style="position:absolute;left:5084;top:1390;width:76;height:76" type="#_x0000_t75" stroked="false">
              <v:imagedata r:id="rId122" o:title=""/>
            </v:shape>
            <v:shape style="position:absolute;left:5312;top:1467;width:76;height:76" type="#_x0000_t75" stroked="false">
              <v:imagedata r:id="rId122" o:title=""/>
            </v:shape>
            <v:shape style="position:absolute;left:5171;top:1140;width:76;height:76" type="#_x0000_t75" stroked="false">
              <v:imagedata r:id="rId122" o:title=""/>
            </v:shape>
            <v:shape style="position:absolute;left:6094;top:2206;width:76;height:76" type="#_x0000_t75" stroked="false">
              <v:imagedata r:id="rId122" o:title=""/>
            </v:shape>
            <v:shape style="position:absolute;left:5866;top:1793;width:76;height:76" type="#_x0000_t75" stroked="false">
              <v:imagedata r:id="rId122" o:title=""/>
            </v:shape>
            <v:shape style="position:absolute;left:5801;top:1564;width:76;height:76" type="#_x0000_t75" stroked="false">
              <v:imagedata r:id="rId122" o:title=""/>
            </v:shape>
            <v:shape style="position:absolute;left:6366;top:2587;width:76;height:76" type="#_x0000_t75" stroked="false">
              <v:imagedata r:id="rId227" o:title=""/>
            </v:shape>
            <v:shape style="position:absolute;left:6189;top:243;width:131;height:2442" type="#_x0000_t202" filled="false" stroked="false">
              <v:textbox inset="0,0,0,0">
                <w:txbxContent>
                  <w:p>
                    <w:pPr>
                      <w:spacing w:line="101" w:lineRule="exact" w:before="0"/>
                      <w:ind w:left="80" w:right="0" w:firstLine="0"/>
                      <w:jc w:val="left"/>
                      <w:rPr>
                        <w:rFonts w:ascii="Calibri"/>
                        <w:sz w:val="9"/>
                      </w:rPr>
                    </w:pPr>
                    <w:r>
                      <w:rPr>
                        <w:rFonts w:ascii="Calibri"/>
                        <w:color w:val="595959"/>
                        <w:w w:val="108"/>
                        <w:sz w:val="9"/>
                      </w:rPr>
                      <w:t>1</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0.9</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0.8</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0.7</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0.6</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0.5</w:t>
                    </w:r>
                  </w:p>
                  <w:p>
                    <w:pPr>
                      <w:spacing w:line="240" w:lineRule="auto" w:before="9"/>
                      <w:rPr>
                        <w:b/>
                        <w:sz w:val="10"/>
                      </w:rPr>
                    </w:pPr>
                  </w:p>
                  <w:p>
                    <w:pPr>
                      <w:spacing w:before="0"/>
                      <w:ind w:left="0" w:right="-15" w:firstLine="0"/>
                      <w:jc w:val="left"/>
                      <w:rPr>
                        <w:rFonts w:ascii="Calibri"/>
                        <w:sz w:val="9"/>
                      </w:rPr>
                    </w:pPr>
                    <w:r>
                      <w:rPr>
                        <w:rFonts w:ascii="Calibri"/>
                        <w:color w:val="595959"/>
                        <w:w w:val="110"/>
                        <w:sz w:val="9"/>
                      </w:rPr>
                      <w:t>0.4</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0.3</w:t>
                    </w:r>
                  </w:p>
                  <w:p>
                    <w:pPr>
                      <w:spacing w:line="240" w:lineRule="auto" w:before="9"/>
                      <w:rPr>
                        <w:b/>
                        <w:sz w:val="10"/>
                      </w:rPr>
                    </w:pPr>
                  </w:p>
                  <w:p>
                    <w:pPr>
                      <w:spacing w:before="0"/>
                      <w:ind w:left="0" w:right="-15" w:firstLine="0"/>
                      <w:jc w:val="left"/>
                      <w:rPr>
                        <w:rFonts w:ascii="Calibri"/>
                        <w:sz w:val="9"/>
                      </w:rPr>
                    </w:pPr>
                    <w:r>
                      <w:rPr>
                        <w:rFonts w:ascii="Calibri"/>
                        <w:color w:val="595959"/>
                        <w:w w:val="110"/>
                        <w:sz w:val="9"/>
                      </w:rPr>
                      <w:t>0.2</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0.1</w:t>
                    </w:r>
                  </w:p>
                  <w:p>
                    <w:pPr>
                      <w:spacing w:line="240" w:lineRule="auto" w:before="9"/>
                      <w:rPr>
                        <w:b/>
                        <w:sz w:val="10"/>
                      </w:rPr>
                    </w:pPr>
                  </w:p>
                  <w:p>
                    <w:pPr>
                      <w:spacing w:line="107" w:lineRule="exact" w:before="0"/>
                      <w:ind w:left="76" w:right="0" w:firstLine="0"/>
                      <w:jc w:val="left"/>
                      <w:rPr>
                        <w:rFonts w:ascii="Calibri"/>
                        <w:sz w:val="9"/>
                      </w:rPr>
                    </w:pPr>
                    <w:r>
                      <w:rPr>
                        <w:rFonts w:ascii="Calibri"/>
                        <w:color w:val="595959"/>
                        <w:w w:val="108"/>
                        <w:sz w:val="9"/>
                      </w:rPr>
                      <w:t>0</w:t>
                    </w:r>
                  </w:p>
                </w:txbxContent>
              </v:textbox>
              <w10:wrap type="none"/>
            </v:shape>
            <w10:wrap type="topAndBottom"/>
          </v:group>
        </w:pict>
      </w:r>
      <w:r>
        <w:rPr/>
        <w:pict>
          <v:group style="position:absolute;margin-left:243.623001pt;margin-top:.597736pt;width:11.7pt;height:3.3pt;mso-position-horizontal-relative:page;mso-position-vertical-relative:paragraph;z-index:11728" coordorigin="4872,12" coordsize="234,66">
            <v:line style="position:absolute" from="4885,42" to="5094,42" stroked="true" strokeweight="1.223684pt" strokecolor="#8448b0"/>
            <v:shape style="position:absolute;left:4957;top:17;width:55;height:55" coordorigin="4957,17" coordsize="55,55" path="m5000,17l4970,17,4957,30,4957,60,4970,72,5000,72,5012,60,5012,30,5000,17xe" filled="true" fillcolor="#6cacdd" stroked="false">
              <v:path arrowok="t"/>
              <v:fill type="solid"/>
            </v:shape>
            <v:shape style="position:absolute;left:4957;top:17;width:55;height:55" coordorigin="4957,17" coordsize="55,55" path="m5012,45l5012,60,5000,72,4985,72,4970,72,4957,60,4957,45,4957,30,4970,17,4985,17,5000,17,5012,30,5012,45xe" filled="false" stroked="true" strokeweight=".543609pt" strokecolor="#ff2600">
              <v:path arrowok="t"/>
            </v:shape>
            <w10:wrap type="none"/>
          </v:group>
        </w:pict>
      </w:r>
      <w:r>
        <w:rPr/>
        <w:pict>
          <v:group style="position:absolute;margin-left:276.630005pt;margin-top:.597736pt;width:11.7pt;height:3.3pt;mso-position-horizontal-relative:page;mso-position-vertical-relative:paragraph;z-index:-1146280" coordorigin="5533,12" coordsize="234,66">
            <v:line style="position:absolute" from="5545,42" to="5754,42" stroked="true" strokeweight="1.223684pt" strokecolor="#1ac31a"/>
            <v:shape style="position:absolute;left:5620;top:17;width:55;height:55" coordorigin="5620,17" coordsize="55,55" path="m5662,17l5632,17,5620,30,5620,60,5632,72,5662,72,5675,60,5675,30,5662,17xe" filled="true" fillcolor="#f2913f" stroked="false">
              <v:path arrowok="t"/>
              <v:fill type="solid"/>
            </v:shape>
            <v:shape style="position:absolute;left:5620;top:17;width:55;height:55" coordorigin="5620,17" coordsize="55,55" path="m5675,45l5675,60,5662,72,5647,72,5632,72,5620,60,5620,45,5620,30,5632,17,5647,17,5662,17,5675,30,5675,45xe" filled="false" stroked="true" strokeweight=".543609pt" strokecolor="#ff2600">
              <v:path arrowok="t"/>
            </v:shape>
            <w10:wrap type="none"/>
          </v:group>
        </w:pict>
      </w:r>
      <w:r>
        <w:rPr/>
        <w:pict>
          <v:group style="position:absolute;margin-left:318.871002pt;margin-top:.597736pt;width:11.7pt;height:3.3pt;mso-position-horizontal-relative:page;mso-position-vertical-relative:paragraph;z-index:-1146256" coordorigin="6377,12" coordsize="234,66">
            <v:line style="position:absolute" from="6390,42" to="6599,42" stroked="true" strokeweight="1.223684pt" strokecolor="#ffca00"/>
            <v:shape style="position:absolute;left:6467;top:17;width:55;height:55" coordorigin="6467,17" coordsize="55,55" path="m6509,17l6479,17,6467,30,6467,60,6479,72,6509,72,6521,60,6521,30,6509,17xe" filled="true" fillcolor="#b4b4b4" stroked="false">
              <v:path arrowok="t"/>
              <v:fill type="solid"/>
            </v:shape>
            <v:shape style="position:absolute;left:6467;top:17;width:55;height:55" coordorigin="6467,17" coordsize="55,55" path="m6521,45l6521,60,6509,72,6494,72,6479,72,6467,60,6467,45,6467,30,6479,17,6494,17,6509,17,6521,30,6521,45xe" filled="false" stroked="true" strokeweight=".543609pt" strokecolor="#ff2600">
              <v:path arrowok="t"/>
            </v:shape>
            <w10:wrap type="none"/>
          </v:group>
        </w:pict>
      </w:r>
      <w:r>
        <w:rPr/>
        <w:pict>
          <v:group style="position:absolute;margin-left:363.828979pt;margin-top:.597736pt;width:11.7pt;height:3.3pt;mso-position-horizontal-relative:page;mso-position-vertical-relative:paragraph;z-index:-1146232" coordorigin="7277,12" coordsize="234,66">
            <v:line style="position:absolute" from="7289,42" to="7498,42" stroked="true" strokeweight="1.223684pt" strokecolor="#927200"/>
            <v:shape style="position:absolute;left:7366;top:17;width:55;height:55" coordorigin="7366,17" coordsize="55,55" path="m7408,17l7378,17,7366,30,7366,60,7378,72,7408,72,7421,60,7421,30,7408,17xe" filled="true" fillcolor="#ffca00" stroked="false">
              <v:path arrowok="t"/>
              <v:fill type="solid"/>
            </v:shape>
            <v:shape style="position:absolute;left:7366;top:17;width:55;height:55" coordorigin="7366,17" coordsize="55,55" path="m7421,45l7421,60,7408,72,7393,72,7378,72,7366,60,7366,45,7366,30,7378,17,7393,17,7408,17,7421,30,7421,45xe" filled="false" stroked="true" strokeweight=".543609pt" strokecolor="#ff2600">
              <v:path arrowok="t"/>
            </v:shape>
            <w10:wrap type="none"/>
          </v:group>
        </w:pict>
      </w:r>
      <w:r>
        <w:rPr>
          <w:b/>
          <w:color w:val="595959"/>
          <w:w w:val="110"/>
          <w:sz w:val="9"/>
        </w:rPr>
        <w:t>Social</w:t>
        <w:tab/>
        <w:t>Ambiental</w:t>
        <w:tab/>
        <w:t>Económico</w:t>
        <w:tab/>
        <w:t>Territorial</w:t>
      </w:r>
    </w:p>
    <w:p>
      <w:pPr>
        <w:pStyle w:val="BodyText"/>
        <w:rPr>
          <w:b/>
          <w:sz w:val="20"/>
        </w:rPr>
      </w:pPr>
    </w:p>
    <w:p>
      <w:pPr>
        <w:pStyle w:val="BodyText"/>
        <w:spacing w:before="6"/>
        <w:rPr>
          <w:b/>
          <w:sz w:val="18"/>
        </w:rPr>
      </w:pPr>
    </w:p>
    <w:p>
      <w:pPr>
        <w:spacing w:before="79"/>
        <w:ind w:left="268" w:right="0" w:firstLine="0"/>
        <w:jc w:val="left"/>
        <w:rPr>
          <w:sz w:val="21"/>
        </w:rPr>
      </w:pPr>
      <w:r>
        <w:rPr>
          <w:w w:val="105"/>
          <w:sz w:val="21"/>
        </w:rPr>
        <w:t>Fuente: Elaboración propia con base al estudio realizado.</w:t>
      </w:r>
    </w:p>
    <w:p>
      <w:pPr>
        <w:pStyle w:val="BodyText"/>
        <w:spacing w:before="2"/>
        <w:rPr>
          <w:sz w:val="21"/>
        </w:rPr>
      </w:pPr>
    </w:p>
    <w:p>
      <w:pPr>
        <w:pStyle w:val="BodyText"/>
        <w:ind w:left="268"/>
      </w:pPr>
      <w:r>
        <w:rPr/>
        <w:pict>
          <v:rect style="position:absolute;margin-left:360.421997pt;margin-top:78.845070pt;width:66.029300pt;height:16.0198pt;mso-position-horizontal-relative:page;mso-position-vertical-relative:paragraph;z-index:-1146208" filled="true" fillcolor="#ffff00" stroked="false">
            <v:fill type="solid"/>
            <w10:wrap type="none"/>
          </v:rect>
        </w:pict>
      </w:r>
      <w:r>
        <w:rPr/>
        <w:pict>
          <v:rect style="position:absolute;margin-left:360.421997pt;margin-top:108.882072pt;width:66.029300pt;height:16.0198pt;mso-position-horizontal-relative:page;mso-position-vertical-relative:paragraph;z-index:-1146184" filled="true" fillcolor="#ffff00" stroked="false">
            <v:fill type="solid"/>
            <w10:wrap type="none"/>
          </v:rect>
        </w:pict>
      </w:r>
      <w:r>
        <w:rPr/>
        <w:t>Tabla 30. Resultado de índices de sustentabilidad Bosque de las Fuentes.</w:t>
      </w:r>
    </w:p>
    <w:p>
      <w:pPr>
        <w:pStyle w:val="BodyText"/>
        <w:spacing w:before="5"/>
        <w:rPr>
          <w:sz w:val="16"/>
        </w:rPr>
      </w:pPr>
    </w:p>
    <w:tbl>
      <w:tblPr>
        <w:tblW w:w="0" w:type="auto"/>
        <w:jc w:val="left"/>
        <w:tblInd w:w="134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92"/>
        <w:gridCol w:w="1340"/>
        <w:gridCol w:w="1303"/>
        <w:gridCol w:w="1298"/>
      </w:tblGrid>
      <w:tr>
        <w:trPr>
          <w:trHeight w:val="831" w:hRule="exact"/>
        </w:trPr>
        <w:tc>
          <w:tcPr>
            <w:tcW w:w="6733" w:type="dxa"/>
            <w:gridSpan w:val="4"/>
            <w:shd w:val="clear" w:color="auto" w:fill="000000"/>
          </w:tcPr>
          <w:p>
            <w:pPr>
              <w:pStyle w:val="TableParagraph"/>
              <w:spacing w:line="261" w:lineRule="auto" w:before="115"/>
              <w:ind w:left="1097" w:right="1015" w:firstLine="1053"/>
              <w:jc w:val="left"/>
              <w:rPr>
                <w:sz w:val="24"/>
              </w:rPr>
            </w:pPr>
            <w:r>
              <w:rPr>
                <w:color w:val="FFFFFF"/>
                <w:sz w:val="24"/>
              </w:rPr>
              <w:t>Bosque de las Fuentes Resultado de los Índices de</w:t>
            </w:r>
            <w:r>
              <w:rPr>
                <w:color w:val="FFFFFF"/>
                <w:spacing w:val="1"/>
                <w:sz w:val="24"/>
              </w:rPr>
              <w:t> </w:t>
            </w:r>
            <w:r>
              <w:rPr>
                <w:color w:val="FFFFFF"/>
                <w:sz w:val="24"/>
              </w:rPr>
              <w:t>sustentabilidad</w:t>
            </w:r>
          </w:p>
        </w:tc>
      </w:tr>
      <w:tr>
        <w:trPr>
          <w:trHeight w:val="280" w:hRule="exact"/>
        </w:trPr>
        <w:tc>
          <w:tcPr>
            <w:tcW w:w="2792" w:type="dxa"/>
            <w:tcBorders>
              <w:left w:val="single" w:sz="8" w:space="0" w:color="000000"/>
            </w:tcBorders>
          </w:tcPr>
          <w:p>
            <w:pPr/>
          </w:p>
        </w:tc>
        <w:tc>
          <w:tcPr>
            <w:tcW w:w="1340" w:type="dxa"/>
          </w:tcPr>
          <w:p>
            <w:pPr>
              <w:pStyle w:val="TableParagraph"/>
              <w:spacing w:line="261" w:lineRule="exact"/>
              <w:ind w:left="379" w:right="307"/>
              <w:rPr>
                <w:sz w:val="24"/>
              </w:rPr>
            </w:pPr>
            <w:r>
              <w:rPr>
                <w:sz w:val="24"/>
              </w:rPr>
              <w:t>Real</w:t>
            </w:r>
          </w:p>
        </w:tc>
        <w:tc>
          <w:tcPr>
            <w:tcW w:w="1303" w:type="dxa"/>
          </w:tcPr>
          <w:p>
            <w:pPr>
              <w:pStyle w:val="TableParagraph"/>
              <w:spacing w:line="261" w:lineRule="exact"/>
              <w:ind w:left="140" w:right="109"/>
              <w:rPr>
                <w:sz w:val="24"/>
              </w:rPr>
            </w:pPr>
            <w:r>
              <w:rPr>
                <w:sz w:val="24"/>
              </w:rPr>
              <w:t>Deseable</w:t>
            </w:r>
          </w:p>
        </w:tc>
        <w:tc>
          <w:tcPr>
            <w:tcW w:w="1298" w:type="dxa"/>
            <w:tcBorders>
              <w:right w:val="single" w:sz="16" w:space="0" w:color="000000"/>
            </w:tcBorders>
          </w:tcPr>
          <w:p>
            <w:pPr>
              <w:pStyle w:val="TableParagraph"/>
              <w:spacing w:line="261" w:lineRule="exact"/>
              <w:ind w:left="257" w:right="206"/>
              <w:rPr>
                <w:sz w:val="24"/>
              </w:rPr>
            </w:pPr>
            <w:r>
              <w:rPr>
                <w:sz w:val="24"/>
              </w:rPr>
              <w:t>Óptimo</w:t>
            </w:r>
          </w:p>
        </w:tc>
      </w:tr>
      <w:tr>
        <w:trPr>
          <w:trHeight w:val="320" w:hRule="exact"/>
        </w:trPr>
        <w:tc>
          <w:tcPr>
            <w:tcW w:w="2792" w:type="dxa"/>
            <w:tcBorders>
              <w:left w:val="single" w:sz="8" w:space="0" w:color="000000"/>
            </w:tcBorders>
          </w:tcPr>
          <w:p>
            <w:pPr>
              <w:pStyle w:val="TableParagraph"/>
              <w:spacing w:before="5"/>
              <w:ind w:left="40"/>
              <w:jc w:val="left"/>
              <w:rPr>
                <w:sz w:val="24"/>
              </w:rPr>
            </w:pPr>
            <w:r>
              <w:rPr>
                <w:sz w:val="24"/>
              </w:rPr>
              <w:t>Índice Social</w:t>
            </w:r>
          </w:p>
        </w:tc>
        <w:tc>
          <w:tcPr>
            <w:tcW w:w="1340" w:type="dxa"/>
          </w:tcPr>
          <w:p>
            <w:pPr>
              <w:pStyle w:val="TableParagraph"/>
              <w:tabs>
                <w:tab w:pos="459" w:val="left" w:leader="none"/>
                <w:tab w:pos="1359" w:val="left" w:leader="none"/>
              </w:tabs>
              <w:spacing w:before="5"/>
              <w:ind w:left="38" w:right="-20"/>
              <w:rPr>
                <w:sz w:val="24"/>
              </w:rPr>
            </w:pPr>
            <w:r>
              <w:rPr>
                <w:w w:val="100"/>
                <w:sz w:val="24"/>
                <w:shd w:fill="F79646" w:color="auto" w:val="clear"/>
              </w:rPr>
              <w:t> </w:t>
            </w:r>
            <w:r>
              <w:rPr>
                <w:sz w:val="24"/>
                <w:shd w:fill="F79646" w:color="auto" w:val="clear"/>
              </w:rPr>
              <w:tab/>
              <w:t>12.1</w:t>
              <w:tab/>
            </w:r>
          </w:p>
        </w:tc>
        <w:tc>
          <w:tcPr>
            <w:tcW w:w="1303" w:type="dxa"/>
          </w:tcPr>
          <w:p>
            <w:pPr>
              <w:pStyle w:val="TableParagraph"/>
              <w:spacing w:before="5"/>
              <w:ind w:left="135" w:right="109"/>
              <w:rPr>
                <w:sz w:val="24"/>
              </w:rPr>
            </w:pPr>
            <w:r>
              <w:rPr>
                <w:sz w:val="24"/>
              </w:rPr>
              <w:t>11.4</w:t>
            </w:r>
          </w:p>
        </w:tc>
        <w:tc>
          <w:tcPr>
            <w:tcW w:w="1298" w:type="dxa"/>
            <w:tcBorders>
              <w:right w:val="single" w:sz="16" w:space="0" w:color="000000"/>
            </w:tcBorders>
            <w:shd w:val="clear" w:color="auto" w:fill="67ED4D"/>
          </w:tcPr>
          <w:p>
            <w:pPr>
              <w:pStyle w:val="TableParagraph"/>
              <w:spacing w:before="5"/>
              <w:ind w:left="230" w:right="206"/>
              <w:rPr>
                <w:sz w:val="24"/>
              </w:rPr>
            </w:pPr>
            <w:r>
              <w:rPr>
                <w:sz w:val="24"/>
              </w:rPr>
              <w:t>15</w:t>
            </w:r>
          </w:p>
        </w:tc>
      </w:tr>
      <w:tr>
        <w:trPr>
          <w:trHeight w:val="280" w:hRule="exact"/>
        </w:trPr>
        <w:tc>
          <w:tcPr>
            <w:tcW w:w="6733" w:type="dxa"/>
            <w:gridSpan w:val="4"/>
            <w:tcBorders>
              <w:left w:val="single" w:sz="8" w:space="0" w:color="000000"/>
              <w:right w:val="single" w:sz="16" w:space="0" w:color="000000"/>
            </w:tcBorders>
          </w:tcPr>
          <w:p>
            <w:pPr/>
          </w:p>
        </w:tc>
      </w:tr>
      <w:tr>
        <w:trPr>
          <w:trHeight w:val="320" w:hRule="exact"/>
        </w:trPr>
        <w:tc>
          <w:tcPr>
            <w:tcW w:w="2792" w:type="dxa"/>
            <w:tcBorders>
              <w:left w:val="single" w:sz="8" w:space="0" w:color="000000"/>
            </w:tcBorders>
          </w:tcPr>
          <w:p>
            <w:pPr>
              <w:pStyle w:val="TableParagraph"/>
              <w:spacing w:before="5"/>
              <w:ind w:left="40"/>
              <w:jc w:val="left"/>
              <w:rPr>
                <w:sz w:val="24"/>
              </w:rPr>
            </w:pPr>
            <w:r>
              <w:rPr>
                <w:sz w:val="24"/>
              </w:rPr>
              <w:t>Índice Ambiental</w:t>
            </w:r>
          </w:p>
        </w:tc>
        <w:tc>
          <w:tcPr>
            <w:tcW w:w="1340" w:type="dxa"/>
          </w:tcPr>
          <w:p>
            <w:pPr>
              <w:pStyle w:val="TableParagraph"/>
              <w:tabs>
                <w:tab w:pos="539" w:val="left" w:leader="none"/>
                <w:tab w:pos="1359" w:val="left" w:leader="none"/>
              </w:tabs>
              <w:spacing w:before="5"/>
              <w:ind w:left="38" w:right="-21"/>
              <w:rPr>
                <w:sz w:val="24"/>
              </w:rPr>
            </w:pPr>
            <w:r>
              <w:rPr>
                <w:w w:val="100"/>
                <w:sz w:val="24"/>
                <w:shd w:fill="F79646" w:color="auto" w:val="clear"/>
              </w:rPr>
              <w:t> </w:t>
            </w:r>
            <w:r>
              <w:rPr>
                <w:sz w:val="24"/>
                <w:shd w:fill="F79646" w:color="auto" w:val="clear"/>
              </w:rPr>
              <w:tab/>
              <w:t>9.3</w:t>
              <w:tab/>
            </w:r>
          </w:p>
        </w:tc>
        <w:tc>
          <w:tcPr>
            <w:tcW w:w="1303" w:type="dxa"/>
          </w:tcPr>
          <w:p>
            <w:pPr>
              <w:pStyle w:val="TableParagraph"/>
              <w:spacing w:before="5"/>
              <w:ind w:left="113" w:right="109"/>
              <w:rPr>
                <w:sz w:val="24"/>
              </w:rPr>
            </w:pPr>
            <w:r>
              <w:rPr>
                <w:sz w:val="24"/>
              </w:rPr>
              <w:t>18.3</w:t>
            </w:r>
          </w:p>
        </w:tc>
        <w:tc>
          <w:tcPr>
            <w:tcW w:w="1298" w:type="dxa"/>
            <w:tcBorders>
              <w:right w:val="single" w:sz="16" w:space="0" w:color="000000"/>
            </w:tcBorders>
            <w:shd w:val="clear" w:color="auto" w:fill="67ED4D"/>
          </w:tcPr>
          <w:p>
            <w:pPr>
              <w:pStyle w:val="TableParagraph"/>
              <w:spacing w:before="5"/>
              <w:ind w:left="230" w:right="206"/>
              <w:rPr>
                <w:sz w:val="24"/>
              </w:rPr>
            </w:pPr>
            <w:r>
              <w:rPr>
                <w:sz w:val="24"/>
              </w:rPr>
              <w:t>24</w:t>
            </w:r>
          </w:p>
        </w:tc>
      </w:tr>
      <w:tr>
        <w:trPr>
          <w:trHeight w:val="280" w:hRule="exact"/>
        </w:trPr>
        <w:tc>
          <w:tcPr>
            <w:tcW w:w="6733" w:type="dxa"/>
            <w:gridSpan w:val="4"/>
            <w:tcBorders>
              <w:left w:val="single" w:sz="8" w:space="0" w:color="000000"/>
              <w:right w:val="single" w:sz="16" w:space="0" w:color="000000"/>
            </w:tcBorders>
          </w:tcPr>
          <w:p>
            <w:pPr/>
          </w:p>
        </w:tc>
      </w:tr>
      <w:tr>
        <w:trPr>
          <w:trHeight w:val="320" w:hRule="exact"/>
        </w:trPr>
        <w:tc>
          <w:tcPr>
            <w:tcW w:w="2792" w:type="dxa"/>
            <w:tcBorders>
              <w:left w:val="single" w:sz="8" w:space="0" w:color="000000"/>
            </w:tcBorders>
          </w:tcPr>
          <w:p>
            <w:pPr>
              <w:pStyle w:val="TableParagraph"/>
              <w:spacing w:before="5"/>
              <w:ind w:left="40"/>
              <w:jc w:val="left"/>
              <w:rPr>
                <w:sz w:val="24"/>
              </w:rPr>
            </w:pPr>
            <w:r>
              <w:rPr>
                <w:sz w:val="24"/>
              </w:rPr>
              <w:t>Índice Económico</w:t>
            </w:r>
          </w:p>
        </w:tc>
        <w:tc>
          <w:tcPr>
            <w:tcW w:w="1340" w:type="dxa"/>
          </w:tcPr>
          <w:p>
            <w:pPr>
              <w:pStyle w:val="TableParagraph"/>
              <w:tabs>
                <w:tab w:pos="539" w:val="left" w:leader="none"/>
                <w:tab w:pos="1359" w:val="left" w:leader="none"/>
              </w:tabs>
              <w:spacing w:before="5"/>
              <w:ind w:left="38" w:right="-21"/>
              <w:rPr>
                <w:sz w:val="24"/>
              </w:rPr>
            </w:pPr>
            <w:r>
              <w:rPr>
                <w:w w:val="100"/>
                <w:sz w:val="24"/>
                <w:shd w:fill="F79646" w:color="auto" w:val="clear"/>
              </w:rPr>
              <w:t> </w:t>
            </w:r>
            <w:r>
              <w:rPr>
                <w:sz w:val="24"/>
                <w:shd w:fill="F79646" w:color="auto" w:val="clear"/>
              </w:rPr>
              <w:tab/>
              <w:t>5.4</w:t>
              <w:tab/>
            </w:r>
          </w:p>
        </w:tc>
        <w:tc>
          <w:tcPr>
            <w:tcW w:w="1303" w:type="dxa"/>
          </w:tcPr>
          <w:p>
            <w:pPr>
              <w:pStyle w:val="TableParagraph"/>
              <w:spacing w:before="5"/>
              <w:ind w:left="30"/>
              <w:rPr>
                <w:sz w:val="24"/>
              </w:rPr>
            </w:pPr>
            <w:r>
              <w:rPr>
                <w:w w:val="100"/>
                <w:sz w:val="24"/>
              </w:rPr>
              <w:t>9</w:t>
            </w:r>
          </w:p>
        </w:tc>
        <w:tc>
          <w:tcPr>
            <w:tcW w:w="1298" w:type="dxa"/>
            <w:tcBorders>
              <w:right w:val="single" w:sz="16" w:space="0" w:color="000000"/>
            </w:tcBorders>
            <w:shd w:val="clear" w:color="auto" w:fill="67ED4D"/>
          </w:tcPr>
          <w:p>
            <w:pPr>
              <w:pStyle w:val="TableParagraph"/>
              <w:spacing w:before="5"/>
              <w:ind w:left="234" w:right="206"/>
              <w:rPr>
                <w:sz w:val="24"/>
              </w:rPr>
            </w:pPr>
            <w:r>
              <w:rPr>
                <w:sz w:val="24"/>
              </w:rPr>
              <w:t>11</w:t>
            </w:r>
          </w:p>
        </w:tc>
      </w:tr>
      <w:tr>
        <w:trPr>
          <w:trHeight w:val="881" w:hRule="exact"/>
        </w:trPr>
        <w:tc>
          <w:tcPr>
            <w:tcW w:w="2792" w:type="dxa"/>
            <w:tcBorders>
              <w:left w:val="single" w:sz="8" w:space="0" w:color="000000"/>
            </w:tcBorders>
          </w:tcPr>
          <w:p>
            <w:pPr>
              <w:pStyle w:val="TableParagraph"/>
              <w:spacing w:before="9"/>
              <w:jc w:val="left"/>
              <w:rPr>
                <w:sz w:val="24"/>
              </w:rPr>
            </w:pPr>
          </w:p>
          <w:p>
            <w:pPr>
              <w:pStyle w:val="TableParagraph"/>
              <w:ind w:left="40"/>
              <w:jc w:val="left"/>
              <w:rPr>
                <w:sz w:val="24"/>
              </w:rPr>
            </w:pPr>
            <w:r>
              <w:rPr>
                <w:sz w:val="24"/>
              </w:rPr>
              <w:t>Índice Territorio</w:t>
            </w:r>
          </w:p>
        </w:tc>
        <w:tc>
          <w:tcPr>
            <w:tcW w:w="1340" w:type="dxa"/>
          </w:tcPr>
          <w:p>
            <w:pPr>
              <w:pStyle w:val="TableParagraph"/>
              <w:spacing w:before="9"/>
              <w:jc w:val="left"/>
              <w:rPr>
                <w:sz w:val="24"/>
              </w:rPr>
            </w:pPr>
          </w:p>
          <w:p>
            <w:pPr>
              <w:pStyle w:val="TableParagraph"/>
              <w:tabs>
                <w:tab w:pos="459" w:val="left" w:leader="none"/>
                <w:tab w:pos="1359" w:val="left" w:leader="none"/>
              </w:tabs>
              <w:ind w:left="38" w:right="-20"/>
              <w:rPr>
                <w:sz w:val="24"/>
              </w:rPr>
            </w:pPr>
            <w:r>
              <w:rPr>
                <w:w w:val="100"/>
                <w:sz w:val="24"/>
                <w:shd w:fill="F79646" w:color="auto" w:val="clear"/>
              </w:rPr>
              <w:t> </w:t>
            </w:r>
            <w:r>
              <w:rPr>
                <w:sz w:val="24"/>
                <w:shd w:fill="F79646" w:color="auto" w:val="clear"/>
              </w:rPr>
              <w:tab/>
              <w:t>7.21</w:t>
              <w:tab/>
            </w:r>
          </w:p>
        </w:tc>
        <w:tc>
          <w:tcPr>
            <w:tcW w:w="1303" w:type="dxa"/>
          </w:tcPr>
          <w:p>
            <w:pPr>
              <w:pStyle w:val="TableParagraph"/>
              <w:spacing w:before="9"/>
              <w:jc w:val="left"/>
              <w:rPr>
                <w:sz w:val="24"/>
              </w:rPr>
            </w:pPr>
          </w:p>
          <w:p>
            <w:pPr>
              <w:pStyle w:val="TableParagraph"/>
              <w:tabs>
                <w:tab w:pos="360" w:val="left" w:leader="none"/>
                <w:tab w:pos="1320" w:val="left" w:leader="none"/>
              </w:tabs>
              <w:ind w:right="-18"/>
              <w:rPr>
                <w:sz w:val="24"/>
              </w:rPr>
            </w:pPr>
            <w:r>
              <w:rPr>
                <w:w w:val="100"/>
                <w:sz w:val="24"/>
                <w:shd w:fill="FFFF00" w:color="auto" w:val="clear"/>
              </w:rPr>
              <w:t> </w:t>
            </w:r>
            <w:r>
              <w:rPr>
                <w:sz w:val="24"/>
                <w:shd w:fill="FFFF00" w:color="auto" w:val="clear"/>
              </w:rPr>
              <w:tab/>
              <w:t>12.66</w:t>
              <w:tab/>
            </w:r>
          </w:p>
        </w:tc>
        <w:tc>
          <w:tcPr>
            <w:tcW w:w="1298" w:type="dxa"/>
            <w:tcBorders>
              <w:right w:val="single" w:sz="16" w:space="0" w:color="000000"/>
            </w:tcBorders>
          </w:tcPr>
          <w:p>
            <w:pPr>
              <w:pStyle w:val="TableParagraph"/>
              <w:spacing w:before="9"/>
              <w:jc w:val="left"/>
              <w:rPr>
                <w:sz w:val="24"/>
              </w:rPr>
            </w:pPr>
          </w:p>
          <w:p>
            <w:pPr>
              <w:pStyle w:val="TableParagraph"/>
              <w:ind w:left="230" w:right="206"/>
              <w:rPr>
                <w:sz w:val="24"/>
              </w:rPr>
            </w:pPr>
            <w:r>
              <w:rPr>
                <w:sz w:val="24"/>
              </w:rPr>
              <w:t>17</w:t>
            </w:r>
          </w:p>
        </w:tc>
      </w:tr>
      <w:tr>
        <w:trPr>
          <w:trHeight w:val="501" w:hRule="exact"/>
        </w:trPr>
        <w:tc>
          <w:tcPr>
            <w:tcW w:w="2792" w:type="dxa"/>
            <w:tcBorders>
              <w:left w:val="single" w:sz="8" w:space="0" w:color="000000"/>
              <w:bottom w:val="single" w:sz="16" w:space="0" w:color="000000"/>
            </w:tcBorders>
          </w:tcPr>
          <w:p>
            <w:pPr>
              <w:pStyle w:val="TableParagraph"/>
              <w:spacing w:before="105"/>
              <w:ind w:left="60"/>
              <w:jc w:val="left"/>
              <w:rPr>
                <w:sz w:val="24"/>
              </w:rPr>
            </w:pPr>
            <w:r>
              <w:rPr>
                <w:sz w:val="24"/>
              </w:rPr>
              <w:t>Índice de Sustentabilidad</w:t>
            </w:r>
          </w:p>
        </w:tc>
        <w:tc>
          <w:tcPr>
            <w:tcW w:w="1340" w:type="dxa"/>
            <w:tcBorders>
              <w:bottom w:val="single" w:sz="16" w:space="0" w:color="000000"/>
            </w:tcBorders>
          </w:tcPr>
          <w:p>
            <w:pPr>
              <w:pStyle w:val="TableParagraph"/>
              <w:spacing w:before="105"/>
              <w:ind w:left="379" w:right="320"/>
              <w:rPr>
                <w:sz w:val="24"/>
              </w:rPr>
            </w:pPr>
            <w:r>
              <w:rPr>
                <w:sz w:val="24"/>
              </w:rPr>
              <w:t>34.01</w:t>
            </w:r>
          </w:p>
        </w:tc>
        <w:tc>
          <w:tcPr>
            <w:tcW w:w="1303" w:type="dxa"/>
            <w:tcBorders>
              <w:bottom w:val="single" w:sz="16" w:space="0" w:color="000000"/>
              <w:right w:val="single" w:sz="8" w:space="0" w:color="FFFFFF"/>
            </w:tcBorders>
            <w:shd w:val="clear" w:color="auto" w:fill="FFFF00"/>
          </w:tcPr>
          <w:p>
            <w:pPr>
              <w:pStyle w:val="TableParagraph"/>
              <w:spacing w:before="105"/>
              <w:ind w:left="340" w:right="312"/>
              <w:rPr>
                <w:sz w:val="24"/>
              </w:rPr>
            </w:pPr>
            <w:r>
              <w:rPr>
                <w:sz w:val="24"/>
              </w:rPr>
              <w:t>51.36</w:t>
            </w:r>
          </w:p>
        </w:tc>
        <w:tc>
          <w:tcPr>
            <w:tcW w:w="1298" w:type="dxa"/>
            <w:tcBorders>
              <w:left w:val="single" w:sz="8" w:space="0" w:color="FFFFFF"/>
              <w:bottom w:val="single" w:sz="16" w:space="0" w:color="000000"/>
              <w:right w:val="single" w:sz="16" w:space="0" w:color="000000"/>
            </w:tcBorders>
            <w:shd w:val="clear" w:color="auto" w:fill="67ED4D"/>
          </w:tcPr>
          <w:p>
            <w:pPr>
              <w:pStyle w:val="TableParagraph"/>
              <w:spacing w:before="105"/>
              <w:ind w:left="487" w:right="473"/>
              <w:rPr>
                <w:sz w:val="24"/>
              </w:rPr>
            </w:pPr>
            <w:r>
              <w:rPr>
                <w:sz w:val="24"/>
              </w:rPr>
              <w:t>67</w:t>
            </w:r>
          </w:p>
        </w:tc>
      </w:tr>
    </w:tbl>
    <w:p>
      <w:pPr>
        <w:pStyle w:val="BodyText"/>
        <w:spacing w:before="1"/>
        <w:rPr>
          <w:sz w:val="35"/>
        </w:rPr>
      </w:pPr>
    </w:p>
    <w:p>
      <w:pPr>
        <w:spacing w:before="1"/>
        <w:ind w:left="696" w:right="0" w:firstLine="0"/>
        <w:jc w:val="left"/>
        <w:rPr>
          <w:sz w:val="21"/>
        </w:rPr>
      </w:pPr>
      <w:r>
        <w:rPr/>
        <w:pict>
          <v:rect style="position:absolute;margin-left:360.421997pt;margin-top:-106.277924pt;width:66.029300pt;height:16.0198pt;mso-position-horizontal-relative:page;mso-position-vertical-relative:paragraph;z-index:-1146160" filled="true" fillcolor="#ffff00" stroked="false">
            <v:fill type="solid"/>
            <w10:wrap type="none"/>
          </v:rect>
        </w:pict>
      </w:r>
      <w:r>
        <w:rPr/>
        <w:pict>
          <v:rect style="position:absolute;margin-left:425.450989pt;margin-top:-76.239922pt;width:66.029300pt;height:16.0198pt;mso-position-horizontal-relative:page;mso-position-vertical-relative:paragraph;z-index:-1146136" filled="true" fillcolor="#67ed4d" stroked="false">
            <v:fill type="solid"/>
            <w10:wrap type="none"/>
          </v:rect>
        </w:pict>
      </w:r>
      <w:r>
        <w:rPr/>
        <w:pict>
          <v:rect style="position:absolute;margin-left:295.393005pt;margin-top:-46.203323pt;width:66.029300pt;height:26.0322pt;mso-position-horizontal-relative:page;mso-position-vertical-relative:paragraph;z-index:-1146112" filled="true" fillcolor="#f79646"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rPr>
          <w:sz w:val="20"/>
        </w:rPr>
      </w:pPr>
    </w:p>
    <w:p>
      <w:pPr>
        <w:pStyle w:val="BodyText"/>
        <w:rPr>
          <w:sz w:val="20"/>
        </w:rPr>
      </w:pPr>
    </w:p>
    <w:p>
      <w:pPr>
        <w:pStyle w:val="BodyText"/>
        <w:rPr>
          <w:sz w:val="20"/>
        </w:rPr>
      </w:pPr>
    </w:p>
    <w:p>
      <w:pPr>
        <w:pStyle w:val="BodyText"/>
        <w:spacing w:before="6"/>
        <w:rPr>
          <w:sz w:val="16"/>
        </w:rPr>
      </w:pPr>
    </w:p>
    <w:p>
      <w:pPr>
        <w:spacing w:before="78"/>
        <w:ind w:left="268" w:right="0" w:firstLine="0"/>
        <w:jc w:val="left"/>
        <w:rPr>
          <w:sz w:val="21"/>
        </w:rPr>
      </w:pPr>
      <w:r>
        <w:rPr/>
        <w:pict>
          <v:line style="position:absolute;mso-position-horizontal-relative:page;mso-position-vertical-relative:paragraph;z-index:11944" from="93.199997pt,-53.21109pt" to="546.799997pt,-53.21109pt" stroked="true" strokeweight=".479981pt" strokecolor="#000000">
            <w10:wrap type="none"/>
          </v:line>
        </w:pict>
      </w:r>
      <w:r>
        <w:rPr>
          <w:w w:val="105"/>
          <w:sz w:val="21"/>
        </w:rPr>
        <w:t>Gráfica 15. Escenario de resultados por índices.</w:t>
      </w:r>
    </w:p>
    <w:p>
      <w:pPr>
        <w:pStyle w:val="BodyText"/>
        <w:rPr>
          <w:sz w:val="20"/>
        </w:rPr>
      </w:pPr>
    </w:p>
    <w:p>
      <w:pPr>
        <w:pStyle w:val="BodyText"/>
        <w:rPr>
          <w:sz w:val="20"/>
        </w:rPr>
      </w:pPr>
    </w:p>
    <w:p>
      <w:pPr>
        <w:pStyle w:val="BodyText"/>
        <w:spacing w:before="11"/>
        <w:rPr>
          <w:sz w:val="19"/>
        </w:rPr>
      </w:pPr>
    </w:p>
    <w:p>
      <w:pPr>
        <w:spacing w:before="49"/>
        <w:ind w:left="1659" w:right="0" w:firstLine="0"/>
        <w:jc w:val="left"/>
        <w:rPr>
          <w:rFonts w:ascii="Calibri" w:hAnsi="Calibri"/>
          <w:b/>
          <w:sz w:val="30"/>
        </w:rPr>
      </w:pPr>
      <w:r>
        <w:rPr>
          <w:rFonts w:ascii="Calibri" w:hAnsi="Calibri"/>
          <w:b/>
          <w:sz w:val="30"/>
        </w:rPr>
        <w:t>Distribución de índices de Bosque de las Fuentes</w:t>
      </w:r>
    </w:p>
    <w:p>
      <w:pPr>
        <w:pStyle w:val="BodyText"/>
        <w:spacing w:before="6"/>
        <w:rPr>
          <w:rFonts w:ascii="Calibri"/>
          <w:b/>
          <w:sz w:val="11"/>
        </w:rPr>
      </w:pPr>
    </w:p>
    <w:p>
      <w:pPr>
        <w:tabs>
          <w:tab w:pos="1273" w:val="left" w:leader="none"/>
          <w:tab w:pos="2429" w:val="left" w:leader="none"/>
        </w:tabs>
        <w:spacing w:before="78"/>
        <w:ind w:left="448" w:right="0" w:firstLine="0"/>
        <w:jc w:val="center"/>
        <w:rPr>
          <w:rFonts w:ascii="Calibri" w:hAnsi="Calibri"/>
          <w:sz w:val="16"/>
        </w:rPr>
      </w:pPr>
      <w:r>
        <w:rPr/>
        <w:pict>
          <v:group style="position:absolute;margin-left:249.168991pt;margin-top:5.631599pt;width:19.2pt;height:5.6pt;mso-position-horizontal-relative:page;mso-position-vertical-relative:paragraph;z-index:11992" coordorigin="4983,113" coordsize="384,112">
            <v:line style="position:absolute" from="5015,165" to="5336,165" stroked="true" strokeweight="3.131625pt" strokecolor="#5b92c7"/>
            <v:shape style="position:absolute;left:5127;top:121;width:98;height:94" type="#_x0000_t75" stroked="false">
              <v:imagedata r:id="rId228" o:title=""/>
            </v:shape>
            <v:shape style="position:absolute;left:5127;top:121;width:98;height:95" coordorigin="5127,121" coordsize="98,95" path="m5178,121l5225,171,5178,215,5127,171,5178,121xe" filled="false" stroked="true" strokeweight=".835216pt" strokecolor="#5b92c7">
              <v:path arrowok="t"/>
            </v:shape>
            <w10:wrap type="none"/>
          </v:group>
        </w:pict>
      </w:r>
      <w:r>
        <w:rPr/>
        <w:pict>
          <v:group style="position:absolute;margin-left:290.407013pt;margin-top:5.631599pt;width:19.2pt;height:5.6pt;mso-position-horizontal-relative:page;mso-position-vertical-relative:paragraph;z-index:-1146016" coordorigin="5808,113" coordsize="384,112">
            <v:line style="position:absolute" from="5840,165" to="6160,165" stroked="true" strokeweight="3.131625pt" strokecolor="#cc615a"/>
            <v:shape style="position:absolute;left:5946;top:121;width:100;height:94" type="#_x0000_t75" stroked="false">
              <v:imagedata r:id="rId229" o:title=""/>
            </v:shape>
            <v:rect style="position:absolute;left:5946;top:121;width:100;height:94" filled="false" stroked="true" strokeweight=".835213pt" strokecolor="#cc615a"/>
            <w10:wrap type="none"/>
          </v:group>
        </w:pict>
      </w:r>
      <w:r>
        <w:rPr/>
        <w:pict>
          <v:group style="position:absolute;margin-left:348.21701pt;margin-top:5.631599pt;width:19.2pt;height:5.6pt;mso-position-horizontal-relative:page;mso-position-vertical-relative:paragraph;z-index:-1145992" coordorigin="6964,113" coordsize="384,112">
            <v:line style="position:absolute" from="6996,165" to="7317,165" stroked="true" strokeweight="3.131625pt" strokecolor="#a8c367"/>
            <v:shape style="position:absolute;left:7099;top:121;width:100;height:94" type="#_x0000_t75" stroked="false">
              <v:imagedata r:id="rId230" o:title=""/>
            </v:shape>
            <v:shape style="position:absolute;left:7099;top:121;width:101;height:95" coordorigin="7099,121" coordsize="101,95" path="m7149,121l7199,215,7099,215,7149,121xe" filled="false" stroked="true" strokeweight=".835213pt" strokecolor="#a8c367">
              <v:path arrowok="t"/>
            </v:shape>
            <w10:wrap type="none"/>
          </v:group>
        </w:pict>
      </w:r>
      <w:r>
        <w:rPr>
          <w:rFonts w:ascii="Calibri" w:hAnsi="Calibri"/>
          <w:w w:val="105"/>
          <w:sz w:val="16"/>
        </w:rPr>
        <w:t>Real</w:t>
        <w:tab/>
        <w:t>Deseable</w:t>
        <w:tab/>
        <w:t>Óptimo</w:t>
      </w:r>
    </w:p>
    <w:p>
      <w:pPr>
        <w:pStyle w:val="BodyText"/>
        <w:spacing w:before="2"/>
        <w:rPr>
          <w:rFonts w:ascii="Calibri"/>
          <w:sz w:val="26"/>
        </w:rPr>
      </w:pPr>
    </w:p>
    <w:p>
      <w:pPr>
        <w:spacing w:line="268" w:lineRule="auto" w:before="78"/>
        <w:ind w:left="4370" w:right="4188" w:hanging="105"/>
        <w:jc w:val="left"/>
        <w:rPr>
          <w:rFonts w:ascii="Calibri" w:hAnsi="Calibri"/>
          <w:sz w:val="16"/>
        </w:rPr>
      </w:pPr>
      <w:r>
        <w:rPr/>
        <w:pict>
          <v:group style="position:absolute;margin-left:169.073914pt;margin-top:18.586210pt;width:303.7pt;height:303.1pt;mso-position-horizontal-relative:page;mso-position-vertical-relative:paragraph;z-index:-1146064" coordorigin="3381,372" coordsize="6074,6062">
            <v:shape style="position:absolute;left:84199;top:-91850928;width:91694001;height:91928398" coordorigin="84199,-91850928" coordsize="91694001,91928398" path="m6414,2797l7015,3399m7015,3399l6414,4000m6414,4000l5796,3399m5796,3399l6414,2797m6414,2196l7617,3399m7617,3399l6414,4601m6414,4601l5194,3399m5194,3399l6414,2196m6414,1595l8218,3399m8218,3399l6414,5219m6414,5219l4593,3399m4593,3399l6414,1595m6414,977l8820,3399m8820,3399l6414,5820m6414,5820l3991,3399m3991,3399l6414,977m6414,376l9421,3399m9421,3399l6414,6420m6414,6420l3390,3399m3390,3399l6414,376m6414,3399l6414,376m6414,3399l9421,3399m6414,3399l6414,6420m6414,3399l3390,3399m6414,3399l6414,376e" filled="false" stroked="true" strokeweight=".835221pt" strokecolor="#989898">
              <v:path arrowok="t"/>
            </v:shape>
            <v:shape style="position:absolute;left:6264;top:1842;width:301;height:284" type="#_x0000_t75" stroked="false">
              <v:imagedata r:id="rId231" o:title=""/>
            </v:shape>
            <v:shape style="position:absolute;left:7383;top:3295;width:301;height:284" type="#_x0000_t75" stroked="false">
              <v:imagedata r:id="rId231" o:title=""/>
            </v:shape>
            <v:shape style="position:absolute;left:6264;top:3946;width:301;height:284" type="#_x0000_t75" stroked="false">
              <v:imagedata r:id="rId231" o:title=""/>
            </v:shape>
            <v:shape style="position:absolute;left:5378;top:3295;width:301;height:284" type="#_x0000_t75" stroked="false">
              <v:imagedata r:id="rId231" o:title=""/>
            </v:shape>
            <v:shape style="position:absolute;left:6264;top:1925;width:301;height:284" type="#_x0000_t75" stroked="false">
              <v:imagedata r:id="rId232" o:title=""/>
            </v:shape>
            <v:shape style="position:absolute;left:8469;top:3295;width:301;height:284" type="#_x0000_t75" stroked="false">
              <v:imagedata r:id="rId232" o:title=""/>
            </v:shape>
            <v:shape style="position:absolute;left:4727;top:3295;width:301;height:284" type="#_x0000_t75" stroked="false">
              <v:imagedata r:id="rId232" o:title=""/>
            </v:shape>
            <v:shape style="position:absolute;left:6264;top:1491;width:301;height:284" type="#_x0000_t75" stroked="false">
              <v:imagedata r:id="rId233" o:title=""/>
            </v:shape>
            <v:shape style="position:absolute;left:9154;top:3295;width:301;height:284" type="#_x0000_t75" stroked="false">
              <v:imagedata r:id="rId233" o:title=""/>
            </v:shape>
            <v:shape style="position:absolute;left:6264;top:4380;width:301;height:534" type="#_x0000_t75" stroked="false">
              <v:imagedata r:id="rId234" o:title=""/>
            </v:shape>
            <v:shape style="position:absolute;left:4209;top:3295;width:301;height:284" type="#_x0000_t75" stroked="false">
              <v:imagedata r:id="rId233" o:title=""/>
            </v:shape>
            <v:shape style="position:absolute;left:-88437;top:-32101923;width:30421437;height:32003909" coordorigin="-88437,-32101923" coordsize="30421437,32003909" path="m5528,3404l6414,1951m6414,1951l7529,3404m7529,3404l6414,4055m6414,4055l5528,3404e" filled="false" stroked="true" strokeweight="3.132077pt" strokecolor="#5b92c7">
              <v:path arrowok="t"/>
            </v:shape>
            <v:shape style="position:absolute;left:6330;top:1858;width:167;height:184" type="#_x0000_t75" stroked="false">
              <v:imagedata r:id="rId171" o:title=""/>
            </v:shape>
            <v:shape style="position:absolute;left:7450;top:3311;width:167;height:184" type="#_x0000_t75" stroked="false">
              <v:imagedata r:id="rId171" o:title=""/>
            </v:shape>
            <v:shape style="position:absolute;left:6330;top:3963;width:167;height:184" type="#_x0000_t75" stroked="false">
              <v:imagedata r:id="rId171" o:title=""/>
            </v:shape>
            <v:shape style="position:absolute;left:5445;top:3311;width:167;height:184" type="#_x0000_t75" stroked="false">
              <v:imagedata r:id="rId171" o:title=""/>
            </v:shape>
            <v:shape style="position:absolute;left:18560;top:-37419923;width:56862640;height:37337987" coordorigin="18560,-37419923" coordsize="56862640,37337987" path="m4877,3404l6414,2034m6414,2034l8617,3404m8617,3404l6414,4489m6414,4489l4877,3404e" filled="false" stroked="true" strokeweight="3.132077pt" strokecolor="#cc615a">
              <v:path arrowok="t"/>
            </v:shape>
            <v:shape style="position:absolute;left:6330;top:1942;width:167;height:184" type="#_x0000_t75" stroked="false">
              <v:imagedata r:id="rId172" o:title=""/>
            </v:shape>
            <v:shape style="position:absolute;left:8536;top:3311;width:167;height:184" type="#_x0000_t75" stroked="false">
              <v:imagedata r:id="rId172" o:title=""/>
            </v:shape>
            <v:shape style="position:absolute;left:6330;top:4397;width:167;height:184" type="#_x0000_t75" stroked="false">
              <v:imagedata r:id="rId172" o:title=""/>
            </v:shape>
            <v:shape style="position:absolute;left:4793;top:3311;width:167;height:184" type="#_x0000_t75" stroked="false">
              <v:imagedata r:id="rId172" o:title=""/>
            </v:shape>
            <v:shape style="position:absolute;left:118223;top:-47756923;width:75183977;height:47664893" coordorigin="118223,-47756923" coordsize="75183977,47664893" path="m4359,3404l6414,1600m6414,1600l9304,3404m9304,3404l6414,4734m6414,4734l4359,3404e" filled="false" stroked="true" strokeweight="3.132077pt" strokecolor="#a8c367">
              <v:path arrowok="t"/>
            </v:shape>
            <v:shape style="position:absolute;left:6330;top:1508;width:167;height:184" type="#_x0000_t75" stroked="false">
              <v:imagedata r:id="rId173" o:title=""/>
            </v:shape>
            <v:shape style="position:absolute;left:9221;top:3311;width:167;height:184" type="#_x0000_t75" stroked="false">
              <v:imagedata r:id="rId173" o:title=""/>
            </v:shape>
            <v:shape style="position:absolute;left:6330;top:4648;width:167;height:184" type="#_x0000_t75" stroked="false">
              <v:imagedata r:id="rId173" o:title=""/>
            </v:shape>
            <v:shape style="position:absolute;left:4275;top:3311;width:167;height:184" type="#_x0000_t75" stroked="false">
              <v:imagedata r:id="rId173" o:title=""/>
            </v:shape>
            <w10:wrap type="none"/>
          </v:group>
        </w:pict>
      </w:r>
      <w:r>
        <w:rPr>
          <w:rFonts w:ascii="Calibri" w:hAnsi="Calibri"/>
          <w:w w:val="105"/>
          <w:sz w:val="16"/>
        </w:rPr>
        <w:t>Índice Social 25</w:t>
      </w:r>
    </w:p>
    <w:p>
      <w:pPr>
        <w:pStyle w:val="BodyText"/>
        <w:spacing w:before="2"/>
        <w:rPr>
          <w:rFonts w:ascii="Calibri"/>
          <w:sz w:val="25"/>
        </w:rPr>
      </w:pPr>
    </w:p>
    <w:p>
      <w:pPr>
        <w:spacing w:before="78"/>
        <w:ind w:left="382" w:right="810" w:firstLine="0"/>
        <w:jc w:val="center"/>
        <w:rPr>
          <w:rFonts w:ascii="Calibri"/>
          <w:sz w:val="16"/>
        </w:rPr>
      </w:pPr>
      <w:r>
        <w:rPr>
          <w:rFonts w:ascii="Calibri"/>
          <w:w w:val="105"/>
          <w:sz w:val="16"/>
        </w:rPr>
        <w:t>20</w:t>
      </w:r>
    </w:p>
    <w:p>
      <w:pPr>
        <w:pStyle w:val="BodyText"/>
        <w:spacing w:before="8"/>
        <w:rPr>
          <w:rFonts w:ascii="Calibri"/>
          <w:sz w:val="14"/>
        </w:rPr>
      </w:pPr>
    </w:p>
    <w:p>
      <w:pPr>
        <w:spacing w:line="173" w:lineRule="exact" w:before="78"/>
        <w:ind w:left="366" w:right="0" w:firstLine="0"/>
        <w:jc w:val="center"/>
        <w:rPr>
          <w:rFonts w:ascii="Calibri"/>
          <w:sz w:val="16"/>
        </w:rPr>
      </w:pPr>
      <w:r>
        <w:rPr>
          <w:rFonts w:ascii="Calibri"/>
          <w:w w:val="105"/>
          <w:sz w:val="16"/>
        </w:rPr>
        <w:t>15</w:t>
      </w:r>
    </w:p>
    <w:p>
      <w:pPr>
        <w:spacing w:line="173" w:lineRule="exact" w:before="0"/>
        <w:ind w:left="382" w:right="810" w:firstLine="0"/>
        <w:jc w:val="center"/>
        <w:rPr>
          <w:rFonts w:ascii="Calibri"/>
          <w:sz w:val="16"/>
        </w:rPr>
      </w:pPr>
      <w:r>
        <w:rPr>
          <w:rFonts w:ascii="Calibri"/>
          <w:w w:val="105"/>
          <w:sz w:val="16"/>
        </w:rPr>
        <w:t>15</w:t>
      </w:r>
    </w:p>
    <w:p>
      <w:pPr>
        <w:spacing w:before="137"/>
        <w:ind w:left="570" w:right="0" w:firstLine="0"/>
        <w:jc w:val="center"/>
        <w:rPr>
          <w:rFonts w:ascii="Calibri"/>
          <w:sz w:val="16"/>
        </w:rPr>
      </w:pPr>
      <w:r>
        <w:rPr>
          <w:rFonts w:ascii="Calibri"/>
          <w:w w:val="105"/>
          <w:sz w:val="16"/>
        </w:rPr>
        <w:t>12.1</w:t>
      </w:r>
    </w:p>
    <w:p>
      <w:pPr>
        <w:spacing w:line="155" w:lineRule="exact" w:before="76"/>
        <w:ind w:left="382" w:right="810" w:firstLine="0"/>
        <w:jc w:val="center"/>
        <w:rPr>
          <w:rFonts w:ascii="Calibri"/>
          <w:sz w:val="16"/>
        </w:rPr>
      </w:pPr>
      <w:r>
        <w:rPr>
          <w:rFonts w:ascii="Calibri"/>
          <w:w w:val="105"/>
          <w:sz w:val="16"/>
        </w:rPr>
        <w:t>10</w:t>
      </w:r>
    </w:p>
    <w:p>
      <w:pPr>
        <w:spacing w:line="155" w:lineRule="exact" w:before="0"/>
        <w:ind w:left="136" w:right="0" w:firstLine="0"/>
        <w:jc w:val="center"/>
        <w:rPr>
          <w:rFonts w:ascii="Calibri"/>
          <w:sz w:val="16"/>
        </w:rPr>
      </w:pPr>
      <w:r>
        <w:rPr>
          <w:rFonts w:ascii="Calibri"/>
          <w:w w:val="105"/>
          <w:sz w:val="16"/>
        </w:rPr>
        <w:t>11.4</w:t>
      </w:r>
    </w:p>
    <w:p>
      <w:pPr>
        <w:pStyle w:val="BodyText"/>
        <w:spacing w:before="9"/>
        <w:rPr>
          <w:rFonts w:ascii="Calibri"/>
          <w:sz w:val="17"/>
        </w:rPr>
      </w:pPr>
    </w:p>
    <w:p>
      <w:pPr>
        <w:spacing w:after="0"/>
        <w:rPr>
          <w:rFonts w:ascii="Calibri"/>
          <w:sz w:val="17"/>
        </w:rPr>
        <w:sectPr>
          <w:pgSz w:w="12240" w:h="15840"/>
          <w:pgMar w:header="730" w:footer="1066" w:top="1320" w:bottom="1260" w:left="1720" w:right="1180"/>
        </w:sectPr>
      </w:pPr>
    </w:p>
    <w:p>
      <w:pPr>
        <w:pStyle w:val="BodyText"/>
        <w:rPr>
          <w:rFonts w:ascii="Calibri"/>
          <w:sz w:val="16"/>
        </w:rPr>
      </w:pPr>
    </w:p>
    <w:p>
      <w:pPr>
        <w:pStyle w:val="BodyText"/>
        <w:rPr>
          <w:rFonts w:ascii="Calibri"/>
          <w:sz w:val="16"/>
        </w:rPr>
      </w:pPr>
    </w:p>
    <w:p>
      <w:pPr>
        <w:pStyle w:val="BodyText"/>
        <w:rPr>
          <w:rFonts w:ascii="Calibri"/>
          <w:sz w:val="16"/>
        </w:rPr>
      </w:pPr>
    </w:p>
    <w:p>
      <w:pPr>
        <w:spacing w:before="98"/>
        <w:ind w:left="446" w:right="-18" w:firstLine="0"/>
        <w:jc w:val="left"/>
        <w:rPr>
          <w:rFonts w:ascii="Calibri" w:hAnsi="Calibri"/>
          <w:sz w:val="16"/>
        </w:rPr>
      </w:pPr>
      <w:r>
        <w:rPr>
          <w:rFonts w:ascii="Calibri" w:hAnsi="Calibri"/>
          <w:w w:val="105"/>
          <w:sz w:val="16"/>
        </w:rPr>
        <w:t>Índice</w:t>
      </w:r>
      <w:r>
        <w:rPr>
          <w:rFonts w:ascii="Calibri" w:hAnsi="Calibri"/>
          <w:spacing w:val="-7"/>
          <w:w w:val="105"/>
          <w:sz w:val="16"/>
        </w:rPr>
        <w:t> </w:t>
      </w:r>
      <w:r>
        <w:rPr>
          <w:rFonts w:ascii="Calibri" w:hAnsi="Calibri"/>
          <w:w w:val="105"/>
          <w:sz w:val="16"/>
        </w:rPr>
        <w:t>Territorio</w:t>
      </w:r>
    </w:p>
    <w:p>
      <w:pPr>
        <w:pStyle w:val="BodyText"/>
        <w:rPr>
          <w:rFonts w:ascii="Calibri"/>
          <w:sz w:val="20"/>
        </w:rPr>
      </w:pPr>
      <w:r>
        <w:rPr/>
        <w:br w:type="column"/>
      </w:r>
      <w:r>
        <w:rPr>
          <w:rFonts w:ascii="Calibri"/>
          <w:sz w:val="20"/>
        </w:rPr>
      </w:r>
    </w:p>
    <w:p>
      <w:pPr>
        <w:pStyle w:val="BodyText"/>
        <w:rPr>
          <w:rFonts w:ascii="Calibri"/>
        </w:rPr>
      </w:pPr>
    </w:p>
    <w:p>
      <w:pPr>
        <w:tabs>
          <w:tab w:pos="1415" w:val="left" w:leader="none"/>
        </w:tabs>
        <w:spacing w:before="0"/>
        <w:ind w:left="446" w:right="0" w:firstLine="0"/>
        <w:jc w:val="left"/>
        <w:rPr>
          <w:rFonts w:ascii="Calibri"/>
          <w:sz w:val="16"/>
        </w:rPr>
      </w:pPr>
      <w:r>
        <w:rPr>
          <w:rFonts w:ascii="Calibri"/>
          <w:w w:val="105"/>
          <w:position w:val="3"/>
          <w:sz w:val="16"/>
        </w:rPr>
        <w:t>17</w:t>
        <w:tab/>
      </w:r>
      <w:r>
        <w:rPr>
          <w:rFonts w:ascii="Calibri"/>
          <w:sz w:val="16"/>
        </w:rPr>
        <w:t>12.66</w:t>
      </w:r>
    </w:p>
    <w:p>
      <w:pPr>
        <w:spacing w:before="78"/>
        <w:ind w:left="0" w:right="0" w:firstLine="0"/>
        <w:jc w:val="right"/>
        <w:rPr>
          <w:rFonts w:ascii="Calibri"/>
          <w:sz w:val="16"/>
        </w:rPr>
      </w:pPr>
      <w:r>
        <w:rPr/>
        <w:br w:type="column"/>
      </w:r>
      <w:r>
        <w:rPr>
          <w:rFonts w:ascii="Calibri"/>
          <w:w w:val="105"/>
          <w:sz w:val="16"/>
        </w:rPr>
        <w:t>5</w:t>
      </w:r>
    </w:p>
    <w:p>
      <w:pPr>
        <w:pStyle w:val="BodyText"/>
        <w:rPr>
          <w:rFonts w:ascii="Calibri"/>
          <w:sz w:val="16"/>
        </w:rPr>
      </w:pPr>
    </w:p>
    <w:p>
      <w:pPr>
        <w:spacing w:before="131"/>
        <w:ind w:left="0" w:right="0" w:firstLine="0"/>
        <w:jc w:val="right"/>
        <w:rPr>
          <w:rFonts w:ascii="Calibri"/>
          <w:sz w:val="16"/>
        </w:rPr>
      </w:pPr>
      <w:r>
        <w:rPr>
          <w:rFonts w:ascii="Calibri"/>
          <w:w w:val="105"/>
          <w:sz w:val="16"/>
        </w:rPr>
        <w:t>7.21    </w:t>
      </w:r>
      <w:r>
        <w:rPr>
          <w:rFonts w:ascii="Calibri"/>
          <w:w w:val="105"/>
          <w:position w:val="-7"/>
          <w:sz w:val="16"/>
        </w:rPr>
        <w:t>0</w:t>
      </w:r>
    </w:p>
    <w:p>
      <w:pPr>
        <w:pStyle w:val="BodyText"/>
        <w:rPr>
          <w:rFonts w:ascii="Calibri"/>
          <w:sz w:val="16"/>
        </w:rPr>
      </w:pPr>
      <w:r>
        <w:rPr/>
        <w:br w:type="column"/>
      </w:r>
      <w:r>
        <w:rPr>
          <w:rFonts w:ascii="Calibri"/>
          <w:sz w:val="16"/>
        </w:rPr>
      </w:r>
    </w:p>
    <w:p>
      <w:pPr>
        <w:pStyle w:val="BodyText"/>
        <w:rPr>
          <w:rFonts w:ascii="Calibri"/>
          <w:sz w:val="16"/>
        </w:rPr>
      </w:pPr>
    </w:p>
    <w:p>
      <w:pPr>
        <w:pStyle w:val="BodyText"/>
        <w:spacing w:before="10"/>
        <w:rPr>
          <w:rFonts w:ascii="Calibri"/>
          <w:sz w:val="15"/>
        </w:rPr>
      </w:pPr>
    </w:p>
    <w:p>
      <w:pPr>
        <w:spacing w:before="0"/>
        <w:ind w:left="0" w:right="0" w:firstLine="0"/>
        <w:jc w:val="right"/>
        <w:rPr>
          <w:rFonts w:ascii="Calibri"/>
          <w:sz w:val="16"/>
        </w:rPr>
      </w:pPr>
      <w:r>
        <w:rPr>
          <w:rFonts w:ascii="Calibri"/>
          <w:sz w:val="16"/>
        </w:rPr>
        <w:t>9.3</w:t>
      </w:r>
    </w:p>
    <w:p>
      <w:pPr>
        <w:pStyle w:val="BodyText"/>
        <w:rPr>
          <w:rFonts w:ascii="Calibri"/>
          <w:sz w:val="16"/>
        </w:rPr>
      </w:pPr>
      <w:r>
        <w:rPr/>
        <w:br w:type="column"/>
      </w:r>
      <w:r>
        <w:rPr>
          <w:rFonts w:ascii="Calibri"/>
          <w:sz w:val="16"/>
        </w:rPr>
      </w:r>
    </w:p>
    <w:p>
      <w:pPr>
        <w:pStyle w:val="BodyText"/>
        <w:rPr>
          <w:rFonts w:ascii="Calibri"/>
          <w:sz w:val="16"/>
        </w:rPr>
      </w:pPr>
    </w:p>
    <w:p>
      <w:pPr>
        <w:pStyle w:val="BodyText"/>
        <w:spacing w:before="10"/>
        <w:rPr>
          <w:rFonts w:ascii="Calibri"/>
          <w:sz w:val="15"/>
        </w:rPr>
      </w:pPr>
    </w:p>
    <w:p>
      <w:pPr>
        <w:spacing w:before="0"/>
        <w:ind w:left="446" w:right="-7" w:firstLine="0"/>
        <w:jc w:val="left"/>
        <w:rPr>
          <w:rFonts w:ascii="Calibri"/>
          <w:sz w:val="16"/>
        </w:rPr>
      </w:pPr>
      <w:r>
        <w:rPr>
          <w:rFonts w:ascii="Calibri"/>
          <w:sz w:val="16"/>
        </w:rPr>
        <w:t>18.3</w:t>
      </w:r>
    </w:p>
    <w:p>
      <w:pPr>
        <w:pStyle w:val="BodyText"/>
        <w:rPr>
          <w:rFonts w:ascii="Calibri"/>
          <w:sz w:val="16"/>
        </w:rPr>
      </w:pPr>
      <w:r>
        <w:rPr/>
        <w:br w:type="column"/>
      </w:r>
      <w:r>
        <w:rPr>
          <w:rFonts w:ascii="Calibri"/>
          <w:sz w:val="16"/>
        </w:rPr>
      </w:r>
    </w:p>
    <w:p>
      <w:pPr>
        <w:pStyle w:val="BodyText"/>
        <w:spacing w:before="10"/>
        <w:rPr>
          <w:rFonts w:ascii="Calibri"/>
          <w:sz w:val="20"/>
        </w:rPr>
      </w:pPr>
    </w:p>
    <w:p>
      <w:pPr>
        <w:spacing w:before="1"/>
        <w:ind w:left="446" w:right="0" w:firstLine="0"/>
        <w:jc w:val="left"/>
        <w:rPr>
          <w:rFonts w:ascii="Calibri"/>
          <w:sz w:val="16"/>
        </w:rPr>
      </w:pPr>
      <w:r>
        <w:rPr>
          <w:rFonts w:ascii="Calibri"/>
          <w:w w:val="105"/>
          <w:sz w:val="16"/>
        </w:rPr>
        <w:t>24</w:t>
      </w:r>
    </w:p>
    <w:p>
      <w:pPr>
        <w:spacing w:before="38"/>
        <w:ind w:left="686" w:right="0" w:firstLine="0"/>
        <w:jc w:val="left"/>
        <w:rPr>
          <w:rFonts w:ascii="Calibri" w:hAnsi="Calibri"/>
          <w:sz w:val="16"/>
        </w:rPr>
      </w:pPr>
      <w:r>
        <w:rPr>
          <w:rFonts w:ascii="Calibri" w:hAnsi="Calibri"/>
          <w:w w:val="105"/>
          <w:sz w:val="16"/>
        </w:rPr>
        <w:t>Índice Ambiental</w:t>
      </w:r>
    </w:p>
    <w:p>
      <w:pPr>
        <w:spacing w:after="0"/>
        <w:jc w:val="left"/>
        <w:rPr>
          <w:rFonts w:ascii="Calibri" w:hAnsi="Calibri"/>
          <w:sz w:val="16"/>
        </w:rPr>
        <w:sectPr>
          <w:type w:val="continuous"/>
          <w:pgSz w:w="12240" w:h="15840"/>
          <w:pgMar w:top="1500" w:bottom="280" w:left="1720" w:right="1180"/>
          <w:cols w:num="6" w:equalWidth="0">
            <w:col w:w="1543" w:space="422"/>
            <w:col w:w="1797" w:space="40"/>
            <w:col w:w="739" w:space="369"/>
            <w:col w:w="659" w:space="255"/>
            <w:col w:w="743" w:space="575"/>
            <w:col w:w="2198"/>
          </w:cols>
        </w:sectPr>
      </w:pPr>
    </w:p>
    <w:p>
      <w:pPr>
        <w:pStyle w:val="BodyText"/>
        <w:spacing w:before="4"/>
        <w:rPr>
          <w:rFonts w:ascii="Calibri"/>
          <w:sz w:val="9"/>
        </w:rPr>
      </w:pPr>
    </w:p>
    <w:p>
      <w:pPr>
        <w:spacing w:before="78"/>
        <w:ind w:left="265" w:right="0" w:firstLine="0"/>
        <w:jc w:val="center"/>
        <w:rPr>
          <w:rFonts w:ascii="Calibri"/>
          <w:sz w:val="16"/>
        </w:rPr>
      </w:pPr>
      <w:r>
        <w:rPr>
          <w:rFonts w:ascii="Calibri"/>
          <w:w w:val="105"/>
          <w:sz w:val="16"/>
        </w:rPr>
        <w:t>5.4</w:t>
      </w:r>
    </w:p>
    <w:p>
      <w:pPr>
        <w:pStyle w:val="BodyText"/>
        <w:spacing w:before="1"/>
        <w:rPr>
          <w:rFonts w:ascii="Calibri"/>
          <w:sz w:val="20"/>
        </w:rPr>
      </w:pPr>
    </w:p>
    <w:p>
      <w:pPr>
        <w:spacing w:before="78"/>
        <w:ind w:left="298" w:right="0" w:firstLine="0"/>
        <w:jc w:val="center"/>
        <w:rPr>
          <w:rFonts w:ascii="Calibri"/>
          <w:sz w:val="16"/>
        </w:rPr>
      </w:pPr>
      <w:r>
        <w:rPr>
          <w:rFonts w:ascii="Calibri"/>
          <w:w w:val="104"/>
          <w:sz w:val="16"/>
        </w:rPr>
        <w:t>9</w:t>
      </w:r>
    </w:p>
    <w:p>
      <w:pPr>
        <w:pStyle w:val="BodyText"/>
        <w:spacing w:before="4"/>
        <w:rPr>
          <w:rFonts w:ascii="Calibri"/>
          <w:sz w:val="23"/>
        </w:rPr>
      </w:pPr>
    </w:p>
    <w:p>
      <w:pPr>
        <w:spacing w:before="79"/>
        <w:ind w:left="500" w:right="0" w:firstLine="0"/>
        <w:jc w:val="center"/>
        <w:rPr>
          <w:rFonts w:ascii="Calibri"/>
          <w:sz w:val="16"/>
        </w:rPr>
      </w:pPr>
      <w:r>
        <w:rPr>
          <w:rFonts w:ascii="Calibri"/>
          <w:w w:val="105"/>
          <w:sz w:val="16"/>
        </w:rPr>
        <w:t>11</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23"/>
        </w:rPr>
      </w:pPr>
    </w:p>
    <w:p>
      <w:pPr>
        <w:spacing w:before="78"/>
        <w:ind w:left="28" w:right="0" w:firstLine="0"/>
        <w:jc w:val="center"/>
        <w:rPr>
          <w:rFonts w:ascii="Calibri" w:hAnsi="Calibri"/>
          <w:sz w:val="16"/>
        </w:rPr>
      </w:pPr>
      <w:r>
        <w:rPr>
          <w:rFonts w:ascii="Calibri" w:hAnsi="Calibri"/>
          <w:w w:val="105"/>
          <w:sz w:val="16"/>
        </w:rPr>
        <w:t>Índice Económico</w:t>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15"/>
        </w:rPr>
      </w:pPr>
    </w:p>
    <w:p>
      <w:pPr>
        <w:spacing w:before="78"/>
        <w:ind w:left="268" w:right="0" w:firstLine="0"/>
        <w:jc w:val="left"/>
        <w:rPr>
          <w:sz w:val="21"/>
        </w:rPr>
      </w:pPr>
      <w:r>
        <w:rPr>
          <w:w w:val="105"/>
          <w:sz w:val="21"/>
        </w:rPr>
        <w:t>Fuente: Elaboración propia con base al estudio realizado.</w:t>
      </w:r>
    </w:p>
    <w:p>
      <w:pPr>
        <w:spacing w:after="0"/>
        <w:jc w:val="left"/>
        <w:rPr>
          <w:sz w:val="21"/>
        </w:rPr>
        <w:sectPr>
          <w:type w:val="continuous"/>
          <w:pgSz w:w="12240" w:h="15840"/>
          <w:pgMar w:top="1500" w:bottom="280" w:left="1720" w:right="1180"/>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12088" from="93.199997pt,-19.614155pt" to="546.799997pt,-19.614155pt" stroked="true" strokeweight=".479981pt" strokecolor="#000000">
            <w10:wrap type="none"/>
          </v:line>
        </w:pict>
      </w:r>
      <w:r>
        <w:rPr/>
        <w:t>El conjunto urbano de tipo medio denominado “Hacienda de las Fuentes”, autorizado a la empresa Inmobiliaria GEO Edificaciones, S.A. de C.V. en octubre de 2010, muestra una poligonal irregular como se aprecia en el mapa 13.</w:t>
      </w:r>
    </w:p>
    <w:p>
      <w:pPr>
        <w:spacing w:before="131"/>
        <w:ind w:left="268" w:right="0" w:firstLine="0"/>
        <w:jc w:val="both"/>
        <w:rPr>
          <w:sz w:val="21"/>
        </w:rPr>
      </w:pPr>
      <w:r>
        <w:rPr>
          <w:w w:val="105"/>
          <w:sz w:val="21"/>
        </w:rPr>
        <w:t>Mapa 13. CU Hacienda de las Fuentes.</w:t>
      </w:r>
    </w:p>
    <w:p>
      <w:pPr>
        <w:pStyle w:val="BodyText"/>
        <w:spacing w:before="11"/>
        <w:rPr>
          <w:sz w:val="21"/>
        </w:rPr>
      </w:pPr>
      <w:r>
        <w:rPr/>
        <w:drawing>
          <wp:anchor distT="0" distB="0" distL="0" distR="0" allowOverlap="1" layoutInCell="1" locked="0" behindDoc="0" simplePos="0" relativeHeight="12064">
            <wp:simplePos x="0" y="0"/>
            <wp:positionH relativeFrom="page">
              <wp:posOffset>1261491</wp:posOffset>
            </wp:positionH>
            <wp:positionV relativeFrom="paragraph">
              <wp:posOffset>185101</wp:posOffset>
            </wp:positionV>
            <wp:extent cx="5587633" cy="4224718"/>
            <wp:effectExtent l="0" t="0" r="0" b="0"/>
            <wp:wrapTopAndBottom/>
            <wp:docPr id="41" name="image160.jpeg" descr=""/>
            <wp:cNvGraphicFramePr>
              <a:graphicFrameLocks noChangeAspect="1"/>
            </wp:cNvGraphicFramePr>
            <a:graphic>
              <a:graphicData uri="http://schemas.openxmlformats.org/drawingml/2006/picture">
                <pic:pic>
                  <pic:nvPicPr>
                    <pic:cNvPr id="42" name="image160.jpeg"/>
                    <pic:cNvPicPr/>
                  </pic:nvPicPr>
                  <pic:blipFill>
                    <a:blip r:embed="rId235" cstate="print"/>
                    <a:stretch>
                      <a:fillRect/>
                    </a:stretch>
                  </pic:blipFill>
                  <pic:spPr>
                    <a:xfrm>
                      <a:off x="0" y="0"/>
                      <a:ext cx="5587633" cy="4224718"/>
                    </a:xfrm>
                    <a:prstGeom prst="rect">
                      <a:avLst/>
                    </a:prstGeom>
                  </pic:spPr>
                </pic:pic>
              </a:graphicData>
            </a:graphic>
          </wp:anchor>
        </w:drawing>
      </w:r>
    </w:p>
    <w:p>
      <w:pPr>
        <w:pStyle w:val="BodyText"/>
        <w:spacing w:before="6"/>
        <w:rPr>
          <w:sz w:val="29"/>
        </w:rPr>
      </w:pPr>
    </w:p>
    <w:p>
      <w:pPr>
        <w:spacing w:before="0"/>
        <w:ind w:left="268" w:right="0" w:firstLine="0"/>
        <w:jc w:val="both"/>
        <w:rPr>
          <w:sz w:val="21"/>
        </w:rPr>
      </w:pPr>
      <w:r>
        <w:rPr>
          <w:w w:val="105"/>
          <w:sz w:val="21"/>
        </w:rPr>
        <w:t>Fuente: Elaboración propia con base al estudio realizado.</w:t>
      </w:r>
    </w:p>
    <w:p>
      <w:pPr>
        <w:spacing w:after="0"/>
        <w:jc w:val="both"/>
        <w:rPr>
          <w:sz w:val="21"/>
        </w:rPr>
        <w:sectPr>
          <w:pgSz w:w="12240" w:h="15840"/>
          <w:pgMar w:header="730" w:footer="1066" w:top="1320" w:bottom="1260" w:left="1720" w:right="1180"/>
        </w:sectPr>
      </w:pPr>
    </w:p>
    <w:p>
      <w:pPr>
        <w:pStyle w:val="BodyText"/>
        <w:rPr>
          <w:sz w:val="20"/>
        </w:rPr>
      </w:pPr>
    </w:p>
    <w:p>
      <w:pPr>
        <w:pStyle w:val="BodyText"/>
        <w:spacing w:before="9"/>
        <w:rPr>
          <w:sz w:val="29"/>
        </w:rPr>
      </w:pPr>
    </w:p>
    <w:p>
      <w:pPr>
        <w:spacing w:before="79"/>
        <w:ind w:left="268" w:right="0" w:firstLine="0"/>
        <w:jc w:val="left"/>
        <w:rPr>
          <w:sz w:val="21"/>
        </w:rPr>
      </w:pPr>
      <w:r>
        <w:rPr/>
        <w:pict>
          <v:line style="position:absolute;mso-position-horizontal-relative:page;mso-position-vertical-relative:paragraph;z-index:12160" from="93.199997pt,-37.801105pt" to="546.799997pt,-37.801105pt" stroked="true" strokeweight=".479981pt" strokecolor="#000000">
            <w10:wrap type="none"/>
          </v:line>
        </w:pict>
      </w:r>
      <w:r>
        <w:rPr>
          <w:w w:val="105"/>
          <w:sz w:val="21"/>
        </w:rPr>
        <w:t>Gráfica 16. Escenario de resultados por índices.</w:t>
      </w:r>
    </w:p>
    <w:p>
      <w:pPr>
        <w:pStyle w:val="BodyText"/>
        <w:rPr>
          <w:sz w:val="20"/>
        </w:rPr>
      </w:pPr>
    </w:p>
    <w:p>
      <w:pPr>
        <w:pStyle w:val="BodyText"/>
        <w:rPr>
          <w:sz w:val="20"/>
        </w:rPr>
      </w:pPr>
    </w:p>
    <w:p>
      <w:pPr>
        <w:pStyle w:val="BodyText"/>
        <w:spacing w:before="8"/>
        <w:rPr>
          <w:sz w:val="19"/>
        </w:rPr>
      </w:pPr>
    </w:p>
    <w:p>
      <w:pPr>
        <w:spacing w:before="0"/>
        <w:ind w:left="3133" w:right="0" w:firstLine="0"/>
        <w:jc w:val="left"/>
        <w:rPr>
          <w:b/>
          <w:sz w:val="15"/>
        </w:rPr>
      </w:pPr>
      <w:r>
        <w:rPr>
          <w:b/>
          <w:color w:val="595959"/>
          <w:sz w:val="15"/>
        </w:rPr>
        <w:t>Indicadores por Índices de Sustentabilidad</w:t>
      </w:r>
    </w:p>
    <w:p>
      <w:pPr>
        <w:pStyle w:val="BodyText"/>
        <w:spacing w:before="8"/>
        <w:rPr>
          <w:b/>
          <w:sz w:val="13"/>
        </w:rPr>
      </w:pPr>
    </w:p>
    <w:p>
      <w:pPr>
        <w:tabs>
          <w:tab w:pos="4054" w:val="left" w:leader="none"/>
          <w:tab w:pos="4899" w:val="left" w:leader="none"/>
          <w:tab w:pos="5798" w:val="left" w:leader="none"/>
        </w:tabs>
        <w:spacing w:before="1"/>
        <w:ind w:left="3394" w:right="0" w:firstLine="0"/>
        <w:jc w:val="left"/>
        <w:rPr>
          <w:b/>
          <w:sz w:val="9"/>
        </w:rPr>
      </w:pPr>
      <w:r>
        <w:rPr/>
        <w:pict>
          <v:group style="position:absolute;margin-left:203.042847pt;margin-top:12.151038pt;width:234.6pt;height:236.6pt;mso-position-horizontal-relative:page;mso-position-vertical-relative:paragraph;z-index:12136;mso-wrap-distance-left:0;mso-wrap-distance-right:0" coordorigin="4061,243" coordsize="4692,4732">
            <v:shape style="position:absolute;left:6169;top:2389;width:478;height:479" type="#_x0000_t75" stroked="false">
              <v:imagedata r:id="rId113" o:title=""/>
            </v:shape>
            <v:shape style="position:absolute;left:4061;top:278;width:4692;height:4696" type="#_x0000_t75" stroked="false">
              <v:imagedata r:id="rId236" o:title=""/>
            </v:shape>
            <v:line style="position:absolute" from="7815,2623" to="6403,2623" stroked="true" strokeweight="1.223684pt" strokecolor="#1ac31a"/>
            <v:line style="position:absolute" from="6403,2623" to="8673,3210" stroked="true" strokeweight="1.223614pt" strokecolor="#1ac31a"/>
            <v:line style="position:absolute" from="8673,3210" to="6403,2623" stroked="true" strokeweight="1.223614pt" strokecolor="#1ac31a"/>
            <v:line style="position:absolute" from="6403,2623" to="7489,3058" stroked="true" strokeweight="1.223528pt" strokecolor="#1ac31a"/>
            <v:line style="position:absolute" from="7489,3058" to="6403,2623" stroked="true" strokeweight="1.223528pt" strokecolor="#1ac31a"/>
            <v:line style="position:absolute" from="6403,2623" to="7392,3253" stroked="true" strokeweight="1.223358pt" strokecolor="#1ac31a"/>
            <v:line style="position:absolute" from="7392,3253" to="7348,3319" stroked="true" strokeweight="1.222903pt" strokecolor="#1ac31a"/>
            <v:line style="position:absolute" from="7348,3319" to="6403,2623" stroked="true" strokeweight="1.223288pt" strokecolor="#1ac31a"/>
            <v:line style="position:absolute" from="6403,2623" to="8109,4232" stroked="true" strokeweight="1.223153pt" strokecolor="#1ac31a"/>
            <v:line style="position:absolute" from="8109,4232" to="7207,3482" stroked="true" strokeweight="1.223223pt" strokecolor="#1ac31a"/>
            <v:line style="position:absolute" from="7207,3482" to="7153,3525" stroked="true" strokeweight="1.223243pt" strokecolor="#1ac31a"/>
            <v:line style="position:absolute" from="7153,3525" to="6403,2623" stroked="true" strokeweight="1.223016pt" strokecolor="#1ac31a"/>
            <v:line style="position:absolute" from="6403,2623" to="7663,4602" stroked="true" strokeweight="1.222881pt" strokecolor="#1ac31a"/>
            <v:line style="position:absolute" from="7663,4602" to="6968,3656" stroked="true" strokeweight="1.222952pt" strokecolor="#1ac31a"/>
            <v:line style="position:absolute" from="6968,3656" to="6609,3047" stroked="true" strokeweight="1.222846pt" strokecolor="#1ac31a"/>
            <v:line style="position:absolute" from="6609,3047" to="6837,3710" stroked="true" strokeweight="1.222675pt" strokecolor="#1ac31a"/>
            <v:line style="position:absolute" from="6837,3710" to="6403,2623" stroked="true" strokeweight="1.222711pt" strokecolor="#1ac31a"/>
            <v:shape style="position:absolute;left:7779;top:2587;width:76;height:76" type="#_x0000_t75" stroked="false">
              <v:imagedata r:id="rId115" o:title=""/>
            </v:shape>
            <v:shape style="position:absolute;left:8637;top:3174;width:76;height:76" type="#_x0000_t75" stroked="false">
              <v:imagedata r:id="rId115" o:title=""/>
            </v:shape>
            <v:shape style="position:absolute;left:7453;top:3022;width:76;height:76" type="#_x0000_t75" stroked="false">
              <v:imagedata r:id="rId115" o:title=""/>
            </v:shape>
            <v:shape style="position:absolute;left:7311;top:3218;width:120;height:141" type="#_x0000_t75" stroked="false">
              <v:imagedata r:id="rId237" o:title=""/>
            </v:shape>
            <v:shape style="position:absolute;left:8072;top:4197;width:76;height:76" type="#_x0000_t75" stroked="false">
              <v:imagedata r:id="rId115" o:title=""/>
            </v:shape>
            <v:shape style="position:absolute;left:7116;top:3446;width:130;height:120" type="#_x0000_t75" stroked="false">
              <v:imagedata r:id="rId178" o:title=""/>
            </v:shape>
            <v:shape style="position:absolute;left:7627;top:4567;width:76;height:76" type="#_x0000_t75" stroked="false">
              <v:imagedata r:id="rId115" o:title=""/>
            </v:shape>
            <v:shape style="position:absolute;left:6573;top:3011;width:76;height:76" type="#_x0000_t75" stroked="false">
              <v:imagedata r:id="rId115" o:title=""/>
            </v:shape>
            <v:shape style="position:absolute;left:6801;top:3620;width:206;height:131" type="#_x0000_t75" stroked="false">
              <v:imagedata r:id="rId117" o:title=""/>
            </v:shape>
            <v:shape style="position:absolute;left:6366;top:2587;width:76;height:76" type="#_x0000_t75" stroked="false">
              <v:imagedata r:id="rId238" o:title=""/>
            </v:shape>
            <v:line style="position:absolute" from="5903,3688" to="6403,2623" stroked="true" strokeweight="1.222759pt" strokecolor="#ffca00"/>
            <v:line style="position:absolute" from="6403,2623" to="5153,4602" stroked="true" strokeweight="1.222877pt" strokecolor="#ffca00"/>
            <v:line style="position:absolute" from="5153,4602" to="5164,4330" stroked="true" strokeweight="1.222557pt" strokecolor="#ffca00"/>
            <v:line style="position:absolute" from="5164,4330" to="5512,3710" stroked="true" strokeweight="1.222826pt" strokecolor="#ffca00"/>
            <v:line style="position:absolute" from="5512,3710" to="5283,3819" stroked="true" strokeweight="1.223475pt" strokecolor="#ffca00"/>
            <v:line style="position:absolute" from="5283,3819" to="6403,2623" stroked="true" strokeweight="1.223082pt" strokecolor="#ffca00"/>
            <v:line style="position:absolute" from="6403,2623" to="5327,3525" stroked="true" strokeweight="1.223218pt" strokecolor="#ffca00"/>
            <v:line style="position:absolute" from="5327,3525" to="5077,3591" stroked="true" strokeweight="1.223612pt" strokecolor="#ffca00"/>
            <v:line style="position:absolute" from="5077,3591" to="5023,3504" stroked="true" strokeweight="1.222872pt" strokecolor="#ffca00"/>
            <v:line style="position:absolute" from="5023,3504" to="5175,3308" stroked="true" strokeweight="1.222981pt" strokecolor="#ffca00"/>
            <v:shape style="position:absolute;left:5866;top:3653;width:76;height:76" type="#_x0000_t75" stroked="false">
              <v:imagedata r:id="rId119" o:title=""/>
            </v:shape>
            <v:shape style="position:absolute;left:5116;top:4567;width:76;height:76" type="#_x0000_t75" stroked="false">
              <v:imagedata r:id="rId119" o:title=""/>
            </v:shape>
            <v:shape style="position:absolute;left:5127;top:4295;width:76;height:76" type="#_x0000_t75" stroked="false">
              <v:imagedata r:id="rId119" o:title=""/>
            </v:shape>
            <v:shape style="position:absolute;left:5475;top:3675;width:76;height:76" type="#_x0000_t75" stroked="false">
              <v:imagedata r:id="rId119" o:title=""/>
            </v:shape>
            <v:shape style="position:absolute;left:5247;top:3783;width:76;height:76" type="#_x0000_t75" stroked="false">
              <v:imagedata r:id="rId119" o:title=""/>
            </v:shape>
            <v:shape style="position:absolute;left:6366;top:2587;width:76;height:76" type="#_x0000_t75" stroked="false">
              <v:imagedata r:id="rId239" o:title=""/>
            </v:shape>
            <v:shape style="position:absolute;left:5290;top:3490;width:76;height:76" type="#_x0000_t75" stroked="false">
              <v:imagedata r:id="rId119" o:title=""/>
            </v:shape>
            <v:shape style="position:absolute;left:4986;top:3468;width:130;height:163" type="#_x0000_t75" stroked="false">
              <v:imagedata r:id="rId240" o:title=""/>
            </v:shape>
            <v:shape style="position:absolute;left:5138;top:3272;width:76;height:76" type="#_x0000_t75" stroked="false">
              <v:imagedata r:id="rId119" o:title=""/>
            </v:shape>
            <v:line style="position:absolute" from="5273,2329" to="5294,2264" stroked="true" strokeweight="1.222668pt" strokecolor="#927200"/>
            <v:line style="position:absolute" from="5294,2264" to="4229,1763" stroked="true" strokeweight="1.223480pt" strokecolor="#927200"/>
            <v:line style="position:absolute" from="4229,1763" to="5349,2122" stroked="true" strokeweight="1.223579pt" strokecolor="#927200"/>
            <v:line style="position:absolute" from="5349,2122" to="5381,2057" stroked="true" strokeweight="1.222781pt" strokecolor="#927200"/>
            <v:line style="position:absolute" from="5381,2057" to="6403,2623" stroked="true" strokeweight="1.22342pt" strokecolor="#927200"/>
            <v:line style="position:absolute" from="6403,2623" to="5457,1937" stroked="true" strokeweight="1.223296pt" strokecolor="#927200"/>
            <v:line style="position:absolute" from="5457,1937" to="5686,2024" stroked="true" strokeweight="1.223541pt" strokecolor="#927200"/>
            <v:line style="position:absolute" from="5686,2024" to="5120,1426" stroked="true" strokeweight="1.223088pt" strokecolor="#927200"/>
            <v:line style="position:absolute" from="5120,1426" to="5349,1502" stroked="true" strokeweight="1.223571pt" strokecolor="#927200"/>
            <v:line style="position:absolute" from="5349,1502" to="5207,1176" stroked="true" strokeweight="1.222734pt" strokecolor="#927200"/>
            <v:line style="position:absolute" from="5207,1176" to="6131,2242" stroked="true" strokeweight="1.223040pt" strokecolor="#927200"/>
            <v:line style="position:absolute" from="6131,2242" to="5903,1828" stroked="true" strokeweight="1.222819pt" strokecolor="#927200"/>
            <v:line style="position:absolute" from="5903,1828" to="5838,1600" stroked="true" strokeweight="1.222641pt" strokecolor="#927200"/>
            <v:line style="position:absolute" from="5838,1600" to="5903,1567" stroked="true" strokeweight="1.223458pt" strokecolor="#927200"/>
            <v:line style="position:absolute" from="5903,1567" to="6403,2623" stroked="true" strokeweight="1.222763pt" strokecolor="#927200"/>
            <v:line style="position:absolute" from="6403,2623" to="6044,1513" stroked="true" strokeweight="1.222662pt" strokecolor="#927200"/>
            <v:shape style="position:absolute;left:5236;top:2228;width:98;height:141" type="#_x0000_t75" stroked="false">
              <v:imagedata r:id="rId161" o:title=""/>
            </v:shape>
            <v:shape style="position:absolute;left:4193;top:1728;width:76;height:76" type="#_x0000_t75" stroked="false">
              <v:imagedata r:id="rId122" o:title=""/>
            </v:shape>
            <v:shape style="position:absolute;left:5312;top:1902;width:185;height:261" type="#_x0000_t75" stroked="false">
              <v:imagedata r:id="rId180" o:title=""/>
            </v:shape>
            <v:shape style="position:absolute;left:5649;top:1989;width:76;height:76" type="#_x0000_t75" stroked="false">
              <v:imagedata r:id="rId122" o:title=""/>
            </v:shape>
            <v:shape style="position:absolute;left:5084;top:1390;width:76;height:76" type="#_x0000_t75" stroked="false">
              <v:imagedata r:id="rId122" o:title=""/>
            </v:shape>
            <v:shape style="position:absolute;left:5312;top:1467;width:76;height:76" type="#_x0000_t75" stroked="false">
              <v:imagedata r:id="rId122" o:title=""/>
            </v:shape>
            <v:shape style="position:absolute;left:5171;top:1140;width:76;height:76" type="#_x0000_t75" stroked="false">
              <v:imagedata r:id="rId122" o:title=""/>
            </v:shape>
            <v:shape style="position:absolute;left:6094;top:2206;width:76;height:76" type="#_x0000_t75" stroked="false">
              <v:imagedata r:id="rId122" o:title=""/>
            </v:shape>
            <v:shape style="position:absolute;left:5866;top:1793;width:76;height:76" type="#_x0000_t75" stroked="false">
              <v:imagedata r:id="rId122" o:title=""/>
            </v:shape>
            <v:shape style="position:absolute;left:5801;top:1532;width:141;height:109" type="#_x0000_t75" stroked="false">
              <v:imagedata r:id="rId125" o:title=""/>
            </v:shape>
            <v:shape style="position:absolute;left:6366;top:2587;width:76;height:76" type="#_x0000_t75" stroked="false">
              <v:imagedata r:id="rId241" o:title=""/>
            </v:shape>
            <v:shape style="position:absolute;left:6007;top:1477;width:76;height:76" type="#_x0000_t75" stroked="false">
              <v:imagedata r:id="rId122" o:title=""/>
            </v:shape>
            <v:shape style="position:absolute;left:6189;top:243;width:131;height:2442" type="#_x0000_t202" filled="false" stroked="false">
              <v:textbox inset="0,0,0,0">
                <w:txbxContent>
                  <w:p>
                    <w:pPr>
                      <w:spacing w:line="101" w:lineRule="exact" w:before="0"/>
                      <w:ind w:left="80" w:right="0" w:firstLine="0"/>
                      <w:jc w:val="left"/>
                      <w:rPr>
                        <w:rFonts w:ascii="Calibri"/>
                        <w:sz w:val="9"/>
                      </w:rPr>
                    </w:pPr>
                    <w:r>
                      <w:rPr>
                        <w:rFonts w:ascii="Calibri"/>
                        <w:color w:val="595959"/>
                        <w:w w:val="108"/>
                        <w:sz w:val="9"/>
                      </w:rPr>
                      <w:t>1</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0.9</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0.8</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0.7</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0.6</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0.5</w:t>
                    </w:r>
                  </w:p>
                  <w:p>
                    <w:pPr>
                      <w:spacing w:line="240" w:lineRule="auto" w:before="9"/>
                      <w:rPr>
                        <w:b/>
                        <w:sz w:val="10"/>
                      </w:rPr>
                    </w:pPr>
                  </w:p>
                  <w:p>
                    <w:pPr>
                      <w:spacing w:before="0"/>
                      <w:ind w:left="0" w:right="-15" w:firstLine="0"/>
                      <w:jc w:val="left"/>
                      <w:rPr>
                        <w:rFonts w:ascii="Calibri"/>
                        <w:sz w:val="9"/>
                      </w:rPr>
                    </w:pPr>
                    <w:r>
                      <w:rPr>
                        <w:rFonts w:ascii="Calibri"/>
                        <w:color w:val="595959"/>
                        <w:w w:val="110"/>
                        <w:sz w:val="9"/>
                      </w:rPr>
                      <w:t>0.4</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0.3</w:t>
                    </w:r>
                  </w:p>
                  <w:p>
                    <w:pPr>
                      <w:spacing w:line="240" w:lineRule="auto" w:before="9"/>
                      <w:rPr>
                        <w:b/>
                        <w:sz w:val="10"/>
                      </w:rPr>
                    </w:pPr>
                  </w:p>
                  <w:p>
                    <w:pPr>
                      <w:spacing w:before="0"/>
                      <w:ind w:left="0" w:right="-15" w:firstLine="0"/>
                      <w:jc w:val="left"/>
                      <w:rPr>
                        <w:rFonts w:ascii="Calibri"/>
                        <w:sz w:val="9"/>
                      </w:rPr>
                    </w:pPr>
                    <w:r>
                      <w:rPr>
                        <w:rFonts w:ascii="Calibri"/>
                        <w:color w:val="595959"/>
                        <w:w w:val="110"/>
                        <w:sz w:val="9"/>
                      </w:rPr>
                      <w:t>0.2</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0.1</w:t>
                    </w:r>
                  </w:p>
                  <w:p>
                    <w:pPr>
                      <w:spacing w:line="240" w:lineRule="auto" w:before="9"/>
                      <w:rPr>
                        <w:b/>
                        <w:sz w:val="10"/>
                      </w:rPr>
                    </w:pPr>
                  </w:p>
                  <w:p>
                    <w:pPr>
                      <w:spacing w:line="107" w:lineRule="exact" w:before="0"/>
                      <w:ind w:left="76" w:right="0" w:firstLine="0"/>
                      <w:jc w:val="left"/>
                      <w:rPr>
                        <w:rFonts w:ascii="Calibri"/>
                        <w:sz w:val="9"/>
                      </w:rPr>
                    </w:pPr>
                    <w:r>
                      <w:rPr>
                        <w:rFonts w:ascii="Calibri"/>
                        <w:color w:val="595959"/>
                        <w:w w:val="108"/>
                        <w:sz w:val="9"/>
                      </w:rPr>
                      <w:t>0</w:t>
                    </w:r>
                  </w:p>
                </w:txbxContent>
              </v:textbox>
              <w10:wrap type="none"/>
            </v:shape>
            <w10:wrap type="topAndBottom"/>
          </v:group>
        </w:pict>
      </w:r>
      <w:r>
        <w:rPr/>
        <w:pict>
          <v:group style="position:absolute;margin-left:243.623001pt;margin-top:.596744pt;width:11.7pt;height:3.3pt;mso-position-horizontal-relative:page;mso-position-vertical-relative:paragraph;z-index:12184" coordorigin="4872,12" coordsize="234,66">
            <v:line style="position:absolute" from="4885,42" to="5094,42" stroked="true" strokeweight="1.223684pt" strokecolor="#8448b0"/>
            <v:shape style="position:absolute;left:4957;top:17;width:55;height:55" coordorigin="4957,17" coordsize="55,55" path="m5000,17l4970,17,4957,30,4957,60,4970,72,5000,72,5012,60,5012,30,5000,17xe" filled="true" fillcolor="#6cacdd" stroked="false">
              <v:path arrowok="t"/>
              <v:fill type="solid"/>
            </v:shape>
            <v:shape style="position:absolute;left:4957;top:17;width:55;height:55" coordorigin="4957,17" coordsize="55,55" path="m5012,45l5012,60,5000,72,4985,72,4970,72,4957,60,4957,45,4957,30,4970,17,4985,17,5000,17,5012,30,5012,45xe" filled="false" stroked="true" strokeweight=".543609pt" strokecolor="#ff2600">
              <v:path arrowok="t"/>
            </v:shape>
            <w10:wrap type="none"/>
          </v:group>
        </w:pict>
      </w:r>
      <w:r>
        <w:rPr/>
        <w:pict>
          <v:group style="position:absolute;margin-left:276.630005pt;margin-top:.596744pt;width:11.7pt;height:3.3pt;mso-position-horizontal-relative:page;mso-position-vertical-relative:paragraph;z-index:-1145824" coordorigin="5533,12" coordsize="234,66">
            <v:line style="position:absolute" from="5545,42" to="5754,42" stroked="true" strokeweight="1.223684pt" strokecolor="#1ac31a"/>
            <v:shape style="position:absolute;left:5620;top:17;width:55;height:55" coordorigin="5620,17" coordsize="55,55" path="m5662,17l5632,17,5620,30,5620,60,5632,72,5662,72,5675,60,5675,30,5662,17xe" filled="true" fillcolor="#f2913f" stroked="false">
              <v:path arrowok="t"/>
              <v:fill type="solid"/>
            </v:shape>
            <v:shape style="position:absolute;left:5620;top:17;width:55;height:55" coordorigin="5620,17" coordsize="55,55" path="m5675,45l5675,60,5662,72,5647,72,5632,72,5620,60,5620,45,5620,30,5632,17,5647,17,5662,17,5675,30,5675,45xe" filled="false" stroked="true" strokeweight=".543609pt" strokecolor="#ff2600">
              <v:path arrowok="t"/>
            </v:shape>
            <w10:wrap type="none"/>
          </v:group>
        </w:pict>
      </w:r>
      <w:r>
        <w:rPr/>
        <w:pict>
          <v:group style="position:absolute;margin-left:318.871002pt;margin-top:.596744pt;width:11.7pt;height:3.3pt;mso-position-horizontal-relative:page;mso-position-vertical-relative:paragraph;z-index:-1145800" coordorigin="6377,12" coordsize="234,66">
            <v:line style="position:absolute" from="6390,42" to="6599,42" stroked="true" strokeweight="1.223684pt" strokecolor="#ffca00"/>
            <v:shape style="position:absolute;left:6467;top:17;width:55;height:55" coordorigin="6467,17" coordsize="55,55" path="m6509,17l6479,17,6467,30,6467,60,6479,72,6509,72,6521,60,6521,30,6509,17xe" filled="true" fillcolor="#b4b4b4" stroked="false">
              <v:path arrowok="t"/>
              <v:fill type="solid"/>
            </v:shape>
            <v:shape style="position:absolute;left:6467;top:17;width:55;height:55" coordorigin="6467,17" coordsize="55,55" path="m6521,45l6521,60,6509,72,6494,72,6479,72,6467,60,6467,45,6467,30,6479,17,6494,17,6509,17,6521,30,6521,45xe" filled="false" stroked="true" strokeweight=".543609pt" strokecolor="#ff2600">
              <v:path arrowok="t"/>
            </v:shape>
            <w10:wrap type="none"/>
          </v:group>
        </w:pict>
      </w:r>
      <w:r>
        <w:rPr/>
        <w:pict>
          <v:group style="position:absolute;margin-left:363.828979pt;margin-top:.596744pt;width:11.7pt;height:3.3pt;mso-position-horizontal-relative:page;mso-position-vertical-relative:paragraph;z-index:-1145776" coordorigin="7277,12" coordsize="234,66">
            <v:line style="position:absolute" from="7289,42" to="7498,42" stroked="true" strokeweight="1.223684pt" strokecolor="#927200"/>
            <v:shape style="position:absolute;left:7366;top:17;width:55;height:55" coordorigin="7366,17" coordsize="55,55" path="m7408,17l7378,17,7366,30,7366,60,7378,72,7408,72,7421,60,7421,30,7408,17xe" filled="true" fillcolor="#ffca00" stroked="false">
              <v:path arrowok="t"/>
              <v:fill type="solid"/>
            </v:shape>
            <v:shape style="position:absolute;left:7366;top:17;width:55;height:55" coordorigin="7366,17" coordsize="55,55" path="m7421,45l7421,60,7408,72,7393,72,7378,72,7366,60,7366,45,7366,30,7378,17,7393,17,7408,17,7421,30,7421,45xe" filled="false" stroked="true" strokeweight=".543609pt" strokecolor="#ff2600">
              <v:path arrowok="t"/>
            </v:shape>
            <w10:wrap type="none"/>
          </v:group>
        </w:pict>
      </w:r>
      <w:r>
        <w:rPr>
          <w:b/>
          <w:color w:val="595959"/>
          <w:w w:val="110"/>
          <w:sz w:val="9"/>
        </w:rPr>
        <w:t>Social</w:t>
        <w:tab/>
        <w:t>Ambiental</w:t>
        <w:tab/>
        <w:t>Económico</w:t>
        <w:tab/>
        <w:t>Territorial</w:t>
      </w:r>
    </w:p>
    <w:p>
      <w:pPr>
        <w:pStyle w:val="BodyText"/>
        <w:spacing w:before="7"/>
        <w:rPr>
          <w:b/>
          <w:sz w:val="14"/>
        </w:rPr>
      </w:pPr>
    </w:p>
    <w:p>
      <w:pPr>
        <w:spacing w:before="79"/>
        <w:ind w:left="268" w:right="0" w:firstLine="0"/>
        <w:jc w:val="left"/>
        <w:rPr>
          <w:sz w:val="21"/>
        </w:rPr>
      </w:pPr>
      <w:r>
        <w:rPr>
          <w:w w:val="105"/>
          <w:sz w:val="21"/>
        </w:rPr>
        <w:t>Fuente: Elaboración propia con base al estudio realizado.</w:t>
      </w:r>
    </w:p>
    <w:p>
      <w:pPr>
        <w:pStyle w:val="BodyText"/>
        <w:rPr>
          <w:sz w:val="22"/>
        </w:rPr>
      </w:pPr>
    </w:p>
    <w:p>
      <w:pPr>
        <w:pStyle w:val="BodyText"/>
        <w:rPr>
          <w:sz w:val="22"/>
        </w:rPr>
      </w:pPr>
    </w:p>
    <w:p>
      <w:pPr>
        <w:pStyle w:val="BodyText"/>
        <w:spacing w:before="136"/>
        <w:ind w:left="268"/>
      </w:pPr>
      <w:r>
        <w:rPr/>
        <w:pict>
          <v:rect style="position:absolute;margin-left:360.421997pt;margin-top:80.503654pt;width:66.029300pt;height:16.0162pt;mso-position-horizontal-relative:page;mso-position-vertical-relative:paragraph;z-index:-1145752" filled="true" fillcolor="#ffff00" stroked="false">
            <v:fill type="solid"/>
            <w10:wrap type="none"/>
          </v:rect>
        </w:pict>
      </w:r>
      <w:r>
        <w:rPr/>
        <w:pict>
          <v:rect style="position:absolute;margin-left:360.421997pt;margin-top:110.533661pt;width:66.029300pt;height:16.0162pt;mso-position-horizontal-relative:page;mso-position-vertical-relative:paragraph;z-index:-1145728" filled="true" fillcolor="#ffff00" stroked="false">
            <v:fill type="solid"/>
            <w10:wrap type="none"/>
          </v:rect>
        </w:pict>
      </w:r>
      <w:r>
        <w:rPr/>
        <w:t>Tabla 31. Resultado de índices de sustentabilidad Hacienda de las Fuentes.</w:t>
      </w:r>
    </w:p>
    <w:p>
      <w:pPr>
        <w:pStyle w:val="BodyText"/>
        <w:spacing w:before="9"/>
        <w:rPr>
          <w:sz w:val="5"/>
        </w:rPr>
      </w:pPr>
    </w:p>
    <w:tbl>
      <w:tblPr>
        <w:tblW w:w="0" w:type="auto"/>
        <w:jc w:val="left"/>
        <w:tblInd w:w="134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92"/>
        <w:gridCol w:w="984"/>
        <w:gridCol w:w="1656"/>
        <w:gridCol w:w="1301"/>
      </w:tblGrid>
      <w:tr>
        <w:trPr>
          <w:trHeight w:val="851" w:hRule="exact"/>
        </w:trPr>
        <w:tc>
          <w:tcPr>
            <w:tcW w:w="3776" w:type="dxa"/>
            <w:gridSpan w:val="2"/>
            <w:shd w:val="clear" w:color="auto" w:fill="000000"/>
          </w:tcPr>
          <w:p>
            <w:pPr>
              <w:pStyle w:val="TableParagraph"/>
              <w:spacing w:line="261" w:lineRule="auto" w:before="115"/>
              <w:ind w:left="1097" w:right="-15" w:firstLine="953"/>
              <w:jc w:val="left"/>
              <w:rPr>
                <w:sz w:val="24"/>
              </w:rPr>
            </w:pPr>
            <w:r>
              <w:rPr>
                <w:color w:val="FFFFFF"/>
                <w:sz w:val="24"/>
              </w:rPr>
              <w:t>Hacienda de las Resultado de los Índices</w:t>
            </w:r>
          </w:p>
        </w:tc>
        <w:tc>
          <w:tcPr>
            <w:tcW w:w="2957" w:type="dxa"/>
            <w:gridSpan w:val="2"/>
            <w:shd w:val="clear" w:color="auto" w:fill="000000"/>
          </w:tcPr>
          <w:p>
            <w:pPr>
              <w:pStyle w:val="TableParagraph"/>
              <w:spacing w:before="115"/>
              <w:ind w:left="63"/>
              <w:jc w:val="left"/>
              <w:rPr>
                <w:sz w:val="24"/>
              </w:rPr>
            </w:pPr>
            <w:r>
              <w:rPr>
                <w:color w:val="FFFFFF"/>
                <w:sz w:val="24"/>
              </w:rPr>
              <w:t>Fuentes</w:t>
            </w:r>
          </w:p>
          <w:p>
            <w:pPr>
              <w:pStyle w:val="TableParagraph"/>
              <w:spacing w:before="24"/>
              <w:ind w:left="3"/>
              <w:jc w:val="left"/>
              <w:rPr>
                <w:sz w:val="24"/>
              </w:rPr>
            </w:pPr>
            <w:r>
              <w:rPr>
                <w:color w:val="FFFFFF"/>
                <w:sz w:val="24"/>
              </w:rPr>
              <w:t>de sustentabilidad</w:t>
            </w:r>
          </w:p>
        </w:tc>
      </w:tr>
      <w:tr>
        <w:trPr>
          <w:trHeight w:val="280" w:hRule="exact"/>
        </w:trPr>
        <w:tc>
          <w:tcPr>
            <w:tcW w:w="2792" w:type="dxa"/>
            <w:tcBorders>
              <w:left w:val="single" w:sz="8" w:space="0" w:color="000000"/>
            </w:tcBorders>
          </w:tcPr>
          <w:p>
            <w:pPr/>
          </w:p>
        </w:tc>
        <w:tc>
          <w:tcPr>
            <w:tcW w:w="984" w:type="dxa"/>
          </w:tcPr>
          <w:p>
            <w:pPr>
              <w:pStyle w:val="TableParagraph"/>
              <w:spacing w:line="275" w:lineRule="exact"/>
              <w:ind w:left="479" w:right="45"/>
              <w:rPr>
                <w:rFonts w:ascii="Calibri"/>
                <w:sz w:val="24"/>
              </w:rPr>
            </w:pPr>
            <w:r>
              <w:rPr>
                <w:rFonts w:ascii="Calibri"/>
                <w:sz w:val="24"/>
              </w:rPr>
              <w:t>Real</w:t>
            </w:r>
          </w:p>
        </w:tc>
        <w:tc>
          <w:tcPr>
            <w:tcW w:w="1656" w:type="dxa"/>
          </w:tcPr>
          <w:p>
            <w:pPr>
              <w:pStyle w:val="TableParagraph"/>
              <w:spacing w:line="275" w:lineRule="exact"/>
              <w:ind w:left="555" w:right="164"/>
              <w:rPr>
                <w:rFonts w:ascii="Calibri"/>
                <w:sz w:val="24"/>
              </w:rPr>
            </w:pPr>
            <w:r>
              <w:rPr>
                <w:rFonts w:ascii="Calibri"/>
                <w:sz w:val="24"/>
              </w:rPr>
              <w:t>Deseable</w:t>
            </w:r>
          </w:p>
        </w:tc>
        <w:tc>
          <w:tcPr>
            <w:tcW w:w="1301" w:type="dxa"/>
            <w:tcBorders>
              <w:right w:val="single" w:sz="16" w:space="0" w:color="000000"/>
            </w:tcBorders>
          </w:tcPr>
          <w:p>
            <w:pPr>
              <w:pStyle w:val="TableParagraph"/>
              <w:spacing w:line="275" w:lineRule="exact"/>
              <w:ind w:left="279" w:right="221"/>
              <w:rPr>
                <w:rFonts w:ascii="Calibri" w:hAnsi="Calibri"/>
                <w:sz w:val="24"/>
              </w:rPr>
            </w:pPr>
            <w:r>
              <w:rPr>
                <w:rFonts w:ascii="Calibri" w:hAnsi="Calibri"/>
                <w:sz w:val="24"/>
              </w:rPr>
              <w:t>Óptimo</w:t>
            </w:r>
          </w:p>
        </w:tc>
      </w:tr>
      <w:tr>
        <w:trPr>
          <w:trHeight w:val="320" w:hRule="exact"/>
        </w:trPr>
        <w:tc>
          <w:tcPr>
            <w:tcW w:w="2792" w:type="dxa"/>
            <w:tcBorders>
              <w:left w:val="single" w:sz="8" w:space="0" w:color="000000"/>
            </w:tcBorders>
          </w:tcPr>
          <w:p>
            <w:pPr>
              <w:pStyle w:val="TableParagraph"/>
              <w:spacing w:before="5"/>
              <w:ind w:left="40"/>
              <w:jc w:val="left"/>
              <w:rPr>
                <w:sz w:val="24"/>
              </w:rPr>
            </w:pPr>
            <w:r>
              <w:rPr>
                <w:sz w:val="24"/>
              </w:rPr>
              <w:t>Índice Social</w:t>
            </w:r>
          </w:p>
        </w:tc>
        <w:tc>
          <w:tcPr>
            <w:tcW w:w="984" w:type="dxa"/>
          </w:tcPr>
          <w:p>
            <w:pPr>
              <w:pStyle w:val="TableParagraph"/>
              <w:tabs>
                <w:tab w:pos="479" w:val="left" w:leader="none"/>
                <w:tab w:pos="1359" w:val="left" w:leader="none"/>
              </w:tabs>
              <w:spacing w:before="1"/>
              <w:ind w:left="38" w:right="-376"/>
              <w:rPr>
                <w:rFonts w:ascii="Calibri"/>
                <w:sz w:val="24"/>
              </w:rPr>
            </w:pPr>
            <w:r>
              <w:rPr>
                <w:rFonts w:ascii="Times New Roman"/>
                <w:w w:val="100"/>
                <w:sz w:val="24"/>
                <w:shd w:fill="F79646" w:color="auto" w:val="clear"/>
              </w:rPr>
              <w:t> </w:t>
            </w:r>
            <w:r>
              <w:rPr>
                <w:rFonts w:ascii="Times New Roman"/>
                <w:sz w:val="24"/>
                <w:shd w:fill="F79646" w:color="auto" w:val="clear"/>
              </w:rPr>
              <w:tab/>
            </w:r>
            <w:r>
              <w:rPr>
                <w:rFonts w:ascii="Calibri"/>
                <w:sz w:val="24"/>
                <w:shd w:fill="F79646" w:color="auto" w:val="clear"/>
              </w:rPr>
              <w:t>11.6</w:t>
              <w:tab/>
            </w:r>
          </w:p>
        </w:tc>
        <w:tc>
          <w:tcPr>
            <w:tcW w:w="1656" w:type="dxa"/>
          </w:tcPr>
          <w:p>
            <w:pPr>
              <w:pStyle w:val="TableParagraph"/>
              <w:spacing w:before="1"/>
              <w:ind w:left="524" w:right="164"/>
              <w:rPr>
                <w:rFonts w:ascii="Calibri"/>
                <w:sz w:val="24"/>
              </w:rPr>
            </w:pPr>
            <w:r>
              <w:rPr>
                <w:rFonts w:ascii="Calibri"/>
                <w:sz w:val="24"/>
              </w:rPr>
              <w:t>11.4</w:t>
            </w:r>
          </w:p>
        </w:tc>
        <w:tc>
          <w:tcPr>
            <w:tcW w:w="1301" w:type="dxa"/>
            <w:tcBorders>
              <w:right w:val="single" w:sz="16" w:space="0" w:color="000000"/>
            </w:tcBorders>
            <w:shd w:val="clear" w:color="auto" w:fill="67ED4D"/>
          </w:tcPr>
          <w:p>
            <w:pPr>
              <w:pStyle w:val="TableParagraph"/>
              <w:spacing w:before="1"/>
              <w:ind w:left="264" w:right="221"/>
              <w:rPr>
                <w:rFonts w:ascii="Calibri"/>
                <w:sz w:val="24"/>
              </w:rPr>
            </w:pPr>
            <w:r>
              <w:rPr>
                <w:rFonts w:ascii="Calibri"/>
                <w:sz w:val="24"/>
              </w:rPr>
              <w:t>15</w:t>
            </w:r>
          </w:p>
        </w:tc>
      </w:tr>
      <w:tr>
        <w:trPr>
          <w:trHeight w:val="280" w:hRule="exact"/>
        </w:trPr>
        <w:tc>
          <w:tcPr>
            <w:tcW w:w="6733" w:type="dxa"/>
            <w:gridSpan w:val="4"/>
            <w:tcBorders>
              <w:left w:val="single" w:sz="8" w:space="0" w:color="000000"/>
              <w:right w:val="single" w:sz="16" w:space="0" w:color="000000"/>
            </w:tcBorders>
          </w:tcPr>
          <w:p>
            <w:pPr/>
          </w:p>
        </w:tc>
      </w:tr>
      <w:tr>
        <w:trPr>
          <w:trHeight w:val="320" w:hRule="exact"/>
        </w:trPr>
        <w:tc>
          <w:tcPr>
            <w:tcW w:w="2792" w:type="dxa"/>
            <w:tcBorders>
              <w:left w:val="single" w:sz="8" w:space="0" w:color="000000"/>
            </w:tcBorders>
          </w:tcPr>
          <w:p>
            <w:pPr>
              <w:pStyle w:val="TableParagraph"/>
              <w:spacing w:before="5"/>
              <w:ind w:left="40"/>
              <w:jc w:val="left"/>
              <w:rPr>
                <w:sz w:val="24"/>
              </w:rPr>
            </w:pPr>
            <w:r>
              <w:rPr>
                <w:sz w:val="24"/>
              </w:rPr>
              <w:t>Índice Ambiental</w:t>
            </w:r>
          </w:p>
        </w:tc>
        <w:tc>
          <w:tcPr>
            <w:tcW w:w="984" w:type="dxa"/>
          </w:tcPr>
          <w:p>
            <w:pPr>
              <w:pStyle w:val="TableParagraph"/>
              <w:tabs>
                <w:tab w:pos="539" w:val="left" w:leader="none"/>
                <w:tab w:pos="1359" w:val="left" w:leader="none"/>
              </w:tabs>
              <w:spacing w:before="1"/>
              <w:ind w:left="38" w:right="-376"/>
              <w:rPr>
                <w:rFonts w:ascii="Calibri"/>
                <w:sz w:val="24"/>
              </w:rPr>
            </w:pPr>
            <w:r>
              <w:rPr>
                <w:rFonts w:ascii="Times New Roman"/>
                <w:w w:val="100"/>
                <w:sz w:val="24"/>
                <w:shd w:fill="F79646" w:color="auto" w:val="clear"/>
              </w:rPr>
              <w:t> </w:t>
            </w:r>
            <w:r>
              <w:rPr>
                <w:rFonts w:ascii="Times New Roman"/>
                <w:sz w:val="24"/>
                <w:shd w:fill="F79646" w:color="auto" w:val="clear"/>
              </w:rPr>
              <w:tab/>
            </w:r>
            <w:r>
              <w:rPr>
                <w:rFonts w:ascii="Calibri"/>
                <w:sz w:val="24"/>
                <w:shd w:fill="F79646" w:color="auto" w:val="clear"/>
              </w:rPr>
              <w:t>7.3</w:t>
              <w:tab/>
            </w:r>
          </w:p>
        </w:tc>
        <w:tc>
          <w:tcPr>
            <w:tcW w:w="1656" w:type="dxa"/>
          </w:tcPr>
          <w:p>
            <w:pPr>
              <w:pStyle w:val="TableParagraph"/>
              <w:spacing w:before="1"/>
              <w:ind w:left="524" w:right="164"/>
              <w:rPr>
                <w:rFonts w:ascii="Calibri"/>
                <w:sz w:val="24"/>
              </w:rPr>
            </w:pPr>
            <w:r>
              <w:rPr>
                <w:rFonts w:ascii="Calibri"/>
                <w:sz w:val="24"/>
              </w:rPr>
              <w:t>18.3</w:t>
            </w:r>
          </w:p>
        </w:tc>
        <w:tc>
          <w:tcPr>
            <w:tcW w:w="1301" w:type="dxa"/>
            <w:tcBorders>
              <w:right w:val="single" w:sz="16" w:space="0" w:color="000000"/>
            </w:tcBorders>
            <w:shd w:val="clear" w:color="auto" w:fill="67ED4D"/>
          </w:tcPr>
          <w:p>
            <w:pPr>
              <w:pStyle w:val="TableParagraph"/>
              <w:spacing w:before="1"/>
              <w:ind w:left="264" w:right="221"/>
              <w:rPr>
                <w:rFonts w:ascii="Calibri"/>
                <w:sz w:val="24"/>
              </w:rPr>
            </w:pPr>
            <w:r>
              <w:rPr>
                <w:rFonts w:ascii="Calibri"/>
                <w:sz w:val="24"/>
              </w:rPr>
              <w:t>24</w:t>
            </w:r>
          </w:p>
        </w:tc>
      </w:tr>
      <w:tr>
        <w:trPr>
          <w:trHeight w:val="280" w:hRule="exact"/>
        </w:trPr>
        <w:tc>
          <w:tcPr>
            <w:tcW w:w="6733" w:type="dxa"/>
            <w:gridSpan w:val="4"/>
            <w:tcBorders>
              <w:left w:val="single" w:sz="8" w:space="0" w:color="000000"/>
              <w:right w:val="single" w:sz="16" w:space="0" w:color="000000"/>
            </w:tcBorders>
          </w:tcPr>
          <w:p>
            <w:pPr/>
          </w:p>
        </w:tc>
      </w:tr>
      <w:tr>
        <w:trPr>
          <w:trHeight w:val="320" w:hRule="exact"/>
        </w:trPr>
        <w:tc>
          <w:tcPr>
            <w:tcW w:w="2792" w:type="dxa"/>
            <w:tcBorders>
              <w:left w:val="single" w:sz="8" w:space="0" w:color="000000"/>
            </w:tcBorders>
          </w:tcPr>
          <w:p>
            <w:pPr>
              <w:pStyle w:val="TableParagraph"/>
              <w:spacing w:before="5"/>
              <w:ind w:left="40"/>
              <w:jc w:val="left"/>
              <w:rPr>
                <w:sz w:val="24"/>
              </w:rPr>
            </w:pPr>
            <w:r>
              <w:rPr>
                <w:sz w:val="24"/>
              </w:rPr>
              <w:t>Índice Económico</w:t>
            </w:r>
          </w:p>
        </w:tc>
        <w:tc>
          <w:tcPr>
            <w:tcW w:w="984" w:type="dxa"/>
          </w:tcPr>
          <w:p>
            <w:pPr>
              <w:pStyle w:val="TableParagraph"/>
              <w:tabs>
                <w:tab w:pos="539" w:val="left" w:leader="none"/>
                <w:tab w:pos="1359" w:val="left" w:leader="none"/>
              </w:tabs>
              <w:spacing w:before="1"/>
              <w:ind w:left="38" w:right="-376"/>
              <w:rPr>
                <w:rFonts w:ascii="Calibri"/>
                <w:sz w:val="24"/>
              </w:rPr>
            </w:pPr>
            <w:r>
              <w:rPr>
                <w:rFonts w:ascii="Times New Roman"/>
                <w:w w:val="100"/>
                <w:sz w:val="24"/>
                <w:shd w:fill="F79646" w:color="auto" w:val="clear"/>
              </w:rPr>
              <w:t> </w:t>
            </w:r>
            <w:r>
              <w:rPr>
                <w:rFonts w:ascii="Times New Roman"/>
                <w:sz w:val="24"/>
                <w:shd w:fill="F79646" w:color="auto" w:val="clear"/>
              </w:rPr>
              <w:tab/>
            </w:r>
            <w:r>
              <w:rPr>
                <w:rFonts w:ascii="Calibri"/>
                <w:sz w:val="24"/>
                <w:shd w:fill="F79646" w:color="auto" w:val="clear"/>
              </w:rPr>
              <w:t>6.3</w:t>
              <w:tab/>
            </w:r>
          </w:p>
        </w:tc>
        <w:tc>
          <w:tcPr>
            <w:tcW w:w="1656" w:type="dxa"/>
          </w:tcPr>
          <w:p>
            <w:pPr>
              <w:pStyle w:val="TableParagraph"/>
              <w:spacing w:before="1"/>
              <w:ind w:left="376"/>
              <w:rPr>
                <w:rFonts w:ascii="Calibri"/>
                <w:sz w:val="24"/>
              </w:rPr>
            </w:pPr>
            <w:r>
              <w:rPr>
                <w:rFonts w:ascii="Calibri"/>
                <w:w w:val="100"/>
                <w:sz w:val="24"/>
              </w:rPr>
              <w:t>9</w:t>
            </w:r>
          </w:p>
        </w:tc>
        <w:tc>
          <w:tcPr>
            <w:tcW w:w="1301" w:type="dxa"/>
            <w:tcBorders>
              <w:right w:val="single" w:sz="16" w:space="0" w:color="000000"/>
            </w:tcBorders>
            <w:shd w:val="clear" w:color="auto" w:fill="67ED4D"/>
          </w:tcPr>
          <w:p>
            <w:pPr>
              <w:pStyle w:val="TableParagraph"/>
              <w:spacing w:before="1"/>
              <w:ind w:left="264" w:right="221"/>
              <w:rPr>
                <w:rFonts w:ascii="Calibri"/>
                <w:sz w:val="24"/>
              </w:rPr>
            </w:pPr>
            <w:r>
              <w:rPr>
                <w:rFonts w:ascii="Calibri"/>
                <w:sz w:val="24"/>
              </w:rPr>
              <w:t>11</w:t>
            </w:r>
          </w:p>
        </w:tc>
      </w:tr>
      <w:tr>
        <w:trPr>
          <w:trHeight w:val="1281" w:hRule="exact"/>
        </w:trPr>
        <w:tc>
          <w:tcPr>
            <w:tcW w:w="2792" w:type="dxa"/>
            <w:tcBorders>
              <w:left w:val="single" w:sz="8" w:space="0" w:color="000000"/>
              <w:bottom w:val="single" w:sz="16" w:space="0" w:color="000000"/>
            </w:tcBorders>
          </w:tcPr>
          <w:p>
            <w:pPr>
              <w:pStyle w:val="TableParagraph"/>
              <w:spacing w:before="9"/>
              <w:jc w:val="left"/>
              <w:rPr>
                <w:sz w:val="24"/>
              </w:rPr>
            </w:pPr>
          </w:p>
          <w:p>
            <w:pPr>
              <w:pStyle w:val="TableParagraph"/>
              <w:ind w:left="40"/>
              <w:jc w:val="left"/>
              <w:rPr>
                <w:sz w:val="24"/>
              </w:rPr>
            </w:pPr>
            <w:r>
              <w:rPr>
                <w:sz w:val="24"/>
              </w:rPr>
              <w:t>Índice Territorio</w:t>
            </w:r>
          </w:p>
          <w:p>
            <w:pPr>
              <w:pStyle w:val="TableParagraph"/>
              <w:spacing w:before="8"/>
              <w:jc w:val="left"/>
              <w:rPr>
                <w:sz w:val="31"/>
              </w:rPr>
            </w:pPr>
          </w:p>
          <w:p>
            <w:pPr>
              <w:pStyle w:val="TableParagraph"/>
              <w:ind w:left="60"/>
              <w:jc w:val="left"/>
              <w:rPr>
                <w:sz w:val="24"/>
              </w:rPr>
            </w:pPr>
            <w:r>
              <w:rPr>
                <w:sz w:val="24"/>
              </w:rPr>
              <w:t>Índice de Sustentabilidad</w:t>
            </w:r>
          </w:p>
        </w:tc>
        <w:tc>
          <w:tcPr>
            <w:tcW w:w="984" w:type="dxa"/>
            <w:tcBorders>
              <w:bottom w:val="single" w:sz="16" w:space="0" w:color="000000"/>
            </w:tcBorders>
          </w:tcPr>
          <w:p>
            <w:pPr>
              <w:pStyle w:val="TableParagraph"/>
              <w:spacing w:before="6"/>
              <w:jc w:val="left"/>
              <w:rPr>
                <w:sz w:val="24"/>
              </w:rPr>
            </w:pPr>
          </w:p>
          <w:p>
            <w:pPr>
              <w:pStyle w:val="TableParagraph"/>
              <w:tabs>
                <w:tab w:pos="479" w:val="left" w:leader="none"/>
                <w:tab w:pos="1339" w:val="left" w:leader="none"/>
              </w:tabs>
              <w:ind w:left="38" w:right="-356"/>
              <w:jc w:val="left"/>
              <w:rPr>
                <w:rFonts w:ascii="Calibri"/>
                <w:sz w:val="24"/>
              </w:rPr>
            </w:pPr>
            <w:r>
              <w:rPr>
                <w:rFonts w:ascii="Times New Roman"/>
                <w:w w:val="100"/>
                <w:sz w:val="24"/>
                <w:shd w:fill="F79646" w:color="auto" w:val="clear"/>
              </w:rPr>
              <w:t> </w:t>
            </w:r>
            <w:r>
              <w:rPr>
                <w:rFonts w:ascii="Times New Roman"/>
                <w:sz w:val="24"/>
                <w:shd w:fill="F79646" w:color="auto" w:val="clear"/>
              </w:rPr>
              <w:tab/>
            </w:r>
            <w:r>
              <w:rPr>
                <w:rFonts w:ascii="Calibri"/>
                <w:sz w:val="24"/>
                <w:shd w:fill="F79646" w:color="auto" w:val="clear"/>
              </w:rPr>
              <w:t>8.21</w:t>
              <w:tab/>
            </w:r>
          </w:p>
          <w:p>
            <w:pPr>
              <w:pStyle w:val="TableParagraph"/>
              <w:spacing w:before="2"/>
              <w:jc w:val="left"/>
              <w:rPr>
                <w:sz w:val="30"/>
              </w:rPr>
            </w:pPr>
          </w:p>
          <w:p>
            <w:pPr>
              <w:pStyle w:val="TableParagraph"/>
              <w:tabs>
                <w:tab w:pos="419" w:val="left" w:leader="none"/>
                <w:tab w:pos="1339" w:val="left" w:leader="none"/>
              </w:tabs>
              <w:ind w:left="38" w:right="-356"/>
              <w:jc w:val="left"/>
              <w:rPr>
                <w:rFonts w:ascii="Calibri"/>
                <w:sz w:val="24"/>
              </w:rPr>
            </w:pPr>
            <w:r>
              <w:rPr>
                <w:rFonts w:ascii="Times New Roman"/>
                <w:w w:val="100"/>
                <w:sz w:val="24"/>
                <w:shd w:fill="F79646" w:color="auto" w:val="clear"/>
              </w:rPr>
              <w:t> </w:t>
            </w:r>
            <w:r>
              <w:rPr>
                <w:rFonts w:ascii="Times New Roman"/>
                <w:sz w:val="24"/>
                <w:shd w:fill="F79646" w:color="auto" w:val="clear"/>
              </w:rPr>
              <w:tab/>
            </w:r>
            <w:r>
              <w:rPr>
                <w:rFonts w:ascii="Calibri"/>
                <w:sz w:val="24"/>
                <w:shd w:fill="F79646" w:color="auto" w:val="clear"/>
              </w:rPr>
              <w:t>33.41</w:t>
              <w:tab/>
            </w:r>
          </w:p>
        </w:tc>
        <w:tc>
          <w:tcPr>
            <w:tcW w:w="1656" w:type="dxa"/>
            <w:tcBorders>
              <w:bottom w:val="single" w:sz="16" w:space="0" w:color="000000"/>
            </w:tcBorders>
          </w:tcPr>
          <w:p>
            <w:pPr>
              <w:pStyle w:val="TableParagraph"/>
              <w:spacing w:before="6"/>
              <w:jc w:val="left"/>
              <w:rPr>
                <w:sz w:val="24"/>
              </w:rPr>
            </w:pPr>
          </w:p>
          <w:p>
            <w:pPr>
              <w:pStyle w:val="TableParagraph"/>
              <w:tabs>
                <w:tab w:pos="735" w:val="left" w:leader="none"/>
                <w:tab w:pos="1675" w:val="left" w:leader="none"/>
              </w:tabs>
              <w:ind w:left="355" w:right="-21"/>
              <w:jc w:val="left"/>
              <w:rPr>
                <w:rFonts w:ascii="Calibri"/>
                <w:sz w:val="24"/>
              </w:rPr>
            </w:pPr>
            <w:r>
              <w:rPr>
                <w:rFonts w:ascii="Times New Roman"/>
                <w:w w:val="100"/>
                <w:sz w:val="24"/>
                <w:shd w:fill="FFFF00" w:color="auto" w:val="clear"/>
              </w:rPr>
              <w:t> </w:t>
            </w:r>
            <w:r>
              <w:rPr>
                <w:rFonts w:ascii="Times New Roman"/>
                <w:sz w:val="24"/>
                <w:shd w:fill="FFFF00" w:color="auto" w:val="clear"/>
              </w:rPr>
              <w:tab/>
            </w:r>
            <w:r>
              <w:rPr>
                <w:rFonts w:ascii="Calibri"/>
                <w:sz w:val="24"/>
                <w:shd w:fill="FFFF00" w:color="auto" w:val="clear"/>
              </w:rPr>
              <w:t>12.66</w:t>
              <w:tab/>
            </w:r>
          </w:p>
          <w:p>
            <w:pPr>
              <w:pStyle w:val="TableParagraph"/>
              <w:spacing w:before="2"/>
              <w:jc w:val="left"/>
              <w:rPr>
                <w:sz w:val="30"/>
              </w:rPr>
            </w:pPr>
          </w:p>
          <w:p>
            <w:pPr>
              <w:pStyle w:val="TableParagraph"/>
              <w:tabs>
                <w:tab w:pos="735" w:val="left" w:leader="none"/>
                <w:tab w:pos="1675" w:val="left" w:leader="none"/>
              </w:tabs>
              <w:ind w:left="355" w:right="-21"/>
              <w:jc w:val="left"/>
              <w:rPr>
                <w:rFonts w:ascii="Calibri"/>
                <w:sz w:val="24"/>
              </w:rPr>
            </w:pPr>
            <w:r>
              <w:rPr>
                <w:rFonts w:ascii="Times New Roman"/>
                <w:w w:val="100"/>
                <w:sz w:val="24"/>
                <w:shd w:fill="FFFF00" w:color="auto" w:val="clear"/>
              </w:rPr>
              <w:t> </w:t>
            </w:r>
            <w:r>
              <w:rPr>
                <w:rFonts w:ascii="Times New Roman"/>
                <w:sz w:val="24"/>
                <w:shd w:fill="FFFF00" w:color="auto" w:val="clear"/>
              </w:rPr>
              <w:tab/>
            </w:r>
            <w:r>
              <w:rPr>
                <w:rFonts w:ascii="Calibri"/>
                <w:sz w:val="24"/>
                <w:shd w:fill="FFFF00" w:color="auto" w:val="clear"/>
              </w:rPr>
              <w:t>51.36</w:t>
              <w:tab/>
            </w:r>
          </w:p>
        </w:tc>
        <w:tc>
          <w:tcPr>
            <w:tcW w:w="1301" w:type="dxa"/>
            <w:tcBorders>
              <w:bottom w:val="single" w:sz="16" w:space="0" w:color="000000"/>
              <w:right w:val="single" w:sz="16" w:space="0" w:color="000000"/>
            </w:tcBorders>
          </w:tcPr>
          <w:p>
            <w:pPr>
              <w:pStyle w:val="TableParagraph"/>
              <w:spacing w:before="6"/>
              <w:jc w:val="left"/>
              <w:rPr>
                <w:sz w:val="24"/>
              </w:rPr>
            </w:pPr>
          </w:p>
          <w:p>
            <w:pPr>
              <w:pStyle w:val="TableParagraph"/>
              <w:ind w:left="264" w:right="221"/>
              <w:rPr>
                <w:rFonts w:ascii="Calibri"/>
                <w:sz w:val="24"/>
              </w:rPr>
            </w:pPr>
            <w:r>
              <w:rPr>
                <w:rFonts w:ascii="Calibri"/>
                <w:sz w:val="24"/>
              </w:rPr>
              <w:t>17</w:t>
            </w:r>
          </w:p>
          <w:p>
            <w:pPr>
              <w:pStyle w:val="TableParagraph"/>
              <w:spacing w:before="2"/>
              <w:jc w:val="left"/>
              <w:rPr>
                <w:sz w:val="30"/>
              </w:rPr>
            </w:pPr>
          </w:p>
          <w:p>
            <w:pPr>
              <w:pStyle w:val="TableParagraph"/>
              <w:ind w:left="264" w:right="221"/>
              <w:rPr>
                <w:rFonts w:ascii="Calibri"/>
                <w:sz w:val="24"/>
              </w:rPr>
            </w:pPr>
            <w:r>
              <w:rPr>
                <w:rFonts w:ascii="Calibri"/>
                <w:sz w:val="24"/>
              </w:rPr>
              <w:t>67</w:t>
            </w:r>
          </w:p>
        </w:tc>
      </w:tr>
    </w:tbl>
    <w:p>
      <w:pPr>
        <w:pStyle w:val="BodyText"/>
        <w:spacing w:before="4"/>
        <w:rPr>
          <w:sz w:val="35"/>
        </w:rPr>
      </w:pPr>
    </w:p>
    <w:p>
      <w:pPr>
        <w:spacing w:before="0"/>
        <w:ind w:left="757" w:right="0" w:firstLine="0"/>
        <w:jc w:val="left"/>
        <w:rPr>
          <w:sz w:val="21"/>
        </w:rPr>
      </w:pPr>
      <w:r>
        <w:rPr/>
        <w:pict>
          <v:rect style="position:absolute;margin-left:360.421997pt;margin-top:-101.403328pt;width:66.029300pt;height:16.0162pt;mso-position-horizontal-relative:page;mso-position-vertical-relative:paragraph;z-index:-1145704" filled="true" fillcolor="#ffff00" stroked="false">
            <v:fill type="solid"/>
            <w10:wrap type="none"/>
          </v:rect>
        </w:pict>
      </w:r>
      <w:r>
        <w:rPr/>
        <w:pict>
          <v:rect style="position:absolute;margin-left:425.450989pt;margin-top:-71.372330pt;width:66.029300pt;height:16.0162pt;mso-position-horizontal-relative:page;mso-position-vertical-relative:paragraph;z-index:-1145680" filled="true" fillcolor="#67ed4d" stroked="false">
            <v:fill type="solid"/>
            <w10:wrap type="none"/>
          </v:rect>
        </w:pict>
      </w:r>
      <w:r>
        <w:rPr/>
        <w:pict>
          <v:rect style="position:absolute;margin-left:425.450989pt;margin-top:-41.342327pt;width:66.029300pt;height:21.0212pt;mso-position-horizontal-relative:page;mso-position-vertical-relative:paragraph;z-index:-1145656" filled="true" fillcolor="#67ed4d"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rPr>
          <w:sz w:val="20"/>
        </w:rPr>
      </w:pPr>
    </w:p>
    <w:p>
      <w:pPr>
        <w:pStyle w:val="BodyText"/>
        <w:rPr>
          <w:sz w:val="20"/>
        </w:rPr>
      </w:pPr>
    </w:p>
    <w:p>
      <w:pPr>
        <w:pStyle w:val="BodyText"/>
        <w:rPr>
          <w:sz w:val="20"/>
        </w:rPr>
      </w:pPr>
    </w:p>
    <w:p>
      <w:pPr>
        <w:pStyle w:val="BodyText"/>
        <w:spacing w:before="6"/>
        <w:rPr>
          <w:sz w:val="16"/>
        </w:rPr>
      </w:pPr>
    </w:p>
    <w:p>
      <w:pPr>
        <w:spacing w:before="78"/>
        <w:ind w:left="268" w:right="0" w:firstLine="0"/>
        <w:jc w:val="left"/>
        <w:rPr>
          <w:sz w:val="21"/>
        </w:rPr>
      </w:pPr>
      <w:r>
        <w:rPr/>
        <w:pict>
          <v:line style="position:absolute;mso-position-horizontal-relative:page;mso-position-vertical-relative:paragraph;z-index:12400" from="93.199997pt,-53.21109pt" to="546.799997pt,-53.21109pt" stroked="true" strokeweight=".479981pt" strokecolor="#000000">
            <w10:wrap type="none"/>
          </v:line>
        </w:pict>
      </w:r>
      <w:r>
        <w:rPr>
          <w:w w:val="105"/>
          <w:sz w:val="21"/>
        </w:rPr>
        <w:t>Gráfica 17. Escenario de resultados por índices.</w:t>
      </w:r>
    </w:p>
    <w:p>
      <w:pPr>
        <w:pStyle w:val="Heading2"/>
        <w:spacing w:before="170"/>
      </w:pPr>
      <w:r>
        <w:rPr/>
        <w:t>Distribución de índices de Hacienda de las Fuentes</w:t>
      </w:r>
    </w:p>
    <w:p>
      <w:pPr>
        <w:pStyle w:val="BodyText"/>
        <w:spacing w:before="8"/>
        <w:rPr>
          <w:rFonts w:ascii="Calibri"/>
          <w:b/>
          <w:sz w:val="9"/>
        </w:rPr>
      </w:pPr>
    </w:p>
    <w:p>
      <w:pPr>
        <w:tabs>
          <w:tab w:pos="1159" w:val="left" w:leader="none"/>
          <w:tab w:pos="2203" w:val="left" w:leader="none"/>
        </w:tabs>
        <w:spacing w:before="75"/>
        <w:ind w:left="415" w:right="0" w:firstLine="0"/>
        <w:jc w:val="center"/>
        <w:rPr>
          <w:rFonts w:ascii="Calibri" w:hAnsi="Calibri"/>
          <w:sz w:val="15"/>
        </w:rPr>
      </w:pPr>
      <w:r>
        <w:rPr/>
        <w:pict>
          <v:group style="position:absolute;margin-left:256.26297pt;margin-top:5.556233pt;width:17.350pt;height:5.1pt;mso-position-horizontal-relative:page;mso-position-vertical-relative:paragraph;z-index:12448" coordorigin="5125,111" coordsize="347,102">
            <v:line style="position:absolute" from="5154,159" to="5443,159" stroked="true" strokeweight="2.830311pt" strokecolor="#5b92c7"/>
            <v:shape style="position:absolute;left:5252;top:119;width:90;height:85" type="#_x0000_t75" stroked="false">
              <v:imagedata r:id="rId243" o:title=""/>
            </v:shape>
            <v:shape style="position:absolute;left:5252;top:119;width:91;height:86" coordorigin="5252,119" coordsize="91,86" path="m5297,119l5342,164,5297,204,5252,164,5297,119xe" filled="false" stroked="true" strokeweight=".754421pt" strokecolor="#5b92c7">
              <v:path arrowok="t"/>
            </v:shape>
            <w10:wrap type="none"/>
          </v:group>
        </w:pict>
      </w:r>
      <w:r>
        <w:rPr/>
        <w:pict>
          <v:group style="position:absolute;margin-left:293.488007pt;margin-top:5.556233pt;width:17.350pt;height:5.1pt;mso-position-horizontal-relative:page;mso-position-vertical-relative:paragraph;z-index:-1145560" coordorigin="5870,111" coordsize="347,102">
            <v:line style="position:absolute" from="5898,159" to="6188,159" stroked="true" strokeweight="2.830311pt" strokecolor="#cc615a"/>
            <v:shape style="position:absolute;left:5991;top:119;width:90;height:85" type="#_x0000_t75" stroked="false">
              <v:imagedata r:id="rId244" o:title=""/>
            </v:shape>
            <v:rect style="position:absolute;left:5991;top:119;width:90;height:85" filled="false" stroked="true" strokeweight=".754421pt" strokecolor="#cc615a"/>
            <w10:wrap type="none"/>
          </v:group>
        </w:pict>
      </w:r>
      <w:r>
        <w:rPr/>
        <w:pict>
          <v:group style="position:absolute;margin-left:345.671997pt;margin-top:5.556233pt;width:17.350pt;height:5.1pt;mso-position-horizontal-relative:page;mso-position-vertical-relative:paragraph;z-index:-1145536" coordorigin="6913,111" coordsize="347,102">
            <v:line style="position:absolute" from="6942,159" to="7231,159" stroked="true" strokeweight="2.830311pt" strokecolor="#a8c367"/>
            <v:shape style="position:absolute;left:7046;top:119;width:86;height:85" type="#_x0000_t75" stroked="false">
              <v:imagedata r:id="rId245" o:title=""/>
            </v:shape>
            <v:shape style="position:absolute;left:7046;top:119;width:86;height:86" coordorigin="7046,119" coordsize="86,86" path="m7092,119l7132,204,7046,204,7092,119xe" filled="false" stroked="true" strokeweight=".754402pt" strokecolor="#a8c367">
              <v:path arrowok="t"/>
            </v:shape>
            <w10:wrap type="none"/>
          </v:group>
        </w:pict>
      </w:r>
      <w:r>
        <w:rPr>
          <w:rFonts w:ascii="Calibri" w:hAnsi="Calibri"/>
          <w:sz w:val="15"/>
        </w:rPr>
        <w:t>Real</w:t>
        <w:tab/>
        <w:t>Deseable</w:t>
        <w:tab/>
        <w:t>Óptimo</w:t>
      </w:r>
    </w:p>
    <w:p>
      <w:pPr>
        <w:pStyle w:val="BodyText"/>
        <w:rPr>
          <w:rFonts w:ascii="Calibri"/>
          <w:sz w:val="20"/>
        </w:rPr>
      </w:pPr>
    </w:p>
    <w:p>
      <w:pPr>
        <w:pStyle w:val="BodyText"/>
        <w:spacing w:before="2"/>
        <w:rPr>
          <w:rFonts w:ascii="Calibri"/>
          <w:sz w:val="28"/>
        </w:rPr>
      </w:pPr>
    </w:p>
    <w:p>
      <w:pPr>
        <w:spacing w:line="283" w:lineRule="auto" w:before="75"/>
        <w:ind w:left="4404" w:right="4257" w:hanging="95"/>
        <w:jc w:val="left"/>
        <w:rPr>
          <w:rFonts w:ascii="Calibri" w:hAnsi="Calibri"/>
          <w:sz w:val="15"/>
        </w:rPr>
      </w:pPr>
      <w:r>
        <w:rPr/>
        <w:pict>
          <v:group style="position:absolute;margin-left:162.647095pt;margin-top:18.354311pt;width:316pt;height:316.3pt;mso-position-horizontal-relative:page;mso-position-vertical-relative:paragraph;z-index:-1145608" coordorigin="3253,367" coordsize="6320,6326">
            <v:shape style="position:absolute;left:100075;top:-106173553;width:106145125;height:106172039" coordorigin="100075,-106173553" coordsize="106145125,106172039" path="m6413,2892l7046,3526m7046,3526l6413,4160m6413,4160l5779,3526m5779,3526l6413,2892m6413,2258l7665,3526m7665,3526l6413,4794m6413,4794l5146,3526m5146,3526l6413,2258m6413,1639l8298,3526m8298,3526l6413,5428m6413,5428l4513,3526m4513,3526l6413,1639m6413,1005l8931,3526m8931,3526l6413,6047m6413,6047l3879,3526m3879,3526l6413,1005m6413,371l9563,3526m9563,3526l6413,6681m6413,6681l3261,3526m3261,3526l6413,371m6413,3526l6413,371m6413,3526l9563,3526m6413,3526l6413,6681m6413,3526l3261,3526m6413,3526l6413,371e" filled="false" stroked="true" strokeweight=".7544pt" strokecolor="#989898">
              <v:path arrowok="t"/>
            </v:shape>
            <v:shape style="position:absolute;left:6285;top:1968;width:256;height:257" type="#_x0000_t75" stroked="false">
              <v:imagedata r:id="rId246" o:title=""/>
            </v:shape>
            <v:shape style="position:absolute;left:7205;top:3432;width:256;height:257" type="#_x0000_t75" stroked="false">
              <v:imagedata r:id="rId246" o:title=""/>
            </v:shape>
            <v:shape style="position:absolute;left:6285;top:4232;width:256;height:257" type="#_x0000_t75" stroked="false">
              <v:imagedata r:id="rId246" o:title=""/>
            </v:shape>
            <v:shape style="position:absolute;left:5244;top:3432;width:256;height:257" type="#_x0000_t75" stroked="false">
              <v:imagedata r:id="rId246" o:title=""/>
            </v:shape>
            <v:shape style="position:absolute;left:6285;top:1998;width:256;height:257" type="#_x0000_t75" stroked="false">
              <v:imagedata r:id="rId247" o:title=""/>
            </v:shape>
            <v:shape style="position:absolute;left:8592;top:3432;width:256;height:257" type="#_x0000_t75" stroked="false">
              <v:imagedata r:id="rId247" o:title=""/>
            </v:shape>
            <v:shape style="position:absolute;left:4686;top:3432;width:256;height:257" type="#_x0000_t75" stroked="false">
              <v:imagedata r:id="rId247" o:title=""/>
            </v:shape>
            <v:shape style="position:absolute;left:6285;top:1545;width:256;height:257" type="#_x0000_t75" stroked="false">
              <v:imagedata r:id="rId248" o:title=""/>
            </v:shape>
            <v:shape style="position:absolute;left:9316;top:3432;width:256;height:257" type="#_x0000_t75" stroked="false">
              <v:imagedata r:id="rId248" o:title=""/>
            </v:shape>
            <v:shape style="position:absolute;left:6285;top:4564;width:256;height:513" type="#_x0000_t75" stroked="false">
              <v:imagedata r:id="rId249" o:title=""/>
            </v:shape>
            <v:shape style="position:absolute;left:4143;top:3432;width:256;height:257" type="#_x0000_t75" stroked="false">
              <v:imagedata r:id="rId248" o:title=""/>
            </v:shape>
            <v:shape style="position:absolute;left:-17045;top:-38023948;width:32974246;height:38048152" coordorigin="-17045,-38023948" coordsize="32974246,38048152" path="m5372,3531l6413,2067m6413,2067l7330,3531m7330,3531l6413,4328m6413,4328l5372,3531e" filled="false" stroked="true" strokeweight="2.828999pt" strokecolor="#5b92c7">
              <v:path arrowok="t"/>
            </v:shape>
            <v:shape style="position:absolute;left:6330;top:1983;width:166;height:166" type="#_x0000_t75" stroked="false">
              <v:imagedata r:id="rId153" o:title=""/>
            </v:shape>
            <v:shape style="position:absolute;left:7250;top:3447;width:166;height:166" type="#_x0000_t75" stroked="false">
              <v:imagedata r:id="rId153" o:title=""/>
            </v:shape>
            <v:shape style="position:absolute;left:6330;top:4247;width:166;height:166" type="#_x0000_t75" stroked="false">
              <v:imagedata r:id="rId153" o:title=""/>
            </v:shape>
            <v:shape style="position:absolute;left:5289;top:3447;width:166;height:166" type="#_x0000_t75" stroked="false">
              <v:imagedata r:id="rId153" o:title=""/>
            </v:shape>
            <v:shape style="position:absolute;left:40776;top:-43238748;width:65746224;height:43179924" coordorigin="40776,-43238748" coordsize="65746224,43179924" path="m4814,3531l6413,2097m6413,2097l8718,3531m8718,3531l6413,4663m6413,4663l4814,3531e" filled="false" stroked="true" strokeweight="2.828999pt" strokecolor="#cc615a">
              <v:path arrowok="t"/>
            </v:shape>
            <v:shape style="position:absolute;left:6330;top:2013;width:166;height:166" type="#_x0000_t75" stroked="false">
              <v:imagedata r:id="rId155" o:title=""/>
            </v:shape>
            <v:shape style="position:absolute;left:8637;top:3447;width:166;height:166" type="#_x0000_t75" stroked="false">
              <v:imagedata r:id="rId155" o:title=""/>
            </v:shape>
            <v:shape style="position:absolute;left:6330;top:4579;width:166;height:166" type="#_x0000_t75" stroked="false">
              <v:imagedata r:id="rId155" o:title=""/>
            </v:shape>
            <v:shape style="position:absolute;left:4731;top:3447;width:166;height:166" type="#_x0000_t75" stroked="false">
              <v:imagedata r:id="rId155" o:title=""/>
            </v:shape>
            <v:shape style="position:absolute;left:118856;top:-55206548;width:87002145;height:55118061" coordorigin="118856,-55206548" coordsize="87002145,55118061" path="m4271,3531l6413,1644m6413,1644l9437,3531m9437,3531l6413,4920m6413,4920l4271,3531e" filled="false" stroked="true" strokeweight="2.828999pt" strokecolor="#a8c367">
              <v:path arrowok="t"/>
            </v:shape>
            <v:shape style="position:absolute;left:6330;top:1560;width:166;height:166" type="#_x0000_t75" stroked="false">
              <v:imagedata r:id="rId156" o:title=""/>
            </v:shape>
            <v:shape style="position:absolute;left:9361;top:3447;width:166;height:166" type="#_x0000_t75" stroked="false">
              <v:imagedata r:id="rId156" o:title=""/>
            </v:shape>
            <v:shape style="position:absolute;left:6330;top:4836;width:166;height:166" type="#_x0000_t75" stroked="false">
              <v:imagedata r:id="rId156" o:title=""/>
            </v:shape>
            <v:shape style="position:absolute;left:4188;top:3447;width:166;height:166" type="#_x0000_t75" stroked="false">
              <v:imagedata r:id="rId156" o:title=""/>
            </v:shape>
            <w10:wrap type="none"/>
          </v:group>
        </w:pict>
      </w:r>
      <w:r>
        <w:rPr>
          <w:rFonts w:ascii="Calibri" w:hAnsi="Calibri"/>
          <w:sz w:val="15"/>
        </w:rPr>
        <w:t>Índice Social 25</w:t>
      </w:r>
    </w:p>
    <w:p>
      <w:pPr>
        <w:pStyle w:val="BodyText"/>
        <w:spacing w:before="10"/>
        <w:rPr>
          <w:rFonts w:ascii="Calibri"/>
          <w:sz w:val="27"/>
        </w:rPr>
      </w:pPr>
    </w:p>
    <w:p>
      <w:pPr>
        <w:spacing w:before="75"/>
        <w:ind w:left="382" w:right="758" w:firstLine="0"/>
        <w:jc w:val="center"/>
        <w:rPr>
          <w:rFonts w:ascii="Calibri"/>
          <w:sz w:val="15"/>
        </w:rPr>
      </w:pPr>
      <w:r>
        <w:rPr>
          <w:rFonts w:ascii="Calibri"/>
          <w:sz w:val="15"/>
        </w:rPr>
        <w:t>20</w:t>
      </w:r>
    </w:p>
    <w:p>
      <w:pPr>
        <w:pStyle w:val="BodyText"/>
        <w:spacing w:before="10"/>
        <w:rPr>
          <w:rFonts w:ascii="Calibri"/>
          <w:sz w:val="14"/>
        </w:rPr>
      </w:pPr>
    </w:p>
    <w:p>
      <w:pPr>
        <w:spacing w:before="75"/>
        <w:ind w:left="370" w:right="0" w:firstLine="0"/>
        <w:jc w:val="center"/>
        <w:rPr>
          <w:rFonts w:ascii="Calibri"/>
          <w:sz w:val="15"/>
        </w:rPr>
      </w:pPr>
      <w:r>
        <w:rPr>
          <w:rFonts w:ascii="Calibri"/>
          <w:sz w:val="15"/>
        </w:rPr>
        <w:t>15</w:t>
      </w:r>
    </w:p>
    <w:p>
      <w:pPr>
        <w:spacing w:before="9"/>
        <w:ind w:left="382" w:right="758" w:firstLine="0"/>
        <w:jc w:val="center"/>
        <w:rPr>
          <w:rFonts w:ascii="Calibri"/>
          <w:sz w:val="15"/>
        </w:rPr>
      </w:pPr>
      <w:r>
        <w:rPr>
          <w:rFonts w:ascii="Calibri"/>
          <w:sz w:val="15"/>
        </w:rPr>
        <w:t>15</w:t>
      </w:r>
    </w:p>
    <w:p>
      <w:pPr>
        <w:spacing w:before="114"/>
        <w:ind w:left="364" w:right="0" w:firstLine="0"/>
        <w:jc w:val="center"/>
        <w:rPr>
          <w:rFonts w:ascii="Calibri"/>
          <w:sz w:val="15"/>
        </w:rPr>
      </w:pPr>
      <w:r>
        <w:rPr>
          <w:rFonts w:ascii="Calibri"/>
          <w:sz w:val="15"/>
        </w:rPr>
        <w:t>11.6</w:t>
      </w:r>
    </w:p>
    <w:p>
      <w:pPr>
        <w:pStyle w:val="BodyText"/>
        <w:spacing w:before="4"/>
        <w:rPr>
          <w:rFonts w:ascii="Calibri"/>
          <w:sz w:val="12"/>
        </w:rPr>
      </w:pPr>
    </w:p>
    <w:p>
      <w:pPr>
        <w:spacing w:line="134" w:lineRule="exact" w:before="0"/>
        <w:ind w:left="382" w:right="758" w:firstLine="0"/>
        <w:jc w:val="center"/>
        <w:rPr>
          <w:rFonts w:ascii="Calibri"/>
          <w:sz w:val="15"/>
        </w:rPr>
      </w:pPr>
      <w:r>
        <w:rPr>
          <w:rFonts w:ascii="Calibri"/>
          <w:sz w:val="15"/>
        </w:rPr>
        <w:t>10</w:t>
      </w:r>
    </w:p>
    <w:p>
      <w:pPr>
        <w:spacing w:line="134" w:lineRule="exact" w:before="0"/>
        <w:ind w:left="3" w:right="0" w:firstLine="0"/>
        <w:jc w:val="center"/>
        <w:rPr>
          <w:rFonts w:ascii="Calibri"/>
          <w:sz w:val="15"/>
        </w:rPr>
      </w:pPr>
      <w:r>
        <w:rPr>
          <w:rFonts w:ascii="Calibri"/>
          <w:sz w:val="15"/>
        </w:rPr>
        <w:t>11.4</w:t>
      </w:r>
    </w:p>
    <w:p>
      <w:pPr>
        <w:pStyle w:val="BodyText"/>
        <w:spacing w:before="8"/>
        <w:rPr>
          <w:rFonts w:ascii="Calibri"/>
          <w:sz w:val="23"/>
        </w:rPr>
      </w:pPr>
    </w:p>
    <w:p>
      <w:pPr>
        <w:spacing w:after="0"/>
        <w:rPr>
          <w:rFonts w:ascii="Calibri"/>
          <w:sz w:val="23"/>
        </w:rPr>
        <w:sectPr>
          <w:footerReference w:type="default" r:id="rId242"/>
          <w:pgSz w:w="12240" w:h="15840"/>
          <w:pgMar w:footer="1066" w:header="730" w:top="1320" w:bottom="1260" w:left="1720" w:right="1180"/>
        </w:sect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6"/>
        </w:rPr>
      </w:pPr>
    </w:p>
    <w:p>
      <w:pPr>
        <w:spacing w:before="0"/>
        <w:ind w:left="419" w:right="-14" w:firstLine="0"/>
        <w:jc w:val="left"/>
        <w:rPr>
          <w:rFonts w:ascii="Calibri" w:hAnsi="Calibri"/>
          <w:sz w:val="15"/>
        </w:rPr>
      </w:pPr>
      <w:r>
        <w:rPr>
          <w:rFonts w:ascii="Calibri" w:hAnsi="Calibri"/>
          <w:sz w:val="15"/>
        </w:rPr>
        <w:t>Índice Territorio</w:t>
      </w:r>
    </w:p>
    <w:p>
      <w:pPr>
        <w:pStyle w:val="BodyText"/>
        <w:rPr>
          <w:rFonts w:ascii="Calibri"/>
          <w:sz w:val="20"/>
        </w:rPr>
      </w:pPr>
      <w:r>
        <w:rPr/>
        <w:br w:type="column"/>
      </w:r>
      <w:r>
        <w:rPr>
          <w:rFonts w:ascii="Calibri"/>
          <w:sz w:val="20"/>
        </w:rPr>
      </w:r>
    </w:p>
    <w:p>
      <w:pPr>
        <w:pStyle w:val="BodyText"/>
        <w:spacing w:before="3"/>
        <w:rPr>
          <w:rFonts w:ascii="Calibri"/>
          <w:sz w:val="25"/>
        </w:rPr>
      </w:pPr>
    </w:p>
    <w:p>
      <w:pPr>
        <w:tabs>
          <w:tab w:pos="1342" w:val="left" w:leader="none"/>
        </w:tabs>
        <w:spacing w:before="0"/>
        <w:ind w:left="419" w:right="0" w:firstLine="0"/>
        <w:jc w:val="left"/>
        <w:rPr>
          <w:rFonts w:ascii="Calibri"/>
          <w:sz w:val="15"/>
        </w:rPr>
      </w:pPr>
      <w:r>
        <w:rPr>
          <w:rFonts w:ascii="Calibri"/>
          <w:position w:val="5"/>
          <w:sz w:val="15"/>
        </w:rPr>
        <w:t>17</w:t>
        <w:tab/>
      </w:r>
      <w:r>
        <w:rPr>
          <w:rFonts w:ascii="Calibri"/>
          <w:sz w:val="15"/>
        </w:rPr>
        <w:t>12.66</w:t>
      </w:r>
    </w:p>
    <w:p>
      <w:pPr>
        <w:spacing w:before="75"/>
        <w:ind w:left="0" w:right="0" w:firstLine="0"/>
        <w:jc w:val="right"/>
        <w:rPr>
          <w:rFonts w:ascii="Calibri"/>
          <w:sz w:val="15"/>
        </w:rPr>
      </w:pPr>
      <w:r>
        <w:rPr/>
        <w:br w:type="column"/>
      </w:r>
      <w:r>
        <w:rPr>
          <w:rFonts w:ascii="Calibri"/>
          <w:sz w:val="15"/>
        </w:rPr>
        <w:t>5</w:t>
      </w:r>
    </w:p>
    <w:p>
      <w:pPr>
        <w:pStyle w:val="BodyText"/>
        <w:rPr>
          <w:rFonts w:ascii="Calibri"/>
          <w:sz w:val="14"/>
        </w:rPr>
      </w:pPr>
    </w:p>
    <w:p>
      <w:pPr>
        <w:pStyle w:val="BodyText"/>
        <w:spacing w:before="8"/>
        <w:rPr>
          <w:rFonts w:ascii="Calibri"/>
          <w:sz w:val="16"/>
        </w:rPr>
      </w:pPr>
    </w:p>
    <w:p>
      <w:pPr>
        <w:tabs>
          <w:tab w:pos="671" w:val="left" w:leader="none"/>
        </w:tabs>
        <w:spacing w:before="0"/>
        <w:ind w:left="0" w:right="0" w:firstLine="0"/>
        <w:jc w:val="right"/>
        <w:rPr>
          <w:rFonts w:ascii="Calibri"/>
          <w:sz w:val="15"/>
        </w:rPr>
      </w:pPr>
      <w:r>
        <w:rPr>
          <w:rFonts w:ascii="Calibri"/>
          <w:sz w:val="15"/>
        </w:rPr>
        <w:t>8.21</w:t>
        <w:tab/>
      </w:r>
      <w:r>
        <w:rPr>
          <w:rFonts w:ascii="Calibri"/>
          <w:spacing w:val="-1"/>
          <w:position w:val="-6"/>
          <w:sz w:val="15"/>
        </w:rPr>
        <w:t>0</w:t>
      </w:r>
    </w:p>
    <w:p>
      <w:pPr>
        <w:pStyle w:val="BodyText"/>
        <w:rPr>
          <w:rFonts w:ascii="Calibri"/>
          <w:sz w:val="14"/>
        </w:rPr>
      </w:pPr>
      <w:r>
        <w:rPr/>
        <w:br w:type="column"/>
      </w:r>
      <w:r>
        <w:rPr>
          <w:rFonts w:ascii="Calibri"/>
          <w:sz w:val="14"/>
        </w:rPr>
      </w:r>
    </w:p>
    <w:p>
      <w:pPr>
        <w:pStyle w:val="BodyText"/>
        <w:rPr>
          <w:rFonts w:ascii="Calibri"/>
          <w:sz w:val="14"/>
        </w:rPr>
      </w:pPr>
    </w:p>
    <w:p>
      <w:pPr>
        <w:pStyle w:val="BodyText"/>
        <w:rPr>
          <w:rFonts w:ascii="Calibri"/>
          <w:sz w:val="14"/>
        </w:rPr>
      </w:pPr>
    </w:p>
    <w:p>
      <w:pPr>
        <w:spacing w:before="90"/>
        <w:ind w:left="0" w:right="0" w:firstLine="0"/>
        <w:jc w:val="right"/>
        <w:rPr>
          <w:rFonts w:ascii="Calibri"/>
          <w:sz w:val="15"/>
        </w:rPr>
      </w:pPr>
      <w:r>
        <w:rPr>
          <w:rFonts w:ascii="Calibri"/>
          <w:sz w:val="15"/>
        </w:rPr>
        <w:t>7.3</w:t>
      </w:r>
    </w:p>
    <w:p>
      <w:pPr>
        <w:pStyle w:val="BodyText"/>
        <w:rPr>
          <w:rFonts w:ascii="Calibri"/>
          <w:sz w:val="14"/>
        </w:rPr>
      </w:pPr>
      <w:r>
        <w:rPr/>
        <w:br w:type="column"/>
      </w:r>
      <w:r>
        <w:rPr>
          <w:rFonts w:ascii="Calibri"/>
          <w:sz w:val="14"/>
        </w:rPr>
      </w:r>
    </w:p>
    <w:p>
      <w:pPr>
        <w:pStyle w:val="BodyText"/>
        <w:rPr>
          <w:rFonts w:ascii="Calibri"/>
          <w:sz w:val="14"/>
        </w:rPr>
      </w:pPr>
    </w:p>
    <w:p>
      <w:pPr>
        <w:pStyle w:val="BodyText"/>
        <w:rPr>
          <w:rFonts w:ascii="Calibri"/>
          <w:sz w:val="14"/>
        </w:rPr>
      </w:pPr>
    </w:p>
    <w:p>
      <w:pPr>
        <w:spacing w:before="90"/>
        <w:ind w:left="419" w:right="-18" w:firstLine="0"/>
        <w:jc w:val="left"/>
        <w:rPr>
          <w:rFonts w:ascii="Calibri"/>
          <w:sz w:val="15"/>
        </w:rPr>
      </w:pPr>
      <w:r>
        <w:rPr>
          <w:rFonts w:ascii="Calibri"/>
          <w:sz w:val="15"/>
        </w:rPr>
        <w:t>18.3</w:t>
      </w:r>
    </w:p>
    <w:p>
      <w:pPr>
        <w:pStyle w:val="BodyText"/>
        <w:rPr>
          <w:rFonts w:ascii="Calibri"/>
          <w:sz w:val="14"/>
        </w:rPr>
      </w:pPr>
      <w:r>
        <w:rPr/>
        <w:br w:type="column"/>
      </w:r>
      <w:r>
        <w:rPr>
          <w:rFonts w:ascii="Calibri"/>
          <w:sz w:val="14"/>
        </w:rPr>
      </w:r>
    </w:p>
    <w:p>
      <w:pPr>
        <w:pStyle w:val="BodyText"/>
        <w:rPr>
          <w:rFonts w:ascii="Calibri"/>
          <w:sz w:val="14"/>
        </w:rPr>
      </w:pPr>
    </w:p>
    <w:p>
      <w:pPr>
        <w:pStyle w:val="BodyText"/>
        <w:spacing w:before="11"/>
        <w:rPr>
          <w:rFonts w:ascii="Calibri"/>
          <w:sz w:val="13"/>
        </w:rPr>
      </w:pPr>
    </w:p>
    <w:p>
      <w:pPr>
        <w:spacing w:before="1"/>
        <w:ind w:left="419" w:right="0" w:firstLine="0"/>
        <w:jc w:val="left"/>
        <w:rPr>
          <w:rFonts w:ascii="Calibri"/>
          <w:sz w:val="15"/>
        </w:rPr>
      </w:pPr>
      <w:r>
        <w:rPr>
          <w:rFonts w:ascii="Calibri"/>
          <w:sz w:val="15"/>
        </w:rPr>
        <w:t>24</w:t>
      </w:r>
    </w:p>
    <w:p>
      <w:pPr>
        <w:spacing w:before="13"/>
        <w:ind w:left="570" w:right="0" w:firstLine="0"/>
        <w:jc w:val="left"/>
        <w:rPr>
          <w:rFonts w:ascii="Calibri" w:hAnsi="Calibri"/>
          <w:sz w:val="15"/>
        </w:rPr>
      </w:pPr>
      <w:r>
        <w:rPr>
          <w:rFonts w:ascii="Calibri" w:hAnsi="Calibri"/>
          <w:sz w:val="15"/>
        </w:rPr>
        <w:t>Índice Ambiental</w:t>
      </w:r>
    </w:p>
    <w:p>
      <w:pPr>
        <w:spacing w:after="0"/>
        <w:jc w:val="left"/>
        <w:rPr>
          <w:rFonts w:ascii="Calibri" w:hAnsi="Calibri"/>
          <w:sz w:val="15"/>
        </w:rPr>
        <w:sectPr>
          <w:type w:val="continuous"/>
          <w:pgSz w:w="12240" w:h="15840"/>
          <w:pgMar w:top="1500" w:bottom="280" w:left="1720" w:right="1180"/>
          <w:cols w:num="6" w:equalWidth="0">
            <w:col w:w="1409" w:space="551"/>
            <w:col w:w="1687" w:space="40"/>
            <w:col w:w="871" w:space="207"/>
            <w:col w:w="611" w:space="627"/>
            <w:col w:w="687" w:space="709"/>
            <w:col w:w="1941"/>
          </w:cols>
        </w:sectPr>
      </w:pPr>
    </w:p>
    <w:p>
      <w:pPr>
        <w:pStyle w:val="BodyText"/>
        <w:spacing w:before="1"/>
        <w:rPr>
          <w:rFonts w:ascii="Calibri"/>
          <w:sz w:val="14"/>
        </w:rPr>
      </w:pPr>
    </w:p>
    <w:p>
      <w:pPr>
        <w:spacing w:before="75"/>
        <w:ind w:left="339" w:right="0" w:firstLine="0"/>
        <w:jc w:val="center"/>
        <w:rPr>
          <w:rFonts w:ascii="Calibri"/>
          <w:sz w:val="15"/>
        </w:rPr>
      </w:pPr>
      <w:r>
        <w:rPr>
          <w:rFonts w:ascii="Calibri"/>
          <w:sz w:val="15"/>
        </w:rPr>
        <w:t>6.3</w:t>
      </w:r>
    </w:p>
    <w:p>
      <w:pPr>
        <w:pStyle w:val="BodyText"/>
        <w:spacing w:before="8"/>
        <w:rPr>
          <w:rFonts w:ascii="Calibri"/>
          <w:sz w:val="16"/>
        </w:rPr>
      </w:pPr>
    </w:p>
    <w:p>
      <w:pPr>
        <w:spacing w:before="75"/>
        <w:ind w:left="313" w:right="0" w:firstLine="0"/>
        <w:jc w:val="center"/>
        <w:rPr>
          <w:rFonts w:ascii="Calibri"/>
          <w:sz w:val="15"/>
        </w:rPr>
      </w:pPr>
      <w:r>
        <w:rPr>
          <w:rFonts w:ascii="Calibri"/>
          <w:w w:val="100"/>
          <w:sz w:val="15"/>
        </w:rPr>
        <w:t>9</w:t>
      </w:r>
    </w:p>
    <w:p>
      <w:pPr>
        <w:pStyle w:val="BodyText"/>
        <w:rPr>
          <w:rFonts w:ascii="Calibri"/>
          <w:sz w:val="20"/>
        </w:rPr>
      </w:pPr>
    </w:p>
    <w:p>
      <w:pPr>
        <w:pStyle w:val="BodyText"/>
        <w:spacing w:before="7"/>
        <w:rPr>
          <w:rFonts w:ascii="Calibri"/>
          <w:sz w:val="16"/>
        </w:rPr>
      </w:pPr>
    </w:p>
    <w:p>
      <w:pPr>
        <w:spacing w:before="76"/>
        <w:ind w:left="339" w:right="0" w:firstLine="0"/>
        <w:jc w:val="center"/>
        <w:rPr>
          <w:rFonts w:ascii="Calibri"/>
          <w:sz w:val="15"/>
        </w:rPr>
      </w:pPr>
      <w:r>
        <w:rPr>
          <w:rFonts w:ascii="Calibri"/>
          <w:sz w:val="15"/>
        </w:rPr>
        <w:t>11</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4"/>
        <w:rPr>
          <w:rFonts w:ascii="Calibri"/>
        </w:rPr>
      </w:pPr>
    </w:p>
    <w:p>
      <w:pPr>
        <w:spacing w:before="75"/>
        <w:ind w:left="37" w:right="0" w:firstLine="0"/>
        <w:jc w:val="center"/>
        <w:rPr>
          <w:rFonts w:ascii="Calibri" w:hAnsi="Calibri"/>
          <w:sz w:val="15"/>
        </w:rPr>
      </w:pPr>
      <w:r>
        <w:rPr>
          <w:rFonts w:ascii="Calibri" w:hAnsi="Calibri"/>
          <w:sz w:val="15"/>
        </w:rPr>
        <w:t>Índice Económico</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17"/>
        </w:rPr>
      </w:pPr>
    </w:p>
    <w:p>
      <w:pPr>
        <w:spacing w:before="79"/>
        <w:ind w:left="268" w:right="0" w:firstLine="0"/>
        <w:jc w:val="left"/>
        <w:rPr>
          <w:sz w:val="21"/>
        </w:rPr>
      </w:pPr>
      <w:r>
        <w:rPr>
          <w:w w:val="105"/>
          <w:sz w:val="21"/>
        </w:rPr>
        <w:t>Fuente: Elaboración propia con base al estudio realizado.</w:t>
      </w:r>
    </w:p>
    <w:p>
      <w:pPr>
        <w:spacing w:after="0"/>
        <w:jc w:val="left"/>
        <w:rPr>
          <w:sz w:val="21"/>
        </w:rPr>
        <w:sectPr>
          <w:type w:val="continuous"/>
          <w:pgSz w:w="12240" w:h="15840"/>
          <w:pgMar w:top="1500" w:bottom="28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2520" from="93.199997pt,-19.614155pt" to="546.799997pt,-19.614155pt" stroked="true" strokeweight=".479981pt" strokecolor="#000000">
            <w10:wrap type="none"/>
          </v:line>
        </w:pict>
      </w:r>
      <w:r>
        <w:rPr/>
        <w:t>El conjunto urbano de tipo mixto denominado “Valle de las Fuentes”, autorizado a la empresa Inmobiliaria Consorcio Inmobiliario ZERO, S.A. de C.V. en diciembre  de 2010, cuenta con acceso por la vialidad principal al municipio de Calimaya, en el mapa 14 se puede apreciar su</w:t>
      </w:r>
      <w:r>
        <w:rPr>
          <w:spacing w:val="-1"/>
        </w:rPr>
        <w:t> </w:t>
      </w:r>
      <w:r>
        <w:rPr/>
        <w:t>poligonal.</w:t>
      </w:r>
    </w:p>
    <w:p>
      <w:pPr>
        <w:pStyle w:val="BodyText"/>
      </w:pPr>
    </w:p>
    <w:p>
      <w:pPr>
        <w:pStyle w:val="BodyText"/>
        <w:spacing w:before="1"/>
        <w:rPr>
          <w:sz w:val="22"/>
        </w:rPr>
      </w:pPr>
    </w:p>
    <w:p>
      <w:pPr>
        <w:spacing w:before="0" w:after="15"/>
        <w:ind w:left="268" w:right="0" w:firstLine="0"/>
        <w:jc w:val="both"/>
        <w:rPr>
          <w:sz w:val="21"/>
        </w:rPr>
      </w:pPr>
      <w:r>
        <w:rPr>
          <w:w w:val="105"/>
          <w:sz w:val="21"/>
        </w:rPr>
        <w:t>Mapa 14. CU Valle de las Fuentes.</w:t>
      </w:r>
    </w:p>
    <w:p>
      <w:pPr>
        <w:pStyle w:val="BodyText"/>
        <w:ind w:left="266"/>
        <w:rPr>
          <w:sz w:val="20"/>
        </w:rPr>
      </w:pPr>
      <w:r>
        <w:rPr>
          <w:sz w:val="20"/>
        </w:rPr>
        <w:drawing>
          <wp:inline distT="0" distB="0" distL="0" distR="0">
            <wp:extent cx="5590997" cy="4237482"/>
            <wp:effectExtent l="0" t="0" r="0" b="0"/>
            <wp:docPr id="43" name="image174.jpeg" descr=""/>
            <wp:cNvGraphicFramePr>
              <a:graphicFrameLocks noChangeAspect="1"/>
            </wp:cNvGraphicFramePr>
            <a:graphic>
              <a:graphicData uri="http://schemas.openxmlformats.org/drawingml/2006/picture">
                <pic:pic>
                  <pic:nvPicPr>
                    <pic:cNvPr id="44" name="image174.jpeg"/>
                    <pic:cNvPicPr/>
                  </pic:nvPicPr>
                  <pic:blipFill>
                    <a:blip r:embed="rId251" cstate="print"/>
                    <a:stretch>
                      <a:fillRect/>
                    </a:stretch>
                  </pic:blipFill>
                  <pic:spPr>
                    <a:xfrm>
                      <a:off x="0" y="0"/>
                      <a:ext cx="5590997" cy="4237482"/>
                    </a:xfrm>
                    <a:prstGeom prst="rect">
                      <a:avLst/>
                    </a:prstGeom>
                  </pic:spPr>
                </pic:pic>
              </a:graphicData>
            </a:graphic>
          </wp:inline>
        </w:drawing>
      </w:r>
      <w:r>
        <w:rPr>
          <w:sz w:val="20"/>
        </w:rPr>
      </w:r>
    </w:p>
    <w:p>
      <w:pPr>
        <w:spacing w:before="96"/>
        <w:ind w:left="268" w:right="0" w:firstLine="0"/>
        <w:jc w:val="both"/>
        <w:rPr>
          <w:sz w:val="21"/>
        </w:rPr>
      </w:pPr>
      <w:r>
        <w:rPr>
          <w:w w:val="105"/>
          <w:sz w:val="21"/>
        </w:rPr>
        <w:t>Fuente: Elaboración propia con base al estudio realizado.</w:t>
      </w:r>
    </w:p>
    <w:p>
      <w:pPr>
        <w:spacing w:after="0"/>
        <w:jc w:val="both"/>
        <w:rPr>
          <w:sz w:val="21"/>
        </w:rPr>
        <w:sectPr>
          <w:footerReference w:type="default" r:id="rId250"/>
          <w:pgSz w:w="12240" w:h="15840"/>
          <w:pgMar w:footer="1066" w:header="730" w:top="1320" w:bottom="1260" w:left="1720" w:right="1180"/>
          <w:pgNumType w:start="211"/>
        </w:sectPr>
      </w:pPr>
    </w:p>
    <w:p>
      <w:pPr>
        <w:pStyle w:val="BodyText"/>
        <w:spacing w:before="1"/>
        <w:rPr>
          <w:sz w:val="18"/>
        </w:rPr>
      </w:pPr>
    </w:p>
    <w:p>
      <w:pPr>
        <w:spacing w:before="78"/>
        <w:ind w:left="268" w:right="0" w:firstLine="0"/>
        <w:jc w:val="left"/>
        <w:rPr>
          <w:sz w:val="21"/>
        </w:rPr>
      </w:pPr>
      <w:r>
        <w:rPr/>
        <w:pict>
          <v:line style="position:absolute;mso-position-horizontal-relative:page;mso-position-vertical-relative:paragraph;z-index:12592" from="93.199997pt,-19.611116pt" to="546.799997pt,-19.611116pt" stroked="true" strokeweight=".479981pt" strokecolor="#000000">
            <w10:wrap type="none"/>
          </v:line>
        </w:pict>
      </w:r>
      <w:r>
        <w:rPr>
          <w:w w:val="105"/>
          <w:sz w:val="21"/>
        </w:rPr>
        <w:t>Gráfica 18. Escenario de resultados por índices.</w:t>
      </w:r>
    </w:p>
    <w:p>
      <w:pPr>
        <w:pStyle w:val="BodyText"/>
        <w:rPr>
          <w:sz w:val="20"/>
        </w:rPr>
      </w:pPr>
    </w:p>
    <w:p>
      <w:pPr>
        <w:pStyle w:val="BodyText"/>
        <w:rPr>
          <w:sz w:val="20"/>
        </w:rPr>
      </w:pPr>
    </w:p>
    <w:p>
      <w:pPr>
        <w:pStyle w:val="BodyText"/>
        <w:spacing w:before="7"/>
        <w:rPr>
          <w:sz w:val="19"/>
        </w:rPr>
      </w:pPr>
    </w:p>
    <w:p>
      <w:pPr>
        <w:spacing w:before="0"/>
        <w:ind w:left="3133" w:right="0" w:firstLine="0"/>
        <w:jc w:val="left"/>
        <w:rPr>
          <w:b/>
          <w:sz w:val="15"/>
        </w:rPr>
      </w:pPr>
      <w:r>
        <w:rPr>
          <w:b/>
          <w:color w:val="595959"/>
          <w:sz w:val="15"/>
        </w:rPr>
        <w:t>Indicadores por Índices de Sustentabilidad</w:t>
      </w:r>
    </w:p>
    <w:p>
      <w:pPr>
        <w:pStyle w:val="BodyText"/>
        <w:spacing w:before="8"/>
        <w:rPr>
          <w:b/>
          <w:sz w:val="13"/>
        </w:rPr>
      </w:pPr>
    </w:p>
    <w:p>
      <w:pPr>
        <w:tabs>
          <w:tab w:pos="4054" w:val="left" w:leader="none"/>
          <w:tab w:pos="4899" w:val="left" w:leader="none"/>
          <w:tab w:pos="5798" w:val="left" w:leader="none"/>
        </w:tabs>
        <w:spacing w:before="1"/>
        <w:ind w:left="3394" w:right="0" w:firstLine="0"/>
        <w:jc w:val="left"/>
        <w:rPr>
          <w:b/>
          <w:sz w:val="9"/>
        </w:rPr>
      </w:pPr>
      <w:r>
        <w:rPr/>
        <w:pict>
          <v:group style="position:absolute;margin-left:203.042847pt;margin-top:12.152036pt;width:235.9pt;height:236.6pt;mso-position-horizontal-relative:page;mso-position-vertical-relative:paragraph;z-index:12568;mso-wrap-distance-left:0;mso-wrap-distance-right:0" coordorigin="4061,243" coordsize="4718,4732">
            <v:shape style="position:absolute;left:6169;top:2389;width:478;height:479" type="#_x0000_t75" stroked="false">
              <v:imagedata r:id="rId113" o:title=""/>
            </v:shape>
            <v:shape style="position:absolute;left:4061;top:278;width:4692;height:4696" type="#_x0000_t75" stroked="false">
              <v:imagedata r:id="rId223" o:title=""/>
            </v:shape>
            <v:line style="position:absolute" from="7815,2623" to="8739,2775" stroked="true" strokeweight="1.223655pt" strokecolor="#1ac31a"/>
            <v:line style="position:absolute" from="8739,2775" to="8728,2916" stroked="true" strokeweight="1.222562pt" strokecolor="#1ac31a"/>
            <v:line style="position:absolute" from="8728,2916" to="6403,2623" stroked="true" strokeweight="1.223667pt" strokecolor="#1ac31a"/>
            <v:line style="position:absolute" from="6403,2623" to="8674,3210" stroked="true" strokeweight="1.223614pt" strokecolor="#1ac31a"/>
            <v:line style="position:absolute" from="8674,3210" to="6403,2623" stroked="true" strokeweight="1.223614pt" strokecolor="#1ac31a"/>
            <v:line style="position:absolute" from="6403,2623" to="7489,3058" stroked="true" strokeweight="1.223528pt" strokecolor="#1ac31a"/>
            <v:line style="position:absolute" from="7489,3058" to="6403,2623" stroked="true" strokeweight="1.223528pt" strokecolor="#1ac31a"/>
            <v:line style="position:absolute" from="6403,2623" to="8109,4232" stroked="true" strokeweight="1.223153pt" strokecolor="#1ac31a"/>
            <v:line style="position:absolute" from="8109,4232" to="7207,3482" stroked="true" strokeweight="1.223223pt" strokecolor="#1ac31a"/>
            <v:line style="position:absolute" from="7207,3482" to="7153,3525" stroked="true" strokeweight="1.223243pt" strokecolor="#1ac31a"/>
            <v:line style="position:absolute" from="7153,3525" to="6403,2623" stroked="true" strokeweight="1.223016pt" strokecolor="#1ac31a"/>
            <v:line style="position:absolute" from="6403,2623" to="7663,4602" stroked="true" strokeweight="1.222881pt" strokecolor="#1ac31a"/>
            <v:line style="position:absolute" from="7663,4602" to="6968,3656" stroked="true" strokeweight="1.222952pt" strokecolor="#1ac31a"/>
            <v:line style="position:absolute" from="6968,3656" to="6609,3047" stroked="true" strokeweight="1.222846pt" strokecolor="#1ac31a"/>
            <v:line style="position:absolute" from="6609,3047" to="6403,2623" stroked="true" strokeweight="1.222772pt" strokecolor="#1ac31a"/>
            <v:shape style="position:absolute;left:7779;top:2587;width:76;height:76" type="#_x0000_t75" stroked="false">
              <v:imagedata r:id="rId115" o:title=""/>
            </v:shape>
            <v:shape style="position:absolute;left:8703;top:2739;width:76;height:76" type="#_x0000_t75" stroked="false">
              <v:imagedata r:id="rId115" o:title=""/>
            </v:shape>
            <v:shape style="position:absolute;left:8692;top:2881;width:76;height:76" type="#_x0000_t75" stroked="false">
              <v:imagedata r:id="rId115" o:title=""/>
            </v:shape>
            <v:shape style="position:absolute;left:8637;top:3174;width:76;height:76" type="#_x0000_t75" stroked="false">
              <v:imagedata r:id="rId115" o:title=""/>
            </v:shape>
            <v:shape style="position:absolute;left:7453;top:3022;width:76;height:76" type="#_x0000_t75" stroked="false">
              <v:imagedata r:id="rId115" o:title=""/>
            </v:shape>
            <v:shape style="position:absolute;left:8072;top:4197;width:76;height:76" type="#_x0000_t75" stroked="false">
              <v:imagedata r:id="rId115" o:title=""/>
            </v:shape>
            <v:shape style="position:absolute;left:7116;top:3446;width:130;height:120" type="#_x0000_t75" stroked="false">
              <v:imagedata r:id="rId178" o:title=""/>
            </v:shape>
            <v:shape style="position:absolute;left:7627;top:4567;width:76;height:76" type="#_x0000_t75" stroked="false">
              <v:imagedata r:id="rId115" o:title=""/>
            </v:shape>
            <v:shape style="position:absolute;left:6931;top:3620;width:76;height:76" type="#_x0000_t75" stroked="false">
              <v:imagedata r:id="rId115" o:title=""/>
            </v:shape>
            <v:shape style="position:absolute;left:6573;top:3011;width:76;height:76" type="#_x0000_t75" stroked="false">
              <v:imagedata r:id="rId115" o:title=""/>
            </v:shape>
            <v:shape style="position:absolute;left:6366;top:2587;width:76;height:76" type="#_x0000_t75" stroked="false">
              <v:imagedata r:id="rId252" o:title=""/>
            </v:shape>
            <v:line style="position:absolute" from="5403,4744" to="6403,2623" stroked="true" strokeweight="1.222761pt" strokecolor="#ffca00"/>
            <v:line style="position:absolute" from="6403,2623" to="5772,3612" stroked="true" strokeweight="1.222881pt" strokecolor="#ffca00"/>
            <v:line style="position:absolute" from="5772,3612" to="5033,4526" stroked="true" strokeweight="1.223002pt" strokecolor="#ffca00"/>
            <v:line style="position:absolute" from="5033,4526" to="5512,3710" stroked="true" strokeweight="1.222844pt" strokecolor="#ffca00"/>
            <v:line style="position:absolute" from="5512,3710" to="5446,3645" stroked="true" strokeweight="1.22312pt" strokecolor="#ffca00"/>
            <v:line style="position:absolute" from="5446,3645" to="6403,2623" stroked="true" strokeweight="1.223082pt" strokecolor="#ffca00"/>
            <v:line style="position:absolute" from="6403,2623" to="5273,3449" stroked="true" strokeweight="1.223291pt" strokecolor="#ffca00"/>
            <v:line style="position:absolute" from="5273,3449" to="5218,3384" stroked="true" strokeweight="1.223018pt" strokecolor="#ffca00"/>
            <v:line style="position:absolute" from="5218,3384" to="5175,3308" stroked="true" strokeweight="1.222833pt" strokecolor="#ffca00"/>
            <v:shape style="position:absolute;left:5366;top:4708;width:76;height:76" type="#_x0000_t75" stroked="false">
              <v:imagedata r:id="rId119" o:title=""/>
            </v:shape>
            <v:shape style="position:absolute;left:5736;top:3577;width:76;height:76" type="#_x0000_t75" stroked="false">
              <v:imagedata r:id="rId119" o:title=""/>
            </v:shape>
            <v:shape style="position:absolute;left:4997;top:4490;width:76;height:76" type="#_x0000_t75" stroked="false">
              <v:imagedata r:id="rId119" o:title=""/>
            </v:shape>
            <v:shape style="position:absolute;left:5410;top:3609;width:141;height:141" type="#_x0000_t75" stroked="false">
              <v:imagedata r:id="rId225" o:title=""/>
            </v:shape>
            <v:shape style="position:absolute;left:6366;top:2587;width:76;height:76" type="#_x0000_t75" stroked="false">
              <v:imagedata r:id="rId253" o:title=""/>
            </v:shape>
            <v:shape style="position:absolute;left:5138;top:3272;width:174;height:218" type="#_x0000_t75" stroked="false">
              <v:imagedata r:id="rId254" o:title=""/>
            </v:shape>
            <v:line style="position:absolute" from="5273,2329" to="5294,2264" stroked="true" strokeweight="1.222668pt" strokecolor="#927200"/>
            <v:line style="position:absolute" from="5294,2264" to="4229,1763" stroked="true" strokeweight="1.223480pt" strokecolor="#927200"/>
            <v:line style="position:absolute" from="4229,1763" to="5349,2122" stroked="true" strokeweight="1.223579pt" strokecolor="#927200"/>
            <v:line style="position:absolute" from="5349,2122" to="5381,2057" stroked="true" strokeweight="1.222781pt" strokecolor="#927200"/>
            <v:line style="position:absolute" from="5381,2057" to="6403,2623" stroked="true" strokeweight="1.22342pt" strokecolor="#927200"/>
            <v:line style="position:absolute" from="6403,2623" to="5457,1937" stroked="true" strokeweight="1.223296pt" strokecolor="#927200"/>
            <v:line style="position:absolute" from="5457,1937" to="5686,2024" stroked="true" strokeweight="1.223541pt" strokecolor="#927200"/>
            <v:line style="position:absolute" from="5686,2024" to="5555,1818" stroked="true" strokeweight="1.222877pt" strokecolor="#927200"/>
            <v:line style="position:absolute" from="5555,1818" to="5349,1502" stroked="true" strokeweight="1.222894pt" strokecolor="#927200"/>
            <v:line style="position:absolute" from="5349,1502" to="5207,1176" stroked="true" strokeweight="1.222734pt" strokecolor="#927200"/>
            <v:line style="position:absolute" from="5207,1176" to="5859,1872" stroked="true" strokeweight="1.223083pt" strokecolor="#927200"/>
            <v:line style="position:absolute" from="5859,1872" to="5903,1829" stroked="true" strokeweight="1.22312pt" strokecolor="#927200"/>
            <v:line style="position:absolute" from="5903,1829" to="5838,1600" stroked="true" strokeweight="1.222641pt" strokecolor="#927200"/>
            <v:line style="position:absolute" from="5838,1600" to="6403,2623" stroked="true" strokeweight="1.22282pt" strokecolor="#927200"/>
            <v:shape style="position:absolute;left:5236;top:2228;width:98;height:141" type="#_x0000_t75" stroked="false">
              <v:imagedata r:id="rId161" o:title=""/>
            </v:shape>
            <v:shape style="position:absolute;left:4193;top:1728;width:76;height:76" type="#_x0000_t75" stroked="false">
              <v:imagedata r:id="rId122" o:title=""/>
            </v:shape>
            <v:shape style="position:absolute;left:5649;top:1989;width:76;height:76" type="#_x0000_t75" stroked="false">
              <v:imagedata r:id="rId122" o:title=""/>
            </v:shape>
            <v:shape style="position:absolute;left:5312;top:1782;width:283;height:381" type="#_x0000_t75" stroked="false">
              <v:imagedata r:id="rId212" o:title=""/>
            </v:shape>
            <v:shape style="position:absolute;left:5312;top:1467;width:76;height:76" type="#_x0000_t75" stroked="false">
              <v:imagedata r:id="rId122" o:title=""/>
            </v:shape>
            <v:shape style="position:absolute;left:5171;top:1140;width:76;height:76" type="#_x0000_t75" stroked="false">
              <v:imagedata r:id="rId122" o:title=""/>
            </v:shape>
            <v:shape style="position:absolute;left:5823;top:1793;width:120;height:120" type="#_x0000_t75" stroked="false">
              <v:imagedata r:id="rId181" o:title=""/>
            </v:shape>
            <v:shape style="position:absolute;left:5801;top:1564;width:76;height:76" type="#_x0000_t75" stroked="false">
              <v:imagedata r:id="rId122" o:title=""/>
            </v:shape>
            <v:shape style="position:absolute;left:6366;top:2587;width:76;height:76" type="#_x0000_t75" stroked="false">
              <v:imagedata r:id="rId255" o:title=""/>
            </v:shape>
            <v:shape style="position:absolute;left:6189;top:243;width:131;height:2442" type="#_x0000_t202" filled="false" stroked="false">
              <v:textbox inset="0,0,0,0">
                <w:txbxContent>
                  <w:p>
                    <w:pPr>
                      <w:spacing w:line="101" w:lineRule="exact" w:before="0"/>
                      <w:ind w:left="80" w:right="0" w:firstLine="0"/>
                      <w:jc w:val="left"/>
                      <w:rPr>
                        <w:rFonts w:ascii="Calibri"/>
                        <w:sz w:val="9"/>
                      </w:rPr>
                    </w:pPr>
                    <w:r>
                      <w:rPr>
                        <w:rFonts w:ascii="Calibri"/>
                        <w:color w:val="595959"/>
                        <w:w w:val="108"/>
                        <w:sz w:val="9"/>
                      </w:rPr>
                      <w:t>1</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0.9</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0.8</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0.7</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0.6</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0.5</w:t>
                    </w:r>
                  </w:p>
                  <w:p>
                    <w:pPr>
                      <w:spacing w:line="240" w:lineRule="auto" w:before="9"/>
                      <w:rPr>
                        <w:b/>
                        <w:sz w:val="10"/>
                      </w:rPr>
                    </w:pPr>
                  </w:p>
                  <w:p>
                    <w:pPr>
                      <w:spacing w:before="0"/>
                      <w:ind w:left="0" w:right="-15" w:firstLine="0"/>
                      <w:jc w:val="left"/>
                      <w:rPr>
                        <w:rFonts w:ascii="Calibri"/>
                        <w:sz w:val="9"/>
                      </w:rPr>
                    </w:pPr>
                    <w:r>
                      <w:rPr>
                        <w:rFonts w:ascii="Calibri"/>
                        <w:color w:val="595959"/>
                        <w:w w:val="110"/>
                        <w:sz w:val="9"/>
                      </w:rPr>
                      <w:t>0.4</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0.3</w:t>
                    </w:r>
                  </w:p>
                  <w:p>
                    <w:pPr>
                      <w:spacing w:line="240" w:lineRule="auto" w:before="9"/>
                      <w:rPr>
                        <w:b/>
                        <w:sz w:val="10"/>
                      </w:rPr>
                    </w:pPr>
                  </w:p>
                  <w:p>
                    <w:pPr>
                      <w:spacing w:before="0"/>
                      <w:ind w:left="0" w:right="-15" w:firstLine="0"/>
                      <w:jc w:val="left"/>
                      <w:rPr>
                        <w:rFonts w:ascii="Calibri"/>
                        <w:sz w:val="9"/>
                      </w:rPr>
                    </w:pPr>
                    <w:r>
                      <w:rPr>
                        <w:rFonts w:ascii="Calibri"/>
                        <w:color w:val="595959"/>
                        <w:w w:val="110"/>
                        <w:sz w:val="9"/>
                      </w:rPr>
                      <w:t>0.2</w:t>
                    </w:r>
                  </w:p>
                  <w:p>
                    <w:pPr>
                      <w:spacing w:line="240" w:lineRule="auto" w:before="9"/>
                      <w:rPr>
                        <w:b/>
                        <w:sz w:val="10"/>
                      </w:rPr>
                    </w:pPr>
                  </w:p>
                  <w:p>
                    <w:pPr>
                      <w:spacing w:before="0"/>
                      <w:ind w:left="6" w:right="-15" w:firstLine="0"/>
                      <w:jc w:val="left"/>
                      <w:rPr>
                        <w:rFonts w:ascii="Calibri"/>
                        <w:sz w:val="9"/>
                      </w:rPr>
                    </w:pPr>
                    <w:r>
                      <w:rPr>
                        <w:rFonts w:ascii="Calibri"/>
                        <w:color w:val="595959"/>
                        <w:w w:val="105"/>
                        <w:sz w:val="9"/>
                      </w:rPr>
                      <w:t>0.1</w:t>
                    </w:r>
                  </w:p>
                  <w:p>
                    <w:pPr>
                      <w:spacing w:line="240" w:lineRule="auto" w:before="9"/>
                      <w:rPr>
                        <w:b/>
                        <w:sz w:val="10"/>
                      </w:rPr>
                    </w:pPr>
                  </w:p>
                  <w:p>
                    <w:pPr>
                      <w:spacing w:line="107" w:lineRule="exact" w:before="0"/>
                      <w:ind w:left="76" w:right="0" w:firstLine="0"/>
                      <w:jc w:val="left"/>
                      <w:rPr>
                        <w:rFonts w:ascii="Calibri"/>
                        <w:sz w:val="9"/>
                      </w:rPr>
                    </w:pPr>
                    <w:r>
                      <w:rPr>
                        <w:rFonts w:ascii="Calibri"/>
                        <w:color w:val="595959"/>
                        <w:w w:val="108"/>
                        <w:sz w:val="9"/>
                      </w:rPr>
                      <w:t>0</w:t>
                    </w:r>
                  </w:p>
                </w:txbxContent>
              </v:textbox>
              <w10:wrap type="none"/>
            </v:shape>
            <w10:wrap type="topAndBottom"/>
          </v:group>
        </w:pict>
      </w:r>
      <w:r>
        <w:rPr/>
        <w:pict>
          <v:group style="position:absolute;margin-left:243.623001pt;margin-top:.597736pt;width:11.7pt;height:3.3pt;mso-position-horizontal-relative:page;mso-position-vertical-relative:paragraph;z-index:12616" coordorigin="4872,12" coordsize="234,66">
            <v:line style="position:absolute" from="4885,42" to="5094,42" stroked="true" strokeweight="1.223684pt" strokecolor="#8448b0"/>
            <v:shape style="position:absolute;left:4957;top:17;width:55;height:55" coordorigin="4957,17" coordsize="55,55" path="m5000,17l4970,17,4957,30,4957,60,4970,72,5000,72,5012,60,5012,30,5000,17xe" filled="true" fillcolor="#6cacdd" stroked="false">
              <v:path arrowok="t"/>
              <v:fill type="solid"/>
            </v:shape>
            <v:shape style="position:absolute;left:4957;top:17;width:55;height:55" coordorigin="4957,17" coordsize="55,55" path="m5012,45l5012,60,5000,72,4985,72,4970,72,4957,60,4957,45,4957,30,4970,17,4985,17,5000,17,5012,30,5012,45xe" filled="false" stroked="true" strokeweight=".543609pt" strokecolor="#ff2600">
              <v:path arrowok="t"/>
            </v:shape>
            <w10:wrap type="none"/>
          </v:group>
        </w:pict>
      </w:r>
      <w:r>
        <w:rPr/>
        <w:pict>
          <v:group style="position:absolute;margin-left:276.630005pt;margin-top:.597736pt;width:11.7pt;height:3.3pt;mso-position-horizontal-relative:page;mso-position-vertical-relative:paragraph;z-index:-1145392" coordorigin="5533,12" coordsize="234,66">
            <v:line style="position:absolute" from="5545,42" to="5754,42" stroked="true" strokeweight="1.223684pt" strokecolor="#1ac31a"/>
            <v:shape style="position:absolute;left:5620;top:17;width:55;height:55" coordorigin="5620,17" coordsize="55,55" path="m5662,17l5632,17,5620,30,5620,60,5632,72,5662,72,5675,60,5675,30,5662,17xe" filled="true" fillcolor="#f2913f" stroked="false">
              <v:path arrowok="t"/>
              <v:fill type="solid"/>
            </v:shape>
            <v:shape style="position:absolute;left:5620;top:17;width:55;height:55" coordorigin="5620,17" coordsize="55,55" path="m5675,45l5675,60,5662,72,5647,72,5632,72,5620,60,5620,45,5620,30,5632,17,5647,17,5662,17,5675,30,5675,45xe" filled="false" stroked="true" strokeweight=".543609pt" strokecolor="#ff2600">
              <v:path arrowok="t"/>
            </v:shape>
            <w10:wrap type="none"/>
          </v:group>
        </w:pict>
      </w:r>
      <w:r>
        <w:rPr/>
        <w:pict>
          <v:group style="position:absolute;margin-left:318.871002pt;margin-top:.597736pt;width:11.7pt;height:3.3pt;mso-position-horizontal-relative:page;mso-position-vertical-relative:paragraph;z-index:-1145368" coordorigin="6377,12" coordsize="234,66">
            <v:line style="position:absolute" from="6390,42" to="6599,42" stroked="true" strokeweight="1.223684pt" strokecolor="#ffca00"/>
            <v:shape style="position:absolute;left:6467;top:17;width:55;height:55" coordorigin="6467,17" coordsize="55,55" path="m6509,17l6479,17,6467,30,6467,60,6479,72,6509,72,6521,60,6521,30,6509,17xe" filled="true" fillcolor="#b4b4b4" stroked="false">
              <v:path arrowok="t"/>
              <v:fill type="solid"/>
            </v:shape>
            <v:shape style="position:absolute;left:6467;top:17;width:55;height:55" coordorigin="6467,17" coordsize="55,55" path="m6521,45l6521,60,6509,72,6494,72,6479,72,6467,60,6467,45,6467,30,6479,17,6494,17,6509,17,6521,30,6521,45xe" filled="false" stroked="true" strokeweight=".543609pt" strokecolor="#ff2600">
              <v:path arrowok="t"/>
            </v:shape>
            <w10:wrap type="none"/>
          </v:group>
        </w:pict>
      </w:r>
      <w:r>
        <w:rPr/>
        <w:pict>
          <v:group style="position:absolute;margin-left:363.828979pt;margin-top:.597736pt;width:11.7pt;height:3.3pt;mso-position-horizontal-relative:page;mso-position-vertical-relative:paragraph;z-index:-1145344" coordorigin="7277,12" coordsize="234,66">
            <v:line style="position:absolute" from="7289,42" to="7498,42" stroked="true" strokeweight="1.223684pt" strokecolor="#927200"/>
            <v:shape style="position:absolute;left:7366;top:17;width:55;height:55" coordorigin="7366,17" coordsize="55,55" path="m7408,17l7378,17,7366,30,7366,60,7378,72,7408,72,7421,60,7421,30,7408,17xe" filled="true" fillcolor="#ffca00" stroked="false">
              <v:path arrowok="t"/>
              <v:fill type="solid"/>
            </v:shape>
            <v:shape style="position:absolute;left:7366;top:17;width:55;height:55" coordorigin="7366,17" coordsize="55,55" path="m7421,45l7421,60,7408,72,7393,72,7378,72,7366,60,7366,45,7366,30,7378,17,7393,17,7408,17,7421,30,7421,45xe" filled="false" stroked="true" strokeweight=".543609pt" strokecolor="#ff2600">
              <v:path arrowok="t"/>
            </v:shape>
            <w10:wrap type="none"/>
          </v:group>
        </w:pict>
      </w:r>
      <w:r>
        <w:rPr>
          <w:b/>
          <w:color w:val="595959"/>
          <w:w w:val="110"/>
          <w:sz w:val="9"/>
        </w:rPr>
        <w:t>Social</w:t>
        <w:tab/>
        <w:t>Ambiental</w:t>
        <w:tab/>
        <w:t>Económico</w:t>
        <w:tab/>
        <w:t>Territorial</w:t>
      </w:r>
    </w:p>
    <w:p>
      <w:pPr>
        <w:pStyle w:val="BodyText"/>
        <w:spacing w:before="9"/>
        <w:rPr>
          <w:b/>
          <w:sz w:val="14"/>
        </w:rPr>
      </w:pPr>
    </w:p>
    <w:p>
      <w:pPr>
        <w:spacing w:before="78"/>
        <w:ind w:left="268" w:right="0" w:firstLine="0"/>
        <w:jc w:val="left"/>
        <w:rPr>
          <w:sz w:val="21"/>
        </w:rPr>
      </w:pPr>
      <w:r>
        <w:rPr>
          <w:w w:val="105"/>
          <w:sz w:val="21"/>
        </w:rPr>
        <w:t>Fuente: Elaboración propia con base al estudio realizado.</w:t>
      </w:r>
    </w:p>
    <w:p>
      <w:pPr>
        <w:pStyle w:val="BodyText"/>
        <w:rPr>
          <w:sz w:val="22"/>
        </w:rPr>
      </w:pPr>
    </w:p>
    <w:p>
      <w:pPr>
        <w:pStyle w:val="BodyText"/>
        <w:rPr>
          <w:sz w:val="22"/>
        </w:rPr>
      </w:pPr>
    </w:p>
    <w:p>
      <w:pPr>
        <w:pStyle w:val="BodyText"/>
        <w:spacing w:before="131"/>
        <w:ind w:left="268"/>
      </w:pPr>
      <w:r>
        <w:rPr/>
        <w:pict>
          <v:rect style="position:absolute;margin-left:351.421997pt;margin-top:85.782768pt;width:66.029300pt;height:16.016100pt;mso-position-horizontal-relative:page;mso-position-vertical-relative:paragraph;z-index:-1145320" filled="true" fillcolor="#ffff00" stroked="false">
            <v:fill type="solid"/>
            <w10:wrap type="none"/>
          </v:rect>
        </w:pict>
      </w:r>
      <w:r>
        <w:rPr/>
        <w:pict>
          <v:rect style="position:absolute;margin-left:351.421997pt;margin-top:115.812668pt;width:66.029300pt;height:16.0162pt;mso-position-horizontal-relative:page;mso-position-vertical-relative:paragraph;z-index:-1145296" filled="true" fillcolor="#ffff00" stroked="false">
            <v:fill type="solid"/>
            <w10:wrap type="none"/>
          </v:rect>
        </w:pict>
      </w:r>
      <w:r>
        <w:rPr/>
        <w:t>Tabla 32. Resultado de índices de sustentabilidad Valle de las Fuentes.</w:t>
      </w:r>
    </w:p>
    <w:p>
      <w:pPr>
        <w:pStyle w:val="BodyText"/>
        <w:spacing w:before="2"/>
        <w:rPr>
          <w:sz w:val="17"/>
        </w:rPr>
      </w:pPr>
    </w:p>
    <w:tbl>
      <w:tblPr>
        <w:tblW w:w="0" w:type="auto"/>
        <w:jc w:val="left"/>
        <w:tblInd w:w="11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82"/>
        <w:gridCol w:w="1163"/>
        <w:gridCol w:w="1487"/>
        <w:gridCol w:w="1301"/>
      </w:tblGrid>
      <w:tr>
        <w:trPr>
          <w:trHeight w:val="831" w:hRule="exact"/>
        </w:trPr>
        <w:tc>
          <w:tcPr>
            <w:tcW w:w="6733" w:type="dxa"/>
            <w:gridSpan w:val="4"/>
            <w:shd w:val="clear" w:color="auto" w:fill="000000"/>
          </w:tcPr>
          <w:p>
            <w:pPr>
              <w:pStyle w:val="TableParagraph"/>
              <w:spacing w:before="115"/>
              <w:ind w:left="1004" w:right="998"/>
              <w:rPr>
                <w:sz w:val="24"/>
              </w:rPr>
            </w:pPr>
            <w:r>
              <w:rPr>
                <w:color w:val="FFFFFF"/>
                <w:sz w:val="24"/>
              </w:rPr>
              <w:t>Valle de las Fuentes</w:t>
            </w:r>
          </w:p>
          <w:p>
            <w:pPr>
              <w:pStyle w:val="TableParagraph"/>
              <w:spacing w:before="24"/>
              <w:ind w:left="1077" w:right="998"/>
              <w:rPr>
                <w:sz w:val="24"/>
              </w:rPr>
            </w:pPr>
            <w:r>
              <w:rPr>
                <w:color w:val="FFFFFF"/>
                <w:sz w:val="24"/>
              </w:rPr>
              <w:t>Resultado de los Índices de sustentabilidad</w:t>
            </w:r>
          </w:p>
        </w:tc>
      </w:tr>
      <w:tr>
        <w:trPr>
          <w:trHeight w:val="280" w:hRule="exact"/>
        </w:trPr>
        <w:tc>
          <w:tcPr>
            <w:tcW w:w="2782" w:type="dxa"/>
            <w:tcBorders>
              <w:left w:val="single" w:sz="8" w:space="0" w:color="000000"/>
            </w:tcBorders>
          </w:tcPr>
          <w:p>
            <w:pPr/>
          </w:p>
        </w:tc>
        <w:tc>
          <w:tcPr>
            <w:tcW w:w="1163" w:type="dxa"/>
          </w:tcPr>
          <w:p>
            <w:pPr>
              <w:pStyle w:val="TableParagraph"/>
              <w:spacing w:line="275" w:lineRule="exact"/>
              <w:ind w:left="489" w:right="214"/>
              <w:rPr>
                <w:rFonts w:ascii="Calibri"/>
                <w:sz w:val="24"/>
              </w:rPr>
            </w:pPr>
            <w:r>
              <w:rPr>
                <w:rFonts w:ascii="Calibri"/>
                <w:sz w:val="24"/>
              </w:rPr>
              <w:t>Real</w:t>
            </w:r>
          </w:p>
        </w:tc>
        <w:tc>
          <w:tcPr>
            <w:tcW w:w="1487" w:type="dxa"/>
          </w:tcPr>
          <w:p>
            <w:pPr>
              <w:pStyle w:val="TableParagraph"/>
              <w:spacing w:line="275" w:lineRule="exact"/>
              <w:ind w:left="386" w:right="164"/>
              <w:rPr>
                <w:rFonts w:ascii="Calibri"/>
                <w:sz w:val="24"/>
              </w:rPr>
            </w:pPr>
            <w:r>
              <w:rPr>
                <w:rFonts w:ascii="Calibri"/>
                <w:sz w:val="24"/>
              </w:rPr>
              <w:t>Deseable</w:t>
            </w:r>
          </w:p>
        </w:tc>
        <w:tc>
          <w:tcPr>
            <w:tcW w:w="1301" w:type="dxa"/>
            <w:tcBorders>
              <w:right w:val="single" w:sz="16" w:space="0" w:color="000000"/>
            </w:tcBorders>
          </w:tcPr>
          <w:p>
            <w:pPr>
              <w:pStyle w:val="TableParagraph"/>
              <w:spacing w:line="275" w:lineRule="exact"/>
              <w:ind w:left="279" w:right="221"/>
              <w:rPr>
                <w:rFonts w:ascii="Calibri" w:hAnsi="Calibri"/>
                <w:sz w:val="24"/>
              </w:rPr>
            </w:pPr>
            <w:r>
              <w:rPr>
                <w:rFonts w:ascii="Calibri" w:hAnsi="Calibri"/>
                <w:sz w:val="24"/>
              </w:rPr>
              <w:t>Óptimo</w:t>
            </w:r>
          </w:p>
        </w:tc>
      </w:tr>
      <w:tr>
        <w:trPr>
          <w:trHeight w:val="320" w:hRule="exact"/>
        </w:trPr>
        <w:tc>
          <w:tcPr>
            <w:tcW w:w="2782" w:type="dxa"/>
            <w:tcBorders>
              <w:left w:val="single" w:sz="8" w:space="0" w:color="000000"/>
            </w:tcBorders>
          </w:tcPr>
          <w:p>
            <w:pPr>
              <w:pStyle w:val="TableParagraph"/>
              <w:spacing w:before="5"/>
              <w:ind w:left="40"/>
              <w:jc w:val="left"/>
              <w:rPr>
                <w:sz w:val="24"/>
              </w:rPr>
            </w:pPr>
            <w:r>
              <w:rPr>
                <w:sz w:val="24"/>
              </w:rPr>
              <w:t>Índice Social</w:t>
            </w:r>
          </w:p>
        </w:tc>
        <w:tc>
          <w:tcPr>
            <w:tcW w:w="1163" w:type="dxa"/>
          </w:tcPr>
          <w:p>
            <w:pPr>
              <w:pStyle w:val="TableParagraph"/>
              <w:tabs>
                <w:tab w:pos="489" w:val="left" w:leader="none"/>
                <w:tab w:pos="1369" w:val="left" w:leader="none"/>
              </w:tabs>
              <w:spacing w:before="1"/>
              <w:ind w:left="48" w:right="-207"/>
              <w:rPr>
                <w:rFonts w:ascii="Calibri"/>
                <w:sz w:val="24"/>
              </w:rPr>
            </w:pPr>
            <w:r>
              <w:rPr>
                <w:rFonts w:ascii="Times New Roman"/>
                <w:w w:val="100"/>
                <w:sz w:val="24"/>
                <w:shd w:fill="F79646" w:color="auto" w:val="clear"/>
              </w:rPr>
              <w:t> </w:t>
            </w:r>
            <w:r>
              <w:rPr>
                <w:rFonts w:ascii="Times New Roman"/>
                <w:sz w:val="24"/>
                <w:shd w:fill="F79646" w:color="auto" w:val="clear"/>
              </w:rPr>
              <w:tab/>
            </w:r>
            <w:r>
              <w:rPr>
                <w:rFonts w:ascii="Calibri"/>
                <w:sz w:val="24"/>
                <w:shd w:fill="F79646" w:color="auto" w:val="clear"/>
              </w:rPr>
              <w:t>12.1</w:t>
              <w:tab/>
            </w:r>
          </w:p>
        </w:tc>
        <w:tc>
          <w:tcPr>
            <w:tcW w:w="1487" w:type="dxa"/>
          </w:tcPr>
          <w:p>
            <w:pPr>
              <w:pStyle w:val="TableParagraph"/>
              <w:spacing w:before="1"/>
              <w:ind w:left="356" w:right="164"/>
              <w:rPr>
                <w:rFonts w:ascii="Calibri"/>
                <w:sz w:val="24"/>
              </w:rPr>
            </w:pPr>
            <w:r>
              <w:rPr>
                <w:rFonts w:ascii="Calibri"/>
                <w:sz w:val="24"/>
              </w:rPr>
              <w:t>11.4</w:t>
            </w:r>
          </w:p>
        </w:tc>
        <w:tc>
          <w:tcPr>
            <w:tcW w:w="1301" w:type="dxa"/>
            <w:tcBorders>
              <w:right w:val="single" w:sz="16" w:space="0" w:color="000000"/>
            </w:tcBorders>
            <w:shd w:val="clear" w:color="auto" w:fill="67ED4D"/>
          </w:tcPr>
          <w:p>
            <w:pPr>
              <w:pStyle w:val="TableParagraph"/>
              <w:spacing w:before="1"/>
              <w:ind w:left="264" w:right="221"/>
              <w:rPr>
                <w:rFonts w:ascii="Calibri"/>
                <w:sz w:val="24"/>
              </w:rPr>
            </w:pPr>
            <w:r>
              <w:rPr>
                <w:rFonts w:ascii="Calibri"/>
                <w:sz w:val="24"/>
              </w:rPr>
              <w:t>15</w:t>
            </w:r>
          </w:p>
        </w:tc>
      </w:tr>
      <w:tr>
        <w:trPr>
          <w:trHeight w:val="280" w:hRule="exact"/>
        </w:trPr>
        <w:tc>
          <w:tcPr>
            <w:tcW w:w="6733" w:type="dxa"/>
            <w:gridSpan w:val="4"/>
            <w:tcBorders>
              <w:left w:val="single" w:sz="8" w:space="0" w:color="000000"/>
              <w:right w:val="single" w:sz="16" w:space="0" w:color="000000"/>
            </w:tcBorders>
          </w:tcPr>
          <w:p>
            <w:pPr/>
          </w:p>
        </w:tc>
      </w:tr>
      <w:tr>
        <w:trPr>
          <w:trHeight w:val="320" w:hRule="exact"/>
        </w:trPr>
        <w:tc>
          <w:tcPr>
            <w:tcW w:w="2782" w:type="dxa"/>
            <w:tcBorders>
              <w:left w:val="single" w:sz="8" w:space="0" w:color="000000"/>
            </w:tcBorders>
          </w:tcPr>
          <w:p>
            <w:pPr>
              <w:pStyle w:val="TableParagraph"/>
              <w:spacing w:before="5"/>
              <w:ind w:left="40"/>
              <w:jc w:val="left"/>
              <w:rPr>
                <w:sz w:val="24"/>
              </w:rPr>
            </w:pPr>
            <w:r>
              <w:rPr>
                <w:sz w:val="24"/>
              </w:rPr>
              <w:t>Índice Ambiental</w:t>
            </w:r>
          </w:p>
        </w:tc>
        <w:tc>
          <w:tcPr>
            <w:tcW w:w="1163" w:type="dxa"/>
          </w:tcPr>
          <w:p>
            <w:pPr>
              <w:pStyle w:val="TableParagraph"/>
              <w:tabs>
                <w:tab w:pos="549" w:val="left" w:leader="none"/>
                <w:tab w:pos="1369" w:val="left" w:leader="none"/>
              </w:tabs>
              <w:spacing w:before="1"/>
              <w:ind w:left="48" w:right="-207"/>
              <w:rPr>
                <w:rFonts w:ascii="Calibri"/>
                <w:sz w:val="24"/>
              </w:rPr>
            </w:pPr>
            <w:r>
              <w:rPr>
                <w:rFonts w:ascii="Times New Roman"/>
                <w:w w:val="100"/>
                <w:sz w:val="24"/>
                <w:shd w:fill="F79646" w:color="auto" w:val="clear"/>
              </w:rPr>
              <w:t> </w:t>
            </w:r>
            <w:r>
              <w:rPr>
                <w:rFonts w:ascii="Times New Roman"/>
                <w:sz w:val="24"/>
                <w:shd w:fill="F79646" w:color="auto" w:val="clear"/>
              </w:rPr>
              <w:tab/>
            </w:r>
            <w:r>
              <w:rPr>
                <w:rFonts w:ascii="Calibri"/>
                <w:sz w:val="24"/>
                <w:shd w:fill="F79646" w:color="auto" w:val="clear"/>
              </w:rPr>
              <w:t>7.8</w:t>
              <w:tab/>
            </w:r>
          </w:p>
        </w:tc>
        <w:tc>
          <w:tcPr>
            <w:tcW w:w="1487" w:type="dxa"/>
          </w:tcPr>
          <w:p>
            <w:pPr>
              <w:pStyle w:val="TableParagraph"/>
              <w:spacing w:before="1"/>
              <w:ind w:left="356" w:right="164"/>
              <w:rPr>
                <w:rFonts w:ascii="Calibri"/>
                <w:sz w:val="24"/>
              </w:rPr>
            </w:pPr>
            <w:r>
              <w:rPr>
                <w:rFonts w:ascii="Calibri"/>
                <w:sz w:val="24"/>
              </w:rPr>
              <w:t>18.3</w:t>
            </w:r>
          </w:p>
        </w:tc>
        <w:tc>
          <w:tcPr>
            <w:tcW w:w="1301" w:type="dxa"/>
            <w:tcBorders>
              <w:right w:val="single" w:sz="16" w:space="0" w:color="000000"/>
            </w:tcBorders>
            <w:shd w:val="clear" w:color="auto" w:fill="67ED4D"/>
          </w:tcPr>
          <w:p>
            <w:pPr>
              <w:pStyle w:val="TableParagraph"/>
              <w:spacing w:before="1"/>
              <w:ind w:left="264" w:right="221"/>
              <w:rPr>
                <w:rFonts w:ascii="Calibri"/>
                <w:sz w:val="24"/>
              </w:rPr>
            </w:pPr>
            <w:r>
              <w:rPr>
                <w:rFonts w:ascii="Calibri"/>
                <w:sz w:val="24"/>
              </w:rPr>
              <w:t>24</w:t>
            </w:r>
          </w:p>
        </w:tc>
      </w:tr>
      <w:tr>
        <w:trPr>
          <w:trHeight w:val="280" w:hRule="exact"/>
        </w:trPr>
        <w:tc>
          <w:tcPr>
            <w:tcW w:w="6733" w:type="dxa"/>
            <w:gridSpan w:val="4"/>
            <w:tcBorders>
              <w:left w:val="single" w:sz="8" w:space="0" w:color="000000"/>
              <w:right w:val="single" w:sz="16" w:space="0" w:color="000000"/>
            </w:tcBorders>
          </w:tcPr>
          <w:p>
            <w:pPr/>
          </w:p>
        </w:tc>
      </w:tr>
      <w:tr>
        <w:trPr>
          <w:trHeight w:val="320" w:hRule="exact"/>
        </w:trPr>
        <w:tc>
          <w:tcPr>
            <w:tcW w:w="2782" w:type="dxa"/>
            <w:tcBorders>
              <w:left w:val="single" w:sz="8" w:space="0" w:color="000000"/>
            </w:tcBorders>
          </w:tcPr>
          <w:p>
            <w:pPr>
              <w:pStyle w:val="TableParagraph"/>
              <w:spacing w:before="5"/>
              <w:ind w:left="40"/>
              <w:jc w:val="left"/>
              <w:rPr>
                <w:sz w:val="24"/>
              </w:rPr>
            </w:pPr>
            <w:r>
              <w:rPr>
                <w:sz w:val="24"/>
              </w:rPr>
              <w:t>Índice Económico</w:t>
            </w:r>
          </w:p>
        </w:tc>
        <w:tc>
          <w:tcPr>
            <w:tcW w:w="1163" w:type="dxa"/>
          </w:tcPr>
          <w:p>
            <w:pPr>
              <w:pStyle w:val="TableParagraph"/>
              <w:tabs>
                <w:tab w:pos="549" w:val="left" w:leader="none"/>
                <w:tab w:pos="1369" w:val="left" w:leader="none"/>
              </w:tabs>
              <w:spacing w:before="1"/>
              <w:ind w:left="48" w:right="-207"/>
              <w:rPr>
                <w:rFonts w:ascii="Calibri"/>
                <w:sz w:val="24"/>
              </w:rPr>
            </w:pPr>
            <w:r>
              <w:rPr>
                <w:rFonts w:ascii="Times New Roman"/>
                <w:w w:val="100"/>
                <w:sz w:val="24"/>
                <w:shd w:fill="F79646" w:color="auto" w:val="clear"/>
              </w:rPr>
              <w:t> </w:t>
            </w:r>
            <w:r>
              <w:rPr>
                <w:rFonts w:ascii="Times New Roman"/>
                <w:sz w:val="24"/>
                <w:shd w:fill="F79646" w:color="auto" w:val="clear"/>
              </w:rPr>
              <w:tab/>
            </w:r>
            <w:r>
              <w:rPr>
                <w:rFonts w:ascii="Calibri"/>
                <w:sz w:val="24"/>
                <w:shd w:fill="F79646" w:color="auto" w:val="clear"/>
              </w:rPr>
              <w:t>4.6</w:t>
              <w:tab/>
            </w:r>
          </w:p>
        </w:tc>
        <w:tc>
          <w:tcPr>
            <w:tcW w:w="1487" w:type="dxa"/>
          </w:tcPr>
          <w:p>
            <w:pPr>
              <w:pStyle w:val="TableParagraph"/>
              <w:spacing w:before="1"/>
              <w:ind w:left="208"/>
              <w:rPr>
                <w:rFonts w:ascii="Calibri"/>
                <w:sz w:val="24"/>
              </w:rPr>
            </w:pPr>
            <w:r>
              <w:rPr>
                <w:rFonts w:ascii="Calibri"/>
                <w:w w:val="100"/>
                <w:sz w:val="24"/>
              </w:rPr>
              <w:t>9</w:t>
            </w:r>
          </w:p>
        </w:tc>
        <w:tc>
          <w:tcPr>
            <w:tcW w:w="1301" w:type="dxa"/>
            <w:tcBorders>
              <w:right w:val="single" w:sz="16" w:space="0" w:color="000000"/>
            </w:tcBorders>
            <w:shd w:val="clear" w:color="auto" w:fill="67ED4D"/>
          </w:tcPr>
          <w:p>
            <w:pPr>
              <w:pStyle w:val="TableParagraph"/>
              <w:spacing w:before="1"/>
              <w:ind w:left="264" w:right="221"/>
              <w:rPr>
                <w:rFonts w:ascii="Calibri"/>
                <w:sz w:val="24"/>
              </w:rPr>
            </w:pPr>
            <w:r>
              <w:rPr>
                <w:rFonts w:ascii="Calibri"/>
                <w:sz w:val="24"/>
              </w:rPr>
              <w:t>11</w:t>
            </w:r>
          </w:p>
        </w:tc>
      </w:tr>
      <w:tr>
        <w:trPr>
          <w:trHeight w:val="1301" w:hRule="exact"/>
        </w:trPr>
        <w:tc>
          <w:tcPr>
            <w:tcW w:w="2782" w:type="dxa"/>
            <w:tcBorders>
              <w:left w:val="single" w:sz="8" w:space="0" w:color="000000"/>
              <w:bottom w:val="single" w:sz="16" w:space="0" w:color="000000"/>
            </w:tcBorders>
          </w:tcPr>
          <w:p>
            <w:pPr>
              <w:pStyle w:val="TableParagraph"/>
              <w:spacing w:before="9"/>
              <w:jc w:val="left"/>
              <w:rPr>
                <w:sz w:val="24"/>
              </w:rPr>
            </w:pPr>
          </w:p>
          <w:p>
            <w:pPr>
              <w:pStyle w:val="TableParagraph"/>
              <w:ind w:left="40"/>
              <w:jc w:val="left"/>
              <w:rPr>
                <w:sz w:val="24"/>
              </w:rPr>
            </w:pPr>
            <w:r>
              <w:rPr>
                <w:sz w:val="24"/>
              </w:rPr>
              <w:t>Índice Territorio</w:t>
            </w:r>
          </w:p>
          <w:p>
            <w:pPr>
              <w:pStyle w:val="TableParagraph"/>
              <w:spacing w:before="5"/>
              <w:jc w:val="left"/>
              <w:rPr>
                <w:sz w:val="33"/>
              </w:rPr>
            </w:pPr>
          </w:p>
          <w:p>
            <w:pPr>
              <w:pStyle w:val="TableParagraph"/>
              <w:ind w:left="40"/>
              <w:jc w:val="left"/>
              <w:rPr>
                <w:sz w:val="24"/>
              </w:rPr>
            </w:pPr>
            <w:r>
              <w:rPr>
                <w:sz w:val="24"/>
              </w:rPr>
              <w:t>Índice de Sustentabilidad</w:t>
            </w:r>
          </w:p>
        </w:tc>
        <w:tc>
          <w:tcPr>
            <w:tcW w:w="1163" w:type="dxa"/>
            <w:tcBorders>
              <w:bottom w:val="single" w:sz="16" w:space="0" w:color="000000"/>
            </w:tcBorders>
          </w:tcPr>
          <w:p>
            <w:pPr>
              <w:pStyle w:val="TableParagraph"/>
              <w:spacing w:before="6"/>
              <w:jc w:val="left"/>
              <w:rPr>
                <w:sz w:val="24"/>
              </w:rPr>
            </w:pPr>
          </w:p>
          <w:p>
            <w:pPr>
              <w:pStyle w:val="TableParagraph"/>
              <w:tabs>
                <w:tab w:pos="489" w:val="left" w:leader="none"/>
                <w:tab w:pos="1349" w:val="left" w:leader="none"/>
              </w:tabs>
              <w:ind w:left="48" w:right="-187"/>
              <w:jc w:val="left"/>
              <w:rPr>
                <w:rFonts w:ascii="Calibri"/>
                <w:sz w:val="24"/>
              </w:rPr>
            </w:pPr>
            <w:r>
              <w:rPr>
                <w:rFonts w:ascii="Times New Roman"/>
                <w:w w:val="100"/>
                <w:sz w:val="24"/>
                <w:shd w:fill="F79646" w:color="auto" w:val="clear"/>
              </w:rPr>
              <w:t> </w:t>
            </w:r>
            <w:r>
              <w:rPr>
                <w:rFonts w:ascii="Times New Roman"/>
                <w:sz w:val="24"/>
                <w:shd w:fill="F79646" w:color="auto" w:val="clear"/>
              </w:rPr>
              <w:tab/>
            </w:r>
            <w:r>
              <w:rPr>
                <w:rFonts w:ascii="Calibri"/>
                <w:sz w:val="24"/>
                <w:shd w:fill="F79646" w:color="auto" w:val="clear"/>
              </w:rPr>
              <w:t>7.16</w:t>
              <w:tab/>
            </w:r>
          </w:p>
          <w:p>
            <w:pPr>
              <w:pStyle w:val="TableParagraph"/>
              <w:spacing w:before="11"/>
              <w:jc w:val="left"/>
              <w:rPr>
                <w:sz w:val="31"/>
              </w:rPr>
            </w:pPr>
          </w:p>
          <w:p>
            <w:pPr>
              <w:pStyle w:val="TableParagraph"/>
              <w:tabs>
                <w:tab w:pos="429" w:val="left" w:leader="none"/>
                <w:tab w:pos="1349" w:val="left" w:leader="none"/>
              </w:tabs>
              <w:ind w:left="48" w:right="-187"/>
              <w:jc w:val="left"/>
              <w:rPr>
                <w:rFonts w:ascii="Calibri"/>
                <w:sz w:val="24"/>
              </w:rPr>
            </w:pPr>
            <w:r>
              <w:rPr>
                <w:rFonts w:ascii="Times New Roman"/>
                <w:w w:val="100"/>
                <w:sz w:val="24"/>
                <w:shd w:fill="F79646" w:color="auto" w:val="clear"/>
              </w:rPr>
              <w:t> </w:t>
            </w:r>
            <w:r>
              <w:rPr>
                <w:rFonts w:ascii="Times New Roman"/>
                <w:sz w:val="24"/>
                <w:shd w:fill="F79646" w:color="auto" w:val="clear"/>
              </w:rPr>
              <w:tab/>
            </w:r>
            <w:r>
              <w:rPr>
                <w:rFonts w:ascii="Calibri"/>
                <w:sz w:val="24"/>
                <w:shd w:fill="F79646" w:color="auto" w:val="clear"/>
              </w:rPr>
              <w:t>31.66</w:t>
              <w:tab/>
            </w:r>
          </w:p>
        </w:tc>
        <w:tc>
          <w:tcPr>
            <w:tcW w:w="1487" w:type="dxa"/>
            <w:tcBorders>
              <w:bottom w:val="single" w:sz="16" w:space="0" w:color="000000"/>
            </w:tcBorders>
          </w:tcPr>
          <w:p>
            <w:pPr>
              <w:pStyle w:val="TableParagraph"/>
              <w:spacing w:before="6"/>
              <w:jc w:val="left"/>
              <w:rPr>
                <w:sz w:val="24"/>
              </w:rPr>
            </w:pPr>
          </w:p>
          <w:p>
            <w:pPr>
              <w:pStyle w:val="TableParagraph"/>
              <w:tabs>
                <w:tab w:pos="566" w:val="left" w:leader="none"/>
                <w:tab w:pos="1507" w:val="left" w:leader="none"/>
              </w:tabs>
              <w:ind w:left="186" w:right="-21"/>
              <w:jc w:val="left"/>
              <w:rPr>
                <w:rFonts w:ascii="Calibri"/>
                <w:sz w:val="24"/>
              </w:rPr>
            </w:pPr>
            <w:r>
              <w:rPr>
                <w:rFonts w:ascii="Times New Roman"/>
                <w:w w:val="100"/>
                <w:sz w:val="24"/>
                <w:shd w:fill="FFFF00" w:color="auto" w:val="clear"/>
              </w:rPr>
              <w:t> </w:t>
            </w:r>
            <w:r>
              <w:rPr>
                <w:rFonts w:ascii="Times New Roman"/>
                <w:sz w:val="24"/>
                <w:shd w:fill="FFFF00" w:color="auto" w:val="clear"/>
              </w:rPr>
              <w:tab/>
            </w:r>
            <w:r>
              <w:rPr>
                <w:rFonts w:ascii="Calibri"/>
                <w:sz w:val="24"/>
                <w:shd w:fill="FFFF00" w:color="auto" w:val="clear"/>
              </w:rPr>
              <w:t>12.66</w:t>
              <w:tab/>
            </w:r>
          </w:p>
          <w:p>
            <w:pPr>
              <w:pStyle w:val="TableParagraph"/>
              <w:spacing w:before="11"/>
              <w:jc w:val="left"/>
              <w:rPr>
                <w:sz w:val="31"/>
              </w:rPr>
            </w:pPr>
          </w:p>
          <w:p>
            <w:pPr>
              <w:pStyle w:val="TableParagraph"/>
              <w:tabs>
                <w:tab w:pos="566" w:val="left" w:leader="none"/>
                <w:tab w:pos="1507" w:val="left" w:leader="none"/>
              </w:tabs>
              <w:ind w:left="186" w:right="-21"/>
              <w:jc w:val="left"/>
              <w:rPr>
                <w:rFonts w:ascii="Calibri"/>
                <w:sz w:val="24"/>
              </w:rPr>
            </w:pPr>
            <w:r>
              <w:rPr>
                <w:rFonts w:ascii="Times New Roman"/>
                <w:w w:val="100"/>
                <w:sz w:val="24"/>
                <w:shd w:fill="FFFF00" w:color="auto" w:val="clear"/>
              </w:rPr>
              <w:t> </w:t>
            </w:r>
            <w:r>
              <w:rPr>
                <w:rFonts w:ascii="Times New Roman"/>
                <w:sz w:val="24"/>
                <w:shd w:fill="FFFF00" w:color="auto" w:val="clear"/>
              </w:rPr>
              <w:tab/>
            </w:r>
            <w:r>
              <w:rPr>
                <w:rFonts w:ascii="Calibri"/>
                <w:sz w:val="24"/>
                <w:shd w:fill="FFFF00" w:color="auto" w:val="clear"/>
              </w:rPr>
              <w:t>51.36</w:t>
              <w:tab/>
            </w:r>
          </w:p>
        </w:tc>
        <w:tc>
          <w:tcPr>
            <w:tcW w:w="1301" w:type="dxa"/>
            <w:tcBorders>
              <w:bottom w:val="single" w:sz="16" w:space="0" w:color="000000"/>
              <w:right w:val="single" w:sz="16" w:space="0" w:color="000000"/>
            </w:tcBorders>
          </w:tcPr>
          <w:p>
            <w:pPr>
              <w:pStyle w:val="TableParagraph"/>
              <w:spacing w:before="6"/>
              <w:jc w:val="left"/>
              <w:rPr>
                <w:sz w:val="24"/>
              </w:rPr>
            </w:pPr>
          </w:p>
          <w:p>
            <w:pPr>
              <w:pStyle w:val="TableParagraph"/>
              <w:ind w:left="264" w:right="221"/>
              <w:rPr>
                <w:rFonts w:ascii="Calibri"/>
                <w:sz w:val="24"/>
              </w:rPr>
            </w:pPr>
            <w:r>
              <w:rPr>
                <w:rFonts w:ascii="Calibri"/>
                <w:sz w:val="24"/>
              </w:rPr>
              <w:t>17</w:t>
            </w:r>
          </w:p>
          <w:p>
            <w:pPr>
              <w:pStyle w:val="TableParagraph"/>
              <w:spacing w:before="11"/>
              <w:jc w:val="left"/>
              <w:rPr>
                <w:sz w:val="31"/>
              </w:rPr>
            </w:pPr>
          </w:p>
          <w:p>
            <w:pPr>
              <w:pStyle w:val="TableParagraph"/>
              <w:ind w:left="264" w:right="221"/>
              <w:rPr>
                <w:rFonts w:ascii="Calibri"/>
                <w:sz w:val="24"/>
              </w:rPr>
            </w:pPr>
            <w:r>
              <w:rPr>
                <w:rFonts w:ascii="Calibri"/>
                <w:sz w:val="24"/>
              </w:rPr>
              <w:t>67</w:t>
            </w:r>
          </w:p>
        </w:tc>
      </w:tr>
    </w:tbl>
    <w:p>
      <w:pPr>
        <w:spacing w:before="127"/>
        <w:ind w:left="513" w:right="0" w:firstLine="0"/>
        <w:jc w:val="left"/>
        <w:rPr>
          <w:sz w:val="21"/>
        </w:rPr>
      </w:pPr>
      <w:r>
        <w:rPr/>
        <w:pict>
          <v:rect style="position:absolute;margin-left:351.421997pt;margin-top:-82.084320pt;width:66.029300pt;height:16.0162pt;mso-position-horizontal-relative:page;mso-position-vertical-relative:paragraph;z-index:-1145272" filled="true" fillcolor="#ffff00" stroked="false">
            <v:fill type="solid"/>
            <w10:wrap type="none"/>
          </v:rect>
        </w:pict>
      </w:r>
      <w:r>
        <w:rPr/>
        <w:pict>
          <v:rect style="position:absolute;margin-left:416.450989pt;margin-top:-52.053322pt;width:66.029300pt;height:16.0162pt;mso-position-horizontal-relative:page;mso-position-vertical-relative:paragraph;z-index:-1145248" filled="true" fillcolor="#67ed4d" stroked="false">
            <v:fill type="solid"/>
            <w10:wrap type="none"/>
          </v:rect>
        </w:pict>
      </w:r>
      <w:r>
        <w:rPr/>
        <w:pict>
          <v:rect style="position:absolute;margin-left:416.450989pt;margin-top:-22.023321pt;width:66.029300pt;height:22.02220pt;mso-position-horizontal-relative:page;mso-position-vertical-relative:paragraph;z-index:-1145224" filled="true" fillcolor="#67ed4d"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rPr>
          <w:sz w:val="20"/>
        </w:rPr>
      </w:pPr>
    </w:p>
    <w:p>
      <w:pPr>
        <w:pStyle w:val="BodyText"/>
        <w:rPr>
          <w:sz w:val="20"/>
        </w:rPr>
      </w:pPr>
    </w:p>
    <w:p>
      <w:pPr>
        <w:pStyle w:val="BodyText"/>
        <w:spacing w:before="1"/>
        <w:rPr>
          <w:sz w:val="19"/>
        </w:rPr>
      </w:pPr>
    </w:p>
    <w:p>
      <w:pPr>
        <w:spacing w:before="0"/>
        <w:ind w:left="268" w:right="0" w:firstLine="0"/>
        <w:jc w:val="left"/>
        <w:rPr>
          <w:sz w:val="21"/>
        </w:rPr>
      </w:pPr>
      <w:r>
        <w:rPr/>
        <w:pict>
          <v:line style="position:absolute;mso-position-horizontal-relative:page;mso-position-vertical-relative:paragraph;z-index:12832" from="93.199997pt,-43.191109pt" to="546.799997pt,-43.191109pt" stroked="true" strokeweight=".479981pt" strokecolor="#000000">
            <w10:wrap type="none"/>
          </v:line>
        </w:pict>
      </w:r>
      <w:r>
        <w:rPr>
          <w:w w:val="105"/>
          <w:sz w:val="21"/>
        </w:rPr>
        <w:t>Gráfica 19. Escenario de resultados por índices.</w:t>
      </w:r>
    </w:p>
    <w:p>
      <w:pPr>
        <w:spacing w:before="195"/>
        <w:ind w:left="1661" w:right="0" w:firstLine="0"/>
        <w:jc w:val="left"/>
        <w:rPr>
          <w:rFonts w:ascii="Calibri" w:hAnsi="Calibri"/>
          <w:b/>
          <w:sz w:val="31"/>
        </w:rPr>
      </w:pPr>
      <w:r>
        <w:rPr>
          <w:rFonts w:ascii="Calibri" w:hAnsi="Calibri"/>
          <w:b/>
          <w:sz w:val="31"/>
        </w:rPr>
        <w:t>Distribución de índices de Valle de las  Fuentes</w:t>
      </w:r>
    </w:p>
    <w:p>
      <w:pPr>
        <w:pStyle w:val="BodyText"/>
        <w:spacing w:before="8"/>
        <w:rPr>
          <w:rFonts w:ascii="Calibri"/>
          <w:b/>
          <w:sz w:val="12"/>
        </w:rPr>
      </w:pPr>
    </w:p>
    <w:p>
      <w:pPr>
        <w:tabs>
          <w:tab w:pos="1336" w:val="left" w:leader="none"/>
          <w:tab w:pos="2552" w:val="left" w:leader="none"/>
        </w:tabs>
        <w:spacing w:before="75"/>
        <w:ind w:left="469" w:right="0" w:firstLine="0"/>
        <w:jc w:val="center"/>
        <w:rPr>
          <w:rFonts w:ascii="Calibri" w:hAnsi="Calibri"/>
          <w:sz w:val="17"/>
        </w:rPr>
      </w:pPr>
      <w:r>
        <w:rPr/>
        <w:pict>
          <v:group style="position:absolute;margin-left:245.485992pt;margin-top:5.648636pt;width:20.2pt;height:5.9pt;mso-position-horizontal-relative:page;mso-position-vertical-relative:paragraph;z-index:12880" coordorigin="4910,113" coordsize="404,118">
            <v:line style="position:absolute" from="4943,168" to="5280,168" stroked="true" strokeweight="3.294245pt" strokecolor="#5b92c7"/>
            <v:shape style="position:absolute;left:5061;top:122;width:103;height:99" type="#_x0000_t75" stroked="false">
              <v:imagedata r:id="rId256" o:title=""/>
            </v:shape>
            <v:shape style="position:absolute;left:5061;top:122;width:103;height:100" coordorigin="5061,122" coordsize="103,100" path="m5114,122l5164,175,5114,221,5061,175,5114,122xe" filled="false" stroked="true" strokeweight=".878453pt" strokecolor="#5b92c7">
              <v:path arrowok="t"/>
            </v:shape>
            <w10:wrap type="none"/>
          </v:group>
        </w:pict>
      </w:r>
      <w:r>
        <w:rPr/>
        <w:pict>
          <v:group style="position:absolute;margin-left:288.85199pt;margin-top:5.648636pt;width:20.2pt;height:5.9pt;mso-position-horizontal-relative:page;mso-position-vertical-relative:paragraph;z-index:-1145128" coordorigin="5777,113" coordsize="404,118">
            <v:line style="position:absolute" from="5810,168" to="6147,168" stroked="true" strokeweight="3.294245pt" strokecolor="#cc615a"/>
            <v:shape style="position:absolute;left:5922;top:122;width:105;height:99" type="#_x0000_t75" stroked="false">
              <v:imagedata r:id="rId257" o:title=""/>
            </v:shape>
            <v:rect style="position:absolute;left:5922;top:122;width:105;height:99" filled="false" stroked="true" strokeweight=".878453pt" strokecolor="#cc615a"/>
            <w10:wrap type="none"/>
          </v:group>
        </w:pict>
      </w:r>
      <w:r>
        <w:rPr/>
        <w:pict>
          <v:group style="position:absolute;margin-left:349.644012pt;margin-top:5.648636pt;width:20.2pt;height:5.9pt;mso-position-horizontal-relative:page;mso-position-vertical-relative:paragraph;z-index:-1145104" coordorigin="6993,113" coordsize="404,118">
            <v:line style="position:absolute" from="7026,168" to="7363,168" stroked="true" strokeweight="3.294245pt" strokecolor="#a8c367"/>
            <v:shape style="position:absolute;left:7134;top:122;width:105;height:99" type="#_x0000_t75" stroked="false">
              <v:imagedata r:id="rId258" o:title=""/>
            </v:shape>
            <v:shape style="position:absolute;left:7134;top:122;width:106;height:100" coordorigin="7134,122" coordsize="106,100" path="m7187,122l7240,221,7134,221,7187,122xe" filled="false" stroked="true" strokeweight=".878453pt" strokecolor="#a8c367">
              <v:path arrowok="t"/>
            </v:shape>
            <w10:wrap type="none"/>
          </v:group>
        </w:pict>
      </w:r>
      <w:r>
        <w:rPr>
          <w:rFonts w:ascii="Calibri" w:hAnsi="Calibri"/>
          <w:w w:val="105"/>
          <w:sz w:val="17"/>
        </w:rPr>
        <w:t>Real</w:t>
        <w:tab/>
        <w:t>Deseable</w:t>
        <w:tab/>
        <w:t>Óptimo</w:t>
      </w:r>
    </w:p>
    <w:p>
      <w:pPr>
        <w:pStyle w:val="BodyText"/>
        <w:spacing w:before="2"/>
        <w:rPr>
          <w:rFonts w:ascii="Calibri"/>
          <w:sz w:val="25"/>
        </w:rPr>
      </w:pPr>
    </w:p>
    <w:p>
      <w:pPr>
        <w:spacing w:line="256" w:lineRule="auto" w:before="76"/>
        <w:ind w:left="4353" w:right="4038" w:hanging="110"/>
        <w:jc w:val="left"/>
        <w:rPr>
          <w:rFonts w:ascii="Calibri" w:hAnsi="Calibri"/>
          <w:sz w:val="17"/>
        </w:rPr>
      </w:pPr>
      <w:r>
        <w:rPr/>
        <w:pict>
          <v:group style="position:absolute;margin-left:172.668884pt;margin-top:19.210619pt;width:297.4pt;height:295.9pt;mso-position-horizontal-relative:page;mso-position-vertical-relative:paragraph;z-index:-1145176" coordorigin="3453,384" coordsize="5948,5918">
            <v:shape style="position:absolute;left:117939;top:-85313726;width:85090062;height:85294769" coordorigin="117939,-85313726" coordsize="85090062,85294769" path="m6414,2747l6994,3344m6994,3344l6414,3924m6414,3924l5817,3344m5817,3344l6414,2747m6414,2167l7591,3344m7591,3344l6414,4521m6414,4521l5219,3344m5219,3344l6414,2167m6414,1570l8171,3344m8171,3344l6414,5119m6414,5119l4639,3344m4639,3344l6414,1570m6414,972l8768,3344m8768,3344l6414,5698m6414,5698l4042,3344m4042,3344l6414,972m6414,393l9348,3344m9348,3344l6414,6292m6414,6292l3462,3344m3462,3344l6414,393m6414,3344l6414,393m6414,3344l9348,3344m6414,3344l6414,6292m6414,3344l3462,3344m6414,3344l6414,393e" filled="false" stroked="true" strokeweight=".878453pt" strokecolor="#989898">
              <v:path arrowok="t"/>
            </v:shape>
            <v:shape style="position:absolute;left:6256;top:1799;width:316;height:299" type="#_x0000_t75" stroked="false">
              <v:imagedata r:id="rId259" o:title=""/>
            </v:shape>
            <v:shape style="position:absolute;left:7169;top:3222;width:316;height:299" type="#_x0000_t75" stroked="false">
              <v:imagedata r:id="rId259" o:title=""/>
            </v:shape>
            <v:shape style="position:absolute;left:6256;top:3767;width:316;height:299" type="#_x0000_t75" stroked="false">
              <v:imagedata r:id="rId259" o:title=""/>
            </v:shape>
            <v:shape style="position:absolute;left:5395;top:3222;width:316;height:299" type="#_x0000_t75" stroked="false">
              <v:imagedata r:id="rId259" o:title=""/>
            </v:shape>
            <v:shape style="position:absolute;left:6256;top:1869;width:316;height:299" type="#_x0000_t75" stroked="false">
              <v:imagedata r:id="rId260" o:title=""/>
            </v:shape>
            <v:shape style="position:absolute;left:8399;top:3222;width:316;height:299" type="#_x0000_t75" stroked="false">
              <v:imagedata r:id="rId260" o:title=""/>
            </v:shape>
            <v:shape style="position:absolute;left:4745;top:3222;width:316;height:299" type="#_x0000_t75" stroked="false">
              <v:imagedata r:id="rId260" o:title=""/>
            </v:shape>
            <v:shape style="position:absolute;left:6256;top:1447;width:316;height:299" type="#_x0000_t75" stroked="false">
              <v:imagedata r:id="rId261" o:title=""/>
            </v:shape>
            <v:shape style="position:absolute;left:9084;top:3222;width:316;height:299" type="#_x0000_t75" stroked="false">
              <v:imagedata r:id="rId261" o:title=""/>
            </v:shape>
            <v:shape style="position:absolute;left:6256;top:4276;width:316;height:545" type="#_x0000_t75" stroked="false">
              <v:imagedata r:id="rId262" o:title=""/>
            </v:shape>
            <v:shape style="position:absolute;left:4235;top:3222;width:316;height:299" type="#_x0000_t75" stroked="false">
              <v:imagedata r:id="rId261" o:title=""/>
            </v:shape>
            <v:shape style="position:absolute;left:-100317;top:-28486526;width:25629917;height:28383629" coordorigin="-100317,-28486526" coordsize="25629917,28383629" path="m5553,3344l6414,1921m6414,1921l7326,3344m7326,3344l6414,3884m6414,3884l5553,3344e" filled="false" stroked="true" strokeweight="3.294197pt" strokecolor="#5b92c7">
              <v:path arrowok="t"/>
            </v:shape>
            <v:shape style="position:absolute;left:6326;top:1834;width:176;height:176" type="#_x0000_t75" stroked="false">
              <v:imagedata r:id="rId86" o:title=""/>
            </v:shape>
            <v:shape style="position:absolute;left:7240;top:3257;width:176;height:176" type="#_x0000_t75" stroked="false">
              <v:imagedata r:id="rId86" o:title=""/>
            </v:shape>
            <v:shape style="position:absolute;left:6326;top:3802;width:176;height:176" type="#_x0000_t75" stroked="false">
              <v:imagedata r:id="rId86" o:title=""/>
            </v:shape>
            <v:shape style="position:absolute;left:5465;top:3257;width:176;height:176" type="#_x0000_t75" stroked="false">
              <v:imagedata r:id="rId86" o:title=""/>
            </v:shape>
            <v:shape style="position:absolute;left:-112480;top:-34722326;width:52832080;height:34798028" coordorigin="-112480,-34722326" coordsize="52832080,34798028" path="m4903,3344l6414,1991m6414,1991l8557,3344m8557,3344l6414,4398m6414,4398l4903,3344e" filled="false" stroked="true" strokeweight="3.294197pt" strokecolor="#cc615a">
              <v:path arrowok="t"/>
            </v:shape>
            <v:shape style="position:absolute;left:6326;top:1904;width:176;height:176" type="#_x0000_t75" stroked="false">
              <v:imagedata r:id="rId87" o:title=""/>
            </v:shape>
            <v:shape style="position:absolute;left:8469;top:3257;width:176;height:176" type="#_x0000_t75" stroked="false">
              <v:imagedata r:id="rId87" o:title=""/>
            </v:shape>
            <v:shape style="position:absolute;left:6326;top:4311;width:176;height:176" type="#_x0000_t75" stroked="false">
              <v:imagedata r:id="rId87" o:title=""/>
            </v:shape>
            <v:shape style="position:absolute;left:4815;top:3257;width:176;height:176" type="#_x0000_t75" stroked="false">
              <v:imagedata r:id="rId87" o:title=""/>
            </v:shape>
            <v:shape style="position:absolute;left:-72179;top:-44357126;width:70039379;height:44385342" coordorigin="-72179,-44357126" coordsize="70039379,44385342" path="m4394,3344l6414,1570m6414,1570l9238,3344m9238,3344l6414,4640m6414,4640l4394,3344e" filled="false" stroked="true" strokeweight="3.294197pt" strokecolor="#a8c367">
              <v:path arrowok="t"/>
            </v:shape>
            <v:shape style="position:absolute;left:6326;top:1482;width:176;height:176" type="#_x0000_t75" stroked="false">
              <v:imagedata r:id="rId88" o:title=""/>
            </v:shape>
            <v:shape style="position:absolute;left:9155;top:3257;width:176;height:176" type="#_x0000_t75" stroked="false">
              <v:imagedata r:id="rId88" o:title=""/>
            </v:shape>
            <v:shape style="position:absolute;left:6326;top:4557;width:176;height:176" type="#_x0000_t75" stroked="false">
              <v:imagedata r:id="rId88" o:title=""/>
            </v:shape>
            <v:shape style="position:absolute;left:4306;top:3257;width:176;height:176" type="#_x0000_t75" stroked="false">
              <v:imagedata r:id="rId88" o:title=""/>
            </v:shape>
            <w10:wrap type="none"/>
          </v:group>
        </w:pict>
      </w:r>
      <w:r>
        <w:rPr>
          <w:rFonts w:ascii="Calibri" w:hAnsi="Calibri"/>
          <w:w w:val="105"/>
          <w:sz w:val="17"/>
        </w:rPr>
        <w:t>Índice Social 25</w:t>
      </w:r>
    </w:p>
    <w:p>
      <w:pPr>
        <w:pStyle w:val="BodyText"/>
        <w:rPr>
          <w:rFonts w:ascii="Calibri"/>
        </w:rPr>
      </w:pPr>
    </w:p>
    <w:p>
      <w:pPr>
        <w:spacing w:before="75"/>
        <w:ind w:left="382" w:right="835" w:firstLine="0"/>
        <w:jc w:val="center"/>
        <w:rPr>
          <w:rFonts w:ascii="Calibri"/>
          <w:sz w:val="17"/>
        </w:rPr>
      </w:pPr>
      <w:r>
        <w:rPr>
          <w:rFonts w:ascii="Calibri"/>
          <w:w w:val="105"/>
          <w:sz w:val="17"/>
        </w:rPr>
        <w:t>20</w:t>
      </w:r>
    </w:p>
    <w:p>
      <w:pPr>
        <w:pStyle w:val="BodyText"/>
        <w:spacing w:before="10"/>
        <w:rPr>
          <w:rFonts w:ascii="Calibri"/>
          <w:sz w:val="15"/>
        </w:rPr>
      </w:pPr>
    </w:p>
    <w:p>
      <w:pPr>
        <w:tabs>
          <w:tab w:pos="422" w:val="left" w:leader="none"/>
        </w:tabs>
        <w:spacing w:before="75"/>
        <w:ind w:left="0" w:right="30" w:firstLine="0"/>
        <w:jc w:val="center"/>
        <w:rPr>
          <w:rFonts w:ascii="Calibri"/>
          <w:sz w:val="17"/>
        </w:rPr>
      </w:pPr>
      <w:r>
        <w:rPr>
          <w:rFonts w:ascii="Calibri"/>
          <w:w w:val="105"/>
          <w:position w:val="-10"/>
          <w:sz w:val="17"/>
        </w:rPr>
        <w:t>15</w:t>
        <w:tab/>
      </w:r>
      <w:r>
        <w:rPr>
          <w:rFonts w:ascii="Calibri"/>
          <w:w w:val="105"/>
          <w:sz w:val="17"/>
        </w:rPr>
        <w:t>15</w:t>
      </w:r>
    </w:p>
    <w:p>
      <w:pPr>
        <w:spacing w:before="95"/>
        <w:ind w:left="662" w:right="0" w:firstLine="0"/>
        <w:jc w:val="center"/>
        <w:rPr>
          <w:rFonts w:ascii="Calibri"/>
          <w:sz w:val="17"/>
        </w:rPr>
      </w:pPr>
      <w:r>
        <w:rPr>
          <w:rFonts w:ascii="Calibri"/>
          <w:w w:val="105"/>
          <w:sz w:val="17"/>
        </w:rPr>
        <w:t>12.1</w:t>
      </w:r>
    </w:p>
    <w:p>
      <w:pPr>
        <w:spacing w:before="88"/>
        <w:ind w:left="382" w:right="490" w:firstLine="0"/>
        <w:jc w:val="center"/>
        <w:rPr>
          <w:rFonts w:ascii="Calibri"/>
          <w:sz w:val="17"/>
        </w:rPr>
      </w:pPr>
      <w:r>
        <w:rPr>
          <w:rFonts w:ascii="Calibri"/>
          <w:w w:val="105"/>
          <w:position w:val="5"/>
          <w:sz w:val="17"/>
        </w:rPr>
        <w:t>10 </w:t>
      </w:r>
      <w:r>
        <w:rPr>
          <w:rFonts w:ascii="Calibri"/>
          <w:w w:val="105"/>
          <w:sz w:val="17"/>
        </w:rPr>
        <w:t>11.4</w:t>
      </w:r>
    </w:p>
    <w:p>
      <w:pPr>
        <w:pStyle w:val="BodyText"/>
        <w:spacing w:before="8"/>
        <w:rPr>
          <w:rFonts w:ascii="Calibri"/>
          <w:sz w:val="20"/>
        </w:rPr>
      </w:pPr>
    </w:p>
    <w:p>
      <w:pPr>
        <w:spacing w:after="0"/>
        <w:rPr>
          <w:rFonts w:ascii="Calibri"/>
          <w:sz w:val="20"/>
        </w:rPr>
        <w:sectPr>
          <w:pgSz w:w="12240" w:h="15840"/>
          <w:pgMar w:header="730" w:footer="1066" w:top="1320" w:bottom="1260" w:left="1720" w:right="1180"/>
        </w:sectPr>
      </w:pPr>
    </w:p>
    <w:p>
      <w:pPr>
        <w:pStyle w:val="BodyText"/>
        <w:rPr>
          <w:rFonts w:ascii="Calibri"/>
          <w:sz w:val="18"/>
        </w:rPr>
      </w:pPr>
    </w:p>
    <w:p>
      <w:pPr>
        <w:pStyle w:val="BodyText"/>
        <w:rPr>
          <w:rFonts w:ascii="Calibri"/>
          <w:sz w:val="18"/>
        </w:rPr>
      </w:pPr>
    </w:p>
    <w:p>
      <w:pPr>
        <w:pStyle w:val="BodyText"/>
        <w:spacing w:before="8"/>
        <w:rPr>
          <w:rFonts w:ascii="Calibri"/>
          <w:sz w:val="18"/>
        </w:rPr>
      </w:pPr>
    </w:p>
    <w:p>
      <w:pPr>
        <w:spacing w:before="1"/>
        <w:ind w:left="464" w:right="-19" w:firstLine="0"/>
        <w:jc w:val="left"/>
        <w:rPr>
          <w:rFonts w:ascii="Calibri" w:hAnsi="Calibri"/>
          <w:sz w:val="17"/>
        </w:rPr>
      </w:pPr>
      <w:r>
        <w:rPr>
          <w:rFonts w:ascii="Calibri" w:hAnsi="Calibri"/>
          <w:w w:val="105"/>
          <w:sz w:val="17"/>
        </w:rPr>
        <w:t>Índice</w:t>
      </w:r>
      <w:r>
        <w:rPr>
          <w:rFonts w:ascii="Calibri" w:hAnsi="Calibri"/>
          <w:spacing w:val="-19"/>
          <w:w w:val="105"/>
          <w:sz w:val="17"/>
        </w:rPr>
        <w:t> </w:t>
      </w:r>
      <w:r>
        <w:rPr>
          <w:rFonts w:ascii="Calibri" w:hAnsi="Calibri"/>
          <w:w w:val="105"/>
          <w:sz w:val="17"/>
        </w:rPr>
        <w:t>Territorio</w:t>
      </w:r>
    </w:p>
    <w:p>
      <w:pPr>
        <w:pStyle w:val="BodyText"/>
        <w:rPr>
          <w:rFonts w:ascii="Calibri"/>
          <w:sz w:val="18"/>
        </w:rPr>
      </w:pPr>
      <w:r>
        <w:rPr/>
        <w:br w:type="column"/>
      </w:r>
      <w:r>
        <w:rPr>
          <w:rFonts w:ascii="Calibri"/>
          <w:sz w:val="18"/>
        </w:rPr>
      </w:r>
    </w:p>
    <w:p>
      <w:pPr>
        <w:pStyle w:val="BodyText"/>
        <w:spacing w:before="5"/>
        <w:rPr>
          <w:rFonts w:ascii="Calibri"/>
          <w:sz w:val="26"/>
        </w:rPr>
      </w:pPr>
    </w:p>
    <w:p>
      <w:pPr>
        <w:tabs>
          <w:tab w:pos="1371" w:val="left" w:leader="none"/>
        </w:tabs>
        <w:spacing w:before="0"/>
        <w:ind w:left="464" w:right="0" w:firstLine="0"/>
        <w:jc w:val="left"/>
        <w:rPr>
          <w:rFonts w:ascii="Calibri"/>
          <w:sz w:val="17"/>
        </w:rPr>
      </w:pPr>
      <w:r>
        <w:rPr>
          <w:rFonts w:ascii="Calibri"/>
          <w:w w:val="105"/>
          <w:position w:val="2"/>
          <w:sz w:val="17"/>
        </w:rPr>
        <w:t>17</w:t>
        <w:tab/>
      </w:r>
      <w:r>
        <w:rPr>
          <w:rFonts w:ascii="Calibri"/>
          <w:sz w:val="17"/>
        </w:rPr>
        <w:t>12.66</w:t>
      </w:r>
    </w:p>
    <w:p>
      <w:pPr>
        <w:spacing w:before="76"/>
        <w:ind w:left="0" w:right="0" w:firstLine="0"/>
        <w:jc w:val="right"/>
        <w:rPr>
          <w:rFonts w:ascii="Calibri"/>
          <w:sz w:val="17"/>
        </w:rPr>
      </w:pPr>
      <w:r>
        <w:rPr/>
        <w:br w:type="column"/>
      </w:r>
      <w:r>
        <w:rPr>
          <w:rFonts w:ascii="Calibri"/>
          <w:sz w:val="17"/>
        </w:rPr>
        <w:t>5</w:t>
      </w:r>
    </w:p>
    <w:p>
      <w:pPr>
        <w:pStyle w:val="BodyText"/>
        <w:spacing w:before="6"/>
        <w:rPr>
          <w:rFonts w:ascii="Calibri"/>
          <w:sz w:val="18"/>
        </w:rPr>
      </w:pPr>
    </w:p>
    <w:p>
      <w:pPr>
        <w:spacing w:line="182" w:lineRule="exact" w:before="0"/>
        <w:ind w:left="199" w:right="0" w:firstLine="0"/>
        <w:jc w:val="left"/>
        <w:rPr>
          <w:rFonts w:ascii="Calibri"/>
          <w:sz w:val="17"/>
        </w:rPr>
      </w:pPr>
      <w:r>
        <w:rPr>
          <w:rFonts w:ascii="Calibri"/>
          <w:w w:val="105"/>
          <w:sz w:val="17"/>
        </w:rPr>
        <w:t>7.16</w:t>
      </w:r>
    </w:p>
    <w:p>
      <w:pPr>
        <w:spacing w:line="182" w:lineRule="exact" w:before="0"/>
        <w:ind w:left="0" w:right="0" w:firstLine="0"/>
        <w:jc w:val="right"/>
        <w:rPr>
          <w:rFonts w:ascii="Calibri"/>
          <w:sz w:val="17"/>
        </w:rPr>
      </w:pPr>
      <w:r>
        <w:rPr>
          <w:rFonts w:ascii="Calibri"/>
          <w:w w:val="103"/>
          <w:sz w:val="17"/>
        </w:rPr>
        <w:t>0</w:t>
      </w:r>
    </w:p>
    <w:p>
      <w:pPr>
        <w:pStyle w:val="BodyText"/>
        <w:rPr>
          <w:rFonts w:ascii="Calibri"/>
          <w:sz w:val="18"/>
        </w:rPr>
      </w:pPr>
      <w:r>
        <w:rPr/>
        <w:br w:type="column"/>
      </w:r>
      <w:r>
        <w:rPr>
          <w:rFonts w:ascii="Calibri"/>
          <w:sz w:val="18"/>
        </w:rPr>
      </w:r>
    </w:p>
    <w:p>
      <w:pPr>
        <w:pStyle w:val="BodyText"/>
        <w:rPr>
          <w:rFonts w:ascii="Calibri"/>
          <w:sz w:val="18"/>
        </w:rPr>
      </w:pPr>
    </w:p>
    <w:p>
      <w:pPr>
        <w:pStyle w:val="BodyText"/>
        <w:rPr>
          <w:rFonts w:ascii="Calibri"/>
          <w:sz w:val="18"/>
        </w:rPr>
      </w:pPr>
    </w:p>
    <w:p>
      <w:pPr>
        <w:pStyle w:val="BodyText"/>
        <w:spacing w:before="7"/>
        <w:rPr>
          <w:rFonts w:ascii="Calibri"/>
          <w:sz w:val="21"/>
        </w:rPr>
      </w:pPr>
    </w:p>
    <w:p>
      <w:pPr>
        <w:spacing w:before="0"/>
        <w:ind w:left="179" w:right="-13" w:firstLine="0"/>
        <w:jc w:val="left"/>
        <w:rPr>
          <w:rFonts w:ascii="Calibri"/>
          <w:sz w:val="17"/>
        </w:rPr>
      </w:pPr>
      <w:r>
        <w:rPr>
          <w:rFonts w:ascii="Calibri"/>
          <w:sz w:val="17"/>
        </w:rPr>
        <w:t>4.6</w:t>
      </w:r>
    </w:p>
    <w:p>
      <w:pPr>
        <w:pStyle w:val="BodyText"/>
        <w:rPr>
          <w:rFonts w:ascii="Calibri"/>
          <w:sz w:val="18"/>
        </w:rPr>
      </w:pPr>
      <w:r>
        <w:rPr/>
        <w:br w:type="column"/>
      </w:r>
      <w:r>
        <w:rPr>
          <w:rFonts w:ascii="Calibri"/>
          <w:sz w:val="18"/>
        </w:rPr>
      </w:r>
    </w:p>
    <w:p>
      <w:pPr>
        <w:pStyle w:val="BodyText"/>
        <w:spacing w:before="4"/>
        <w:rPr>
          <w:rFonts w:ascii="Calibri"/>
          <w:sz w:val="22"/>
        </w:rPr>
      </w:pPr>
    </w:p>
    <w:p>
      <w:pPr>
        <w:spacing w:before="0"/>
        <w:ind w:left="212" w:right="-12" w:firstLine="0"/>
        <w:jc w:val="left"/>
        <w:rPr>
          <w:rFonts w:ascii="Calibri"/>
          <w:sz w:val="17"/>
        </w:rPr>
      </w:pPr>
      <w:r>
        <w:rPr>
          <w:rFonts w:ascii="Calibri"/>
          <w:sz w:val="17"/>
        </w:rPr>
        <w:t>7.8</w:t>
      </w:r>
    </w:p>
    <w:p>
      <w:pPr>
        <w:pStyle w:val="BodyText"/>
        <w:rPr>
          <w:rFonts w:ascii="Calibri"/>
          <w:sz w:val="18"/>
        </w:rPr>
      </w:pPr>
      <w:r>
        <w:rPr/>
        <w:br w:type="column"/>
      </w:r>
      <w:r>
        <w:rPr>
          <w:rFonts w:ascii="Calibri"/>
          <w:sz w:val="18"/>
        </w:rPr>
      </w:r>
    </w:p>
    <w:p>
      <w:pPr>
        <w:pStyle w:val="BodyText"/>
        <w:spacing w:before="7"/>
        <w:rPr>
          <w:rFonts w:ascii="Calibri"/>
          <w:sz w:val="26"/>
        </w:rPr>
      </w:pPr>
    </w:p>
    <w:p>
      <w:pPr>
        <w:spacing w:before="1"/>
        <w:ind w:left="464" w:right="-10" w:firstLine="0"/>
        <w:jc w:val="left"/>
        <w:rPr>
          <w:rFonts w:ascii="Calibri"/>
          <w:sz w:val="17"/>
        </w:rPr>
      </w:pPr>
      <w:r>
        <w:rPr>
          <w:rFonts w:ascii="Calibri"/>
          <w:sz w:val="17"/>
        </w:rPr>
        <w:t>18.3</w:t>
      </w:r>
    </w:p>
    <w:p>
      <w:pPr>
        <w:pStyle w:val="BodyText"/>
        <w:rPr>
          <w:rFonts w:ascii="Calibri"/>
          <w:sz w:val="18"/>
        </w:rPr>
      </w:pPr>
      <w:r>
        <w:rPr/>
        <w:br w:type="column"/>
      </w:r>
      <w:r>
        <w:rPr>
          <w:rFonts w:ascii="Calibri"/>
          <w:sz w:val="18"/>
        </w:rPr>
      </w:r>
    </w:p>
    <w:p>
      <w:pPr>
        <w:pStyle w:val="BodyText"/>
        <w:spacing w:before="7"/>
        <w:rPr>
          <w:rFonts w:ascii="Calibri"/>
          <w:sz w:val="16"/>
        </w:rPr>
      </w:pPr>
    </w:p>
    <w:p>
      <w:pPr>
        <w:spacing w:before="0"/>
        <w:ind w:left="464" w:right="0" w:firstLine="0"/>
        <w:jc w:val="left"/>
        <w:rPr>
          <w:rFonts w:ascii="Calibri"/>
          <w:sz w:val="17"/>
        </w:rPr>
      </w:pPr>
      <w:r>
        <w:rPr>
          <w:rFonts w:ascii="Calibri"/>
          <w:w w:val="105"/>
          <w:sz w:val="17"/>
        </w:rPr>
        <w:t>24</w:t>
      </w:r>
    </w:p>
    <w:p>
      <w:pPr>
        <w:spacing w:before="38"/>
        <w:ind w:left="588" w:right="0" w:firstLine="0"/>
        <w:jc w:val="left"/>
        <w:rPr>
          <w:rFonts w:ascii="Calibri" w:hAnsi="Calibri"/>
          <w:sz w:val="17"/>
        </w:rPr>
      </w:pPr>
      <w:r>
        <w:rPr>
          <w:rFonts w:ascii="Calibri" w:hAnsi="Calibri"/>
          <w:w w:val="105"/>
          <w:sz w:val="17"/>
        </w:rPr>
        <w:t>Índice Ambiental</w:t>
      </w:r>
    </w:p>
    <w:p>
      <w:pPr>
        <w:spacing w:after="0"/>
        <w:jc w:val="left"/>
        <w:rPr>
          <w:rFonts w:ascii="Calibri" w:hAnsi="Calibri"/>
          <w:sz w:val="17"/>
        </w:rPr>
        <w:sectPr>
          <w:type w:val="continuous"/>
          <w:pgSz w:w="12240" w:h="15840"/>
          <w:pgMar w:top="1500" w:bottom="280" w:left="1720" w:right="1180"/>
          <w:cols w:num="7" w:equalWidth="0">
            <w:col w:w="1617" w:space="362"/>
            <w:col w:w="1772" w:space="40"/>
            <w:col w:w="741" w:space="40"/>
            <w:col w:w="402" w:space="40"/>
            <w:col w:w="436" w:space="278"/>
            <w:col w:w="776" w:space="663"/>
            <w:col w:w="2173"/>
          </w:cols>
        </w:sectPr>
      </w:pPr>
    </w:p>
    <w:p>
      <w:pPr>
        <w:pStyle w:val="BodyText"/>
        <w:spacing w:before="7"/>
        <w:rPr>
          <w:rFonts w:ascii="Calibri"/>
          <w:sz w:val="13"/>
        </w:rPr>
      </w:pPr>
    </w:p>
    <w:p>
      <w:pPr>
        <w:spacing w:before="76"/>
        <w:ind w:left="417" w:right="0" w:firstLine="0"/>
        <w:jc w:val="center"/>
        <w:rPr>
          <w:rFonts w:ascii="Calibri"/>
          <w:sz w:val="17"/>
        </w:rPr>
      </w:pPr>
      <w:r>
        <w:rPr>
          <w:rFonts w:ascii="Calibri"/>
          <w:w w:val="103"/>
          <w:sz w:val="17"/>
        </w:rPr>
        <w:t>9</w:t>
      </w:r>
    </w:p>
    <w:p>
      <w:pPr>
        <w:pStyle w:val="BodyText"/>
        <w:rPr>
          <w:rFonts w:ascii="Calibri"/>
          <w:sz w:val="20"/>
        </w:rPr>
      </w:pPr>
    </w:p>
    <w:p>
      <w:pPr>
        <w:pStyle w:val="BodyText"/>
        <w:spacing w:before="4"/>
        <w:rPr>
          <w:rFonts w:ascii="Calibri"/>
          <w:sz w:val="19"/>
        </w:rPr>
      </w:pPr>
    </w:p>
    <w:p>
      <w:pPr>
        <w:spacing w:before="75"/>
        <w:ind w:left="495" w:right="0" w:firstLine="0"/>
        <w:jc w:val="center"/>
        <w:rPr>
          <w:rFonts w:ascii="Calibri"/>
          <w:sz w:val="17"/>
        </w:rPr>
      </w:pPr>
      <w:r>
        <w:rPr>
          <w:rFonts w:ascii="Calibri"/>
          <w:w w:val="105"/>
          <w:sz w:val="17"/>
        </w:rPr>
        <w:t>11</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sz w:val="16"/>
        </w:rPr>
      </w:pPr>
    </w:p>
    <w:p>
      <w:pPr>
        <w:spacing w:before="76"/>
        <w:ind w:left="30" w:right="0" w:firstLine="0"/>
        <w:jc w:val="center"/>
        <w:rPr>
          <w:rFonts w:ascii="Calibri" w:hAnsi="Calibri"/>
          <w:sz w:val="17"/>
        </w:rPr>
      </w:pPr>
      <w:r>
        <w:rPr>
          <w:rFonts w:ascii="Calibri" w:hAnsi="Calibri"/>
          <w:w w:val="105"/>
          <w:sz w:val="17"/>
        </w:rPr>
        <w:t>Índice Económico</w:t>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1"/>
        <w:rPr>
          <w:rFonts w:ascii="Calibri"/>
          <w:sz w:val="19"/>
        </w:rPr>
      </w:pPr>
    </w:p>
    <w:p>
      <w:pPr>
        <w:spacing w:before="0"/>
        <w:ind w:left="268" w:right="0" w:firstLine="0"/>
        <w:jc w:val="left"/>
        <w:rPr>
          <w:sz w:val="21"/>
        </w:rPr>
      </w:pPr>
      <w:r>
        <w:rPr>
          <w:w w:val="105"/>
          <w:sz w:val="21"/>
        </w:rPr>
        <w:t>Fuente: Elaboración propia con base al estudio realizado.</w:t>
      </w:r>
    </w:p>
    <w:p>
      <w:pPr>
        <w:spacing w:after="0"/>
        <w:jc w:val="left"/>
        <w:rPr>
          <w:sz w:val="21"/>
        </w:rPr>
        <w:sectPr>
          <w:type w:val="continuous"/>
          <w:pgSz w:w="12240" w:h="15840"/>
          <w:pgMar w:top="1500" w:bottom="280" w:left="1720" w:right="1180"/>
        </w:sectPr>
      </w:pPr>
    </w:p>
    <w:p>
      <w:pPr>
        <w:pStyle w:val="BodyText"/>
        <w:rPr>
          <w:sz w:val="20"/>
        </w:rPr>
      </w:pPr>
    </w:p>
    <w:p>
      <w:pPr>
        <w:pStyle w:val="BodyText"/>
        <w:rPr>
          <w:sz w:val="20"/>
        </w:rPr>
      </w:pPr>
    </w:p>
    <w:p>
      <w:pPr>
        <w:pStyle w:val="Heading5"/>
        <w:numPr>
          <w:ilvl w:val="2"/>
          <w:numId w:val="22"/>
        </w:numPr>
        <w:tabs>
          <w:tab w:pos="936" w:val="left" w:leader="none"/>
        </w:tabs>
        <w:spacing w:line="240" w:lineRule="auto" w:before="211" w:after="0"/>
        <w:ind w:left="935" w:right="0" w:hanging="667"/>
        <w:jc w:val="both"/>
        <w:rPr>
          <w:i/>
        </w:rPr>
      </w:pPr>
      <w:r>
        <w:rPr/>
        <w:pict>
          <v:line style="position:absolute;mso-position-horizontal-relative:page;mso-position-vertical-relative:paragraph;z-index:12952" from="93.199997pt,-32.194149pt" to="546.799997pt,-32.194149pt" stroked="true" strokeweight=".479981pt" strokecolor="#000000">
            <w10:wrap type="none"/>
          </v:line>
        </w:pict>
      </w:r>
      <w:r>
        <w:rPr>
          <w:i/>
        </w:rPr>
        <w:t>Resultados por indicadores</w:t>
      </w:r>
    </w:p>
    <w:p>
      <w:pPr>
        <w:pStyle w:val="BodyText"/>
        <w:rPr>
          <w:b/>
          <w:i/>
        </w:rPr>
      </w:pPr>
    </w:p>
    <w:p>
      <w:pPr>
        <w:pStyle w:val="BodyText"/>
        <w:spacing w:before="6"/>
        <w:rPr>
          <w:b/>
          <w:i/>
          <w:sz w:val="27"/>
        </w:rPr>
      </w:pPr>
    </w:p>
    <w:p>
      <w:pPr>
        <w:pStyle w:val="BodyText"/>
        <w:spacing w:line="360" w:lineRule="auto"/>
        <w:ind w:left="268" w:right="231"/>
        <w:jc w:val="both"/>
      </w:pPr>
      <w:r>
        <w:rPr/>
        <w:t>La tabla 33 muestra los resultados obtenidos en el sistema de indicadores referente al índice social y sus respectivos subíndices de los nueve conjuntos urbanos autorizados en el municipio de Calimaya, siendo el CU denominado Valle del Nevado el evaluado con el menor puntaje, en contra parte el mejor evaluado fue San Ándres, cabe mencionar que el primero es de tipo interés social y el segundo de tipo medio, los indicadores relacionados con la habitabilidad, organización vecinal y oportunidades urbanas impactaron de manera positiva y negativa los resultados obtenidos por los conjuntos urbanos.</w:t>
      </w:r>
    </w:p>
    <w:p>
      <w:pPr>
        <w:pStyle w:val="BodyText"/>
      </w:pPr>
    </w:p>
    <w:p>
      <w:pPr>
        <w:pStyle w:val="BodyText"/>
        <w:spacing w:before="3"/>
        <w:rPr>
          <w:sz w:val="21"/>
        </w:rPr>
      </w:pPr>
    </w:p>
    <w:p>
      <w:pPr>
        <w:pStyle w:val="BodyText"/>
        <w:ind w:left="268"/>
        <w:jc w:val="both"/>
      </w:pPr>
      <w:r>
        <w:rPr/>
        <w:t>Tabla 33. Indicadores sociales</w:t>
      </w:r>
    </w:p>
    <w:p>
      <w:pPr>
        <w:pStyle w:val="BodyText"/>
        <w:spacing w:before="8"/>
        <w:rPr>
          <w:sz w:val="12"/>
        </w:rPr>
      </w:pP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9"/>
        <w:gridCol w:w="2160"/>
        <w:gridCol w:w="759"/>
        <w:gridCol w:w="430"/>
        <w:gridCol w:w="657"/>
        <w:gridCol w:w="593"/>
        <w:gridCol w:w="791"/>
        <w:gridCol w:w="756"/>
        <w:gridCol w:w="802"/>
        <w:gridCol w:w="860"/>
        <w:gridCol w:w="700"/>
      </w:tblGrid>
      <w:tr>
        <w:trPr>
          <w:trHeight w:val="276" w:hRule="exact"/>
        </w:trPr>
        <w:tc>
          <w:tcPr>
            <w:tcW w:w="8826" w:type="dxa"/>
            <w:gridSpan w:val="11"/>
            <w:tcBorders>
              <w:bottom w:val="nil"/>
            </w:tcBorders>
            <w:shd w:val="clear" w:color="auto" w:fill="000000"/>
          </w:tcPr>
          <w:p>
            <w:pPr>
              <w:pStyle w:val="TableParagraph"/>
              <w:spacing w:before="1"/>
              <w:jc w:val="left"/>
              <w:rPr>
                <w:sz w:val="5"/>
              </w:rPr>
            </w:pPr>
          </w:p>
          <w:p>
            <w:pPr>
              <w:pStyle w:val="TableParagraph"/>
              <w:spacing w:line="259" w:lineRule="auto" w:before="1"/>
              <w:ind w:left="4025" w:right="4019"/>
              <w:rPr>
                <w:b/>
                <w:sz w:val="7"/>
              </w:rPr>
            </w:pPr>
            <w:r>
              <w:rPr>
                <w:b/>
                <w:color w:val="FFFFFF"/>
                <w:sz w:val="7"/>
              </w:rPr>
              <w:t>Sistema de indicadores Sociales</w:t>
            </w:r>
          </w:p>
        </w:tc>
      </w:tr>
      <w:tr>
        <w:trPr>
          <w:trHeight w:val="125" w:hRule="exact"/>
        </w:trPr>
        <w:tc>
          <w:tcPr>
            <w:tcW w:w="8826" w:type="dxa"/>
            <w:gridSpan w:val="11"/>
            <w:tcBorders>
              <w:top w:val="single" w:sz="2" w:space="0" w:color="FFFFFF"/>
              <w:left w:val="single" w:sz="2" w:space="0" w:color="000000"/>
              <w:right w:val="single" w:sz="5" w:space="0" w:color="000000"/>
            </w:tcBorders>
            <w:shd w:val="clear" w:color="auto" w:fill="808080"/>
          </w:tcPr>
          <w:p>
            <w:pPr>
              <w:pStyle w:val="TableParagraph"/>
              <w:spacing w:before="13"/>
              <w:ind w:left="5167"/>
              <w:jc w:val="left"/>
              <w:rPr>
                <w:b/>
                <w:sz w:val="7"/>
              </w:rPr>
            </w:pPr>
            <w:r>
              <w:rPr>
                <w:b/>
                <w:color w:val="FFFFFF"/>
                <w:sz w:val="7"/>
              </w:rPr>
              <w:t>Valores por Conjunto Urbano</w:t>
            </w:r>
          </w:p>
        </w:tc>
      </w:tr>
      <w:tr>
        <w:trPr>
          <w:trHeight w:val="157" w:hRule="exact"/>
        </w:trPr>
        <w:tc>
          <w:tcPr>
            <w:tcW w:w="319" w:type="dxa"/>
            <w:tcBorders>
              <w:left w:val="single" w:sz="2" w:space="0" w:color="000000"/>
              <w:bottom w:val="single" w:sz="9" w:space="0" w:color="FFFFFF"/>
            </w:tcBorders>
            <w:shd w:val="clear" w:color="auto" w:fill="808080"/>
          </w:tcPr>
          <w:p>
            <w:pPr>
              <w:pStyle w:val="TableParagraph"/>
              <w:spacing w:line="41" w:lineRule="exact"/>
              <w:ind w:left="69"/>
              <w:jc w:val="left"/>
              <w:rPr>
                <w:b/>
                <w:sz w:val="7"/>
              </w:rPr>
            </w:pPr>
            <w:r>
              <w:rPr>
                <w:b/>
                <w:color w:val="FFFFFF"/>
                <w:sz w:val="7"/>
              </w:rPr>
              <w:t>Índice</w:t>
            </w:r>
          </w:p>
        </w:tc>
        <w:tc>
          <w:tcPr>
            <w:tcW w:w="2160" w:type="dxa"/>
            <w:tcBorders>
              <w:bottom w:val="single" w:sz="9" w:space="0" w:color="FFFFFF"/>
            </w:tcBorders>
            <w:shd w:val="clear" w:color="auto" w:fill="808080"/>
          </w:tcPr>
          <w:p>
            <w:pPr>
              <w:pStyle w:val="TableParagraph"/>
              <w:tabs>
                <w:tab w:pos="1081" w:val="left" w:leader="none"/>
              </w:tabs>
              <w:spacing w:line="41" w:lineRule="exact"/>
              <w:ind w:right="317"/>
              <w:jc w:val="right"/>
              <w:rPr>
                <w:b/>
                <w:sz w:val="7"/>
              </w:rPr>
            </w:pPr>
            <w:r>
              <w:rPr>
                <w:b/>
                <w:color w:val="FFFFFF"/>
                <w:sz w:val="7"/>
              </w:rPr>
              <w:t>Subíndice</w:t>
              <w:tab/>
            </w:r>
            <w:r>
              <w:rPr>
                <w:b/>
                <w:color w:val="FFFFFF"/>
                <w:spacing w:val="-1"/>
                <w:sz w:val="7"/>
              </w:rPr>
              <w:t>Indicador</w:t>
            </w:r>
          </w:p>
        </w:tc>
        <w:tc>
          <w:tcPr>
            <w:tcW w:w="759" w:type="dxa"/>
            <w:tcBorders>
              <w:bottom w:val="single" w:sz="9" w:space="0" w:color="FFFFFF"/>
              <w:right w:val="single" w:sz="2" w:space="0" w:color="000000"/>
            </w:tcBorders>
            <w:shd w:val="clear" w:color="auto" w:fill="808080"/>
          </w:tcPr>
          <w:p>
            <w:pPr>
              <w:pStyle w:val="TableParagraph"/>
              <w:spacing w:before="24"/>
              <w:ind w:left="82" w:right="72"/>
              <w:rPr>
                <w:b/>
                <w:sz w:val="7"/>
              </w:rPr>
            </w:pPr>
            <w:r>
              <w:rPr>
                <w:b/>
                <w:color w:val="FFFFFF"/>
                <w:sz w:val="7"/>
              </w:rPr>
              <w:t>Villas del Campo</w:t>
            </w:r>
          </w:p>
        </w:tc>
        <w:tc>
          <w:tcPr>
            <w:tcW w:w="430" w:type="dxa"/>
            <w:tcBorders>
              <w:left w:val="single" w:sz="2" w:space="0" w:color="000000"/>
              <w:bottom w:val="single" w:sz="9" w:space="0" w:color="FFFFFF"/>
              <w:right w:val="single" w:sz="2" w:space="0" w:color="000000"/>
            </w:tcBorders>
            <w:shd w:val="clear" w:color="auto" w:fill="808080"/>
          </w:tcPr>
          <w:p>
            <w:pPr>
              <w:pStyle w:val="TableParagraph"/>
              <w:spacing w:before="24"/>
              <w:ind w:right="2"/>
              <w:rPr>
                <w:b/>
                <w:sz w:val="7"/>
              </w:rPr>
            </w:pPr>
            <w:r>
              <w:rPr>
                <w:b/>
                <w:color w:val="FFFFFF"/>
                <w:sz w:val="7"/>
              </w:rPr>
              <w:t>San Andres</w:t>
            </w:r>
          </w:p>
        </w:tc>
        <w:tc>
          <w:tcPr>
            <w:tcW w:w="657" w:type="dxa"/>
            <w:tcBorders>
              <w:left w:val="single" w:sz="2" w:space="0" w:color="000000"/>
              <w:bottom w:val="single" w:sz="9" w:space="0" w:color="FFFFFF"/>
              <w:right w:val="single" w:sz="2" w:space="0" w:color="000000"/>
            </w:tcBorders>
            <w:shd w:val="clear" w:color="auto" w:fill="808080"/>
          </w:tcPr>
          <w:p>
            <w:pPr>
              <w:pStyle w:val="TableParagraph"/>
              <w:spacing w:before="24"/>
              <w:ind w:right="1"/>
              <w:rPr>
                <w:b/>
                <w:sz w:val="7"/>
              </w:rPr>
            </w:pPr>
            <w:r>
              <w:rPr>
                <w:b/>
                <w:color w:val="FFFFFF"/>
                <w:sz w:val="7"/>
              </w:rPr>
              <w:t>Villas del Campo II</w:t>
            </w:r>
          </w:p>
        </w:tc>
        <w:tc>
          <w:tcPr>
            <w:tcW w:w="593" w:type="dxa"/>
            <w:tcBorders>
              <w:left w:val="single" w:sz="2" w:space="0" w:color="000000"/>
              <w:bottom w:val="single" w:sz="9" w:space="0" w:color="FFFFFF"/>
              <w:right w:val="single" w:sz="2" w:space="0" w:color="000000"/>
            </w:tcBorders>
            <w:shd w:val="clear" w:color="auto" w:fill="808080"/>
          </w:tcPr>
          <w:p>
            <w:pPr>
              <w:pStyle w:val="TableParagraph"/>
              <w:spacing w:before="24"/>
              <w:ind w:right="1"/>
              <w:rPr>
                <w:b/>
                <w:sz w:val="7"/>
              </w:rPr>
            </w:pPr>
            <w:r>
              <w:rPr>
                <w:b/>
                <w:color w:val="FFFFFF"/>
                <w:sz w:val="7"/>
              </w:rPr>
              <w:t>Valle del Nevado</w:t>
            </w:r>
          </w:p>
        </w:tc>
        <w:tc>
          <w:tcPr>
            <w:tcW w:w="791" w:type="dxa"/>
            <w:tcBorders>
              <w:left w:val="single" w:sz="2" w:space="0" w:color="000000"/>
              <w:bottom w:val="single" w:sz="9" w:space="0" w:color="FFFFFF"/>
              <w:right w:val="single" w:sz="2" w:space="0" w:color="000000"/>
            </w:tcBorders>
            <w:shd w:val="clear" w:color="auto" w:fill="808080"/>
          </w:tcPr>
          <w:p>
            <w:pPr>
              <w:pStyle w:val="TableParagraph"/>
              <w:spacing w:before="24"/>
              <w:ind w:right="17"/>
              <w:jc w:val="right"/>
              <w:rPr>
                <w:b/>
                <w:sz w:val="7"/>
              </w:rPr>
            </w:pPr>
            <w:r>
              <w:rPr>
                <w:b/>
                <w:color w:val="FFFFFF"/>
                <w:sz w:val="7"/>
              </w:rPr>
              <w:t>Rancho la Providencia</w:t>
            </w:r>
          </w:p>
        </w:tc>
        <w:tc>
          <w:tcPr>
            <w:tcW w:w="756" w:type="dxa"/>
            <w:tcBorders>
              <w:left w:val="single" w:sz="2" w:space="0" w:color="000000"/>
              <w:bottom w:val="single" w:sz="9" w:space="0" w:color="FFFFFF"/>
              <w:right w:val="single" w:sz="2" w:space="0" w:color="000000"/>
            </w:tcBorders>
            <w:shd w:val="clear" w:color="auto" w:fill="808080"/>
          </w:tcPr>
          <w:p>
            <w:pPr>
              <w:pStyle w:val="TableParagraph"/>
              <w:spacing w:before="24"/>
              <w:ind w:left="17" w:right="-3"/>
              <w:jc w:val="left"/>
              <w:rPr>
                <w:b/>
                <w:sz w:val="7"/>
              </w:rPr>
            </w:pPr>
            <w:r>
              <w:rPr>
                <w:b/>
                <w:color w:val="FFFFFF"/>
                <w:sz w:val="7"/>
              </w:rPr>
              <w:t>Urbi Hacienda Lomas</w:t>
            </w:r>
          </w:p>
        </w:tc>
        <w:tc>
          <w:tcPr>
            <w:tcW w:w="802" w:type="dxa"/>
            <w:tcBorders>
              <w:left w:val="single" w:sz="2" w:space="0" w:color="000000"/>
              <w:bottom w:val="single" w:sz="9" w:space="0" w:color="FFFFFF"/>
              <w:right w:val="single" w:sz="2" w:space="0" w:color="000000"/>
            </w:tcBorders>
            <w:shd w:val="clear" w:color="auto" w:fill="808080"/>
          </w:tcPr>
          <w:p>
            <w:pPr>
              <w:pStyle w:val="TableParagraph"/>
              <w:spacing w:before="24"/>
              <w:ind w:right="1"/>
              <w:rPr>
                <w:b/>
                <w:sz w:val="7"/>
              </w:rPr>
            </w:pPr>
            <w:r>
              <w:rPr>
                <w:b/>
                <w:color w:val="FFFFFF"/>
                <w:sz w:val="7"/>
              </w:rPr>
              <w:t>Bosque de las Fuentes</w:t>
            </w:r>
          </w:p>
        </w:tc>
        <w:tc>
          <w:tcPr>
            <w:tcW w:w="860" w:type="dxa"/>
            <w:tcBorders>
              <w:left w:val="single" w:sz="2" w:space="0" w:color="000000"/>
              <w:bottom w:val="single" w:sz="9" w:space="0" w:color="FFFFFF"/>
              <w:right w:val="single" w:sz="2" w:space="0" w:color="000000"/>
            </w:tcBorders>
            <w:shd w:val="clear" w:color="auto" w:fill="808080"/>
          </w:tcPr>
          <w:p>
            <w:pPr>
              <w:pStyle w:val="TableParagraph"/>
              <w:spacing w:before="24"/>
              <w:ind w:right="3"/>
              <w:rPr>
                <w:b/>
                <w:sz w:val="7"/>
              </w:rPr>
            </w:pPr>
            <w:r>
              <w:rPr>
                <w:b/>
                <w:color w:val="FFFFFF"/>
                <w:sz w:val="7"/>
              </w:rPr>
              <w:t>Hacienda de las Fuentes</w:t>
            </w:r>
          </w:p>
        </w:tc>
        <w:tc>
          <w:tcPr>
            <w:tcW w:w="700" w:type="dxa"/>
            <w:tcBorders>
              <w:left w:val="single" w:sz="2" w:space="0" w:color="000000"/>
              <w:bottom w:val="single" w:sz="9" w:space="0" w:color="FFFFFF"/>
              <w:right w:val="single" w:sz="5" w:space="0" w:color="000000"/>
            </w:tcBorders>
            <w:shd w:val="clear" w:color="auto" w:fill="808080"/>
          </w:tcPr>
          <w:p>
            <w:pPr>
              <w:pStyle w:val="TableParagraph"/>
              <w:spacing w:before="24"/>
              <w:ind w:left="6"/>
              <w:rPr>
                <w:b/>
                <w:sz w:val="7"/>
              </w:rPr>
            </w:pPr>
            <w:r>
              <w:rPr>
                <w:b/>
                <w:color w:val="FFFFFF"/>
                <w:sz w:val="7"/>
              </w:rPr>
              <w:t>Valle de las Fuentes</w:t>
            </w:r>
          </w:p>
        </w:tc>
      </w:tr>
      <w:tr>
        <w:trPr>
          <w:trHeight w:val="99" w:hRule="exact"/>
        </w:trPr>
        <w:tc>
          <w:tcPr>
            <w:tcW w:w="2479" w:type="dxa"/>
            <w:gridSpan w:val="2"/>
            <w:vMerge w:val="restart"/>
            <w:tcBorders>
              <w:top w:val="single" w:sz="9" w:space="0" w:color="FFFFFF"/>
              <w:left w:val="single" w:sz="2" w:space="0" w:color="000000"/>
            </w:tcBorders>
          </w:tcPr>
          <w:p>
            <w:pPr>
              <w:pStyle w:val="TableParagraph"/>
              <w:spacing w:before="7"/>
              <w:jc w:val="left"/>
              <w:rPr>
                <w:sz w:val="7"/>
              </w:rPr>
            </w:pPr>
          </w:p>
          <w:p>
            <w:pPr>
              <w:pStyle w:val="TableParagraph"/>
              <w:spacing w:before="1"/>
              <w:ind w:right="325"/>
              <w:jc w:val="right"/>
              <w:rPr>
                <w:sz w:val="7"/>
              </w:rPr>
            </w:pPr>
            <w:r>
              <w:rPr>
                <w:sz w:val="7"/>
              </w:rPr>
              <w:t>Espacios habitables</w:t>
            </w:r>
          </w:p>
          <w:p>
            <w:pPr>
              <w:pStyle w:val="TableParagraph"/>
              <w:tabs>
                <w:tab w:pos="1528" w:val="left" w:leader="none"/>
              </w:tabs>
              <w:spacing w:line="141" w:lineRule="auto" w:before="33"/>
              <w:ind w:left="1528" w:right="224" w:hanging="1169"/>
              <w:jc w:val="left"/>
              <w:rPr>
                <w:sz w:val="7"/>
              </w:rPr>
            </w:pPr>
            <w:r>
              <w:rPr>
                <w:position w:val="-3"/>
                <w:sz w:val="7"/>
              </w:rPr>
              <w:t>Habitabilidad</w:t>
              <w:tab/>
            </w:r>
            <w:r>
              <w:rPr>
                <w:sz w:val="7"/>
              </w:rPr>
              <w:t>Metros</w:t>
            </w:r>
            <w:r>
              <w:rPr>
                <w:spacing w:val="-3"/>
                <w:sz w:val="7"/>
              </w:rPr>
              <w:t> </w:t>
            </w:r>
            <w:r>
              <w:rPr>
                <w:sz w:val="7"/>
              </w:rPr>
              <w:t>de</w:t>
            </w:r>
            <w:r>
              <w:rPr>
                <w:spacing w:val="-3"/>
                <w:sz w:val="7"/>
              </w:rPr>
              <w:t> </w:t>
            </w:r>
            <w:r>
              <w:rPr>
                <w:sz w:val="7"/>
              </w:rPr>
              <w:t>construcción</w:t>
            </w:r>
            <w:r>
              <w:rPr>
                <w:w w:val="99"/>
                <w:sz w:val="7"/>
              </w:rPr>
              <w:t> </w:t>
            </w:r>
            <w:r>
              <w:rPr>
                <w:sz w:val="7"/>
              </w:rPr>
              <w:t>Metros de</w:t>
            </w:r>
            <w:r>
              <w:rPr>
                <w:spacing w:val="-4"/>
                <w:sz w:val="7"/>
              </w:rPr>
              <w:t> </w:t>
            </w:r>
            <w:r>
              <w:rPr>
                <w:sz w:val="7"/>
              </w:rPr>
              <w:t>terreno</w:t>
            </w:r>
          </w:p>
          <w:p>
            <w:pPr>
              <w:pStyle w:val="TableParagraph"/>
              <w:spacing w:before="13"/>
              <w:ind w:left="1528" w:right="146"/>
              <w:jc w:val="left"/>
              <w:rPr>
                <w:sz w:val="7"/>
              </w:rPr>
            </w:pPr>
            <w:r>
              <w:rPr>
                <w:sz w:val="7"/>
              </w:rPr>
              <w:t>Hacinamiento</w:t>
            </w:r>
          </w:p>
          <w:p>
            <w:pPr>
              <w:pStyle w:val="TableParagraph"/>
              <w:spacing w:before="6"/>
              <w:ind w:right="352"/>
              <w:jc w:val="right"/>
              <w:rPr>
                <w:sz w:val="7"/>
              </w:rPr>
            </w:pPr>
            <w:r>
              <w:rPr>
                <w:w w:val="95"/>
                <w:sz w:val="7"/>
              </w:rPr>
              <w:t>Subtotal</w:t>
            </w:r>
          </w:p>
        </w:tc>
        <w:tc>
          <w:tcPr>
            <w:tcW w:w="1189" w:type="dxa"/>
            <w:gridSpan w:val="2"/>
            <w:tcBorders>
              <w:top w:val="single" w:sz="9" w:space="0" w:color="FFFFFF"/>
            </w:tcBorders>
            <w:shd w:val="clear" w:color="auto" w:fill="BAF9F5"/>
          </w:tcPr>
          <w:p>
            <w:pPr/>
          </w:p>
        </w:tc>
        <w:tc>
          <w:tcPr>
            <w:tcW w:w="657" w:type="dxa"/>
            <w:tcBorders>
              <w:top w:val="single" w:sz="9" w:space="0" w:color="FFFFFF"/>
            </w:tcBorders>
            <w:shd w:val="clear" w:color="auto" w:fill="BAF9F5"/>
          </w:tcPr>
          <w:p>
            <w:pPr/>
          </w:p>
        </w:tc>
        <w:tc>
          <w:tcPr>
            <w:tcW w:w="593" w:type="dxa"/>
            <w:tcBorders>
              <w:top w:val="single" w:sz="9" w:space="0" w:color="FFFFFF"/>
            </w:tcBorders>
            <w:shd w:val="clear" w:color="auto" w:fill="BAF9F5"/>
          </w:tcPr>
          <w:p>
            <w:pPr/>
          </w:p>
        </w:tc>
        <w:tc>
          <w:tcPr>
            <w:tcW w:w="791" w:type="dxa"/>
            <w:tcBorders>
              <w:top w:val="single" w:sz="9" w:space="0" w:color="FFFFFF"/>
            </w:tcBorders>
            <w:shd w:val="clear" w:color="auto" w:fill="BAF9F5"/>
          </w:tcPr>
          <w:p>
            <w:pPr>
              <w:pStyle w:val="TableParagraph"/>
              <w:spacing w:before="1"/>
              <w:ind w:right="8"/>
              <w:jc w:val="right"/>
              <w:rPr>
                <w:b/>
                <w:sz w:val="7"/>
              </w:rPr>
            </w:pPr>
            <w:r>
              <w:rPr>
                <w:b/>
                <w:w w:val="95"/>
                <w:sz w:val="7"/>
              </w:rPr>
              <w:t>Evalua</w:t>
            </w:r>
          </w:p>
        </w:tc>
        <w:tc>
          <w:tcPr>
            <w:tcW w:w="756" w:type="dxa"/>
            <w:tcBorders>
              <w:top w:val="single" w:sz="9" w:space="0" w:color="FFFFFF"/>
            </w:tcBorders>
            <w:shd w:val="clear" w:color="auto" w:fill="BAF9F5"/>
          </w:tcPr>
          <w:p>
            <w:pPr>
              <w:pStyle w:val="TableParagraph"/>
              <w:spacing w:before="1"/>
              <w:ind w:left="-11"/>
              <w:jc w:val="left"/>
              <w:rPr>
                <w:b/>
                <w:sz w:val="7"/>
              </w:rPr>
            </w:pPr>
            <w:r>
              <w:rPr>
                <w:b/>
                <w:sz w:val="7"/>
              </w:rPr>
              <w:t>ción</w:t>
            </w:r>
          </w:p>
        </w:tc>
        <w:tc>
          <w:tcPr>
            <w:tcW w:w="802" w:type="dxa"/>
            <w:tcBorders>
              <w:top w:val="single" w:sz="9" w:space="0" w:color="FFFFFF"/>
            </w:tcBorders>
            <w:shd w:val="clear" w:color="auto" w:fill="BAF9F5"/>
          </w:tcPr>
          <w:p>
            <w:pPr/>
          </w:p>
        </w:tc>
        <w:tc>
          <w:tcPr>
            <w:tcW w:w="860" w:type="dxa"/>
            <w:tcBorders>
              <w:top w:val="single" w:sz="9" w:space="0" w:color="FFFFFF"/>
            </w:tcBorders>
            <w:shd w:val="clear" w:color="auto" w:fill="BAF9F5"/>
          </w:tcPr>
          <w:p>
            <w:pPr/>
          </w:p>
        </w:tc>
        <w:tc>
          <w:tcPr>
            <w:tcW w:w="700" w:type="dxa"/>
            <w:tcBorders>
              <w:top w:val="single" w:sz="9" w:space="0" w:color="FFFFFF"/>
              <w:right w:val="single" w:sz="5" w:space="0" w:color="000000"/>
            </w:tcBorders>
            <w:shd w:val="clear" w:color="auto" w:fill="BAF9F5"/>
          </w:tcPr>
          <w:p>
            <w:pPr/>
          </w:p>
        </w:tc>
      </w:tr>
      <w:tr>
        <w:trPr>
          <w:trHeight w:val="89" w:hRule="exact"/>
        </w:trPr>
        <w:tc>
          <w:tcPr>
            <w:tcW w:w="2479" w:type="dxa"/>
            <w:gridSpan w:val="2"/>
            <w:vMerge/>
            <w:tcBorders>
              <w:left w:val="single" w:sz="2" w:space="0" w:color="000000"/>
            </w:tcBorders>
          </w:tcPr>
          <w:p>
            <w:pPr/>
          </w:p>
        </w:tc>
        <w:tc>
          <w:tcPr>
            <w:tcW w:w="759" w:type="dxa"/>
            <w:tcBorders>
              <w:right w:val="single" w:sz="2" w:space="0" w:color="000000"/>
            </w:tcBorders>
            <w:shd w:val="clear" w:color="auto" w:fill="BAF9F5"/>
          </w:tcPr>
          <w:p>
            <w:pPr>
              <w:pStyle w:val="TableParagraph"/>
              <w:spacing w:before="1"/>
              <w:ind w:left="75" w:right="72"/>
              <w:rPr>
                <w:sz w:val="7"/>
              </w:rPr>
            </w:pPr>
            <w:r>
              <w:rPr>
                <w:sz w:val="7"/>
              </w:rPr>
              <w:t>0.6</w:t>
            </w:r>
          </w:p>
        </w:tc>
        <w:tc>
          <w:tcPr>
            <w:tcW w:w="430" w:type="dxa"/>
            <w:tcBorders>
              <w:left w:val="single" w:sz="2" w:space="0" w:color="000000"/>
              <w:right w:val="single" w:sz="2" w:space="0" w:color="000000"/>
            </w:tcBorders>
            <w:shd w:val="clear" w:color="auto" w:fill="BAF9F5"/>
          </w:tcPr>
          <w:p>
            <w:pPr>
              <w:pStyle w:val="TableParagraph"/>
              <w:spacing w:before="1"/>
              <w:ind w:right="1"/>
              <w:rPr>
                <w:sz w:val="7"/>
              </w:rPr>
            </w:pPr>
            <w:r>
              <w:rPr>
                <w:sz w:val="7"/>
              </w:rPr>
              <w:t>0.7</w:t>
            </w:r>
          </w:p>
        </w:tc>
        <w:tc>
          <w:tcPr>
            <w:tcW w:w="657" w:type="dxa"/>
            <w:tcBorders>
              <w:left w:val="single" w:sz="2" w:space="0" w:color="000000"/>
              <w:right w:val="single" w:sz="2" w:space="0" w:color="000000"/>
            </w:tcBorders>
            <w:shd w:val="clear" w:color="auto" w:fill="BAF9F5"/>
          </w:tcPr>
          <w:p>
            <w:pPr>
              <w:pStyle w:val="TableParagraph"/>
              <w:spacing w:before="1"/>
              <w:ind w:left="4" w:right="1"/>
              <w:rPr>
                <w:sz w:val="7"/>
              </w:rPr>
            </w:pPr>
            <w:r>
              <w:rPr>
                <w:sz w:val="7"/>
              </w:rPr>
              <w:t>0.6</w:t>
            </w:r>
          </w:p>
        </w:tc>
        <w:tc>
          <w:tcPr>
            <w:tcW w:w="593" w:type="dxa"/>
            <w:tcBorders>
              <w:left w:val="single" w:sz="2" w:space="0" w:color="000000"/>
              <w:right w:val="single" w:sz="2" w:space="0" w:color="000000"/>
            </w:tcBorders>
            <w:shd w:val="clear" w:color="auto" w:fill="BAF9F5"/>
          </w:tcPr>
          <w:p>
            <w:pPr>
              <w:pStyle w:val="TableParagraph"/>
              <w:spacing w:before="1"/>
              <w:ind w:right="1"/>
              <w:rPr>
                <w:sz w:val="7"/>
              </w:rPr>
            </w:pPr>
            <w:r>
              <w:rPr>
                <w:sz w:val="7"/>
              </w:rPr>
              <w:t>0.6</w:t>
            </w:r>
          </w:p>
        </w:tc>
        <w:tc>
          <w:tcPr>
            <w:tcW w:w="791" w:type="dxa"/>
            <w:tcBorders>
              <w:left w:val="single" w:sz="2" w:space="0" w:color="000000"/>
              <w:right w:val="single" w:sz="2" w:space="0" w:color="000000"/>
            </w:tcBorders>
            <w:shd w:val="clear" w:color="auto" w:fill="BAF9F5"/>
          </w:tcPr>
          <w:p>
            <w:pPr>
              <w:pStyle w:val="TableParagraph"/>
              <w:spacing w:before="1"/>
              <w:ind w:left="303" w:right="304"/>
              <w:rPr>
                <w:sz w:val="7"/>
              </w:rPr>
            </w:pPr>
            <w:r>
              <w:rPr>
                <w:sz w:val="7"/>
              </w:rPr>
              <w:t>0.7</w:t>
            </w:r>
          </w:p>
        </w:tc>
        <w:tc>
          <w:tcPr>
            <w:tcW w:w="756" w:type="dxa"/>
            <w:tcBorders>
              <w:left w:val="single" w:sz="2" w:space="0" w:color="000000"/>
              <w:right w:val="single" w:sz="2" w:space="0" w:color="000000"/>
            </w:tcBorders>
            <w:shd w:val="clear" w:color="auto" w:fill="BAF9F5"/>
          </w:tcPr>
          <w:p>
            <w:pPr>
              <w:pStyle w:val="TableParagraph"/>
              <w:spacing w:before="1"/>
              <w:ind w:left="286" w:right="287"/>
              <w:rPr>
                <w:sz w:val="7"/>
              </w:rPr>
            </w:pPr>
            <w:r>
              <w:rPr>
                <w:sz w:val="7"/>
              </w:rPr>
              <w:t>0.6</w:t>
            </w:r>
          </w:p>
        </w:tc>
        <w:tc>
          <w:tcPr>
            <w:tcW w:w="802" w:type="dxa"/>
            <w:tcBorders>
              <w:left w:val="single" w:sz="2" w:space="0" w:color="000000"/>
              <w:right w:val="single" w:sz="2" w:space="0" w:color="000000"/>
            </w:tcBorders>
            <w:shd w:val="clear" w:color="auto" w:fill="BAF9F5"/>
          </w:tcPr>
          <w:p>
            <w:pPr>
              <w:pStyle w:val="TableParagraph"/>
              <w:spacing w:before="1"/>
              <w:ind w:right="1"/>
              <w:rPr>
                <w:sz w:val="7"/>
              </w:rPr>
            </w:pPr>
            <w:r>
              <w:rPr>
                <w:sz w:val="7"/>
              </w:rPr>
              <w:t>0.7</w:t>
            </w:r>
          </w:p>
        </w:tc>
        <w:tc>
          <w:tcPr>
            <w:tcW w:w="860" w:type="dxa"/>
            <w:tcBorders>
              <w:left w:val="single" w:sz="2" w:space="0" w:color="000000"/>
              <w:right w:val="single" w:sz="2" w:space="0" w:color="000000"/>
            </w:tcBorders>
            <w:shd w:val="clear" w:color="auto" w:fill="BAF9F5"/>
          </w:tcPr>
          <w:p>
            <w:pPr>
              <w:pStyle w:val="TableParagraph"/>
              <w:spacing w:before="1"/>
              <w:ind w:right="1"/>
              <w:rPr>
                <w:sz w:val="7"/>
              </w:rPr>
            </w:pPr>
            <w:r>
              <w:rPr>
                <w:sz w:val="7"/>
              </w:rPr>
              <w:t>0.6</w:t>
            </w:r>
          </w:p>
        </w:tc>
        <w:tc>
          <w:tcPr>
            <w:tcW w:w="700" w:type="dxa"/>
            <w:tcBorders>
              <w:left w:val="single" w:sz="2" w:space="0" w:color="000000"/>
              <w:right w:val="single" w:sz="5" w:space="0" w:color="000000"/>
            </w:tcBorders>
            <w:shd w:val="clear" w:color="auto" w:fill="BAF9F5"/>
          </w:tcPr>
          <w:p>
            <w:pPr>
              <w:pStyle w:val="TableParagraph"/>
              <w:spacing w:before="1"/>
              <w:ind w:left="9"/>
              <w:rPr>
                <w:sz w:val="7"/>
              </w:rPr>
            </w:pPr>
            <w:r>
              <w:rPr>
                <w:sz w:val="7"/>
              </w:rPr>
              <w:t>0.7</w:t>
            </w:r>
          </w:p>
        </w:tc>
      </w:tr>
      <w:tr>
        <w:trPr>
          <w:trHeight w:val="87" w:hRule="exact"/>
        </w:trPr>
        <w:tc>
          <w:tcPr>
            <w:tcW w:w="2479" w:type="dxa"/>
            <w:gridSpan w:val="2"/>
            <w:vMerge/>
            <w:tcBorders>
              <w:left w:val="single" w:sz="2" w:space="0" w:color="000000"/>
            </w:tcBorders>
          </w:tcPr>
          <w:p>
            <w:pPr/>
          </w:p>
        </w:tc>
        <w:tc>
          <w:tcPr>
            <w:tcW w:w="759" w:type="dxa"/>
            <w:tcBorders>
              <w:right w:val="single" w:sz="2" w:space="0" w:color="000000"/>
            </w:tcBorders>
            <w:shd w:val="clear" w:color="auto" w:fill="BAF9F5"/>
          </w:tcPr>
          <w:p>
            <w:pPr>
              <w:pStyle w:val="TableParagraph"/>
              <w:spacing w:line="80" w:lineRule="exact"/>
              <w:ind w:left="75" w:right="72"/>
              <w:rPr>
                <w:sz w:val="7"/>
              </w:rPr>
            </w:pPr>
            <w:r>
              <w:rPr>
                <w:sz w:val="7"/>
              </w:rPr>
              <w:t>0.7</w:t>
            </w:r>
          </w:p>
        </w:tc>
        <w:tc>
          <w:tcPr>
            <w:tcW w:w="430" w:type="dxa"/>
            <w:tcBorders>
              <w:left w:val="single" w:sz="2" w:space="0" w:color="000000"/>
              <w:right w:val="single" w:sz="2" w:space="0" w:color="000000"/>
            </w:tcBorders>
            <w:shd w:val="clear" w:color="auto" w:fill="BAF9F5"/>
          </w:tcPr>
          <w:p>
            <w:pPr>
              <w:pStyle w:val="TableParagraph"/>
              <w:spacing w:line="80" w:lineRule="exact"/>
              <w:ind w:right="1"/>
              <w:rPr>
                <w:sz w:val="7"/>
              </w:rPr>
            </w:pPr>
            <w:r>
              <w:rPr>
                <w:w w:val="99"/>
                <w:sz w:val="7"/>
              </w:rPr>
              <w:t>1</w:t>
            </w:r>
          </w:p>
        </w:tc>
        <w:tc>
          <w:tcPr>
            <w:tcW w:w="657" w:type="dxa"/>
            <w:tcBorders>
              <w:left w:val="single" w:sz="2" w:space="0" w:color="000000"/>
              <w:right w:val="single" w:sz="2" w:space="0" w:color="000000"/>
            </w:tcBorders>
            <w:shd w:val="clear" w:color="auto" w:fill="BAF9F5"/>
          </w:tcPr>
          <w:p>
            <w:pPr>
              <w:pStyle w:val="TableParagraph"/>
              <w:spacing w:line="80" w:lineRule="exact"/>
              <w:ind w:left="4" w:right="1"/>
              <w:rPr>
                <w:sz w:val="7"/>
              </w:rPr>
            </w:pPr>
            <w:r>
              <w:rPr>
                <w:sz w:val="7"/>
              </w:rPr>
              <w:t>0.7</w:t>
            </w:r>
          </w:p>
        </w:tc>
        <w:tc>
          <w:tcPr>
            <w:tcW w:w="593" w:type="dxa"/>
            <w:tcBorders>
              <w:left w:val="single" w:sz="2" w:space="0" w:color="000000"/>
              <w:right w:val="single" w:sz="2" w:space="0" w:color="000000"/>
            </w:tcBorders>
            <w:shd w:val="clear" w:color="auto" w:fill="BAF9F5"/>
          </w:tcPr>
          <w:p>
            <w:pPr>
              <w:pStyle w:val="TableParagraph"/>
              <w:spacing w:line="80" w:lineRule="exact"/>
              <w:ind w:right="1"/>
              <w:rPr>
                <w:sz w:val="7"/>
              </w:rPr>
            </w:pPr>
            <w:r>
              <w:rPr>
                <w:sz w:val="7"/>
              </w:rPr>
              <w:t>0.5</w:t>
            </w:r>
          </w:p>
        </w:tc>
        <w:tc>
          <w:tcPr>
            <w:tcW w:w="791" w:type="dxa"/>
            <w:tcBorders>
              <w:left w:val="single" w:sz="2" w:space="0" w:color="000000"/>
              <w:right w:val="single" w:sz="2" w:space="0" w:color="000000"/>
            </w:tcBorders>
            <w:shd w:val="clear" w:color="auto" w:fill="BAF9F5"/>
          </w:tcPr>
          <w:p>
            <w:pPr>
              <w:pStyle w:val="TableParagraph"/>
              <w:spacing w:line="80" w:lineRule="exact"/>
              <w:ind w:left="303" w:right="304"/>
              <w:rPr>
                <w:sz w:val="7"/>
              </w:rPr>
            </w:pPr>
            <w:r>
              <w:rPr>
                <w:sz w:val="7"/>
              </w:rPr>
              <w:t>0.9</w:t>
            </w:r>
          </w:p>
        </w:tc>
        <w:tc>
          <w:tcPr>
            <w:tcW w:w="756" w:type="dxa"/>
            <w:tcBorders>
              <w:left w:val="single" w:sz="2" w:space="0" w:color="000000"/>
              <w:right w:val="single" w:sz="2" w:space="0" w:color="000000"/>
            </w:tcBorders>
            <w:shd w:val="clear" w:color="auto" w:fill="BAF9F5"/>
          </w:tcPr>
          <w:p>
            <w:pPr>
              <w:pStyle w:val="TableParagraph"/>
              <w:spacing w:line="80" w:lineRule="exact"/>
              <w:ind w:left="286" w:right="287"/>
              <w:rPr>
                <w:sz w:val="7"/>
              </w:rPr>
            </w:pPr>
            <w:r>
              <w:rPr>
                <w:sz w:val="7"/>
              </w:rPr>
              <w:t>0.6</w:t>
            </w:r>
          </w:p>
        </w:tc>
        <w:tc>
          <w:tcPr>
            <w:tcW w:w="802" w:type="dxa"/>
            <w:tcBorders>
              <w:left w:val="single" w:sz="2" w:space="0" w:color="000000"/>
              <w:right w:val="single" w:sz="2" w:space="0" w:color="000000"/>
            </w:tcBorders>
            <w:shd w:val="clear" w:color="auto" w:fill="BAF9F5"/>
          </w:tcPr>
          <w:p>
            <w:pPr>
              <w:pStyle w:val="TableParagraph"/>
              <w:spacing w:line="80" w:lineRule="exact"/>
              <w:ind w:right="1"/>
              <w:rPr>
                <w:sz w:val="7"/>
              </w:rPr>
            </w:pPr>
            <w:r>
              <w:rPr>
                <w:w w:val="99"/>
                <w:sz w:val="7"/>
              </w:rPr>
              <w:t>1</w:t>
            </w:r>
          </w:p>
        </w:tc>
        <w:tc>
          <w:tcPr>
            <w:tcW w:w="860" w:type="dxa"/>
            <w:tcBorders>
              <w:left w:val="single" w:sz="2" w:space="0" w:color="000000"/>
              <w:right w:val="single" w:sz="2" w:space="0" w:color="000000"/>
            </w:tcBorders>
            <w:shd w:val="clear" w:color="auto" w:fill="BAF9F5"/>
          </w:tcPr>
          <w:p>
            <w:pPr>
              <w:pStyle w:val="TableParagraph"/>
              <w:spacing w:line="80" w:lineRule="exact"/>
              <w:ind w:right="1"/>
              <w:rPr>
                <w:sz w:val="7"/>
              </w:rPr>
            </w:pPr>
            <w:r>
              <w:rPr>
                <w:sz w:val="7"/>
              </w:rPr>
              <w:t>0.6</w:t>
            </w:r>
          </w:p>
        </w:tc>
        <w:tc>
          <w:tcPr>
            <w:tcW w:w="700" w:type="dxa"/>
            <w:tcBorders>
              <w:left w:val="single" w:sz="2" w:space="0" w:color="000000"/>
              <w:right w:val="single" w:sz="5" w:space="0" w:color="000000"/>
            </w:tcBorders>
            <w:shd w:val="clear" w:color="auto" w:fill="BAF9F5"/>
          </w:tcPr>
          <w:p>
            <w:pPr>
              <w:pStyle w:val="TableParagraph"/>
              <w:spacing w:line="80" w:lineRule="exact"/>
              <w:ind w:left="9"/>
              <w:rPr>
                <w:sz w:val="7"/>
              </w:rPr>
            </w:pPr>
            <w:r>
              <w:rPr>
                <w:w w:val="99"/>
                <w:sz w:val="7"/>
              </w:rPr>
              <w:t>1</w:t>
            </w:r>
          </w:p>
        </w:tc>
      </w:tr>
      <w:tr>
        <w:trPr>
          <w:trHeight w:val="87" w:hRule="exact"/>
        </w:trPr>
        <w:tc>
          <w:tcPr>
            <w:tcW w:w="2479" w:type="dxa"/>
            <w:gridSpan w:val="2"/>
            <w:vMerge/>
            <w:tcBorders>
              <w:left w:val="single" w:sz="2" w:space="0" w:color="000000"/>
            </w:tcBorders>
          </w:tcPr>
          <w:p>
            <w:pPr/>
          </w:p>
        </w:tc>
        <w:tc>
          <w:tcPr>
            <w:tcW w:w="759" w:type="dxa"/>
            <w:tcBorders>
              <w:right w:val="single" w:sz="2" w:space="0" w:color="000000"/>
            </w:tcBorders>
            <w:shd w:val="clear" w:color="auto" w:fill="BAF9F5"/>
          </w:tcPr>
          <w:p>
            <w:pPr>
              <w:pStyle w:val="TableParagraph"/>
              <w:spacing w:line="80" w:lineRule="exact"/>
              <w:ind w:left="3"/>
              <w:rPr>
                <w:sz w:val="7"/>
              </w:rPr>
            </w:pPr>
            <w:r>
              <w:rPr>
                <w:w w:val="99"/>
                <w:sz w:val="7"/>
              </w:rPr>
              <w:t>1</w:t>
            </w:r>
          </w:p>
        </w:tc>
        <w:tc>
          <w:tcPr>
            <w:tcW w:w="430" w:type="dxa"/>
            <w:tcBorders>
              <w:left w:val="single" w:sz="2" w:space="0" w:color="000000"/>
              <w:right w:val="single" w:sz="2" w:space="0" w:color="000000"/>
            </w:tcBorders>
            <w:shd w:val="clear" w:color="auto" w:fill="BAF9F5"/>
          </w:tcPr>
          <w:p>
            <w:pPr>
              <w:pStyle w:val="TableParagraph"/>
              <w:spacing w:line="80" w:lineRule="exact"/>
              <w:ind w:right="1"/>
              <w:rPr>
                <w:sz w:val="7"/>
              </w:rPr>
            </w:pPr>
            <w:r>
              <w:rPr>
                <w:w w:val="99"/>
                <w:sz w:val="7"/>
              </w:rPr>
              <w:t>1</w:t>
            </w:r>
          </w:p>
        </w:tc>
        <w:tc>
          <w:tcPr>
            <w:tcW w:w="657" w:type="dxa"/>
            <w:tcBorders>
              <w:left w:val="single" w:sz="2" w:space="0" w:color="000000"/>
              <w:right w:val="single" w:sz="2" w:space="0" w:color="000000"/>
            </w:tcBorders>
            <w:shd w:val="clear" w:color="auto" w:fill="BAF9F5"/>
          </w:tcPr>
          <w:p>
            <w:pPr>
              <w:pStyle w:val="TableParagraph"/>
              <w:spacing w:line="80" w:lineRule="exact"/>
              <w:ind w:left="3"/>
              <w:rPr>
                <w:sz w:val="7"/>
              </w:rPr>
            </w:pPr>
            <w:r>
              <w:rPr>
                <w:w w:val="99"/>
                <w:sz w:val="7"/>
              </w:rPr>
              <w:t>1</w:t>
            </w:r>
          </w:p>
        </w:tc>
        <w:tc>
          <w:tcPr>
            <w:tcW w:w="593" w:type="dxa"/>
            <w:tcBorders>
              <w:left w:val="single" w:sz="2" w:space="0" w:color="000000"/>
              <w:right w:val="single" w:sz="2" w:space="0" w:color="000000"/>
            </w:tcBorders>
            <w:shd w:val="clear" w:color="auto" w:fill="BAF9F5"/>
          </w:tcPr>
          <w:p>
            <w:pPr>
              <w:pStyle w:val="TableParagraph"/>
              <w:spacing w:line="80" w:lineRule="exact"/>
              <w:ind w:right="1"/>
              <w:rPr>
                <w:sz w:val="7"/>
              </w:rPr>
            </w:pPr>
            <w:r>
              <w:rPr>
                <w:sz w:val="7"/>
              </w:rPr>
              <w:t>0.6</w:t>
            </w:r>
          </w:p>
        </w:tc>
        <w:tc>
          <w:tcPr>
            <w:tcW w:w="791" w:type="dxa"/>
            <w:tcBorders>
              <w:left w:val="single" w:sz="2" w:space="0" w:color="000000"/>
              <w:right w:val="single" w:sz="2" w:space="0" w:color="000000"/>
            </w:tcBorders>
            <w:shd w:val="clear" w:color="auto" w:fill="BAF9F5"/>
          </w:tcPr>
          <w:p>
            <w:pPr>
              <w:pStyle w:val="TableParagraph"/>
              <w:spacing w:line="80" w:lineRule="exact"/>
              <w:ind w:right="1"/>
              <w:rPr>
                <w:sz w:val="7"/>
              </w:rPr>
            </w:pPr>
            <w:r>
              <w:rPr>
                <w:w w:val="99"/>
                <w:sz w:val="7"/>
              </w:rPr>
              <w:t>1</w:t>
            </w:r>
          </w:p>
        </w:tc>
        <w:tc>
          <w:tcPr>
            <w:tcW w:w="756" w:type="dxa"/>
            <w:tcBorders>
              <w:left w:val="single" w:sz="2" w:space="0" w:color="000000"/>
              <w:right w:val="single" w:sz="2" w:space="0" w:color="000000"/>
            </w:tcBorders>
            <w:shd w:val="clear" w:color="auto" w:fill="BAF9F5"/>
          </w:tcPr>
          <w:p>
            <w:pPr>
              <w:pStyle w:val="TableParagraph"/>
              <w:spacing w:line="80" w:lineRule="exact"/>
              <w:ind w:right="1"/>
              <w:rPr>
                <w:sz w:val="7"/>
              </w:rPr>
            </w:pPr>
            <w:r>
              <w:rPr>
                <w:w w:val="99"/>
                <w:sz w:val="7"/>
              </w:rPr>
              <w:t>1</w:t>
            </w:r>
          </w:p>
        </w:tc>
        <w:tc>
          <w:tcPr>
            <w:tcW w:w="802" w:type="dxa"/>
            <w:tcBorders>
              <w:left w:val="single" w:sz="2" w:space="0" w:color="000000"/>
              <w:right w:val="single" w:sz="2" w:space="0" w:color="000000"/>
            </w:tcBorders>
            <w:shd w:val="clear" w:color="auto" w:fill="BAF9F5"/>
          </w:tcPr>
          <w:p>
            <w:pPr>
              <w:pStyle w:val="TableParagraph"/>
              <w:spacing w:line="80" w:lineRule="exact"/>
              <w:ind w:right="1"/>
              <w:rPr>
                <w:sz w:val="7"/>
              </w:rPr>
            </w:pPr>
            <w:r>
              <w:rPr>
                <w:w w:val="99"/>
                <w:sz w:val="7"/>
              </w:rPr>
              <w:t>1</w:t>
            </w:r>
          </w:p>
        </w:tc>
        <w:tc>
          <w:tcPr>
            <w:tcW w:w="860" w:type="dxa"/>
            <w:tcBorders>
              <w:left w:val="single" w:sz="2" w:space="0" w:color="000000"/>
              <w:right w:val="single" w:sz="2" w:space="0" w:color="000000"/>
            </w:tcBorders>
            <w:shd w:val="clear" w:color="auto" w:fill="BAF9F5"/>
          </w:tcPr>
          <w:p>
            <w:pPr>
              <w:pStyle w:val="TableParagraph"/>
              <w:spacing w:line="80" w:lineRule="exact"/>
              <w:ind w:right="1"/>
              <w:rPr>
                <w:sz w:val="7"/>
              </w:rPr>
            </w:pPr>
            <w:r>
              <w:rPr>
                <w:sz w:val="7"/>
              </w:rPr>
              <w:t>0.8</w:t>
            </w:r>
          </w:p>
        </w:tc>
        <w:tc>
          <w:tcPr>
            <w:tcW w:w="700" w:type="dxa"/>
            <w:tcBorders>
              <w:left w:val="single" w:sz="2" w:space="0" w:color="000000"/>
              <w:right w:val="single" w:sz="5" w:space="0" w:color="000000"/>
            </w:tcBorders>
            <w:shd w:val="clear" w:color="auto" w:fill="BAF9F5"/>
          </w:tcPr>
          <w:p>
            <w:pPr>
              <w:pStyle w:val="TableParagraph"/>
              <w:spacing w:line="80" w:lineRule="exact"/>
              <w:ind w:left="9"/>
              <w:rPr>
                <w:sz w:val="7"/>
              </w:rPr>
            </w:pPr>
            <w:r>
              <w:rPr>
                <w:w w:val="99"/>
                <w:sz w:val="7"/>
              </w:rPr>
              <w:t>1</w:t>
            </w:r>
          </w:p>
        </w:tc>
      </w:tr>
      <w:tr>
        <w:trPr>
          <w:trHeight w:val="89" w:hRule="exact"/>
        </w:trPr>
        <w:tc>
          <w:tcPr>
            <w:tcW w:w="2479" w:type="dxa"/>
            <w:gridSpan w:val="2"/>
            <w:vMerge/>
            <w:tcBorders>
              <w:left w:val="single" w:sz="2" w:space="0" w:color="000000"/>
            </w:tcBorders>
          </w:tcPr>
          <w:p>
            <w:pPr/>
          </w:p>
        </w:tc>
        <w:tc>
          <w:tcPr>
            <w:tcW w:w="759" w:type="dxa"/>
            <w:tcBorders>
              <w:bottom w:val="single" w:sz="2" w:space="0" w:color="FFFFFF"/>
              <w:right w:val="single" w:sz="2" w:space="0" w:color="000000"/>
            </w:tcBorders>
            <w:shd w:val="clear" w:color="auto" w:fill="BAF9F5"/>
          </w:tcPr>
          <w:p>
            <w:pPr>
              <w:pStyle w:val="TableParagraph"/>
              <w:spacing w:line="80" w:lineRule="exact"/>
              <w:ind w:left="3"/>
              <w:rPr>
                <w:sz w:val="7"/>
              </w:rPr>
            </w:pPr>
            <w:r>
              <w:rPr>
                <w:w w:val="99"/>
                <w:sz w:val="7"/>
              </w:rPr>
              <w:t>1</w:t>
            </w:r>
          </w:p>
        </w:tc>
        <w:tc>
          <w:tcPr>
            <w:tcW w:w="430" w:type="dxa"/>
            <w:tcBorders>
              <w:left w:val="single" w:sz="2" w:space="0" w:color="000000"/>
              <w:bottom w:val="single" w:sz="2" w:space="0" w:color="FFFFFF"/>
              <w:right w:val="single" w:sz="2" w:space="0" w:color="000000"/>
            </w:tcBorders>
            <w:shd w:val="clear" w:color="auto" w:fill="BAF9F5"/>
          </w:tcPr>
          <w:p>
            <w:pPr>
              <w:pStyle w:val="TableParagraph"/>
              <w:spacing w:line="80" w:lineRule="exact"/>
              <w:ind w:right="1"/>
              <w:rPr>
                <w:sz w:val="7"/>
              </w:rPr>
            </w:pPr>
            <w:r>
              <w:rPr>
                <w:w w:val="99"/>
                <w:sz w:val="7"/>
              </w:rPr>
              <w:t>1</w:t>
            </w:r>
          </w:p>
        </w:tc>
        <w:tc>
          <w:tcPr>
            <w:tcW w:w="657" w:type="dxa"/>
            <w:tcBorders>
              <w:left w:val="single" w:sz="2" w:space="0" w:color="000000"/>
              <w:bottom w:val="single" w:sz="2" w:space="0" w:color="FFFFFF"/>
              <w:right w:val="single" w:sz="2" w:space="0" w:color="000000"/>
            </w:tcBorders>
            <w:shd w:val="clear" w:color="auto" w:fill="BAF9F5"/>
          </w:tcPr>
          <w:p>
            <w:pPr>
              <w:pStyle w:val="TableParagraph"/>
              <w:spacing w:line="80" w:lineRule="exact"/>
              <w:ind w:left="3"/>
              <w:rPr>
                <w:sz w:val="7"/>
              </w:rPr>
            </w:pPr>
            <w:r>
              <w:rPr>
                <w:w w:val="99"/>
                <w:sz w:val="7"/>
              </w:rPr>
              <w:t>1</w:t>
            </w:r>
          </w:p>
        </w:tc>
        <w:tc>
          <w:tcPr>
            <w:tcW w:w="593" w:type="dxa"/>
            <w:tcBorders>
              <w:left w:val="single" w:sz="2" w:space="0" w:color="000000"/>
              <w:bottom w:val="single" w:sz="2" w:space="0" w:color="FFFFFF"/>
              <w:right w:val="single" w:sz="2" w:space="0" w:color="000000"/>
            </w:tcBorders>
            <w:shd w:val="clear" w:color="auto" w:fill="BAF9F5"/>
          </w:tcPr>
          <w:p>
            <w:pPr>
              <w:pStyle w:val="TableParagraph"/>
              <w:spacing w:line="80" w:lineRule="exact"/>
              <w:ind w:right="1"/>
              <w:rPr>
                <w:sz w:val="7"/>
              </w:rPr>
            </w:pPr>
            <w:r>
              <w:rPr>
                <w:w w:val="99"/>
                <w:sz w:val="7"/>
              </w:rPr>
              <w:t>1</w:t>
            </w:r>
          </w:p>
        </w:tc>
        <w:tc>
          <w:tcPr>
            <w:tcW w:w="791" w:type="dxa"/>
            <w:tcBorders>
              <w:left w:val="single" w:sz="2" w:space="0" w:color="000000"/>
              <w:bottom w:val="single" w:sz="2" w:space="0" w:color="FFFFFF"/>
              <w:right w:val="single" w:sz="2" w:space="0" w:color="000000"/>
            </w:tcBorders>
            <w:shd w:val="clear" w:color="auto" w:fill="BAF9F5"/>
          </w:tcPr>
          <w:p>
            <w:pPr>
              <w:pStyle w:val="TableParagraph"/>
              <w:spacing w:line="80" w:lineRule="exact"/>
              <w:ind w:right="1"/>
              <w:rPr>
                <w:sz w:val="7"/>
              </w:rPr>
            </w:pPr>
            <w:r>
              <w:rPr>
                <w:w w:val="99"/>
                <w:sz w:val="7"/>
              </w:rPr>
              <w:t>1</w:t>
            </w:r>
          </w:p>
        </w:tc>
        <w:tc>
          <w:tcPr>
            <w:tcW w:w="756" w:type="dxa"/>
            <w:tcBorders>
              <w:left w:val="single" w:sz="2" w:space="0" w:color="000000"/>
              <w:bottom w:val="single" w:sz="2" w:space="0" w:color="FFFFFF"/>
              <w:right w:val="single" w:sz="2" w:space="0" w:color="000000"/>
            </w:tcBorders>
            <w:shd w:val="clear" w:color="auto" w:fill="BAF9F5"/>
          </w:tcPr>
          <w:p>
            <w:pPr>
              <w:pStyle w:val="TableParagraph"/>
              <w:spacing w:line="80" w:lineRule="exact"/>
              <w:ind w:right="1"/>
              <w:rPr>
                <w:sz w:val="7"/>
              </w:rPr>
            </w:pPr>
            <w:r>
              <w:rPr>
                <w:w w:val="99"/>
                <w:sz w:val="7"/>
              </w:rPr>
              <w:t>1</w:t>
            </w:r>
          </w:p>
        </w:tc>
        <w:tc>
          <w:tcPr>
            <w:tcW w:w="802" w:type="dxa"/>
            <w:tcBorders>
              <w:left w:val="single" w:sz="2" w:space="0" w:color="000000"/>
              <w:bottom w:val="single" w:sz="2" w:space="0" w:color="FFFFFF"/>
              <w:right w:val="single" w:sz="2" w:space="0" w:color="000000"/>
            </w:tcBorders>
            <w:shd w:val="clear" w:color="auto" w:fill="BAF9F5"/>
          </w:tcPr>
          <w:p>
            <w:pPr>
              <w:pStyle w:val="TableParagraph"/>
              <w:spacing w:line="80" w:lineRule="exact"/>
              <w:ind w:right="1"/>
              <w:rPr>
                <w:sz w:val="7"/>
              </w:rPr>
            </w:pPr>
            <w:r>
              <w:rPr>
                <w:w w:val="99"/>
                <w:sz w:val="7"/>
              </w:rPr>
              <w:t>1</w:t>
            </w:r>
          </w:p>
        </w:tc>
        <w:tc>
          <w:tcPr>
            <w:tcW w:w="860" w:type="dxa"/>
            <w:tcBorders>
              <w:left w:val="single" w:sz="2" w:space="0" w:color="000000"/>
              <w:bottom w:val="single" w:sz="2" w:space="0" w:color="FFFFFF"/>
              <w:right w:val="single" w:sz="2" w:space="0" w:color="000000"/>
            </w:tcBorders>
            <w:shd w:val="clear" w:color="auto" w:fill="BAF9F5"/>
          </w:tcPr>
          <w:p>
            <w:pPr>
              <w:pStyle w:val="TableParagraph"/>
              <w:spacing w:line="80" w:lineRule="exact"/>
              <w:ind w:right="1"/>
              <w:rPr>
                <w:sz w:val="7"/>
              </w:rPr>
            </w:pPr>
            <w:r>
              <w:rPr>
                <w:w w:val="99"/>
                <w:sz w:val="7"/>
              </w:rPr>
              <w:t>1</w:t>
            </w:r>
          </w:p>
        </w:tc>
        <w:tc>
          <w:tcPr>
            <w:tcW w:w="700" w:type="dxa"/>
            <w:tcBorders>
              <w:left w:val="single" w:sz="2" w:space="0" w:color="000000"/>
              <w:bottom w:val="single" w:sz="2" w:space="0" w:color="FFFFFF"/>
              <w:right w:val="single" w:sz="5" w:space="0" w:color="000000"/>
            </w:tcBorders>
            <w:shd w:val="clear" w:color="auto" w:fill="BAF9F5"/>
          </w:tcPr>
          <w:p>
            <w:pPr>
              <w:pStyle w:val="TableParagraph"/>
              <w:spacing w:line="80" w:lineRule="exact"/>
              <w:ind w:left="9"/>
              <w:rPr>
                <w:sz w:val="7"/>
              </w:rPr>
            </w:pPr>
            <w:r>
              <w:rPr>
                <w:w w:val="99"/>
                <w:sz w:val="7"/>
              </w:rPr>
              <w:t>1</w:t>
            </w:r>
          </w:p>
        </w:tc>
      </w:tr>
      <w:tr>
        <w:trPr>
          <w:trHeight w:val="90" w:hRule="exact"/>
        </w:trPr>
        <w:tc>
          <w:tcPr>
            <w:tcW w:w="2479" w:type="dxa"/>
            <w:gridSpan w:val="2"/>
            <w:vMerge/>
            <w:tcBorders>
              <w:left w:val="single" w:sz="2" w:space="0" w:color="000000"/>
            </w:tcBorders>
          </w:tcPr>
          <w:p>
            <w:pPr/>
          </w:p>
        </w:tc>
        <w:tc>
          <w:tcPr>
            <w:tcW w:w="759" w:type="dxa"/>
            <w:tcBorders>
              <w:top w:val="single" w:sz="2" w:space="0" w:color="FFFFFF"/>
              <w:right w:val="single" w:sz="2" w:space="0" w:color="000000"/>
            </w:tcBorders>
            <w:shd w:val="clear" w:color="auto" w:fill="F79646"/>
          </w:tcPr>
          <w:p>
            <w:pPr>
              <w:pStyle w:val="TableParagraph"/>
              <w:spacing w:line="76" w:lineRule="exact"/>
              <w:ind w:left="75" w:right="72"/>
              <w:rPr>
                <w:sz w:val="7"/>
              </w:rPr>
            </w:pPr>
            <w:r>
              <w:rPr>
                <w:sz w:val="7"/>
              </w:rPr>
              <w:t>3.3</w:t>
            </w:r>
          </w:p>
        </w:tc>
        <w:tc>
          <w:tcPr>
            <w:tcW w:w="430" w:type="dxa"/>
            <w:tcBorders>
              <w:top w:val="single" w:sz="2" w:space="0" w:color="FFFFFF"/>
              <w:left w:val="single" w:sz="2" w:space="0" w:color="000000"/>
              <w:right w:val="single" w:sz="2" w:space="0" w:color="000000"/>
            </w:tcBorders>
            <w:shd w:val="clear" w:color="auto" w:fill="F79646"/>
          </w:tcPr>
          <w:p>
            <w:pPr>
              <w:pStyle w:val="TableParagraph"/>
              <w:spacing w:line="76" w:lineRule="exact"/>
              <w:ind w:right="1"/>
              <w:rPr>
                <w:sz w:val="7"/>
              </w:rPr>
            </w:pPr>
            <w:r>
              <w:rPr>
                <w:sz w:val="7"/>
              </w:rPr>
              <w:t>3.7</w:t>
            </w:r>
          </w:p>
        </w:tc>
        <w:tc>
          <w:tcPr>
            <w:tcW w:w="657" w:type="dxa"/>
            <w:tcBorders>
              <w:top w:val="single" w:sz="2" w:space="0" w:color="FFFFFF"/>
              <w:left w:val="single" w:sz="2" w:space="0" w:color="000000"/>
              <w:right w:val="single" w:sz="2" w:space="0" w:color="000000"/>
            </w:tcBorders>
            <w:shd w:val="clear" w:color="auto" w:fill="F79646"/>
          </w:tcPr>
          <w:p>
            <w:pPr>
              <w:pStyle w:val="TableParagraph"/>
              <w:spacing w:line="76" w:lineRule="exact"/>
              <w:ind w:left="4" w:right="1"/>
              <w:rPr>
                <w:sz w:val="7"/>
              </w:rPr>
            </w:pPr>
            <w:r>
              <w:rPr>
                <w:sz w:val="7"/>
              </w:rPr>
              <w:t>3.3</w:t>
            </w:r>
          </w:p>
        </w:tc>
        <w:tc>
          <w:tcPr>
            <w:tcW w:w="593" w:type="dxa"/>
            <w:tcBorders>
              <w:top w:val="single" w:sz="2" w:space="0" w:color="FFFFFF"/>
              <w:left w:val="single" w:sz="2" w:space="0" w:color="000000"/>
              <w:right w:val="single" w:sz="2" w:space="0" w:color="000000"/>
            </w:tcBorders>
            <w:shd w:val="clear" w:color="auto" w:fill="F79646"/>
          </w:tcPr>
          <w:p>
            <w:pPr>
              <w:pStyle w:val="TableParagraph"/>
              <w:spacing w:line="76" w:lineRule="exact"/>
              <w:ind w:right="1"/>
              <w:rPr>
                <w:sz w:val="7"/>
              </w:rPr>
            </w:pPr>
            <w:r>
              <w:rPr>
                <w:sz w:val="7"/>
              </w:rPr>
              <w:t>2.7</w:t>
            </w:r>
          </w:p>
        </w:tc>
        <w:tc>
          <w:tcPr>
            <w:tcW w:w="791" w:type="dxa"/>
            <w:tcBorders>
              <w:top w:val="single" w:sz="2" w:space="0" w:color="FFFFFF"/>
              <w:left w:val="single" w:sz="2" w:space="0" w:color="000000"/>
              <w:right w:val="single" w:sz="2" w:space="0" w:color="000000"/>
            </w:tcBorders>
            <w:shd w:val="clear" w:color="auto" w:fill="F79646"/>
          </w:tcPr>
          <w:p>
            <w:pPr>
              <w:pStyle w:val="TableParagraph"/>
              <w:spacing w:line="76" w:lineRule="exact"/>
              <w:ind w:left="303" w:right="304"/>
              <w:rPr>
                <w:sz w:val="7"/>
              </w:rPr>
            </w:pPr>
            <w:r>
              <w:rPr>
                <w:sz w:val="7"/>
              </w:rPr>
              <w:t>3.6</w:t>
            </w:r>
          </w:p>
        </w:tc>
        <w:tc>
          <w:tcPr>
            <w:tcW w:w="756" w:type="dxa"/>
            <w:tcBorders>
              <w:top w:val="single" w:sz="2" w:space="0" w:color="FFFFFF"/>
              <w:left w:val="single" w:sz="2" w:space="0" w:color="000000"/>
              <w:right w:val="single" w:sz="2" w:space="0" w:color="000000"/>
            </w:tcBorders>
            <w:shd w:val="clear" w:color="auto" w:fill="F79646"/>
          </w:tcPr>
          <w:p>
            <w:pPr>
              <w:pStyle w:val="TableParagraph"/>
              <w:spacing w:line="76" w:lineRule="exact"/>
              <w:ind w:left="286" w:right="287"/>
              <w:rPr>
                <w:sz w:val="7"/>
              </w:rPr>
            </w:pPr>
            <w:r>
              <w:rPr>
                <w:sz w:val="7"/>
              </w:rPr>
              <w:t>3.2</w:t>
            </w:r>
          </w:p>
        </w:tc>
        <w:tc>
          <w:tcPr>
            <w:tcW w:w="802" w:type="dxa"/>
            <w:tcBorders>
              <w:top w:val="single" w:sz="2" w:space="0" w:color="FFFFFF"/>
              <w:left w:val="single" w:sz="2" w:space="0" w:color="000000"/>
              <w:right w:val="single" w:sz="2" w:space="0" w:color="000000"/>
            </w:tcBorders>
            <w:shd w:val="clear" w:color="auto" w:fill="F79646"/>
          </w:tcPr>
          <w:p>
            <w:pPr>
              <w:pStyle w:val="TableParagraph"/>
              <w:spacing w:line="76" w:lineRule="exact"/>
              <w:ind w:right="1"/>
              <w:rPr>
                <w:sz w:val="7"/>
              </w:rPr>
            </w:pPr>
            <w:r>
              <w:rPr>
                <w:sz w:val="7"/>
              </w:rPr>
              <w:t>3.7</w:t>
            </w:r>
          </w:p>
        </w:tc>
        <w:tc>
          <w:tcPr>
            <w:tcW w:w="860" w:type="dxa"/>
            <w:tcBorders>
              <w:top w:val="single" w:sz="2" w:space="0" w:color="FFFFFF"/>
              <w:left w:val="single" w:sz="2" w:space="0" w:color="000000"/>
              <w:right w:val="single" w:sz="2" w:space="0" w:color="000000"/>
            </w:tcBorders>
            <w:shd w:val="clear" w:color="auto" w:fill="F79646"/>
          </w:tcPr>
          <w:p>
            <w:pPr>
              <w:pStyle w:val="TableParagraph"/>
              <w:spacing w:line="76" w:lineRule="exact"/>
              <w:ind w:right="1"/>
              <w:rPr>
                <w:sz w:val="7"/>
              </w:rPr>
            </w:pPr>
            <w:r>
              <w:rPr>
                <w:w w:val="99"/>
                <w:sz w:val="7"/>
              </w:rPr>
              <w:t>3</w:t>
            </w:r>
          </w:p>
        </w:tc>
        <w:tc>
          <w:tcPr>
            <w:tcW w:w="700" w:type="dxa"/>
            <w:tcBorders>
              <w:top w:val="single" w:sz="2" w:space="0" w:color="FFFFFF"/>
              <w:left w:val="single" w:sz="2" w:space="0" w:color="000000"/>
              <w:right w:val="single" w:sz="5" w:space="0" w:color="000000"/>
            </w:tcBorders>
            <w:shd w:val="clear" w:color="auto" w:fill="F79646"/>
          </w:tcPr>
          <w:p>
            <w:pPr>
              <w:pStyle w:val="TableParagraph"/>
              <w:spacing w:line="76" w:lineRule="exact"/>
              <w:ind w:left="9"/>
              <w:rPr>
                <w:sz w:val="7"/>
              </w:rPr>
            </w:pPr>
            <w:r>
              <w:rPr>
                <w:sz w:val="7"/>
              </w:rPr>
              <w:t>3.7</w:t>
            </w:r>
          </w:p>
        </w:tc>
      </w:tr>
      <w:tr>
        <w:trPr>
          <w:trHeight w:val="81" w:hRule="exact"/>
        </w:trPr>
        <w:tc>
          <w:tcPr>
            <w:tcW w:w="3238" w:type="dxa"/>
            <w:gridSpan w:val="3"/>
            <w:tcBorders>
              <w:left w:val="single" w:sz="2" w:space="0" w:color="000000"/>
              <w:right w:val="single" w:sz="2" w:space="0" w:color="000000"/>
            </w:tcBorders>
          </w:tcPr>
          <w:p>
            <w:pPr/>
          </w:p>
        </w:tc>
        <w:tc>
          <w:tcPr>
            <w:tcW w:w="430" w:type="dxa"/>
            <w:tcBorders>
              <w:left w:val="single" w:sz="2" w:space="0" w:color="000000"/>
              <w:right w:val="single" w:sz="2" w:space="0" w:color="000000"/>
            </w:tcBorders>
          </w:tcPr>
          <w:p>
            <w:pPr/>
          </w:p>
        </w:tc>
        <w:tc>
          <w:tcPr>
            <w:tcW w:w="657" w:type="dxa"/>
            <w:tcBorders>
              <w:left w:val="single" w:sz="2" w:space="0" w:color="000000"/>
              <w:right w:val="single" w:sz="2" w:space="0" w:color="000000"/>
            </w:tcBorders>
          </w:tcPr>
          <w:p>
            <w:pPr/>
          </w:p>
        </w:tc>
        <w:tc>
          <w:tcPr>
            <w:tcW w:w="593" w:type="dxa"/>
            <w:tcBorders>
              <w:left w:val="single" w:sz="2" w:space="0" w:color="000000"/>
              <w:right w:val="single" w:sz="2" w:space="0" w:color="000000"/>
            </w:tcBorders>
          </w:tcPr>
          <w:p>
            <w:pPr/>
          </w:p>
        </w:tc>
        <w:tc>
          <w:tcPr>
            <w:tcW w:w="791" w:type="dxa"/>
            <w:tcBorders>
              <w:left w:val="single" w:sz="2" w:space="0" w:color="000000"/>
              <w:right w:val="single" w:sz="2" w:space="0" w:color="000000"/>
            </w:tcBorders>
          </w:tcPr>
          <w:p>
            <w:pPr/>
          </w:p>
        </w:tc>
        <w:tc>
          <w:tcPr>
            <w:tcW w:w="756" w:type="dxa"/>
            <w:tcBorders>
              <w:left w:val="single" w:sz="2" w:space="0" w:color="000000"/>
              <w:right w:val="single" w:sz="2" w:space="0" w:color="000000"/>
            </w:tcBorders>
          </w:tcPr>
          <w:p>
            <w:pPr/>
          </w:p>
        </w:tc>
        <w:tc>
          <w:tcPr>
            <w:tcW w:w="802" w:type="dxa"/>
            <w:tcBorders>
              <w:left w:val="single" w:sz="2" w:space="0" w:color="000000"/>
              <w:right w:val="single" w:sz="2" w:space="0" w:color="000000"/>
            </w:tcBorders>
          </w:tcPr>
          <w:p>
            <w:pPr/>
          </w:p>
        </w:tc>
        <w:tc>
          <w:tcPr>
            <w:tcW w:w="860" w:type="dxa"/>
            <w:tcBorders>
              <w:left w:val="single" w:sz="2" w:space="0" w:color="000000"/>
              <w:right w:val="single" w:sz="2" w:space="0" w:color="000000"/>
            </w:tcBorders>
          </w:tcPr>
          <w:p>
            <w:pPr/>
          </w:p>
        </w:tc>
        <w:tc>
          <w:tcPr>
            <w:tcW w:w="700" w:type="dxa"/>
            <w:tcBorders>
              <w:left w:val="single" w:sz="2" w:space="0" w:color="000000"/>
              <w:right w:val="single" w:sz="5" w:space="0" w:color="000000"/>
            </w:tcBorders>
          </w:tcPr>
          <w:p>
            <w:pPr/>
          </w:p>
        </w:tc>
      </w:tr>
      <w:tr>
        <w:trPr>
          <w:trHeight w:val="89" w:hRule="exact"/>
        </w:trPr>
        <w:tc>
          <w:tcPr>
            <w:tcW w:w="319" w:type="dxa"/>
            <w:vMerge w:val="restart"/>
            <w:tcBorders>
              <w:left w:val="single" w:sz="2" w:space="0" w:color="000000"/>
            </w:tcBorders>
          </w:tcPr>
          <w:p>
            <w:pPr>
              <w:pStyle w:val="TableParagraph"/>
              <w:jc w:val="left"/>
              <w:rPr>
                <w:sz w:val="6"/>
              </w:rPr>
            </w:pPr>
          </w:p>
          <w:p>
            <w:pPr>
              <w:pStyle w:val="TableParagraph"/>
              <w:jc w:val="left"/>
              <w:rPr>
                <w:sz w:val="6"/>
              </w:rPr>
            </w:pPr>
          </w:p>
          <w:p>
            <w:pPr>
              <w:pStyle w:val="TableParagraph"/>
              <w:jc w:val="left"/>
              <w:rPr>
                <w:sz w:val="6"/>
              </w:rPr>
            </w:pPr>
          </w:p>
          <w:p>
            <w:pPr>
              <w:pStyle w:val="TableParagraph"/>
              <w:jc w:val="left"/>
              <w:rPr>
                <w:sz w:val="6"/>
              </w:rPr>
            </w:pPr>
          </w:p>
          <w:p>
            <w:pPr>
              <w:pStyle w:val="TableParagraph"/>
              <w:jc w:val="left"/>
              <w:rPr>
                <w:sz w:val="6"/>
              </w:rPr>
            </w:pPr>
          </w:p>
          <w:p>
            <w:pPr>
              <w:pStyle w:val="TableParagraph"/>
              <w:jc w:val="left"/>
              <w:rPr>
                <w:sz w:val="6"/>
              </w:rPr>
            </w:pPr>
          </w:p>
          <w:p>
            <w:pPr>
              <w:pStyle w:val="TableParagraph"/>
              <w:jc w:val="left"/>
              <w:rPr>
                <w:sz w:val="6"/>
              </w:rPr>
            </w:pPr>
          </w:p>
          <w:p>
            <w:pPr>
              <w:pStyle w:val="TableParagraph"/>
              <w:spacing w:before="1"/>
              <w:jc w:val="left"/>
              <w:rPr>
                <w:sz w:val="7"/>
              </w:rPr>
            </w:pPr>
          </w:p>
          <w:p>
            <w:pPr>
              <w:pStyle w:val="TableParagraph"/>
              <w:spacing w:before="1"/>
              <w:ind w:left="75"/>
              <w:jc w:val="left"/>
              <w:rPr>
                <w:sz w:val="7"/>
              </w:rPr>
            </w:pPr>
            <w:r>
              <w:rPr>
                <w:sz w:val="7"/>
              </w:rPr>
              <w:t>Social</w:t>
            </w:r>
          </w:p>
        </w:tc>
        <w:tc>
          <w:tcPr>
            <w:tcW w:w="2160" w:type="dxa"/>
            <w:vMerge w:val="restart"/>
          </w:tcPr>
          <w:p>
            <w:pPr>
              <w:pStyle w:val="TableParagraph"/>
              <w:spacing w:line="259" w:lineRule="auto" w:before="1"/>
              <w:ind w:left="1212" w:right="601"/>
              <w:jc w:val="left"/>
              <w:rPr>
                <w:sz w:val="7"/>
              </w:rPr>
            </w:pPr>
            <w:r>
              <w:rPr>
                <w:sz w:val="7"/>
              </w:rPr>
              <w:t>Empleo Educación Salud</w:t>
            </w:r>
          </w:p>
          <w:p>
            <w:pPr>
              <w:pStyle w:val="TableParagraph"/>
              <w:tabs>
                <w:tab w:pos="1212" w:val="left" w:leader="none"/>
              </w:tabs>
              <w:spacing w:line="139" w:lineRule="auto" w:before="28"/>
              <w:ind w:left="1212" w:right="610" w:hanging="1169"/>
              <w:jc w:val="left"/>
              <w:rPr>
                <w:sz w:val="7"/>
              </w:rPr>
            </w:pPr>
            <w:r>
              <w:rPr>
                <w:sz w:val="7"/>
              </w:rPr>
              <w:t>Oportunidades</w:t>
            </w:r>
            <w:r>
              <w:rPr>
                <w:spacing w:val="-2"/>
                <w:sz w:val="7"/>
              </w:rPr>
              <w:t> </w:t>
            </w:r>
            <w:r>
              <w:rPr>
                <w:sz w:val="7"/>
              </w:rPr>
              <w:t>urbanas</w:t>
              <w:tab/>
            </w:r>
            <w:r>
              <w:rPr>
                <w:position w:val="4"/>
                <w:sz w:val="7"/>
              </w:rPr>
              <w:t>Seguridad </w:t>
            </w:r>
            <w:r>
              <w:rPr>
                <w:sz w:val="7"/>
              </w:rPr>
              <w:t>Abasto</w:t>
            </w:r>
          </w:p>
          <w:p>
            <w:pPr>
              <w:pStyle w:val="TableParagraph"/>
              <w:spacing w:line="259" w:lineRule="auto" w:before="13"/>
              <w:ind w:left="1212" w:right="574"/>
              <w:jc w:val="left"/>
              <w:rPr>
                <w:sz w:val="7"/>
              </w:rPr>
            </w:pPr>
            <w:r>
              <w:rPr>
                <w:sz w:val="7"/>
              </w:rPr>
              <w:t>Transporte Recreación</w:t>
            </w:r>
          </w:p>
          <w:p>
            <w:pPr>
              <w:pStyle w:val="TableParagraph"/>
              <w:spacing w:line="259" w:lineRule="auto"/>
              <w:ind w:left="1549" w:right="166" w:hanging="338"/>
              <w:jc w:val="left"/>
              <w:rPr>
                <w:sz w:val="7"/>
              </w:rPr>
            </w:pPr>
            <w:r>
              <w:rPr>
                <w:sz w:val="7"/>
              </w:rPr>
              <w:t>Servicios especializados Subtotal</w:t>
            </w:r>
          </w:p>
        </w:tc>
        <w:tc>
          <w:tcPr>
            <w:tcW w:w="759" w:type="dxa"/>
            <w:tcBorders>
              <w:right w:val="single" w:sz="2" w:space="0" w:color="000000"/>
            </w:tcBorders>
            <w:shd w:val="clear" w:color="auto" w:fill="BAF9F5"/>
          </w:tcPr>
          <w:p>
            <w:pPr>
              <w:pStyle w:val="TableParagraph"/>
              <w:spacing w:before="1"/>
              <w:ind w:left="75" w:right="72"/>
              <w:rPr>
                <w:sz w:val="7"/>
              </w:rPr>
            </w:pPr>
            <w:r>
              <w:rPr>
                <w:sz w:val="7"/>
              </w:rPr>
              <w:t>0.6</w:t>
            </w:r>
          </w:p>
        </w:tc>
        <w:tc>
          <w:tcPr>
            <w:tcW w:w="430" w:type="dxa"/>
            <w:tcBorders>
              <w:left w:val="single" w:sz="2" w:space="0" w:color="000000"/>
              <w:right w:val="single" w:sz="2" w:space="0" w:color="000000"/>
            </w:tcBorders>
            <w:shd w:val="clear" w:color="auto" w:fill="BAF9F5"/>
          </w:tcPr>
          <w:p>
            <w:pPr>
              <w:pStyle w:val="TableParagraph"/>
              <w:spacing w:before="1"/>
              <w:ind w:right="1"/>
              <w:rPr>
                <w:sz w:val="7"/>
              </w:rPr>
            </w:pPr>
            <w:r>
              <w:rPr>
                <w:sz w:val="7"/>
              </w:rPr>
              <w:t>0.6</w:t>
            </w:r>
          </w:p>
        </w:tc>
        <w:tc>
          <w:tcPr>
            <w:tcW w:w="657" w:type="dxa"/>
            <w:tcBorders>
              <w:left w:val="single" w:sz="2" w:space="0" w:color="000000"/>
              <w:right w:val="single" w:sz="2" w:space="0" w:color="000000"/>
            </w:tcBorders>
            <w:shd w:val="clear" w:color="auto" w:fill="BAF9F5"/>
          </w:tcPr>
          <w:p>
            <w:pPr>
              <w:pStyle w:val="TableParagraph"/>
              <w:spacing w:before="1"/>
              <w:ind w:left="4" w:right="1"/>
              <w:rPr>
                <w:sz w:val="7"/>
              </w:rPr>
            </w:pPr>
            <w:r>
              <w:rPr>
                <w:sz w:val="7"/>
              </w:rPr>
              <w:t>0.6</w:t>
            </w:r>
          </w:p>
        </w:tc>
        <w:tc>
          <w:tcPr>
            <w:tcW w:w="593" w:type="dxa"/>
            <w:tcBorders>
              <w:left w:val="single" w:sz="2" w:space="0" w:color="000000"/>
              <w:right w:val="single" w:sz="2" w:space="0" w:color="000000"/>
            </w:tcBorders>
            <w:shd w:val="clear" w:color="auto" w:fill="BAF9F5"/>
          </w:tcPr>
          <w:p>
            <w:pPr>
              <w:pStyle w:val="TableParagraph"/>
              <w:spacing w:before="1"/>
              <w:ind w:right="1"/>
              <w:rPr>
                <w:sz w:val="7"/>
              </w:rPr>
            </w:pPr>
            <w:r>
              <w:rPr>
                <w:sz w:val="7"/>
              </w:rPr>
              <w:t>0.6</w:t>
            </w:r>
          </w:p>
        </w:tc>
        <w:tc>
          <w:tcPr>
            <w:tcW w:w="791" w:type="dxa"/>
            <w:tcBorders>
              <w:left w:val="single" w:sz="2" w:space="0" w:color="000000"/>
              <w:right w:val="single" w:sz="2" w:space="0" w:color="000000"/>
            </w:tcBorders>
            <w:shd w:val="clear" w:color="auto" w:fill="BAF9F5"/>
          </w:tcPr>
          <w:p>
            <w:pPr>
              <w:pStyle w:val="TableParagraph"/>
              <w:spacing w:before="1"/>
              <w:ind w:right="1"/>
              <w:rPr>
                <w:sz w:val="7"/>
              </w:rPr>
            </w:pPr>
            <w:r>
              <w:rPr>
                <w:w w:val="99"/>
                <w:sz w:val="7"/>
              </w:rPr>
              <w:t>0</w:t>
            </w:r>
          </w:p>
        </w:tc>
        <w:tc>
          <w:tcPr>
            <w:tcW w:w="756" w:type="dxa"/>
            <w:tcBorders>
              <w:left w:val="single" w:sz="2" w:space="0" w:color="000000"/>
              <w:right w:val="single" w:sz="2" w:space="0" w:color="000000"/>
            </w:tcBorders>
            <w:shd w:val="clear" w:color="auto" w:fill="BAF9F5"/>
          </w:tcPr>
          <w:p>
            <w:pPr>
              <w:pStyle w:val="TableParagraph"/>
              <w:spacing w:before="1"/>
              <w:ind w:left="286" w:right="287"/>
              <w:rPr>
                <w:sz w:val="7"/>
              </w:rPr>
            </w:pPr>
            <w:r>
              <w:rPr>
                <w:sz w:val="7"/>
              </w:rPr>
              <w:t>0.6</w:t>
            </w:r>
          </w:p>
        </w:tc>
        <w:tc>
          <w:tcPr>
            <w:tcW w:w="802" w:type="dxa"/>
            <w:tcBorders>
              <w:left w:val="single" w:sz="2" w:space="0" w:color="000000"/>
              <w:right w:val="single" w:sz="2" w:space="0" w:color="000000"/>
            </w:tcBorders>
            <w:shd w:val="clear" w:color="auto" w:fill="BAF9F5"/>
          </w:tcPr>
          <w:p>
            <w:pPr>
              <w:pStyle w:val="TableParagraph"/>
              <w:spacing w:before="1"/>
              <w:ind w:right="1"/>
              <w:rPr>
                <w:sz w:val="7"/>
              </w:rPr>
            </w:pPr>
            <w:r>
              <w:rPr>
                <w:sz w:val="7"/>
              </w:rPr>
              <w:t>0.6</w:t>
            </w:r>
          </w:p>
        </w:tc>
        <w:tc>
          <w:tcPr>
            <w:tcW w:w="860" w:type="dxa"/>
            <w:tcBorders>
              <w:left w:val="single" w:sz="2" w:space="0" w:color="000000"/>
              <w:right w:val="single" w:sz="2" w:space="0" w:color="000000"/>
            </w:tcBorders>
            <w:shd w:val="clear" w:color="auto" w:fill="BAF9F5"/>
          </w:tcPr>
          <w:p>
            <w:pPr>
              <w:pStyle w:val="TableParagraph"/>
              <w:spacing w:before="1"/>
              <w:ind w:right="1"/>
              <w:rPr>
                <w:sz w:val="7"/>
              </w:rPr>
            </w:pPr>
            <w:r>
              <w:rPr>
                <w:sz w:val="7"/>
              </w:rPr>
              <w:t>0.6</w:t>
            </w:r>
          </w:p>
        </w:tc>
        <w:tc>
          <w:tcPr>
            <w:tcW w:w="700" w:type="dxa"/>
            <w:tcBorders>
              <w:left w:val="single" w:sz="2" w:space="0" w:color="000000"/>
              <w:right w:val="single" w:sz="5" w:space="0" w:color="000000"/>
            </w:tcBorders>
            <w:shd w:val="clear" w:color="auto" w:fill="BAF9F5"/>
          </w:tcPr>
          <w:p>
            <w:pPr>
              <w:pStyle w:val="TableParagraph"/>
              <w:spacing w:before="1"/>
              <w:ind w:left="9"/>
              <w:rPr>
                <w:sz w:val="7"/>
              </w:rPr>
            </w:pPr>
            <w:r>
              <w:rPr>
                <w:sz w:val="7"/>
              </w:rPr>
              <w:t>0.6</w:t>
            </w:r>
          </w:p>
        </w:tc>
      </w:tr>
      <w:tr>
        <w:trPr>
          <w:trHeight w:val="87" w:hRule="exact"/>
        </w:trPr>
        <w:tc>
          <w:tcPr>
            <w:tcW w:w="319" w:type="dxa"/>
            <w:vMerge/>
            <w:tcBorders>
              <w:left w:val="single" w:sz="2" w:space="0" w:color="000000"/>
            </w:tcBorders>
          </w:tcPr>
          <w:p>
            <w:pPr/>
          </w:p>
        </w:tc>
        <w:tc>
          <w:tcPr>
            <w:tcW w:w="2160" w:type="dxa"/>
            <w:vMerge/>
          </w:tcPr>
          <w:p>
            <w:pPr/>
          </w:p>
        </w:tc>
        <w:tc>
          <w:tcPr>
            <w:tcW w:w="759" w:type="dxa"/>
            <w:tcBorders>
              <w:right w:val="single" w:sz="2" w:space="0" w:color="000000"/>
            </w:tcBorders>
            <w:shd w:val="clear" w:color="auto" w:fill="BAF9F5"/>
          </w:tcPr>
          <w:p>
            <w:pPr>
              <w:pStyle w:val="TableParagraph"/>
              <w:spacing w:line="80" w:lineRule="exact"/>
              <w:ind w:left="75" w:right="72"/>
              <w:rPr>
                <w:sz w:val="7"/>
              </w:rPr>
            </w:pPr>
            <w:r>
              <w:rPr>
                <w:sz w:val="7"/>
              </w:rPr>
              <w:t>0.7</w:t>
            </w:r>
          </w:p>
        </w:tc>
        <w:tc>
          <w:tcPr>
            <w:tcW w:w="430" w:type="dxa"/>
            <w:tcBorders>
              <w:left w:val="single" w:sz="2" w:space="0" w:color="000000"/>
              <w:right w:val="single" w:sz="2" w:space="0" w:color="000000"/>
            </w:tcBorders>
            <w:shd w:val="clear" w:color="auto" w:fill="BAF9F5"/>
          </w:tcPr>
          <w:p>
            <w:pPr>
              <w:pStyle w:val="TableParagraph"/>
              <w:spacing w:line="80" w:lineRule="exact"/>
              <w:ind w:right="1"/>
              <w:rPr>
                <w:sz w:val="7"/>
              </w:rPr>
            </w:pPr>
            <w:r>
              <w:rPr>
                <w:sz w:val="7"/>
              </w:rPr>
              <w:t>0.7</w:t>
            </w:r>
          </w:p>
        </w:tc>
        <w:tc>
          <w:tcPr>
            <w:tcW w:w="657" w:type="dxa"/>
            <w:tcBorders>
              <w:left w:val="single" w:sz="2" w:space="0" w:color="000000"/>
              <w:right w:val="single" w:sz="2" w:space="0" w:color="000000"/>
            </w:tcBorders>
            <w:shd w:val="clear" w:color="auto" w:fill="BAF9F5"/>
          </w:tcPr>
          <w:p>
            <w:pPr>
              <w:pStyle w:val="TableParagraph"/>
              <w:spacing w:line="80" w:lineRule="exact"/>
              <w:ind w:left="4" w:right="1"/>
              <w:rPr>
                <w:sz w:val="7"/>
              </w:rPr>
            </w:pPr>
            <w:r>
              <w:rPr>
                <w:sz w:val="7"/>
              </w:rPr>
              <w:t>0.7</w:t>
            </w:r>
          </w:p>
        </w:tc>
        <w:tc>
          <w:tcPr>
            <w:tcW w:w="593" w:type="dxa"/>
            <w:tcBorders>
              <w:left w:val="single" w:sz="2" w:space="0" w:color="000000"/>
              <w:right w:val="single" w:sz="2" w:space="0" w:color="000000"/>
            </w:tcBorders>
            <w:shd w:val="clear" w:color="auto" w:fill="BAF9F5"/>
          </w:tcPr>
          <w:p>
            <w:pPr>
              <w:pStyle w:val="TableParagraph"/>
              <w:spacing w:line="80" w:lineRule="exact"/>
              <w:ind w:right="1"/>
              <w:rPr>
                <w:sz w:val="7"/>
              </w:rPr>
            </w:pPr>
            <w:r>
              <w:rPr>
                <w:w w:val="99"/>
                <w:sz w:val="7"/>
              </w:rPr>
              <w:t>1</w:t>
            </w:r>
          </w:p>
        </w:tc>
        <w:tc>
          <w:tcPr>
            <w:tcW w:w="791" w:type="dxa"/>
            <w:tcBorders>
              <w:left w:val="single" w:sz="2" w:space="0" w:color="000000"/>
              <w:right w:val="single" w:sz="2" w:space="0" w:color="000000"/>
            </w:tcBorders>
            <w:shd w:val="clear" w:color="auto" w:fill="BAF9F5"/>
          </w:tcPr>
          <w:p>
            <w:pPr>
              <w:pStyle w:val="TableParagraph"/>
              <w:spacing w:line="80" w:lineRule="exact"/>
              <w:ind w:left="303" w:right="304"/>
              <w:rPr>
                <w:sz w:val="7"/>
              </w:rPr>
            </w:pPr>
            <w:r>
              <w:rPr>
                <w:sz w:val="7"/>
              </w:rPr>
              <w:t>0.7</w:t>
            </w:r>
          </w:p>
        </w:tc>
        <w:tc>
          <w:tcPr>
            <w:tcW w:w="756" w:type="dxa"/>
            <w:tcBorders>
              <w:left w:val="single" w:sz="2" w:space="0" w:color="000000"/>
              <w:right w:val="single" w:sz="2" w:space="0" w:color="000000"/>
            </w:tcBorders>
            <w:shd w:val="clear" w:color="auto" w:fill="BAF9F5"/>
          </w:tcPr>
          <w:p>
            <w:pPr>
              <w:pStyle w:val="TableParagraph"/>
              <w:spacing w:line="80" w:lineRule="exact"/>
              <w:ind w:left="286" w:right="287"/>
              <w:rPr>
                <w:sz w:val="7"/>
              </w:rPr>
            </w:pPr>
            <w:r>
              <w:rPr>
                <w:sz w:val="7"/>
              </w:rPr>
              <w:t>0.7</w:t>
            </w:r>
          </w:p>
        </w:tc>
        <w:tc>
          <w:tcPr>
            <w:tcW w:w="802" w:type="dxa"/>
            <w:tcBorders>
              <w:left w:val="single" w:sz="2" w:space="0" w:color="000000"/>
              <w:right w:val="single" w:sz="2" w:space="0" w:color="000000"/>
            </w:tcBorders>
            <w:shd w:val="clear" w:color="auto" w:fill="BAF9F5"/>
          </w:tcPr>
          <w:p>
            <w:pPr>
              <w:pStyle w:val="TableParagraph"/>
              <w:spacing w:line="80" w:lineRule="exact"/>
              <w:ind w:right="1"/>
              <w:rPr>
                <w:sz w:val="7"/>
              </w:rPr>
            </w:pPr>
            <w:r>
              <w:rPr>
                <w:sz w:val="7"/>
              </w:rPr>
              <w:t>0.7</w:t>
            </w:r>
          </w:p>
        </w:tc>
        <w:tc>
          <w:tcPr>
            <w:tcW w:w="860" w:type="dxa"/>
            <w:tcBorders>
              <w:left w:val="single" w:sz="2" w:space="0" w:color="000000"/>
              <w:right w:val="single" w:sz="2" w:space="0" w:color="000000"/>
            </w:tcBorders>
            <w:shd w:val="clear" w:color="auto" w:fill="BAF9F5"/>
          </w:tcPr>
          <w:p>
            <w:pPr>
              <w:pStyle w:val="TableParagraph"/>
              <w:spacing w:line="80" w:lineRule="exact"/>
              <w:ind w:right="1"/>
              <w:rPr>
                <w:sz w:val="7"/>
              </w:rPr>
            </w:pPr>
            <w:r>
              <w:rPr>
                <w:w w:val="99"/>
                <w:sz w:val="7"/>
              </w:rPr>
              <w:t>1</w:t>
            </w:r>
          </w:p>
        </w:tc>
        <w:tc>
          <w:tcPr>
            <w:tcW w:w="700" w:type="dxa"/>
            <w:tcBorders>
              <w:left w:val="single" w:sz="2" w:space="0" w:color="000000"/>
              <w:right w:val="single" w:sz="5" w:space="0" w:color="000000"/>
            </w:tcBorders>
            <w:shd w:val="clear" w:color="auto" w:fill="BAF9F5"/>
          </w:tcPr>
          <w:p>
            <w:pPr>
              <w:pStyle w:val="TableParagraph"/>
              <w:spacing w:line="80" w:lineRule="exact"/>
              <w:ind w:left="9"/>
              <w:rPr>
                <w:sz w:val="7"/>
              </w:rPr>
            </w:pPr>
            <w:r>
              <w:rPr>
                <w:sz w:val="7"/>
              </w:rPr>
              <w:t>0.7</w:t>
            </w:r>
          </w:p>
        </w:tc>
      </w:tr>
      <w:tr>
        <w:trPr>
          <w:trHeight w:val="87" w:hRule="exact"/>
        </w:trPr>
        <w:tc>
          <w:tcPr>
            <w:tcW w:w="319" w:type="dxa"/>
            <w:vMerge/>
            <w:tcBorders>
              <w:left w:val="single" w:sz="2" w:space="0" w:color="000000"/>
            </w:tcBorders>
          </w:tcPr>
          <w:p>
            <w:pPr/>
          </w:p>
        </w:tc>
        <w:tc>
          <w:tcPr>
            <w:tcW w:w="2160" w:type="dxa"/>
            <w:vMerge/>
          </w:tcPr>
          <w:p>
            <w:pPr/>
          </w:p>
        </w:tc>
        <w:tc>
          <w:tcPr>
            <w:tcW w:w="759" w:type="dxa"/>
            <w:tcBorders>
              <w:right w:val="single" w:sz="2" w:space="0" w:color="000000"/>
            </w:tcBorders>
            <w:shd w:val="clear" w:color="auto" w:fill="BAF9F5"/>
          </w:tcPr>
          <w:p>
            <w:pPr>
              <w:pStyle w:val="TableParagraph"/>
              <w:spacing w:line="80" w:lineRule="exact"/>
              <w:ind w:left="75" w:right="72"/>
              <w:rPr>
                <w:sz w:val="7"/>
              </w:rPr>
            </w:pPr>
            <w:r>
              <w:rPr>
                <w:sz w:val="7"/>
              </w:rPr>
              <w:t>0.7</w:t>
            </w:r>
          </w:p>
        </w:tc>
        <w:tc>
          <w:tcPr>
            <w:tcW w:w="430" w:type="dxa"/>
            <w:tcBorders>
              <w:left w:val="single" w:sz="2" w:space="0" w:color="000000"/>
              <w:right w:val="single" w:sz="2" w:space="0" w:color="000000"/>
            </w:tcBorders>
            <w:shd w:val="clear" w:color="auto" w:fill="BAF9F5"/>
          </w:tcPr>
          <w:p>
            <w:pPr>
              <w:pStyle w:val="TableParagraph"/>
              <w:spacing w:line="80" w:lineRule="exact"/>
              <w:ind w:right="1"/>
              <w:rPr>
                <w:sz w:val="7"/>
              </w:rPr>
            </w:pPr>
            <w:r>
              <w:rPr>
                <w:sz w:val="7"/>
              </w:rPr>
              <w:t>0.7</w:t>
            </w:r>
          </w:p>
        </w:tc>
        <w:tc>
          <w:tcPr>
            <w:tcW w:w="657" w:type="dxa"/>
            <w:tcBorders>
              <w:left w:val="single" w:sz="2" w:space="0" w:color="000000"/>
              <w:right w:val="single" w:sz="2" w:space="0" w:color="000000"/>
            </w:tcBorders>
            <w:shd w:val="clear" w:color="auto" w:fill="BAF9F5"/>
          </w:tcPr>
          <w:p>
            <w:pPr>
              <w:pStyle w:val="TableParagraph"/>
              <w:spacing w:line="80" w:lineRule="exact"/>
              <w:ind w:left="4" w:right="1"/>
              <w:rPr>
                <w:sz w:val="7"/>
              </w:rPr>
            </w:pPr>
            <w:r>
              <w:rPr>
                <w:sz w:val="7"/>
              </w:rPr>
              <w:t>0.7</w:t>
            </w:r>
          </w:p>
        </w:tc>
        <w:tc>
          <w:tcPr>
            <w:tcW w:w="593" w:type="dxa"/>
            <w:tcBorders>
              <w:left w:val="single" w:sz="2" w:space="0" w:color="000000"/>
              <w:right w:val="single" w:sz="2" w:space="0" w:color="000000"/>
            </w:tcBorders>
            <w:shd w:val="clear" w:color="auto" w:fill="BAF9F5"/>
          </w:tcPr>
          <w:p>
            <w:pPr>
              <w:pStyle w:val="TableParagraph"/>
              <w:spacing w:line="80" w:lineRule="exact"/>
              <w:ind w:right="1"/>
              <w:rPr>
                <w:sz w:val="7"/>
              </w:rPr>
            </w:pPr>
            <w:r>
              <w:rPr>
                <w:sz w:val="7"/>
              </w:rPr>
              <w:t>0.5</w:t>
            </w:r>
          </w:p>
        </w:tc>
        <w:tc>
          <w:tcPr>
            <w:tcW w:w="791" w:type="dxa"/>
            <w:tcBorders>
              <w:left w:val="single" w:sz="2" w:space="0" w:color="000000"/>
              <w:right w:val="single" w:sz="2" w:space="0" w:color="000000"/>
            </w:tcBorders>
            <w:shd w:val="clear" w:color="auto" w:fill="BAF9F5"/>
          </w:tcPr>
          <w:p>
            <w:pPr>
              <w:pStyle w:val="TableParagraph"/>
              <w:spacing w:line="80" w:lineRule="exact"/>
              <w:ind w:left="303" w:right="304"/>
              <w:rPr>
                <w:sz w:val="7"/>
              </w:rPr>
            </w:pPr>
            <w:r>
              <w:rPr>
                <w:sz w:val="7"/>
              </w:rPr>
              <w:t>0.7</w:t>
            </w:r>
          </w:p>
        </w:tc>
        <w:tc>
          <w:tcPr>
            <w:tcW w:w="756" w:type="dxa"/>
            <w:tcBorders>
              <w:left w:val="single" w:sz="2" w:space="0" w:color="000000"/>
              <w:right w:val="single" w:sz="2" w:space="0" w:color="000000"/>
            </w:tcBorders>
            <w:shd w:val="clear" w:color="auto" w:fill="BAF9F5"/>
          </w:tcPr>
          <w:p>
            <w:pPr>
              <w:pStyle w:val="TableParagraph"/>
              <w:spacing w:line="80" w:lineRule="exact"/>
              <w:ind w:left="286" w:right="287"/>
              <w:rPr>
                <w:sz w:val="7"/>
              </w:rPr>
            </w:pPr>
            <w:r>
              <w:rPr>
                <w:sz w:val="7"/>
              </w:rPr>
              <w:t>0.7</w:t>
            </w:r>
          </w:p>
        </w:tc>
        <w:tc>
          <w:tcPr>
            <w:tcW w:w="802" w:type="dxa"/>
            <w:tcBorders>
              <w:left w:val="single" w:sz="2" w:space="0" w:color="000000"/>
              <w:right w:val="single" w:sz="2" w:space="0" w:color="000000"/>
            </w:tcBorders>
            <w:shd w:val="clear" w:color="auto" w:fill="BAF9F5"/>
          </w:tcPr>
          <w:p>
            <w:pPr>
              <w:pStyle w:val="TableParagraph"/>
              <w:spacing w:line="80" w:lineRule="exact"/>
              <w:ind w:right="1"/>
              <w:rPr>
                <w:sz w:val="7"/>
              </w:rPr>
            </w:pPr>
            <w:r>
              <w:rPr>
                <w:sz w:val="7"/>
              </w:rPr>
              <w:t>0.7</w:t>
            </w:r>
          </w:p>
        </w:tc>
        <w:tc>
          <w:tcPr>
            <w:tcW w:w="860" w:type="dxa"/>
            <w:tcBorders>
              <w:left w:val="single" w:sz="2" w:space="0" w:color="000000"/>
              <w:right w:val="single" w:sz="2" w:space="0" w:color="000000"/>
            </w:tcBorders>
            <w:shd w:val="clear" w:color="auto" w:fill="BAF9F5"/>
          </w:tcPr>
          <w:p>
            <w:pPr>
              <w:pStyle w:val="TableParagraph"/>
              <w:spacing w:line="80" w:lineRule="exact"/>
              <w:ind w:right="1"/>
              <w:rPr>
                <w:sz w:val="7"/>
              </w:rPr>
            </w:pPr>
            <w:r>
              <w:rPr>
                <w:sz w:val="7"/>
              </w:rPr>
              <w:t>0.7</w:t>
            </w:r>
          </w:p>
        </w:tc>
        <w:tc>
          <w:tcPr>
            <w:tcW w:w="700" w:type="dxa"/>
            <w:tcBorders>
              <w:left w:val="single" w:sz="2" w:space="0" w:color="000000"/>
              <w:right w:val="single" w:sz="5" w:space="0" w:color="000000"/>
            </w:tcBorders>
            <w:shd w:val="clear" w:color="auto" w:fill="BAF9F5"/>
          </w:tcPr>
          <w:p>
            <w:pPr>
              <w:pStyle w:val="TableParagraph"/>
              <w:spacing w:line="80" w:lineRule="exact"/>
              <w:ind w:left="9"/>
              <w:rPr>
                <w:sz w:val="7"/>
              </w:rPr>
            </w:pPr>
            <w:r>
              <w:rPr>
                <w:sz w:val="7"/>
              </w:rPr>
              <w:t>0.7</w:t>
            </w:r>
          </w:p>
        </w:tc>
      </w:tr>
      <w:tr>
        <w:trPr>
          <w:trHeight w:val="87" w:hRule="exact"/>
        </w:trPr>
        <w:tc>
          <w:tcPr>
            <w:tcW w:w="319" w:type="dxa"/>
            <w:vMerge/>
            <w:tcBorders>
              <w:left w:val="single" w:sz="2" w:space="0" w:color="000000"/>
            </w:tcBorders>
          </w:tcPr>
          <w:p>
            <w:pPr/>
          </w:p>
        </w:tc>
        <w:tc>
          <w:tcPr>
            <w:tcW w:w="2160" w:type="dxa"/>
            <w:vMerge/>
          </w:tcPr>
          <w:p>
            <w:pPr/>
          </w:p>
        </w:tc>
        <w:tc>
          <w:tcPr>
            <w:tcW w:w="759" w:type="dxa"/>
            <w:tcBorders>
              <w:right w:val="single" w:sz="2" w:space="0" w:color="000000"/>
            </w:tcBorders>
            <w:shd w:val="clear" w:color="auto" w:fill="BAF9F5"/>
          </w:tcPr>
          <w:p>
            <w:pPr>
              <w:pStyle w:val="TableParagraph"/>
              <w:spacing w:line="80" w:lineRule="exact"/>
              <w:ind w:left="75" w:right="72"/>
              <w:rPr>
                <w:sz w:val="7"/>
              </w:rPr>
            </w:pPr>
            <w:r>
              <w:rPr>
                <w:sz w:val="7"/>
              </w:rPr>
              <w:t>0.9</w:t>
            </w:r>
          </w:p>
        </w:tc>
        <w:tc>
          <w:tcPr>
            <w:tcW w:w="430" w:type="dxa"/>
            <w:tcBorders>
              <w:left w:val="single" w:sz="2" w:space="0" w:color="000000"/>
              <w:right w:val="single" w:sz="2" w:space="0" w:color="000000"/>
            </w:tcBorders>
            <w:shd w:val="clear" w:color="auto" w:fill="BAF9F5"/>
          </w:tcPr>
          <w:p>
            <w:pPr>
              <w:pStyle w:val="TableParagraph"/>
              <w:spacing w:line="80" w:lineRule="exact"/>
              <w:ind w:right="1"/>
              <w:rPr>
                <w:sz w:val="7"/>
              </w:rPr>
            </w:pPr>
            <w:r>
              <w:rPr>
                <w:sz w:val="7"/>
              </w:rPr>
              <w:t>0.9</w:t>
            </w:r>
          </w:p>
        </w:tc>
        <w:tc>
          <w:tcPr>
            <w:tcW w:w="657" w:type="dxa"/>
            <w:tcBorders>
              <w:left w:val="single" w:sz="2" w:space="0" w:color="000000"/>
              <w:right w:val="single" w:sz="2" w:space="0" w:color="000000"/>
            </w:tcBorders>
            <w:shd w:val="clear" w:color="auto" w:fill="BAF9F5"/>
          </w:tcPr>
          <w:p>
            <w:pPr>
              <w:pStyle w:val="TableParagraph"/>
              <w:spacing w:line="80" w:lineRule="exact"/>
              <w:ind w:left="4" w:right="1"/>
              <w:rPr>
                <w:sz w:val="7"/>
              </w:rPr>
            </w:pPr>
            <w:r>
              <w:rPr>
                <w:sz w:val="7"/>
              </w:rPr>
              <w:t>0.9</w:t>
            </w:r>
          </w:p>
        </w:tc>
        <w:tc>
          <w:tcPr>
            <w:tcW w:w="593" w:type="dxa"/>
            <w:tcBorders>
              <w:left w:val="single" w:sz="2" w:space="0" w:color="000000"/>
              <w:right w:val="single" w:sz="2" w:space="0" w:color="000000"/>
            </w:tcBorders>
            <w:shd w:val="clear" w:color="auto" w:fill="BAF9F5"/>
          </w:tcPr>
          <w:p>
            <w:pPr>
              <w:pStyle w:val="TableParagraph"/>
              <w:spacing w:line="80" w:lineRule="exact"/>
              <w:ind w:right="1"/>
              <w:rPr>
                <w:sz w:val="7"/>
              </w:rPr>
            </w:pPr>
            <w:r>
              <w:rPr>
                <w:sz w:val="7"/>
              </w:rPr>
              <w:t>0.7</w:t>
            </w:r>
          </w:p>
        </w:tc>
        <w:tc>
          <w:tcPr>
            <w:tcW w:w="791" w:type="dxa"/>
            <w:tcBorders>
              <w:left w:val="single" w:sz="2" w:space="0" w:color="000000"/>
              <w:right w:val="single" w:sz="2" w:space="0" w:color="000000"/>
            </w:tcBorders>
            <w:shd w:val="clear" w:color="auto" w:fill="BAF9F5"/>
          </w:tcPr>
          <w:p>
            <w:pPr>
              <w:pStyle w:val="TableParagraph"/>
              <w:spacing w:line="80" w:lineRule="exact"/>
              <w:ind w:left="303" w:right="304"/>
              <w:rPr>
                <w:sz w:val="7"/>
              </w:rPr>
            </w:pPr>
            <w:r>
              <w:rPr>
                <w:sz w:val="7"/>
              </w:rPr>
              <w:t>0.9</w:t>
            </w:r>
          </w:p>
        </w:tc>
        <w:tc>
          <w:tcPr>
            <w:tcW w:w="756" w:type="dxa"/>
            <w:tcBorders>
              <w:left w:val="single" w:sz="2" w:space="0" w:color="000000"/>
              <w:right w:val="single" w:sz="2" w:space="0" w:color="000000"/>
            </w:tcBorders>
            <w:shd w:val="clear" w:color="auto" w:fill="BAF9F5"/>
          </w:tcPr>
          <w:p>
            <w:pPr>
              <w:pStyle w:val="TableParagraph"/>
              <w:spacing w:line="80" w:lineRule="exact"/>
              <w:ind w:left="286" w:right="287"/>
              <w:rPr>
                <w:sz w:val="7"/>
              </w:rPr>
            </w:pPr>
            <w:r>
              <w:rPr>
                <w:sz w:val="7"/>
              </w:rPr>
              <w:t>0.9</w:t>
            </w:r>
          </w:p>
        </w:tc>
        <w:tc>
          <w:tcPr>
            <w:tcW w:w="802" w:type="dxa"/>
            <w:tcBorders>
              <w:left w:val="single" w:sz="2" w:space="0" w:color="000000"/>
              <w:right w:val="single" w:sz="2" w:space="0" w:color="000000"/>
            </w:tcBorders>
            <w:shd w:val="clear" w:color="auto" w:fill="BAF9F5"/>
          </w:tcPr>
          <w:p>
            <w:pPr>
              <w:pStyle w:val="TableParagraph"/>
              <w:spacing w:line="80" w:lineRule="exact"/>
              <w:ind w:right="1"/>
              <w:rPr>
                <w:sz w:val="7"/>
              </w:rPr>
            </w:pPr>
            <w:r>
              <w:rPr>
                <w:sz w:val="7"/>
              </w:rPr>
              <w:t>0.9</w:t>
            </w:r>
          </w:p>
        </w:tc>
        <w:tc>
          <w:tcPr>
            <w:tcW w:w="860" w:type="dxa"/>
            <w:tcBorders>
              <w:left w:val="single" w:sz="2" w:space="0" w:color="000000"/>
              <w:right w:val="single" w:sz="2" w:space="0" w:color="000000"/>
            </w:tcBorders>
            <w:shd w:val="clear" w:color="auto" w:fill="BAF9F5"/>
          </w:tcPr>
          <w:p>
            <w:pPr>
              <w:pStyle w:val="TableParagraph"/>
              <w:spacing w:line="80" w:lineRule="exact"/>
              <w:ind w:right="1"/>
              <w:rPr>
                <w:sz w:val="7"/>
              </w:rPr>
            </w:pPr>
            <w:r>
              <w:rPr>
                <w:sz w:val="7"/>
              </w:rPr>
              <w:t>0.9</w:t>
            </w:r>
          </w:p>
        </w:tc>
        <w:tc>
          <w:tcPr>
            <w:tcW w:w="700" w:type="dxa"/>
            <w:tcBorders>
              <w:left w:val="single" w:sz="2" w:space="0" w:color="000000"/>
              <w:right w:val="single" w:sz="5" w:space="0" w:color="000000"/>
            </w:tcBorders>
            <w:shd w:val="clear" w:color="auto" w:fill="BAF9F5"/>
          </w:tcPr>
          <w:p>
            <w:pPr>
              <w:pStyle w:val="TableParagraph"/>
              <w:spacing w:line="80" w:lineRule="exact"/>
              <w:ind w:left="9"/>
              <w:rPr>
                <w:sz w:val="7"/>
              </w:rPr>
            </w:pPr>
            <w:r>
              <w:rPr>
                <w:sz w:val="7"/>
              </w:rPr>
              <w:t>0.9</w:t>
            </w:r>
          </w:p>
        </w:tc>
      </w:tr>
      <w:tr>
        <w:trPr>
          <w:trHeight w:val="87" w:hRule="exact"/>
        </w:trPr>
        <w:tc>
          <w:tcPr>
            <w:tcW w:w="319" w:type="dxa"/>
            <w:vMerge/>
            <w:tcBorders>
              <w:left w:val="single" w:sz="2" w:space="0" w:color="000000"/>
            </w:tcBorders>
          </w:tcPr>
          <w:p>
            <w:pPr/>
          </w:p>
        </w:tc>
        <w:tc>
          <w:tcPr>
            <w:tcW w:w="2160" w:type="dxa"/>
            <w:vMerge/>
          </w:tcPr>
          <w:p>
            <w:pPr/>
          </w:p>
        </w:tc>
        <w:tc>
          <w:tcPr>
            <w:tcW w:w="759" w:type="dxa"/>
            <w:tcBorders>
              <w:right w:val="single" w:sz="2" w:space="0" w:color="000000"/>
            </w:tcBorders>
            <w:shd w:val="clear" w:color="auto" w:fill="BAF9F5"/>
          </w:tcPr>
          <w:p>
            <w:pPr>
              <w:pStyle w:val="TableParagraph"/>
              <w:spacing w:line="80" w:lineRule="exact"/>
              <w:ind w:left="75" w:right="72"/>
              <w:rPr>
                <w:sz w:val="7"/>
              </w:rPr>
            </w:pPr>
            <w:r>
              <w:rPr>
                <w:sz w:val="7"/>
              </w:rPr>
              <w:t>0.9</w:t>
            </w:r>
          </w:p>
        </w:tc>
        <w:tc>
          <w:tcPr>
            <w:tcW w:w="430" w:type="dxa"/>
            <w:tcBorders>
              <w:left w:val="single" w:sz="2" w:space="0" w:color="000000"/>
              <w:right w:val="single" w:sz="2" w:space="0" w:color="000000"/>
            </w:tcBorders>
            <w:shd w:val="clear" w:color="auto" w:fill="BAF9F5"/>
          </w:tcPr>
          <w:p>
            <w:pPr>
              <w:pStyle w:val="TableParagraph"/>
              <w:spacing w:line="80" w:lineRule="exact"/>
              <w:ind w:right="1"/>
              <w:rPr>
                <w:sz w:val="7"/>
              </w:rPr>
            </w:pPr>
            <w:r>
              <w:rPr>
                <w:sz w:val="7"/>
              </w:rPr>
              <w:t>0.9</w:t>
            </w:r>
          </w:p>
        </w:tc>
        <w:tc>
          <w:tcPr>
            <w:tcW w:w="657" w:type="dxa"/>
            <w:tcBorders>
              <w:left w:val="single" w:sz="2" w:space="0" w:color="000000"/>
              <w:right w:val="single" w:sz="2" w:space="0" w:color="000000"/>
            </w:tcBorders>
            <w:shd w:val="clear" w:color="auto" w:fill="BAF9F5"/>
          </w:tcPr>
          <w:p>
            <w:pPr>
              <w:pStyle w:val="TableParagraph"/>
              <w:spacing w:line="80" w:lineRule="exact"/>
              <w:ind w:left="4" w:right="1"/>
              <w:rPr>
                <w:sz w:val="7"/>
              </w:rPr>
            </w:pPr>
            <w:r>
              <w:rPr>
                <w:sz w:val="7"/>
              </w:rPr>
              <w:t>0.9</w:t>
            </w:r>
          </w:p>
        </w:tc>
        <w:tc>
          <w:tcPr>
            <w:tcW w:w="593" w:type="dxa"/>
            <w:tcBorders>
              <w:left w:val="single" w:sz="2" w:space="0" w:color="000000"/>
              <w:right w:val="single" w:sz="2" w:space="0" w:color="000000"/>
            </w:tcBorders>
            <w:shd w:val="clear" w:color="auto" w:fill="BAF9F5"/>
          </w:tcPr>
          <w:p>
            <w:pPr>
              <w:pStyle w:val="TableParagraph"/>
              <w:spacing w:line="80" w:lineRule="exact"/>
              <w:ind w:right="1"/>
              <w:rPr>
                <w:sz w:val="7"/>
              </w:rPr>
            </w:pPr>
            <w:r>
              <w:rPr>
                <w:sz w:val="7"/>
              </w:rPr>
              <w:t>0.9</w:t>
            </w:r>
          </w:p>
        </w:tc>
        <w:tc>
          <w:tcPr>
            <w:tcW w:w="791" w:type="dxa"/>
            <w:tcBorders>
              <w:left w:val="single" w:sz="2" w:space="0" w:color="000000"/>
              <w:right w:val="single" w:sz="2" w:space="0" w:color="000000"/>
            </w:tcBorders>
            <w:shd w:val="clear" w:color="auto" w:fill="BAF9F5"/>
          </w:tcPr>
          <w:p>
            <w:pPr>
              <w:pStyle w:val="TableParagraph"/>
              <w:spacing w:line="80" w:lineRule="exact"/>
              <w:ind w:left="303" w:right="304"/>
              <w:rPr>
                <w:sz w:val="7"/>
              </w:rPr>
            </w:pPr>
            <w:r>
              <w:rPr>
                <w:sz w:val="7"/>
              </w:rPr>
              <w:t>0.9</w:t>
            </w:r>
          </w:p>
        </w:tc>
        <w:tc>
          <w:tcPr>
            <w:tcW w:w="756" w:type="dxa"/>
            <w:tcBorders>
              <w:left w:val="single" w:sz="2" w:space="0" w:color="000000"/>
              <w:right w:val="single" w:sz="2" w:space="0" w:color="000000"/>
            </w:tcBorders>
            <w:shd w:val="clear" w:color="auto" w:fill="BAF9F5"/>
          </w:tcPr>
          <w:p>
            <w:pPr>
              <w:pStyle w:val="TableParagraph"/>
              <w:spacing w:line="80" w:lineRule="exact"/>
              <w:ind w:left="286" w:right="287"/>
              <w:rPr>
                <w:sz w:val="7"/>
              </w:rPr>
            </w:pPr>
            <w:r>
              <w:rPr>
                <w:sz w:val="7"/>
              </w:rPr>
              <w:t>0.9</w:t>
            </w:r>
          </w:p>
        </w:tc>
        <w:tc>
          <w:tcPr>
            <w:tcW w:w="802" w:type="dxa"/>
            <w:tcBorders>
              <w:left w:val="single" w:sz="2" w:space="0" w:color="000000"/>
              <w:right w:val="single" w:sz="2" w:space="0" w:color="000000"/>
            </w:tcBorders>
            <w:shd w:val="clear" w:color="auto" w:fill="BAF9F5"/>
          </w:tcPr>
          <w:p>
            <w:pPr>
              <w:pStyle w:val="TableParagraph"/>
              <w:spacing w:line="80" w:lineRule="exact"/>
              <w:ind w:right="1"/>
              <w:rPr>
                <w:sz w:val="7"/>
              </w:rPr>
            </w:pPr>
            <w:r>
              <w:rPr>
                <w:sz w:val="7"/>
              </w:rPr>
              <w:t>0.9</w:t>
            </w:r>
          </w:p>
        </w:tc>
        <w:tc>
          <w:tcPr>
            <w:tcW w:w="860" w:type="dxa"/>
            <w:tcBorders>
              <w:left w:val="single" w:sz="2" w:space="0" w:color="000000"/>
              <w:right w:val="single" w:sz="2" w:space="0" w:color="000000"/>
            </w:tcBorders>
            <w:shd w:val="clear" w:color="auto" w:fill="BAF9F5"/>
          </w:tcPr>
          <w:p>
            <w:pPr>
              <w:pStyle w:val="TableParagraph"/>
              <w:spacing w:line="80" w:lineRule="exact"/>
              <w:ind w:right="1"/>
              <w:rPr>
                <w:sz w:val="7"/>
              </w:rPr>
            </w:pPr>
            <w:r>
              <w:rPr>
                <w:sz w:val="7"/>
              </w:rPr>
              <w:t>0.9</w:t>
            </w:r>
          </w:p>
        </w:tc>
        <w:tc>
          <w:tcPr>
            <w:tcW w:w="700" w:type="dxa"/>
            <w:tcBorders>
              <w:left w:val="single" w:sz="2" w:space="0" w:color="000000"/>
              <w:right w:val="single" w:sz="5" w:space="0" w:color="000000"/>
            </w:tcBorders>
            <w:shd w:val="clear" w:color="auto" w:fill="BAF9F5"/>
          </w:tcPr>
          <w:p>
            <w:pPr>
              <w:pStyle w:val="TableParagraph"/>
              <w:spacing w:line="80" w:lineRule="exact"/>
              <w:ind w:left="9"/>
              <w:rPr>
                <w:sz w:val="7"/>
              </w:rPr>
            </w:pPr>
            <w:r>
              <w:rPr>
                <w:sz w:val="7"/>
              </w:rPr>
              <w:t>0.9</w:t>
            </w:r>
          </w:p>
        </w:tc>
      </w:tr>
      <w:tr>
        <w:trPr>
          <w:trHeight w:val="87" w:hRule="exact"/>
        </w:trPr>
        <w:tc>
          <w:tcPr>
            <w:tcW w:w="319" w:type="dxa"/>
            <w:vMerge/>
            <w:tcBorders>
              <w:left w:val="single" w:sz="2" w:space="0" w:color="000000"/>
            </w:tcBorders>
          </w:tcPr>
          <w:p>
            <w:pPr/>
          </w:p>
        </w:tc>
        <w:tc>
          <w:tcPr>
            <w:tcW w:w="2160" w:type="dxa"/>
            <w:vMerge/>
          </w:tcPr>
          <w:p>
            <w:pPr/>
          </w:p>
        </w:tc>
        <w:tc>
          <w:tcPr>
            <w:tcW w:w="759" w:type="dxa"/>
            <w:tcBorders>
              <w:right w:val="single" w:sz="2" w:space="0" w:color="000000"/>
            </w:tcBorders>
            <w:shd w:val="clear" w:color="auto" w:fill="BAF9F5"/>
          </w:tcPr>
          <w:p>
            <w:pPr>
              <w:pStyle w:val="TableParagraph"/>
              <w:spacing w:line="80" w:lineRule="exact"/>
              <w:ind w:left="75" w:right="72"/>
              <w:rPr>
                <w:sz w:val="7"/>
              </w:rPr>
            </w:pPr>
            <w:r>
              <w:rPr>
                <w:sz w:val="7"/>
              </w:rPr>
              <w:t>0.3</w:t>
            </w:r>
          </w:p>
        </w:tc>
        <w:tc>
          <w:tcPr>
            <w:tcW w:w="430" w:type="dxa"/>
            <w:tcBorders>
              <w:left w:val="single" w:sz="2" w:space="0" w:color="000000"/>
              <w:right w:val="single" w:sz="2" w:space="0" w:color="000000"/>
            </w:tcBorders>
            <w:shd w:val="clear" w:color="auto" w:fill="BAF9F5"/>
          </w:tcPr>
          <w:p>
            <w:pPr>
              <w:pStyle w:val="TableParagraph"/>
              <w:spacing w:line="80" w:lineRule="exact"/>
              <w:ind w:right="1"/>
              <w:rPr>
                <w:sz w:val="7"/>
              </w:rPr>
            </w:pPr>
            <w:r>
              <w:rPr>
                <w:w w:val="99"/>
                <w:sz w:val="7"/>
              </w:rPr>
              <w:t>1</w:t>
            </w:r>
          </w:p>
        </w:tc>
        <w:tc>
          <w:tcPr>
            <w:tcW w:w="657" w:type="dxa"/>
            <w:tcBorders>
              <w:left w:val="single" w:sz="2" w:space="0" w:color="000000"/>
              <w:right w:val="single" w:sz="2" w:space="0" w:color="000000"/>
            </w:tcBorders>
            <w:shd w:val="clear" w:color="auto" w:fill="BAF9F5"/>
          </w:tcPr>
          <w:p>
            <w:pPr>
              <w:pStyle w:val="TableParagraph"/>
              <w:spacing w:line="80" w:lineRule="exact"/>
              <w:ind w:left="4" w:right="1"/>
              <w:rPr>
                <w:sz w:val="7"/>
              </w:rPr>
            </w:pPr>
            <w:r>
              <w:rPr>
                <w:sz w:val="7"/>
              </w:rPr>
              <w:t>0.3</w:t>
            </w:r>
          </w:p>
        </w:tc>
        <w:tc>
          <w:tcPr>
            <w:tcW w:w="593" w:type="dxa"/>
            <w:tcBorders>
              <w:left w:val="single" w:sz="2" w:space="0" w:color="000000"/>
              <w:right w:val="single" w:sz="2" w:space="0" w:color="000000"/>
            </w:tcBorders>
            <w:shd w:val="clear" w:color="auto" w:fill="BAF9F5"/>
          </w:tcPr>
          <w:p>
            <w:pPr>
              <w:pStyle w:val="TableParagraph"/>
              <w:spacing w:line="80" w:lineRule="exact"/>
              <w:ind w:right="1"/>
              <w:rPr>
                <w:sz w:val="7"/>
              </w:rPr>
            </w:pPr>
            <w:r>
              <w:rPr>
                <w:w w:val="99"/>
                <w:sz w:val="7"/>
              </w:rPr>
              <w:t>1</w:t>
            </w:r>
          </w:p>
        </w:tc>
        <w:tc>
          <w:tcPr>
            <w:tcW w:w="791" w:type="dxa"/>
            <w:tcBorders>
              <w:left w:val="single" w:sz="2" w:space="0" w:color="000000"/>
              <w:right w:val="single" w:sz="2" w:space="0" w:color="000000"/>
            </w:tcBorders>
            <w:shd w:val="clear" w:color="auto" w:fill="BAF9F5"/>
          </w:tcPr>
          <w:p>
            <w:pPr>
              <w:pStyle w:val="TableParagraph"/>
              <w:spacing w:line="80" w:lineRule="exact"/>
              <w:ind w:left="303" w:right="304"/>
              <w:rPr>
                <w:sz w:val="7"/>
              </w:rPr>
            </w:pPr>
            <w:r>
              <w:rPr>
                <w:sz w:val="7"/>
              </w:rPr>
              <w:t>0.3</w:t>
            </w:r>
          </w:p>
        </w:tc>
        <w:tc>
          <w:tcPr>
            <w:tcW w:w="756" w:type="dxa"/>
            <w:tcBorders>
              <w:left w:val="single" w:sz="2" w:space="0" w:color="000000"/>
              <w:right w:val="single" w:sz="2" w:space="0" w:color="000000"/>
            </w:tcBorders>
            <w:shd w:val="clear" w:color="auto" w:fill="BAF9F5"/>
          </w:tcPr>
          <w:p>
            <w:pPr>
              <w:pStyle w:val="TableParagraph"/>
              <w:spacing w:line="80" w:lineRule="exact"/>
              <w:ind w:left="286" w:right="287"/>
              <w:rPr>
                <w:sz w:val="7"/>
              </w:rPr>
            </w:pPr>
            <w:r>
              <w:rPr>
                <w:sz w:val="7"/>
              </w:rPr>
              <w:t>0.6</w:t>
            </w:r>
          </w:p>
        </w:tc>
        <w:tc>
          <w:tcPr>
            <w:tcW w:w="802" w:type="dxa"/>
            <w:tcBorders>
              <w:left w:val="single" w:sz="2" w:space="0" w:color="000000"/>
              <w:right w:val="single" w:sz="2" w:space="0" w:color="000000"/>
            </w:tcBorders>
            <w:shd w:val="clear" w:color="auto" w:fill="BAF9F5"/>
          </w:tcPr>
          <w:p>
            <w:pPr>
              <w:pStyle w:val="TableParagraph"/>
              <w:spacing w:line="80" w:lineRule="exact"/>
              <w:ind w:right="1"/>
              <w:rPr>
                <w:sz w:val="7"/>
              </w:rPr>
            </w:pPr>
            <w:r>
              <w:rPr>
                <w:sz w:val="7"/>
              </w:rPr>
              <w:t>0.6</w:t>
            </w:r>
          </w:p>
        </w:tc>
        <w:tc>
          <w:tcPr>
            <w:tcW w:w="860" w:type="dxa"/>
            <w:tcBorders>
              <w:left w:val="single" w:sz="2" w:space="0" w:color="000000"/>
              <w:right w:val="single" w:sz="2" w:space="0" w:color="000000"/>
            </w:tcBorders>
            <w:shd w:val="clear" w:color="auto" w:fill="BAF9F5"/>
          </w:tcPr>
          <w:p>
            <w:pPr>
              <w:pStyle w:val="TableParagraph"/>
              <w:spacing w:line="80" w:lineRule="exact"/>
              <w:ind w:right="1"/>
              <w:rPr>
                <w:sz w:val="7"/>
              </w:rPr>
            </w:pPr>
            <w:r>
              <w:rPr>
                <w:sz w:val="7"/>
              </w:rPr>
              <w:t>0.3</w:t>
            </w:r>
          </w:p>
        </w:tc>
        <w:tc>
          <w:tcPr>
            <w:tcW w:w="700" w:type="dxa"/>
            <w:tcBorders>
              <w:left w:val="single" w:sz="2" w:space="0" w:color="000000"/>
              <w:right w:val="single" w:sz="5" w:space="0" w:color="000000"/>
            </w:tcBorders>
            <w:shd w:val="clear" w:color="auto" w:fill="BAF9F5"/>
          </w:tcPr>
          <w:p>
            <w:pPr>
              <w:pStyle w:val="TableParagraph"/>
              <w:spacing w:line="80" w:lineRule="exact"/>
              <w:ind w:left="9"/>
              <w:rPr>
                <w:sz w:val="7"/>
              </w:rPr>
            </w:pPr>
            <w:r>
              <w:rPr>
                <w:sz w:val="7"/>
              </w:rPr>
              <w:t>0.6</w:t>
            </w:r>
          </w:p>
        </w:tc>
      </w:tr>
      <w:tr>
        <w:trPr>
          <w:trHeight w:val="87" w:hRule="exact"/>
        </w:trPr>
        <w:tc>
          <w:tcPr>
            <w:tcW w:w="319" w:type="dxa"/>
            <w:vMerge/>
            <w:tcBorders>
              <w:left w:val="single" w:sz="2" w:space="0" w:color="000000"/>
            </w:tcBorders>
          </w:tcPr>
          <w:p>
            <w:pPr/>
          </w:p>
        </w:tc>
        <w:tc>
          <w:tcPr>
            <w:tcW w:w="2160" w:type="dxa"/>
            <w:vMerge/>
          </w:tcPr>
          <w:p>
            <w:pPr/>
          </w:p>
        </w:tc>
        <w:tc>
          <w:tcPr>
            <w:tcW w:w="759" w:type="dxa"/>
            <w:tcBorders>
              <w:right w:val="single" w:sz="2" w:space="0" w:color="000000"/>
            </w:tcBorders>
            <w:shd w:val="clear" w:color="auto" w:fill="BAF9F5"/>
          </w:tcPr>
          <w:p>
            <w:pPr>
              <w:pStyle w:val="TableParagraph"/>
              <w:spacing w:line="80" w:lineRule="exact"/>
              <w:ind w:left="75" w:right="72"/>
              <w:rPr>
                <w:sz w:val="7"/>
              </w:rPr>
            </w:pPr>
            <w:r>
              <w:rPr>
                <w:sz w:val="7"/>
              </w:rPr>
              <w:t>0.9</w:t>
            </w:r>
          </w:p>
        </w:tc>
        <w:tc>
          <w:tcPr>
            <w:tcW w:w="430" w:type="dxa"/>
            <w:tcBorders>
              <w:left w:val="single" w:sz="2" w:space="0" w:color="000000"/>
              <w:right w:val="single" w:sz="2" w:space="0" w:color="000000"/>
            </w:tcBorders>
            <w:shd w:val="clear" w:color="auto" w:fill="BAF9F5"/>
          </w:tcPr>
          <w:p>
            <w:pPr>
              <w:pStyle w:val="TableParagraph"/>
              <w:spacing w:line="80" w:lineRule="exact"/>
              <w:ind w:right="1"/>
              <w:rPr>
                <w:sz w:val="7"/>
              </w:rPr>
            </w:pPr>
            <w:r>
              <w:rPr>
                <w:w w:val="99"/>
                <w:sz w:val="7"/>
              </w:rPr>
              <w:t>1</w:t>
            </w:r>
          </w:p>
        </w:tc>
        <w:tc>
          <w:tcPr>
            <w:tcW w:w="657" w:type="dxa"/>
            <w:tcBorders>
              <w:left w:val="single" w:sz="2" w:space="0" w:color="000000"/>
              <w:right w:val="single" w:sz="2" w:space="0" w:color="000000"/>
            </w:tcBorders>
            <w:shd w:val="clear" w:color="auto" w:fill="BAF9F5"/>
          </w:tcPr>
          <w:p>
            <w:pPr>
              <w:pStyle w:val="TableParagraph"/>
              <w:spacing w:line="80" w:lineRule="exact"/>
              <w:ind w:left="4" w:right="1"/>
              <w:rPr>
                <w:sz w:val="7"/>
              </w:rPr>
            </w:pPr>
            <w:r>
              <w:rPr>
                <w:sz w:val="7"/>
              </w:rPr>
              <w:t>0.9</w:t>
            </w:r>
          </w:p>
        </w:tc>
        <w:tc>
          <w:tcPr>
            <w:tcW w:w="593" w:type="dxa"/>
            <w:tcBorders>
              <w:left w:val="single" w:sz="2" w:space="0" w:color="000000"/>
              <w:right w:val="single" w:sz="2" w:space="0" w:color="000000"/>
            </w:tcBorders>
            <w:shd w:val="clear" w:color="auto" w:fill="BAF9F5"/>
          </w:tcPr>
          <w:p>
            <w:pPr>
              <w:pStyle w:val="TableParagraph"/>
              <w:spacing w:line="80" w:lineRule="exact"/>
              <w:ind w:right="1"/>
              <w:rPr>
                <w:sz w:val="7"/>
              </w:rPr>
            </w:pPr>
            <w:r>
              <w:rPr>
                <w:sz w:val="7"/>
              </w:rPr>
              <w:t>0.9</w:t>
            </w:r>
          </w:p>
        </w:tc>
        <w:tc>
          <w:tcPr>
            <w:tcW w:w="791" w:type="dxa"/>
            <w:tcBorders>
              <w:left w:val="single" w:sz="2" w:space="0" w:color="000000"/>
              <w:right w:val="single" w:sz="2" w:space="0" w:color="000000"/>
            </w:tcBorders>
            <w:shd w:val="clear" w:color="auto" w:fill="BAF9F5"/>
          </w:tcPr>
          <w:p>
            <w:pPr>
              <w:pStyle w:val="TableParagraph"/>
              <w:spacing w:line="80" w:lineRule="exact"/>
              <w:ind w:left="303" w:right="304"/>
              <w:rPr>
                <w:sz w:val="7"/>
              </w:rPr>
            </w:pPr>
            <w:r>
              <w:rPr>
                <w:sz w:val="7"/>
              </w:rPr>
              <w:t>0.9</w:t>
            </w:r>
          </w:p>
        </w:tc>
        <w:tc>
          <w:tcPr>
            <w:tcW w:w="756" w:type="dxa"/>
            <w:tcBorders>
              <w:left w:val="single" w:sz="2" w:space="0" w:color="000000"/>
              <w:right w:val="single" w:sz="2" w:space="0" w:color="000000"/>
            </w:tcBorders>
            <w:shd w:val="clear" w:color="auto" w:fill="BAF9F5"/>
          </w:tcPr>
          <w:p>
            <w:pPr>
              <w:pStyle w:val="TableParagraph"/>
              <w:spacing w:line="80" w:lineRule="exact"/>
              <w:ind w:left="286" w:right="287"/>
              <w:rPr>
                <w:sz w:val="7"/>
              </w:rPr>
            </w:pPr>
            <w:r>
              <w:rPr>
                <w:sz w:val="7"/>
              </w:rPr>
              <w:t>0.9</w:t>
            </w:r>
          </w:p>
        </w:tc>
        <w:tc>
          <w:tcPr>
            <w:tcW w:w="802" w:type="dxa"/>
            <w:tcBorders>
              <w:left w:val="single" w:sz="2" w:space="0" w:color="000000"/>
              <w:right w:val="single" w:sz="2" w:space="0" w:color="000000"/>
            </w:tcBorders>
            <w:shd w:val="clear" w:color="auto" w:fill="BAF9F5"/>
          </w:tcPr>
          <w:p>
            <w:pPr>
              <w:pStyle w:val="TableParagraph"/>
              <w:spacing w:line="80" w:lineRule="exact"/>
              <w:ind w:right="1"/>
              <w:rPr>
                <w:sz w:val="7"/>
              </w:rPr>
            </w:pPr>
            <w:r>
              <w:rPr>
                <w:sz w:val="7"/>
              </w:rPr>
              <w:t>0.9</w:t>
            </w:r>
          </w:p>
        </w:tc>
        <w:tc>
          <w:tcPr>
            <w:tcW w:w="860" w:type="dxa"/>
            <w:tcBorders>
              <w:left w:val="single" w:sz="2" w:space="0" w:color="000000"/>
              <w:right w:val="single" w:sz="2" w:space="0" w:color="000000"/>
            </w:tcBorders>
            <w:shd w:val="clear" w:color="auto" w:fill="BAF9F5"/>
          </w:tcPr>
          <w:p>
            <w:pPr>
              <w:pStyle w:val="TableParagraph"/>
              <w:spacing w:line="80" w:lineRule="exact"/>
              <w:ind w:right="1"/>
              <w:rPr>
                <w:sz w:val="7"/>
              </w:rPr>
            </w:pPr>
            <w:r>
              <w:rPr>
                <w:sz w:val="7"/>
              </w:rPr>
              <w:t>0.9</w:t>
            </w:r>
          </w:p>
        </w:tc>
        <w:tc>
          <w:tcPr>
            <w:tcW w:w="700" w:type="dxa"/>
            <w:tcBorders>
              <w:left w:val="single" w:sz="2" w:space="0" w:color="000000"/>
              <w:right w:val="single" w:sz="5" w:space="0" w:color="000000"/>
            </w:tcBorders>
            <w:shd w:val="clear" w:color="auto" w:fill="BAF9F5"/>
          </w:tcPr>
          <w:p>
            <w:pPr>
              <w:pStyle w:val="TableParagraph"/>
              <w:spacing w:line="80" w:lineRule="exact"/>
              <w:ind w:left="9"/>
              <w:rPr>
                <w:sz w:val="7"/>
              </w:rPr>
            </w:pPr>
            <w:r>
              <w:rPr>
                <w:sz w:val="7"/>
              </w:rPr>
              <w:t>0.9</w:t>
            </w:r>
          </w:p>
        </w:tc>
      </w:tr>
      <w:tr>
        <w:trPr>
          <w:trHeight w:val="89" w:hRule="exact"/>
        </w:trPr>
        <w:tc>
          <w:tcPr>
            <w:tcW w:w="319" w:type="dxa"/>
            <w:vMerge/>
            <w:tcBorders>
              <w:left w:val="single" w:sz="2" w:space="0" w:color="000000"/>
            </w:tcBorders>
          </w:tcPr>
          <w:p>
            <w:pPr/>
          </w:p>
        </w:tc>
        <w:tc>
          <w:tcPr>
            <w:tcW w:w="2160" w:type="dxa"/>
            <w:vMerge/>
          </w:tcPr>
          <w:p>
            <w:pPr/>
          </w:p>
        </w:tc>
        <w:tc>
          <w:tcPr>
            <w:tcW w:w="759" w:type="dxa"/>
            <w:tcBorders>
              <w:bottom w:val="single" w:sz="2" w:space="0" w:color="FFFFFF"/>
              <w:right w:val="single" w:sz="2" w:space="0" w:color="000000"/>
            </w:tcBorders>
            <w:shd w:val="clear" w:color="auto" w:fill="BAF9F5"/>
          </w:tcPr>
          <w:p>
            <w:pPr>
              <w:pStyle w:val="TableParagraph"/>
              <w:spacing w:line="80" w:lineRule="exact"/>
              <w:ind w:left="75" w:right="72"/>
              <w:rPr>
                <w:sz w:val="7"/>
              </w:rPr>
            </w:pPr>
            <w:r>
              <w:rPr>
                <w:sz w:val="7"/>
              </w:rPr>
              <w:t>0.6</w:t>
            </w:r>
          </w:p>
        </w:tc>
        <w:tc>
          <w:tcPr>
            <w:tcW w:w="430" w:type="dxa"/>
            <w:tcBorders>
              <w:left w:val="single" w:sz="2" w:space="0" w:color="000000"/>
              <w:bottom w:val="single" w:sz="2" w:space="0" w:color="FFFFFF"/>
              <w:right w:val="single" w:sz="2" w:space="0" w:color="000000"/>
            </w:tcBorders>
            <w:shd w:val="clear" w:color="auto" w:fill="BAF9F5"/>
          </w:tcPr>
          <w:p>
            <w:pPr>
              <w:pStyle w:val="TableParagraph"/>
              <w:spacing w:line="80" w:lineRule="exact"/>
              <w:ind w:right="1"/>
              <w:rPr>
                <w:sz w:val="7"/>
              </w:rPr>
            </w:pPr>
            <w:r>
              <w:rPr>
                <w:sz w:val="7"/>
              </w:rPr>
              <w:t>0.6</w:t>
            </w:r>
          </w:p>
        </w:tc>
        <w:tc>
          <w:tcPr>
            <w:tcW w:w="657" w:type="dxa"/>
            <w:tcBorders>
              <w:left w:val="single" w:sz="2" w:space="0" w:color="000000"/>
              <w:bottom w:val="single" w:sz="2" w:space="0" w:color="FFFFFF"/>
              <w:right w:val="single" w:sz="2" w:space="0" w:color="000000"/>
            </w:tcBorders>
            <w:shd w:val="clear" w:color="auto" w:fill="BAF9F5"/>
          </w:tcPr>
          <w:p>
            <w:pPr>
              <w:pStyle w:val="TableParagraph"/>
              <w:spacing w:line="80" w:lineRule="exact"/>
              <w:ind w:left="4" w:right="1"/>
              <w:rPr>
                <w:sz w:val="7"/>
              </w:rPr>
            </w:pPr>
            <w:r>
              <w:rPr>
                <w:sz w:val="7"/>
              </w:rPr>
              <w:t>0.6</w:t>
            </w:r>
          </w:p>
        </w:tc>
        <w:tc>
          <w:tcPr>
            <w:tcW w:w="593" w:type="dxa"/>
            <w:tcBorders>
              <w:left w:val="single" w:sz="2" w:space="0" w:color="000000"/>
              <w:bottom w:val="single" w:sz="2" w:space="0" w:color="FFFFFF"/>
              <w:right w:val="single" w:sz="2" w:space="0" w:color="000000"/>
            </w:tcBorders>
            <w:shd w:val="clear" w:color="auto" w:fill="BAF9F5"/>
          </w:tcPr>
          <w:p>
            <w:pPr>
              <w:pStyle w:val="TableParagraph"/>
              <w:spacing w:line="80" w:lineRule="exact"/>
              <w:ind w:right="1"/>
              <w:rPr>
                <w:sz w:val="7"/>
              </w:rPr>
            </w:pPr>
            <w:r>
              <w:rPr>
                <w:sz w:val="7"/>
              </w:rPr>
              <w:t>0.4</w:t>
            </w:r>
          </w:p>
        </w:tc>
        <w:tc>
          <w:tcPr>
            <w:tcW w:w="791" w:type="dxa"/>
            <w:tcBorders>
              <w:left w:val="single" w:sz="2" w:space="0" w:color="000000"/>
              <w:bottom w:val="single" w:sz="2" w:space="0" w:color="FFFFFF"/>
              <w:right w:val="single" w:sz="2" w:space="0" w:color="000000"/>
            </w:tcBorders>
            <w:shd w:val="clear" w:color="auto" w:fill="BAF9F5"/>
          </w:tcPr>
          <w:p>
            <w:pPr>
              <w:pStyle w:val="TableParagraph"/>
              <w:spacing w:line="80" w:lineRule="exact"/>
              <w:ind w:left="303" w:right="304"/>
              <w:rPr>
                <w:sz w:val="7"/>
              </w:rPr>
            </w:pPr>
            <w:r>
              <w:rPr>
                <w:sz w:val="7"/>
              </w:rPr>
              <w:t>0.6</w:t>
            </w:r>
          </w:p>
        </w:tc>
        <w:tc>
          <w:tcPr>
            <w:tcW w:w="756" w:type="dxa"/>
            <w:tcBorders>
              <w:left w:val="single" w:sz="2" w:space="0" w:color="000000"/>
              <w:bottom w:val="single" w:sz="2" w:space="0" w:color="FFFFFF"/>
              <w:right w:val="single" w:sz="2" w:space="0" w:color="000000"/>
            </w:tcBorders>
            <w:shd w:val="clear" w:color="auto" w:fill="BAF9F5"/>
          </w:tcPr>
          <w:p>
            <w:pPr>
              <w:pStyle w:val="TableParagraph"/>
              <w:spacing w:line="80" w:lineRule="exact"/>
              <w:ind w:left="286" w:right="287"/>
              <w:rPr>
                <w:sz w:val="7"/>
              </w:rPr>
            </w:pPr>
            <w:r>
              <w:rPr>
                <w:sz w:val="7"/>
              </w:rPr>
              <w:t>0.6</w:t>
            </w:r>
          </w:p>
        </w:tc>
        <w:tc>
          <w:tcPr>
            <w:tcW w:w="802" w:type="dxa"/>
            <w:tcBorders>
              <w:left w:val="single" w:sz="2" w:space="0" w:color="000000"/>
              <w:bottom w:val="single" w:sz="2" w:space="0" w:color="FFFFFF"/>
              <w:right w:val="single" w:sz="2" w:space="0" w:color="000000"/>
            </w:tcBorders>
            <w:shd w:val="clear" w:color="auto" w:fill="BAF9F5"/>
          </w:tcPr>
          <w:p>
            <w:pPr>
              <w:pStyle w:val="TableParagraph"/>
              <w:spacing w:line="80" w:lineRule="exact"/>
              <w:ind w:right="1"/>
              <w:rPr>
                <w:sz w:val="7"/>
              </w:rPr>
            </w:pPr>
            <w:r>
              <w:rPr>
                <w:sz w:val="7"/>
              </w:rPr>
              <w:t>0.6</w:t>
            </w:r>
          </w:p>
        </w:tc>
        <w:tc>
          <w:tcPr>
            <w:tcW w:w="860" w:type="dxa"/>
            <w:tcBorders>
              <w:left w:val="single" w:sz="2" w:space="0" w:color="000000"/>
              <w:bottom w:val="single" w:sz="2" w:space="0" w:color="FFFFFF"/>
              <w:right w:val="single" w:sz="2" w:space="0" w:color="000000"/>
            </w:tcBorders>
            <w:shd w:val="clear" w:color="auto" w:fill="BAF9F5"/>
          </w:tcPr>
          <w:p>
            <w:pPr>
              <w:pStyle w:val="TableParagraph"/>
              <w:spacing w:line="80" w:lineRule="exact"/>
              <w:ind w:right="1"/>
              <w:rPr>
                <w:sz w:val="7"/>
              </w:rPr>
            </w:pPr>
            <w:r>
              <w:rPr>
                <w:sz w:val="7"/>
              </w:rPr>
              <w:t>0.6</w:t>
            </w:r>
          </w:p>
        </w:tc>
        <w:tc>
          <w:tcPr>
            <w:tcW w:w="700" w:type="dxa"/>
            <w:tcBorders>
              <w:left w:val="single" w:sz="2" w:space="0" w:color="000000"/>
              <w:bottom w:val="single" w:sz="2" w:space="0" w:color="FFFFFF"/>
              <w:right w:val="single" w:sz="5" w:space="0" w:color="000000"/>
            </w:tcBorders>
            <w:shd w:val="clear" w:color="auto" w:fill="BAF9F5"/>
          </w:tcPr>
          <w:p>
            <w:pPr>
              <w:pStyle w:val="TableParagraph"/>
              <w:spacing w:line="80" w:lineRule="exact"/>
              <w:ind w:left="9"/>
              <w:rPr>
                <w:sz w:val="7"/>
              </w:rPr>
            </w:pPr>
            <w:r>
              <w:rPr>
                <w:sz w:val="7"/>
              </w:rPr>
              <w:t>0.6</w:t>
            </w:r>
          </w:p>
        </w:tc>
      </w:tr>
      <w:tr>
        <w:trPr>
          <w:trHeight w:val="90" w:hRule="exact"/>
        </w:trPr>
        <w:tc>
          <w:tcPr>
            <w:tcW w:w="319" w:type="dxa"/>
            <w:vMerge/>
            <w:tcBorders>
              <w:left w:val="single" w:sz="2" w:space="0" w:color="000000"/>
            </w:tcBorders>
          </w:tcPr>
          <w:p>
            <w:pPr/>
          </w:p>
        </w:tc>
        <w:tc>
          <w:tcPr>
            <w:tcW w:w="2160" w:type="dxa"/>
            <w:vMerge/>
          </w:tcPr>
          <w:p>
            <w:pPr/>
          </w:p>
        </w:tc>
        <w:tc>
          <w:tcPr>
            <w:tcW w:w="759" w:type="dxa"/>
            <w:tcBorders>
              <w:top w:val="single" w:sz="2" w:space="0" w:color="FFFFFF"/>
              <w:right w:val="single" w:sz="2" w:space="0" w:color="000000"/>
            </w:tcBorders>
            <w:shd w:val="clear" w:color="auto" w:fill="F79646"/>
          </w:tcPr>
          <w:p>
            <w:pPr>
              <w:pStyle w:val="TableParagraph"/>
              <w:spacing w:line="76" w:lineRule="exact"/>
              <w:ind w:left="75" w:right="72"/>
              <w:rPr>
                <w:sz w:val="7"/>
              </w:rPr>
            </w:pPr>
            <w:r>
              <w:rPr>
                <w:sz w:val="7"/>
              </w:rPr>
              <w:t>5.6</w:t>
            </w:r>
          </w:p>
        </w:tc>
        <w:tc>
          <w:tcPr>
            <w:tcW w:w="430" w:type="dxa"/>
            <w:tcBorders>
              <w:top w:val="single" w:sz="2" w:space="0" w:color="FFFFFF"/>
              <w:left w:val="single" w:sz="2" w:space="0" w:color="000000"/>
              <w:right w:val="single" w:sz="2" w:space="0" w:color="000000"/>
            </w:tcBorders>
            <w:shd w:val="clear" w:color="auto" w:fill="F79646"/>
          </w:tcPr>
          <w:p>
            <w:pPr>
              <w:pStyle w:val="TableParagraph"/>
              <w:spacing w:line="76" w:lineRule="exact"/>
              <w:ind w:right="1"/>
              <w:rPr>
                <w:sz w:val="7"/>
              </w:rPr>
            </w:pPr>
            <w:r>
              <w:rPr>
                <w:sz w:val="7"/>
              </w:rPr>
              <w:t>6.4</w:t>
            </w:r>
          </w:p>
        </w:tc>
        <w:tc>
          <w:tcPr>
            <w:tcW w:w="657" w:type="dxa"/>
            <w:tcBorders>
              <w:top w:val="single" w:sz="2" w:space="0" w:color="FFFFFF"/>
              <w:left w:val="single" w:sz="2" w:space="0" w:color="000000"/>
              <w:right w:val="single" w:sz="2" w:space="0" w:color="000000"/>
            </w:tcBorders>
            <w:shd w:val="clear" w:color="auto" w:fill="F79646"/>
          </w:tcPr>
          <w:p>
            <w:pPr>
              <w:pStyle w:val="TableParagraph"/>
              <w:spacing w:line="76" w:lineRule="exact"/>
              <w:ind w:left="4" w:right="1"/>
              <w:rPr>
                <w:sz w:val="7"/>
              </w:rPr>
            </w:pPr>
            <w:r>
              <w:rPr>
                <w:sz w:val="7"/>
              </w:rPr>
              <w:t>5.6</w:t>
            </w:r>
          </w:p>
        </w:tc>
        <w:tc>
          <w:tcPr>
            <w:tcW w:w="593" w:type="dxa"/>
            <w:tcBorders>
              <w:top w:val="single" w:sz="2" w:space="0" w:color="FFFFFF"/>
              <w:left w:val="single" w:sz="2" w:space="0" w:color="000000"/>
              <w:right w:val="single" w:sz="2" w:space="0" w:color="000000"/>
            </w:tcBorders>
            <w:shd w:val="clear" w:color="auto" w:fill="F79646"/>
          </w:tcPr>
          <w:p>
            <w:pPr>
              <w:pStyle w:val="TableParagraph"/>
              <w:spacing w:line="76" w:lineRule="exact"/>
              <w:ind w:right="1"/>
              <w:rPr>
                <w:sz w:val="7"/>
              </w:rPr>
            </w:pPr>
            <w:r>
              <w:rPr>
                <w:w w:val="99"/>
                <w:sz w:val="7"/>
              </w:rPr>
              <w:t>6</w:t>
            </w:r>
          </w:p>
        </w:tc>
        <w:tc>
          <w:tcPr>
            <w:tcW w:w="791" w:type="dxa"/>
            <w:tcBorders>
              <w:top w:val="single" w:sz="2" w:space="0" w:color="FFFFFF"/>
              <w:left w:val="single" w:sz="2" w:space="0" w:color="000000"/>
              <w:right w:val="single" w:sz="2" w:space="0" w:color="000000"/>
            </w:tcBorders>
            <w:shd w:val="clear" w:color="auto" w:fill="F79646"/>
          </w:tcPr>
          <w:p>
            <w:pPr>
              <w:pStyle w:val="TableParagraph"/>
              <w:spacing w:line="76" w:lineRule="exact"/>
              <w:ind w:right="1"/>
              <w:rPr>
                <w:sz w:val="7"/>
              </w:rPr>
            </w:pPr>
            <w:r>
              <w:rPr>
                <w:w w:val="99"/>
                <w:sz w:val="7"/>
              </w:rPr>
              <w:t>5</w:t>
            </w:r>
          </w:p>
        </w:tc>
        <w:tc>
          <w:tcPr>
            <w:tcW w:w="756" w:type="dxa"/>
            <w:tcBorders>
              <w:top w:val="single" w:sz="2" w:space="0" w:color="FFFFFF"/>
              <w:left w:val="single" w:sz="2" w:space="0" w:color="000000"/>
              <w:right w:val="single" w:sz="2" w:space="0" w:color="000000"/>
            </w:tcBorders>
            <w:shd w:val="clear" w:color="auto" w:fill="F79646"/>
          </w:tcPr>
          <w:p>
            <w:pPr>
              <w:pStyle w:val="TableParagraph"/>
              <w:spacing w:line="76" w:lineRule="exact"/>
              <w:ind w:left="286" w:right="287"/>
              <w:rPr>
                <w:sz w:val="7"/>
              </w:rPr>
            </w:pPr>
            <w:r>
              <w:rPr>
                <w:sz w:val="7"/>
              </w:rPr>
              <w:t>5.9</w:t>
            </w:r>
          </w:p>
        </w:tc>
        <w:tc>
          <w:tcPr>
            <w:tcW w:w="802" w:type="dxa"/>
            <w:tcBorders>
              <w:top w:val="single" w:sz="2" w:space="0" w:color="FFFFFF"/>
              <w:left w:val="single" w:sz="2" w:space="0" w:color="000000"/>
              <w:right w:val="single" w:sz="2" w:space="0" w:color="000000"/>
            </w:tcBorders>
            <w:shd w:val="clear" w:color="auto" w:fill="F79646"/>
          </w:tcPr>
          <w:p>
            <w:pPr>
              <w:pStyle w:val="TableParagraph"/>
              <w:spacing w:line="76" w:lineRule="exact"/>
              <w:ind w:right="1"/>
              <w:rPr>
                <w:sz w:val="7"/>
              </w:rPr>
            </w:pPr>
            <w:r>
              <w:rPr>
                <w:sz w:val="7"/>
              </w:rPr>
              <w:t>5.9</w:t>
            </w:r>
          </w:p>
        </w:tc>
        <w:tc>
          <w:tcPr>
            <w:tcW w:w="860" w:type="dxa"/>
            <w:tcBorders>
              <w:top w:val="single" w:sz="2" w:space="0" w:color="FFFFFF"/>
              <w:left w:val="single" w:sz="2" w:space="0" w:color="000000"/>
              <w:right w:val="single" w:sz="2" w:space="0" w:color="000000"/>
            </w:tcBorders>
            <w:shd w:val="clear" w:color="auto" w:fill="F79646"/>
          </w:tcPr>
          <w:p>
            <w:pPr>
              <w:pStyle w:val="TableParagraph"/>
              <w:spacing w:line="76" w:lineRule="exact"/>
              <w:ind w:right="1"/>
              <w:rPr>
                <w:sz w:val="7"/>
              </w:rPr>
            </w:pPr>
            <w:r>
              <w:rPr>
                <w:sz w:val="7"/>
              </w:rPr>
              <w:t>5.9</w:t>
            </w:r>
          </w:p>
        </w:tc>
        <w:tc>
          <w:tcPr>
            <w:tcW w:w="700" w:type="dxa"/>
            <w:tcBorders>
              <w:top w:val="single" w:sz="2" w:space="0" w:color="FFFFFF"/>
              <w:left w:val="single" w:sz="2" w:space="0" w:color="000000"/>
              <w:right w:val="single" w:sz="5" w:space="0" w:color="000000"/>
            </w:tcBorders>
            <w:shd w:val="clear" w:color="auto" w:fill="F79646"/>
          </w:tcPr>
          <w:p>
            <w:pPr>
              <w:pStyle w:val="TableParagraph"/>
              <w:spacing w:line="76" w:lineRule="exact"/>
              <w:ind w:left="9"/>
              <w:rPr>
                <w:sz w:val="7"/>
              </w:rPr>
            </w:pPr>
            <w:r>
              <w:rPr>
                <w:sz w:val="7"/>
              </w:rPr>
              <w:t>5.9</w:t>
            </w:r>
          </w:p>
        </w:tc>
      </w:tr>
      <w:tr>
        <w:trPr>
          <w:trHeight w:val="81" w:hRule="exact"/>
        </w:trPr>
        <w:tc>
          <w:tcPr>
            <w:tcW w:w="3238" w:type="dxa"/>
            <w:gridSpan w:val="3"/>
            <w:tcBorders>
              <w:left w:val="single" w:sz="2" w:space="0" w:color="000000"/>
              <w:right w:val="single" w:sz="2" w:space="0" w:color="000000"/>
            </w:tcBorders>
          </w:tcPr>
          <w:p>
            <w:pPr/>
          </w:p>
        </w:tc>
        <w:tc>
          <w:tcPr>
            <w:tcW w:w="430" w:type="dxa"/>
            <w:tcBorders>
              <w:left w:val="single" w:sz="2" w:space="0" w:color="000000"/>
              <w:right w:val="single" w:sz="2" w:space="0" w:color="000000"/>
            </w:tcBorders>
          </w:tcPr>
          <w:p>
            <w:pPr/>
          </w:p>
        </w:tc>
        <w:tc>
          <w:tcPr>
            <w:tcW w:w="657" w:type="dxa"/>
            <w:tcBorders>
              <w:left w:val="single" w:sz="2" w:space="0" w:color="000000"/>
              <w:right w:val="single" w:sz="2" w:space="0" w:color="000000"/>
            </w:tcBorders>
          </w:tcPr>
          <w:p>
            <w:pPr/>
          </w:p>
        </w:tc>
        <w:tc>
          <w:tcPr>
            <w:tcW w:w="593" w:type="dxa"/>
            <w:tcBorders>
              <w:left w:val="single" w:sz="2" w:space="0" w:color="000000"/>
              <w:right w:val="single" w:sz="2" w:space="0" w:color="000000"/>
            </w:tcBorders>
          </w:tcPr>
          <w:p>
            <w:pPr/>
          </w:p>
        </w:tc>
        <w:tc>
          <w:tcPr>
            <w:tcW w:w="791" w:type="dxa"/>
            <w:tcBorders>
              <w:left w:val="single" w:sz="2" w:space="0" w:color="000000"/>
              <w:right w:val="single" w:sz="2" w:space="0" w:color="000000"/>
            </w:tcBorders>
          </w:tcPr>
          <w:p>
            <w:pPr/>
          </w:p>
        </w:tc>
        <w:tc>
          <w:tcPr>
            <w:tcW w:w="756" w:type="dxa"/>
            <w:tcBorders>
              <w:left w:val="single" w:sz="2" w:space="0" w:color="000000"/>
              <w:right w:val="single" w:sz="2" w:space="0" w:color="000000"/>
            </w:tcBorders>
          </w:tcPr>
          <w:p>
            <w:pPr/>
          </w:p>
        </w:tc>
        <w:tc>
          <w:tcPr>
            <w:tcW w:w="802" w:type="dxa"/>
            <w:tcBorders>
              <w:left w:val="single" w:sz="2" w:space="0" w:color="000000"/>
              <w:right w:val="single" w:sz="2" w:space="0" w:color="000000"/>
            </w:tcBorders>
          </w:tcPr>
          <w:p>
            <w:pPr/>
          </w:p>
        </w:tc>
        <w:tc>
          <w:tcPr>
            <w:tcW w:w="860" w:type="dxa"/>
            <w:tcBorders>
              <w:left w:val="single" w:sz="2" w:space="0" w:color="000000"/>
              <w:right w:val="single" w:sz="2" w:space="0" w:color="000000"/>
            </w:tcBorders>
          </w:tcPr>
          <w:p>
            <w:pPr/>
          </w:p>
        </w:tc>
        <w:tc>
          <w:tcPr>
            <w:tcW w:w="700" w:type="dxa"/>
            <w:tcBorders>
              <w:left w:val="single" w:sz="2" w:space="0" w:color="000000"/>
              <w:right w:val="single" w:sz="5" w:space="0" w:color="000000"/>
            </w:tcBorders>
          </w:tcPr>
          <w:p>
            <w:pPr/>
          </w:p>
        </w:tc>
      </w:tr>
      <w:tr>
        <w:trPr>
          <w:trHeight w:val="90" w:hRule="exact"/>
        </w:trPr>
        <w:tc>
          <w:tcPr>
            <w:tcW w:w="2479" w:type="dxa"/>
            <w:gridSpan w:val="2"/>
            <w:vMerge w:val="restart"/>
            <w:tcBorders>
              <w:left w:val="single" w:sz="2" w:space="0" w:color="000000"/>
            </w:tcBorders>
          </w:tcPr>
          <w:p>
            <w:pPr>
              <w:pStyle w:val="TableParagraph"/>
              <w:tabs>
                <w:tab w:pos="1528" w:val="left" w:leader="none"/>
              </w:tabs>
              <w:spacing w:line="259" w:lineRule="auto" w:before="1"/>
              <w:ind w:left="1865" w:right="146" w:hanging="1506"/>
              <w:jc w:val="left"/>
              <w:rPr>
                <w:sz w:val="7"/>
              </w:rPr>
            </w:pPr>
            <w:r>
              <w:rPr>
                <w:sz w:val="7"/>
              </w:rPr>
              <w:t>Organización</w:t>
            </w:r>
            <w:r>
              <w:rPr>
                <w:spacing w:val="-2"/>
                <w:sz w:val="7"/>
              </w:rPr>
              <w:t> </w:t>
            </w:r>
            <w:r>
              <w:rPr>
                <w:sz w:val="7"/>
              </w:rPr>
              <w:t>vecinal</w:t>
              <w:tab/>
              <w:t>Administración</w:t>
            </w:r>
            <w:r>
              <w:rPr>
                <w:spacing w:val="-4"/>
                <w:sz w:val="7"/>
              </w:rPr>
              <w:t> </w:t>
            </w:r>
            <w:r>
              <w:rPr>
                <w:sz w:val="7"/>
              </w:rPr>
              <w:t>ciudadana</w:t>
            </w:r>
            <w:r>
              <w:rPr>
                <w:w w:val="99"/>
                <w:sz w:val="7"/>
              </w:rPr>
              <w:t> </w:t>
            </w:r>
            <w:r>
              <w:rPr>
                <w:sz w:val="7"/>
              </w:rPr>
              <w:t>Subtotal</w:t>
            </w:r>
          </w:p>
        </w:tc>
        <w:tc>
          <w:tcPr>
            <w:tcW w:w="759" w:type="dxa"/>
            <w:tcBorders>
              <w:bottom w:val="single" w:sz="2" w:space="0" w:color="FFFFFF"/>
              <w:right w:val="single" w:sz="2" w:space="0" w:color="000000"/>
            </w:tcBorders>
            <w:shd w:val="clear" w:color="auto" w:fill="BAF9F5"/>
          </w:tcPr>
          <w:p>
            <w:pPr>
              <w:pStyle w:val="TableParagraph"/>
              <w:spacing w:before="1"/>
              <w:ind w:left="3"/>
              <w:rPr>
                <w:sz w:val="7"/>
              </w:rPr>
            </w:pPr>
            <w:r>
              <w:rPr>
                <w:w w:val="99"/>
                <w:sz w:val="7"/>
              </w:rPr>
              <w:t>1</w:t>
            </w:r>
          </w:p>
        </w:tc>
        <w:tc>
          <w:tcPr>
            <w:tcW w:w="430" w:type="dxa"/>
            <w:tcBorders>
              <w:left w:val="single" w:sz="2" w:space="0" w:color="000000"/>
              <w:bottom w:val="single" w:sz="2" w:space="0" w:color="FFFFFF"/>
              <w:right w:val="single" w:sz="2" w:space="0" w:color="000000"/>
            </w:tcBorders>
            <w:shd w:val="clear" w:color="auto" w:fill="BAF9F5"/>
          </w:tcPr>
          <w:p>
            <w:pPr>
              <w:pStyle w:val="TableParagraph"/>
              <w:spacing w:before="1"/>
              <w:ind w:right="1"/>
              <w:rPr>
                <w:sz w:val="7"/>
              </w:rPr>
            </w:pPr>
            <w:r>
              <w:rPr>
                <w:w w:val="99"/>
                <w:sz w:val="7"/>
              </w:rPr>
              <w:t>1</w:t>
            </w:r>
          </w:p>
        </w:tc>
        <w:tc>
          <w:tcPr>
            <w:tcW w:w="657" w:type="dxa"/>
            <w:tcBorders>
              <w:left w:val="single" w:sz="2" w:space="0" w:color="000000"/>
              <w:bottom w:val="single" w:sz="2" w:space="0" w:color="FFFFFF"/>
              <w:right w:val="single" w:sz="2" w:space="0" w:color="000000"/>
            </w:tcBorders>
            <w:shd w:val="clear" w:color="auto" w:fill="BAF9F5"/>
          </w:tcPr>
          <w:p>
            <w:pPr>
              <w:pStyle w:val="TableParagraph"/>
              <w:spacing w:before="1"/>
              <w:ind w:left="3"/>
              <w:rPr>
                <w:sz w:val="7"/>
              </w:rPr>
            </w:pPr>
            <w:r>
              <w:rPr>
                <w:w w:val="99"/>
                <w:sz w:val="7"/>
              </w:rPr>
              <w:t>1</w:t>
            </w:r>
          </w:p>
        </w:tc>
        <w:tc>
          <w:tcPr>
            <w:tcW w:w="593" w:type="dxa"/>
            <w:tcBorders>
              <w:left w:val="single" w:sz="2" w:space="0" w:color="000000"/>
              <w:bottom w:val="single" w:sz="2" w:space="0" w:color="FFFFFF"/>
              <w:right w:val="single" w:sz="2" w:space="0" w:color="000000"/>
            </w:tcBorders>
            <w:shd w:val="clear" w:color="auto" w:fill="BAF9F5"/>
          </w:tcPr>
          <w:p>
            <w:pPr>
              <w:pStyle w:val="TableParagraph"/>
              <w:spacing w:before="1"/>
              <w:ind w:right="1"/>
              <w:rPr>
                <w:sz w:val="7"/>
              </w:rPr>
            </w:pPr>
            <w:r>
              <w:rPr>
                <w:w w:val="99"/>
                <w:sz w:val="7"/>
              </w:rPr>
              <w:t>0</w:t>
            </w:r>
          </w:p>
        </w:tc>
        <w:tc>
          <w:tcPr>
            <w:tcW w:w="791" w:type="dxa"/>
            <w:tcBorders>
              <w:left w:val="single" w:sz="2" w:space="0" w:color="000000"/>
              <w:bottom w:val="single" w:sz="2" w:space="0" w:color="FFFFFF"/>
              <w:right w:val="single" w:sz="2" w:space="0" w:color="000000"/>
            </w:tcBorders>
            <w:shd w:val="clear" w:color="auto" w:fill="BAF9F5"/>
          </w:tcPr>
          <w:p>
            <w:pPr>
              <w:pStyle w:val="TableParagraph"/>
              <w:spacing w:before="1"/>
              <w:ind w:left="303" w:right="304"/>
              <w:rPr>
                <w:sz w:val="7"/>
              </w:rPr>
            </w:pPr>
            <w:r>
              <w:rPr>
                <w:sz w:val="7"/>
              </w:rPr>
              <w:t>0.9</w:t>
            </w:r>
          </w:p>
        </w:tc>
        <w:tc>
          <w:tcPr>
            <w:tcW w:w="756" w:type="dxa"/>
            <w:tcBorders>
              <w:left w:val="single" w:sz="2" w:space="0" w:color="000000"/>
              <w:bottom w:val="single" w:sz="2" w:space="0" w:color="FFFFFF"/>
              <w:right w:val="single" w:sz="2" w:space="0" w:color="000000"/>
            </w:tcBorders>
            <w:shd w:val="clear" w:color="auto" w:fill="BAF9F5"/>
          </w:tcPr>
          <w:p>
            <w:pPr>
              <w:pStyle w:val="TableParagraph"/>
              <w:spacing w:before="1"/>
              <w:ind w:left="286" w:right="287"/>
              <w:rPr>
                <w:sz w:val="7"/>
              </w:rPr>
            </w:pPr>
            <w:r>
              <w:rPr>
                <w:sz w:val="7"/>
              </w:rPr>
              <w:t>0.8</w:t>
            </w:r>
          </w:p>
        </w:tc>
        <w:tc>
          <w:tcPr>
            <w:tcW w:w="802" w:type="dxa"/>
            <w:tcBorders>
              <w:left w:val="single" w:sz="2" w:space="0" w:color="000000"/>
              <w:bottom w:val="single" w:sz="2" w:space="0" w:color="FFFFFF"/>
              <w:right w:val="single" w:sz="2" w:space="0" w:color="000000"/>
            </w:tcBorders>
            <w:shd w:val="clear" w:color="auto" w:fill="BAF9F5"/>
          </w:tcPr>
          <w:p>
            <w:pPr>
              <w:pStyle w:val="TableParagraph"/>
              <w:spacing w:before="1"/>
              <w:ind w:right="1"/>
              <w:rPr>
                <w:sz w:val="7"/>
              </w:rPr>
            </w:pPr>
            <w:r>
              <w:rPr>
                <w:sz w:val="7"/>
              </w:rPr>
              <w:t>0.8</w:t>
            </w:r>
          </w:p>
        </w:tc>
        <w:tc>
          <w:tcPr>
            <w:tcW w:w="860" w:type="dxa"/>
            <w:tcBorders>
              <w:left w:val="single" w:sz="2" w:space="0" w:color="000000"/>
              <w:bottom w:val="single" w:sz="2" w:space="0" w:color="FFFFFF"/>
              <w:right w:val="single" w:sz="2" w:space="0" w:color="000000"/>
            </w:tcBorders>
            <w:shd w:val="clear" w:color="auto" w:fill="BAF9F5"/>
          </w:tcPr>
          <w:p>
            <w:pPr>
              <w:pStyle w:val="TableParagraph"/>
              <w:spacing w:before="1"/>
              <w:ind w:right="1"/>
              <w:rPr>
                <w:sz w:val="7"/>
              </w:rPr>
            </w:pPr>
            <w:r>
              <w:rPr>
                <w:w w:val="99"/>
                <w:sz w:val="7"/>
              </w:rPr>
              <w:t>1</w:t>
            </w:r>
          </w:p>
        </w:tc>
        <w:tc>
          <w:tcPr>
            <w:tcW w:w="700" w:type="dxa"/>
            <w:tcBorders>
              <w:left w:val="single" w:sz="2" w:space="0" w:color="000000"/>
              <w:bottom w:val="single" w:sz="2" w:space="0" w:color="FFFFFF"/>
              <w:right w:val="single" w:sz="5" w:space="0" w:color="000000"/>
            </w:tcBorders>
            <w:shd w:val="clear" w:color="auto" w:fill="BAF9F5"/>
          </w:tcPr>
          <w:p>
            <w:pPr>
              <w:pStyle w:val="TableParagraph"/>
              <w:spacing w:before="1"/>
              <w:ind w:left="9"/>
              <w:rPr>
                <w:sz w:val="7"/>
              </w:rPr>
            </w:pPr>
            <w:r>
              <w:rPr>
                <w:sz w:val="7"/>
              </w:rPr>
              <w:t>0.8</w:t>
            </w:r>
          </w:p>
        </w:tc>
      </w:tr>
      <w:tr>
        <w:trPr>
          <w:trHeight w:val="90" w:hRule="exact"/>
        </w:trPr>
        <w:tc>
          <w:tcPr>
            <w:tcW w:w="2479" w:type="dxa"/>
            <w:gridSpan w:val="2"/>
            <w:vMerge/>
            <w:tcBorders>
              <w:left w:val="single" w:sz="2" w:space="0" w:color="000000"/>
            </w:tcBorders>
          </w:tcPr>
          <w:p>
            <w:pPr/>
          </w:p>
        </w:tc>
        <w:tc>
          <w:tcPr>
            <w:tcW w:w="759" w:type="dxa"/>
            <w:tcBorders>
              <w:top w:val="single" w:sz="2" w:space="0" w:color="FFFFFF"/>
              <w:right w:val="single" w:sz="2" w:space="0" w:color="000000"/>
            </w:tcBorders>
            <w:shd w:val="clear" w:color="auto" w:fill="F79646"/>
          </w:tcPr>
          <w:p>
            <w:pPr>
              <w:pStyle w:val="TableParagraph"/>
              <w:spacing w:line="76" w:lineRule="exact"/>
              <w:ind w:left="3"/>
              <w:rPr>
                <w:sz w:val="7"/>
              </w:rPr>
            </w:pPr>
            <w:r>
              <w:rPr>
                <w:w w:val="99"/>
                <w:sz w:val="7"/>
              </w:rPr>
              <w:t>1</w:t>
            </w:r>
          </w:p>
        </w:tc>
        <w:tc>
          <w:tcPr>
            <w:tcW w:w="430" w:type="dxa"/>
            <w:tcBorders>
              <w:top w:val="single" w:sz="2" w:space="0" w:color="FFFFFF"/>
              <w:left w:val="single" w:sz="2" w:space="0" w:color="000000"/>
              <w:right w:val="single" w:sz="2" w:space="0" w:color="000000"/>
            </w:tcBorders>
            <w:shd w:val="clear" w:color="auto" w:fill="F79646"/>
          </w:tcPr>
          <w:p>
            <w:pPr>
              <w:pStyle w:val="TableParagraph"/>
              <w:spacing w:line="76" w:lineRule="exact"/>
              <w:ind w:right="1"/>
              <w:rPr>
                <w:sz w:val="7"/>
              </w:rPr>
            </w:pPr>
            <w:r>
              <w:rPr>
                <w:w w:val="99"/>
                <w:sz w:val="7"/>
              </w:rPr>
              <w:t>1</w:t>
            </w:r>
          </w:p>
        </w:tc>
        <w:tc>
          <w:tcPr>
            <w:tcW w:w="657" w:type="dxa"/>
            <w:tcBorders>
              <w:top w:val="single" w:sz="2" w:space="0" w:color="FFFFFF"/>
              <w:left w:val="single" w:sz="2" w:space="0" w:color="000000"/>
              <w:right w:val="single" w:sz="2" w:space="0" w:color="000000"/>
            </w:tcBorders>
            <w:shd w:val="clear" w:color="auto" w:fill="F79646"/>
          </w:tcPr>
          <w:p>
            <w:pPr>
              <w:pStyle w:val="TableParagraph"/>
              <w:spacing w:line="76" w:lineRule="exact"/>
              <w:ind w:left="3"/>
              <w:rPr>
                <w:sz w:val="7"/>
              </w:rPr>
            </w:pPr>
            <w:r>
              <w:rPr>
                <w:w w:val="99"/>
                <w:sz w:val="7"/>
              </w:rPr>
              <w:t>1</w:t>
            </w:r>
          </w:p>
        </w:tc>
        <w:tc>
          <w:tcPr>
            <w:tcW w:w="593" w:type="dxa"/>
            <w:tcBorders>
              <w:top w:val="single" w:sz="2" w:space="0" w:color="FFFFFF"/>
              <w:left w:val="single" w:sz="2" w:space="0" w:color="000000"/>
              <w:right w:val="single" w:sz="2" w:space="0" w:color="000000"/>
            </w:tcBorders>
            <w:shd w:val="clear" w:color="auto" w:fill="F79646"/>
          </w:tcPr>
          <w:p>
            <w:pPr>
              <w:pStyle w:val="TableParagraph"/>
              <w:spacing w:line="76" w:lineRule="exact"/>
              <w:ind w:right="1"/>
              <w:rPr>
                <w:sz w:val="7"/>
              </w:rPr>
            </w:pPr>
            <w:r>
              <w:rPr>
                <w:w w:val="99"/>
                <w:sz w:val="7"/>
              </w:rPr>
              <w:t>0</w:t>
            </w:r>
          </w:p>
        </w:tc>
        <w:tc>
          <w:tcPr>
            <w:tcW w:w="791" w:type="dxa"/>
            <w:tcBorders>
              <w:top w:val="single" w:sz="2" w:space="0" w:color="FFFFFF"/>
              <w:left w:val="single" w:sz="2" w:space="0" w:color="000000"/>
              <w:right w:val="single" w:sz="2" w:space="0" w:color="000000"/>
            </w:tcBorders>
            <w:shd w:val="clear" w:color="auto" w:fill="F79646"/>
          </w:tcPr>
          <w:p>
            <w:pPr>
              <w:pStyle w:val="TableParagraph"/>
              <w:spacing w:line="76" w:lineRule="exact"/>
              <w:ind w:left="303" w:right="304"/>
              <w:rPr>
                <w:sz w:val="7"/>
              </w:rPr>
            </w:pPr>
            <w:r>
              <w:rPr>
                <w:sz w:val="7"/>
              </w:rPr>
              <w:t>0.9</w:t>
            </w:r>
          </w:p>
        </w:tc>
        <w:tc>
          <w:tcPr>
            <w:tcW w:w="756" w:type="dxa"/>
            <w:tcBorders>
              <w:top w:val="single" w:sz="2" w:space="0" w:color="FFFFFF"/>
              <w:left w:val="single" w:sz="2" w:space="0" w:color="000000"/>
              <w:right w:val="single" w:sz="2" w:space="0" w:color="000000"/>
            </w:tcBorders>
            <w:shd w:val="clear" w:color="auto" w:fill="F79646"/>
          </w:tcPr>
          <w:p>
            <w:pPr>
              <w:pStyle w:val="TableParagraph"/>
              <w:spacing w:line="76" w:lineRule="exact"/>
              <w:ind w:left="286" w:right="287"/>
              <w:rPr>
                <w:sz w:val="7"/>
              </w:rPr>
            </w:pPr>
            <w:r>
              <w:rPr>
                <w:sz w:val="7"/>
              </w:rPr>
              <w:t>0.8</w:t>
            </w:r>
          </w:p>
        </w:tc>
        <w:tc>
          <w:tcPr>
            <w:tcW w:w="802" w:type="dxa"/>
            <w:tcBorders>
              <w:top w:val="single" w:sz="2" w:space="0" w:color="FFFFFF"/>
              <w:left w:val="single" w:sz="2" w:space="0" w:color="000000"/>
              <w:right w:val="single" w:sz="2" w:space="0" w:color="000000"/>
            </w:tcBorders>
            <w:shd w:val="clear" w:color="auto" w:fill="F79646"/>
          </w:tcPr>
          <w:p>
            <w:pPr>
              <w:pStyle w:val="TableParagraph"/>
              <w:spacing w:line="76" w:lineRule="exact"/>
              <w:ind w:right="1"/>
              <w:rPr>
                <w:sz w:val="7"/>
              </w:rPr>
            </w:pPr>
            <w:r>
              <w:rPr>
                <w:sz w:val="7"/>
              </w:rPr>
              <w:t>0.8</w:t>
            </w:r>
          </w:p>
        </w:tc>
        <w:tc>
          <w:tcPr>
            <w:tcW w:w="860" w:type="dxa"/>
            <w:tcBorders>
              <w:top w:val="single" w:sz="2" w:space="0" w:color="FFFFFF"/>
              <w:left w:val="single" w:sz="2" w:space="0" w:color="000000"/>
              <w:right w:val="single" w:sz="2" w:space="0" w:color="000000"/>
            </w:tcBorders>
            <w:shd w:val="clear" w:color="auto" w:fill="F79646"/>
          </w:tcPr>
          <w:p>
            <w:pPr>
              <w:pStyle w:val="TableParagraph"/>
              <w:spacing w:line="76" w:lineRule="exact"/>
              <w:ind w:right="1"/>
              <w:rPr>
                <w:sz w:val="7"/>
              </w:rPr>
            </w:pPr>
            <w:r>
              <w:rPr>
                <w:w w:val="99"/>
                <w:sz w:val="7"/>
              </w:rPr>
              <w:t>1</w:t>
            </w:r>
          </w:p>
        </w:tc>
        <w:tc>
          <w:tcPr>
            <w:tcW w:w="700" w:type="dxa"/>
            <w:tcBorders>
              <w:top w:val="single" w:sz="2" w:space="0" w:color="FFFFFF"/>
              <w:left w:val="single" w:sz="2" w:space="0" w:color="000000"/>
              <w:right w:val="single" w:sz="5" w:space="0" w:color="000000"/>
            </w:tcBorders>
            <w:shd w:val="clear" w:color="auto" w:fill="F79646"/>
          </w:tcPr>
          <w:p>
            <w:pPr>
              <w:pStyle w:val="TableParagraph"/>
              <w:spacing w:line="76" w:lineRule="exact"/>
              <w:ind w:left="9"/>
              <w:rPr>
                <w:sz w:val="7"/>
              </w:rPr>
            </w:pPr>
            <w:r>
              <w:rPr>
                <w:sz w:val="7"/>
              </w:rPr>
              <w:t>0.8</w:t>
            </w:r>
          </w:p>
        </w:tc>
      </w:tr>
      <w:tr>
        <w:trPr>
          <w:trHeight w:val="81" w:hRule="exact"/>
        </w:trPr>
        <w:tc>
          <w:tcPr>
            <w:tcW w:w="3238" w:type="dxa"/>
            <w:gridSpan w:val="3"/>
            <w:tcBorders>
              <w:left w:val="single" w:sz="2" w:space="0" w:color="000000"/>
              <w:right w:val="single" w:sz="2" w:space="0" w:color="000000"/>
            </w:tcBorders>
          </w:tcPr>
          <w:p>
            <w:pPr/>
          </w:p>
        </w:tc>
        <w:tc>
          <w:tcPr>
            <w:tcW w:w="430" w:type="dxa"/>
            <w:tcBorders>
              <w:left w:val="single" w:sz="2" w:space="0" w:color="000000"/>
              <w:right w:val="single" w:sz="2" w:space="0" w:color="000000"/>
            </w:tcBorders>
          </w:tcPr>
          <w:p>
            <w:pPr/>
          </w:p>
        </w:tc>
        <w:tc>
          <w:tcPr>
            <w:tcW w:w="657" w:type="dxa"/>
            <w:tcBorders>
              <w:left w:val="single" w:sz="2" w:space="0" w:color="000000"/>
              <w:right w:val="single" w:sz="2" w:space="0" w:color="000000"/>
            </w:tcBorders>
          </w:tcPr>
          <w:p>
            <w:pPr/>
          </w:p>
        </w:tc>
        <w:tc>
          <w:tcPr>
            <w:tcW w:w="593" w:type="dxa"/>
            <w:tcBorders>
              <w:left w:val="single" w:sz="2" w:space="0" w:color="000000"/>
              <w:right w:val="single" w:sz="2" w:space="0" w:color="000000"/>
            </w:tcBorders>
          </w:tcPr>
          <w:p>
            <w:pPr/>
          </w:p>
        </w:tc>
        <w:tc>
          <w:tcPr>
            <w:tcW w:w="791" w:type="dxa"/>
            <w:tcBorders>
              <w:left w:val="single" w:sz="2" w:space="0" w:color="000000"/>
              <w:right w:val="single" w:sz="2" w:space="0" w:color="000000"/>
            </w:tcBorders>
          </w:tcPr>
          <w:p>
            <w:pPr/>
          </w:p>
        </w:tc>
        <w:tc>
          <w:tcPr>
            <w:tcW w:w="756" w:type="dxa"/>
            <w:tcBorders>
              <w:left w:val="single" w:sz="2" w:space="0" w:color="000000"/>
              <w:right w:val="single" w:sz="2" w:space="0" w:color="000000"/>
            </w:tcBorders>
          </w:tcPr>
          <w:p>
            <w:pPr/>
          </w:p>
        </w:tc>
        <w:tc>
          <w:tcPr>
            <w:tcW w:w="802" w:type="dxa"/>
            <w:tcBorders>
              <w:left w:val="single" w:sz="2" w:space="0" w:color="000000"/>
              <w:right w:val="single" w:sz="2" w:space="0" w:color="000000"/>
            </w:tcBorders>
          </w:tcPr>
          <w:p>
            <w:pPr/>
          </w:p>
        </w:tc>
        <w:tc>
          <w:tcPr>
            <w:tcW w:w="860" w:type="dxa"/>
            <w:tcBorders>
              <w:left w:val="single" w:sz="2" w:space="0" w:color="000000"/>
              <w:right w:val="single" w:sz="2" w:space="0" w:color="000000"/>
            </w:tcBorders>
          </w:tcPr>
          <w:p>
            <w:pPr/>
          </w:p>
        </w:tc>
        <w:tc>
          <w:tcPr>
            <w:tcW w:w="700" w:type="dxa"/>
            <w:tcBorders>
              <w:left w:val="single" w:sz="2" w:space="0" w:color="000000"/>
              <w:right w:val="single" w:sz="5" w:space="0" w:color="000000"/>
            </w:tcBorders>
          </w:tcPr>
          <w:p>
            <w:pPr/>
          </w:p>
        </w:tc>
      </w:tr>
      <w:tr>
        <w:trPr>
          <w:trHeight w:val="90" w:hRule="exact"/>
        </w:trPr>
        <w:tc>
          <w:tcPr>
            <w:tcW w:w="2479" w:type="dxa"/>
            <w:gridSpan w:val="2"/>
            <w:vMerge w:val="restart"/>
            <w:tcBorders>
              <w:left w:val="single" w:sz="2" w:space="0" w:color="000000"/>
            </w:tcBorders>
          </w:tcPr>
          <w:p>
            <w:pPr>
              <w:pStyle w:val="TableParagraph"/>
              <w:spacing w:before="1"/>
              <w:ind w:left="360" w:right="146"/>
              <w:jc w:val="left"/>
              <w:rPr>
                <w:sz w:val="7"/>
              </w:rPr>
            </w:pPr>
            <w:r>
              <w:rPr>
                <w:sz w:val="7"/>
              </w:rPr>
              <w:t>Índice de satisfacción del acreditado Infonavit</w:t>
            </w:r>
          </w:p>
          <w:p>
            <w:pPr>
              <w:pStyle w:val="TableParagraph"/>
              <w:spacing w:before="6"/>
              <w:ind w:right="352"/>
              <w:jc w:val="right"/>
              <w:rPr>
                <w:sz w:val="7"/>
              </w:rPr>
            </w:pPr>
            <w:r>
              <w:rPr>
                <w:w w:val="95"/>
                <w:sz w:val="7"/>
              </w:rPr>
              <w:t>Subtotal</w:t>
            </w:r>
          </w:p>
        </w:tc>
        <w:tc>
          <w:tcPr>
            <w:tcW w:w="759" w:type="dxa"/>
            <w:tcBorders>
              <w:bottom w:val="single" w:sz="2" w:space="0" w:color="FFFFFF"/>
              <w:right w:val="single" w:sz="2" w:space="0" w:color="000000"/>
            </w:tcBorders>
            <w:shd w:val="clear" w:color="auto" w:fill="BAF9F5"/>
          </w:tcPr>
          <w:p>
            <w:pPr>
              <w:pStyle w:val="TableParagraph"/>
              <w:spacing w:before="1"/>
              <w:ind w:left="75" w:right="72"/>
              <w:rPr>
                <w:sz w:val="7"/>
              </w:rPr>
            </w:pPr>
            <w:r>
              <w:rPr>
                <w:sz w:val="7"/>
              </w:rPr>
              <w:t>0.7</w:t>
            </w:r>
          </w:p>
        </w:tc>
        <w:tc>
          <w:tcPr>
            <w:tcW w:w="430" w:type="dxa"/>
            <w:tcBorders>
              <w:left w:val="single" w:sz="2" w:space="0" w:color="000000"/>
              <w:bottom w:val="single" w:sz="2" w:space="0" w:color="FFFFFF"/>
              <w:right w:val="single" w:sz="2" w:space="0" w:color="000000"/>
            </w:tcBorders>
            <w:shd w:val="clear" w:color="auto" w:fill="BAF9F5"/>
          </w:tcPr>
          <w:p>
            <w:pPr>
              <w:pStyle w:val="TableParagraph"/>
              <w:spacing w:before="1"/>
              <w:ind w:right="1"/>
              <w:rPr>
                <w:sz w:val="7"/>
              </w:rPr>
            </w:pPr>
            <w:r>
              <w:rPr>
                <w:sz w:val="7"/>
              </w:rPr>
              <w:t>0.7</w:t>
            </w:r>
          </w:p>
        </w:tc>
        <w:tc>
          <w:tcPr>
            <w:tcW w:w="657" w:type="dxa"/>
            <w:tcBorders>
              <w:left w:val="single" w:sz="2" w:space="0" w:color="000000"/>
              <w:bottom w:val="single" w:sz="2" w:space="0" w:color="FFFFFF"/>
              <w:right w:val="single" w:sz="2" w:space="0" w:color="000000"/>
            </w:tcBorders>
            <w:shd w:val="clear" w:color="auto" w:fill="BAF9F5"/>
          </w:tcPr>
          <w:p>
            <w:pPr>
              <w:pStyle w:val="TableParagraph"/>
              <w:spacing w:before="1"/>
              <w:ind w:left="4" w:right="1"/>
              <w:rPr>
                <w:sz w:val="7"/>
              </w:rPr>
            </w:pPr>
            <w:r>
              <w:rPr>
                <w:sz w:val="7"/>
              </w:rPr>
              <w:t>0.7</w:t>
            </w:r>
          </w:p>
        </w:tc>
        <w:tc>
          <w:tcPr>
            <w:tcW w:w="593" w:type="dxa"/>
            <w:tcBorders>
              <w:left w:val="single" w:sz="2" w:space="0" w:color="000000"/>
              <w:bottom w:val="single" w:sz="2" w:space="0" w:color="FFFFFF"/>
              <w:right w:val="single" w:sz="2" w:space="0" w:color="000000"/>
            </w:tcBorders>
            <w:shd w:val="clear" w:color="auto" w:fill="BAF9F5"/>
          </w:tcPr>
          <w:p>
            <w:pPr>
              <w:pStyle w:val="TableParagraph"/>
              <w:spacing w:before="1"/>
              <w:ind w:right="1"/>
              <w:rPr>
                <w:sz w:val="7"/>
              </w:rPr>
            </w:pPr>
            <w:r>
              <w:rPr>
                <w:sz w:val="7"/>
              </w:rPr>
              <w:t>0.7</w:t>
            </w:r>
          </w:p>
        </w:tc>
        <w:tc>
          <w:tcPr>
            <w:tcW w:w="791" w:type="dxa"/>
            <w:tcBorders>
              <w:left w:val="single" w:sz="2" w:space="0" w:color="000000"/>
              <w:bottom w:val="single" w:sz="2" w:space="0" w:color="FFFFFF"/>
              <w:right w:val="single" w:sz="2" w:space="0" w:color="000000"/>
            </w:tcBorders>
            <w:shd w:val="clear" w:color="auto" w:fill="BAF9F5"/>
          </w:tcPr>
          <w:p>
            <w:pPr>
              <w:pStyle w:val="TableParagraph"/>
              <w:spacing w:before="1"/>
              <w:ind w:left="303" w:right="304"/>
              <w:rPr>
                <w:sz w:val="7"/>
              </w:rPr>
            </w:pPr>
            <w:r>
              <w:rPr>
                <w:sz w:val="7"/>
              </w:rPr>
              <w:t>0.7</w:t>
            </w:r>
          </w:p>
        </w:tc>
        <w:tc>
          <w:tcPr>
            <w:tcW w:w="756" w:type="dxa"/>
            <w:tcBorders>
              <w:left w:val="single" w:sz="2" w:space="0" w:color="000000"/>
              <w:bottom w:val="single" w:sz="2" w:space="0" w:color="FFFFFF"/>
              <w:right w:val="single" w:sz="2" w:space="0" w:color="000000"/>
            </w:tcBorders>
            <w:shd w:val="clear" w:color="auto" w:fill="BAF9F5"/>
          </w:tcPr>
          <w:p>
            <w:pPr>
              <w:pStyle w:val="TableParagraph"/>
              <w:spacing w:before="1"/>
              <w:ind w:left="286" w:right="287"/>
              <w:rPr>
                <w:sz w:val="7"/>
              </w:rPr>
            </w:pPr>
            <w:r>
              <w:rPr>
                <w:sz w:val="7"/>
              </w:rPr>
              <w:t>0.7</w:t>
            </w:r>
          </w:p>
        </w:tc>
        <w:tc>
          <w:tcPr>
            <w:tcW w:w="802" w:type="dxa"/>
            <w:tcBorders>
              <w:left w:val="single" w:sz="2" w:space="0" w:color="000000"/>
              <w:bottom w:val="single" w:sz="2" w:space="0" w:color="FFFFFF"/>
              <w:right w:val="single" w:sz="2" w:space="0" w:color="000000"/>
            </w:tcBorders>
            <w:shd w:val="clear" w:color="auto" w:fill="BAF9F5"/>
          </w:tcPr>
          <w:p>
            <w:pPr>
              <w:pStyle w:val="TableParagraph"/>
              <w:spacing w:before="1"/>
              <w:ind w:right="1"/>
              <w:rPr>
                <w:sz w:val="7"/>
              </w:rPr>
            </w:pPr>
            <w:r>
              <w:rPr>
                <w:sz w:val="7"/>
              </w:rPr>
              <w:t>0.7</w:t>
            </w:r>
          </w:p>
        </w:tc>
        <w:tc>
          <w:tcPr>
            <w:tcW w:w="860" w:type="dxa"/>
            <w:tcBorders>
              <w:left w:val="single" w:sz="2" w:space="0" w:color="000000"/>
              <w:bottom w:val="single" w:sz="2" w:space="0" w:color="FFFFFF"/>
              <w:right w:val="single" w:sz="2" w:space="0" w:color="000000"/>
            </w:tcBorders>
            <w:shd w:val="clear" w:color="auto" w:fill="BAF9F5"/>
          </w:tcPr>
          <w:p>
            <w:pPr>
              <w:pStyle w:val="TableParagraph"/>
              <w:spacing w:before="1"/>
              <w:ind w:right="1"/>
              <w:rPr>
                <w:sz w:val="7"/>
              </w:rPr>
            </w:pPr>
            <w:r>
              <w:rPr>
                <w:sz w:val="7"/>
              </w:rPr>
              <w:t>0.7</w:t>
            </w:r>
          </w:p>
        </w:tc>
        <w:tc>
          <w:tcPr>
            <w:tcW w:w="700" w:type="dxa"/>
            <w:tcBorders>
              <w:left w:val="single" w:sz="2" w:space="0" w:color="000000"/>
              <w:bottom w:val="single" w:sz="2" w:space="0" w:color="FFFFFF"/>
              <w:right w:val="single" w:sz="5" w:space="0" w:color="000000"/>
            </w:tcBorders>
            <w:shd w:val="clear" w:color="auto" w:fill="BAF9F5"/>
          </w:tcPr>
          <w:p>
            <w:pPr>
              <w:pStyle w:val="TableParagraph"/>
              <w:spacing w:before="1"/>
              <w:ind w:left="9"/>
              <w:rPr>
                <w:sz w:val="7"/>
              </w:rPr>
            </w:pPr>
            <w:r>
              <w:rPr>
                <w:sz w:val="7"/>
              </w:rPr>
              <w:t>0.7</w:t>
            </w:r>
          </w:p>
        </w:tc>
      </w:tr>
      <w:tr>
        <w:trPr>
          <w:trHeight w:val="90" w:hRule="exact"/>
        </w:trPr>
        <w:tc>
          <w:tcPr>
            <w:tcW w:w="2479" w:type="dxa"/>
            <w:gridSpan w:val="2"/>
            <w:vMerge/>
            <w:tcBorders>
              <w:left w:val="single" w:sz="2" w:space="0" w:color="000000"/>
            </w:tcBorders>
          </w:tcPr>
          <w:p>
            <w:pPr/>
          </w:p>
        </w:tc>
        <w:tc>
          <w:tcPr>
            <w:tcW w:w="759" w:type="dxa"/>
            <w:tcBorders>
              <w:top w:val="single" w:sz="2" w:space="0" w:color="FFFFFF"/>
              <w:right w:val="single" w:sz="2" w:space="0" w:color="000000"/>
            </w:tcBorders>
            <w:shd w:val="clear" w:color="auto" w:fill="F79646"/>
          </w:tcPr>
          <w:p>
            <w:pPr>
              <w:pStyle w:val="TableParagraph"/>
              <w:spacing w:line="76" w:lineRule="exact"/>
              <w:ind w:left="75" w:right="72"/>
              <w:rPr>
                <w:sz w:val="7"/>
              </w:rPr>
            </w:pPr>
            <w:r>
              <w:rPr>
                <w:sz w:val="7"/>
              </w:rPr>
              <w:t>0.7</w:t>
            </w:r>
          </w:p>
        </w:tc>
        <w:tc>
          <w:tcPr>
            <w:tcW w:w="430" w:type="dxa"/>
            <w:tcBorders>
              <w:top w:val="single" w:sz="2" w:space="0" w:color="FFFFFF"/>
              <w:left w:val="single" w:sz="2" w:space="0" w:color="000000"/>
              <w:right w:val="single" w:sz="2" w:space="0" w:color="000000"/>
            </w:tcBorders>
            <w:shd w:val="clear" w:color="auto" w:fill="F79646"/>
          </w:tcPr>
          <w:p>
            <w:pPr>
              <w:pStyle w:val="TableParagraph"/>
              <w:spacing w:line="76" w:lineRule="exact"/>
              <w:ind w:right="1"/>
              <w:rPr>
                <w:sz w:val="7"/>
              </w:rPr>
            </w:pPr>
            <w:r>
              <w:rPr>
                <w:sz w:val="7"/>
              </w:rPr>
              <w:t>0.7</w:t>
            </w:r>
          </w:p>
        </w:tc>
        <w:tc>
          <w:tcPr>
            <w:tcW w:w="657" w:type="dxa"/>
            <w:tcBorders>
              <w:top w:val="single" w:sz="2" w:space="0" w:color="FFFFFF"/>
              <w:left w:val="single" w:sz="2" w:space="0" w:color="000000"/>
              <w:right w:val="single" w:sz="2" w:space="0" w:color="000000"/>
            </w:tcBorders>
            <w:shd w:val="clear" w:color="auto" w:fill="F79646"/>
          </w:tcPr>
          <w:p>
            <w:pPr>
              <w:pStyle w:val="TableParagraph"/>
              <w:spacing w:line="76" w:lineRule="exact"/>
              <w:ind w:left="4" w:right="1"/>
              <w:rPr>
                <w:sz w:val="7"/>
              </w:rPr>
            </w:pPr>
            <w:r>
              <w:rPr>
                <w:sz w:val="7"/>
              </w:rPr>
              <w:t>0.7</w:t>
            </w:r>
          </w:p>
        </w:tc>
        <w:tc>
          <w:tcPr>
            <w:tcW w:w="593" w:type="dxa"/>
            <w:tcBorders>
              <w:top w:val="single" w:sz="2" w:space="0" w:color="FFFFFF"/>
              <w:left w:val="single" w:sz="2" w:space="0" w:color="000000"/>
              <w:right w:val="single" w:sz="2" w:space="0" w:color="000000"/>
            </w:tcBorders>
            <w:shd w:val="clear" w:color="auto" w:fill="F79646"/>
          </w:tcPr>
          <w:p>
            <w:pPr>
              <w:pStyle w:val="TableParagraph"/>
              <w:spacing w:line="76" w:lineRule="exact"/>
              <w:ind w:right="1"/>
              <w:rPr>
                <w:sz w:val="7"/>
              </w:rPr>
            </w:pPr>
            <w:r>
              <w:rPr>
                <w:sz w:val="7"/>
              </w:rPr>
              <w:t>0.7</w:t>
            </w:r>
          </w:p>
        </w:tc>
        <w:tc>
          <w:tcPr>
            <w:tcW w:w="791" w:type="dxa"/>
            <w:tcBorders>
              <w:top w:val="single" w:sz="2" w:space="0" w:color="FFFFFF"/>
              <w:left w:val="single" w:sz="2" w:space="0" w:color="000000"/>
              <w:right w:val="single" w:sz="2" w:space="0" w:color="000000"/>
            </w:tcBorders>
            <w:shd w:val="clear" w:color="auto" w:fill="F79646"/>
          </w:tcPr>
          <w:p>
            <w:pPr>
              <w:pStyle w:val="TableParagraph"/>
              <w:spacing w:line="76" w:lineRule="exact"/>
              <w:ind w:left="303" w:right="304"/>
              <w:rPr>
                <w:sz w:val="7"/>
              </w:rPr>
            </w:pPr>
            <w:r>
              <w:rPr>
                <w:sz w:val="7"/>
              </w:rPr>
              <w:t>0.7</w:t>
            </w:r>
          </w:p>
        </w:tc>
        <w:tc>
          <w:tcPr>
            <w:tcW w:w="756" w:type="dxa"/>
            <w:tcBorders>
              <w:top w:val="single" w:sz="2" w:space="0" w:color="FFFFFF"/>
              <w:left w:val="single" w:sz="2" w:space="0" w:color="000000"/>
              <w:right w:val="single" w:sz="2" w:space="0" w:color="000000"/>
            </w:tcBorders>
            <w:shd w:val="clear" w:color="auto" w:fill="F79646"/>
          </w:tcPr>
          <w:p>
            <w:pPr>
              <w:pStyle w:val="TableParagraph"/>
              <w:spacing w:line="76" w:lineRule="exact"/>
              <w:ind w:left="286" w:right="287"/>
              <w:rPr>
                <w:sz w:val="7"/>
              </w:rPr>
            </w:pPr>
            <w:r>
              <w:rPr>
                <w:sz w:val="7"/>
              </w:rPr>
              <w:t>0.7</w:t>
            </w:r>
          </w:p>
        </w:tc>
        <w:tc>
          <w:tcPr>
            <w:tcW w:w="802" w:type="dxa"/>
            <w:tcBorders>
              <w:top w:val="single" w:sz="2" w:space="0" w:color="FFFFFF"/>
              <w:left w:val="single" w:sz="2" w:space="0" w:color="000000"/>
              <w:right w:val="single" w:sz="2" w:space="0" w:color="000000"/>
            </w:tcBorders>
            <w:shd w:val="clear" w:color="auto" w:fill="F79646"/>
          </w:tcPr>
          <w:p>
            <w:pPr>
              <w:pStyle w:val="TableParagraph"/>
              <w:spacing w:line="76" w:lineRule="exact"/>
              <w:ind w:right="1"/>
              <w:rPr>
                <w:sz w:val="7"/>
              </w:rPr>
            </w:pPr>
            <w:r>
              <w:rPr>
                <w:sz w:val="7"/>
              </w:rPr>
              <w:t>0.7</w:t>
            </w:r>
          </w:p>
        </w:tc>
        <w:tc>
          <w:tcPr>
            <w:tcW w:w="860" w:type="dxa"/>
            <w:tcBorders>
              <w:top w:val="single" w:sz="2" w:space="0" w:color="FFFFFF"/>
              <w:left w:val="single" w:sz="2" w:space="0" w:color="000000"/>
              <w:right w:val="single" w:sz="2" w:space="0" w:color="000000"/>
            </w:tcBorders>
            <w:shd w:val="clear" w:color="auto" w:fill="F79646"/>
          </w:tcPr>
          <w:p>
            <w:pPr>
              <w:pStyle w:val="TableParagraph"/>
              <w:spacing w:line="76" w:lineRule="exact"/>
              <w:ind w:right="1"/>
              <w:rPr>
                <w:sz w:val="7"/>
              </w:rPr>
            </w:pPr>
            <w:r>
              <w:rPr>
                <w:sz w:val="7"/>
              </w:rPr>
              <w:t>0.7</w:t>
            </w:r>
          </w:p>
        </w:tc>
        <w:tc>
          <w:tcPr>
            <w:tcW w:w="700" w:type="dxa"/>
            <w:tcBorders>
              <w:top w:val="single" w:sz="2" w:space="0" w:color="FFFFFF"/>
              <w:left w:val="single" w:sz="2" w:space="0" w:color="000000"/>
              <w:right w:val="single" w:sz="5" w:space="0" w:color="000000"/>
            </w:tcBorders>
            <w:shd w:val="clear" w:color="auto" w:fill="F79646"/>
          </w:tcPr>
          <w:p>
            <w:pPr>
              <w:pStyle w:val="TableParagraph"/>
              <w:spacing w:line="76" w:lineRule="exact"/>
              <w:ind w:left="9"/>
              <w:rPr>
                <w:sz w:val="7"/>
              </w:rPr>
            </w:pPr>
            <w:r>
              <w:rPr>
                <w:sz w:val="7"/>
              </w:rPr>
              <w:t>0.7</w:t>
            </w:r>
          </w:p>
        </w:tc>
      </w:tr>
      <w:tr>
        <w:trPr>
          <w:trHeight w:val="81" w:hRule="exact"/>
        </w:trPr>
        <w:tc>
          <w:tcPr>
            <w:tcW w:w="3238" w:type="dxa"/>
            <w:gridSpan w:val="3"/>
            <w:tcBorders>
              <w:left w:val="single" w:sz="2" w:space="0" w:color="000000"/>
              <w:right w:val="single" w:sz="2" w:space="0" w:color="000000"/>
            </w:tcBorders>
          </w:tcPr>
          <w:p>
            <w:pPr/>
          </w:p>
        </w:tc>
        <w:tc>
          <w:tcPr>
            <w:tcW w:w="430" w:type="dxa"/>
            <w:tcBorders>
              <w:left w:val="single" w:sz="2" w:space="0" w:color="000000"/>
              <w:right w:val="single" w:sz="2" w:space="0" w:color="000000"/>
            </w:tcBorders>
          </w:tcPr>
          <w:p>
            <w:pPr/>
          </w:p>
        </w:tc>
        <w:tc>
          <w:tcPr>
            <w:tcW w:w="657" w:type="dxa"/>
            <w:tcBorders>
              <w:left w:val="single" w:sz="2" w:space="0" w:color="000000"/>
              <w:right w:val="single" w:sz="2" w:space="0" w:color="000000"/>
            </w:tcBorders>
          </w:tcPr>
          <w:p>
            <w:pPr/>
          </w:p>
        </w:tc>
        <w:tc>
          <w:tcPr>
            <w:tcW w:w="593" w:type="dxa"/>
            <w:tcBorders>
              <w:left w:val="single" w:sz="2" w:space="0" w:color="000000"/>
              <w:right w:val="single" w:sz="2" w:space="0" w:color="000000"/>
            </w:tcBorders>
          </w:tcPr>
          <w:p>
            <w:pPr/>
          </w:p>
        </w:tc>
        <w:tc>
          <w:tcPr>
            <w:tcW w:w="791" w:type="dxa"/>
            <w:tcBorders>
              <w:left w:val="single" w:sz="2" w:space="0" w:color="000000"/>
              <w:right w:val="single" w:sz="2" w:space="0" w:color="000000"/>
            </w:tcBorders>
          </w:tcPr>
          <w:p>
            <w:pPr/>
          </w:p>
        </w:tc>
        <w:tc>
          <w:tcPr>
            <w:tcW w:w="756" w:type="dxa"/>
            <w:tcBorders>
              <w:left w:val="single" w:sz="2" w:space="0" w:color="000000"/>
              <w:right w:val="single" w:sz="2" w:space="0" w:color="000000"/>
            </w:tcBorders>
          </w:tcPr>
          <w:p>
            <w:pPr/>
          </w:p>
        </w:tc>
        <w:tc>
          <w:tcPr>
            <w:tcW w:w="802" w:type="dxa"/>
            <w:tcBorders>
              <w:left w:val="single" w:sz="2" w:space="0" w:color="000000"/>
              <w:right w:val="single" w:sz="2" w:space="0" w:color="000000"/>
            </w:tcBorders>
          </w:tcPr>
          <w:p>
            <w:pPr/>
          </w:p>
        </w:tc>
        <w:tc>
          <w:tcPr>
            <w:tcW w:w="860" w:type="dxa"/>
            <w:tcBorders>
              <w:left w:val="single" w:sz="2" w:space="0" w:color="000000"/>
              <w:right w:val="single" w:sz="2" w:space="0" w:color="000000"/>
            </w:tcBorders>
          </w:tcPr>
          <w:p>
            <w:pPr/>
          </w:p>
        </w:tc>
        <w:tc>
          <w:tcPr>
            <w:tcW w:w="700" w:type="dxa"/>
            <w:tcBorders>
              <w:left w:val="single" w:sz="2" w:space="0" w:color="000000"/>
              <w:right w:val="single" w:sz="5" w:space="0" w:color="000000"/>
            </w:tcBorders>
          </w:tcPr>
          <w:p>
            <w:pPr/>
          </w:p>
        </w:tc>
      </w:tr>
      <w:tr>
        <w:trPr>
          <w:trHeight w:val="90" w:hRule="exact"/>
        </w:trPr>
        <w:tc>
          <w:tcPr>
            <w:tcW w:w="2479" w:type="dxa"/>
            <w:gridSpan w:val="2"/>
            <w:vMerge w:val="restart"/>
            <w:tcBorders>
              <w:left w:val="single" w:sz="2" w:space="0" w:color="000000"/>
            </w:tcBorders>
          </w:tcPr>
          <w:p>
            <w:pPr>
              <w:pStyle w:val="TableParagraph"/>
              <w:spacing w:before="1"/>
              <w:ind w:left="360"/>
              <w:jc w:val="left"/>
              <w:rPr>
                <w:sz w:val="7"/>
              </w:rPr>
            </w:pPr>
            <w:r>
              <w:rPr>
                <w:sz w:val="7"/>
              </w:rPr>
              <w:t>Índice de satisfacción residencial       Sociedad Hipotecaria Federal</w:t>
            </w:r>
          </w:p>
          <w:p>
            <w:pPr>
              <w:pStyle w:val="TableParagraph"/>
              <w:spacing w:before="6"/>
              <w:ind w:right="352"/>
              <w:jc w:val="right"/>
              <w:rPr>
                <w:sz w:val="7"/>
              </w:rPr>
            </w:pPr>
            <w:r>
              <w:rPr>
                <w:w w:val="95"/>
                <w:sz w:val="7"/>
              </w:rPr>
              <w:t>Subtotal</w:t>
            </w:r>
          </w:p>
        </w:tc>
        <w:tc>
          <w:tcPr>
            <w:tcW w:w="759" w:type="dxa"/>
            <w:tcBorders>
              <w:bottom w:val="single" w:sz="2" w:space="0" w:color="FFFFFF"/>
              <w:right w:val="single" w:sz="2" w:space="0" w:color="000000"/>
            </w:tcBorders>
            <w:shd w:val="clear" w:color="auto" w:fill="BAF9F5"/>
          </w:tcPr>
          <w:p>
            <w:pPr>
              <w:pStyle w:val="TableParagraph"/>
              <w:spacing w:before="1"/>
              <w:ind w:left="3"/>
              <w:rPr>
                <w:sz w:val="7"/>
              </w:rPr>
            </w:pPr>
            <w:r>
              <w:rPr>
                <w:w w:val="99"/>
                <w:sz w:val="7"/>
              </w:rPr>
              <w:t>1</w:t>
            </w:r>
          </w:p>
        </w:tc>
        <w:tc>
          <w:tcPr>
            <w:tcW w:w="430" w:type="dxa"/>
            <w:tcBorders>
              <w:left w:val="single" w:sz="2" w:space="0" w:color="000000"/>
              <w:bottom w:val="single" w:sz="2" w:space="0" w:color="FFFFFF"/>
              <w:right w:val="single" w:sz="2" w:space="0" w:color="000000"/>
            </w:tcBorders>
            <w:shd w:val="clear" w:color="auto" w:fill="BAF9F5"/>
          </w:tcPr>
          <w:p>
            <w:pPr>
              <w:pStyle w:val="TableParagraph"/>
              <w:spacing w:before="1"/>
              <w:ind w:right="1"/>
              <w:rPr>
                <w:sz w:val="7"/>
              </w:rPr>
            </w:pPr>
            <w:r>
              <w:rPr>
                <w:w w:val="99"/>
                <w:sz w:val="7"/>
              </w:rPr>
              <w:t>1</w:t>
            </w:r>
          </w:p>
        </w:tc>
        <w:tc>
          <w:tcPr>
            <w:tcW w:w="657" w:type="dxa"/>
            <w:tcBorders>
              <w:left w:val="single" w:sz="2" w:space="0" w:color="000000"/>
              <w:bottom w:val="single" w:sz="2" w:space="0" w:color="FFFFFF"/>
              <w:right w:val="single" w:sz="2" w:space="0" w:color="000000"/>
            </w:tcBorders>
            <w:shd w:val="clear" w:color="auto" w:fill="BAF9F5"/>
          </w:tcPr>
          <w:p>
            <w:pPr>
              <w:pStyle w:val="TableParagraph"/>
              <w:spacing w:before="1"/>
              <w:ind w:left="3"/>
              <w:rPr>
                <w:sz w:val="7"/>
              </w:rPr>
            </w:pPr>
            <w:r>
              <w:rPr>
                <w:w w:val="99"/>
                <w:sz w:val="7"/>
              </w:rPr>
              <w:t>1</w:t>
            </w:r>
          </w:p>
        </w:tc>
        <w:tc>
          <w:tcPr>
            <w:tcW w:w="593" w:type="dxa"/>
            <w:tcBorders>
              <w:left w:val="single" w:sz="2" w:space="0" w:color="000000"/>
              <w:bottom w:val="single" w:sz="2" w:space="0" w:color="FFFFFF"/>
              <w:right w:val="single" w:sz="2" w:space="0" w:color="000000"/>
            </w:tcBorders>
            <w:shd w:val="clear" w:color="auto" w:fill="BAF9F5"/>
          </w:tcPr>
          <w:p>
            <w:pPr>
              <w:pStyle w:val="TableParagraph"/>
              <w:spacing w:before="1"/>
              <w:ind w:right="1"/>
              <w:rPr>
                <w:sz w:val="7"/>
              </w:rPr>
            </w:pPr>
            <w:r>
              <w:rPr>
                <w:w w:val="99"/>
                <w:sz w:val="7"/>
              </w:rPr>
              <w:t>1</w:t>
            </w:r>
          </w:p>
        </w:tc>
        <w:tc>
          <w:tcPr>
            <w:tcW w:w="791" w:type="dxa"/>
            <w:tcBorders>
              <w:left w:val="single" w:sz="2" w:space="0" w:color="000000"/>
              <w:bottom w:val="single" w:sz="2" w:space="0" w:color="FFFFFF"/>
              <w:right w:val="single" w:sz="2" w:space="0" w:color="000000"/>
            </w:tcBorders>
            <w:shd w:val="clear" w:color="auto" w:fill="BAF9F5"/>
          </w:tcPr>
          <w:p>
            <w:pPr>
              <w:pStyle w:val="TableParagraph"/>
              <w:spacing w:before="1"/>
              <w:ind w:right="1"/>
              <w:rPr>
                <w:sz w:val="7"/>
              </w:rPr>
            </w:pPr>
            <w:r>
              <w:rPr>
                <w:w w:val="99"/>
                <w:sz w:val="7"/>
              </w:rPr>
              <w:t>1</w:t>
            </w:r>
          </w:p>
        </w:tc>
        <w:tc>
          <w:tcPr>
            <w:tcW w:w="756" w:type="dxa"/>
            <w:tcBorders>
              <w:left w:val="single" w:sz="2" w:space="0" w:color="000000"/>
              <w:bottom w:val="single" w:sz="2" w:space="0" w:color="FFFFFF"/>
              <w:right w:val="single" w:sz="2" w:space="0" w:color="000000"/>
            </w:tcBorders>
            <w:shd w:val="clear" w:color="auto" w:fill="BAF9F5"/>
          </w:tcPr>
          <w:p>
            <w:pPr>
              <w:pStyle w:val="TableParagraph"/>
              <w:spacing w:before="1"/>
              <w:ind w:right="1"/>
              <w:rPr>
                <w:sz w:val="7"/>
              </w:rPr>
            </w:pPr>
            <w:r>
              <w:rPr>
                <w:w w:val="99"/>
                <w:sz w:val="7"/>
              </w:rPr>
              <w:t>1</w:t>
            </w:r>
          </w:p>
        </w:tc>
        <w:tc>
          <w:tcPr>
            <w:tcW w:w="802" w:type="dxa"/>
            <w:tcBorders>
              <w:left w:val="single" w:sz="2" w:space="0" w:color="000000"/>
              <w:bottom w:val="single" w:sz="2" w:space="0" w:color="FFFFFF"/>
              <w:right w:val="single" w:sz="2" w:space="0" w:color="000000"/>
            </w:tcBorders>
            <w:shd w:val="clear" w:color="auto" w:fill="BAF9F5"/>
          </w:tcPr>
          <w:p>
            <w:pPr>
              <w:pStyle w:val="TableParagraph"/>
              <w:spacing w:before="1"/>
              <w:ind w:right="1"/>
              <w:rPr>
                <w:sz w:val="7"/>
              </w:rPr>
            </w:pPr>
            <w:r>
              <w:rPr>
                <w:w w:val="99"/>
                <w:sz w:val="7"/>
              </w:rPr>
              <w:t>1</w:t>
            </w:r>
          </w:p>
        </w:tc>
        <w:tc>
          <w:tcPr>
            <w:tcW w:w="860" w:type="dxa"/>
            <w:tcBorders>
              <w:left w:val="single" w:sz="2" w:space="0" w:color="000000"/>
              <w:bottom w:val="single" w:sz="2" w:space="0" w:color="FFFFFF"/>
              <w:right w:val="single" w:sz="2" w:space="0" w:color="000000"/>
            </w:tcBorders>
            <w:shd w:val="clear" w:color="auto" w:fill="BAF9F5"/>
          </w:tcPr>
          <w:p>
            <w:pPr>
              <w:pStyle w:val="TableParagraph"/>
              <w:spacing w:before="1"/>
              <w:ind w:right="1"/>
              <w:rPr>
                <w:sz w:val="7"/>
              </w:rPr>
            </w:pPr>
            <w:r>
              <w:rPr>
                <w:w w:val="99"/>
                <w:sz w:val="7"/>
              </w:rPr>
              <w:t>1</w:t>
            </w:r>
          </w:p>
        </w:tc>
        <w:tc>
          <w:tcPr>
            <w:tcW w:w="700" w:type="dxa"/>
            <w:tcBorders>
              <w:left w:val="single" w:sz="2" w:space="0" w:color="000000"/>
              <w:bottom w:val="single" w:sz="2" w:space="0" w:color="FFFFFF"/>
              <w:right w:val="single" w:sz="5" w:space="0" w:color="000000"/>
            </w:tcBorders>
            <w:shd w:val="clear" w:color="auto" w:fill="BAF9F5"/>
          </w:tcPr>
          <w:p>
            <w:pPr>
              <w:pStyle w:val="TableParagraph"/>
              <w:spacing w:before="1"/>
              <w:ind w:left="9"/>
              <w:rPr>
                <w:sz w:val="7"/>
              </w:rPr>
            </w:pPr>
            <w:r>
              <w:rPr>
                <w:w w:val="99"/>
                <w:sz w:val="7"/>
              </w:rPr>
              <w:t>1</w:t>
            </w:r>
          </w:p>
        </w:tc>
      </w:tr>
      <w:tr>
        <w:trPr>
          <w:trHeight w:val="90" w:hRule="exact"/>
        </w:trPr>
        <w:tc>
          <w:tcPr>
            <w:tcW w:w="2479" w:type="dxa"/>
            <w:gridSpan w:val="2"/>
            <w:vMerge/>
            <w:tcBorders>
              <w:left w:val="single" w:sz="2" w:space="0" w:color="000000"/>
            </w:tcBorders>
          </w:tcPr>
          <w:p>
            <w:pPr/>
          </w:p>
        </w:tc>
        <w:tc>
          <w:tcPr>
            <w:tcW w:w="759" w:type="dxa"/>
            <w:tcBorders>
              <w:top w:val="single" w:sz="2" w:space="0" w:color="FFFFFF"/>
              <w:right w:val="single" w:sz="2" w:space="0" w:color="000000"/>
            </w:tcBorders>
            <w:shd w:val="clear" w:color="auto" w:fill="F79646"/>
          </w:tcPr>
          <w:p>
            <w:pPr>
              <w:pStyle w:val="TableParagraph"/>
              <w:spacing w:line="76" w:lineRule="exact"/>
              <w:ind w:left="3"/>
              <w:rPr>
                <w:sz w:val="7"/>
              </w:rPr>
            </w:pPr>
            <w:r>
              <w:rPr>
                <w:w w:val="99"/>
                <w:sz w:val="7"/>
              </w:rPr>
              <w:t>1</w:t>
            </w:r>
          </w:p>
        </w:tc>
        <w:tc>
          <w:tcPr>
            <w:tcW w:w="430" w:type="dxa"/>
            <w:tcBorders>
              <w:top w:val="single" w:sz="2" w:space="0" w:color="FFFFFF"/>
              <w:left w:val="single" w:sz="2" w:space="0" w:color="000000"/>
              <w:right w:val="single" w:sz="2" w:space="0" w:color="000000"/>
            </w:tcBorders>
            <w:shd w:val="clear" w:color="auto" w:fill="F79646"/>
          </w:tcPr>
          <w:p>
            <w:pPr>
              <w:pStyle w:val="TableParagraph"/>
              <w:spacing w:line="76" w:lineRule="exact"/>
              <w:ind w:right="1"/>
              <w:rPr>
                <w:sz w:val="7"/>
              </w:rPr>
            </w:pPr>
            <w:r>
              <w:rPr>
                <w:w w:val="99"/>
                <w:sz w:val="7"/>
              </w:rPr>
              <w:t>1</w:t>
            </w:r>
          </w:p>
        </w:tc>
        <w:tc>
          <w:tcPr>
            <w:tcW w:w="657" w:type="dxa"/>
            <w:tcBorders>
              <w:top w:val="single" w:sz="2" w:space="0" w:color="FFFFFF"/>
              <w:left w:val="single" w:sz="2" w:space="0" w:color="000000"/>
              <w:right w:val="single" w:sz="2" w:space="0" w:color="000000"/>
            </w:tcBorders>
            <w:shd w:val="clear" w:color="auto" w:fill="F79646"/>
          </w:tcPr>
          <w:p>
            <w:pPr>
              <w:pStyle w:val="TableParagraph"/>
              <w:spacing w:line="76" w:lineRule="exact"/>
              <w:ind w:left="3"/>
              <w:rPr>
                <w:sz w:val="7"/>
              </w:rPr>
            </w:pPr>
            <w:r>
              <w:rPr>
                <w:w w:val="99"/>
                <w:sz w:val="7"/>
              </w:rPr>
              <w:t>1</w:t>
            </w:r>
          </w:p>
        </w:tc>
        <w:tc>
          <w:tcPr>
            <w:tcW w:w="593" w:type="dxa"/>
            <w:tcBorders>
              <w:top w:val="single" w:sz="2" w:space="0" w:color="FFFFFF"/>
              <w:left w:val="single" w:sz="2" w:space="0" w:color="000000"/>
              <w:right w:val="single" w:sz="2" w:space="0" w:color="000000"/>
            </w:tcBorders>
            <w:shd w:val="clear" w:color="auto" w:fill="F79646"/>
          </w:tcPr>
          <w:p>
            <w:pPr>
              <w:pStyle w:val="TableParagraph"/>
              <w:spacing w:line="76" w:lineRule="exact"/>
              <w:ind w:right="1"/>
              <w:rPr>
                <w:sz w:val="7"/>
              </w:rPr>
            </w:pPr>
            <w:r>
              <w:rPr>
                <w:w w:val="99"/>
                <w:sz w:val="7"/>
              </w:rPr>
              <w:t>1</w:t>
            </w:r>
          </w:p>
        </w:tc>
        <w:tc>
          <w:tcPr>
            <w:tcW w:w="791" w:type="dxa"/>
            <w:tcBorders>
              <w:top w:val="single" w:sz="2" w:space="0" w:color="FFFFFF"/>
              <w:left w:val="single" w:sz="2" w:space="0" w:color="000000"/>
              <w:right w:val="single" w:sz="2" w:space="0" w:color="000000"/>
            </w:tcBorders>
            <w:shd w:val="clear" w:color="auto" w:fill="F79646"/>
          </w:tcPr>
          <w:p>
            <w:pPr>
              <w:pStyle w:val="TableParagraph"/>
              <w:spacing w:line="76" w:lineRule="exact"/>
              <w:ind w:right="1"/>
              <w:rPr>
                <w:sz w:val="7"/>
              </w:rPr>
            </w:pPr>
            <w:r>
              <w:rPr>
                <w:w w:val="99"/>
                <w:sz w:val="7"/>
              </w:rPr>
              <w:t>1</w:t>
            </w:r>
          </w:p>
        </w:tc>
        <w:tc>
          <w:tcPr>
            <w:tcW w:w="756" w:type="dxa"/>
            <w:tcBorders>
              <w:top w:val="single" w:sz="2" w:space="0" w:color="FFFFFF"/>
              <w:left w:val="single" w:sz="2" w:space="0" w:color="000000"/>
              <w:right w:val="single" w:sz="2" w:space="0" w:color="000000"/>
            </w:tcBorders>
            <w:shd w:val="clear" w:color="auto" w:fill="F79646"/>
          </w:tcPr>
          <w:p>
            <w:pPr>
              <w:pStyle w:val="TableParagraph"/>
              <w:spacing w:line="76" w:lineRule="exact"/>
              <w:ind w:right="1"/>
              <w:rPr>
                <w:sz w:val="7"/>
              </w:rPr>
            </w:pPr>
            <w:r>
              <w:rPr>
                <w:w w:val="99"/>
                <w:sz w:val="7"/>
              </w:rPr>
              <w:t>1</w:t>
            </w:r>
          </w:p>
        </w:tc>
        <w:tc>
          <w:tcPr>
            <w:tcW w:w="802" w:type="dxa"/>
            <w:tcBorders>
              <w:top w:val="single" w:sz="2" w:space="0" w:color="FFFFFF"/>
              <w:left w:val="single" w:sz="2" w:space="0" w:color="000000"/>
              <w:right w:val="single" w:sz="2" w:space="0" w:color="000000"/>
            </w:tcBorders>
            <w:shd w:val="clear" w:color="auto" w:fill="F79646"/>
          </w:tcPr>
          <w:p>
            <w:pPr>
              <w:pStyle w:val="TableParagraph"/>
              <w:spacing w:line="76" w:lineRule="exact"/>
              <w:ind w:right="1"/>
              <w:rPr>
                <w:sz w:val="7"/>
              </w:rPr>
            </w:pPr>
            <w:r>
              <w:rPr>
                <w:w w:val="99"/>
                <w:sz w:val="7"/>
              </w:rPr>
              <w:t>1</w:t>
            </w:r>
          </w:p>
        </w:tc>
        <w:tc>
          <w:tcPr>
            <w:tcW w:w="860" w:type="dxa"/>
            <w:tcBorders>
              <w:top w:val="single" w:sz="2" w:space="0" w:color="FFFFFF"/>
              <w:left w:val="single" w:sz="2" w:space="0" w:color="000000"/>
              <w:right w:val="single" w:sz="2" w:space="0" w:color="000000"/>
            </w:tcBorders>
            <w:shd w:val="clear" w:color="auto" w:fill="F79646"/>
          </w:tcPr>
          <w:p>
            <w:pPr>
              <w:pStyle w:val="TableParagraph"/>
              <w:spacing w:line="76" w:lineRule="exact"/>
              <w:ind w:right="1"/>
              <w:rPr>
                <w:sz w:val="7"/>
              </w:rPr>
            </w:pPr>
            <w:r>
              <w:rPr>
                <w:w w:val="99"/>
                <w:sz w:val="7"/>
              </w:rPr>
              <w:t>1</w:t>
            </w:r>
          </w:p>
        </w:tc>
        <w:tc>
          <w:tcPr>
            <w:tcW w:w="700" w:type="dxa"/>
            <w:tcBorders>
              <w:top w:val="single" w:sz="2" w:space="0" w:color="FFFFFF"/>
              <w:left w:val="single" w:sz="2" w:space="0" w:color="000000"/>
              <w:right w:val="single" w:sz="5" w:space="0" w:color="000000"/>
            </w:tcBorders>
            <w:shd w:val="clear" w:color="auto" w:fill="F79646"/>
          </w:tcPr>
          <w:p>
            <w:pPr>
              <w:pStyle w:val="TableParagraph"/>
              <w:spacing w:line="76" w:lineRule="exact"/>
              <w:ind w:left="9"/>
              <w:rPr>
                <w:sz w:val="7"/>
              </w:rPr>
            </w:pPr>
            <w:r>
              <w:rPr>
                <w:w w:val="99"/>
                <w:sz w:val="7"/>
              </w:rPr>
              <w:t>1</w:t>
            </w:r>
          </w:p>
        </w:tc>
      </w:tr>
      <w:tr>
        <w:trPr>
          <w:trHeight w:val="261" w:hRule="exact"/>
        </w:trPr>
        <w:tc>
          <w:tcPr>
            <w:tcW w:w="319" w:type="dxa"/>
            <w:tcBorders>
              <w:left w:val="single" w:sz="2" w:space="0" w:color="000000"/>
              <w:bottom w:val="single" w:sz="5" w:space="0" w:color="000000"/>
            </w:tcBorders>
          </w:tcPr>
          <w:p>
            <w:pPr/>
          </w:p>
        </w:tc>
        <w:tc>
          <w:tcPr>
            <w:tcW w:w="2160" w:type="dxa"/>
            <w:tcBorders>
              <w:bottom w:val="single" w:sz="5" w:space="0" w:color="000000"/>
            </w:tcBorders>
          </w:tcPr>
          <w:p>
            <w:pPr>
              <w:pStyle w:val="TableParagraph"/>
              <w:spacing w:before="2"/>
              <w:jc w:val="left"/>
              <w:rPr>
                <w:sz w:val="7"/>
              </w:rPr>
            </w:pPr>
          </w:p>
          <w:p>
            <w:pPr>
              <w:pStyle w:val="TableParagraph"/>
              <w:ind w:right="358"/>
              <w:jc w:val="right"/>
              <w:rPr>
                <w:sz w:val="7"/>
              </w:rPr>
            </w:pPr>
            <w:r>
              <w:rPr>
                <w:sz w:val="7"/>
              </w:rPr>
              <w:t>Total IS</w:t>
            </w:r>
          </w:p>
        </w:tc>
        <w:tc>
          <w:tcPr>
            <w:tcW w:w="759" w:type="dxa"/>
            <w:tcBorders>
              <w:bottom w:val="single" w:sz="4" w:space="0" w:color="000000"/>
              <w:right w:val="single" w:sz="2" w:space="0" w:color="000000"/>
            </w:tcBorders>
          </w:tcPr>
          <w:p>
            <w:pPr>
              <w:pStyle w:val="TableParagraph"/>
              <w:spacing w:before="2"/>
              <w:jc w:val="left"/>
              <w:rPr>
                <w:sz w:val="7"/>
              </w:rPr>
            </w:pPr>
          </w:p>
          <w:p>
            <w:pPr>
              <w:pStyle w:val="TableParagraph"/>
              <w:ind w:left="74" w:right="72"/>
              <w:rPr>
                <w:sz w:val="7"/>
              </w:rPr>
            </w:pPr>
            <w:r>
              <w:rPr>
                <w:sz w:val="7"/>
              </w:rPr>
              <w:t>11.6</w:t>
            </w:r>
          </w:p>
        </w:tc>
        <w:tc>
          <w:tcPr>
            <w:tcW w:w="430" w:type="dxa"/>
            <w:tcBorders>
              <w:left w:val="single" w:sz="2" w:space="0" w:color="000000"/>
              <w:bottom w:val="single" w:sz="4" w:space="0" w:color="000000"/>
              <w:right w:val="single" w:sz="2" w:space="0" w:color="000000"/>
            </w:tcBorders>
          </w:tcPr>
          <w:p>
            <w:pPr>
              <w:pStyle w:val="TableParagraph"/>
              <w:spacing w:before="2"/>
              <w:jc w:val="left"/>
              <w:rPr>
                <w:sz w:val="7"/>
              </w:rPr>
            </w:pPr>
          </w:p>
          <w:p>
            <w:pPr>
              <w:pStyle w:val="TableParagraph"/>
              <w:ind w:left="4" w:right="2"/>
              <w:rPr>
                <w:sz w:val="7"/>
              </w:rPr>
            </w:pPr>
            <w:r>
              <w:rPr>
                <w:sz w:val="7"/>
              </w:rPr>
              <w:t>12.8</w:t>
            </w:r>
          </w:p>
        </w:tc>
        <w:tc>
          <w:tcPr>
            <w:tcW w:w="657" w:type="dxa"/>
            <w:tcBorders>
              <w:left w:val="single" w:sz="2" w:space="0" w:color="000000"/>
              <w:bottom w:val="single" w:sz="4" w:space="0" w:color="000000"/>
              <w:right w:val="single" w:sz="2" w:space="0" w:color="000000"/>
            </w:tcBorders>
          </w:tcPr>
          <w:p>
            <w:pPr>
              <w:pStyle w:val="TableParagraph"/>
              <w:spacing w:before="2"/>
              <w:jc w:val="left"/>
              <w:rPr>
                <w:sz w:val="7"/>
              </w:rPr>
            </w:pPr>
          </w:p>
          <w:p>
            <w:pPr>
              <w:pStyle w:val="TableParagraph"/>
              <w:ind w:left="3" w:right="1"/>
              <w:rPr>
                <w:sz w:val="7"/>
              </w:rPr>
            </w:pPr>
            <w:r>
              <w:rPr>
                <w:sz w:val="7"/>
              </w:rPr>
              <w:t>11.6</w:t>
            </w:r>
          </w:p>
        </w:tc>
        <w:tc>
          <w:tcPr>
            <w:tcW w:w="593" w:type="dxa"/>
            <w:tcBorders>
              <w:left w:val="single" w:sz="2" w:space="0" w:color="000000"/>
              <w:bottom w:val="single" w:sz="4" w:space="0" w:color="000000"/>
              <w:right w:val="single" w:sz="2" w:space="0" w:color="000000"/>
            </w:tcBorders>
          </w:tcPr>
          <w:p>
            <w:pPr>
              <w:pStyle w:val="TableParagraph"/>
              <w:spacing w:before="2"/>
              <w:jc w:val="left"/>
              <w:rPr>
                <w:sz w:val="7"/>
              </w:rPr>
            </w:pPr>
          </w:p>
          <w:p>
            <w:pPr>
              <w:pStyle w:val="TableParagraph"/>
              <w:ind w:left="3" w:right="1"/>
              <w:rPr>
                <w:sz w:val="7"/>
              </w:rPr>
            </w:pPr>
            <w:r>
              <w:rPr>
                <w:sz w:val="7"/>
              </w:rPr>
              <w:t>10.4</w:t>
            </w:r>
          </w:p>
        </w:tc>
        <w:tc>
          <w:tcPr>
            <w:tcW w:w="791" w:type="dxa"/>
            <w:tcBorders>
              <w:left w:val="single" w:sz="2" w:space="0" w:color="000000"/>
              <w:bottom w:val="single" w:sz="4" w:space="0" w:color="000000"/>
              <w:right w:val="single" w:sz="2" w:space="0" w:color="000000"/>
            </w:tcBorders>
          </w:tcPr>
          <w:p>
            <w:pPr>
              <w:pStyle w:val="TableParagraph"/>
              <w:spacing w:before="2"/>
              <w:jc w:val="left"/>
              <w:rPr>
                <w:sz w:val="7"/>
              </w:rPr>
            </w:pPr>
          </w:p>
          <w:p>
            <w:pPr>
              <w:pStyle w:val="TableParagraph"/>
              <w:ind w:left="303" w:right="304"/>
              <w:rPr>
                <w:sz w:val="7"/>
              </w:rPr>
            </w:pPr>
            <w:r>
              <w:rPr>
                <w:sz w:val="7"/>
              </w:rPr>
              <w:t>11.2</w:t>
            </w:r>
          </w:p>
        </w:tc>
        <w:tc>
          <w:tcPr>
            <w:tcW w:w="756" w:type="dxa"/>
            <w:tcBorders>
              <w:left w:val="single" w:sz="2" w:space="0" w:color="000000"/>
              <w:bottom w:val="single" w:sz="4" w:space="0" w:color="000000"/>
              <w:right w:val="single" w:sz="2" w:space="0" w:color="000000"/>
            </w:tcBorders>
          </w:tcPr>
          <w:p>
            <w:pPr>
              <w:pStyle w:val="TableParagraph"/>
              <w:spacing w:before="2"/>
              <w:jc w:val="left"/>
              <w:rPr>
                <w:sz w:val="7"/>
              </w:rPr>
            </w:pPr>
          </w:p>
          <w:p>
            <w:pPr>
              <w:pStyle w:val="TableParagraph"/>
              <w:ind w:left="286" w:right="287"/>
              <w:rPr>
                <w:sz w:val="7"/>
              </w:rPr>
            </w:pPr>
            <w:r>
              <w:rPr>
                <w:sz w:val="7"/>
              </w:rPr>
              <w:t>11.6</w:t>
            </w:r>
          </w:p>
        </w:tc>
        <w:tc>
          <w:tcPr>
            <w:tcW w:w="802" w:type="dxa"/>
            <w:tcBorders>
              <w:left w:val="single" w:sz="2" w:space="0" w:color="000000"/>
              <w:bottom w:val="single" w:sz="4" w:space="0" w:color="000000"/>
              <w:right w:val="single" w:sz="2" w:space="0" w:color="000000"/>
            </w:tcBorders>
          </w:tcPr>
          <w:p>
            <w:pPr>
              <w:pStyle w:val="TableParagraph"/>
              <w:spacing w:before="2"/>
              <w:jc w:val="left"/>
              <w:rPr>
                <w:sz w:val="7"/>
              </w:rPr>
            </w:pPr>
          </w:p>
          <w:p>
            <w:pPr>
              <w:pStyle w:val="TableParagraph"/>
              <w:ind w:left="3" w:right="1"/>
              <w:rPr>
                <w:sz w:val="7"/>
              </w:rPr>
            </w:pPr>
            <w:r>
              <w:rPr>
                <w:sz w:val="7"/>
              </w:rPr>
              <w:t>12.1</w:t>
            </w:r>
          </w:p>
        </w:tc>
        <w:tc>
          <w:tcPr>
            <w:tcW w:w="860" w:type="dxa"/>
            <w:tcBorders>
              <w:left w:val="single" w:sz="2" w:space="0" w:color="000000"/>
              <w:bottom w:val="single" w:sz="4" w:space="0" w:color="000000"/>
              <w:right w:val="single" w:sz="2" w:space="0" w:color="000000"/>
            </w:tcBorders>
          </w:tcPr>
          <w:p>
            <w:pPr>
              <w:pStyle w:val="TableParagraph"/>
              <w:spacing w:before="2"/>
              <w:jc w:val="left"/>
              <w:rPr>
                <w:sz w:val="7"/>
              </w:rPr>
            </w:pPr>
          </w:p>
          <w:p>
            <w:pPr>
              <w:pStyle w:val="TableParagraph"/>
              <w:ind w:right="1"/>
              <w:rPr>
                <w:sz w:val="7"/>
              </w:rPr>
            </w:pPr>
            <w:r>
              <w:rPr>
                <w:sz w:val="7"/>
              </w:rPr>
              <w:t>11.6</w:t>
            </w:r>
          </w:p>
        </w:tc>
        <w:tc>
          <w:tcPr>
            <w:tcW w:w="700" w:type="dxa"/>
            <w:tcBorders>
              <w:left w:val="single" w:sz="2" w:space="0" w:color="000000"/>
              <w:bottom w:val="single" w:sz="4" w:space="0" w:color="000000"/>
              <w:right w:val="single" w:sz="5" w:space="0" w:color="000000"/>
            </w:tcBorders>
          </w:tcPr>
          <w:p>
            <w:pPr>
              <w:pStyle w:val="TableParagraph"/>
              <w:spacing w:before="2"/>
              <w:jc w:val="left"/>
              <w:rPr>
                <w:sz w:val="7"/>
              </w:rPr>
            </w:pPr>
          </w:p>
          <w:p>
            <w:pPr>
              <w:pStyle w:val="TableParagraph"/>
              <w:ind w:left="2"/>
              <w:rPr>
                <w:sz w:val="7"/>
              </w:rPr>
            </w:pPr>
            <w:r>
              <w:rPr>
                <w:sz w:val="7"/>
              </w:rPr>
              <w:t>12.1</w:t>
            </w:r>
          </w:p>
        </w:tc>
      </w:tr>
    </w:tbl>
    <w:p>
      <w:pPr>
        <w:spacing w:before="129"/>
        <w:ind w:left="268" w:right="0" w:firstLine="0"/>
        <w:jc w:val="both"/>
        <w:rPr>
          <w:sz w:val="21"/>
        </w:rPr>
      </w:pPr>
      <w:r>
        <w:rPr/>
        <w:pict>
          <v:group style="position:absolute;margin-left:223.421997pt;margin-top:-9.449707pt;width:317.7pt;height:5pt;mso-position-horizontal-relative:page;mso-position-vertical-relative:paragraph;z-index:-1145056" coordorigin="4468,-189" coordsize="6354,100">
            <v:line style="position:absolute" from="4471,-186" to="4471,-93" stroked="true" strokeweight=".290pt" strokecolor="#f79646"/>
            <v:rect style="position:absolute;left:4474;top:-186;width:6347;height:93" filled="true" fillcolor="#f79646" stroked="false">
              <v:fill type="solid"/>
            </v:rect>
            <w10:wrap type="none"/>
          </v:group>
        </w:pict>
      </w:r>
      <w:r>
        <w:rPr>
          <w:w w:val="105"/>
          <w:sz w:val="21"/>
        </w:rPr>
        <w:t>Fuente: Elaboración propia con base al estudio realizado.</w:t>
      </w:r>
    </w:p>
    <w:p>
      <w:pPr>
        <w:spacing w:after="0"/>
        <w:jc w:val="both"/>
        <w:rPr>
          <w:sz w:val="21"/>
        </w:rPr>
        <w:sectPr>
          <w:pgSz w:w="12240" w:h="15840"/>
          <w:pgMar w:header="730" w:footer="1066" w:top="1320" w:bottom="1260" w:left="1720" w:right="1180"/>
        </w:sectPr>
      </w:pPr>
    </w:p>
    <w:p>
      <w:pPr>
        <w:pStyle w:val="BodyText"/>
        <w:rPr>
          <w:sz w:val="20"/>
        </w:rPr>
      </w:pPr>
    </w:p>
    <w:p>
      <w:pPr>
        <w:pStyle w:val="BodyText"/>
        <w:rPr>
          <w:sz w:val="20"/>
        </w:rPr>
      </w:pPr>
    </w:p>
    <w:p>
      <w:pPr>
        <w:pStyle w:val="BodyText"/>
        <w:spacing w:before="5"/>
      </w:pPr>
    </w:p>
    <w:p>
      <w:pPr>
        <w:pStyle w:val="BodyText"/>
        <w:spacing w:line="360" w:lineRule="auto" w:before="69"/>
        <w:ind w:left="268" w:right="231"/>
        <w:jc w:val="both"/>
      </w:pPr>
      <w:r>
        <w:rPr/>
        <w:pict>
          <v:line style="position:absolute;mso-position-horizontal-relative:page;mso-position-vertical-relative:paragraph;z-index:13000" from="93.199997pt,-46.254108pt" to="546.799997pt,-46.254108pt" stroked="true" strokeweight=".479981pt" strokecolor="#000000">
            <w10:wrap type="none"/>
          </v:line>
        </w:pict>
      </w:r>
      <w:r>
        <w:rPr/>
        <w:t>La tabla 34 muestra los resultados obtenidos en el sistema de indicadores referente al índice ambiental y sus respectivos subíndices de los nueve conjuntos urbanos autorizados en el municipio de Calimaya, siendo el CU denominado Rancho la Providencia el evaluado con el menor puntaje, en contra parte los mejor evaluados fueron; San Ándres, Valle del Nevado y Bosque de las fuentes, cabe mencionar que los resultados obtenidos se encuentran por debajo de resultado deseable, los indicadores relacionados con infraestructura, ecotecnologia y educación ambiental impactaron de manera positiva y negativa los resultados obtenidos por los conjuntos urbanos.</w:t>
      </w:r>
    </w:p>
    <w:p>
      <w:pPr>
        <w:pStyle w:val="BodyText"/>
      </w:pPr>
    </w:p>
    <w:p>
      <w:pPr>
        <w:pStyle w:val="BodyText"/>
      </w:pPr>
    </w:p>
    <w:p>
      <w:pPr>
        <w:pStyle w:val="BodyText"/>
        <w:spacing w:before="1"/>
        <w:rPr>
          <w:sz w:val="21"/>
        </w:rPr>
      </w:pPr>
    </w:p>
    <w:p>
      <w:pPr>
        <w:pStyle w:val="BodyText"/>
        <w:ind w:left="268"/>
        <w:jc w:val="both"/>
      </w:pPr>
      <w:r>
        <w:rPr/>
        <w:t>Tabla 34. Indicadores ambientales</w:t>
      </w:r>
    </w:p>
    <w:p>
      <w:pPr>
        <w:pStyle w:val="BodyText"/>
        <w:spacing w:before="10"/>
        <w:rPr>
          <w:sz w:val="12"/>
        </w:rPr>
      </w:pP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34"/>
        <w:gridCol w:w="1145"/>
        <w:gridCol w:w="759"/>
        <w:gridCol w:w="430"/>
        <w:gridCol w:w="657"/>
        <w:gridCol w:w="593"/>
        <w:gridCol w:w="791"/>
        <w:gridCol w:w="756"/>
        <w:gridCol w:w="802"/>
        <w:gridCol w:w="860"/>
        <w:gridCol w:w="700"/>
      </w:tblGrid>
      <w:tr>
        <w:trPr>
          <w:trHeight w:val="236" w:hRule="exact"/>
        </w:trPr>
        <w:tc>
          <w:tcPr>
            <w:tcW w:w="8826" w:type="dxa"/>
            <w:gridSpan w:val="11"/>
            <w:tcBorders>
              <w:bottom w:val="nil"/>
            </w:tcBorders>
            <w:shd w:val="clear" w:color="auto" w:fill="000000"/>
          </w:tcPr>
          <w:p>
            <w:pPr>
              <w:pStyle w:val="TableParagraph"/>
              <w:spacing w:line="259" w:lineRule="auto" w:before="24"/>
              <w:ind w:left="4025" w:right="4019"/>
              <w:rPr>
                <w:b/>
                <w:sz w:val="7"/>
              </w:rPr>
            </w:pPr>
            <w:r>
              <w:rPr>
                <w:b/>
                <w:color w:val="FFFFFF"/>
                <w:sz w:val="7"/>
              </w:rPr>
              <w:t>Sistema de indicadores</w:t>
            </w:r>
            <w:r>
              <w:rPr>
                <w:b/>
                <w:color w:val="FFFFFF"/>
                <w:w w:val="99"/>
                <w:sz w:val="7"/>
              </w:rPr>
              <w:t> </w:t>
            </w:r>
            <w:r>
              <w:rPr>
                <w:b/>
                <w:color w:val="FFFFFF"/>
                <w:sz w:val="7"/>
              </w:rPr>
              <w:t>Ambientales</w:t>
            </w:r>
          </w:p>
        </w:tc>
      </w:tr>
      <w:tr>
        <w:trPr>
          <w:trHeight w:val="250" w:hRule="exact"/>
        </w:trPr>
        <w:tc>
          <w:tcPr>
            <w:tcW w:w="1334" w:type="dxa"/>
            <w:tcBorders>
              <w:top w:val="single" w:sz="2" w:space="0" w:color="FFFFFF"/>
              <w:left w:val="single" w:sz="2" w:space="0" w:color="000000"/>
              <w:bottom w:val="single" w:sz="12" w:space="0" w:color="FFFFFF"/>
            </w:tcBorders>
            <w:shd w:val="clear" w:color="auto" w:fill="808080"/>
          </w:tcPr>
          <w:p>
            <w:pPr>
              <w:pStyle w:val="TableParagraph"/>
              <w:spacing w:before="7"/>
              <w:jc w:val="left"/>
              <w:rPr>
                <w:sz w:val="5"/>
              </w:rPr>
            </w:pPr>
          </w:p>
          <w:p>
            <w:pPr>
              <w:pStyle w:val="TableParagraph"/>
              <w:tabs>
                <w:tab w:pos="761" w:val="left" w:leader="none"/>
              </w:tabs>
              <w:ind w:left="69"/>
              <w:jc w:val="left"/>
              <w:rPr>
                <w:b/>
                <w:sz w:val="7"/>
              </w:rPr>
            </w:pPr>
            <w:r>
              <w:rPr>
                <w:b/>
                <w:color w:val="FFFFFF"/>
                <w:sz w:val="7"/>
              </w:rPr>
              <w:t>Índice</w:t>
              <w:tab/>
              <w:t>Subíndice</w:t>
            </w:r>
          </w:p>
        </w:tc>
        <w:tc>
          <w:tcPr>
            <w:tcW w:w="1145" w:type="dxa"/>
            <w:tcBorders>
              <w:top w:val="single" w:sz="2" w:space="0" w:color="FFFFFF"/>
              <w:bottom w:val="single" w:sz="12" w:space="0" w:color="FFFFFF"/>
            </w:tcBorders>
            <w:shd w:val="clear" w:color="auto" w:fill="808080"/>
          </w:tcPr>
          <w:p>
            <w:pPr>
              <w:pStyle w:val="TableParagraph"/>
              <w:spacing w:before="7"/>
              <w:jc w:val="left"/>
              <w:rPr>
                <w:sz w:val="5"/>
              </w:rPr>
            </w:pPr>
          </w:p>
          <w:p>
            <w:pPr>
              <w:pStyle w:val="TableParagraph"/>
              <w:ind w:right="317"/>
              <w:jc w:val="right"/>
              <w:rPr>
                <w:b/>
                <w:sz w:val="7"/>
              </w:rPr>
            </w:pPr>
            <w:r>
              <w:rPr>
                <w:b/>
                <w:color w:val="FFFFFF"/>
                <w:w w:val="95"/>
                <w:sz w:val="7"/>
              </w:rPr>
              <w:t>Indicador</w:t>
            </w:r>
          </w:p>
        </w:tc>
        <w:tc>
          <w:tcPr>
            <w:tcW w:w="759" w:type="dxa"/>
            <w:tcBorders>
              <w:top w:val="single" w:sz="2" w:space="0" w:color="FFFFFF"/>
              <w:bottom w:val="single" w:sz="12" w:space="0" w:color="FFFFFF"/>
              <w:right w:val="single" w:sz="2" w:space="0" w:color="000000"/>
            </w:tcBorders>
            <w:shd w:val="clear" w:color="auto" w:fill="808080"/>
          </w:tcPr>
          <w:p>
            <w:pPr>
              <w:pStyle w:val="TableParagraph"/>
              <w:jc w:val="left"/>
              <w:rPr>
                <w:sz w:val="6"/>
              </w:rPr>
            </w:pPr>
          </w:p>
          <w:p>
            <w:pPr>
              <w:pStyle w:val="TableParagraph"/>
              <w:spacing w:before="42"/>
              <w:ind w:left="82" w:right="72"/>
              <w:rPr>
                <w:b/>
                <w:sz w:val="7"/>
              </w:rPr>
            </w:pPr>
            <w:r>
              <w:rPr>
                <w:b/>
                <w:color w:val="FFFFFF"/>
                <w:sz w:val="7"/>
              </w:rPr>
              <w:t>Villas del Campo</w:t>
            </w:r>
          </w:p>
        </w:tc>
        <w:tc>
          <w:tcPr>
            <w:tcW w:w="430" w:type="dxa"/>
            <w:tcBorders>
              <w:top w:val="single" w:sz="2" w:space="0" w:color="FFFFFF"/>
              <w:left w:val="single" w:sz="2" w:space="0" w:color="000000"/>
              <w:bottom w:val="single" w:sz="12" w:space="0" w:color="FFFFFF"/>
              <w:right w:val="single" w:sz="2" w:space="0" w:color="000000"/>
            </w:tcBorders>
            <w:shd w:val="clear" w:color="auto" w:fill="808080"/>
          </w:tcPr>
          <w:p>
            <w:pPr>
              <w:pStyle w:val="TableParagraph"/>
              <w:jc w:val="left"/>
              <w:rPr>
                <w:sz w:val="6"/>
              </w:rPr>
            </w:pPr>
          </w:p>
          <w:p>
            <w:pPr>
              <w:pStyle w:val="TableParagraph"/>
              <w:spacing w:before="42"/>
              <w:ind w:right="2"/>
              <w:rPr>
                <w:b/>
                <w:sz w:val="7"/>
              </w:rPr>
            </w:pPr>
            <w:r>
              <w:rPr>
                <w:b/>
                <w:color w:val="FFFFFF"/>
                <w:sz w:val="7"/>
              </w:rPr>
              <w:t>San Andres</w:t>
            </w:r>
          </w:p>
        </w:tc>
        <w:tc>
          <w:tcPr>
            <w:tcW w:w="657" w:type="dxa"/>
            <w:tcBorders>
              <w:top w:val="single" w:sz="2" w:space="0" w:color="FFFFFF"/>
              <w:left w:val="single" w:sz="2" w:space="0" w:color="000000"/>
              <w:bottom w:val="single" w:sz="12" w:space="0" w:color="FFFFFF"/>
              <w:right w:val="single" w:sz="2" w:space="0" w:color="000000"/>
            </w:tcBorders>
            <w:shd w:val="clear" w:color="auto" w:fill="808080"/>
          </w:tcPr>
          <w:p>
            <w:pPr>
              <w:pStyle w:val="TableParagraph"/>
              <w:jc w:val="left"/>
              <w:rPr>
                <w:sz w:val="6"/>
              </w:rPr>
            </w:pPr>
          </w:p>
          <w:p>
            <w:pPr>
              <w:pStyle w:val="TableParagraph"/>
              <w:spacing w:before="42"/>
              <w:ind w:right="1"/>
              <w:rPr>
                <w:b/>
                <w:sz w:val="7"/>
              </w:rPr>
            </w:pPr>
            <w:r>
              <w:rPr>
                <w:b/>
                <w:color w:val="FFFFFF"/>
                <w:sz w:val="7"/>
              </w:rPr>
              <w:t>Villas del Campo II</w:t>
            </w:r>
          </w:p>
        </w:tc>
        <w:tc>
          <w:tcPr>
            <w:tcW w:w="593" w:type="dxa"/>
            <w:tcBorders>
              <w:top w:val="single" w:sz="2" w:space="0" w:color="FFFFFF"/>
              <w:left w:val="single" w:sz="2" w:space="0" w:color="000000"/>
              <w:bottom w:val="single" w:sz="12" w:space="0" w:color="FFFFFF"/>
              <w:right w:val="single" w:sz="2" w:space="0" w:color="000000"/>
            </w:tcBorders>
            <w:shd w:val="clear" w:color="auto" w:fill="808080"/>
          </w:tcPr>
          <w:p>
            <w:pPr>
              <w:pStyle w:val="TableParagraph"/>
              <w:jc w:val="left"/>
              <w:rPr>
                <w:sz w:val="6"/>
              </w:rPr>
            </w:pPr>
          </w:p>
          <w:p>
            <w:pPr>
              <w:pStyle w:val="TableParagraph"/>
              <w:spacing w:before="42"/>
              <w:ind w:right="1"/>
              <w:rPr>
                <w:b/>
                <w:sz w:val="7"/>
              </w:rPr>
            </w:pPr>
            <w:r>
              <w:rPr>
                <w:b/>
                <w:color w:val="FFFFFF"/>
                <w:sz w:val="7"/>
              </w:rPr>
              <w:t>Valle del Nevado</w:t>
            </w:r>
          </w:p>
        </w:tc>
        <w:tc>
          <w:tcPr>
            <w:tcW w:w="791" w:type="dxa"/>
            <w:tcBorders>
              <w:top w:val="single" w:sz="2" w:space="0" w:color="FFFFFF"/>
              <w:left w:val="single" w:sz="2" w:space="0" w:color="000000"/>
              <w:bottom w:val="single" w:sz="12" w:space="0" w:color="FFFFFF"/>
              <w:right w:val="single" w:sz="2" w:space="0" w:color="000000"/>
            </w:tcBorders>
            <w:shd w:val="clear" w:color="auto" w:fill="808080"/>
          </w:tcPr>
          <w:p>
            <w:pPr>
              <w:pStyle w:val="TableParagraph"/>
              <w:spacing w:line="76" w:lineRule="exact"/>
              <w:ind w:left="249" w:right="-38"/>
              <w:jc w:val="left"/>
              <w:rPr>
                <w:b/>
                <w:sz w:val="7"/>
              </w:rPr>
            </w:pPr>
            <w:r>
              <w:rPr>
                <w:b/>
                <w:color w:val="FFFFFF"/>
                <w:sz w:val="7"/>
              </w:rPr>
              <w:t>Valores por</w:t>
            </w:r>
            <w:r>
              <w:rPr>
                <w:b/>
                <w:color w:val="FFFFFF"/>
                <w:spacing w:val="-7"/>
                <w:sz w:val="7"/>
              </w:rPr>
              <w:t> </w:t>
            </w:r>
            <w:r>
              <w:rPr>
                <w:b/>
                <w:color w:val="FFFFFF"/>
                <w:sz w:val="7"/>
              </w:rPr>
              <w:t>Conj</w:t>
            </w:r>
          </w:p>
          <w:p>
            <w:pPr>
              <w:pStyle w:val="TableParagraph"/>
              <w:spacing w:before="36"/>
              <w:ind w:left="17" w:right="-4"/>
              <w:jc w:val="left"/>
              <w:rPr>
                <w:b/>
                <w:sz w:val="7"/>
              </w:rPr>
            </w:pPr>
            <w:r>
              <w:rPr>
                <w:b/>
                <w:color w:val="FFFFFF"/>
                <w:sz w:val="7"/>
              </w:rPr>
              <w:t>Rancho la Providencia</w:t>
            </w:r>
          </w:p>
        </w:tc>
        <w:tc>
          <w:tcPr>
            <w:tcW w:w="756" w:type="dxa"/>
            <w:tcBorders>
              <w:top w:val="single" w:sz="2" w:space="0" w:color="FFFFFF"/>
              <w:left w:val="single" w:sz="2" w:space="0" w:color="000000"/>
              <w:bottom w:val="single" w:sz="12" w:space="0" w:color="FFFFFF"/>
              <w:right w:val="single" w:sz="2" w:space="0" w:color="000000"/>
            </w:tcBorders>
            <w:shd w:val="clear" w:color="auto" w:fill="808080"/>
          </w:tcPr>
          <w:p>
            <w:pPr>
              <w:pStyle w:val="TableParagraph"/>
              <w:spacing w:line="76" w:lineRule="exact"/>
              <w:ind w:left="13" w:right="-3"/>
              <w:jc w:val="left"/>
              <w:rPr>
                <w:b/>
                <w:sz w:val="7"/>
              </w:rPr>
            </w:pPr>
            <w:r>
              <w:rPr>
                <w:b/>
                <w:color w:val="FFFFFF"/>
                <w:sz w:val="7"/>
              </w:rPr>
              <w:t>unto Urbano</w:t>
            </w:r>
          </w:p>
          <w:p>
            <w:pPr>
              <w:pStyle w:val="TableParagraph"/>
              <w:spacing w:before="36"/>
              <w:ind w:left="17" w:right="-3"/>
              <w:jc w:val="left"/>
              <w:rPr>
                <w:b/>
                <w:sz w:val="7"/>
              </w:rPr>
            </w:pPr>
            <w:r>
              <w:rPr>
                <w:b/>
                <w:color w:val="FFFFFF"/>
                <w:sz w:val="7"/>
              </w:rPr>
              <w:t>Urbi Hacienda Lomas</w:t>
            </w:r>
          </w:p>
        </w:tc>
        <w:tc>
          <w:tcPr>
            <w:tcW w:w="802" w:type="dxa"/>
            <w:tcBorders>
              <w:top w:val="single" w:sz="2" w:space="0" w:color="FFFFFF"/>
              <w:left w:val="single" w:sz="2" w:space="0" w:color="000000"/>
              <w:bottom w:val="single" w:sz="12" w:space="0" w:color="FFFFFF"/>
              <w:right w:val="single" w:sz="2" w:space="0" w:color="000000"/>
            </w:tcBorders>
            <w:shd w:val="clear" w:color="auto" w:fill="808080"/>
          </w:tcPr>
          <w:p>
            <w:pPr>
              <w:pStyle w:val="TableParagraph"/>
              <w:jc w:val="left"/>
              <w:rPr>
                <w:sz w:val="6"/>
              </w:rPr>
            </w:pPr>
          </w:p>
          <w:p>
            <w:pPr>
              <w:pStyle w:val="TableParagraph"/>
              <w:spacing w:before="42"/>
              <w:ind w:right="1"/>
              <w:rPr>
                <w:b/>
                <w:sz w:val="7"/>
              </w:rPr>
            </w:pPr>
            <w:r>
              <w:rPr>
                <w:b/>
                <w:color w:val="FFFFFF"/>
                <w:sz w:val="7"/>
              </w:rPr>
              <w:t>Bosque de las Fuentes</w:t>
            </w:r>
          </w:p>
        </w:tc>
        <w:tc>
          <w:tcPr>
            <w:tcW w:w="860" w:type="dxa"/>
            <w:tcBorders>
              <w:top w:val="single" w:sz="2" w:space="0" w:color="FFFFFF"/>
              <w:left w:val="single" w:sz="2" w:space="0" w:color="000000"/>
              <w:bottom w:val="single" w:sz="12" w:space="0" w:color="FFFFFF"/>
              <w:right w:val="single" w:sz="2" w:space="0" w:color="000000"/>
            </w:tcBorders>
            <w:shd w:val="clear" w:color="auto" w:fill="808080"/>
          </w:tcPr>
          <w:p>
            <w:pPr>
              <w:pStyle w:val="TableParagraph"/>
              <w:jc w:val="left"/>
              <w:rPr>
                <w:sz w:val="6"/>
              </w:rPr>
            </w:pPr>
          </w:p>
          <w:p>
            <w:pPr>
              <w:pStyle w:val="TableParagraph"/>
              <w:spacing w:before="42"/>
              <w:ind w:right="3"/>
              <w:rPr>
                <w:b/>
                <w:sz w:val="7"/>
              </w:rPr>
            </w:pPr>
            <w:r>
              <w:rPr>
                <w:b/>
                <w:color w:val="FFFFFF"/>
                <w:sz w:val="7"/>
              </w:rPr>
              <w:t>Hacienda de las Fuentes</w:t>
            </w:r>
          </w:p>
        </w:tc>
        <w:tc>
          <w:tcPr>
            <w:tcW w:w="700" w:type="dxa"/>
            <w:tcBorders>
              <w:top w:val="single" w:sz="2" w:space="0" w:color="FFFFFF"/>
              <w:left w:val="single" w:sz="2" w:space="0" w:color="000000"/>
              <w:bottom w:val="single" w:sz="12" w:space="0" w:color="FFFFFF"/>
              <w:right w:val="single" w:sz="5" w:space="0" w:color="000000"/>
            </w:tcBorders>
            <w:shd w:val="clear" w:color="auto" w:fill="808080"/>
          </w:tcPr>
          <w:p>
            <w:pPr>
              <w:pStyle w:val="TableParagraph"/>
              <w:jc w:val="left"/>
              <w:rPr>
                <w:sz w:val="6"/>
              </w:rPr>
            </w:pPr>
          </w:p>
          <w:p>
            <w:pPr>
              <w:pStyle w:val="TableParagraph"/>
              <w:spacing w:before="42"/>
              <w:ind w:left="6"/>
              <w:rPr>
                <w:b/>
                <w:sz w:val="7"/>
              </w:rPr>
            </w:pPr>
            <w:r>
              <w:rPr>
                <w:b/>
                <w:color w:val="FFFFFF"/>
                <w:sz w:val="7"/>
              </w:rPr>
              <w:t>Valle de las Fuentes</w:t>
            </w:r>
          </w:p>
        </w:tc>
      </w:tr>
      <w:tr>
        <w:trPr>
          <w:trHeight w:val="102" w:hRule="exact"/>
        </w:trPr>
        <w:tc>
          <w:tcPr>
            <w:tcW w:w="1334" w:type="dxa"/>
            <w:vMerge w:val="restart"/>
            <w:tcBorders>
              <w:top w:val="single" w:sz="12" w:space="0" w:color="FFFFFF"/>
              <w:left w:val="single" w:sz="2" w:space="0" w:color="000000"/>
            </w:tcBorders>
          </w:tcPr>
          <w:p>
            <w:pPr>
              <w:pStyle w:val="TableParagraph"/>
              <w:jc w:val="left"/>
              <w:rPr>
                <w:sz w:val="6"/>
              </w:rPr>
            </w:pPr>
          </w:p>
          <w:p>
            <w:pPr>
              <w:pStyle w:val="TableParagraph"/>
              <w:jc w:val="left"/>
              <w:rPr>
                <w:sz w:val="6"/>
              </w:rPr>
            </w:pPr>
          </w:p>
          <w:p>
            <w:pPr>
              <w:pStyle w:val="TableParagraph"/>
              <w:spacing w:before="8"/>
              <w:jc w:val="left"/>
              <w:rPr>
                <w:sz w:val="6"/>
              </w:rPr>
            </w:pPr>
          </w:p>
          <w:p>
            <w:pPr>
              <w:pStyle w:val="TableParagraph"/>
              <w:ind w:left="360"/>
              <w:jc w:val="left"/>
              <w:rPr>
                <w:rFonts w:ascii="Calibri"/>
                <w:sz w:val="7"/>
              </w:rPr>
            </w:pPr>
            <w:r>
              <w:rPr>
                <w:rFonts w:ascii="Calibri"/>
                <w:sz w:val="7"/>
              </w:rPr>
              <w:t>Autorizaciones</w:t>
            </w:r>
          </w:p>
        </w:tc>
        <w:tc>
          <w:tcPr>
            <w:tcW w:w="1145" w:type="dxa"/>
            <w:vMerge w:val="restart"/>
            <w:tcBorders>
              <w:top w:val="single" w:sz="12" w:space="0" w:color="FFFFFF"/>
            </w:tcBorders>
          </w:tcPr>
          <w:p>
            <w:pPr>
              <w:pStyle w:val="TableParagraph"/>
              <w:spacing w:before="7"/>
              <w:jc w:val="left"/>
              <w:rPr>
                <w:sz w:val="7"/>
              </w:rPr>
            </w:pPr>
          </w:p>
          <w:p>
            <w:pPr>
              <w:pStyle w:val="TableParagraph"/>
              <w:ind w:left="197" w:right="253"/>
              <w:jc w:val="left"/>
              <w:rPr>
                <w:rFonts w:ascii="Calibri" w:hAnsi="Calibri"/>
                <w:sz w:val="7"/>
              </w:rPr>
            </w:pPr>
            <w:r>
              <w:rPr>
                <w:rFonts w:ascii="Calibri" w:hAnsi="Calibri"/>
                <w:sz w:val="7"/>
              </w:rPr>
              <w:t>Tipo de la vivienda Metros de construcción Metros de terreno</w:t>
            </w:r>
          </w:p>
          <w:p>
            <w:pPr>
              <w:pStyle w:val="TableParagraph"/>
              <w:spacing w:before="2"/>
              <w:ind w:left="197" w:right="253"/>
              <w:jc w:val="left"/>
              <w:rPr>
                <w:rFonts w:ascii="Calibri"/>
                <w:sz w:val="7"/>
              </w:rPr>
            </w:pPr>
            <w:r>
              <w:rPr>
                <w:rFonts w:ascii="Calibri"/>
                <w:sz w:val="7"/>
              </w:rPr>
              <w:t>Plan ambiental</w:t>
            </w:r>
          </w:p>
          <w:p>
            <w:pPr>
              <w:pStyle w:val="TableParagraph"/>
              <w:spacing w:before="1"/>
              <w:ind w:left="546" w:right="253"/>
              <w:jc w:val="left"/>
              <w:rPr>
                <w:rFonts w:ascii="Calibri"/>
                <w:sz w:val="7"/>
              </w:rPr>
            </w:pPr>
            <w:r>
              <w:rPr>
                <w:rFonts w:ascii="Calibri"/>
                <w:sz w:val="7"/>
              </w:rPr>
              <w:t>Subtotal</w:t>
            </w:r>
          </w:p>
        </w:tc>
        <w:tc>
          <w:tcPr>
            <w:tcW w:w="1189" w:type="dxa"/>
            <w:gridSpan w:val="2"/>
            <w:tcBorders>
              <w:top w:val="single" w:sz="12" w:space="0" w:color="FFFFFF"/>
            </w:tcBorders>
            <w:shd w:val="clear" w:color="auto" w:fill="BAF9F5"/>
          </w:tcPr>
          <w:p>
            <w:pPr/>
          </w:p>
        </w:tc>
        <w:tc>
          <w:tcPr>
            <w:tcW w:w="657" w:type="dxa"/>
            <w:tcBorders>
              <w:top w:val="single" w:sz="12" w:space="0" w:color="FFFFFF"/>
            </w:tcBorders>
            <w:shd w:val="clear" w:color="auto" w:fill="BAF9F5"/>
          </w:tcPr>
          <w:p>
            <w:pPr/>
          </w:p>
        </w:tc>
        <w:tc>
          <w:tcPr>
            <w:tcW w:w="593" w:type="dxa"/>
            <w:tcBorders>
              <w:top w:val="single" w:sz="12" w:space="0" w:color="FFFFFF"/>
            </w:tcBorders>
            <w:shd w:val="clear" w:color="auto" w:fill="BAF9F5"/>
          </w:tcPr>
          <w:p>
            <w:pPr/>
          </w:p>
        </w:tc>
        <w:tc>
          <w:tcPr>
            <w:tcW w:w="791" w:type="dxa"/>
            <w:tcBorders>
              <w:top w:val="single" w:sz="12" w:space="0" w:color="FFFFFF"/>
            </w:tcBorders>
            <w:shd w:val="clear" w:color="auto" w:fill="BAF9F5"/>
          </w:tcPr>
          <w:p>
            <w:pPr>
              <w:pStyle w:val="TableParagraph"/>
              <w:spacing w:before="1"/>
              <w:ind w:right="8"/>
              <w:jc w:val="right"/>
              <w:rPr>
                <w:b/>
                <w:sz w:val="7"/>
              </w:rPr>
            </w:pPr>
            <w:r>
              <w:rPr>
                <w:b/>
                <w:w w:val="95"/>
                <w:sz w:val="7"/>
              </w:rPr>
              <w:t>Evalua</w:t>
            </w:r>
          </w:p>
        </w:tc>
        <w:tc>
          <w:tcPr>
            <w:tcW w:w="756" w:type="dxa"/>
            <w:tcBorders>
              <w:top w:val="single" w:sz="12" w:space="0" w:color="FFFFFF"/>
            </w:tcBorders>
            <w:shd w:val="clear" w:color="auto" w:fill="BAF9F5"/>
          </w:tcPr>
          <w:p>
            <w:pPr>
              <w:pStyle w:val="TableParagraph"/>
              <w:spacing w:before="1"/>
              <w:ind w:left="-11"/>
              <w:jc w:val="left"/>
              <w:rPr>
                <w:b/>
                <w:sz w:val="7"/>
              </w:rPr>
            </w:pPr>
            <w:r>
              <w:rPr>
                <w:b/>
                <w:sz w:val="7"/>
              </w:rPr>
              <w:t>ción</w:t>
            </w:r>
          </w:p>
        </w:tc>
        <w:tc>
          <w:tcPr>
            <w:tcW w:w="802" w:type="dxa"/>
            <w:tcBorders>
              <w:top w:val="single" w:sz="12" w:space="0" w:color="FFFFFF"/>
            </w:tcBorders>
            <w:shd w:val="clear" w:color="auto" w:fill="BAF9F5"/>
          </w:tcPr>
          <w:p>
            <w:pPr/>
          </w:p>
        </w:tc>
        <w:tc>
          <w:tcPr>
            <w:tcW w:w="860" w:type="dxa"/>
            <w:tcBorders>
              <w:top w:val="single" w:sz="12" w:space="0" w:color="FFFFFF"/>
            </w:tcBorders>
            <w:shd w:val="clear" w:color="auto" w:fill="BAF9F5"/>
          </w:tcPr>
          <w:p>
            <w:pPr/>
          </w:p>
        </w:tc>
        <w:tc>
          <w:tcPr>
            <w:tcW w:w="700" w:type="dxa"/>
            <w:tcBorders>
              <w:top w:val="single" w:sz="12" w:space="0" w:color="FFFFFF"/>
              <w:right w:val="single" w:sz="5" w:space="0" w:color="000000"/>
            </w:tcBorders>
            <w:shd w:val="clear" w:color="auto" w:fill="BAF9F5"/>
          </w:tcPr>
          <w:p>
            <w:pPr/>
          </w:p>
        </w:tc>
      </w:tr>
      <w:tr>
        <w:trPr>
          <w:trHeight w:val="91" w:hRule="exact"/>
        </w:trPr>
        <w:tc>
          <w:tcPr>
            <w:tcW w:w="1334" w:type="dxa"/>
            <w:vMerge/>
            <w:tcBorders>
              <w:left w:val="single" w:sz="2" w:space="0" w:color="000000"/>
            </w:tcBorders>
          </w:tcPr>
          <w:p>
            <w:pPr/>
          </w:p>
        </w:tc>
        <w:tc>
          <w:tcPr>
            <w:tcW w:w="1145" w:type="dxa"/>
            <w:vMerge/>
          </w:tcPr>
          <w:p>
            <w:pPr/>
          </w:p>
        </w:tc>
        <w:tc>
          <w:tcPr>
            <w:tcW w:w="759" w:type="dxa"/>
            <w:tcBorders>
              <w:right w:val="single" w:sz="2" w:space="0" w:color="000000"/>
            </w:tcBorders>
            <w:shd w:val="clear" w:color="auto" w:fill="BAF9F5"/>
          </w:tcPr>
          <w:p>
            <w:pPr>
              <w:pStyle w:val="TableParagraph"/>
              <w:ind w:left="12"/>
              <w:rPr>
                <w:rFonts w:ascii="Calibri"/>
                <w:sz w:val="7"/>
              </w:rPr>
            </w:pPr>
            <w:r>
              <w:rPr>
                <w:rFonts w:ascii="Calibri"/>
                <w:w w:val="99"/>
                <w:sz w:val="7"/>
              </w:rPr>
              <w:t>0</w:t>
            </w:r>
          </w:p>
        </w:tc>
        <w:tc>
          <w:tcPr>
            <w:tcW w:w="430" w:type="dxa"/>
            <w:tcBorders>
              <w:left w:val="single" w:sz="2" w:space="0" w:color="000000"/>
              <w:right w:val="single" w:sz="2" w:space="0" w:color="000000"/>
            </w:tcBorders>
            <w:shd w:val="clear" w:color="auto" w:fill="BAF9F5"/>
          </w:tcPr>
          <w:p>
            <w:pPr>
              <w:pStyle w:val="TableParagraph"/>
              <w:ind w:left="3" w:right="2"/>
              <w:rPr>
                <w:rFonts w:ascii="Calibri"/>
                <w:sz w:val="7"/>
              </w:rPr>
            </w:pPr>
            <w:r>
              <w:rPr>
                <w:rFonts w:ascii="Calibri"/>
                <w:sz w:val="7"/>
              </w:rPr>
              <w:t>0.6</w:t>
            </w:r>
          </w:p>
        </w:tc>
        <w:tc>
          <w:tcPr>
            <w:tcW w:w="657" w:type="dxa"/>
            <w:tcBorders>
              <w:left w:val="single" w:sz="2" w:space="0" w:color="000000"/>
              <w:right w:val="single" w:sz="2" w:space="0" w:color="000000"/>
            </w:tcBorders>
            <w:shd w:val="clear" w:color="auto" w:fill="BAF9F5"/>
          </w:tcPr>
          <w:p>
            <w:pPr>
              <w:pStyle w:val="TableParagraph"/>
              <w:rPr>
                <w:rFonts w:ascii="Calibri"/>
                <w:sz w:val="7"/>
              </w:rPr>
            </w:pPr>
            <w:r>
              <w:rPr>
                <w:rFonts w:ascii="Calibri"/>
                <w:w w:val="99"/>
                <w:sz w:val="7"/>
              </w:rPr>
              <w:t>0</w:t>
            </w:r>
          </w:p>
        </w:tc>
        <w:tc>
          <w:tcPr>
            <w:tcW w:w="593" w:type="dxa"/>
            <w:tcBorders>
              <w:left w:val="single" w:sz="2" w:space="0" w:color="000000"/>
              <w:right w:val="single" w:sz="2" w:space="0" w:color="000000"/>
            </w:tcBorders>
            <w:shd w:val="clear" w:color="auto" w:fill="BAF9F5"/>
          </w:tcPr>
          <w:p>
            <w:pPr>
              <w:pStyle w:val="TableParagraph"/>
              <w:ind w:left="2" w:right="1"/>
              <w:rPr>
                <w:rFonts w:ascii="Calibri"/>
                <w:sz w:val="7"/>
              </w:rPr>
            </w:pPr>
            <w:r>
              <w:rPr>
                <w:rFonts w:ascii="Calibri"/>
                <w:sz w:val="7"/>
              </w:rPr>
              <w:t>0.6</w:t>
            </w:r>
          </w:p>
        </w:tc>
        <w:tc>
          <w:tcPr>
            <w:tcW w:w="791" w:type="dxa"/>
            <w:tcBorders>
              <w:left w:val="single" w:sz="2" w:space="0" w:color="000000"/>
              <w:right w:val="single" w:sz="2" w:space="0" w:color="000000"/>
            </w:tcBorders>
            <w:shd w:val="clear" w:color="auto" w:fill="BAF9F5"/>
          </w:tcPr>
          <w:p>
            <w:pPr>
              <w:pStyle w:val="TableParagraph"/>
              <w:ind w:left="377"/>
              <w:jc w:val="left"/>
              <w:rPr>
                <w:rFonts w:ascii="Calibri"/>
                <w:sz w:val="7"/>
              </w:rPr>
            </w:pPr>
            <w:r>
              <w:rPr>
                <w:rFonts w:ascii="Calibri"/>
                <w:w w:val="99"/>
                <w:sz w:val="7"/>
              </w:rPr>
              <w:t>0</w:t>
            </w:r>
          </w:p>
        </w:tc>
        <w:tc>
          <w:tcPr>
            <w:tcW w:w="756" w:type="dxa"/>
            <w:tcBorders>
              <w:left w:val="single" w:sz="2" w:space="0" w:color="000000"/>
              <w:right w:val="single" w:sz="2" w:space="0" w:color="000000"/>
            </w:tcBorders>
            <w:shd w:val="clear" w:color="auto" w:fill="BAF9F5"/>
          </w:tcPr>
          <w:p>
            <w:pPr>
              <w:pStyle w:val="TableParagraph"/>
              <w:ind w:right="328"/>
              <w:jc w:val="right"/>
              <w:rPr>
                <w:rFonts w:ascii="Calibri"/>
                <w:sz w:val="7"/>
              </w:rPr>
            </w:pPr>
            <w:r>
              <w:rPr>
                <w:rFonts w:ascii="Calibri"/>
                <w:w w:val="95"/>
                <w:sz w:val="7"/>
              </w:rPr>
              <w:t>0.6</w:t>
            </w:r>
          </w:p>
        </w:tc>
        <w:tc>
          <w:tcPr>
            <w:tcW w:w="802" w:type="dxa"/>
            <w:tcBorders>
              <w:left w:val="single" w:sz="2" w:space="0" w:color="000000"/>
              <w:right w:val="single" w:sz="2" w:space="0" w:color="000000"/>
            </w:tcBorders>
            <w:shd w:val="clear" w:color="auto" w:fill="BAF9F5"/>
          </w:tcPr>
          <w:p>
            <w:pPr>
              <w:pStyle w:val="TableParagraph"/>
              <w:ind w:left="2" w:right="1"/>
              <w:rPr>
                <w:rFonts w:ascii="Calibri"/>
                <w:sz w:val="7"/>
              </w:rPr>
            </w:pPr>
            <w:r>
              <w:rPr>
                <w:rFonts w:ascii="Calibri"/>
                <w:sz w:val="7"/>
              </w:rPr>
              <w:t>0.6</w:t>
            </w:r>
          </w:p>
        </w:tc>
        <w:tc>
          <w:tcPr>
            <w:tcW w:w="860" w:type="dxa"/>
            <w:tcBorders>
              <w:left w:val="single" w:sz="2" w:space="0" w:color="000000"/>
              <w:right w:val="single" w:sz="2" w:space="0" w:color="000000"/>
            </w:tcBorders>
            <w:shd w:val="clear" w:color="auto" w:fill="BAF9F5"/>
          </w:tcPr>
          <w:p>
            <w:pPr>
              <w:pStyle w:val="TableParagraph"/>
              <w:ind w:left="4" w:right="3"/>
              <w:rPr>
                <w:rFonts w:ascii="Calibri"/>
                <w:sz w:val="7"/>
              </w:rPr>
            </w:pPr>
            <w:r>
              <w:rPr>
                <w:rFonts w:ascii="Calibri"/>
                <w:sz w:val="7"/>
              </w:rPr>
              <w:t>0.6</w:t>
            </w:r>
          </w:p>
        </w:tc>
        <w:tc>
          <w:tcPr>
            <w:tcW w:w="700" w:type="dxa"/>
            <w:tcBorders>
              <w:left w:val="single" w:sz="2" w:space="0" w:color="000000"/>
              <w:right w:val="single" w:sz="5" w:space="0" w:color="000000"/>
            </w:tcBorders>
            <w:shd w:val="clear" w:color="auto" w:fill="BAF9F5"/>
          </w:tcPr>
          <w:p>
            <w:pPr>
              <w:pStyle w:val="TableParagraph"/>
              <w:ind w:left="1"/>
              <w:rPr>
                <w:rFonts w:ascii="Calibri"/>
                <w:sz w:val="7"/>
              </w:rPr>
            </w:pPr>
            <w:r>
              <w:rPr>
                <w:rFonts w:ascii="Calibri"/>
                <w:sz w:val="7"/>
              </w:rPr>
              <w:t>0.6</w:t>
            </w:r>
          </w:p>
        </w:tc>
      </w:tr>
      <w:tr>
        <w:trPr>
          <w:trHeight w:val="87" w:hRule="exact"/>
        </w:trPr>
        <w:tc>
          <w:tcPr>
            <w:tcW w:w="1334" w:type="dxa"/>
            <w:vMerge/>
            <w:tcBorders>
              <w:left w:val="single" w:sz="2" w:space="0" w:color="000000"/>
            </w:tcBorders>
          </w:tcPr>
          <w:p>
            <w:pPr/>
          </w:p>
        </w:tc>
        <w:tc>
          <w:tcPr>
            <w:tcW w:w="1145" w:type="dxa"/>
            <w:vMerge/>
          </w:tcPr>
          <w:p>
            <w:pPr/>
          </w:p>
        </w:tc>
        <w:tc>
          <w:tcPr>
            <w:tcW w:w="759" w:type="dxa"/>
            <w:tcBorders>
              <w:right w:val="single" w:sz="2" w:space="0" w:color="000000"/>
            </w:tcBorders>
            <w:shd w:val="clear" w:color="auto" w:fill="BAF9F5"/>
          </w:tcPr>
          <w:p>
            <w:pPr>
              <w:pStyle w:val="TableParagraph"/>
              <w:spacing w:line="82" w:lineRule="exact"/>
              <w:ind w:left="12"/>
              <w:rPr>
                <w:rFonts w:ascii="Calibri"/>
                <w:sz w:val="7"/>
              </w:rPr>
            </w:pPr>
            <w:r>
              <w:rPr>
                <w:rFonts w:ascii="Calibri"/>
                <w:w w:val="99"/>
                <w:sz w:val="7"/>
              </w:rPr>
              <w:t>0</w:t>
            </w:r>
          </w:p>
        </w:tc>
        <w:tc>
          <w:tcPr>
            <w:tcW w:w="430"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1</w:t>
            </w:r>
          </w:p>
        </w:tc>
        <w:tc>
          <w:tcPr>
            <w:tcW w:w="657" w:type="dxa"/>
            <w:tcBorders>
              <w:left w:val="single" w:sz="2" w:space="0" w:color="000000"/>
              <w:right w:val="single" w:sz="2" w:space="0" w:color="000000"/>
            </w:tcBorders>
            <w:shd w:val="clear" w:color="auto" w:fill="BAF9F5"/>
          </w:tcPr>
          <w:p>
            <w:pPr>
              <w:pStyle w:val="TableParagraph"/>
              <w:spacing w:line="82" w:lineRule="exact"/>
              <w:rPr>
                <w:rFonts w:ascii="Calibri"/>
                <w:sz w:val="7"/>
              </w:rPr>
            </w:pPr>
            <w:r>
              <w:rPr>
                <w:rFonts w:ascii="Calibri"/>
                <w:w w:val="99"/>
                <w:sz w:val="7"/>
              </w:rPr>
              <w:t>0</w:t>
            </w:r>
          </w:p>
        </w:tc>
        <w:tc>
          <w:tcPr>
            <w:tcW w:w="593"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1</w:t>
            </w:r>
          </w:p>
        </w:tc>
        <w:tc>
          <w:tcPr>
            <w:tcW w:w="791" w:type="dxa"/>
            <w:tcBorders>
              <w:left w:val="single" w:sz="2" w:space="0" w:color="000000"/>
              <w:right w:val="single" w:sz="2" w:space="0" w:color="000000"/>
            </w:tcBorders>
            <w:shd w:val="clear" w:color="auto" w:fill="BAF9F5"/>
          </w:tcPr>
          <w:p>
            <w:pPr>
              <w:pStyle w:val="TableParagraph"/>
              <w:spacing w:line="82" w:lineRule="exact"/>
              <w:ind w:left="377"/>
              <w:jc w:val="left"/>
              <w:rPr>
                <w:rFonts w:ascii="Calibri"/>
                <w:sz w:val="7"/>
              </w:rPr>
            </w:pPr>
            <w:r>
              <w:rPr>
                <w:rFonts w:ascii="Calibri"/>
                <w:w w:val="99"/>
                <w:sz w:val="7"/>
              </w:rPr>
              <w:t>1</w:t>
            </w:r>
          </w:p>
        </w:tc>
        <w:tc>
          <w:tcPr>
            <w:tcW w:w="756" w:type="dxa"/>
            <w:tcBorders>
              <w:left w:val="single" w:sz="2" w:space="0" w:color="000000"/>
              <w:right w:val="single" w:sz="2" w:space="0" w:color="000000"/>
            </w:tcBorders>
            <w:shd w:val="clear" w:color="auto" w:fill="BAF9F5"/>
          </w:tcPr>
          <w:p>
            <w:pPr>
              <w:pStyle w:val="TableParagraph"/>
              <w:spacing w:line="82" w:lineRule="exact"/>
              <w:ind w:right="352"/>
              <w:jc w:val="right"/>
              <w:rPr>
                <w:rFonts w:ascii="Calibri"/>
                <w:sz w:val="7"/>
              </w:rPr>
            </w:pPr>
            <w:r>
              <w:rPr>
                <w:rFonts w:ascii="Calibri"/>
                <w:w w:val="99"/>
                <w:sz w:val="7"/>
              </w:rPr>
              <w:t>1</w:t>
            </w:r>
          </w:p>
        </w:tc>
        <w:tc>
          <w:tcPr>
            <w:tcW w:w="802"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1</w:t>
            </w:r>
          </w:p>
        </w:tc>
        <w:tc>
          <w:tcPr>
            <w:tcW w:w="860"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00" w:type="dxa"/>
            <w:tcBorders>
              <w:left w:val="single" w:sz="2" w:space="0" w:color="000000"/>
              <w:right w:val="single" w:sz="5" w:space="0" w:color="000000"/>
            </w:tcBorders>
            <w:shd w:val="clear" w:color="auto" w:fill="BAF9F5"/>
          </w:tcPr>
          <w:p>
            <w:pPr>
              <w:pStyle w:val="TableParagraph"/>
              <w:spacing w:line="82" w:lineRule="exact"/>
              <w:ind w:left="6"/>
              <w:rPr>
                <w:rFonts w:ascii="Calibri"/>
                <w:sz w:val="7"/>
              </w:rPr>
            </w:pPr>
            <w:r>
              <w:rPr>
                <w:rFonts w:ascii="Calibri"/>
                <w:w w:val="99"/>
                <w:sz w:val="7"/>
              </w:rPr>
              <w:t>1</w:t>
            </w:r>
          </w:p>
        </w:tc>
      </w:tr>
      <w:tr>
        <w:trPr>
          <w:trHeight w:val="87" w:hRule="exact"/>
        </w:trPr>
        <w:tc>
          <w:tcPr>
            <w:tcW w:w="1334" w:type="dxa"/>
            <w:vMerge/>
            <w:tcBorders>
              <w:left w:val="single" w:sz="2" w:space="0" w:color="000000"/>
            </w:tcBorders>
          </w:tcPr>
          <w:p>
            <w:pPr/>
          </w:p>
        </w:tc>
        <w:tc>
          <w:tcPr>
            <w:tcW w:w="1145" w:type="dxa"/>
            <w:vMerge/>
          </w:tcPr>
          <w:p>
            <w:pPr/>
          </w:p>
        </w:tc>
        <w:tc>
          <w:tcPr>
            <w:tcW w:w="759" w:type="dxa"/>
            <w:tcBorders>
              <w:right w:val="single" w:sz="2" w:space="0" w:color="000000"/>
            </w:tcBorders>
            <w:shd w:val="clear" w:color="auto" w:fill="BAF9F5"/>
          </w:tcPr>
          <w:p>
            <w:pPr>
              <w:pStyle w:val="TableParagraph"/>
              <w:spacing w:line="82" w:lineRule="exact"/>
              <w:ind w:left="12"/>
              <w:rPr>
                <w:rFonts w:ascii="Calibri"/>
                <w:sz w:val="7"/>
              </w:rPr>
            </w:pPr>
            <w:r>
              <w:rPr>
                <w:rFonts w:ascii="Calibri"/>
                <w:w w:val="99"/>
                <w:sz w:val="7"/>
              </w:rPr>
              <w:t>1</w:t>
            </w:r>
          </w:p>
        </w:tc>
        <w:tc>
          <w:tcPr>
            <w:tcW w:w="430"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1</w:t>
            </w:r>
          </w:p>
        </w:tc>
        <w:tc>
          <w:tcPr>
            <w:tcW w:w="657" w:type="dxa"/>
            <w:tcBorders>
              <w:left w:val="single" w:sz="2" w:space="0" w:color="000000"/>
              <w:right w:val="single" w:sz="2" w:space="0" w:color="000000"/>
            </w:tcBorders>
            <w:shd w:val="clear" w:color="auto" w:fill="BAF9F5"/>
          </w:tcPr>
          <w:p>
            <w:pPr>
              <w:pStyle w:val="TableParagraph"/>
              <w:spacing w:line="82" w:lineRule="exact"/>
              <w:rPr>
                <w:rFonts w:ascii="Calibri"/>
                <w:sz w:val="7"/>
              </w:rPr>
            </w:pPr>
            <w:r>
              <w:rPr>
                <w:rFonts w:ascii="Calibri"/>
                <w:w w:val="99"/>
                <w:sz w:val="7"/>
              </w:rPr>
              <w:t>1</w:t>
            </w:r>
          </w:p>
        </w:tc>
        <w:tc>
          <w:tcPr>
            <w:tcW w:w="593"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1</w:t>
            </w:r>
          </w:p>
        </w:tc>
        <w:tc>
          <w:tcPr>
            <w:tcW w:w="791" w:type="dxa"/>
            <w:tcBorders>
              <w:left w:val="single" w:sz="2" w:space="0" w:color="000000"/>
              <w:right w:val="single" w:sz="2" w:space="0" w:color="000000"/>
            </w:tcBorders>
            <w:shd w:val="clear" w:color="auto" w:fill="BAF9F5"/>
          </w:tcPr>
          <w:p>
            <w:pPr>
              <w:pStyle w:val="TableParagraph"/>
              <w:spacing w:line="82" w:lineRule="exact"/>
              <w:ind w:left="377"/>
              <w:jc w:val="left"/>
              <w:rPr>
                <w:rFonts w:ascii="Calibri"/>
                <w:sz w:val="7"/>
              </w:rPr>
            </w:pPr>
            <w:r>
              <w:rPr>
                <w:rFonts w:ascii="Calibri"/>
                <w:w w:val="99"/>
                <w:sz w:val="7"/>
              </w:rPr>
              <w:t>1</w:t>
            </w:r>
          </w:p>
        </w:tc>
        <w:tc>
          <w:tcPr>
            <w:tcW w:w="756" w:type="dxa"/>
            <w:tcBorders>
              <w:left w:val="single" w:sz="2" w:space="0" w:color="000000"/>
              <w:right w:val="single" w:sz="2" w:space="0" w:color="000000"/>
            </w:tcBorders>
            <w:shd w:val="clear" w:color="auto" w:fill="BAF9F5"/>
          </w:tcPr>
          <w:p>
            <w:pPr>
              <w:pStyle w:val="TableParagraph"/>
              <w:spacing w:line="82" w:lineRule="exact"/>
              <w:ind w:right="352"/>
              <w:jc w:val="right"/>
              <w:rPr>
                <w:rFonts w:ascii="Calibri"/>
                <w:sz w:val="7"/>
              </w:rPr>
            </w:pPr>
            <w:r>
              <w:rPr>
                <w:rFonts w:ascii="Calibri"/>
                <w:w w:val="99"/>
                <w:sz w:val="7"/>
              </w:rPr>
              <w:t>1</w:t>
            </w:r>
          </w:p>
        </w:tc>
        <w:tc>
          <w:tcPr>
            <w:tcW w:w="802"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1</w:t>
            </w:r>
          </w:p>
        </w:tc>
        <w:tc>
          <w:tcPr>
            <w:tcW w:w="860"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00" w:type="dxa"/>
            <w:tcBorders>
              <w:left w:val="single" w:sz="2" w:space="0" w:color="000000"/>
              <w:right w:val="single" w:sz="5" w:space="0" w:color="000000"/>
            </w:tcBorders>
            <w:shd w:val="clear" w:color="auto" w:fill="BAF9F5"/>
          </w:tcPr>
          <w:p>
            <w:pPr>
              <w:pStyle w:val="TableParagraph"/>
              <w:spacing w:line="82" w:lineRule="exact"/>
              <w:ind w:left="6"/>
              <w:rPr>
                <w:rFonts w:ascii="Calibri"/>
                <w:sz w:val="7"/>
              </w:rPr>
            </w:pPr>
            <w:r>
              <w:rPr>
                <w:rFonts w:ascii="Calibri"/>
                <w:w w:val="99"/>
                <w:sz w:val="7"/>
              </w:rPr>
              <w:t>1</w:t>
            </w:r>
          </w:p>
        </w:tc>
      </w:tr>
      <w:tr>
        <w:trPr>
          <w:trHeight w:val="86" w:hRule="exact"/>
        </w:trPr>
        <w:tc>
          <w:tcPr>
            <w:tcW w:w="1334" w:type="dxa"/>
            <w:vMerge/>
            <w:tcBorders>
              <w:left w:val="single" w:sz="2" w:space="0" w:color="000000"/>
            </w:tcBorders>
          </w:tcPr>
          <w:p>
            <w:pPr/>
          </w:p>
        </w:tc>
        <w:tc>
          <w:tcPr>
            <w:tcW w:w="1145" w:type="dxa"/>
            <w:vMerge/>
          </w:tcPr>
          <w:p>
            <w:pPr/>
          </w:p>
        </w:tc>
        <w:tc>
          <w:tcPr>
            <w:tcW w:w="759" w:type="dxa"/>
            <w:tcBorders>
              <w:bottom w:val="single" w:sz="2" w:space="0" w:color="FFFFFF"/>
              <w:right w:val="single" w:sz="2" w:space="0" w:color="000000"/>
            </w:tcBorders>
            <w:shd w:val="clear" w:color="auto" w:fill="BAF9F5"/>
          </w:tcPr>
          <w:p>
            <w:pPr>
              <w:pStyle w:val="TableParagraph"/>
              <w:spacing w:line="82" w:lineRule="exact"/>
              <w:ind w:left="12"/>
              <w:rPr>
                <w:rFonts w:ascii="Calibri"/>
                <w:sz w:val="7"/>
              </w:rPr>
            </w:pPr>
            <w:r>
              <w:rPr>
                <w:rFonts w:ascii="Calibri"/>
                <w:w w:val="99"/>
                <w:sz w:val="7"/>
              </w:rPr>
              <w:t>0</w:t>
            </w:r>
          </w:p>
        </w:tc>
        <w:tc>
          <w:tcPr>
            <w:tcW w:w="43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657" w:type="dxa"/>
            <w:tcBorders>
              <w:left w:val="single" w:sz="2" w:space="0" w:color="000000"/>
              <w:bottom w:val="single" w:sz="2" w:space="0" w:color="FFFFFF"/>
              <w:right w:val="single" w:sz="2" w:space="0" w:color="000000"/>
            </w:tcBorders>
            <w:shd w:val="clear" w:color="auto" w:fill="BAF9F5"/>
          </w:tcPr>
          <w:p>
            <w:pPr>
              <w:pStyle w:val="TableParagraph"/>
              <w:spacing w:line="82" w:lineRule="exact"/>
              <w:rPr>
                <w:rFonts w:ascii="Calibri"/>
                <w:sz w:val="7"/>
              </w:rPr>
            </w:pPr>
            <w:r>
              <w:rPr>
                <w:rFonts w:ascii="Calibri"/>
                <w:w w:val="99"/>
                <w:sz w:val="7"/>
              </w:rPr>
              <w:t>0</w:t>
            </w:r>
          </w:p>
        </w:tc>
        <w:tc>
          <w:tcPr>
            <w:tcW w:w="593"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91"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377"/>
              <w:jc w:val="left"/>
              <w:rPr>
                <w:rFonts w:ascii="Calibri"/>
                <w:sz w:val="7"/>
              </w:rPr>
            </w:pPr>
            <w:r>
              <w:rPr>
                <w:rFonts w:ascii="Calibri"/>
                <w:w w:val="99"/>
                <w:sz w:val="7"/>
              </w:rPr>
              <w:t>0</w:t>
            </w:r>
          </w:p>
        </w:tc>
        <w:tc>
          <w:tcPr>
            <w:tcW w:w="756"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right="352"/>
              <w:jc w:val="right"/>
              <w:rPr>
                <w:rFonts w:ascii="Calibri"/>
                <w:sz w:val="7"/>
              </w:rPr>
            </w:pPr>
            <w:r>
              <w:rPr>
                <w:rFonts w:ascii="Calibri"/>
                <w:w w:val="99"/>
                <w:sz w:val="7"/>
              </w:rPr>
              <w:t>0</w:t>
            </w:r>
          </w:p>
        </w:tc>
        <w:tc>
          <w:tcPr>
            <w:tcW w:w="802"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86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00" w:type="dxa"/>
            <w:tcBorders>
              <w:left w:val="single" w:sz="2" w:space="0" w:color="000000"/>
              <w:bottom w:val="single" w:sz="2" w:space="0" w:color="FFFFFF"/>
              <w:right w:val="single" w:sz="5" w:space="0" w:color="000000"/>
            </w:tcBorders>
            <w:shd w:val="clear" w:color="auto" w:fill="BAF9F5"/>
          </w:tcPr>
          <w:p>
            <w:pPr>
              <w:pStyle w:val="TableParagraph"/>
              <w:spacing w:line="82" w:lineRule="exact"/>
              <w:ind w:left="6"/>
              <w:rPr>
                <w:rFonts w:ascii="Calibri"/>
                <w:sz w:val="7"/>
              </w:rPr>
            </w:pPr>
            <w:r>
              <w:rPr>
                <w:rFonts w:ascii="Calibri"/>
                <w:w w:val="99"/>
                <w:sz w:val="7"/>
              </w:rPr>
              <w:t>0</w:t>
            </w:r>
          </w:p>
        </w:tc>
      </w:tr>
      <w:tr>
        <w:trPr>
          <w:trHeight w:val="90" w:hRule="exact"/>
        </w:trPr>
        <w:tc>
          <w:tcPr>
            <w:tcW w:w="1334" w:type="dxa"/>
            <w:vMerge/>
            <w:tcBorders>
              <w:left w:val="single" w:sz="2" w:space="0" w:color="000000"/>
            </w:tcBorders>
          </w:tcPr>
          <w:p>
            <w:pPr/>
          </w:p>
        </w:tc>
        <w:tc>
          <w:tcPr>
            <w:tcW w:w="1145" w:type="dxa"/>
            <w:vMerge/>
          </w:tcPr>
          <w:p>
            <w:pPr/>
          </w:p>
        </w:tc>
        <w:tc>
          <w:tcPr>
            <w:tcW w:w="759" w:type="dxa"/>
            <w:tcBorders>
              <w:top w:val="single" w:sz="2" w:space="0" w:color="FFFFFF"/>
              <w:right w:val="single" w:sz="2" w:space="0" w:color="000000"/>
            </w:tcBorders>
            <w:shd w:val="clear" w:color="auto" w:fill="F79646"/>
          </w:tcPr>
          <w:p>
            <w:pPr>
              <w:pStyle w:val="TableParagraph"/>
              <w:spacing w:line="80" w:lineRule="exact"/>
              <w:ind w:left="12"/>
              <w:rPr>
                <w:rFonts w:ascii="Calibri"/>
                <w:sz w:val="7"/>
              </w:rPr>
            </w:pPr>
            <w:r>
              <w:rPr>
                <w:rFonts w:ascii="Calibri"/>
                <w:w w:val="99"/>
                <w:sz w:val="7"/>
              </w:rPr>
              <w:t>1</w:t>
            </w:r>
          </w:p>
        </w:tc>
        <w:tc>
          <w:tcPr>
            <w:tcW w:w="43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3" w:right="2"/>
              <w:rPr>
                <w:rFonts w:ascii="Calibri"/>
                <w:sz w:val="7"/>
              </w:rPr>
            </w:pPr>
            <w:r>
              <w:rPr>
                <w:rFonts w:ascii="Calibri"/>
                <w:sz w:val="7"/>
              </w:rPr>
              <w:t>2.6</w:t>
            </w:r>
          </w:p>
        </w:tc>
        <w:tc>
          <w:tcPr>
            <w:tcW w:w="657" w:type="dxa"/>
            <w:tcBorders>
              <w:top w:val="single" w:sz="2" w:space="0" w:color="FFFFFF"/>
              <w:left w:val="single" w:sz="2" w:space="0" w:color="000000"/>
              <w:right w:val="single" w:sz="2" w:space="0" w:color="000000"/>
            </w:tcBorders>
            <w:shd w:val="clear" w:color="auto" w:fill="F79646"/>
          </w:tcPr>
          <w:p>
            <w:pPr>
              <w:pStyle w:val="TableParagraph"/>
              <w:spacing w:line="80" w:lineRule="exact"/>
              <w:rPr>
                <w:rFonts w:ascii="Calibri"/>
                <w:sz w:val="7"/>
              </w:rPr>
            </w:pPr>
            <w:r>
              <w:rPr>
                <w:rFonts w:ascii="Calibri"/>
                <w:w w:val="99"/>
                <w:sz w:val="7"/>
              </w:rPr>
              <w:t>1</w:t>
            </w:r>
          </w:p>
        </w:tc>
        <w:tc>
          <w:tcPr>
            <w:tcW w:w="593"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2" w:right="1"/>
              <w:rPr>
                <w:rFonts w:ascii="Calibri"/>
                <w:sz w:val="7"/>
              </w:rPr>
            </w:pPr>
            <w:r>
              <w:rPr>
                <w:rFonts w:ascii="Calibri"/>
                <w:sz w:val="7"/>
              </w:rPr>
              <w:t>2.6</w:t>
            </w:r>
          </w:p>
        </w:tc>
        <w:tc>
          <w:tcPr>
            <w:tcW w:w="791"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377"/>
              <w:jc w:val="left"/>
              <w:rPr>
                <w:rFonts w:ascii="Calibri"/>
                <w:sz w:val="7"/>
              </w:rPr>
            </w:pPr>
            <w:r>
              <w:rPr>
                <w:rFonts w:ascii="Calibri"/>
                <w:w w:val="99"/>
                <w:sz w:val="7"/>
              </w:rPr>
              <w:t>2</w:t>
            </w:r>
          </w:p>
        </w:tc>
        <w:tc>
          <w:tcPr>
            <w:tcW w:w="756" w:type="dxa"/>
            <w:tcBorders>
              <w:top w:val="single" w:sz="2" w:space="0" w:color="FFFFFF"/>
              <w:left w:val="single" w:sz="2" w:space="0" w:color="000000"/>
              <w:right w:val="single" w:sz="2" w:space="0" w:color="000000"/>
            </w:tcBorders>
            <w:shd w:val="clear" w:color="auto" w:fill="F79646"/>
          </w:tcPr>
          <w:p>
            <w:pPr>
              <w:pStyle w:val="TableParagraph"/>
              <w:spacing w:line="80" w:lineRule="exact"/>
              <w:ind w:right="328"/>
              <w:jc w:val="right"/>
              <w:rPr>
                <w:rFonts w:ascii="Calibri"/>
                <w:sz w:val="7"/>
              </w:rPr>
            </w:pPr>
            <w:r>
              <w:rPr>
                <w:rFonts w:ascii="Calibri"/>
                <w:w w:val="95"/>
                <w:sz w:val="7"/>
              </w:rPr>
              <w:t>2.6</w:t>
            </w:r>
          </w:p>
        </w:tc>
        <w:tc>
          <w:tcPr>
            <w:tcW w:w="802"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2" w:right="1"/>
              <w:rPr>
                <w:rFonts w:ascii="Calibri"/>
                <w:sz w:val="7"/>
              </w:rPr>
            </w:pPr>
            <w:r>
              <w:rPr>
                <w:rFonts w:ascii="Calibri"/>
                <w:sz w:val="7"/>
              </w:rPr>
              <w:t>2.6</w:t>
            </w:r>
          </w:p>
        </w:tc>
        <w:tc>
          <w:tcPr>
            <w:tcW w:w="86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4" w:right="3"/>
              <w:rPr>
                <w:rFonts w:ascii="Calibri"/>
                <w:sz w:val="7"/>
              </w:rPr>
            </w:pPr>
            <w:r>
              <w:rPr>
                <w:rFonts w:ascii="Calibri"/>
                <w:sz w:val="7"/>
              </w:rPr>
              <w:t>0.6</w:t>
            </w:r>
          </w:p>
        </w:tc>
        <w:tc>
          <w:tcPr>
            <w:tcW w:w="700" w:type="dxa"/>
            <w:tcBorders>
              <w:top w:val="single" w:sz="2" w:space="0" w:color="FFFFFF"/>
              <w:left w:val="single" w:sz="2" w:space="0" w:color="000000"/>
              <w:right w:val="single" w:sz="5" w:space="0" w:color="000000"/>
            </w:tcBorders>
            <w:shd w:val="clear" w:color="auto" w:fill="F79646"/>
          </w:tcPr>
          <w:p>
            <w:pPr>
              <w:pStyle w:val="TableParagraph"/>
              <w:spacing w:line="80" w:lineRule="exact"/>
              <w:ind w:left="1"/>
              <w:rPr>
                <w:rFonts w:ascii="Calibri"/>
                <w:sz w:val="7"/>
              </w:rPr>
            </w:pPr>
            <w:r>
              <w:rPr>
                <w:rFonts w:ascii="Calibri"/>
                <w:sz w:val="7"/>
              </w:rPr>
              <w:t>2.6</w:t>
            </w:r>
          </w:p>
        </w:tc>
      </w:tr>
      <w:tr>
        <w:trPr>
          <w:trHeight w:val="81" w:hRule="exact"/>
        </w:trPr>
        <w:tc>
          <w:tcPr>
            <w:tcW w:w="3238" w:type="dxa"/>
            <w:gridSpan w:val="3"/>
            <w:tcBorders>
              <w:left w:val="single" w:sz="2" w:space="0" w:color="000000"/>
              <w:right w:val="single" w:sz="2" w:space="0" w:color="000000"/>
            </w:tcBorders>
          </w:tcPr>
          <w:p>
            <w:pPr/>
          </w:p>
        </w:tc>
        <w:tc>
          <w:tcPr>
            <w:tcW w:w="430" w:type="dxa"/>
            <w:tcBorders>
              <w:left w:val="single" w:sz="2" w:space="0" w:color="000000"/>
              <w:right w:val="single" w:sz="2" w:space="0" w:color="000000"/>
            </w:tcBorders>
          </w:tcPr>
          <w:p>
            <w:pPr/>
          </w:p>
        </w:tc>
        <w:tc>
          <w:tcPr>
            <w:tcW w:w="657" w:type="dxa"/>
            <w:tcBorders>
              <w:left w:val="single" w:sz="2" w:space="0" w:color="000000"/>
              <w:right w:val="single" w:sz="2" w:space="0" w:color="000000"/>
            </w:tcBorders>
          </w:tcPr>
          <w:p>
            <w:pPr/>
          </w:p>
        </w:tc>
        <w:tc>
          <w:tcPr>
            <w:tcW w:w="593" w:type="dxa"/>
            <w:tcBorders>
              <w:left w:val="single" w:sz="2" w:space="0" w:color="000000"/>
              <w:right w:val="single" w:sz="2" w:space="0" w:color="000000"/>
            </w:tcBorders>
          </w:tcPr>
          <w:p>
            <w:pPr/>
          </w:p>
        </w:tc>
        <w:tc>
          <w:tcPr>
            <w:tcW w:w="791" w:type="dxa"/>
            <w:tcBorders>
              <w:left w:val="single" w:sz="2" w:space="0" w:color="000000"/>
              <w:right w:val="single" w:sz="2" w:space="0" w:color="000000"/>
            </w:tcBorders>
          </w:tcPr>
          <w:p>
            <w:pPr/>
          </w:p>
        </w:tc>
        <w:tc>
          <w:tcPr>
            <w:tcW w:w="756" w:type="dxa"/>
            <w:tcBorders>
              <w:left w:val="single" w:sz="2" w:space="0" w:color="000000"/>
              <w:right w:val="single" w:sz="2" w:space="0" w:color="000000"/>
            </w:tcBorders>
          </w:tcPr>
          <w:p>
            <w:pPr/>
          </w:p>
        </w:tc>
        <w:tc>
          <w:tcPr>
            <w:tcW w:w="802" w:type="dxa"/>
            <w:tcBorders>
              <w:left w:val="single" w:sz="2" w:space="0" w:color="000000"/>
              <w:right w:val="single" w:sz="2" w:space="0" w:color="000000"/>
            </w:tcBorders>
          </w:tcPr>
          <w:p>
            <w:pPr/>
          </w:p>
        </w:tc>
        <w:tc>
          <w:tcPr>
            <w:tcW w:w="860" w:type="dxa"/>
            <w:tcBorders>
              <w:left w:val="single" w:sz="2" w:space="0" w:color="000000"/>
              <w:right w:val="single" w:sz="2" w:space="0" w:color="000000"/>
            </w:tcBorders>
          </w:tcPr>
          <w:p>
            <w:pPr/>
          </w:p>
        </w:tc>
        <w:tc>
          <w:tcPr>
            <w:tcW w:w="700" w:type="dxa"/>
            <w:tcBorders>
              <w:left w:val="single" w:sz="2" w:space="0" w:color="000000"/>
              <w:right w:val="single" w:sz="5" w:space="0" w:color="000000"/>
            </w:tcBorders>
          </w:tcPr>
          <w:p>
            <w:pPr/>
          </w:p>
        </w:tc>
      </w:tr>
      <w:tr>
        <w:trPr>
          <w:trHeight w:val="90" w:hRule="exact"/>
        </w:trPr>
        <w:tc>
          <w:tcPr>
            <w:tcW w:w="1334" w:type="dxa"/>
            <w:vMerge w:val="restart"/>
            <w:tcBorders>
              <w:left w:val="single" w:sz="2" w:space="0" w:color="000000"/>
            </w:tcBorders>
          </w:tcPr>
          <w:p>
            <w:pPr>
              <w:pStyle w:val="TableParagraph"/>
              <w:ind w:left="360"/>
              <w:jc w:val="left"/>
              <w:rPr>
                <w:rFonts w:ascii="Calibri"/>
                <w:sz w:val="7"/>
              </w:rPr>
            </w:pPr>
            <w:r>
              <w:rPr>
                <w:rFonts w:ascii="Calibri"/>
                <w:sz w:val="7"/>
              </w:rPr>
              <w:t>Agua</w:t>
            </w:r>
          </w:p>
        </w:tc>
        <w:tc>
          <w:tcPr>
            <w:tcW w:w="1145" w:type="dxa"/>
            <w:vMerge w:val="restart"/>
          </w:tcPr>
          <w:p>
            <w:pPr>
              <w:pStyle w:val="TableParagraph"/>
              <w:ind w:left="197" w:right="191"/>
              <w:jc w:val="left"/>
              <w:rPr>
                <w:rFonts w:ascii="Calibri"/>
                <w:sz w:val="7"/>
              </w:rPr>
            </w:pPr>
            <w:r>
              <w:rPr>
                <w:rFonts w:ascii="Calibri"/>
                <w:sz w:val="7"/>
              </w:rPr>
              <w:t>Tipo de abastecimiento</w:t>
            </w:r>
          </w:p>
          <w:p>
            <w:pPr>
              <w:pStyle w:val="TableParagraph"/>
              <w:spacing w:before="2"/>
              <w:ind w:left="546" w:right="253"/>
              <w:jc w:val="left"/>
              <w:rPr>
                <w:rFonts w:ascii="Calibri"/>
                <w:sz w:val="7"/>
              </w:rPr>
            </w:pPr>
            <w:r>
              <w:rPr>
                <w:rFonts w:ascii="Calibri"/>
                <w:sz w:val="7"/>
              </w:rPr>
              <w:t>Subtotal</w:t>
            </w:r>
          </w:p>
        </w:tc>
        <w:tc>
          <w:tcPr>
            <w:tcW w:w="759" w:type="dxa"/>
            <w:tcBorders>
              <w:bottom w:val="single" w:sz="2" w:space="0" w:color="FFFFFF"/>
              <w:right w:val="single" w:sz="2" w:space="0" w:color="000000"/>
            </w:tcBorders>
            <w:shd w:val="clear" w:color="auto" w:fill="BAF9F5"/>
          </w:tcPr>
          <w:p>
            <w:pPr>
              <w:pStyle w:val="TableParagraph"/>
              <w:ind w:left="12"/>
              <w:rPr>
                <w:rFonts w:ascii="Calibri"/>
                <w:sz w:val="7"/>
              </w:rPr>
            </w:pPr>
            <w:r>
              <w:rPr>
                <w:rFonts w:ascii="Calibri"/>
                <w:w w:val="99"/>
                <w:sz w:val="7"/>
              </w:rPr>
              <w:t>1</w:t>
            </w:r>
          </w:p>
        </w:tc>
        <w:tc>
          <w:tcPr>
            <w:tcW w:w="430" w:type="dxa"/>
            <w:tcBorders>
              <w:left w:val="single" w:sz="2" w:space="0" w:color="000000"/>
              <w:bottom w:val="single" w:sz="2" w:space="0" w:color="FFFFFF"/>
              <w:right w:val="single" w:sz="2" w:space="0" w:color="000000"/>
            </w:tcBorders>
            <w:shd w:val="clear" w:color="auto" w:fill="BAF9F5"/>
          </w:tcPr>
          <w:p>
            <w:pPr>
              <w:pStyle w:val="TableParagraph"/>
              <w:ind w:left="6"/>
              <w:rPr>
                <w:rFonts w:ascii="Calibri"/>
                <w:sz w:val="7"/>
              </w:rPr>
            </w:pPr>
            <w:r>
              <w:rPr>
                <w:rFonts w:ascii="Calibri"/>
                <w:w w:val="99"/>
                <w:sz w:val="7"/>
              </w:rPr>
              <w:t>1</w:t>
            </w:r>
          </w:p>
        </w:tc>
        <w:tc>
          <w:tcPr>
            <w:tcW w:w="657" w:type="dxa"/>
            <w:tcBorders>
              <w:left w:val="single" w:sz="2" w:space="0" w:color="000000"/>
              <w:bottom w:val="single" w:sz="2" w:space="0" w:color="FFFFFF"/>
              <w:right w:val="single" w:sz="2" w:space="0" w:color="000000"/>
            </w:tcBorders>
            <w:shd w:val="clear" w:color="auto" w:fill="BAF9F5"/>
          </w:tcPr>
          <w:p>
            <w:pPr>
              <w:pStyle w:val="TableParagraph"/>
              <w:rPr>
                <w:rFonts w:ascii="Calibri"/>
                <w:sz w:val="7"/>
              </w:rPr>
            </w:pPr>
            <w:r>
              <w:rPr>
                <w:rFonts w:ascii="Calibri"/>
                <w:w w:val="99"/>
                <w:sz w:val="7"/>
              </w:rPr>
              <w:t>1</w:t>
            </w:r>
          </w:p>
        </w:tc>
        <w:tc>
          <w:tcPr>
            <w:tcW w:w="593" w:type="dxa"/>
            <w:tcBorders>
              <w:left w:val="single" w:sz="2" w:space="0" w:color="000000"/>
              <w:bottom w:val="single" w:sz="2" w:space="0" w:color="FFFFFF"/>
              <w:right w:val="single" w:sz="2" w:space="0" w:color="000000"/>
            </w:tcBorders>
            <w:shd w:val="clear" w:color="auto" w:fill="BAF9F5"/>
          </w:tcPr>
          <w:p>
            <w:pPr>
              <w:pStyle w:val="TableParagraph"/>
              <w:ind w:left="6"/>
              <w:rPr>
                <w:rFonts w:ascii="Calibri"/>
                <w:sz w:val="7"/>
              </w:rPr>
            </w:pPr>
            <w:r>
              <w:rPr>
                <w:rFonts w:ascii="Calibri"/>
                <w:w w:val="99"/>
                <w:sz w:val="7"/>
              </w:rPr>
              <w:t>1</w:t>
            </w:r>
          </w:p>
        </w:tc>
        <w:tc>
          <w:tcPr>
            <w:tcW w:w="791" w:type="dxa"/>
            <w:tcBorders>
              <w:left w:val="single" w:sz="2" w:space="0" w:color="000000"/>
              <w:bottom w:val="single" w:sz="2" w:space="0" w:color="FFFFFF"/>
              <w:right w:val="single" w:sz="2" w:space="0" w:color="000000"/>
            </w:tcBorders>
            <w:shd w:val="clear" w:color="auto" w:fill="BAF9F5"/>
          </w:tcPr>
          <w:p>
            <w:pPr>
              <w:pStyle w:val="TableParagraph"/>
              <w:ind w:left="377"/>
              <w:jc w:val="left"/>
              <w:rPr>
                <w:rFonts w:ascii="Calibri"/>
                <w:sz w:val="7"/>
              </w:rPr>
            </w:pPr>
            <w:r>
              <w:rPr>
                <w:rFonts w:ascii="Calibri"/>
                <w:w w:val="99"/>
                <w:sz w:val="7"/>
              </w:rPr>
              <w:t>1</w:t>
            </w:r>
          </w:p>
        </w:tc>
        <w:tc>
          <w:tcPr>
            <w:tcW w:w="756" w:type="dxa"/>
            <w:tcBorders>
              <w:left w:val="single" w:sz="2" w:space="0" w:color="000000"/>
              <w:bottom w:val="single" w:sz="2" w:space="0" w:color="FFFFFF"/>
              <w:right w:val="single" w:sz="2" w:space="0" w:color="000000"/>
            </w:tcBorders>
            <w:shd w:val="clear" w:color="auto" w:fill="BAF9F5"/>
          </w:tcPr>
          <w:p>
            <w:pPr>
              <w:pStyle w:val="TableParagraph"/>
              <w:ind w:right="352"/>
              <w:jc w:val="right"/>
              <w:rPr>
                <w:rFonts w:ascii="Calibri"/>
                <w:sz w:val="7"/>
              </w:rPr>
            </w:pPr>
            <w:r>
              <w:rPr>
                <w:rFonts w:ascii="Calibri"/>
                <w:w w:val="99"/>
                <w:sz w:val="7"/>
              </w:rPr>
              <w:t>1</w:t>
            </w:r>
          </w:p>
        </w:tc>
        <w:tc>
          <w:tcPr>
            <w:tcW w:w="802" w:type="dxa"/>
            <w:tcBorders>
              <w:left w:val="single" w:sz="2" w:space="0" w:color="000000"/>
              <w:bottom w:val="single" w:sz="2" w:space="0" w:color="FFFFFF"/>
              <w:right w:val="single" w:sz="2" w:space="0" w:color="000000"/>
            </w:tcBorders>
            <w:shd w:val="clear" w:color="auto" w:fill="BAF9F5"/>
          </w:tcPr>
          <w:p>
            <w:pPr>
              <w:pStyle w:val="TableParagraph"/>
              <w:ind w:left="6"/>
              <w:rPr>
                <w:rFonts w:ascii="Calibri"/>
                <w:sz w:val="7"/>
              </w:rPr>
            </w:pPr>
            <w:r>
              <w:rPr>
                <w:rFonts w:ascii="Calibri"/>
                <w:w w:val="99"/>
                <w:sz w:val="7"/>
              </w:rPr>
              <w:t>1</w:t>
            </w:r>
          </w:p>
        </w:tc>
        <w:tc>
          <w:tcPr>
            <w:tcW w:w="860" w:type="dxa"/>
            <w:tcBorders>
              <w:left w:val="single" w:sz="2" w:space="0" w:color="000000"/>
              <w:bottom w:val="single" w:sz="2" w:space="0" w:color="FFFFFF"/>
              <w:right w:val="single" w:sz="2" w:space="0" w:color="000000"/>
            </w:tcBorders>
            <w:shd w:val="clear" w:color="auto" w:fill="BAF9F5"/>
          </w:tcPr>
          <w:p>
            <w:pPr>
              <w:pStyle w:val="TableParagraph"/>
              <w:ind w:left="6"/>
              <w:rPr>
                <w:rFonts w:ascii="Calibri"/>
                <w:sz w:val="7"/>
              </w:rPr>
            </w:pPr>
            <w:r>
              <w:rPr>
                <w:rFonts w:ascii="Calibri"/>
                <w:w w:val="99"/>
                <w:sz w:val="7"/>
              </w:rPr>
              <w:t>1</w:t>
            </w:r>
          </w:p>
        </w:tc>
        <w:tc>
          <w:tcPr>
            <w:tcW w:w="700" w:type="dxa"/>
            <w:tcBorders>
              <w:left w:val="single" w:sz="2" w:space="0" w:color="000000"/>
              <w:bottom w:val="single" w:sz="2" w:space="0" w:color="FFFFFF"/>
              <w:right w:val="single" w:sz="5" w:space="0" w:color="000000"/>
            </w:tcBorders>
            <w:shd w:val="clear" w:color="auto" w:fill="BAF9F5"/>
          </w:tcPr>
          <w:p>
            <w:pPr>
              <w:pStyle w:val="TableParagraph"/>
              <w:ind w:left="6"/>
              <w:rPr>
                <w:rFonts w:ascii="Calibri"/>
                <w:sz w:val="7"/>
              </w:rPr>
            </w:pPr>
            <w:r>
              <w:rPr>
                <w:rFonts w:ascii="Calibri"/>
                <w:w w:val="99"/>
                <w:sz w:val="7"/>
              </w:rPr>
              <w:t>1</w:t>
            </w:r>
          </w:p>
        </w:tc>
      </w:tr>
      <w:tr>
        <w:trPr>
          <w:trHeight w:val="90" w:hRule="exact"/>
        </w:trPr>
        <w:tc>
          <w:tcPr>
            <w:tcW w:w="1334" w:type="dxa"/>
            <w:vMerge/>
            <w:tcBorders>
              <w:left w:val="single" w:sz="2" w:space="0" w:color="000000"/>
            </w:tcBorders>
          </w:tcPr>
          <w:p>
            <w:pPr/>
          </w:p>
        </w:tc>
        <w:tc>
          <w:tcPr>
            <w:tcW w:w="1145" w:type="dxa"/>
            <w:vMerge/>
          </w:tcPr>
          <w:p>
            <w:pPr/>
          </w:p>
        </w:tc>
        <w:tc>
          <w:tcPr>
            <w:tcW w:w="759" w:type="dxa"/>
            <w:tcBorders>
              <w:top w:val="single" w:sz="2" w:space="0" w:color="FFFFFF"/>
              <w:right w:val="single" w:sz="2" w:space="0" w:color="000000"/>
            </w:tcBorders>
            <w:shd w:val="clear" w:color="auto" w:fill="F79646"/>
          </w:tcPr>
          <w:p>
            <w:pPr>
              <w:pStyle w:val="TableParagraph"/>
              <w:spacing w:line="80" w:lineRule="exact"/>
              <w:ind w:left="12"/>
              <w:rPr>
                <w:rFonts w:ascii="Calibri"/>
                <w:sz w:val="7"/>
              </w:rPr>
            </w:pPr>
            <w:r>
              <w:rPr>
                <w:rFonts w:ascii="Calibri"/>
                <w:w w:val="99"/>
                <w:sz w:val="7"/>
              </w:rPr>
              <w:t>1</w:t>
            </w:r>
          </w:p>
        </w:tc>
        <w:tc>
          <w:tcPr>
            <w:tcW w:w="43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1</w:t>
            </w:r>
          </w:p>
        </w:tc>
        <w:tc>
          <w:tcPr>
            <w:tcW w:w="657" w:type="dxa"/>
            <w:tcBorders>
              <w:top w:val="single" w:sz="2" w:space="0" w:color="FFFFFF"/>
              <w:left w:val="single" w:sz="2" w:space="0" w:color="000000"/>
              <w:right w:val="single" w:sz="2" w:space="0" w:color="000000"/>
            </w:tcBorders>
            <w:shd w:val="clear" w:color="auto" w:fill="F79646"/>
          </w:tcPr>
          <w:p>
            <w:pPr>
              <w:pStyle w:val="TableParagraph"/>
              <w:spacing w:line="80" w:lineRule="exact"/>
              <w:rPr>
                <w:rFonts w:ascii="Calibri"/>
                <w:sz w:val="7"/>
              </w:rPr>
            </w:pPr>
            <w:r>
              <w:rPr>
                <w:rFonts w:ascii="Calibri"/>
                <w:w w:val="99"/>
                <w:sz w:val="7"/>
              </w:rPr>
              <w:t>1</w:t>
            </w:r>
          </w:p>
        </w:tc>
        <w:tc>
          <w:tcPr>
            <w:tcW w:w="593"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1</w:t>
            </w:r>
          </w:p>
        </w:tc>
        <w:tc>
          <w:tcPr>
            <w:tcW w:w="791"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377"/>
              <w:jc w:val="left"/>
              <w:rPr>
                <w:rFonts w:ascii="Calibri"/>
                <w:sz w:val="7"/>
              </w:rPr>
            </w:pPr>
            <w:r>
              <w:rPr>
                <w:rFonts w:ascii="Calibri"/>
                <w:w w:val="99"/>
                <w:sz w:val="7"/>
              </w:rPr>
              <w:t>1</w:t>
            </w:r>
          </w:p>
        </w:tc>
        <w:tc>
          <w:tcPr>
            <w:tcW w:w="756" w:type="dxa"/>
            <w:tcBorders>
              <w:top w:val="single" w:sz="2" w:space="0" w:color="FFFFFF"/>
              <w:left w:val="single" w:sz="2" w:space="0" w:color="000000"/>
              <w:right w:val="single" w:sz="2" w:space="0" w:color="000000"/>
            </w:tcBorders>
            <w:shd w:val="clear" w:color="auto" w:fill="F79646"/>
          </w:tcPr>
          <w:p>
            <w:pPr>
              <w:pStyle w:val="TableParagraph"/>
              <w:spacing w:line="80" w:lineRule="exact"/>
              <w:ind w:right="352"/>
              <w:jc w:val="right"/>
              <w:rPr>
                <w:rFonts w:ascii="Calibri"/>
                <w:sz w:val="7"/>
              </w:rPr>
            </w:pPr>
            <w:r>
              <w:rPr>
                <w:rFonts w:ascii="Calibri"/>
                <w:w w:val="99"/>
                <w:sz w:val="7"/>
              </w:rPr>
              <w:t>1</w:t>
            </w:r>
          </w:p>
        </w:tc>
        <w:tc>
          <w:tcPr>
            <w:tcW w:w="802"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1</w:t>
            </w:r>
          </w:p>
        </w:tc>
        <w:tc>
          <w:tcPr>
            <w:tcW w:w="86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1</w:t>
            </w:r>
          </w:p>
        </w:tc>
        <w:tc>
          <w:tcPr>
            <w:tcW w:w="700" w:type="dxa"/>
            <w:tcBorders>
              <w:top w:val="single" w:sz="2" w:space="0" w:color="FFFFFF"/>
              <w:left w:val="single" w:sz="2" w:space="0" w:color="000000"/>
              <w:right w:val="single" w:sz="5" w:space="0" w:color="000000"/>
            </w:tcBorders>
            <w:shd w:val="clear" w:color="auto" w:fill="F79646"/>
          </w:tcPr>
          <w:p>
            <w:pPr>
              <w:pStyle w:val="TableParagraph"/>
              <w:spacing w:line="80" w:lineRule="exact"/>
              <w:ind w:left="6"/>
              <w:rPr>
                <w:rFonts w:ascii="Calibri"/>
                <w:sz w:val="7"/>
              </w:rPr>
            </w:pPr>
            <w:r>
              <w:rPr>
                <w:rFonts w:ascii="Calibri"/>
                <w:w w:val="99"/>
                <w:sz w:val="7"/>
              </w:rPr>
              <w:t>1</w:t>
            </w:r>
          </w:p>
        </w:tc>
      </w:tr>
      <w:tr>
        <w:trPr>
          <w:trHeight w:val="81" w:hRule="exact"/>
        </w:trPr>
        <w:tc>
          <w:tcPr>
            <w:tcW w:w="3238" w:type="dxa"/>
            <w:gridSpan w:val="3"/>
            <w:tcBorders>
              <w:left w:val="single" w:sz="2" w:space="0" w:color="000000"/>
              <w:right w:val="single" w:sz="2" w:space="0" w:color="000000"/>
            </w:tcBorders>
          </w:tcPr>
          <w:p>
            <w:pPr/>
          </w:p>
        </w:tc>
        <w:tc>
          <w:tcPr>
            <w:tcW w:w="430" w:type="dxa"/>
            <w:tcBorders>
              <w:left w:val="single" w:sz="2" w:space="0" w:color="000000"/>
              <w:right w:val="single" w:sz="2" w:space="0" w:color="000000"/>
            </w:tcBorders>
          </w:tcPr>
          <w:p>
            <w:pPr/>
          </w:p>
        </w:tc>
        <w:tc>
          <w:tcPr>
            <w:tcW w:w="657" w:type="dxa"/>
            <w:tcBorders>
              <w:left w:val="single" w:sz="2" w:space="0" w:color="000000"/>
              <w:right w:val="single" w:sz="2" w:space="0" w:color="000000"/>
            </w:tcBorders>
          </w:tcPr>
          <w:p>
            <w:pPr/>
          </w:p>
        </w:tc>
        <w:tc>
          <w:tcPr>
            <w:tcW w:w="593" w:type="dxa"/>
            <w:tcBorders>
              <w:left w:val="single" w:sz="2" w:space="0" w:color="000000"/>
              <w:right w:val="single" w:sz="2" w:space="0" w:color="000000"/>
            </w:tcBorders>
          </w:tcPr>
          <w:p>
            <w:pPr/>
          </w:p>
        </w:tc>
        <w:tc>
          <w:tcPr>
            <w:tcW w:w="791" w:type="dxa"/>
            <w:tcBorders>
              <w:left w:val="single" w:sz="2" w:space="0" w:color="000000"/>
              <w:right w:val="single" w:sz="2" w:space="0" w:color="000000"/>
            </w:tcBorders>
          </w:tcPr>
          <w:p>
            <w:pPr/>
          </w:p>
        </w:tc>
        <w:tc>
          <w:tcPr>
            <w:tcW w:w="756" w:type="dxa"/>
            <w:tcBorders>
              <w:left w:val="single" w:sz="2" w:space="0" w:color="000000"/>
              <w:right w:val="single" w:sz="2" w:space="0" w:color="000000"/>
            </w:tcBorders>
          </w:tcPr>
          <w:p>
            <w:pPr/>
          </w:p>
        </w:tc>
        <w:tc>
          <w:tcPr>
            <w:tcW w:w="802" w:type="dxa"/>
            <w:tcBorders>
              <w:left w:val="single" w:sz="2" w:space="0" w:color="000000"/>
              <w:right w:val="single" w:sz="2" w:space="0" w:color="000000"/>
            </w:tcBorders>
          </w:tcPr>
          <w:p>
            <w:pPr/>
          </w:p>
        </w:tc>
        <w:tc>
          <w:tcPr>
            <w:tcW w:w="860" w:type="dxa"/>
            <w:tcBorders>
              <w:left w:val="single" w:sz="2" w:space="0" w:color="000000"/>
              <w:right w:val="single" w:sz="2" w:space="0" w:color="000000"/>
            </w:tcBorders>
          </w:tcPr>
          <w:p>
            <w:pPr/>
          </w:p>
        </w:tc>
        <w:tc>
          <w:tcPr>
            <w:tcW w:w="700" w:type="dxa"/>
            <w:tcBorders>
              <w:left w:val="single" w:sz="2" w:space="0" w:color="000000"/>
              <w:right w:val="single" w:sz="5" w:space="0" w:color="000000"/>
            </w:tcBorders>
          </w:tcPr>
          <w:p>
            <w:pPr/>
          </w:p>
        </w:tc>
      </w:tr>
      <w:tr>
        <w:trPr>
          <w:trHeight w:val="91" w:hRule="exact"/>
        </w:trPr>
        <w:tc>
          <w:tcPr>
            <w:tcW w:w="1334" w:type="dxa"/>
            <w:vMerge w:val="restart"/>
            <w:tcBorders>
              <w:left w:val="single" w:sz="2" w:space="0" w:color="000000"/>
            </w:tcBorders>
          </w:tcPr>
          <w:p>
            <w:pPr>
              <w:pStyle w:val="TableParagraph"/>
              <w:jc w:val="left"/>
              <w:rPr>
                <w:sz w:val="6"/>
              </w:rPr>
            </w:pPr>
          </w:p>
          <w:p>
            <w:pPr>
              <w:pStyle w:val="TableParagraph"/>
              <w:jc w:val="left"/>
              <w:rPr>
                <w:sz w:val="6"/>
              </w:rPr>
            </w:pPr>
          </w:p>
          <w:p>
            <w:pPr>
              <w:pStyle w:val="TableParagraph"/>
              <w:jc w:val="left"/>
              <w:rPr>
                <w:sz w:val="6"/>
              </w:rPr>
            </w:pPr>
          </w:p>
          <w:p>
            <w:pPr>
              <w:pStyle w:val="TableParagraph"/>
              <w:spacing w:before="9"/>
              <w:jc w:val="left"/>
              <w:rPr>
                <w:sz w:val="4"/>
              </w:rPr>
            </w:pPr>
          </w:p>
          <w:p>
            <w:pPr>
              <w:pStyle w:val="TableParagraph"/>
              <w:ind w:left="360"/>
              <w:jc w:val="left"/>
              <w:rPr>
                <w:rFonts w:ascii="Calibri"/>
                <w:sz w:val="7"/>
              </w:rPr>
            </w:pPr>
            <w:r>
              <w:rPr>
                <w:rFonts w:ascii="Calibri"/>
                <w:sz w:val="7"/>
              </w:rPr>
              <w:t>Infraestructura</w:t>
            </w:r>
          </w:p>
        </w:tc>
        <w:tc>
          <w:tcPr>
            <w:tcW w:w="1145" w:type="dxa"/>
            <w:vMerge w:val="restart"/>
          </w:tcPr>
          <w:p>
            <w:pPr>
              <w:pStyle w:val="TableParagraph"/>
              <w:ind w:left="197" w:right="440"/>
              <w:jc w:val="left"/>
              <w:rPr>
                <w:rFonts w:ascii="Calibri" w:hAnsi="Calibri"/>
                <w:sz w:val="7"/>
              </w:rPr>
            </w:pPr>
            <w:r>
              <w:rPr>
                <w:rFonts w:ascii="Calibri" w:hAnsi="Calibri"/>
                <w:sz w:val="7"/>
              </w:rPr>
              <w:t>Agua potable Energía eléctrica Drenaje sanitario Drenaje pluvial</w:t>
            </w:r>
          </w:p>
          <w:p>
            <w:pPr>
              <w:pStyle w:val="TableParagraph"/>
              <w:spacing w:before="1"/>
              <w:ind w:left="197" w:right="191"/>
              <w:jc w:val="left"/>
              <w:rPr>
                <w:rFonts w:ascii="Calibri" w:hAnsi="Calibri"/>
                <w:sz w:val="7"/>
              </w:rPr>
            </w:pPr>
            <w:r>
              <w:rPr>
                <w:rFonts w:ascii="Calibri" w:hAnsi="Calibri"/>
                <w:sz w:val="7"/>
              </w:rPr>
              <w:t>Guarniciones y banquetas Vialidades y calles Señalización</w:t>
            </w:r>
          </w:p>
          <w:p>
            <w:pPr>
              <w:pStyle w:val="TableParagraph"/>
              <w:spacing w:before="1"/>
              <w:ind w:left="546" w:right="253"/>
              <w:jc w:val="left"/>
              <w:rPr>
                <w:rFonts w:ascii="Calibri"/>
                <w:sz w:val="7"/>
              </w:rPr>
            </w:pPr>
            <w:r>
              <w:rPr>
                <w:rFonts w:ascii="Calibri"/>
                <w:sz w:val="7"/>
              </w:rPr>
              <w:t>Subtotal</w:t>
            </w:r>
          </w:p>
        </w:tc>
        <w:tc>
          <w:tcPr>
            <w:tcW w:w="759" w:type="dxa"/>
            <w:tcBorders>
              <w:right w:val="single" w:sz="2" w:space="0" w:color="000000"/>
            </w:tcBorders>
            <w:shd w:val="clear" w:color="auto" w:fill="BAF9F5"/>
          </w:tcPr>
          <w:p>
            <w:pPr>
              <w:pStyle w:val="TableParagraph"/>
              <w:ind w:left="12"/>
              <w:rPr>
                <w:rFonts w:ascii="Calibri"/>
                <w:sz w:val="7"/>
              </w:rPr>
            </w:pPr>
            <w:r>
              <w:rPr>
                <w:rFonts w:ascii="Calibri"/>
                <w:w w:val="99"/>
                <w:sz w:val="7"/>
              </w:rPr>
              <w:t>0</w:t>
            </w:r>
          </w:p>
        </w:tc>
        <w:tc>
          <w:tcPr>
            <w:tcW w:w="430"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0</w:t>
            </w:r>
          </w:p>
        </w:tc>
        <w:tc>
          <w:tcPr>
            <w:tcW w:w="657" w:type="dxa"/>
            <w:tcBorders>
              <w:left w:val="single" w:sz="2" w:space="0" w:color="000000"/>
              <w:right w:val="single" w:sz="2" w:space="0" w:color="000000"/>
            </w:tcBorders>
            <w:shd w:val="clear" w:color="auto" w:fill="BAF9F5"/>
          </w:tcPr>
          <w:p>
            <w:pPr>
              <w:pStyle w:val="TableParagraph"/>
              <w:rPr>
                <w:rFonts w:ascii="Calibri"/>
                <w:sz w:val="7"/>
              </w:rPr>
            </w:pPr>
            <w:r>
              <w:rPr>
                <w:rFonts w:ascii="Calibri"/>
                <w:w w:val="99"/>
                <w:sz w:val="7"/>
              </w:rPr>
              <w:t>0</w:t>
            </w:r>
          </w:p>
        </w:tc>
        <w:tc>
          <w:tcPr>
            <w:tcW w:w="593"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0</w:t>
            </w:r>
          </w:p>
        </w:tc>
        <w:tc>
          <w:tcPr>
            <w:tcW w:w="791" w:type="dxa"/>
            <w:tcBorders>
              <w:left w:val="single" w:sz="2" w:space="0" w:color="000000"/>
              <w:right w:val="single" w:sz="2" w:space="0" w:color="000000"/>
            </w:tcBorders>
            <w:shd w:val="clear" w:color="auto" w:fill="BAF9F5"/>
          </w:tcPr>
          <w:p>
            <w:pPr>
              <w:pStyle w:val="TableParagraph"/>
              <w:ind w:left="377"/>
              <w:jc w:val="left"/>
              <w:rPr>
                <w:rFonts w:ascii="Calibri"/>
                <w:sz w:val="7"/>
              </w:rPr>
            </w:pPr>
            <w:r>
              <w:rPr>
                <w:rFonts w:ascii="Calibri"/>
                <w:w w:val="99"/>
                <w:sz w:val="7"/>
              </w:rPr>
              <w:t>0</w:t>
            </w:r>
          </w:p>
        </w:tc>
        <w:tc>
          <w:tcPr>
            <w:tcW w:w="756" w:type="dxa"/>
            <w:tcBorders>
              <w:left w:val="single" w:sz="2" w:space="0" w:color="000000"/>
              <w:right w:val="single" w:sz="2" w:space="0" w:color="000000"/>
            </w:tcBorders>
            <w:shd w:val="clear" w:color="auto" w:fill="BAF9F5"/>
          </w:tcPr>
          <w:p>
            <w:pPr>
              <w:pStyle w:val="TableParagraph"/>
              <w:ind w:right="352"/>
              <w:jc w:val="right"/>
              <w:rPr>
                <w:rFonts w:ascii="Calibri"/>
                <w:sz w:val="7"/>
              </w:rPr>
            </w:pPr>
            <w:r>
              <w:rPr>
                <w:rFonts w:ascii="Calibri"/>
                <w:w w:val="99"/>
                <w:sz w:val="7"/>
              </w:rPr>
              <w:t>0</w:t>
            </w:r>
          </w:p>
        </w:tc>
        <w:tc>
          <w:tcPr>
            <w:tcW w:w="802"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0</w:t>
            </w:r>
          </w:p>
        </w:tc>
        <w:tc>
          <w:tcPr>
            <w:tcW w:w="860"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0</w:t>
            </w:r>
          </w:p>
        </w:tc>
        <w:tc>
          <w:tcPr>
            <w:tcW w:w="700" w:type="dxa"/>
            <w:tcBorders>
              <w:left w:val="single" w:sz="2" w:space="0" w:color="000000"/>
              <w:right w:val="single" w:sz="5" w:space="0" w:color="000000"/>
            </w:tcBorders>
            <w:shd w:val="clear" w:color="auto" w:fill="BAF9F5"/>
          </w:tcPr>
          <w:p>
            <w:pPr>
              <w:pStyle w:val="TableParagraph"/>
              <w:ind w:left="6"/>
              <w:rPr>
                <w:rFonts w:ascii="Calibri"/>
                <w:sz w:val="7"/>
              </w:rPr>
            </w:pPr>
            <w:r>
              <w:rPr>
                <w:rFonts w:ascii="Calibri"/>
                <w:w w:val="99"/>
                <w:sz w:val="7"/>
              </w:rPr>
              <w:t>0</w:t>
            </w:r>
          </w:p>
        </w:tc>
      </w:tr>
      <w:tr>
        <w:trPr>
          <w:trHeight w:val="87" w:hRule="exact"/>
        </w:trPr>
        <w:tc>
          <w:tcPr>
            <w:tcW w:w="1334" w:type="dxa"/>
            <w:vMerge/>
            <w:tcBorders>
              <w:left w:val="single" w:sz="2" w:space="0" w:color="000000"/>
            </w:tcBorders>
          </w:tcPr>
          <w:p>
            <w:pPr/>
          </w:p>
        </w:tc>
        <w:tc>
          <w:tcPr>
            <w:tcW w:w="1145" w:type="dxa"/>
            <w:vMerge/>
          </w:tcPr>
          <w:p>
            <w:pPr/>
          </w:p>
        </w:tc>
        <w:tc>
          <w:tcPr>
            <w:tcW w:w="759" w:type="dxa"/>
            <w:tcBorders>
              <w:right w:val="single" w:sz="2" w:space="0" w:color="000000"/>
            </w:tcBorders>
            <w:shd w:val="clear" w:color="auto" w:fill="BAF9F5"/>
          </w:tcPr>
          <w:p>
            <w:pPr>
              <w:pStyle w:val="TableParagraph"/>
              <w:spacing w:line="82" w:lineRule="exact"/>
              <w:ind w:left="78" w:right="72"/>
              <w:rPr>
                <w:rFonts w:ascii="Calibri"/>
                <w:sz w:val="7"/>
              </w:rPr>
            </w:pPr>
            <w:r>
              <w:rPr>
                <w:rFonts w:ascii="Calibri"/>
                <w:sz w:val="7"/>
              </w:rPr>
              <w:t>0.5</w:t>
            </w:r>
          </w:p>
        </w:tc>
        <w:tc>
          <w:tcPr>
            <w:tcW w:w="430" w:type="dxa"/>
            <w:tcBorders>
              <w:left w:val="single" w:sz="2" w:space="0" w:color="000000"/>
              <w:right w:val="single" w:sz="2" w:space="0" w:color="000000"/>
            </w:tcBorders>
            <w:shd w:val="clear" w:color="auto" w:fill="BAF9F5"/>
          </w:tcPr>
          <w:p>
            <w:pPr>
              <w:pStyle w:val="TableParagraph"/>
              <w:spacing w:line="82" w:lineRule="exact"/>
              <w:ind w:left="3" w:right="2"/>
              <w:rPr>
                <w:rFonts w:ascii="Calibri"/>
                <w:sz w:val="7"/>
              </w:rPr>
            </w:pPr>
            <w:r>
              <w:rPr>
                <w:rFonts w:ascii="Calibri"/>
                <w:sz w:val="7"/>
              </w:rPr>
              <w:t>0.5</w:t>
            </w:r>
          </w:p>
        </w:tc>
        <w:tc>
          <w:tcPr>
            <w:tcW w:w="657" w:type="dxa"/>
            <w:tcBorders>
              <w:left w:val="single" w:sz="2" w:space="0" w:color="000000"/>
              <w:right w:val="single" w:sz="2" w:space="0" w:color="000000"/>
            </w:tcBorders>
            <w:shd w:val="clear" w:color="auto" w:fill="BAF9F5"/>
          </w:tcPr>
          <w:p>
            <w:pPr>
              <w:pStyle w:val="TableParagraph"/>
              <w:spacing w:line="82" w:lineRule="exact"/>
              <w:ind w:right="2"/>
              <w:rPr>
                <w:rFonts w:ascii="Calibri"/>
                <w:sz w:val="7"/>
              </w:rPr>
            </w:pPr>
            <w:r>
              <w:rPr>
                <w:rFonts w:ascii="Calibri"/>
                <w:sz w:val="7"/>
              </w:rPr>
              <w:t>0.5</w:t>
            </w:r>
          </w:p>
        </w:tc>
        <w:tc>
          <w:tcPr>
            <w:tcW w:w="593" w:type="dxa"/>
            <w:tcBorders>
              <w:left w:val="single" w:sz="2" w:space="0" w:color="000000"/>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0.5</w:t>
            </w:r>
          </w:p>
        </w:tc>
        <w:tc>
          <w:tcPr>
            <w:tcW w:w="791" w:type="dxa"/>
            <w:tcBorders>
              <w:left w:val="single" w:sz="2" w:space="0" w:color="000000"/>
              <w:right w:val="single" w:sz="2" w:space="0" w:color="000000"/>
            </w:tcBorders>
            <w:shd w:val="clear" w:color="auto" w:fill="BAF9F5"/>
          </w:tcPr>
          <w:p>
            <w:pPr>
              <w:pStyle w:val="TableParagraph"/>
              <w:spacing w:line="82" w:lineRule="exact"/>
              <w:ind w:left="377"/>
              <w:jc w:val="left"/>
              <w:rPr>
                <w:rFonts w:ascii="Calibri"/>
                <w:sz w:val="7"/>
              </w:rPr>
            </w:pPr>
            <w:r>
              <w:rPr>
                <w:rFonts w:ascii="Calibri"/>
                <w:w w:val="99"/>
                <w:sz w:val="7"/>
              </w:rPr>
              <w:t>0</w:t>
            </w:r>
          </w:p>
        </w:tc>
        <w:tc>
          <w:tcPr>
            <w:tcW w:w="756" w:type="dxa"/>
            <w:tcBorders>
              <w:left w:val="single" w:sz="2" w:space="0" w:color="000000"/>
              <w:right w:val="single" w:sz="2" w:space="0" w:color="000000"/>
            </w:tcBorders>
            <w:shd w:val="clear" w:color="auto" w:fill="BAF9F5"/>
          </w:tcPr>
          <w:p>
            <w:pPr>
              <w:pStyle w:val="TableParagraph"/>
              <w:spacing w:line="82" w:lineRule="exact"/>
              <w:ind w:right="328"/>
              <w:jc w:val="right"/>
              <w:rPr>
                <w:rFonts w:ascii="Calibri"/>
                <w:sz w:val="7"/>
              </w:rPr>
            </w:pPr>
            <w:r>
              <w:rPr>
                <w:rFonts w:ascii="Calibri"/>
                <w:w w:val="95"/>
                <w:sz w:val="7"/>
              </w:rPr>
              <w:t>0.5</w:t>
            </w:r>
          </w:p>
        </w:tc>
        <w:tc>
          <w:tcPr>
            <w:tcW w:w="802" w:type="dxa"/>
            <w:tcBorders>
              <w:left w:val="single" w:sz="2" w:space="0" w:color="000000"/>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0.5</w:t>
            </w:r>
          </w:p>
        </w:tc>
        <w:tc>
          <w:tcPr>
            <w:tcW w:w="860" w:type="dxa"/>
            <w:tcBorders>
              <w:left w:val="single" w:sz="2" w:space="0" w:color="000000"/>
              <w:right w:val="single" w:sz="2" w:space="0" w:color="000000"/>
            </w:tcBorders>
            <w:shd w:val="clear" w:color="auto" w:fill="BAF9F5"/>
          </w:tcPr>
          <w:p>
            <w:pPr>
              <w:pStyle w:val="TableParagraph"/>
              <w:spacing w:line="82" w:lineRule="exact"/>
              <w:ind w:left="4" w:right="3"/>
              <w:rPr>
                <w:rFonts w:ascii="Calibri"/>
                <w:sz w:val="7"/>
              </w:rPr>
            </w:pPr>
            <w:r>
              <w:rPr>
                <w:rFonts w:ascii="Calibri"/>
                <w:sz w:val="7"/>
              </w:rPr>
              <w:t>0.5</w:t>
            </w:r>
          </w:p>
        </w:tc>
        <w:tc>
          <w:tcPr>
            <w:tcW w:w="700" w:type="dxa"/>
            <w:tcBorders>
              <w:left w:val="single" w:sz="2" w:space="0" w:color="000000"/>
              <w:right w:val="single" w:sz="5" w:space="0" w:color="000000"/>
            </w:tcBorders>
            <w:shd w:val="clear" w:color="auto" w:fill="BAF9F5"/>
          </w:tcPr>
          <w:p>
            <w:pPr>
              <w:pStyle w:val="TableParagraph"/>
              <w:spacing w:line="82" w:lineRule="exact"/>
              <w:ind w:left="1"/>
              <w:rPr>
                <w:rFonts w:ascii="Calibri"/>
                <w:sz w:val="7"/>
              </w:rPr>
            </w:pPr>
            <w:r>
              <w:rPr>
                <w:rFonts w:ascii="Calibri"/>
                <w:sz w:val="7"/>
              </w:rPr>
              <w:t>0.5</w:t>
            </w:r>
          </w:p>
        </w:tc>
      </w:tr>
      <w:tr>
        <w:trPr>
          <w:trHeight w:val="87" w:hRule="exact"/>
        </w:trPr>
        <w:tc>
          <w:tcPr>
            <w:tcW w:w="1334" w:type="dxa"/>
            <w:vMerge/>
            <w:tcBorders>
              <w:left w:val="single" w:sz="2" w:space="0" w:color="000000"/>
            </w:tcBorders>
          </w:tcPr>
          <w:p>
            <w:pPr/>
          </w:p>
        </w:tc>
        <w:tc>
          <w:tcPr>
            <w:tcW w:w="1145" w:type="dxa"/>
            <w:vMerge/>
          </w:tcPr>
          <w:p>
            <w:pPr/>
          </w:p>
        </w:tc>
        <w:tc>
          <w:tcPr>
            <w:tcW w:w="759" w:type="dxa"/>
            <w:tcBorders>
              <w:right w:val="single" w:sz="2" w:space="0" w:color="000000"/>
            </w:tcBorders>
            <w:shd w:val="clear" w:color="auto" w:fill="BAF9F5"/>
          </w:tcPr>
          <w:p>
            <w:pPr>
              <w:pStyle w:val="TableParagraph"/>
              <w:spacing w:line="82" w:lineRule="exact"/>
              <w:ind w:left="78" w:right="72"/>
              <w:rPr>
                <w:rFonts w:ascii="Calibri"/>
                <w:sz w:val="7"/>
              </w:rPr>
            </w:pPr>
            <w:r>
              <w:rPr>
                <w:rFonts w:ascii="Calibri"/>
                <w:sz w:val="7"/>
              </w:rPr>
              <w:t>0.5</w:t>
            </w:r>
          </w:p>
        </w:tc>
        <w:tc>
          <w:tcPr>
            <w:tcW w:w="430"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657" w:type="dxa"/>
            <w:tcBorders>
              <w:left w:val="single" w:sz="2" w:space="0" w:color="000000"/>
              <w:right w:val="single" w:sz="2" w:space="0" w:color="000000"/>
            </w:tcBorders>
            <w:shd w:val="clear" w:color="auto" w:fill="BAF9F5"/>
          </w:tcPr>
          <w:p>
            <w:pPr>
              <w:pStyle w:val="TableParagraph"/>
              <w:spacing w:line="82" w:lineRule="exact"/>
              <w:ind w:right="2"/>
              <w:rPr>
                <w:rFonts w:ascii="Calibri"/>
                <w:sz w:val="7"/>
              </w:rPr>
            </w:pPr>
            <w:r>
              <w:rPr>
                <w:rFonts w:ascii="Calibri"/>
                <w:sz w:val="7"/>
              </w:rPr>
              <w:t>0.5</w:t>
            </w:r>
          </w:p>
        </w:tc>
        <w:tc>
          <w:tcPr>
            <w:tcW w:w="593" w:type="dxa"/>
            <w:tcBorders>
              <w:left w:val="single" w:sz="2" w:space="0" w:color="000000"/>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0.5</w:t>
            </w:r>
          </w:p>
        </w:tc>
        <w:tc>
          <w:tcPr>
            <w:tcW w:w="791" w:type="dxa"/>
            <w:tcBorders>
              <w:left w:val="single" w:sz="2" w:space="0" w:color="000000"/>
              <w:right w:val="single" w:sz="2" w:space="0" w:color="000000"/>
            </w:tcBorders>
            <w:shd w:val="clear" w:color="auto" w:fill="BAF9F5"/>
          </w:tcPr>
          <w:p>
            <w:pPr>
              <w:pStyle w:val="TableParagraph"/>
              <w:spacing w:line="82" w:lineRule="exact"/>
              <w:ind w:left="348" w:right="-38"/>
              <w:jc w:val="left"/>
              <w:rPr>
                <w:rFonts w:ascii="Calibri"/>
                <w:sz w:val="7"/>
              </w:rPr>
            </w:pPr>
            <w:r>
              <w:rPr>
                <w:rFonts w:ascii="Calibri"/>
                <w:sz w:val="7"/>
              </w:rPr>
              <w:t>0.5</w:t>
            </w:r>
          </w:p>
        </w:tc>
        <w:tc>
          <w:tcPr>
            <w:tcW w:w="756" w:type="dxa"/>
            <w:tcBorders>
              <w:left w:val="single" w:sz="2" w:space="0" w:color="000000"/>
              <w:right w:val="single" w:sz="2" w:space="0" w:color="000000"/>
            </w:tcBorders>
            <w:shd w:val="clear" w:color="auto" w:fill="BAF9F5"/>
          </w:tcPr>
          <w:p>
            <w:pPr>
              <w:pStyle w:val="TableParagraph"/>
              <w:spacing w:line="82" w:lineRule="exact"/>
              <w:ind w:right="352"/>
              <w:jc w:val="right"/>
              <w:rPr>
                <w:rFonts w:ascii="Calibri"/>
                <w:sz w:val="7"/>
              </w:rPr>
            </w:pPr>
            <w:r>
              <w:rPr>
                <w:rFonts w:ascii="Calibri"/>
                <w:w w:val="99"/>
                <w:sz w:val="7"/>
              </w:rPr>
              <w:t>0</w:t>
            </w:r>
          </w:p>
        </w:tc>
        <w:tc>
          <w:tcPr>
            <w:tcW w:w="802"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860"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00" w:type="dxa"/>
            <w:tcBorders>
              <w:left w:val="single" w:sz="2" w:space="0" w:color="000000"/>
              <w:right w:val="single" w:sz="5" w:space="0" w:color="000000"/>
            </w:tcBorders>
            <w:shd w:val="clear" w:color="auto" w:fill="BAF9F5"/>
          </w:tcPr>
          <w:p>
            <w:pPr>
              <w:pStyle w:val="TableParagraph"/>
              <w:spacing w:line="82" w:lineRule="exact"/>
              <w:ind w:left="6"/>
              <w:rPr>
                <w:rFonts w:ascii="Calibri"/>
                <w:sz w:val="7"/>
              </w:rPr>
            </w:pPr>
            <w:r>
              <w:rPr>
                <w:rFonts w:ascii="Calibri"/>
                <w:w w:val="99"/>
                <w:sz w:val="7"/>
              </w:rPr>
              <w:t>0</w:t>
            </w:r>
          </w:p>
        </w:tc>
      </w:tr>
      <w:tr>
        <w:trPr>
          <w:trHeight w:val="87" w:hRule="exact"/>
        </w:trPr>
        <w:tc>
          <w:tcPr>
            <w:tcW w:w="1334" w:type="dxa"/>
            <w:vMerge/>
            <w:tcBorders>
              <w:left w:val="single" w:sz="2" w:space="0" w:color="000000"/>
            </w:tcBorders>
          </w:tcPr>
          <w:p>
            <w:pPr/>
          </w:p>
        </w:tc>
        <w:tc>
          <w:tcPr>
            <w:tcW w:w="1145" w:type="dxa"/>
            <w:vMerge/>
          </w:tcPr>
          <w:p>
            <w:pPr/>
          </w:p>
        </w:tc>
        <w:tc>
          <w:tcPr>
            <w:tcW w:w="759" w:type="dxa"/>
            <w:tcBorders>
              <w:right w:val="single" w:sz="2" w:space="0" w:color="000000"/>
            </w:tcBorders>
            <w:shd w:val="clear" w:color="auto" w:fill="BAF9F5"/>
          </w:tcPr>
          <w:p>
            <w:pPr>
              <w:pStyle w:val="TableParagraph"/>
              <w:spacing w:line="82" w:lineRule="exact"/>
              <w:ind w:left="78" w:right="72"/>
              <w:rPr>
                <w:rFonts w:ascii="Calibri"/>
                <w:sz w:val="7"/>
              </w:rPr>
            </w:pPr>
            <w:r>
              <w:rPr>
                <w:rFonts w:ascii="Calibri"/>
                <w:sz w:val="7"/>
              </w:rPr>
              <w:t>0.5</w:t>
            </w:r>
          </w:p>
        </w:tc>
        <w:tc>
          <w:tcPr>
            <w:tcW w:w="430"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657" w:type="dxa"/>
            <w:tcBorders>
              <w:left w:val="single" w:sz="2" w:space="0" w:color="000000"/>
              <w:right w:val="single" w:sz="2" w:space="0" w:color="000000"/>
            </w:tcBorders>
            <w:shd w:val="clear" w:color="auto" w:fill="BAF9F5"/>
          </w:tcPr>
          <w:p>
            <w:pPr>
              <w:pStyle w:val="TableParagraph"/>
              <w:spacing w:line="82" w:lineRule="exact"/>
              <w:rPr>
                <w:rFonts w:ascii="Calibri"/>
                <w:sz w:val="7"/>
              </w:rPr>
            </w:pPr>
            <w:r>
              <w:rPr>
                <w:rFonts w:ascii="Calibri"/>
                <w:w w:val="99"/>
                <w:sz w:val="7"/>
              </w:rPr>
              <w:t>0</w:t>
            </w:r>
          </w:p>
        </w:tc>
        <w:tc>
          <w:tcPr>
            <w:tcW w:w="593"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91" w:type="dxa"/>
            <w:tcBorders>
              <w:left w:val="single" w:sz="2" w:space="0" w:color="000000"/>
              <w:right w:val="single" w:sz="2" w:space="0" w:color="000000"/>
            </w:tcBorders>
            <w:shd w:val="clear" w:color="auto" w:fill="BAF9F5"/>
          </w:tcPr>
          <w:p>
            <w:pPr>
              <w:pStyle w:val="TableParagraph"/>
              <w:spacing w:line="82" w:lineRule="exact"/>
              <w:ind w:left="377"/>
              <w:jc w:val="left"/>
              <w:rPr>
                <w:rFonts w:ascii="Calibri"/>
                <w:sz w:val="7"/>
              </w:rPr>
            </w:pPr>
            <w:r>
              <w:rPr>
                <w:rFonts w:ascii="Calibri"/>
                <w:w w:val="99"/>
                <w:sz w:val="7"/>
              </w:rPr>
              <w:t>0</w:t>
            </w:r>
          </w:p>
        </w:tc>
        <w:tc>
          <w:tcPr>
            <w:tcW w:w="756" w:type="dxa"/>
            <w:tcBorders>
              <w:left w:val="single" w:sz="2" w:space="0" w:color="000000"/>
              <w:right w:val="single" w:sz="2" w:space="0" w:color="000000"/>
            </w:tcBorders>
            <w:shd w:val="clear" w:color="auto" w:fill="BAF9F5"/>
          </w:tcPr>
          <w:p>
            <w:pPr>
              <w:pStyle w:val="TableParagraph"/>
              <w:spacing w:line="82" w:lineRule="exact"/>
              <w:ind w:right="352"/>
              <w:jc w:val="right"/>
              <w:rPr>
                <w:rFonts w:ascii="Calibri"/>
                <w:sz w:val="7"/>
              </w:rPr>
            </w:pPr>
            <w:r>
              <w:rPr>
                <w:rFonts w:ascii="Calibri"/>
                <w:w w:val="99"/>
                <w:sz w:val="7"/>
              </w:rPr>
              <w:t>0</w:t>
            </w:r>
          </w:p>
        </w:tc>
        <w:tc>
          <w:tcPr>
            <w:tcW w:w="802"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860"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00" w:type="dxa"/>
            <w:tcBorders>
              <w:left w:val="single" w:sz="2" w:space="0" w:color="000000"/>
              <w:right w:val="single" w:sz="5" w:space="0" w:color="000000"/>
            </w:tcBorders>
            <w:shd w:val="clear" w:color="auto" w:fill="BAF9F5"/>
          </w:tcPr>
          <w:p>
            <w:pPr>
              <w:pStyle w:val="TableParagraph"/>
              <w:spacing w:line="82" w:lineRule="exact"/>
              <w:ind w:left="6"/>
              <w:rPr>
                <w:rFonts w:ascii="Calibri"/>
                <w:sz w:val="7"/>
              </w:rPr>
            </w:pPr>
            <w:r>
              <w:rPr>
                <w:rFonts w:ascii="Calibri"/>
                <w:w w:val="99"/>
                <w:sz w:val="7"/>
              </w:rPr>
              <w:t>0</w:t>
            </w:r>
          </w:p>
        </w:tc>
      </w:tr>
      <w:tr>
        <w:trPr>
          <w:trHeight w:val="87" w:hRule="exact"/>
        </w:trPr>
        <w:tc>
          <w:tcPr>
            <w:tcW w:w="1334" w:type="dxa"/>
            <w:vMerge/>
            <w:tcBorders>
              <w:left w:val="single" w:sz="2" w:space="0" w:color="000000"/>
            </w:tcBorders>
          </w:tcPr>
          <w:p>
            <w:pPr/>
          </w:p>
        </w:tc>
        <w:tc>
          <w:tcPr>
            <w:tcW w:w="1145" w:type="dxa"/>
            <w:vMerge/>
          </w:tcPr>
          <w:p>
            <w:pPr/>
          </w:p>
        </w:tc>
        <w:tc>
          <w:tcPr>
            <w:tcW w:w="759" w:type="dxa"/>
            <w:tcBorders>
              <w:right w:val="single" w:sz="2" w:space="0" w:color="000000"/>
            </w:tcBorders>
            <w:shd w:val="clear" w:color="auto" w:fill="BAF9F5"/>
          </w:tcPr>
          <w:p>
            <w:pPr>
              <w:pStyle w:val="TableParagraph"/>
              <w:spacing w:line="82" w:lineRule="exact"/>
              <w:ind w:left="78" w:right="72"/>
              <w:rPr>
                <w:rFonts w:ascii="Calibri"/>
                <w:sz w:val="7"/>
              </w:rPr>
            </w:pPr>
            <w:r>
              <w:rPr>
                <w:rFonts w:ascii="Calibri"/>
                <w:sz w:val="7"/>
              </w:rPr>
              <w:t>0.5</w:t>
            </w:r>
          </w:p>
        </w:tc>
        <w:tc>
          <w:tcPr>
            <w:tcW w:w="430" w:type="dxa"/>
            <w:tcBorders>
              <w:left w:val="single" w:sz="2" w:space="0" w:color="000000"/>
              <w:right w:val="single" w:sz="2" w:space="0" w:color="000000"/>
            </w:tcBorders>
            <w:shd w:val="clear" w:color="auto" w:fill="BAF9F5"/>
          </w:tcPr>
          <w:p>
            <w:pPr>
              <w:pStyle w:val="TableParagraph"/>
              <w:spacing w:line="82" w:lineRule="exact"/>
              <w:ind w:left="3" w:right="2"/>
              <w:rPr>
                <w:rFonts w:ascii="Calibri"/>
                <w:sz w:val="7"/>
              </w:rPr>
            </w:pPr>
            <w:r>
              <w:rPr>
                <w:rFonts w:ascii="Calibri"/>
                <w:sz w:val="7"/>
              </w:rPr>
              <w:t>0.5</w:t>
            </w:r>
          </w:p>
        </w:tc>
        <w:tc>
          <w:tcPr>
            <w:tcW w:w="657" w:type="dxa"/>
            <w:tcBorders>
              <w:left w:val="single" w:sz="2" w:space="0" w:color="000000"/>
              <w:right w:val="single" w:sz="2" w:space="0" w:color="000000"/>
            </w:tcBorders>
            <w:shd w:val="clear" w:color="auto" w:fill="BAF9F5"/>
          </w:tcPr>
          <w:p>
            <w:pPr>
              <w:pStyle w:val="TableParagraph"/>
              <w:spacing w:line="82" w:lineRule="exact"/>
              <w:ind w:right="2"/>
              <w:rPr>
                <w:rFonts w:ascii="Calibri"/>
                <w:sz w:val="7"/>
              </w:rPr>
            </w:pPr>
            <w:r>
              <w:rPr>
                <w:rFonts w:ascii="Calibri"/>
                <w:sz w:val="7"/>
              </w:rPr>
              <w:t>0.5</w:t>
            </w:r>
          </w:p>
        </w:tc>
        <w:tc>
          <w:tcPr>
            <w:tcW w:w="593" w:type="dxa"/>
            <w:tcBorders>
              <w:left w:val="single" w:sz="2" w:space="0" w:color="000000"/>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0.5</w:t>
            </w:r>
          </w:p>
        </w:tc>
        <w:tc>
          <w:tcPr>
            <w:tcW w:w="791" w:type="dxa"/>
            <w:tcBorders>
              <w:left w:val="single" w:sz="2" w:space="0" w:color="000000"/>
              <w:right w:val="single" w:sz="2" w:space="0" w:color="000000"/>
            </w:tcBorders>
            <w:shd w:val="clear" w:color="auto" w:fill="BAF9F5"/>
          </w:tcPr>
          <w:p>
            <w:pPr>
              <w:pStyle w:val="TableParagraph"/>
              <w:spacing w:line="82" w:lineRule="exact"/>
              <w:ind w:left="377"/>
              <w:jc w:val="left"/>
              <w:rPr>
                <w:rFonts w:ascii="Calibri"/>
                <w:sz w:val="7"/>
              </w:rPr>
            </w:pPr>
            <w:r>
              <w:rPr>
                <w:rFonts w:ascii="Calibri"/>
                <w:w w:val="99"/>
                <w:sz w:val="7"/>
              </w:rPr>
              <w:t>0</w:t>
            </w:r>
          </w:p>
        </w:tc>
        <w:tc>
          <w:tcPr>
            <w:tcW w:w="756" w:type="dxa"/>
            <w:tcBorders>
              <w:left w:val="single" w:sz="2" w:space="0" w:color="000000"/>
              <w:right w:val="single" w:sz="2" w:space="0" w:color="000000"/>
            </w:tcBorders>
            <w:shd w:val="clear" w:color="auto" w:fill="BAF9F5"/>
          </w:tcPr>
          <w:p>
            <w:pPr>
              <w:pStyle w:val="TableParagraph"/>
              <w:spacing w:line="82" w:lineRule="exact"/>
              <w:ind w:right="352"/>
              <w:jc w:val="right"/>
              <w:rPr>
                <w:rFonts w:ascii="Calibri"/>
                <w:sz w:val="7"/>
              </w:rPr>
            </w:pPr>
            <w:r>
              <w:rPr>
                <w:rFonts w:ascii="Calibri"/>
                <w:w w:val="99"/>
                <w:sz w:val="7"/>
              </w:rPr>
              <w:t>0</w:t>
            </w:r>
          </w:p>
        </w:tc>
        <w:tc>
          <w:tcPr>
            <w:tcW w:w="802" w:type="dxa"/>
            <w:tcBorders>
              <w:left w:val="single" w:sz="2" w:space="0" w:color="000000"/>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0.5</w:t>
            </w:r>
          </w:p>
        </w:tc>
        <w:tc>
          <w:tcPr>
            <w:tcW w:w="860" w:type="dxa"/>
            <w:tcBorders>
              <w:left w:val="single" w:sz="2" w:space="0" w:color="000000"/>
              <w:right w:val="single" w:sz="2" w:space="0" w:color="000000"/>
            </w:tcBorders>
            <w:shd w:val="clear" w:color="auto" w:fill="BAF9F5"/>
          </w:tcPr>
          <w:p>
            <w:pPr>
              <w:pStyle w:val="TableParagraph"/>
              <w:spacing w:line="82" w:lineRule="exact"/>
              <w:ind w:left="4" w:right="3"/>
              <w:rPr>
                <w:rFonts w:ascii="Calibri"/>
                <w:sz w:val="7"/>
              </w:rPr>
            </w:pPr>
            <w:r>
              <w:rPr>
                <w:rFonts w:ascii="Calibri"/>
                <w:sz w:val="7"/>
              </w:rPr>
              <w:t>0.5</w:t>
            </w:r>
          </w:p>
        </w:tc>
        <w:tc>
          <w:tcPr>
            <w:tcW w:w="700" w:type="dxa"/>
            <w:tcBorders>
              <w:left w:val="single" w:sz="2" w:space="0" w:color="000000"/>
              <w:right w:val="single" w:sz="5" w:space="0" w:color="000000"/>
            </w:tcBorders>
            <w:shd w:val="clear" w:color="auto" w:fill="BAF9F5"/>
          </w:tcPr>
          <w:p>
            <w:pPr>
              <w:pStyle w:val="TableParagraph"/>
              <w:spacing w:line="82" w:lineRule="exact"/>
              <w:ind w:left="6"/>
              <w:rPr>
                <w:rFonts w:ascii="Calibri"/>
                <w:sz w:val="7"/>
              </w:rPr>
            </w:pPr>
            <w:r>
              <w:rPr>
                <w:rFonts w:ascii="Calibri"/>
                <w:w w:val="99"/>
                <w:sz w:val="7"/>
              </w:rPr>
              <w:t>0</w:t>
            </w:r>
          </w:p>
        </w:tc>
      </w:tr>
      <w:tr>
        <w:trPr>
          <w:trHeight w:val="87" w:hRule="exact"/>
        </w:trPr>
        <w:tc>
          <w:tcPr>
            <w:tcW w:w="1334" w:type="dxa"/>
            <w:vMerge/>
            <w:tcBorders>
              <w:left w:val="single" w:sz="2" w:space="0" w:color="000000"/>
            </w:tcBorders>
          </w:tcPr>
          <w:p>
            <w:pPr/>
          </w:p>
        </w:tc>
        <w:tc>
          <w:tcPr>
            <w:tcW w:w="1145" w:type="dxa"/>
            <w:vMerge/>
          </w:tcPr>
          <w:p>
            <w:pPr/>
          </w:p>
        </w:tc>
        <w:tc>
          <w:tcPr>
            <w:tcW w:w="759" w:type="dxa"/>
            <w:tcBorders>
              <w:right w:val="single" w:sz="2" w:space="0" w:color="000000"/>
            </w:tcBorders>
            <w:shd w:val="clear" w:color="auto" w:fill="BAF9F5"/>
          </w:tcPr>
          <w:p>
            <w:pPr>
              <w:pStyle w:val="TableParagraph"/>
              <w:spacing w:line="82" w:lineRule="exact"/>
              <w:ind w:left="78" w:right="72"/>
              <w:rPr>
                <w:rFonts w:ascii="Calibri"/>
                <w:sz w:val="7"/>
              </w:rPr>
            </w:pPr>
            <w:r>
              <w:rPr>
                <w:rFonts w:ascii="Calibri"/>
                <w:sz w:val="7"/>
              </w:rPr>
              <w:t>0.5</w:t>
            </w:r>
          </w:p>
        </w:tc>
        <w:tc>
          <w:tcPr>
            <w:tcW w:w="430" w:type="dxa"/>
            <w:tcBorders>
              <w:left w:val="single" w:sz="2" w:space="0" w:color="000000"/>
              <w:right w:val="single" w:sz="2" w:space="0" w:color="000000"/>
            </w:tcBorders>
            <w:shd w:val="clear" w:color="auto" w:fill="BAF9F5"/>
          </w:tcPr>
          <w:p>
            <w:pPr>
              <w:pStyle w:val="TableParagraph"/>
              <w:spacing w:line="82" w:lineRule="exact"/>
              <w:ind w:left="3" w:right="2"/>
              <w:rPr>
                <w:rFonts w:ascii="Calibri"/>
                <w:sz w:val="7"/>
              </w:rPr>
            </w:pPr>
            <w:r>
              <w:rPr>
                <w:rFonts w:ascii="Calibri"/>
                <w:sz w:val="7"/>
              </w:rPr>
              <w:t>0.5</w:t>
            </w:r>
          </w:p>
        </w:tc>
        <w:tc>
          <w:tcPr>
            <w:tcW w:w="657" w:type="dxa"/>
            <w:tcBorders>
              <w:left w:val="single" w:sz="2" w:space="0" w:color="000000"/>
              <w:right w:val="single" w:sz="2" w:space="0" w:color="000000"/>
            </w:tcBorders>
            <w:shd w:val="clear" w:color="auto" w:fill="BAF9F5"/>
          </w:tcPr>
          <w:p>
            <w:pPr>
              <w:pStyle w:val="TableParagraph"/>
              <w:spacing w:line="82" w:lineRule="exact"/>
              <w:ind w:right="2"/>
              <w:rPr>
                <w:rFonts w:ascii="Calibri"/>
                <w:sz w:val="7"/>
              </w:rPr>
            </w:pPr>
            <w:r>
              <w:rPr>
                <w:rFonts w:ascii="Calibri"/>
                <w:sz w:val="7"/>
              </w:rPr>
              <w:t>0.5</w:t>
            </w:r>
          </w:p>
        </w:tc>
        <w:tc>
          <w:tcPr>
            <w:tcW w:w="593" w:type="dxa"/>
            <w:tcBorders>
              <w:left w:val="single" w:sz="2" w:space="0" w:color="000000"/>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0.5</w:t>
            </w:r>
          </w:p>
        </w:tc>
        <w:tc>
          <w:tcPr>
            <w:tcW w:w="791" w:type="dxa"/>
            <w:tcBorders>
              <w:left w:val="single" w:sz="2" w:space="0" w:color="000000"/>
              <w:right w:val="single" w:sz="2" w:space="0" w:color="000000"/>
            </w:tcBorders>
            <w:shd w:val="clear" w:color="auto" w:fill="BAF9F5"/>
          </w:tcPr>
          <w:p>
            <w:pPr>
              <w:pStyle w:val="TableParagraph"/>
              <w:spacing w:line="82" w:lineRule="exact"/>
              <w:ind w:left="377"/>
              <w:jc w:val="left"/>
              <w:rPr>
                <w:rFonts w:ascii="Calibri"/>
                <w:sz w:val="7"/>
              </w:rPr>
            </w:pPr>
            <w:r>
              <w:rPr>
                <w:rFonts w:ascii="Calibri"/>
                <w:w w:val="99"/>
                <w:sz w:val="7"/>
              </w:rPr>
              <w:t>0</w:t>
            </w:r>
          </w:p>
        </w:tc>
        <w:tc>
          <w:tcPr>
            <w:tcW w:w="756" w:type="dxa"/>
            <w:tcBorders>
              <w:left w:val="single" w:sz="2" w:space="0" w:color="000000"/>
              <w:right w:val="single" w:sz="2" w:space="0" w:color="000000"/>
            </w:tcBorders>
            <w:shd w:val="clear" w:color="auto" w:fill="BAF9F5"/>
          </w:tcPr>
          <w:p>
            <w:pPr>
              <w:pStyle w:val="TableParagraph"/>
              <w:spacing w:line="82" w:lineRule="exact"/>
              <w:ind w:right="352"/>
              <w:jc w:val="right"/>
              <w:rPr>
                <w:rFonts w:ascii="Calibri"/>
                <w:sz w:val="7"/>
              </w:rPr>
            </w:pPr>
            <w:r>
              <w:rPr>
                <w:rFonts w:ascii="Calibri"/>
                <w:w w:val="99"/>
                <w:sz w:val="7"/>
              </w:rPr>
              <w:t>0</w:t>
            </w:r>
          </w:p>
        </w:tc>
        <w:tc>
          <w:tcPr>
            <w:tcW w:w="802" w:type="dxa"/>
            <w:tcBorders>
              <w:left w:val="single" w:sz="2" w:space="0" w:color="000000"/>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0.5</w:t>
            </w:r>
          </w:p>
        </w:tc>
        <w:tc>
          <w:tcPr>
            <w:tcW w:w="860" w:type="dxa"/>
            <w:tcBorders>
              <w:left w:val="single" w:sz="2" w:space="0" w:color="000000"/>
              <w:right w:val="single" w:sz="2" w:space="0" w:color="000000"/>
            </w:tcBorders>
            <w:shd w:val="clear" w:color="auto" w:fill="BAF9F5"/>
          </w:tcPr>
          <w:p>
            <w:pPr>
              <w:pStyle w:val="TableParagraph"/>
              <w:spacing w:line="82" w:lineRule="exact"/>
              <w:ind w:left="4" w:right="3"/>
              <w:rPr>
                <w:rFonts w:ascii="Calibri"/>
                <w:sz w:val="7"/>
              </w:rPr>
            </w:pPr>
            <w:r>
              <w:rPr>
                <w:rFonts w:ascii="Calibri"/>
                <w:sz w:val="7"/>
              </w:rPr>
              <w:t>0.5</w:t>
            </w:r>
          </w:p>
        </w:tc>
        <w:tc>
          <w:tcPr>
            <w:tcW w:w="700" w:type="dxa"/>
            <w:tcBorders>
              <w:left w:val="single" w:sz="2" w:space="0" w:color="000000"/>
              <w:right w:val="single" w:sz="5" w:space="0" w:color="000000"/>
            </w:tcBorders>
            <w:shd w:val="clear" w:color="auto" w:fill="BAF9F5"/>
          </w:tcPr>
          <w:p>
            <w:pPr>
              <w:pStyle w:val="TableParagraph"/>
              <w:spacing w:line="82" w:lineRule="exact"/>
              <w:ind w:left="6"/>
              <w:rPr>
                <w:rFonts w:ascii="Calibri"/>
                <w:sz w:val="7"/>
              </w:rPr>
            </w:pPr>
            <w:r>
              <w:rPr>
                <w:rFonts w:ascii="Calibri"/>
                <w:w w:val="99"/>
                <w:sz w:val="7"/>
              </w:rPr>
              <w:t>0</w:t>
            </w:r>
          </w:p>
        </w:tc>
      </w:tr>
      <w:tr>
        <w:trPr>
          <w:trHeight w:val="86" w:hRule="exact"/>
        </w:trPr>
        <w:tc>
          <w:tcPr>
            <w:tcW w:w="1334" w:type="dxa"/>
            <w:vMerge/>
            <w:tcBorders>
              <w:left w:val="single" w:sz="2" w:space="0" w:color="000000"/>
            </w:tcBorders>
          </w:tcPr>
          <w:p>
            <w:pPr/>
          </w:p>
        </w:tc>
        <w:tc>
          <w:tcPr>
            <w:tcW w:w="1145" w:type="dxa"/>
            <w:vMerge/>
          </w:tcPr>
          <w:p>
            <w:pPr/>
          </w:p>
        </w:tc>
        <w:tc>
          <w:tcPr>
            <w:tcW w:w="759" w:type="dxa"/>
            <w:tcBorders>
              <w:bottom w:val="single" w:sz="2" w:space="0" w:color="FFFFFF"/>
              <w:right w:val="single" w:sz="2" w:space="0" w:color="000000"/>
            </w:tcBorders>
            <w:shd w:val="clear" w:color="auto" w:fill="BAF9F5"/>
          </w:tcPr>
          <w:p>
            <w:pPr>
              <w:pStyle w:val="TableParagraph"/>
              <w:spacing w:line="82" w:lineRule="exact"/>
              <w:ind w:left="78" w:right="72"/>
              <w:rPr>
                <w:rFonts w:ascii="Calibri"/>
                <w:sz w:val="7"/>
              </w:rPr>
            </w:pPr>
            <w:r>
              <w:rPr>
                <w:rFonts w:ascii="Calibri"/>
                <w:sz w:val="7"/>
              </w:rPr>
              <w:t>0.5</w:t>
            </w:r>
          </w:p>
        </w:tc>
        <w:tc>
          <w:tcPr>
            <w:tcW w:w="43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3" w:right="2"/>
              <w:rPr>
                <w:rFonts w:ascii="Calibri"/>
                <w:sz w:val="7"/>
              </w:rPr>
            </w:pPr>
            <w:r>
              <w:rPr>
                <w:rFonts w:ascii="Calibri"/>
                <w:sz w:val="7"/>
              </w:rPr>
              <w:t>0.5</w:t>
            </w:r>
          </w:p>
        </w:tc>
        <w:tc>
          <w:tcPr>
            <w:tcW w:w="657"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right="2"/>
              <w:rPr>
                <w:rFonts w:ascii="Calibri"/>
                <w:sz w:val="7"/>
              </w:rPr>
            </w:pPr>
            <w:r>
              <w:rPr>
                <w:rFonts w:ascii="Calibri"/>
                <w:sz w:val="7"/>
              </w:rPr>
              <w:t>0.5</w:t>
            </w:r>
          </w:p>
        </w:tc>
        <w:tc>
          <w:tcPr>
            <w:tcW w:w="593"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91"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377"/>
              <w:jc w:val="left"/>
              <w:rPr>
                <w:rFonts w:ascii="Calibri"/>
                <w:sz w:val="7"/>
              </w:rPr>
            </w:pPr>
            <w:r>
              <w:rPr>
                <w:rFonts w:ascii="Calibri"/>
                <w:w w:val="99"/>
                <w:sz w:val="7"/>
              </w:rPr>
              <w:t>0</w:t>
            </w:r>
          </w:p>
        </w:tc>
        <w:tc>
          <w:tcPr>
            <w:tcW w:w="756"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right="328"/>
              <w:jc w:val="right"/>
              <w:rPr>
                <w:rFonts w:ascii="Calibri"/>
                <w:sz w:val="7"/>
              </w:rPr>
            </w:pPr>
            <w:r>
              <w:rPr>
                <w:rFonts w:ascii="Calibri"/>
                <w:w w:val="95"/>
                <w:sz w:val="7"/>
              </w:rPr>
              <w:t>0.5</w:t>
            </w:r>
          </w:p>
        </w:tc>
        <w:tc>
          <w:tcPr>
            <w:tcW w:w="802"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0.5</w:t>
            </w:r>
          </w:p>
        </w:tc>
        <w:tc>
          <w:tcPr>
            <w:tcW w:w="86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00" w:type="dxa"/>
            <w:tcBorders>
              <w:left w:val="single" w:sz="2" w:space="0" w:color="000000"/>
              <w:bottom w:val="single" w:sz="2" w:space="0" w:color="FFFFFF"/>
              <w:right w:val="single" w:sz="5" w:space="0" w:color="000000"/>
            </w:tcBorders>
            <w:shd w:val="clear" w:color="auto" w:fill="BAF9F5"/>
          </w:tcPr>
          <w:p>
            <w:pPr>
              <w:pStyle w:val="TableParagraph"/>
              <w:spacing w:line="82" w:lineRule="exact"/>
              <w:ind w:left="6"/>
              <w:rPr>
                <w:rFonts w:ascii="Calibri"/>
                <w:sz w:val="7"/>
              </w:rPr>
            </w:pPr>
            <w:r>
              <w:rPr>
                <w:rFonts w:ascii="Calibri"/>
                <w:w w:val="99"/>
                <w:sz w:val="7"/>
              </w:rPr>
              <w:t>0</w:t>
            </w:r>
          </w:p>
        </w:tc>
      </w:tr>
      <w:tr>
        <w:trPr>
          <w:trHeight w:val="90" w:hRule="exact"/>
        </w:trPr>
        <w:tc>
          <w:tcPr>
            <w:tcW w:w="1334" w:type="dxa"/>
            <w:vMerge/>
            <w:tcBorders>
              <w:left w:val="single" w:sz="2" w:space="0" w:color="000000"/>
            </w:tcBorders>
          </w:tcPr>
          <w:p>
            <w:pPr/>
          </w:p>
        </w:tc>
        <w:tc>
          <w:tcPr>
            <w:tcW w:w="1145" w:type="dxa"/>
            <w:vMerge/>
          </w:tcPr>
          <w:p>
            <w:pPr/>
          </w:p>
        </w:tc>
        <w:tc>
          <w:tcPr>
            <w:tcW w:w="759" w:type="dxa"/>
            <w:tcBorders>
              <w:top w:val="single" w:sz="2" w:space="0" w:color="FFFFFF"/>
              <w:right w:val="single" w:sz="2" w:space="0" w:color="000000"/>
            </w:tcBorders>
            <w:shd w:val="clear" w:color="auto" w:fill="F79646"/>
          </w:tcPr>
          <w:p>
            <w:pPr>
              <w:pStyle w:val="TableParagraph"/>
              <w:spacing w:line="80" w:lineRule="exact"/>
              <w:ind w:left="12"/>
              <w:rPr>
                <w:rFonts w:ascii="Calibri"/>
                <w:sz w:val="7"/>
              </w:rPr>
            </w:pPr>
            <w:r>
              <w:rPr>
                <w:rFonts w:ascii="Calibri"/>
                <w:w w:val="99"/>
                <w:sz w:val="7"/>
              </w:rPr>
              <w:t>3</w:t>
            </w:r>
          </w:p>
        </w:tc>
        <w:tc>
          <w:tcPr>
            <w:tcW w:w="43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2</w:t>
            </w:r>
          </w:p>
        </w:tc>
        <w:tc>
          <w:tcPr>
            <w:tcW w:w="657" w:type="dxa"/>
            <w:tcBorders>
              <w:top w:val="single" w:sz="2" w:space="0" w:color="FFFFFF"/>
              <w:left w:val="single" w:sz="2" w:space="0" w:color="000000"/>
              <w:right w:val="single" w:sz="2" w:space="0" w:color="000000"/>
            </w:tcBorders>
            <w:shd w:val="clear" w:color="auto" w:fill="F79646"/>
          </w:tcPr>
          <w:p>
            <w:pPr>
              <w:pStyle w:val="TableParagraph"/>
              <w:spacing w:line="80" w:lineRule="exact"/>
              <w:ind w:right="2"/>
              <w:rPr>
                <w:rFonts w:ascii="Calibri"/>
                <w:sz w:val="7"/>
              </w:rPr>
            </w:pPr>
            <w:r>
              <w:rPr>
                <w:rFonts w:ascii="Calibri"/>
                <w:sz w:val="7"/>
              </w:rPr>
              <w:t>2.5</w:t>
            </w:r>
          </w:p>
        </w:tc>
        <w:tc>
          <w:tcPr>
            <w:tcW w:w="593"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2</w:t>
            </w:r>
          </w:p>
        </w:tc>
        <w:tc>
          <w:tcPr>
            <w:tcW w:w="791"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348" w:right="-38"/>
              <w:jc w:val="left"/>
              <w:rPr>
                <w:rFonts w:ascii="Calibri"/>
                <w:sz w:val="7"/>
              </w:rPr>
            </w:pPr>
            <w:r>
              <w:rPr>
                <w:rFonts w:ascii="Calibri"/>
                <w:sz w:val="7"/>
              </w:rPr>
              <w:t>0.5</w:t>
            </w:r>
          </w:p>
        </w:tc>
        <w:tc>
          <w:tcPr>
            <w:tcW w:w="756" w:type="dxa"/>
            <w:tcBorders>
              <w:top w:val="single" w:sz="2" w:space="0" w:color="FFFFFF"/>
              <w:left w:val="single" w:sz="2" w:space="0" w:color="000000"/>
              <w:right w:val="single" w:sz="2" w:space="0" w:color="000000"/>
            </w:tcBorders>
            <w:shd w:val="clear" w:color="auto" w:fill="F79646"/>
          </w:tcPr>
          <w:p>
            <w:pPr>
              <w:pStyle w:val="TableParagraph"/>
              <w:spacing w:line="80" w:lineRule="exact"/>
              <w:ind w:right="352"/>
              <w:jc w:val="right"/>
              <w:rPr>
                <w:rFonts w:ascii="Calibri"/>
                <w:sz w:val="7"/>
              </w:rPr>
            </w:pPr>
            <w:r>
              <w:rPr>
                <w:rFonts w:ascii="Calibri"/>
                <w:w w:val="99"/>
                <w:sz w:val="7"/>
              </w:rPr>
              <w:t>1</w:t>
            </w:r>
          </w:p>
        </w:tc>
        <w:tc>
          <w:tcPr>
            <w:tcW w:w="802"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2</w:t>
            </w:r>
          </w:p>
        </w:tc>
        <w:tc>
          <w:tcPr>
            <w:tcW w:w="86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4" w:right="3"/>
              <w:rPr>
                <w:rFonts w:ascii="Calibri"/>
                <w:sz w:val="7"/>
              </w:rPr>
            </w:pPr>
            <w:r>
              <w:rPr>
                <w:rFonts w:ascii="Calibri"/>
                <w:sz w:val="7"/>
              </w:rPr>
              <w:t>1.5</w:t>
            </w:r>
          </w:p>
        </w:tc>
        <w:tc>
          <w:tcPr>
            <w:tcW w:w="700" w:type="dxa"/>
            <w:tcBorders>
              <w:top w:val="single" w:sz="2" w:space="0" w:color="FFFFFF"/>
              <w:left w:val="single" w:sz="2" w:space="0" w:color="000000"/>
              <w:right w:val="single" w:sz="5" w:space="0" w:color="000000"/>
            </w:tcBorders>
            <w:shd w:val="clear" w:color="auto" w:fill="F79646"/>
          </w:tcPr>
          <w:p>
            <w:pPr>
              <w:pStyle w:val="TableParagraph"/>
              <w:spacing w:line="80" w:lineRule="exact"/>
              <w:ind w:left="1"/>
              <w:rPr>
                <w:rFonts w:ascii="Calibri"/>
                <w:sz w:val="7"/>
              </w:rPr>
            </w:pPr>
            <w:r>
              <w:rPr>
                <w:rFonts w:ascii="Calibri"/>
                <w:sz w:val="7"/>
              </w:rPr>
              <w:t>0.5</w:t>
            </w:r>
          </w:p>
        </w:tc>
      </w:tr>
      <w:tr>
        <w:trPr>
          <w:trHeight w:val="81" w:hRule="exact"/>
        </w:trPr>
        <w:tc>
          <w:tcPr>
            <w:tcW w:w="3238" w:type="dxa"/>
            <w:gridSpan w:val="3"/>
            <w:tcBorders>
              <w:left w:val="single" w:sz="2" w:space="0" w:color="000000"/>
              <w:right w:val="single" w:sz="2" w:space="0" w:color="000000"/>
            </w:tcBorders>
          </w:tcPr>
          <w:p>
            <w:pPr/>
          </w:p>
        </w:tc>
        <w:tc>
          <w:tcPr>
            <w:tcW w:w="430" w:type="dxa"/>
            <w:tcBorders>
              <w:left w:val="single" w:sz="2" w:space="0" w:color="000000"/>
              <w:right w:val="single" w:sz="2" w:space="0" w:color="000000"/>
            </w:tcBorders>
          </w:tcPr>
          <w:p>
            <w:pPr/>
          </w:p>
        </w:tc>
        <w:tc>
          <w:tcPr>
            <w:tcW w:w="657" w:type="dxa"/>
            <w:tcBorders>
              <w:left w:val="single" w:sz="2" w:space="0" w:color="000000"/>
              <w:right w:val="single" w:sz="2" w:space="0" w:color="000000"/>
            </w:tcBorders>
          </w:tcPr>
          <w:p>
            <w:pPr/>
          </w:p>
        </w:tc>
        <w:tc>
          <w:tcPr>
            <w:tcW w:w="593" w:type="dxa"/>
            <w:tcBorders>
              <w:left w:val="single" w:sz="2" w:space="0" w:color="000000"/>
              <w:right w:val="single" w:sz="2" w:space="0" w:color="000000"/>
            </w:tcBorders>
          </w:tcPr>
          <w:p>
            <w:pPr/>
          </w:p>
        </w:tc>
        <w:tc>
          <w:tcPr>
            <w:tcW w:w="791" w:type="dxa"/>
            <w:tcBorders>
              <w:left w:val="single" w:sz="2" w:space="0" w:color="000000"/>
              <w:right w:val="single" w:sz="2" w:space="0" w:color="000000"/>
            </w:tcBorders>
          </w:tcPr>
          <w:p>
            <w:pPr/>
          </w:p>
        </w:tc>
        <w:tc>
          <w:tcPr>
            <w:tcW w:w="756" w:type="dxa"/>
            <w:tcBorders>
              <w:left w:val="single" w:sz="2" w:space="0" w:color="000000"/>
              <w:right w:val="single" w:sz="2" w:space="0" w:color="000000"/>
            </w:tcBorders>
          </w:tcPr>
          <w:p>
            <w:pPr/>
          </w:p>
        </w:tc>
        <w:tc>
          <w:tcPr>
            <w:tcW w:w="802" w:type="dxa"/>
            <w:tcBorders>
              <w:left w:val="single" w:sz="2" w:space="0" w:color="000000"/>
              <w:right w:val="single" w:sz="2" w:space="0" w:color="000000"/>
            </w:tcBorders>
          </w:tcPr>
          <w:p>
            <w:pPr/>
          </w:p>
        </w:tc>
        <w:tc>
          <w:tcPr>
            <w:tcW w:w="860" w:type="dxa"/>
            <w:tcBorders>
              <w:left w:val="single" w:sz="2" w:space="0" w:color="000000"/>
              <w:right w:val="single" w:sz="2" w:space="0" w:color="000000"/>
            </w:tcBorders>
          </w:tcPr>
          <w:p>
            <w:pPr/>
          </w:p>
        </w:tc>
        <w:tc>
          <w:tcPr>
            <w:tcW w:w="700" w:type="dxa"/>
            <w:tcBorders>
              <w:left w:val="single" w:sz="2" w:space="0" w:color="000000"/>
              <w:right w:val="single" w:sz="5" w:space="0" w:color="000000"/>
            </w:tcBorders>
          </w:tcPr>
          <w:p>
            <w:pPr/>
          </w:p>
        </w:tc>
      </w:tr>
      <w:tr>
        <w:trPr>
          <w:trHeight w:val="91" w:hRule="exact"/>
        </w:trPr>
        <w:tc>
          <w:tcPr>
            <w:tcW w:w="1334" w:type="dxa"/>
            <w:vMerge w:val="restart"/>
            <w:tcBorders>
              <w:left w:val="single" w:sz="2" w:space="0" w:color="000000"/>
            </w:tcBorders>
          </w:tcPr>
          <w:p>
            <w:pPr>
              <w:pStyle w:val="TableParagraph"/>
              <w:spacing w:before="7"/>
              <w:jc w:val="left"/>
              <w:rPr>
                <w:sz w:val="7"/>
              </w:rPr>
            </w:pPr>
          </w:p>
          <w:p>
            <w:pPr>
              <w:pStyle w:val="TableParagraph"/>
              <w:ind w:left="23"/>
              <w:jc w:val="left"/>
              <w:rPr>
                <w:rFonts w:ascii="Calibri" w:hAnsi="Calibri"/>
                <w:sz w:val="7"/>
              </w:rPr>
            </w:pPr>
            <w:r>
              <w:rPr>
                <w:rFonts w:ascii="Calibri" w:hAnsi="Calibri"/>
                <w:sz w:val="7"/>
              </w:rPr>
              <w:t>Ambiental   Áreas verdes</w:t>
            </w:r>
          </w:p>
        </w:tc>
        <w:tc>
          <w:tcPr>
            <w:tcW w:w="1145" w:type="dxa"/>
            <w:vMerge w:val="restart"/>
          </w:tcPr>
          <w:p>
            <w:pPr>
              <w:pStyle w:val="TableParagraph"/>
              <w:ind w:left="197" w:right="602"/>
              <w:jc w:val="left"/>
              <w:rPr>
                <w:rFonts w:ascii="Calibri" w:hAnsi="Calibri"/>
                <w:sz w:val="7"/>
              </w:rPr>
            </w:pPr>
            <w:r>
              <w:rPr>
                <w:rFonts w:ascii="Calibri" w:hAnsi="Calibri"/>
                <w:sz w:val="7"/>
              </w:rPr>
              <w:t>Superficie Índice OMS Índice ONU</w:t>
            </w:r>
          </w:p>
          <w:p>
            <w:pPr>
              <w:pStyle w:val="TableParagraph"/>
              <w:spacing w:before="2"/>
              <w:ind w:left="546" w:right="253"/>
              <w:jc w:val="left"/>
              <w:rPr>
                <w:rFonts w:ascii="Calibri"/>
                <w:sz w:val="7"/>
              </w:rPr>
            </w:pPr>
            <w:r>
              <w:rPr>
                <w:rFonts w:ascii="Calibri"/>
                <w:sz w:val="7"/>
              </w:rPr>
              <w:t>Subtotal</w:t>
            </w:r>
          </w:p>
        </w:tc>
        <w:tc>
          <w:tcPr>
            <w:tcW w:w="759" w:type="dxa"/>
            <w:tcBorders>
              <w:right w:val="single" w:sz="2" w:space="0" w:color="000000"/>
            </w:tcBorders>
            <w:shd w:val="clear" w:color="auto" w:fill="BAF9F5"/>
          </w:tcPr>
          <w:p>
            <w:pPr>
              <w:pStyle w:val="TableParagraph"/>
              <w:ind w:left="12"/>
              <w:rPr>
                <w:rFonts w:ascii="Calibri"/>
                <w:sz w:val="7"/>
              </w:rPr>
            </w:pPr>
            <w:r>
              <w:rPr>
                <w:rFonts w:ascii="Calibri"/>
                <w:w w:val="99"/>
                <w:sz w:val="7"/>
              </w:rPr>
              <w:t>1</w:t>
            </w:r>
          </w:p>
        </w:tc>
        <w:tc>
          <w:tcPr>
            <w:tcW w:w="430"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1</w:t>
            </w:r>
          </w:p>
        </w:tc>
        <w:tc>
          <w:tcPr>
            <w:tcW w:w="657" w:type="dxa"/>
            <w:tcBorders>
              <w:left w:val="single" w:sz="2" w:space="0" w:color="000000"/>
              <w:right w:val="single" w:sz="2" w:space="0" w:color="000000"/>
            </w:tcBorders>
            <w:shd w:val="clear" w:color="auto" w:fill="BAF9F5"/>
          </w:tcPr>
          <w:p>
            <w:pPr>
              <w:pStyle w:val="TableParagraph"/>
              <w:rPr>
                <w:rFonts w:ascii="Calibri"/>
                <w:sz w:val="7"/>
              </w:rPr>
            </w:pPr>
            <w:r>
              <w:rPr>
                <w:rFonts w:ascii="Calibri"/>
                <w:w w:val="99"/>
                <w:sz w:val="7"/>
              </w:rPr>
              <w:t>1</w:t>
            </w:r>
          </w:p>
        </w:tc>
        <w:tc>
          <w:tcPr>
            <w:tcW w:w="593"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1</w:t>
            </w:r>
          </w:p>
        </w:tc>
        <w:tc>
          <w:tcPr>
            <w:tcW w:w="791" w:type="dxa"/>
            <w:tcBorders>
              <w:left w:val="single" w:sz="2" w:space="0" w:color="000000"/>
              <w:right w:val="single" w:sz="2" w:space="0" w:color="000000"/>
            </w:tcBorders>
            <w:shd w:val="clear" w:color="auto" w:fill="BAF9F5"/>
          </w:tcPr>
          <w:p>
            <w:pPr>
              <w:pStyle w:val="TableParagraph"/>
              <w:ind w:left="377"/>
              <w:jc w:val="left"/>
              <w:rPr>
                <w:rFonts w:ascii="Calibri"/>
                <w:sz w:val="7"/>
              </w:rPr>
            </w:pPr>
            <w:r>
              <w:rPr>
                <w:rFonts w:ascii="Calibri"/>
                <w:w w:val="99"/>
                <w:sz w:val="7"/>
              </w:rPr>
              <w:t>1</w:t>
            </w:r>
          </w:p>
        </w:tc>
        <w:tc>
          <w:tcPr>
            <w:tcW w:w="756" w:type="dxa"/>
            <w:tcBorders>
              <w:left w:val="single" w:sz="2" w:space="0" w:color="000000"/>
              <w:right w:val="single" w:sz="2" w:space="0" w:color="000000"/>
            </w:tcBorders>
            <w:shd w:val="clear" w:color="auto" w:fill="BAF9F5"/>
          </w:tcPr>
          <w:p>
            <w:pPr>
              <w:pStyle w:val="TableParagraph"/>
              <w:ind w:right="352"/>
              <w:jc w:val="right"/>
              <w:rPr>
                <w:rFonts w:ascii="Calibri"/>
                <w:sz w:val="7"/>
              </w:rPr>
            </w:pPr>
            <w:r>
              <w:rPr>
                <w:rFonts w:ascii="Calibri"/>
                <w:w w:val="99"/>
                <w:sz w:val="7"/>
              </w:rPr>
              <w:t>1</w:t>
            </w:r>
          </w:p>
        </w:tc>
        <w:tc>
          <w:tcPr>
            <w:tcW w:w="802"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1</w:t>
            </w:r>
          </w:p>
        </w:tc>
        <w:tc>
          <w:tcPr>
            <w:tcW w:w="860"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1</w:t>
            </w:r>
          </w:p>
        </w:tc>
        <w:tc>
          <w:tcPr>
            <w:tcW w:w="700" w:type="dxa"/>
            <w:tcBorders>
              <w:left w:val="single" w:sz="2" w:space="0" w:color="000000"/>
              <w:right w:val="single" w:sz="5" w:space="0" w:color="000000"/>
            </w:tcBorders>
            <w:shd w:val="clear" w:color="auto" w:fill="BAF9F5"/>
          </w:tcPr>
          <w:p>
            <w:pPr>
              <w:pStyle w:val="TableParagraph"/>
              <w:ind w:left="6"/>
              <w:rPr>
                <w:rFonts w:ascii="Calibri"/>
                <w:sz w:val="7"/>
              </w:rPr>
            </w:pPr>
            <w:r>
              <w:rPr>
                <w:rFonts w:ascii="Calibri"/>
                <w:w w:val="99"/>
                <w:sz w:val="7"/>
              </w:rPr>
              <w:t>1</w:t>
            </w:r>
          </w:p>
        </w:tc>
      </w:tr>
      <w:tr>
        <w:trPr>
          <w:trHeight w:val="87" w:hRule="exact"/>
        </w:trPr>
        <w:tc>
          <w:tcPr>
            <w:tcW w:w="1334" w:type="dxa"/>
            <w:vMerge/>
            <w:tcBorders>
              <w:left w:val="single" w:sz="2" w:space="0" w:color="000000"/>
            </w:tcBorders>
          </w:tcPr>
          <w:p>
            <w:pPr/>
          </w:p>
        </w:tc>
        <w:tc>
          <w:tcPr>
            <w:tcW w:w="1145" w:type="dxa"/>
            <w:vMerge/>
          </w:tcPr>
          <w:p>
            <w:pPr/>
          </w:p>
        </w:tc>
        <w:tc>
          <w:tcPr>
            <w:tcW w:w="759" w:type="dxa"/>
            <w:tcBorders>
              <w:right w:val="single" w:sz="2" w:space="0" w:color="000000"/>
            </w:tcBorders>
            <w:shd w:val="clear" w:color="auto" w:fill="BAF9F5"/>
          </w:tcPr>
          <w:p>
            <w:pPr>
              <w:pStyle w:val="TableParagraph"/>
              <w:spacing w:line="82" w:lineRule="exact"/>
              <w:ind w:left="78" w:right="72"/>
              <w:rPr>
                <w:rFonts w:ascii="Calibri"/>
                <w:sz w:val="7"/>
              </w:rPr>
            </w:pPr>
            <w:r>
              <w:rPr>
                <w:rFonts w:ascii="Calibri"/>
                <w:sz w:val="7"/>
              </w:rPr>
              <w:t>0.5</w:t>
            </w:r>
          </w:p>
        </w:tc>
        <w:tc>
          <w:tcPr>
            <w:tcW w:w="430" w:type="dxa"/>
            <w:tcBorders>
              <w:left w:val="single" w:sz="2" w:space="0" w:color="000000"/>
              <w:right w:val="single" w:sz="2" w:space="0" w:color="000000"/>
            </w:tcBorders>
            <w:shd w:val="clear" w:color="auto" w:fill="BAF9F5"/>
          </w:tcPr>
          <w:p>
            <w:pPr>
              <w:pStyle w:val="TableParagraph"/>
              <w:spacing w:line="82" w:lineRule="exact"/>
              <w:ind w:left="3" w:right="2"/>
              <w:rPr>
                <w:rFonts w:ascii="Calibri"/>
                <w:sz w:val="7"/>
              </w:rPr>
            </w:pPr>
            <w:r>
              <w:rPr>
                <w:rFonts w:ascii="Calibri"/>
                <w:sz w:val="7"/>
              </w:rPr>
              <w:t>0.5</w:t>
            </w:r>
          </w:p>
        </w:tc>
        <w:tc>
          <w:tcPr>
            <w:tcW w:w="657" w:type="dxa"/>
            <w:tcBorders>
              <w:left w:val="single" w:sz="2" w:space="0" w:color="000000"/>
              <w:right w:val="single" w:sz="2" w:space="0" w:color="000000"/>
            </w:tcBorders>
            <w:shd w:val="clear" w:color="auto" w:fill="BAF9F5"/>
          </w:tcPr>
          <w:p>
            <w:pPr>
              <w:pStyle w:val="TableParagraph"/>
              <w:spacing w:line="82" w:lineRule="exact"/>
              <w:ind w:right="2"/>
              <w:rPr>
                <w:rFonts w:ascii="Calibri"/>
                <w:sz w:val="7"/>
              </w:rPr>
            </w:pPr>
            <w:r>
              <w:rPr>
                <w:rFonts w:ascii="Calibri"/>
                <w:sz w:val="7"/>
              </w:rPr>
              <w:t>0.5</w:t>
            </w:r>
          </w:p>
        </w:tc>
        <w:tc>
          <w:tcPr>
            <w:tcW w:w="593" w:type="dxa"/>
            <w:tcBorders>
              <w:left w:val="single" w:sz="2" w:space="0" w:color="000000"/>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0.5</w:t>
            </w:r>
          </w:p>
        </w:tc>
        <w:tc>
          <w:tcPr>
            <w:tcW w:w="791" w:type="dxa"/>
            <w:tcBorders>
              <w:left w:val="single" w:sz="2" w:space="0" w:color="000000"/>
              <w:right w:val="single" w:sz="2" w:space="0" w:color="000000"/>
            </w:tcBorders>
            <w:shd w:val="clear" w:color="auto" w:fill="BAF9F5"/>
          </w:tcPr>
          <w:p>
            <w:pPr>
              <w:pStyle w:val="TableParagraph"/>
              <w:spacing w:line="82" w:lineRule="exact"/>
              <w:ind w:left="348" w:right="-38"/>
              <w:jc w:val="left"/>
              <w:rPr>
                <w:rFonts w:ascii="Calibri"/>
                <w:sz w:val="7"/>
              </w:rPr>
            </w:pPr>
            <w:r>
              <w:rPr>
                <w:rFonts w:ascii="Calibri"/>
                <w:sz w:val="7"/>
              </w:rPr>
              <w:t>0.5</w:t>
            </w:r>
          </w:p>
        </w:tc>
        <w:tc>
          <w:tcPr>
            <w:tcW w:w="756" w:type="dxa"/>
            <w:tcBorders>
              <w:left w:val="single" w:sz="2" w:space="0" w:color="000000"/>
              <w:right w:val="single" w:sz="2" w:space="0" w:color="000000"/>
            </w:tcBorders>
            <w:shd w:val="clear" w:color="auto" w:fill="BAF9F5"/>
          </w:tcPr>
          <w:p>
            <w:pPr>
              <w:pStyle w:val="TableParagraph"/>
              <w:spacing w:line="82" w:lineRule="exact"/>
              <w:ind w:right="328"/>
              <w:jc w:val="right"/>
              <w:rPr>
                <w:rFonts w:ascii="Calibri"/>
                <w:sz w:val="7"/>
              </w:rPr>
            </w:pPr>
            <w:r>
              <w:rPr>
                <w:rFonts w:ascii="Calibri"/>
                <w:w w:val="95"/>
                <w:sz w:val="7"/>
              </w:rPr>
              <w:t>0.5</w:t>
            </w:r>
          </w:p>
        </w:tc>
        <w:tc>
          <w:tcPr>
            <w:tcW w:w="802" w:type="dxa"/>
            <w:tcBorders>
              <w:left w:val="single" w:sz="2" w:space="0" w:color="000000"/>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0.5</w:t>
            </w:r>
          </w:p>
        </w:tc>
        <w:tc>
          <w:tcPr>
            <w:tcW w:w="860" w:type="dxa"/>
            <w:tcBorders>
              <w:left w:val="single" w:sz="2" w:space="0" w:color="000000"/>
              <w:right w:val="single" w:sz="2" w:space="0" w:color="000000"/>
            </w:tcBorders>
            <w:shd w:val="clear" w:color="auto" w:fill="BAF9F5"/>
          </w:tcPr>
          <w:p>
            <w:pPr>
              <w:pStyle w:val="TableParagraph"/>
              <w:spacing w:line="82" w:lineRule="exact"/>
              <w:ind w:left="4" w:right="3"/>
              <w:rPr>
                <w:rFonts w:ascii="Calibri"/>
                <w:sz w:val="7"/>
              </w:rPr>
            </w:pPr>
            <w:r>
              <w:rPr>
                <w:rFonts w:ascii="Calibri"/>
                <w:sz w:val="7"/>
              </w:rPr>
              <w:t>0.5</w:t>
            </w:r>
          </w:p>
        </w:tc>
        <w:tc>
          <w:tcPr>
            <w:tcW w:w="700" w:type="dxa"/>
            <w:tcBorders>
              <w:left w:val="single" w:sz="2" w:space="0" w:color="000000"/>
              <w:right w:val="single" w:sz="5" w:space="0" w:color="000000"/>
            </w:tcBorders>
            <w:shd w:val="clear" w:color="auto" w:fill="BAF9F5"/>
          </w:tcPr>
          <w:p>
            <w:pPr>
              <w:pStyle w:val="TableParagraph"/>
              <w:spacing w:line="82" w:lineRule="exact"/>
              <w:ind w:left="1"/>
              <w:rPr>
                <w:rFonts w:ascii="Calibri"/>
                <w:sz w:val="7"/>
              </w:rPr>
            </w:pPr>
            <w:r>
              <w:rPr>
                <w:rFonts w:ascii="Calibri"/>
                <w:sz w:val="7"/>
              </w:rPr>
              <w:t>0.5</w:t>
            </w:r>
          </w:p>
        </w:tc>
      </w:tr>
      <w:tr>
        <w:trPr>
          <w:trHeight w:val="86" w:hRule="exact"/>
        </w:trPr>
        <w:tc>
          <w:tcPr>
            <w:tcW w:w="1334" w:type="dxa"/>
            <w:vMerge/>
            <w:tcBorders>
              <w:left w:val="single" w:sz="2" w:space="0" w:color="000000"/>
            </w:tcBorders>
          </w:tcPr>
          <w:p>
            <w:pPr/>
          </w:p>
        </w:tc>
        <w:tc>
          <w:tcPr>
            <w:tcW w:w="1145" w:type="dxa"/>
            <w:vMerge/>
          </w:tcPr>
          <w:p>
            <w:pPr/>
          </w:p>
        </w:tc>
        <w:tc>
          <w:tcPr>
            <w:tcW w:w="759" w:type="dxa"/>
            <w:tcBorders>
              <w:bottom w:val="single" w:sz="2" w:space="0" w:color="FFFFFF"/>
              <w:right w:val="single" w:sz="2" w:space="0" w:color="000000"/>
            </w:tcBorders>
            <w:shd w:val="clear" w:color="auto" w:fill="BAF9F5"/>
          </w:tcPr>
          <w:p>
            <w:pPr>
              <w:pStyle w:val="TableParagraph"/>
              <w:spacing w:line="82" w:lineRule="exact"/>
              <w:ind w:left="78" w:right="72"/>
              <w:rPr>
                <w:rFonts w:ascii="Calibri"/>
                <w:sz w:val="7"/>
              </w:rPr>
            </w:pPr>
            <w:r>
              <w:rPr>
                <w:rFonts w:ascii="Calibri"/>
                <w:sz w:val="7"/>
              </w:rPr>
              <w:t>0.5</w:t>
            </w:r>
          </w:p>
        </w:tc>
        <w:tc>
          <w:tcPr>
            <w:tcW w:w="43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3" w:right="2"/>
              <w:rPr>
                <w:rFonts w:ascii="Calibri"/>
                <w:sz w:val="7"/>
              </w:rPr>
            </w:pPr>
            <w:r>
              <w:rPr>
                <w:rFonts w:ascii="Calibri"/>
                <w:sz w:val="7"/>
              </w:rPr>
              <w:t>0.5</w:t>
            </w:r>
          </w:p>
        </w:tc>
        <w:tc>
          <w:tcPr>
            <w:tcW w:w="657"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right="2"/>
              <w:rPr>
                <w:rFonts w:ascii="Calibri"/>
                <w:sz w:val="7"/>
              </w:rPr>
            </w:pPr>
            <w:r>
              <w:rPr>
                <w:rFonts w:ascii="Calibri"/>
                <w:sz w:val="7"/>
              </w:rPr>
              <w:t>0.5</w:t>
            </w:r>
          </w:p>
        </w:tc>
        <w:tc>
          <w:tcPr>
            <w:tcW w:w="593"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0.5</w:t>
            </w:r>
          </w:p>
        </w:tc>
        <w:tc>
          <w:tcPr>
            <w:tcW w:w="791"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348" w:right="-38"/>
              <w:jc w:val="left"/>
              <w:rPr>
                <w:rFonts w:ascii="Calibri"/>
                <w:sz w:val="7"/>
              </w:rPr>
            </w:pPr>
            <w:r>
              <w:rPr>
                <w:rFonts w:ascii="Calibri"/>
                <w:sz w:val="7"/>
              </w:rPr>
              <w:t>0.5</w:t>
            </w:r>
          </w:p>
        </w:tc>
        <w:tc>
          <w:tcPr>
            <w:tcW w:w="756"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right="328"/>
              <w:jc w:val="right"/>
              <w:rPr>
                <w:rFonts w:ascii="Calibri"/>
                <w:sz w:val="7"/>
              </w:rPr>
            </w:pPr>
            <w:r>
              <w:rPr>
                <w:rFonts w:ascii="Calibri"/>
                <w:w w:val="95"/>
                <w:sz w:val="7"/>
              </w:rPr>
              <w:t>0.5</w:t>
            </w:r>
          </w:p>
        </w:tc>
        <w:tc>
          <w:tcPr>
            <w:tcW w:w="802"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0.5</w:t>
            </w:r>
          </w:p>
        </w:tc>
        <w:tc>
          <w:tcPr>
            <w:tcW w:w="86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4" w:right="3"/>
              <w:rPr>
                <w:rFonts w:ascii="Calibri"/>
                <w:sz w:val="7"/>
              </w:rPr>
            </w:pPr>
            <w:r>
              <w:rPr>
                <w:rFonts w:ascii="Calibri"/>
                <w:sz w:val="7"/>
              </w:rPr>
              <w:t>0.5</w:t>
            </w:r>
          </w:p>
        </w:tc>
        <w:tc>
          <w:tcPr>
            <w:tcW w:w="700" w:type="dxa"/>
            <w:tcBorders>
              <w:left w:val="single" w:sz="2" w:space="0" w:color="000000"/>
              <w:bottom w:val="single" w:sz="2" w:space="0" w:color="FFFFFF"/>
              <w:right w:val="single" w:sz="5" w:space="0" w:color="000000"/>
            </w:tcBorders>
            <w:shd w:val="clear" w:color="auto" w:fill="BAF9F5"/>
          </w:tcPr>
          <w:p>
            <w:pPr>
              <w:pStyle w:val="TableParagraph"/>
              <w:spacing w:line="82" w:lineRule="exact"/>
              <w:ind w:left="1"/>
              <w:rPr>
                <w:rFonts w:ascii="Calibri"/>
                <w:sz w:val="7"/>
              </w:rPr>
            </w:pPr>
            <w:r>
              <w:rPr>
                <w:rFonts w:ascii="Calibri"/>
                <w:sz w:val="7"/>
              </w:rPr>
              <w:t>0.5</w:t>
            </w:r>
          </w:p>
        </w:tc>
      </w:tr>
      <w:tr>
        <w:trPr>
          <w:trHeight w:val="90" w:hRule="exact"/>
        </w:trPr>
        <w:tc>
          <w:tcPr>
            <w:tcW w:w="1334" w:type="dxa"/>
            <w:vMerge/>
            <w:tcBorders>
              <w:left w:val="single" w:sz="2" w:space="0" w:color="000000"/>
            </w:tcBorders>
          </w:tcPr>
          <w:p>
            <w:pPr/>
          </w:p>
        </w:tc>
        <w:tc>
          <w:tcPr>
            <w:tcW w:w="1145" w:type="dxa"/>
            <w:vMerge/>
          </w:tcPr>
          <w:p>
            <w:pPr/>
          </w:p>
        </w:tc>
        <w:tc>
          <w:tcPr>
            <w:tcW w:w="759" w:type="dxa"/>
            <w:tcBorders>
              <w:top w:val="single" w:sz="2" w:space="0" w:color="FFFFFF"/>
              <w:right w:val="single" w:sz="2" w:space="0" w:color="000000"/>
            </w:tcBorders>
            <w:shd w:val="clear" w:color="auto" w:fill="F79646"/>
          </w:tcPr>
          <w:p>
            <w:pPr>
              <w:pStyle w:val="TableParagraph"/>
              <w:spacing w:line="80" w:lineRule="exact"/>
              <w:ind w:left="12"/>
              <w:rPr>
                <w:rFonts w:ascii="Calibri"/>
                <w:sz w:val="7"/>
              </w:rPr>
            </w:pPr>
            <w:r>
              <w:rPr>
                <w:rFonts w:ascii="Calibri"/>
                <w:w w:val="99"/>
                <w:sz w:val="7"/>
              </w:rPr>
              <w:t>2</w:t>
            </w:r>
          </w:p>
        </w:tc>
        <w:tc>
          <w:tcPr>
            <w:tcW w:w="43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2</w:t>
            </w:r>
          </w:p>
        </w:tc>
        <w:tc>
          <w:tcPr>
            <w:tcW w:w="657" w:type="dxa"/>
            <w:tcBorders>
              <w:top w:val="single" w:sz="2" w:space="0" w:color="FFFFFF"/>
              <w:left w:val="single" w:sz="2" w:space="0" w:color="000000"/>
              <w:right w:val="single" w:sz="2" w:space="0" w:color="000000"/>
            </w:tcBorders>
            <w:shd w:val="clear" w:color="auto" w:fill="F79646"/>
          </w:tcPr>
          <w:p>
            <w:pPr>
              <w:pStyle w:val="TableParagraph"/>
              <w:spacing w:line="80" w:lineRule="exact"/>
              <w:rPr>
                <w:rFonts w:ascii="Calibri"/>
                <w:sz w:val="7"/>
              </w:rPr>
            </w:pPr>
            <w:r>
              <w:rPr>
                <w:rFonts w:ascii="Calibri"/>
                <w:w w:val="99"/>
                <w:sz w:val="7"/>
              </w:rPr>
              <w:t>2</w:t>
            </w:r>
          </w:p>
        </w:tc>
        <w:tc>
          <w:tcPr>
            <w:tcW w:w="593"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2</w:t>
            </w:r>
          </w:p>
        </w:tc>
        <w:tc>
          <w:tcPr>
            <w:tcW w:w="791"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377"/>
              <w:jc w:val="left"/>
              <w:rPr>
                <w:rFonts w:ascii="Calibri"/>
                <w:sz w:val="7"/>
              </w:rPr>
            </w:pPr>
            <w:r>
              <w:rPr>
                <w:rFonts w:ascii="Calibri"/>
                <w:w w:val="99"/>
                <w:sz w:val="7"/>
              </w:rPr>
              <w:t>2</w:t>
            </w:r>
          </w:p>
        </w:tc>
        <w:tc>
          <w:tcPr>
            <w:tcW w:w="756" w:type="dxa"/>
            <w:tcBorders>
              <w:top w:val="single" w:sz="2" w:space="0" w:color="FFFFFF"/>
              <w:left w:val="single" w:sz="2" w:space="0" w:color="000000"/>
              <w:right w:val="single" w:sz="2" w:space="0" w:color="000000"/>
            </w:tcBorders>
            <w:shd w:val="clear" w:color="auto" w:fill="F79646"/>
          </w:tcPr>
          <w:p>
            <w:pPr>
              <w:pStyle w:val="TableParagraph"/>
              <w:spacing w:line="80" w:lineRule="exact"/>
              <w:ind w:right="352"/>
              <w:jc w:val="right"/>
              <w:rPr>
                <w:rFonts w:ascii="Calibri"/>
                <w:sz w:val="7"/>
              </w:rPr>
            </w:pPr>
            <w:r>
              <w:rPr>
                <w:rFonts w:ascii="Calibri"/>
                <w:w w:val="99"/>
                <w:sz w:val="7"/>
              </w:rPr>
              <w:t>2</w:t>
            </w:r>
          </w:p>
        </w:tc>
        <w:tc>
          <w:tcPr>
            <w:tcW w:w="802"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2</w:t>
            </w:r>
          </w:p>
        </w:tc>
        <w:tc>
          <w:tcPr>
            <w:tcW w:w="86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2</w:t>
            </w:r>
          </w:p>
        </w:tc>
        <w:tc>
          <w:tcPr>
            <w:tcW w:w="700" w:type="dxa"/>
            <w:tcBorders>
              <w:top w:val="single" w:sz="2" w:space="0" w:color="FFFFFF"/>
              <w:left w:val="single" w:sz="2" w:space="0" w:color="000000"/>
              <w:right w:val="single" w:sz="5" w:space="0" w:color="000000"/>
            </w:tcBorders>
            <w:shd w:val="clear" w:color="auto" w:fill="F79646"/>
          </w:tcPr>
          <w:p>
            <w:pPr>
              <w:pStyle w:val="TableParagraph"/>
              <w:spacing w:line="80" w:lineRule="exact"/>
              <w:ind w:left="6"/>
              <w:rPr>
                <w:rFonts w:ascii="Calibri"/>
                <w:sz w:val="7"/>
              </w:rPr>
            </w:pPr>
            <w:r>
              <w:rPr>
                <w:rFonts w:ascii="Calibri"/>
                <w:w w:val="99"/>
                <w:sz w:val="7"/>
              </w:rPr>
              <w:t>2</w:t>
            </w:r>
          </w:p>
        </w:tc>
      </w:tr>
      <w:tr>
        <w:trPr>
          <w:trHeight w:val="81" w:hRule="exact"/>
        </w:trPr>
        <w:tc>
          <w:tcPr>
            <w:tcW w:w="3238" w:type="dxa"/>
            <w:gridSpan w:val="3"/>
            <w:tcBorders>
              <w:left w:val="single" w:sz="2" w:space="0" w:color="000000"/>
              <w:right w:val="single" w:sz="2" w:space="0" w:color="000000"/>
            </w:tcBorders>
          </w:tcPr>
          <w:p>
            <w:pPr/>
          </w:p>
        </w:tc>
        <w:tc>
          <w:tcPr>
            <w:tcW w:w="430" w:type="dxa"/>
            <w:tcBorders>
              <w:left w:val="single" w:sz="2" w:space="0" w:color="000000"/>
              <w:right w:val="single" w:sz="2" w:space="0" w:color="000000"/>
            </w:tcBorders>
          </w:tcPr>
          <w:p>
            <w:pPr/>
          </w:p>
        </w:tc>
        <w:tc>
          <w:tcPr>
            <w:tcW w:w="657" w:type="dxa"/>
            <w:tcBorders>
              <w:left w:val="single" w:sz="2" w:space="0" w:color="000000"/>
              <w:right w:val="single" w:sz="2" w:space="0" w:color="000000"/>
            </w:tcBorders>
          </w:tcPr>
          <w:p>
            <w:pPr/>
          </w:p>
        </w:tc>
        <w:tc>
          <w:tcPr>
            <w:tcW w:w="593" w:type="dxa"/>
            <w:tcBorders>
              <w:left w:val="single" w:sz="2" w:space="0" w:color="000000"/>
              <w:right w:val="single" w:sz="2" w:space="0" w:color="000000"/>
            </w:tcBorders>
          </w:tcPr>
          <w:p>
            <w:pPr/>
          </w:p>
        </w:tc>
        <w:tc>
          <w:tcPr>
            <w:tcW w:w="791" w:type="dxa"/>
            <w:tcBorders>
              <w:left w:val="single" w:sz="2" w:space="0" w:color="000000"/>
              <w:right w:val="single" w:sz="2" w:space="0" w:color="000000"/>
            </w:tcBorders>
          </w:tcPr>
          <w:p>
            <w:pPr/>
          </w:p>
        </w:tc>
        <w:tc>
          <w:tcPr>
            <w:tcW w:w="756" w:type="dxa"/>
            <w:tcBorders>
              <w:left w:val="single" w:sz="2" w:space="0" w:color="000000"/>
              <w:right w:val="single" w:sz="2" w:space="0" w:color="000000"/>
            </w:tcBorders>
          </w:tcPr>
          <w:p>
            <w:pPr/>
          </w:p>
        </w:tc>
        <w:tc>
          <w:tcPr>
            <w:tcW w:w="802" w:type="dxa"/>
            <w:tcBorders>
              <w:left w:val="single" w:sz="2" w:space="0" w:color="000000"/>
              <w:right w:val="single" w:sz="2" w:space="0" w:color="000000"/>
            </w:tcBorders>
          </w:tcPr>
          <w:p>
            <w:pPr/>
          </w:p>
        </w:tc>
        <w:tc>
          <w:tcPr>
            <w:tcW w:w="860" w:type="dxa"/>
            <w:tcBorders>
              <w:left w:val="single" w:sz="2" w:space="0" w:color="000000"/>
              <w:right w:val="single" w:sz="2" w:space="0" w:color="000000"/>
            </w:tcBorders>
          </w:tcPr>
          <w:p>
            <w:pPr/>
          </w:p>
        </w:tc>
        <w:tc>
          <w:tcPr>
            <w:tcW w:w="700" w:type="dxa"/>
            <w:tcBorders>
              <w:left w:val="single" w:sz="2" w:space="0" w:color="000000"/>
              <w:right w:val="single" w:sz="5" w:space="0" w:color="000000"/>
            </w:tcBorders>
          </w:tcPr>
          <w:p>
            <w:pPr/>
          </w:p>
        </w:tc>
      </w:tr>
      <w:tr>
        <w:trPr>
          <w:trHeight w:val="91" w:hRule="exact"/>
        </w:trPr>
        <w:tc>
          <w:tcPr>
            <w:tcW w:w="1334" w:type="dxa"/>
            <w:vMerge w:val="restart"/>
            <w:tcBorders>
              <w:left w:val="single" w:sz="2" w:space="0" w:color="000000"/>
            </w:tcBorders>
          </w:tcPr>
          <w:p>
            <w:pPr>
              <w:pStyle w:val="TableParagraph"/>
              <w:spacing w:before="7"/>
              <w:jc w:val="left"/>
              <w:rPr>
                <w:sz w:val="7"/>
              </w:rPr>
            </w:pPr>
          </w:p>
          <w:p>
            <w:pPr>
              <w:pStyle w:val="TableParagraph"/>
              <w:ind w:left="360"/>
              <w:jc w:val="left"/>
              <w:rPr>
                <w:rFonts w:ascii="Calibri"/>
                <w:sz w:val="7"/>
              </w:rPr>
            </w:pPr>
            <w:r>
              <w:rPr>
                <w:rFonts w:ascii="Calibri"/>
                <w:sz w:val="7"/>
              </w:rPr>
              <w:t>Manejo de residuos solidos</w:t>
            </w:r>
          </w:p>
        </w:tc>
        <w:tc>
          <w:tcPr>
            <w:tcW w:w="1145" w:type="dxa"/>
            <w:vMerge w:val="restart"/>
          </w:tcPr>
          <w:p>
            <w:pPr>
              <w:pStyle w:val="TableParagraph"/>
              <w:ind w:left="197" w:right="588"/>
              <w:jc w:val="left"/>
              <w:rPr>
                <w:rFonts w:ascii="Calibri" w:hAnsi="Calibri"/>
                <w:sz w:val="7"/>
              </w:rPr>
            </w:pPr>
            <w:r>
              <w:rPr>
                <w:rFonts w:ascii="Calibri" w:hAnsi="Calibri"/>
                <w:sz w:val="7"/>
              </w:rPr>
              <w:t>Separación Recolección</w:t>
            </w:r>
            <w:r>
              <w:rPr>
                <w:rFonts w:ascii="Calibri" w:hAnsi="Calibri"/>
                <w:w w:val="99"/>
                <w:sz w:val="7"/>
              </w:rPr>
              <w:t> </w:t>
            </w:r>
            <w:r>
              <w:rPr>
                <w:rFonts w:ascii="Calibri" w:hAnsi="Calibri"/>
                <w:sz w:val="7"/>
              </w:rPr>
              <w:t>Disposición</w:t>
            </w:r>
          </w:p>
          <w:p>
            <w:pPr>
              <w:pStyle w:val="TableParagraph"/>
              <w:spacing w:before="2"/>
              <w:ind w:left="546" w:right="253"/>
              <w:jc w:val="left"/>
              <w:rPr>
                <w:rFonts w:ascii="Calibri"/>
                <w:sz w:val="7"/>
              </w:rPr>
            </w:pPr>
            <w:r>
              <w:rPr>
                <w:rFonts w:ascii="Calibri"/>
                <w:sz w:val="7"/>
              </w:rPr>
              <w:t>Subtotal</w:t>
            </w:r>
          </w:p>
        </w:tc>
        <w:tc>
          <w:tcPr>
            <w:tcW w:w="759" w:type="dxa"/>
            <w:tcBorders>
              <w:right w:val="single" w:sz="2" w:space="0" w:color="000000"/>
            </w:tcBorders>
            <w:shd w:val="clear" w:color="auto" w:fill="BAF9F5"/>
          </w:tcPr>
          <w:p>
            <w:pPr>
              <w:pStyle w:val="TableParagraph"/>
              <w:ind w:left="12"/>
              <w:rPr>
                <w:rFonts w:ascii="Calibri"/>
                <w:sz w:val="7"/>
              </w:rPr>
            </w:pPr>
            <w:r>
              <w:rPr>
                <w:rFonts w:ascii="Calibri"/>
                <w:w w:val="99"/>
                <w:sz w:val="7"/>
              </w:rPr>
              <w:t>0</w:t>
            </w:r>
          </w:p>
        </w:tc>
        <w:tc>
          <w:tcPr>
            <w:tcW w:w="430"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0</w:t>
            </w:r>
          </w:p>
        </w:tc>
        <w:tc>
          <w:tcPr>
            <w:tcW w:w="657" w:type="dxa"/>
            <w:tcBorders>
              <w:left w:val="single" w:sz="2" w:space="0" w:color="000000"/>
              <w:right w:val="single" w:sz="2" w:space="0" w:color="000000"/>
            </w:tcBorders>
            <w:shd w:val="clear" w:color="auto" w:fill="BAF9F5"/>
          </w:tcPr>
          <w:p>
            <w:pPr>
              <w:pStyle w:val="TableParagraph"/>
              <w:rPr>
                <w:rFonts w:ascii="Calibri"/>
                <w:sz w:val="7"/>
              </w:rPr>
            </w:pPr>
            <w:r>
              <w:rPr>
                <w:rFonts w:ascii="Calibri"/>
                <w:w w:val="99"/>
                <w:sz w:val="7"/>
              </w:rPr>
              <w:t>0</w:t>
            </w:r>
          </w:p>
        </w:tc>
        <w:tc>
          <w:tcPr>
            <w:tcW w:w="593"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0</w:t>
            </w:r>
          </w:p>
        </w:tc>
        <w:tc>
          <w:tcPr>
            <w:tcW w:w="791" w:type="dxa"/>
            <w:tcBorders>
              <w:left w:val="single" w:sz="2" w:space="0" w:color="000000"/>
              <w:right w:val="single" w:sz="2" w:space="0" w:color="000000"/>
            </w:tcBorders>
            <w:shd w:val="clear" w:color="auto" w:fill="BAF9F5"/>
          </w:tcPr>
          <w:p>
            <w:pPr>
              <w:pStyle w:val="TableParagraph"/>
              <w:ind w:left="377"/>
              <w:jc w:val="left"/>
              <w:rPr>
                <w:rFonts w:ascii="Calibri"/>
                <w:sz w:val="7"/>
              </w:rPr>
            </w:pPr>
            <w:r>
              <w:rPr>
                <w:rFonts w:ascii="Calibri"/>
                <w:w w:val="99"/>
                <w:sz w:val="7"/>
              </w:rPr>
              <w:t>0</w:t>
            </w:r>
          </w:p>
        </w:tc>
        <w:tc>
          <w:tcPr>
            <w:tcW w:w="756" w:type="dxa"/>
            <w:tcBorders>
              <w:left w:val="single" w:sz="2" w:space="0" w:color="000000"/>
              <w:right w:val="single" w:sz="2" w:space="0" w:color="000000"/>
            </w:tcBorders>
            <w:shd w:val="clear" w:color="auto" w:fill="BAF9F5"/>
          </w:tcPr>
          <w:p>
            <w:pPr>
              <w:pStyle w:val="TableParagraph"/>
              <w:ind w:right="352"/>
              <w:jc w:val="right"/>
              <w:rPr>
                <w:rFonts w:ascii="Calibri"/>
                <w:sz w:val="7"/>
              </w:rPr>
            </w:pPr>
            <w:r>
              <w:rPr>
                <w:rFonts w:ascii="Calibri"/>
                <w:w w:val="99"/>
                <w:sz w:val="7"/>
              </w:rPr>
              <w:t>0</w:t>
            </w:r>
          </w:p>
        </w:tc>
        <w:tc>
          <w:tcPr>
            <w:tcW w:w="802"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0</w:t>
            </w:r>
          </w:p>
        </w:tc>
        <w:tc>
          <w:tcPr>
            <w:tcW w:w="860"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0</w:t>
            </w:r>
          </w:p>
        </w:tc>
        <w:tc>
          <w:tcPr>
            <w:tcW w:w="700" w:type="dxa"/>
            <w:tcBorders>
              <w:left w:val="single" w:sz="2" w:space="0" w:color="000000"/>
              <w:right w:val="single" w:sz="5" w:space="0" w:color="000000"/>
            </w:tcBorders>
            <w:shd w:val="clear" w:color="auto" w:fill="BAF9F5"/>
          </w:tcPr>
          <w:p>
            <w:pPr>
              <w:pStyle w:val="TableParagraph"/>
              <w:ind w:left="6"/>
              <w:rPr>
                <w:rFonts w:ascii="Calibri"/>
                <w:sz w:val="7"/>
              </w:rPr>
            </w:pPr>
            <w:r>
              <w:rPr>
                <w:rFonts w:ascii="Calibri"/>
                <w:w w:val="99"/>
                <w:sz w:val="7"/>
              </w:rPr>
              <w:t>0</w:t>
            </w:r>
          </w:p>
        </w:tc>
      </w:tr>
      <w:tr>
        <w:trPr>
          <w:trHeight w:val="87" w:hRule="exact"/>
        </w:trPr>
        <w:tc>
          <w:tcPr>
            <w:tcW w:w="1334" w:type="dxa"/>
            <w:vMerge/>
            <w:tcBorders>
              <w:left w:val="single" w:sz="2" w:space="0" w:color="000000"/>
            </w:tcBorders>
          </w:tcPr>
          <w:p>
            <w:pPr/>
          </w:p>
        </w:tc>
        <w:tc>
          <w:tcPr>
            <w:tcW w:w="1145" w:type="dxa"/>
            <w:vMerge/>
          </w:tcPr>
          <w:p>
            <w:pPr/>
          </w:p>
        </w:tc>
        <w:tc>
          <w:tcPr>
            <w:tcW w:w="759" w:type="dxa"/>
            <w:tcBorders>
              <w:right w:val="single" w:sz="2" w:space="0" w:color="000000"/>
            </w:tcBorders>
            <w:shd w:val="clear" w:color="auto" w:fill="BAF9F5"/>
          </w:tcPr>
          <w:p>
            <w:pPr>
              <w:pStyle w:val="TableParagraph"/>
              <w:spacing w:line="82" w:lineRule="exact"/>
              <w:ind w:left="78" w:right="72"/>
              <w:rPr>
                <w:rFonts w:ascii="Calibri"/>
                <w:sz w:val="7"/>
              </w:rPr>
            </w:pPr>
            <w:r>
              <w:rPr>
                <w:rFonts w:ascii="Calibri"/>
                <w:sz w:val="7"/>
              </w:rPr>
              <w:t>0.6</w:t>
            </w:r>
          </w:p>
        </w:tc>
        <w:tc>
          <w:tcPr>
            <w:tcW w:w="430"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1</w:t>
            </w:r>
          </w:p>
        </w:tc>
        <w:tc>
          <w:tcPr>
            <w:tcW w:w="657" w:type="dxa"/>
            <w:tcBorders>
              <w:left w:val="single" w:sz="2" w:space="0" w:color="000000"/>
              <w:right w:val="single" w:sz="2" w:space="0" w:color="000000"/>
            </w:tcBorders>
            <w:shd w:val="clear" w:color="auto" w:fill="BAF9F5"/>
          </w:tcPr>
          <w:p>
            <w:pPr>
              <w:pStyle w:val="TableParagraph"/>
              <w:spacing w:line="82" w:lineRule="exact"/>
              <w:ind w:right="2"/>
              <w:rPr>
                <w:rFonts w:ascii="Calibri"/>
                <w:sz w:val="7"/>
              </w:rPr>
            </w:pPr>
            <w:r>
              <w:rPr>
                <w:rFonts w:ascii="Calibri"/>
                <w:sz w:val="7"/>
              </w:rPr>
              <w:t>0.6</w:t>
            </w:r>
          </w:p>
        </w:tc>
        <w:tc>
          <w:tcPr>
            <w:tcW w:w="593"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1</w:t>
            </w:r>
          </w:p>
        </w:tc>
        <w:tc>
          <w:tcPr>
            <w:tcW w:w="791" w:type="dxa"/>
            <w:tcBorders>
              <w:left w:val="single" w:sz="2" w:space="0" w:color="000000"/>
              <w:right w:val="single" w:sz="2" w:space="0" w:color="000000"/>
            </w:tcBorders>
            <w:shd w:val="clear" w:color="auto" w:fill="BAF9F5"/>
          </w:tcPr>
          <w:p>
            <w:pPr>
              <w:pStyle w:val="TableParagraph"/>
              <w:spacing w:line="82" w:lineRule="exact"/>
              <w:ind w:left="377"/>
              <w:jc w:val="left"/>
              <w:rPr>
                <w:rFonts w:ascii="Calibri"/>
                <w:sz w:val="7"/>
              </w:rPr>
            </w:pPr>
            <w:r>
              <w:rPr>
                <w:rFonts w:ascii="Calibri"/>
                <w:w w:val="99"/>
                <w:sz w:val="7"/>
              </w:rPr>
              <w:t>1</w:t>
            </w:r>
          </w:p>
        </w:tc>
        <w:tc>
          <w:tcPr>
            <w:tcW w:w="756" w:type="dxa"/>
            <w:tcBorders>
              <w:left w:val="single" w:sz="2" w:space="0" w:color="000000"/>
              <w:right w:val="single" w:sz="2" w:space="0" w:color="000000"/>
            </w:tcBorders>
            <w:shd w:val="clear" w:color="auto" w:fill="BAF9F5"/>
          </w:tcPr>
          <w:p>
            <w:pPr>
              <w:pStyle w:val="TableParagraph"/>
              <w:spacing w:line="82" w:lineRule="exact"/>
              <w:ind w:right="352"/>
              <w:jc w:val="right"/>
              <w:rPr>
                <w:rFonts w:ascii="Calibri"/>
                <w:sz w:val="7"/>
              </w:rPr>
            </w:pPr>
            <w:r>
              <w:rPr>
                <w:rFonts w:ascii="Calibri"/>
                <w:w w:val="99"/>
                <w:sz w:val="7"/>
              </w:rPr>
              <w:t>1</w:t>
            </w:r>
          </w:p>
        </w:tc>
        <w:tc>
          <w:tcPr>
            <w:tcW w:w="802"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1</w:t>
            </w:r>
          </w:p>
        </w:tc>
        <w:tc>
          <w:tcPr>
            <w:tcW w:w="860"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1</w:t>
            </w:r>
          </w:p>
        </w:tc>
        <w:tc>
          <w:tcPr>
            <w:tcW w:w="700" w:type="dxa"/>
            <w:tcBorders>
              <w:left w:val="single" w:sz="2" w:space="0" w:color="000000"/>
              <w:right w:val="single" w:sz="5" w:space="0" w:color="000000"/>
            </w:tcBorders>
            <w:shd w:val="clear" w:color="auto" w:fill="BAF9F5"/>
          </w:tcPr>
          <w:p>
            <w:pPr>
              <w:pStyle w:val="TableParagraph"/>
              <w:spacing w:line="82" w:lineRule="exact"/>
              <w:ind w:left="6"/>
              <w:rPr>
                <w:rFonts w:ascii="Calibri"/>
                <w:sz w:val="7"/>
              </w:rPr>
            </w:pPr>
            <w:r>
              <w:rPr>
                <w:rFonts w:ascii="Calibri"/>
                <w:w w:val="99"/>
                <w:sz w:val="7"/>
              </w:rPr>
              <w:t>1</w:t>
            </w:r>
          </w:p>
        </w:tc>
      </w:tr>
      <w:tr>
        <w:trPr>
          <w:trHeight w:val="86" w:hRule="exact"/>
        </w:trPr>
        <w:tc>
          <w:tcPr>
            <w:tcW w:w="1334" w:type="dxa"/>
            <w:vMerge/>
            <w:tcBorders>
              <w:left w:val="single" w:sz="2" w:space="0" w:color="000000"/>
            </w:tcBorders>
          </w:tcPr>
          <w:p>
            <w:pPr/>
          </w:p>
        </w:tc>
        <w:tc>
          <w:tcPr>
            <w:tcW w:w="1145" w:type="dxa"/>
            <w:vMerge/>
          </w:tcPr>
          <w:p>
            <w:pPr/>
          </w:p>
        </w:tc>
        <w:tc>
          <w:tcPr>
            <w:tcW w:w="759" w:type="dxa"/>
            <w:tcBorders>
              <w:bottom w:val="single" w:sz="2" w:space="0" w:color="FFFFFF"/>
              <w:right w:val="single" w:sz="2" w:space="0" w:color="000000"/>
            </w:tcBorders>
            <w:shd w:val="clear" w:color="auto" w:fill="BAF9F5"/>
          </w:tcPr>
          <w:p>
            <w:pPr>
              <w:pStyle w:val="TableParagraph"/>
              <w:spacing w:line="82" w:lineRule="exact"/>
              <w:ind w:left="78" w:right="72"/>
              <w:rPr>
                <w:rFonts w:ascii="Calibri"/>
                <w:sz w:val="7"/>
              </w:rPr>
            </w:pPr>
            <w:r>
              <w:rPr>
                <w:rFonts w:ascii="Calibri"/>
                <w:sz w:val="7"/>
              </w:rPr>
              <w:t>0.5</w:t>
            </w:r>
          </w:p>
        </w:tc>
        <w:tc>
          <w:tcPr>
            <w:tcW w:w="43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3" w:right="2"/>
              <w:rPr>
                <w:rFonts w:ascii="Calibri"/>
                <w:sz w:val="7"/>
              </w:rPr>
            </w:pPr>
            <w:r>
              <w:rPr>
                <w:rFonts w:ascii="Calibri"/>
                <w:sz w:val="7"/>
              </w:rPr>
              <w:t>0.5</w:t>
            </w:r>
          </w:p>
        </w:tc>
        <w:tc>
          <w:tcPr>
            <w:tcW w:w="657"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right="2"/>
              <w:rPr>
                <w:rFonts w:ascii="Calibri"/>
                <w:sz w:val="7"/>
              </w:rPr>
            </w:pPr>
            <w:r>
              <w:rPr>
                <w:rFonts w:ascii="Calibri"/>
                <w:sz w:val="7"/>
              </w:rPr>
              <w:t>0.5</w:t>
            </w:r>
          </w:p>
        </w:tc>
        <w:tc>
          <w:tcPr>
            <w:tcW w:w="593"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0.5</w:t>
            </w:r>
          </w:p>
        </w:tc>
        <w:tc>
          <w:tcPr>
            <w:tcW w:w="791"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348" w:right="-38"/>
              <w:jc w:val="left"/>
              <w:rPr>
                <w:rFonts w:ascii="Calibri"/>
                <w:sz w:val="7"/>
              </w:rPr>
            </w:pPr>
            <w:r>
              <w:rPr>
                <w:rFonts w:ascii="Calibri"/>
                <w:sz w:val="7"/>
              </w:rPr>
              <w:t>0.5</w:t>
            </w:r>
          </w:p>
        </w:tc>
        <w:tc>
          <w:tcPr>
            <w:tcW w:w="756"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right="328"/>
              <w:jc w:val="right"/>
              <w:rPr>
                <w:rFonts w:ascii="Calibri"/>
                <w:sz w:val="7"/>
              </w:rPr>
            </w:pPr>
            <w:r>
              <w:rPr>
                <w:rFonts w:ascii="Calibri"/>
                <w:w w:val="95"/>
                <w:sz w:val="7"/>
              </w:rPr>
              <w:t>0.5</w:t>
            </w:r>
          </w:p>
        </w:tc>
        <w:tc>
          <w:tcPr>
            <w:tcW w:w="802"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0.5</w:t>
            </w:r>
          </w:p>
        </w:tc>
        <w:tc>
          <w:tcPr>
            <w:tcW w:w="86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4" w:right="3"/>
              <w:rPr>
                <w:rFonts w:ascii="Calibri"/>
                <w:sz w:val="7"/>
              </w:rPr>
            </w:pPr>
            <w:r>
              <w:rPr>
                <w:rFonts w:ascii="Calibri"/>
                <w:sz w:val="7"/>
              </w:rPr>
              <w:t>0.5</w:t>
            </w:r>
          </w:p>
        </w:tc>
        <w:tc>
          <w:tcPr>
            <w:tcW w:w="700" w:type="dxa"/>
            <w:tcBorders>
              <w:left w:val="single" w:sz="2" w:space="0" w:color="000000"/>
              <w:bottom w:val="single" w:sz="2" w:space="0" w:color="FFFFFF"/>
              <w:right w:val="single" w:sz="5" w:space="0" w:color="000000"/>
            </w:tcBorders>
            <w:shd w:val="clear" w:color="auto" w:fill="BAF9F5"/>
          </w:tcPr>
          <w:p>
            <w:pPr>
              <w:pStyle w:val="TableParagraph"/>
              <w:spacing w:line="82" w:lineRule="exact"/>
              <w:ind w:left="1"/>
              <w:rPr>
                <w:rFonts w:ascii="Calibri"/>
                <w:sz w:val="7"/>
              </w:rPr>
            </w:pPr>
            <w:r>
              <w:rPr>
                <w:rFonts w:ascii="Calibri"/>
                <w:sz w:val="7"/>
              </w:rPr>
              <w:t>0.5</w:t>
            </w:r>
          </w:p>
        </w:tc>
      </w:tr>
      <w:tr>
        <w:trPr>
          <w:trHeight w:val="90" w:hRule="exact"/>
        </w:trPr>
        <w:tc>
          <w:tcPr>
            <w:tcW w:w="1334" w:type="dxa"/>
            <w:vMerge/>
            <w:tcBorders>
              <w:left w:val="single" w:sz="2" w:space="0" w:color="000000"/>
            </w:tcBorders>
          </w:tcPr>
          <w:p>
            <w:pPr/>
          </w:p>
        </w:tc>
        <w:tc>
          <w:tcPr>
            <w:tcW w:w="1145" w:type="dxa"/>
            <w:vMerge/>
          </w:tcPr>
          <w:p>
            <w:pPr/>
          </w:p>
        </w:tc>
        <w:tc>
          <w:tcPr>
            <w:tcW w:w="759" w:type="dxa"/>
            <w:tcBorders>
              <w:top w:val="single" w:sz="2" w:space="0" w:color="FFFFFF"/>
              <w:right w:val="single" w:sz="2" w:space="0" w:color="000000"/>
            </w:tcBorders>
            <w:shd w:val="clear" w:color="auto" w:fill="F79646"/>
          </w:tcPr>
          <w:p>
            <w:pPr>
              <w:pStyle w:val="TableParagraph"/>
              <w:spacing w:line="80" w:lineRule="exact"/>
              <w:ind w:left="78" w:right="72"/>
              <w:rPr>
                <w:rFonts w:ascii="Calibri"/>
                <w:sz w:val="7"/>
              </w:rPr>
            </w:pPr>
            <w:r>
              <w:rPr>
                <w:rFonts w:ascii="Calibri"/>
                <w:sz w:val="7"/>
              </w:rPr>
              <w:t>1.1</w:t>
            </w:r>
          </w:p>
        </w:tc>
        <w:tc>
          <w:tcPr>
            <w:tcW w:w="43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3" w:right="2"/>
              <w:rPr>
                <w:rFonts w:ascii="Calibri"/>
                <w:sz w:val="7"/>
              </w:rPr>
            </w:pPr>
            <w:r>
              <w:rPr>
                <w:rFonts w:ascii="Calibri"/>
                <w:sz w:val="7"/>
              </w:rPr>
              <w:t>1.5</w:t>
            </w:r>
          </w:p>
        </w:tc>
        <w:tc>
          <w:tcPr>
            <w:tcW w:w="657" w:type="dxa"/>
            <w:tcBorders>
              <w:top w:val="single" w:sz="2" w:space="0" w:color="FFFFFF"/>
              <w:left w:val="single" w:sz="2" w:space="0" w:color="000000"/>
              <w:right w:val="single" w:sz="2" w:space="0" w:color="000000"/>
            </w:tcBorders>
            <w:shd w:val="clear" w:color="auto" w:fill="F79646"/>
          </w:tcPr>
          <w:p>
            <w:pPr>
              <w:pStyle w:val="TableParagraph"/>
              <w:spacing w:line="80" w:lineRule="exact"/>
              <w:ind w:right="2"/>
              <w:rPr>
                <w:rFonts w:ascii="Calibri"/>
                <w:sz w:val="7"/>
              </w:rPr>
            </w:pPr>
            <w:r>
              <w:rPr>
                <w:rFonts w:ascii="Calibri"/>
                <w:sz w:val="7"/>
              </w:rPr>
              <w:t>1.1</w:t>
            </w:r>
          </w:p>
        </w:tc>
        <w:tc>
          <w:tcPr>
            <w:tcW w:w="593"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2" w:right="1"/>
              <w:rPr>
                <w:rFonts w:ascii="Calibri"/>
                <w:sz w:val="7"/>
              </w:rPr>
            </w:pPr>
            <w:r>
              <w:rPr>
                <w:rFonts w:ascii="Calibri"/>
                <w:sz w:val="7"/>
              </w:rPr>
              <w:t>1.5</w:t>
            </w:r>
          </w:p>
        </w:tc>
        <w:tc>
          <w:tcPr>
            <w:tcW w:w="791"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348" w:right="-38"/>
              <w:jc w:val="left"/>
              <w:rPr>
                <w:rFonts w:ascii="Calibri"/>
                <w:sz w:val="7"/>
              </w:rPr>
            </w:pPr>
            <w:r>
              <w:rPr>
                <w:rFonts w:ascii="Calibri"/>
                <w:sz w:val="7"/>
              </w:rPr>
              <w:t>1.5</w:t>
            </w:r>
          </w:p>
        </w:tc>
        <w:tc>
          <w:tcPr>
            <w:tcW w:w="756" w:type="dxa"/>
            <w:tcBorders>
              <w:top w:val="single" w:sz="2" w:space="0" w:color="FFFFFF"/>
              <w:left w:val="single" w:sz="2" w:space="0" w:color="000000"/>
              <w:right w:val="single" w:sz="2" w:space="0" w:color="000000"/>
            </w:tcBorders>
            <w:shd w:val="clear" w:color="auto" w:fill="F79646"/>
          </w:tcPr>
          <w:p>
            <w:pPr>
              <w:pStyle w:val="TableParagraph"/>
              <w:spacing w:line="80" w:lineRule="exact"/>
              <w:ind w:right="328"/>
              <w:jc w:val="right"/>
              <w:rPr>
                <w:rFonts w:ascii="Calibri"/>
                <w:sz w:val="7"/>
              </w:rPr>
            </w:pPr>
            <w:r>
              <w:rPr>
                <w:rFonts w:ascii="Calibri"/>
                <w:w w:val="95"/>
                <w:sz w:val="7"/>
              </w:rPr>
              <w:t>1.5</w:t>
            </w:r>
          </w:p>
        </w:tc>
        <w:tc>
          <w:tcPr>
            <w:tcW w:w="802"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2" w:right="1"/>
              <w:rPr>
                <w:rFonts w:ascii="Calibri"/>
                <w:sz w:val="7"/>
              </w:rPr>
            </w:pPr>
            <w:r>
              <w:rPr>
                <w:rFonts w:ascii="Calibri"/>
                <w:sz w:val="7"/>
              </w:rPr>
              <w:t>1.5</w:t>
            </w:r>
          </w:p>
        </w:tc>
        <w:tc>
          <w:tcPr>
            <w:tcW w:w="86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4" w:right="3"/>
              <w:rPr>
                <w:rFonts w:ascii="Calibri"/>
                <w:sz w:val="7"/>
              </w:rPr>
            </w:pPr>
            <w:r>
              <w:rPr>
                <w:rFonts w:ascii="Calibri"/>
                <w:sz w:val="7"/>
              </w:rPr>
              <w:t>1.5</w:t>
            </w:r>
          </w:p>
        </w:tc>
        <w:tc>
          <w:tcPr>
            <w:tcW w:w="700" w:type="dxa"/>
            <w:tcBorders>
              <w:top w:val="single" w:sz="2" w:space="0" w:color="FFFFFF"/>
              <w:left w:val="single" w:sz="2" w:space="0" w:color="000000"/>
              <w:right w:val="single" w:sz="5" w:space="0" w:color="000000"/>
            </w:tcBorders>
            <w:shd w:val="clear" w:color="auto" w:fill="F79646"/>
          </w:tcPr>
          <w:p>
            <w:pPr>
              <w:pStyle w:val="TableParagraph"/>
              <w:spacing w:line="80" w:lineRule="exact"/>
              <w:ind w:left="1"/>
              <w:rPr>
                <w:rFonts w:ascii="Calibri"/>
                <w:sz w:val="7"/>
              </w:rPr>
            </w:pPr>
            <w:r>
              <w:rPr>
                <w:rFonts w:ascii="Calibri"/>
                <w:sz w:val="7"/>
              </w:rPr>
              <w:t>1.5</w:t>
            </w:r>
          </w:p>
        </w:tc>
      </w:tr>
      <w:tr>
        <w:trPr>
          <w:trHeight w:val="81" w:hRule="exact"/>
        </w:trPr>
        <w:tc>
          <w:tcPr>
            <w:tcW w:w="3238" w:type="dxa"/>
            <w:gridSpan w:val="3"/>
            <w:tcBorders>
              <w:left w:val="single" w:sz="2" w:space="0" w:color="000000"/>
              <w:right w:val="single" w:sz="2" w:space="0" w:color="000000"/>
            </w:tcBorders>
          </w:tcPr>
          <w:p>
            <w:pPr/>
          </w:p>
        </w:tc>
        <w:tc>
          <w:tcPr>
            <w:tcW w:w="430" w:type="dxa"/>
            <w:tcBorders>
              <w:left w:val="single" w:sz="2" w:space="0" w:color="000000"/>
              <w:right w:val="single" w:sz="2" w:space="0" w:color="000000"/>
            </w:tcBorders>
          </w:tcPr>
          <w:p>
            <w:pPr/>
          </w:p>
        </w:tc>
        <w:tc>
          <w:tcPr>
            <w:tcW w:w="657" w:type="dxa"/>
            <w:tcBorders>
              <w:left w:val="single" w:sz="2" w:space="0" w:color="000000"/>
              <w:right w:val="single" w:sz="2" w:space="0" w:color="000000"/>
            </w:tcBorders>
          </w:tcPr>
          <w:p>
            <w:pPr/>
          </w:p>
        </w:tc>
        <w:tc>
          <w:tcPr>
            <w:tcW w:w="593" w:type="dxa"/>
            <w:tcBorders>
              <w:left w:val="single" w:sz="2" w:space="0" w:color="000000"/>
              <w:right w:val="single" w:sz="2" w:space="0" w:color="000000"/>
            </w:tcBorders>
          </w:tcPr>
          <w:p>
            <w:pPr/>
          </w:p>
        </w:tc>
        <w:tc>
          <w:tcPr>
            <w:tcW w:w="791" w:type="dxa"/>
            <w:tcBorders>
              <w:left w:val="single" w:sz="2" w:space="0" w:color="000000"/>
              <w:right w:val="single" w:sz="2" w:space="0" w:color="000000"/>
            </w:tcBorders>
          </w:tcPr>
          <w:p>
            <w:pPr/>
          </w:p>
        </w:tc>
        <w:tc>
          <w:tcPr>
            <w:tcW w:w="756" w:type="dxa"/>
            <w:tcBorders>
              <w:left w:val="single" w:sz="2" w:space="0" w:color="000000"/>
              <w:right w:val="single" w:sz="2" w:space="0" w:color="000000"/>
            </w:tcBorders>
          </w:tcPr>
          <w:p>
            <w:pPr/>
          </w:p>
        </w:tc>
        <w:tc>
          <w:tcPr>
            <w:tcW w:w="802" w:type="dxa"/>
            <w:tcBorders>
              <w:left w:val="single" w:sz="2" w:space="0" w:color="000000"/>
              <w:right w:val="single" w:sz="2" w:space="0" w:color="000000"/>
            </w:tcBorders>
          </w:tcPr>
          <w:p>
            <w:pPr/>
          </w:p>
        </w:tc>
        <w:tc>
          <w:tcPr>
            <w:tcW w:w="860" w:type="dxa"/>
            <w:tcBorders>
              <w:left w:val="single" w:sz="2" w:space="0" w:color="000000"/>
              <w:right w:val="single" w:sz="2" w:space="0" w:color="000000"/>
            </w:tcBorders>
          </w:tcPr>
          <w:p>
            <w:pPr/>
          </w:p>
        </w:tc>
        <w:tc>
          <w:tcPr>
            <w:tcW w:w="700" w:type="dxa"/>
            <w:tcBorders>
              <w:left w:val="single" w:sz="2" w:space="0" w:color="000000"/>
              <w:right w:val="single" w:sz="5" w:space="0" w:color="000000"/>
            </w:tcBorders>
          </w:tcPr>
          <w:p>
            <w:pPr/>
          </w:p>
        </w:tc>
      </w:tr>
      <w:tr>
        <w:trPr>
          <w:trHeight w:val="91" w:hRule="exact"/>
        </w:trPr>
        <w:tc>
          <w:tcPr>
            <w:tcW w:w="1334" w:type="dxa"/>
            <w:vMerge w:val="restart"/>
            <w:tcBorders>
              <w:left w:val="single" w:sz="2" w:space="0" w:color="000000"/>
            </w:tcBorders>
          </w:tcPr>
          <w:p>
            <w:pPr>
              <w:pStyle w:val="TableParagraph"/>
              <w:jc w:val="left"/>
              <w:rPr>
                <w:sz w:val="6"/>
              </w:rPr>
            </w:pPr>
          </w:p>
          <w:p>
            <w:pPr>
              <w:pStyle w:val="TableParagraph"/>
              <w:spacing w:before="1"/>
              <w:jc w:val="left"/>
              <w:rPr>
                <w:sz w:val="5"/>
              </w:rPr>
            </w:pPr>
          </w:p>
          <w:p>
            <w:pPr>
              <w:pStyle w:val="TableParagraph"/>
              <w:ind w:left="360"/>
              <w:jc w:val="left"/>
              <w:rPr>
                <w:rFonts w:ascii="Calibri" w:hAnsi="Calibri"/>
                <w:sz w:val="7"/>
              </w:rPr>
            </w:pPr>
            <w:r>
              <w:rPr>
                <w:rFonts w:ascii="Calibri" w:hAnsi="Calibri"/>
                <w:sz w:val="7"/>
              </w:rPr>
              <w:t>Ecotegnologías</w:t>
            </w:r>
          </w:p>
        </w:tc>
        <w:tc>
          <w:tcPr>
            <w:tcW w:w="1145" w:type="dxa"/>
            <w:vMerge w:val="restart"/>
          </w:tcPr>
          <w:p>
            <w:pPr>
              <w:pStyle w:val="TableParagraph"/>
              <w:ind w:left="197" w:right="530"/>
              <w:jc w:val="left"/>
              <w:rPr>
                <w:rFonts w:ascii="Calibri" w:hAnsi="Calibri"/>
                <w:sz w:val="7"/>
              </w:rPr>
            </w:pPr>
            <w:r>
              <w:rPr>
                <w:rFonts w:ascii="Calibri" w:hAnsi="Calibri"/>
                <w:sz w:val="7"/>
              </w:rPr>
              <w:t>Vivienda Urbanización Equipamiento Mobiliario</w:t>
            </w:r>
          </w:p>
          <w:p>
            <w:pPr>
              <w:pStyle w:val="TableParagraph"/>
              <w:spacing w:before="1"/>
              <w:ind w:left="546" w:right="253"/>
              <w:jc w:val="left"/>
              <w:rPr>
                <w:rFonts w:ascii="Calibri"/>
                <w:sz w:val="7"/>
              </w:rPr>
            </w:pPr>
            <w:r>
              <w:rPr>
                <w:rFonts w:ascii="Calibri"/>
                <w:sz w:val="7"/>
              </w:rPr>
              <w:t>Subtotal</w:t>
            </w:r>
          </w:p>
        </w:tc>
        <w:tc>
          <w:tcPr>
            <w:tcW w:w="759" w:type="dxa"/>
            <w:tcBorders>
              <w:right w:val="single" w:sz="2" w:space="0" w:color="000000"/>
            </w:tcBorders>
            <w:shd w:val="clear" w:color="auto" w:fill="BAF9F5"/>
          </w:tcPr>
          <w:p>
            <w:pPr>
              <w:pStyle w:val="TableParagraph"/>
              <w:ind w:left="78" w:right="72"/>
              <w:rPr>
                <w:rFonts w:ascii="Calibri"/>
                <w:sz w:val="7"/>
              </w:rPr>
            </w:pPr>
            <w:r>
              <w:rPr>
                <w:rFonts w:ascii="Calibri"/>
                <w:sz w:val="7"/>
              </w:rPr>
              <w:t>0.2</w:t>
            </w:r>
          </w:p>
        </w:tc>
        <w:tc>
          <w:tcPr>
            <w:tcW w:w="430" w:type="dxa"/>
            <w:tcBorders>
              <w:left w:val="single" w:sz="2" w:space="0" w:color="000000"/>
              <w:right w:val="single" w:sz="2" w:space="0" w:color="000000"/>
            </w:tcBorders>
            <w:shd w:val="clear" w:color="auto" w:fill="BAF9F5"/>
          </w:tcPr>
          <w:p>
            <w:pPr>
              <w:pStyle w:val="TableParagraph"/>
              <w:ind w:left="3" w:right="2"/>
              <w:rPr>
                <w:rFonts w:ascii="Calibri"/>
                <w:sz w:val="7"/>
              </w:rPr>
            </w:pPr>
            <w:r>
              <w:rPr>
                <w:rFonts w:ascii="Calibri"/>
                <w:sz w:val="7"/>
              </w:rPr>
              <w:t>0.2</w:t>
            </w:r>
          </w:p>
        </w:tc>
        <w:tc>
          <w:tcPr>
            <w:tcW w:w="657" w:type="dxa"/>
            <w:tcBorders>
              <w:left w:val="single" w:sz="2" w:space="0" w:color="000000"/>
              <w:right w:val="single" w:sz="2" w:space="0" w:color="000000"/>
            </w:tcBorders>
            <w:shd w:val="clear" w:color="auto" w:fill="BAF9F5"/>
          </w:tcPr>
          <w:p>
            <w:pPr>
              <w:pStyle w:val="TableParagraph"/>
              <w:ind w:right="2"/>
              <w:rPr>
                <w:rFonts w:ascii="Calibri"/>
                <w:sz w:val="7"/>
              </w:rPr>
            </w:pPr>
            <w:r>
              <w:rPr>
                <w:rFonts w:ascii="Calibri"/>
                <w:sz w:val="7"/>
              </w:rPr>
              <w:t>0.2</w:t>
            </w:r>
          </w:p>
        </w:tc>
        <w:tc>
          <w:tcPr>
            <w:tcW w:w="593" w:type="dxa"/>
            <w:tcBorders>
              <w:left w:val="single" w:sz="2" w:space="0" w:color="000000"/>
              <w:right w:val="single" w:sz="2" w:space="0" w:color="000000"/>
            </w:tcBorders>
            <w:shd w:val="clear" w:color="auto" w:fill="BAF9F5"/>
          </w:tcPr>
          <w:p>
            <w:pPr>
              <w:pStyle w:val="TableParagraph"/>
              <w:ind w:left="2" w:right="1"/>
              <w:rPr>
                <w:rFonts w:ascii="Calibri"/>
                <w:sz w:val="7"/>
              </w:rPr>
            </w:pPr>
            <w:r>
              <w:rPr>
                <w:rFonts w:ascii="Calibri"/>
                <w:sz w:val="7"/>
              </w:rPr>
              <w:t>0.2</w:t>
            </w:r>
          </w:p>
        </w:tc>
        <w:tc>
          <w:tcPr>
            <w:tcW w:w="791" w:type="dxa"/>
            <w:tcBorders>
              <w:left w:val="single" w:sz="2" w:space="0" w:color="000000"/>
              <w:right w:val="single" w:sz="2" w:space="0" w:color="000000"/>
            </w:tcBorders>
            <w:shd w:val="clear" w:color="auto" w:fill="BAF9F5"/>
          </w:tcPr>
          <w:p>
            <w:pPr>
              <w:pStyle w:val="TableParagraph"/>
              <w:ind w:left="348" w:right="-38"/>
              <w:jc w:val="left"/>
              <w:rPr>
                <w:rFonts w:ascii="Calibri"/>
                <w:sz w:val="7"/>
              </w:rPr>
            </w:pPr>
            <w:r>
              <w:rPr>
                <w:rFonts w:ascii="Calibri"/>
                <w:sz w:val="7"/>
              </w:rPr>
              <w:t>0.2</w:t>
            </w:r>
          </w:p>
        </w:tc>
        <w:tc>
          <w:tcPr>
            <w:tcW w:w="756" w:type="dxa"/>
            <w:tcBorders>
              <w:left w:val="single" w:sz="2" w:space="0" w:color="000000"/>
              <w:right w:val="single" w:sz="2" w:space="0" w:color="000000"/>
            </w:tcBorders>
            <w:shd w:val="clear" w:color="auto" w:fill="BAF9F5"/>
          </w:tcPr>
          <w:p>
            <w:pPr>
              <w:pStyle w:val="TableParagraph"/>
              <w:ind w:right="328"/>
              <w:jc w:val="right"/>
              <w:rPr>
                <w:rFonts w:ascii="Calibri"/>
                <w:sz w:val="7"/>
              </w:rPr>
            </w:pPr>
            <w:r>
              <w:rPr>
                <w:rFonts w:ascii="Calibri"/>
                <w:w w:val="95"/>
                <w:sz w:val="7"/>
              </w:rPr>
              <w:t>0.2</w:t>
            </w:r>
          </w:p>
        </w:tc>
        <w:tc>
          <w:tcPr>
            <w:tcW w:w="802" w:type="dxa"/>
            <w:tcBorders>
              <w:left w:val="single" w:sz="2" w:space="0" w:color="000000"/>
              <w:right w:val="single" w:sz="2" w:space="0" w:color="000000"/>
            </w:tcBorders>
            <w:shd w:val="clear" w:color="auto" w:fill="BAF9F5"/>
          </w:tcPr>
          <w:p>
            <w:pPr>
              <w:pStyle w:val="TableParagraph"/>
              <w:ind w:left="2" w:right="1"/>
              <w:rPr>
                <w:rFonts w:ascii="Calibri"/>
                <w:sz w:val="7"/>
              </w:rPr>
            </w:pPr>
            <w:r>
              <w:rPr>
                <w:rFonts w:ascii="Calibri"/>
                <w:sz w:val="7"/>
              </w:rPr>
              <w:t>0.2</w:t>
            </w:r>
          </w:p>
        </w:tc>
        <w:tc>
          <w:tcPr>
            <w:tcW w:w="860" w:type="dxa"/>
            <w:tcBorders>
              <w:left w:val="single" w:sz="2" w:space="0" w:color="000000"/>
              <w:right w:val="single" w:sz="2" w:space="0" w:color="000000"/>
            </w:tcBorders>
            <w:shd w:val="clear" w:color="auto" w:fill="BAF9F5"/>
          </w:tcPr>
          <w:p>
            <w:pPr>
              <w:pStyle w:val="TableParagraph"/>
              <w:ind w:left="4" w:right="3"/>
              <w:rPr>
                <w:rFonts w:ascii="Calibri"/>
                <w:sz w:val="7"/>
              </w:rPr>
            </w:pPr>
            <w:r>
              <w:rPr>
                <w:rFonts w:ascii="Calibri"/>
                <w:sz w:val="7"/>
              </w:rPr>
              <w:t>0.2</w:t>
            </w:r>
          </w:p>
        </w:tc>
        <w:tc>
          <w:tcPr>
            <w:tcW w:w="700" w:type="dxa"/>
            <w:tcBorders>
              <w:left w:val="single" w:sz="2" w:space="0" w:color="000000"/>
              <w:right w:val="single" w:sz="5" w:space="0" w:color="000000"/>
            </w:tcBorders>
            <w:shd w:val="clear" w:color="auto" w:fill="BAF9F5"/>
          </w:tcPr>
          <w:p>
            <w:pPr>
              <w:pStyle w:val="TableParagraph"/>
              <w:ind w:left="1"/>
              <w:rPr>
                <w:rFonts w:ascii="Calibri"/>
                <w:sz w:val="7"/>
              </w:rPr>
            </w:pPr>
            <w:r>
              <w:rPr>
                <w:rFonts w:ascii="Calibri"/>
                <w:sz w:val="7"/>
              </w:rPr>
              <w:t>0.2</w:t>
            </w:r>
          </w:p>
        </w:tc>
      </w:tr>
      <w:tr>
        <w:trPr>
          <w:trHeight w:val="87" w:hRule="exact"/>
        </w:trPr>
        <w:tc>
          <w:tcPr>
            <w:tcW w:w="1334" w:type="dxa"/>
            <w:vMerge/>
            <w:tcBorders>
              <w:left w:val="single" w:sz="2" w:space="0" w:color="000000"/>
            </w:tcBorders>
          </w:tcPr>
          <w:p>
            <w:pPr/>
          </w:p>
        </w:tc>
        <w:tc>
          <w:tcPr>
            <w:tcW w:w="1145" w:type="dxa"/>
            <w:vMerge/>
          </w:tcPr>
          <w:p>
            <w:pPr/>
          </w:p>
        </w:tc>
        <w:tc>
          <w:tcPr>
            <w:tcW w:w="759" w:type="dxa"/>
            <w:tcBorders>
              <w:right w:val="single" w:sz="2" w:space="0" w:color="000000"/>
            </w:tcBorders>
            <w:shd w:val="clear" w:color="auto" w:fill="BAF9F5"/>
          </w:tcPr>
          <w:p>
            <w:pPr>
              <w:pStyle w:val="TableParagraph"/>
              <w:spacing w:line="82" w:lineRule="exact"/>
              <w:ind w:left="78" w:right="72"/>
              <w:rPr>
                <w:rFonts w:ascii="Calibri"/>
                <w:sz w:val="7"/>
              </w:rPr>
            </w:pPr>
            <w:r>
              <w:rPr>
                <w:rFonts w:ascii="Calibri"/>
                <w:sz w:val="7"/>
              </w:rPr>
              <w:t>0.5</w:t>
            </w:r>
          </w:p>
        </w:tc>
        <w:tc>
          <w:tcPr>
            <w:tcW w:w="430"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657" w:type="dxa"/>
            <w:tcBorders>
              <w:left w:val="single" w:sz="2" w:space="0" w:color="000000"/>
              <w:right w:val="single" w:sz="2" w:space="0" w:color="000000"/>
            </w:tcBorders>
            <w:shd w:val="clear" w:color="auto" w:fill="BAF9F5"/>
          </w:tcPr>
          <w:p>
            <w:pPr>
              <w:pStyle w:val="TableParagraph"/>
              <w:spacing w:line="82" w:lineRule="exact"/>
              <w:ind w:right="2"/>
              <w:rPr>
                <w:rFonts w:ascii="Calibri"/>
                <w:sz w:val="7"/>
              </w:rPr>
            </w:pPr>
            <w:r>
              <w:rPr>
                <w:rFonts w:ascii="Calibri"/>
                <w:sz w:val="7"/>
              </w:rPr>
              <w:t>0.5</w:t>
            </w:r>
          </w:p>
        </w:tc>
        <w:tc>
          <w:tcPr>
            <w:tcW w:w="593"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91" w:type="dxa"/>
            <w:tcBorders>
              <w:left w:val="single" w:sz="2" w:space="0" w:color="000000"/>
              <w:right w:val="single" w:sz="2" w:space="0" w:color="000000"/>
            </w:tcBorders>
            <w:shd w:val="clear" w:color="auto" w:fill="BAF9F5"/>
          </w:tcPr>
          <w:p>
            <w:pPr>
              <w:pStyle w:val="TableParagraph"/>
              <w:spacing w:line="82" w:lineRule="exact"/>
              <w:ind w:left="377"/>
              <w:jc w:val="left"/>
              <w:rPr>
                <w:rFonts w:ascii="Calibri"/>
                <w:sz w:val="7"/>
              </w:rPr>
            </w:pPr>
            <w:r>
              <w:rPr>
                <w:rFonts w:ascii="Calibri"/>
                <w:w w:val="99"/>
                <w:sz w:val="7"/>
              </w:rPr>
              <w:t>0</w:t>
            </w:r>
          </w:p>
        </w:tc>
        <w:tc>
          <w:tcPr>
            <w:tcW w:w="756" w:type="dxa"/>
            <w:tcBorders>
              <w:left w:val="single" w:sz="2" w:space="0" w:color="000000"/>
              <w:right w:val="single" w:sz="2" w:space="0" w:color="000000"/>
            </w:tcBorders>
            <w:shd w:val="clear" w:color="auto" w:fill="BAF9F5"/>
          </w:tcPr>
          <w:p>
            <w:pPr>
              <w:pStyle w:val="TableParagraph"/>
              <w:spacing w:line="82" w:lineRule="exact"/>
              <w:ind w:right="352"/>
              <w:jc w:val="right"/>
              <w:rPr>
                <w:rFonts w:ascii="Calibri"/>
                <w:sz w:val="7"/>
              </w:rPr>
            </w:pPr>
            <w:r>
              <w:rPr>
                <w:rFonts w:ascii="Calibri"/>
                <w:w w:val="99"/>
                <w:sz w:val="7"/>
              </w:rPr>
              <w:t>0</w:t>
            </w:r>
          </w:p>
        </w:tc>
        <w:tc>
          <w:tcPr>
            <w:tcW w:w="802"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860" w:type="dxa"/>
            <w:tcBorders>
              <w:left w:val="single" w:sz="2" w:space="0" w:color="000000"/>
              <w:right w:val="single" w:sz="2" w:space="0" w:color="000000"/>
            </w:tcBorders>
            <w:shd w:val="clear" w:color="auto" w:fill="BAF9F5"/>
          </w:tcPr>
          <w:p>
            <w:pPr>
              <w:pStyle w:val="TableParagraph"/>
              <w:spacing w:line="82" w:lineRule="exact"/>
              <w:ind w:left="4" w:right="3"/>
              <w:rPr>
                <w:rFonts w:ascii="Calibri"/>
                <w:sz w:val="7"/>
              </w:rPr>
            </w:pPr>
            <w:r>
              <w:rPr>
                <w:rFonts w:ascii="Calibri"/>
                <w:sz w:val="7"/>
              </w:rPr>
              <w:t>0.5</w:t>
            </w:r>
          </w:p>
        </w:tc>
        <w:tc>
          <w:tcPr>
            <w:tcW w:w="700" w:type="dxa"/>
            <w:tcBorders>
              <w:left w:val="single" w:sz="2" w:space="0" w:color="000000"/>
              <w:right w:val="single" w:sz="5" w:space="0" w:color="000000"/>
            </w:tcBorders>
            <w:shd w:val="clear" w:color="auto" w:fill="BAF9F5"/>
          </w:tcPr>
          <w:p>
            <w:pPr>
              <w:pStyle w:val="TableParagraph"/>
              <w:spacing w:line="82" w:lineRule="exact"/>
              <w:ind w:left="6"/>
              <w:rPr>
                <w:rFonts w:ascii="Calibri"/>
                <w:sz w:val="7"/>
              </w:rPr>
            </w:pPr>
            <w:r>
              <w:rPr>
                <w:rFonts w:ascii="Calibri"/>
                <w:w w:val="99"/>
                <w:sz w:val="7"/>
              </w:rPr>
              <w:t>0</w:t>
            </w:r>
          </w:p>
        </w:tc>
      </w:tr>
      <w:tr>
        <w:trPr>
          <w:trHeight w:val="87" w:hRule="exact"/>
        </w:trPr>
        <w:tc>
          <w:tcPr>
            <w:tcW w:w="1334" w:type="dxa"/>
            <w:vMerge/>
            <w:tcBorders>
              <w:left w:val="single" w:sz="2" w:space="0" w:color="000000"/>
            </w:tcBorders>
          </w:tcPr>
          <w:p>
            <w:pPr/>
          </w:p>
        </w:tc>
        <w:tc>
          <w:tcPr>
            <w:tcW w:w="1145" w:type="dxa"/>
            <w:vMerge/>
          </w:tcPr>
          <w:p>
            <w:pPr/>
          </w:p>
        </w:tc>
        <w:tc>
          <w:tcPr>
            <w:tcW w:w="759" w:type="dxa"/>
            <w:tcBorders>
              <w:right w:val="single" w:sz="2" w:space="0" w:color="000000"/>
            </w:tcBorders>
            <w:shd w:val="clear" w:color="auto" w:fill="BAF9F5"/>
          </w:tcPr>
          <w:p>
            <w:pPr>
              <w:pStyle w:val="TableParagraph"/>
              <w:spacing w:line="82" w:lineRule="exact"/>
              <w:ind w:left="12"/>
              <w:rPr>
                <w:rFonts w:ascii="Calibri"/>
                <w:sz w:val="7"/>
              </w:rPr>
            </w:pPr>
            <w:r>
              <w:rPr>
                <w:rFonts w:ascii="Calibri"/>
                <w:w w:val="99"/>
                <w:sz w:val="7"/>
              </w:rPr>
              <w:t>0</w:t>
            </w:r>
          </w:p>
        </w:tc>
        <w:tc>
          <w:tcPr>
            <w:tcW w:w="430"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657" w:type="dxa"/>
            <w:tcBorders>
              <w:left w:val="single" w:sz="2" w:space="0" w:color="000000"/>
              <w:right w:val="single" w:sz="2" w:space="0" w:color="000000"/>
            </w:tcBorders>
            <w:shd w:val="clear" w:color="auto" w:fill="BAF9F5"/>
          </w:tcPr>
          <w:p>
            <w:pPr>
              <w:pStyle w:val="TableParagraph"/>
              <w:spacing w:line="82" w:lineRule="exact"/>
              <w:rPr>
                <w:rFonts w:ascii="Calibri"/>
                <w:sz w:val="7"/>
              </w:rPr>
            </w:pPr>
            <w:r>
              <w:rPr>
                <w:rFonts w:ascii="Calibri"/>
                <w:w w:val="99"/>
                <w:sz w:val="7"/>
              </w:rPr>
              <w:t>0</w:t>
            </w:r>
          </w:p>
        </w:tc>
        <w:tc>
          <w:tcPr>
            <w:tcW w:w="593"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91" w:type="dxa"/>
            <w:tcBorders>
              <w:left w:val="single" w:sz="2" w:space="0" w:color="000000"/>
              <w:right w:val="single" w:sz="2" w:space="0" w:color="000000"/>
            </w:tcBorders>
            <w:shd w:val="clear" w:color="auto" w:fill="BAF9F5"/>
          </w:tcPr>
          <w:p>
            <w:pPr>
              <w:pStyle w:val="TableParagraph"/>
              <w:spacing w:line="82" w:lineRule="exact"/>
              <w:ind w:left="377"/>
              <w:jc w:val="left"/>
              <w:rPr>
                <w:rFonts w:ascii="Calibri"/>
                <w:sz w:val="7"/>
              </w:rPr>
            </w:pPr>
            <w:r>
              <w:rPr>
                <w:rFonts w:ascii="Calibri"/>
                <w:w w:val="99"/>
                <w:sz w:val="7"/>
              </w:rPr>
              <w:t>0</w:t>
            </w:r>
          </w:p>
        </w:tc>
        <w:tc>
          <w:tcPr>
            <w:tcW w:w="756" w:type="dxa"/>
            <w:tcBorders>
              <w:left w:val="single" w:sz="2" w:space="0" w:color="000000"/>
              <w:right w:val="single" w:sz="2" w:space="0" w:color="000000"/>
            </w:tcBorders>
            <w:shd w:val="clear" w:color="auto" w:fill="BAF9F5"/>
          </w:tcPr>
          <w:p>
            <w:pPr>
              <w:pStyle w:val="TableParagraph"/>
              <w:spacing w:line="82" w:lineRule="exact"/>
              <w:ind w:right="352"/>
              <w:jc w:val="right"/>
              <w:rPr>
                <w:rFonts w:ascii="Calibri"/>
                <w:sz w:val="7"/>
              </w:rPr>
            </w:pPr>
            <w:r>
              <w:rPr>
                <w:rFonts w:ascii="Calibri"/>
                <w:w w:val="99"/>
                <w:sz w:val="7"/>
              </w:rPr>
              <w:t>0</w:t>
            </w:r>
          </w:p>
        </w:tc>
        <w:tc>
          <w:tcPr>
            <w:tcW w:w="802"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860"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00" w:type="dxa"/>
            <w:tcBorders>
              <w:left w:val="single" w:sz="2" w:space="0" w:color="000000"/>
              <w:right w:val="single" w:sz="5" w:space="0" w:color="000000"/>
            </w:tcBorders>
            <w:shd w:val="clear" w:color="auto" w:fill="BAF9F5"/>
          </w:tcPr>
          <w:p>
            <w:pPr>
              <w:pStyle w:val="TableParagraph"/>
              <w:spacing w:line="82" w:lineRule="exact"/>
              <w:ind w:left="6"/>
              <w:rPr>
                <w:rFonts w:ascii="Calibri"/>
                <w:sz w:val="7"/>
              </w:rPr>
            </w:pPr>
            <w:r>
              <w:rPr>
                <w:rFonts w:ascii="Calibri"/>
                <w:w w:val="99"/>
                <w:sz w:val="7"/>
              </w:rPr>
              <w:t>0</w:t>
            </w:r>
          </w:p>
        </w:tc>
      </w:tr>
      <w:tr>
        <w:trPr>
          <w:trHeight w:val="86" w:hRule="exact"/>
        </w:trPr>
        <w:tc>
          <w:tcPr>
            <w:tcW w:w="1334" w:type="dxa"/>
            <w:vMerge/>
            <w:tcBorders>
              <w:left w:val="single" w:sz="2" w:space="0" w:color="000000"/>
            </w:tcBorders>
          </w:tcPr>
          <w:p>
            <w:pPr/>
          </w:p>
        </w:tc>
        <w:tc>
          <w:tcPr>
            <w:tcW w:w="1145" w:type="dxa"/>
            <w:vMerge/>
          </w:tcPr>
          <w:p>
            <w:pPr/>
          </w:p>
        </w:tc>
        <w:tc>
          <w:tcPr>
            <w:tcW w:w="759" w:type="dxa"/>
            <w:tcBorders>
              <w:bottom w:val="single" w:sz="2" w:space="0" w:color="FFFFFF"/>
              <w:right w:val="single" w:sz="2" w:space="0" w:color="000000"/>
            </w:tcBorders>
            <w:shd w:val="clear" w:color="auto" w:fill="BAF9F5"/>
          </w:tcPr>
          <w:p>
            <w:pPr>
              <w:pStyle w:val="TableParagraph"/>
              <w:spacing w:line="82" w:lineRule="exact"/>
              <w:ind w:left="12"/>
              <w:rPr>
                <w:rFonts w:ascii="Calibri"/>
                <w:sz w:val="7"/>
              </w:rPr>
            </w:pPr>
            <w:r>
              <w:rPr>
                <w:rFonts w:ascii="Calibri"/>
                <w:w w:val="99"/>
                <w:sz w:val="7"/>
              </w:rPr>
              <w:t>0</w:t>
            </w:r>
          </w:p>
        </w:tc>
        <w:tc>
          <w:tcPr>
            <w:tcW w:w="43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657" w:type="dxa"/>
            <w:tcBorders>
              <w:left w:val="single" w:sz="2" w:space="0" w:color="000000"/>
              <w:bottom w:val="single" w:sz="2" w:space="0" w:color="FFFFFF"/>
              <w:right w:val="single" w:sz="2" w:space="0" w:color="000000"/>
            </w:tcBorders>
            <w:shd w:val="clear" w:color="auto" w:fill="BAF9F5"/>
          </w:tcPr>
          <w:p>
            <w:pPr>
              <w:pStyle w:val="TableParagraph"/>
              <w:spacing w:line="82" w:lineRule="exact"/>
              <w:rPr>
                <w:rFonts w:ascii="Calibri"/>
                <w:sz w:val="7"/>
              </w:rPr>
            </w:pPr>
            <w:r>
              <w:rPr>
                <w:rFonts w:ascii="Calibri"/>
                <w:w w:val="99"/>
                <w:sz w:val="7"/>
              </w:rPr>
              <w:t>0</w:t>
            </w:r>
          </w:p>
        </w:tc>
        <w:tc>
          <w:tcPr>
            <w:tcW w:w="593"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91"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377"/>
              <w:jc w:val="left"/>
              <w:rPr>
                <w:rFonts w:ascii="Calibri"/>
                <w:sz w:val="7"/>
              </w:rPr>
            </w:pPr>
            <w:r>
              <w:rPr>
                <w:rFonts w:ascii="Calibri"/>
                <w:w w:val="99"/>
                <w:sz w:val="7"/>
              </w:rPr>
              <w:t>0</w:t>
            </w:r>
          </w:p>
        </w:tc>
        <w:tc>
          <w:tcPr>
            <w:tcW w:w="756"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right="352"/>
              <w:jc w:val="right"/>
              <w:rPr>
                <w:rFonts w:ascii="Calibri"/>
                <w:sz w:val="7"/>
              </w:rPr>
            </w:pPr>
            <w:r>
              <w:rPr>
                <w:rFonts w:ascii="Calibri"/>
                <w:w w:val="99"/>
                <w:sz w:val="7"/>
              </w:rPr>
              <w:t>0</w:t>
            </w:r>
          </w:p>
        </w:tc>
        <w:tc>
          <w:tcPr>
            <w:tcW w:w="802"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86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00" w:type="dxa"/>
            <w:tcBorders>
              <w:left w:val="single" w:sz="2" w:space="0" w:color="000000"/>
              <w:bottom w:val="single" w:sz="2" w:space="0" w:color="FFFFFF"/>
              <w:right w:val="single" w:sz="5" w:space="0" w:color="000000"/>
            </w:tcBorders>
            <w:shd w:val="clear" w:color="auto" w:fill="BAF9F5"/>
          </w:tcPr>
          <w:p>
            <w:pPr>
              <w:pStyle w:val="TableParagraph"/>
              <w:spacing w:line="82" w:lineRule="exact"/>
              <w:ind w:left="6"/>
              <w:rPr>
                <w:rFonts w:ascii="Calibri"/>
                <w:sz w:val="7"/>
              </w:rPr>
            </w:pPr>
            <w:r>
              <w:rPr>
                <w:rFonts w:ascii="Calibri"/>
                <w:w w:val="99"/>
                <w:sz w:val="7"/>
              </w:rPr>
              <w:t>0</w:t>
            </w:r>
          </w:p>
        </w:tc>
      </w:tr>
      <w:tr>
        <w:trPr>
          <w:trHeight w:val="90" w:hRule="exact"/>
        </w:trPr>
        <w:tc>
          <w:tcPr>
            <w:tcW w:w="1334" w:type="dxa"/>
            <w:vMerge/>
            <w:tcBorders>
              <w:left w:val="single" w:sz="2" w:space="0" w:color="000000"/>
            </w:tcBorders>
          </w:tcPr>
          <w:p>
            <w:pPr/>
          </w:p>
        </w:tc>
        <w:tc>
          <w:tcPr>
            <w:tcW w:w="1145" w:type="dxa"/>
            <w:vMerge/>
          </w:tcPr>
          <w:p>
            <w:pPr/>
          </w:p>
        </w:tc>
        <w:tc>
          <w:tcPr>
            <w:tcW w:w="759" w:type="dxa"/>
            <w:tcBorders>
              <w:top w:val="single" w:sz="2" w:space="0" w:color="FFFFFF"/>
              <w:right w:val="single" w:sz="2" w:space="0" w:color="000000"/>
            </w:tcBorders>
            <w:shd w:val="clear" w:color="auto" w:fill="F79646"/>
          </w:tcPr>
          <w:p>
            <w:pPr>
              <w:pStyle w:val="TableParagraph"/>
              <w:spacing w:line="80" w:lineRule="exact"/>
              <w:ind w:left="78" w:right="72"/>
              <w:rPr>
                <w:rFonts w:ascii="Calibri"/>
                <w:sz w:val="7"/>
              </w:rPr>
            </w:pPr>
            <w:r>
              <w:rPr>
                <w:rFonts w:ascii="Calibri"/>
                <w:sz w:val="7"/>
              </w:rPr>
              <w:t>0.7</w:t>
            </w:r>
          </w:p>
        </w:tc>
        <w:tc>
          <w:tcPr>
            <w:tcW w:w="43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3" w:right="2"/>
              <w:rPr>
                <w:rFonts w:ascii="Calibri"/>
                <w:sz w:val="7"/>
              </w:rPr>
            </w:pPr>
            <w:r>
              <w:rPr>
                <w:rFonts w:ascii="Calibri"/>
                <w:sz w:val="7"/>
              </w:rPr>
              <w:t>0.2</w:t>
            </w:r>
          </w:p>
        </w:tc>
        <w:tc>
          <w:tcPr>
            <w:tcW w:w="657" w:type="dxa"/>
            <w:tcBorders>
              <w:top w:val="single" w:sz="2" w:space="0" w:color="FFFFFF"/>
              <w:left w:val="single" w:sz="2" w:space="0" w:color="000000"/>
              <w:right w:val="single" w:sz="2" w:space="0" w:color="000000"/>
            </w:tcBorders>
            <w:shd w:val="clear" w:color="auto" w:fill="F79646"/>
          </w:tcPr>
          <w:p>
            <w:pPr>
              <w:pStyle w:val="TableParagraph"/>
              <w:spacing w:line="80" w:lineRule="exact"/>
              <w:ind w:right="2"/>
              <w:rPr>
                <w:rFonts w:ascii="Calibri"/>
                <w:sz w:val="7"/>
              </w:rPr>
            </w:pPr>
            <w:r>
              <w:rPr>
                <w:rFonts w:ascii="Calibri"/>
                <w:sz w:val="7"/>
              </w:rPr>
              <w:t>0.7</w:t>
            </w:r>
          </w:p>
        </w:tc>
        <w:tc>
          <w:tcPr>
            <w:tcW w:w="593"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2" w:right="1"/>
              <w:rPr>
                <w:rFonts w:ascii="Calibri"/>
                <w:sz w:val="7"/>
              </w:rPr>
            </w:pPr>
            <w:r>
              <w:rPr>
                <w:rFonts w:ascii="Calibri"/>
                <w:sz w:val="7"/>
              </w:rPr>
              <w:t>0.2</w:t>
            </w:r>
          </w:p>
        </w:tc>
        <w:tc>
          <w:tcPr>
            <w:tcW w:w="791"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348" w:right="-38"/>
              <w:jc w:val="left"/>
              <w:rPr>
                <w:rFonts w:ascii="Calibri"/>
                <w:sz w:val="7"/>
              </w:rPr>
            </w:pPr>
            <w:r>
              <w:rPr>
                <w:rFonts w:ascii="Calibri"/>
                <w:sz w:val="7"/>
              </w:rPr>
              <w:t>0.2</w:t>
            </w:r>
          </w:p>
        </w:tc>
        <w:tc>
          <w:tcPr>
            <w:tcW w:w="756" w:type="dxa"/>
            <w:tcBorders>
              <w:top w:val="single" w:sz="2" w:space="0" w:color="FFFFFF"/>
              <w:left w:val="single" w:sz="2" w:space="0" w:color="000000"/>
              <w:right w:val="single" w:sz="2" w:space="0" w:color="000000"/>
            </w:tcBorders>
            <w:shd w:val="clear" w:color="auto" w:fill="F79646"/>
          </w:tcPr>
          <w:p>
            <w:pPr>
              <w:pStyle w:val="TableParagraph"/>
              <w:spacing w:line="80" w:lineRule="exact"/>
              <w:ind w:right="328"/>
              <w:jc w:val="right"/>
              <w:rPr>
                <w:rFonts w:ascii="Calibri"/>
                <w:sz w:val="7"/>
              </w:rPr>
            </w:pPr>
            <w:r>
              <w:rPr>
                <w:rFonts w:ascii="Calibri"/>
                <w:w w:val="95"/>
                <w:sz w:val="7"/>
              </w:rPr>
              <w:t>0.2</w:t>
            </w:r>
          </w:p>
        </w:tc>
        <w:tc>
          <w:tcPr>
            <w:tcW w:w="802"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2" w:right="1"/>
              <w:rPr>
                <w:rFonts w:ascii="Calibri"/>
                <w:sz w:val="7"/>
              </w:rPr>
            </w:pPr>
            <w:r>
              <w:rPr>
                <w:rFonts w:ascii="Calibri"/>
                <w:sz w:val="7"/>
              </w:rPr>
              <w:t>0.2</w:t>
            </w:r>
          </w:p>
        </w:tc>
        <w:tc>
          <w:tcPr>
            <w:tcW w:w="86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4" w:right="3"/>
              <w:rPr>
                <w:rFonts w:ascii="Calibri"/>
                <w:sz w:val="7"/>
              </w:rPr>
            </w:pPr>
            <w:r>
              <w:rPr>
                <w:rFonts w:ascii="Calibri"/>
                <w:sz w:val="7"/>
              </w:rPr>
              <w:t>0.7</w:t>
            </w:r>
          </w:p>
        </w:tc>
        <w:tc>
          <w:tcPr>
            <w:tcW w:w="700" w:type="dxa"/>
            <w:tcBorders>
              <w:top w:val="single" w:sz="2" w:space="0" w:color="FFFFFF"/>
              <w:left w:val="single" w:sz="2" w:space="0" w:color="000000"/>
              <w:right w:val="single" w:sz="5" w:space="0" w:color="000000"/>
            </w:tcBorders>
            <w:shd w:val="clear" w:color="auto" w:fill="F79646"/>
          </w:tcPr>
          <w:p>
            <w:pPr>
              <w:pStyle w:val="TableParagraph"/>
              <w:spacing w:line="80" w:lineRule="exact"/>
              <w:ind w:left="1"/>
              <w:rPr>
                <w:rFonts w:ascii="Calibri"/>
                <w:sz w:val="7"/>
              </w:rPr>
            </w:pPr>
            <w:r>
              <w:rPr>
                <w:rFonts w:ascii="Calibri"/>
                <w:sz w:val="7"/>
              </w:rPr>
              <w:t>0.2</w:t>
            </w:r>
          </w:p>
        </w:tc>
      </w:tr>
      <w:tr>
        <w:trPr>
          <w:trHeight w:val="81" w:hRule="exact"/>
        </w:trPr>
        <w:tc>
          <w:tcPr>
            <w:tcW w:w="3238" w:type="dxa"/>
            <w:gridSpan w:val="3"/>
            <w:tcBorders>
              <w:left w:val="single" w:sz="2" w:space="0" w:color="000000"/>
              <w:right w:val="single" w:sz="2" w:space="0" w:color="000000"/>
            </w:tcBorders>
          </w:tcPr>
          <w:p>
            <w:pPr/>
          </w:p>
        </w:tc>
        <w:tc>
          <w:tcPr>
            <w:tcW w:w="430" w:type="dxa"/>
            <w:tcBorders>
              <w:left w:val="single" w:sz="2" w:space="0" w:color="000000"/>
              <w:right w:val="single" w:sz="2" w:space="0" w:color="000000"/>
            </w:tcBorders>
          </w:tcPr>
          <w:p>
            <w:pPr/>
          </w:p>
        </w:tc>
        <w:tc>
          <w:tcPr>
            <w:tcW w:w="657" w:type="dxa"/>
            <w:tcBorders>
              <w:left w:val="single" w:sz="2" w:space="0" w:color="000000"/>
              <w:right w:val="single" w:sz="2" w:space="0" w:color="000000"/>
            </w:tcBorders>
          </w:tcPr>
          <w:p>
            <w:pPr/>
          </w:p>
        </w:tc>
        <w:tc>
          <w:tcPr>
            <w:tcW w:w="593" w:type="dxa"/>
            <w:tcBorders>
              <w:left w:val="single" w:sz="2" w:space="0" w:color="000000"/>
              <w:right w:val="single" w:sz="2" w:space="0" w:color="000000"/>
            </w:tcBorders>
          </w:tcPr>
          <w:p>
            <w:pPr/>
          </w:p>
        </w:tc>
        <w:tc>
          <w:tcPr>
            <w:tcW w:w="791" w:type="dxa"/>
            <w:tcBorders>
              <w:left w:val="single" w:sz="2" w:space="0" w:color="000000"/>
              <w:right w:val="single" w:sz="2" w:space="0" w:color="000000"/>
            </w:tcBorders>
          </w:tcPr>
          <w:p>
            <w:pPr/>
          </w:p>
        </w:tc>
        <w:tc>
          <w:tcPr>
            <w:tcW w:w="756" w:type="dxa"/>
            <w:tcBorders>
              <w:left w:val="single" w:sz="2" w:space="0" w:color="000000"/>
              <w:right w:val="single" w:sz="2" w:space="0" w:color="000000"/>
            </w:tcBorders>
          </w:tcPr>
          <w:p>
            <w:pPr/>
          </w:p>
        </w:tc>
        <w:tc>
          <w:tcPr>
            <w:tcW w:w="802" w:type="dxa"/>
            <w:tcBorders>
              <w:left w:val="single" w:sz="2" w:space="0" w:color="000000"/>
              <w:right w:val="single" w:sz="2" w:space="0" w:color="000000"/>
            </w:tcBorders>
          </w:tcPr>
          <w:p>
            <w:pPr/>
          </w:p>
        </w:tc>
        <w:tc>
          <w:tcPr>
            <w:tcW w:w="860" w:type="dxa"/>
            <w:tcBorders>
              <w:left w:val="single" w:sz="2" w:space="0" w:color="000000"/>
              <w:right w:val="single" w:sz="2" w:space="0" w:color="000000"/>
            </w:tcBorders>
          </w:tcPr>
          <w:p>
            <w:pPr/>
          </w:p>
        </w:tc>
        <w:tc>
          <w:tcPr>
            <w:tcW w:w="700" w:type="dxa"/>
            <w:tcBorders>
              <w:left w:val="single" w:sz="2" w:space="0" w:color="000000"/>
              <w:right w:val="single" w:sz="5" w:space="0" w:color="000000"/>
            </w:tcBorders>
          </w:tcPr>
          <w:p>
            <w:pPr/>
          </w:p>
        </w:tc>
      </w:tr>
      <w:tr>
        <w:trPr>
          <w:trHeight w:val="91" w:hRule="exact"/>
        </w:trPr>
        <w:tc>
          <w:tcPr>
            <w:tcW w:w="1334" w:type="dxa"/>
            <w:vMerge w:val="restart"/>
            <w:tcBorders>
              <w:left w:val="single" w:sz="2" w:space="0" w:color="000000"/>
            </w:tcBorders>
          </w:tcPr>
          <w:p>
            <w:pPr>
              <w:pStyle w:val="TableParagraph"/>
              <w:spacing w:before="41"/>
              <w:ind w:left="360"/>
              <w:jc w:val="left"/>
              <w:rPr>
                <w:rFonts w:ascii="Calibri" w:hAnsi="Calibri"/>
                <w:sz w:val="7"/>
              </w:rPr>
            </w:pPr>
            <w:r>
              <w:rPr>
                <w:rFonts w:ascii="Calibri" w:hAnsi="Calibri"/>
                <w:sz w:val="7"/>
              </w:rPr>
              <w:t>Educación ambiental</w:t>
            </w:r>
          </w:p>
        </w:tc>
        <w:tc>
          <w:tcPr>
            <w:tcW w:w="1145" w:type="dxa"/>
            <w:vMerge w:val="restart"/>
          </w:tcPr>
          <w:p>
            <w:pPr>
              <w:pStyle w:val="TableParagraph"/>
              <w:ind w:left="197" w:right="622"/>
              <w:jc w:val="left"/>
              <w:rPr>
                <w:rFonts w:ascii="Calibri"/>
                <w:sz w:val="7"/>
              </w:rPr>
            </w:pPr>
            <w:r>
              <w:rPr>
                <w:rFonts w:ascii="Calibri"/>
                <w:sz w:val="7"/>
              </w:rPr>
              <w:t>Planes Programas</w:t>
            </w:r>
          </w:p>
          <w:p>
            <w:pPr>
              <w:pStyle w:val="TableParagraph"/>
              <w:spacing w:before="1"/>
              <w:ind w:left="546" w:right="253"/>
              <w:jc w:val="left"/>
              <w:rPr>
                <w:rFonts w:ascii="Calibri"/>
                <w:sz w:val="7"/>
              </w:rPr>
            </w:pPr>
            <w:r>
              <w:rPr>
                <w:rFonts w:ascii="Calibri"/>
                <w:sz w:val="7"/>
              </w:rPr>
              <w:t>Subtotal</w:t>
            </w:r>
          </w:p>
        </w:tc>
        <w:tc>
          <w:tcPr>
            <w:tcW w:w="759" w:type="dxa"/>
            <w:tcBorders>
              <w:right w:val="single" w:sz="2" w:space="0" w:color="000000"/>
            </w:tcBorders>
            <w:shd w:val="clear" w:color="auto" w:fill="BAF9F5"/>
          </w:tcPr>
          <w:p>
            <w:pPr>
              <w:pStyle w:val="TableParagraph"/>
              <w:ind w:left="12"/>
              <w:rPr>
                <w:rFonts w:ascii="Calibri"/>
                <w:sz w:val="7"/>
              </w:rPr>
            </w:pPr>
            <w:r>
              <w:rPr>
                <w:rFonts w:ascii="Calibri"/>
                <w:w w:val="99"/>
                <w:sz w:val="7"/>
              </w:rPr>
              <w:t>0</w:t>
            </w:r>
          </w:p>
        </w:tc>
        <w:tc>
          <w:tcPr>
            <w:tcW w:w="430"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0</w:t>
            </w:r>
          </w:p>
        </w:tc>
        <w:tc>
          <w:tcPr>
            <w:tcW w:w="657" w:type="dxa"/>
            <w:tcBorders>
              <w:left w:val="single" w:sz="2" w:space="0" w:color="000000"/>
              <w:right w:val="single" w:sz="2" w:space="0" w:color="000000"/>
            </w:tcBorders>
            <w:shd w:val="clear" w:color="auto" w:fill="BAF9F5"/>
          </w:tcPr>
          <w:p>
            <w:pPr>
              <w:pStyle w:val="TableParagraph"/>
              <w:rPr>
                <w:rFonts w:ascii="Calibri"/>
                <w:sz w:val="7"/>
              </w:rPr>
            </w:pPr>
            <w:r>
              <w:rPr>
                <w:rFonts w:ascii="Calibri"/>
                <w:w w:val="99"/>
                <w:sz w:val="7"/>
              </w:rPr>
              <w:t>0</w:t>
            </w:r>
          </w:p>
        </w:tc>
        <w:tc>
          <w:tcPr>
            <w:tcW w:w="593"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0</w:t>
            </w:r>
          </w:p>
        </w:tc>
        <w:tc>
          <w:tcPr>
            <w:tcW w:w="791" w:type="dxa"/>
            <w:tcBorders>
              <w:left w:val="single" w:sz="2" w:space="0" w:color="000000"/>
              <w:right w:val="single" w:sz="2" w:space="0" w:color="000000"/>
            </w:tcBorders>
            <w:shd w:val="clear" w:color="auto" w:fill="BAF9F5"/>
          </w:tcPr>
          <w:p>
            <w:pPr>
              <w:pStyle w:val="TableParagraph"/>
              <w:ind w:left="377"/>
              <w:jc w:val="left"/>
              <w:rPr>
                <w:rFonts w:ascii="Calibri"/>
                <w:sz w:val="7"/>
              </w:rPr>
            </w:pPr>
            <w:r>
              <w:rPr>
                <w:rFonts w:ascii="Calibri"/>
                <w:w w:val="99"/>
                <w:sz w:val="7"/>
              </w:rPr>
              <w:t>0</w:t>
            </w:r>
          </w:p>
        </w:tc>
        <w:tc>
          <w:tcPr>
            <w:tcW w:w="756" w:type="dxa"/>
            <w:tcBorders>
              <w:left w:val="single" w:sz="2" w:space="0" w:color="000000"/>
              <w:right w:val="single" w:sz="2" w:space="0" w:color="000000"/>
            </w:tcBorders>
            <w:shd w:val="clear" w:color="auto" w:fill="BAF9F5"/>
          </w:tcPr>
          <w:p>
            <w:pPr>
              <w:pStyle w:val="TableParagraph"/>
              <w:ind w:right="352"/>
              <w:jc w:val="right"/>
              <w:rPr>
                <w:rFonts w:ascii="Calibri"/>
                <w:sz w:val="7"/>
              </w:rPr>
            </w:pPr>
            <w:r>
              <w:rPr>
                <w:rFonts w:ascii="Calibri"/>
                <w:w w:val="99"/>
                <w:sz w:val="7"/>
              </w:rPr>
              <w:t>0</w:t>
            </w:r>
          </w:p>
        </w:tc>
        <w:tc>
          <w:tcPr>
            <w:tcW w:w="802"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0</w:t>
            </w:r>
          </w:p>
        </w:tc>
        <w:tc>
          <w:tcPr>
            <w:tcW w:w="860"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0</w:t>
            </w:r>
          </w:p>
        </w:tc>
        <w:tc>
          <w:tcPr>
            <w:tcW w:w="700" w:type="dxa"/>
            <w:tcBorders>
              <w:left w:val="single" w:sz="2" w:space="0" w:color="000000"/>
              <w:right w:val="single" w:sz="5" w:space="0" w:color="000000"/>
            </w:tcBorders>
            <w:shd w:val="clear" w:color="auto" w:fill="BAF9F5"/>
          </w:tcPr>
          <w:p>
            <w:pPr>
              <w:pStyle w:val="TableParagraph"/>
              <w:ind w:left="6"/>
              <w:rPr>
                <w:rFonts w:ascii="Calibri"/>
                <w:sz w:val="7"/>
              </w:rPr>
            </w:pPr>
            <w:r>
              <w:rPr>
                <w:rFonts w:ascii="Calibri"/>
                <w:w w:val="99"/>
                <w:sz w:val="7"/>
              </w:rPr>
              <w:t>0</w:t>
            </w:r>
          </w:p>
        </w:tc>
      </w:tr>
      <w:tr>
        <w:trPr>
          <w:trHeight w:val="86" w:hRule="exact"/>
        </w:trPr>
        <w:tc>
          <w:tcPr>
            <w:tcW w:w="1334" w:type="dxa"/>
            <w:vMerge/>
            <w:tcBorders>
              <w:left w:val="single" w:sz="2" w:space="0" w:color="000000"/>
            </w:tcBorders>
          </w:tcPr>
          <w:p>
            <w:pPr/>
          </w:p>
        </w:tc>
        <w:tc>
          <w:tcPr>
            <w:tcW w:w="1145" w:type="dxa"/>
            <w:vMerge/>
          </w:tcPr>
          <w:p>
            <w:pPr/>
          </w:p>
        </w:tc>
        <w:tc>
          <w:tcPr>
            <w:tcW w:w="759" w:type="dxa"/>
            <w:tcBorders>
              <w:bottom w:val="single" w:sz="2" w:space="0" w:color="FFFFFF"/>
              <w:right w:val="single" w:sz="2" w:space="0" w:color="000000"/>
            </w:tcBorders>
            <w:shd w:val="clear" w:color="auto" w:fill="BAF9F5"/>
          </w:tcPr>
          <w:p>
            <w:pPr>
              <w:pStyle w:val="TableParagraph"/>
              <w:spacing w:line="82" w:lineRule="exact"/>
              <w:ind w:left="12"/>
              <w:rPr>
                <w:rFonts w:ascii="Calibri"/>
                <w:sz w:val="7"/>
              </w:rPr>
            </w:pPr>
            <w:r>
              <w:rPr>
                <w:rFonts w:ascii="Calibri"/>
                <w:w w:val="99"/>
                <w:sz w:val="7"/>
              </w:rPr>
              <w:t>0</w:t>
            </w:r>
          </w:p>
        </w:tc>
        <w:tc>
          <w:tcPr>
            <w:tcW w:w="43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657" w:type="dxa"/>
            <w:tcBorders>
              <w:left w:val="single" w:sz="2" w:space="0" w:color="000000"/>
              <w:bottom w:val="single" w:sz="2" w:space="0" w:color="FFFFFF"/>
              <w:right w:val="single" w:sz="2" w:space="0" w:color="000000"/>
            </w:tcBorders>
            <w:shd w:val="clear" w:color="auto" w:fill="BAF9F5"/>
          </w:tcPr>
          <w:p>
            <w:pPr>
              <w:pStyle w:val="TableParagraph"/>
              <w:spacing w:line="82" w:lineRule="exact"/>
              <w:rPr>
                <w:rFonts w:ascii="Calibri"/>
                <w:sz w:val="7"/>
              </w:rPr>
            </w:pPr>
            <w:r>
              <w:rPr>
                <w:rFonts w:ascii="Calibri"/>
                <w:w w:val="99"/>
                <w:sz w:val="7"/>
              </w:rPr>
              <w:t>0</w:t>
            </w:r>
          </w:p>
        </w:tc>
        <w:tc>
          <w:tcPr>
            <w:tcW w:w="593"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91"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377"/>
              <w:jc w:val="left"/>
              <w:rPr>
                <w:rFonts w:ascii="Calibri"/>
                <w:sz w:val="7"/>
              </w:rPr>
            </w:pPr>
            <w:r>
              <w:rPr>
                <w:rFonts w:ascii="Calibri"/>
                <w:w w:val="99"/>
                <w:sz w:val="7"/>
              </w:rPr>
              <w:t>0</w:t>
            </w:r>
          </w:p>
        </w:tc>
        <w:tc>
          <w:tcPr>
            <w:tcW w:w="756"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right="352"/>
              <w:jc w:val="right"/>
              <w:rPr>
                <w:rFonts w:ascii="Calibri"/>
                <w:sz w:val="7"/>
              </w:rPr>
            </w:pPr>
            <w:r>
              <w:rPr>
                <w:rFonts w:ascii="Calibri"/>
                <w:w w:val="99"/>
                <w:sz w:val="7"/>
              </w:rPr>
              <w:t>0</w:t>
            </w:r>
          </w:p>
        </w:tc>
        <w:tc>
          <w:tcPr>
            <w:tcW w:w="802"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86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00" w:type="dxa"/>
            <w:tcBorders>
              <w:left w:val="single" w:sz="2" w:space="0" w:color="000000"/>
              <w:bottom w:val="single" w:sz="2" w:space="0" w:color="FFFFFF"/>
              <w:right w:val="single" w:sz="5" w:space="0" w:color="000000"/>
            </w:tcBorders>
            <w:shd w:val="clear" w:color="auto" w:fill="BAF9F5"/>
          </w:tcPr>
          <w:p>
            <w:pPr>
              <w:pStyle w:val="TableParagraph"/>
              <w:spacing w:line="82" w:lineRule="exact"/>
              <w:ind w:left="6"/>
              <w:rPr>
                <w:rFonts w:ascii="Calibri"/>
                <w:sz w:val="7"/>
              </w:rPr>
            </w:pPr>
            <w:r>
              <w:rPr>
                <w:rFonts w:ascii="Calibri"/>
                <w:w w:val="99"/>
                <w:sz w:val="7"/>
              </w:rPr>
              <w:t>0</w:t>
            </w:r>
          </w:p>
        </w:tc>
      </w:tr>
      <w:tr>
        <w:trPr>
          <w:trHeight w:val="90" w:hRule="exact"/>
        </w:trPr>
        <w:tc>
          <w:tcPr>
            <w:tcW w:w="1334" w:type="dxa"/>
            <w:vMerge/>
            <w:tcBorders>
              <w:left w:val="single" w:sz="2" w:space="0" w:color="000000"/>
            </w:tcBorders>
          </w:tcPr>
          <w:p>
            <w:pPr/>
          </w:p>
        </w:tc>
        <w:tc>
          <w:tcPr>
            <w:tcW w:w="1145" w:type="dxa"/>
            <w:vMerge/>
          </w:tcPr>
          <w:p>
            <w:pPr/>
          </w:p>
        </w:tc>
        <w:tc>
          <w:tcPr>
            <w:tcW w:w="759" w:type="dxa"/>
            <w:tcBorders>
              <w:top w:val="single" w:sz="2" w:space="0" w:color="FFFFFF"/>
              <w:right w:val="single" w:sz="2" w:space="0" w:color="000000"/>
            </w:tcBorders>
            <w:shd w:val="clear" w:color="auto" w:fill="F79646"/>
          </w:tcPr>
          <w:p>
            <w:pPr>
              <w:pStyle w:val="TableParagraph"/>
              <w:spacing w:line="80" w:lineRule="exact"/>
              <w:ind w:left="12"/>
              <w:rPr>
                <w:rFonts w:ascii="Calibri"/>
                <w:sz w:val="7"/>
              </w:rPr>
            </w:pPr>
            <w:r>
              <w:rPr>
                <w:rFonts w:ascii="Calibri"/>
                <w:w w:val="99"/>
                <w:sz w:val="7"/>
              </w:rPr>
              <w:t>0</w:t>
            </w:r>
          </w:p>
        </w:tc>
        <w:tc>
          <w:tcPr>
            <w:tcW w:w="43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0</w:t>
            </w:r>
          </w:p>
        </w:tc>
        <w:tc>
          <w:tcPr>
            <w:tcW w:w="657" w:type="dxa"/>
            <w:tcBorders>
              <w:top w:val="single" w:sz="2" w:space="0" w:color="FFFFFF"/>
              <w:left w:val="single" w:sz="2" w:space="0" w:color="000000"/>
              <w:right w:val="single" w:sz="2" w:space="0" w:color="000000"/>
            </w:tcBorders>
            <w:shd w:val="clear" w:color="auto" w:fill="F79646"/>
          </w:tcPr>
          <w:p>
            <w:pPr>
              <w:pStyle w:val="TableParagraph"/>
              <w:spacing w:line="80" w:lineRule="exact"/>
              <w:rPr>
                <w:rFonts w:ascii="Calibri"/>
                <w:sz w:val="7"/>
              </w:rPr>
            </w:pPr>
            <w:r>
              <w:rPr>
                <w:rFonts w:ascii="Calibri"/>
                <w:w w:val="99"/>
                <w:sz w:val="7"/>
              </w:rPr>
              <w:t>0</w:t>
            </w:r>
          </w:p>
        </w:tc>
        <w:tc>
          <w:tcPr>
            <w:tcW w:w="593"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0</w:t>
            </w:r>
          </w:p>
        </w:tc>
        <w:tc>
          <w:tcPr>
            <w:tcW w:w="791"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377"/>
              <w:jc w:val="left"/>
              <w:rPr>
                <w:rFonts w:ascii="Calibri"/>
                <w:sz w:val="7"/>
              </w:rPr>
            </w:pPr>
            <w:r>
              <w:rPr>
                <w:rFonts w:ascii="Calibri"/>
                <w:w w:val="99"/>
                <w:sz w:val="7"/>
              </w:rPr>
              <w:t>0</w:t>
            </w:r>
          </w:p>
        </w:tc>
        <w:tc>
          <w:tcPr>
            <w:tcW w:w="756" w:type="dxa"/>
            <w:tcBorders>
              <w:top w:val="single" w:sz="2" w:space="0" w:color="FFFFFF"/>
              <w:left w:val="single" w:sz="2" w:space="0" w:color="000000"/>
              <w:right w:val="single" w:sz="2" w:space="0" w:color="000000"/>
            </w:tcBorders>
            <w:shd w:val="clear" w:color="auto" w:fill="F79646"/>
          </w:tcPr>
          <w:p>
            <w:pPr>
              <w:pStyle w:val="TableParagraph"/>
              <w:spacing w:line="80" w:lineRule="exact"/>
              <w:ind w:right="352"/>
              <w:jc w:val="right"/>
              <w:rPr>
                <w:rFonts w:ascii="Calibri"/>
                <w:sz w:val="7"/>
              </w:rPr>
            </w:pPr>
            <w:r>
              <w:rPr>
                <w:rFonts w:ascii="Calibri"/>
                <w:w w:val="99"/>
                <w:sz w:val="7"/>
              </w:rPr>
              <w:t>0</w:t>
            </w:r>
          </w:p>
        </w:tc>
        <w:tc>
          <w:tcPr>
            <w:tcW w:w="802"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0</w:t>
            </w:r>
          </w:p>
        </w:tc>
        <w:tc>
          <w:tcPr>
            <w:tcW w:w="86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0</w:t>
            </w:r>
          </w:p>
        </w:tc>
        <w:tc>
          <w:tcPr>
            <w:tcW w:w="700" w:type="dxa"/>
            <w:tcBorders>
              <w:top w:val="single" w:sz="2" w:space="0" w:color="FFFFFF"/>
              <w:left w:val="single" w:sz="2" w:space="0" w:color="000000"/>
              <w:right w:val="single" w:sz="5" w:space="0" w:color="000000"/>
            </w:tcBorders>
            <w:shd w:val="clear" w:color="auto" w:fill="F79646"/>
          </w:tcPr>
          <w:p>
            <w:pPr>
              <w:pStyle w:val="TableParagraph"/>
              <w:spacing w:line="80" w:lineRule="exact"/>
              <w:ind w:left="6"/>
              <w:rPr>
                <w:rFonts w:ascii="Calibri"/>
                <w:sz w:val="7"/>
              </w:rPr>
            </w:pPr>
            <w:r>
              <w:rPr>
                <w:rFonts w:ascii="Calibri"/>
                <w:w w:val="99"/>
                <w:sz w:val="7"/>
              </w:rPr>
              <w:t>0</w:t>
            </w:r>
          </w:p>
        </w:tc>
      </w:tr>
      <w:tr>
        <w:trPr>
          <w:trHeight w:val="262" w:hRule="exact"/>
        </w:trPr>
        <w:tc>
          <w:tcPr>
            <w:tcW w:w="1334" w:type="dxa"/>
            <w:tcBorders>
              <w:left w:val="single" w:sz="2" w:space="0" w:color="000000"/>
              <w:bottom w:val="single" w:sz="5" w:space="0" w:color="000000"/>
            </w:tcBorders>
          </w:tcPr>
          <w:p>
            <w:pPr/>
          </w:p>
        </w:tc>
        <w:tc>
          <w:tcPr>
            <w:tcW w:w="1145" w:type="dxa"/>
            <w:tcBorders>
              <w:bottom w:val="single" w:sz="5" w:space="0" w:color="000000"/>
            </w:tcBorders>
          </w:tcPr>
          <w:p>
            <w:pPr>
              <w:pStyle w:val="TableParagraph"/>
              <w:spacing w:before="1"/>
              <w:jc w:val="left"/>
              <w:rPr>
                <w:sz w:val="7"/>
              </w:rPr>
            </w:pPr>
          </w:p>
          <w:p>
            <w:pPr>
              <w:pStyle w:val="TableParagraph"/>
              <w:ind w:right="367"/>
              <w:jc w:val="right"/>
              <w:rPr>
                <w:rFonts w:ascii="Calibri"/>
                <w:sz w:val="7"/>
              </w:rPr>
            </w:pPr>
            <w:r>
              <w:rPr>
                <w:rFonts w:ascii="Calibri"/>
                <w:sz w:val="7"/>
              </w:rPr>
              <w:t>Total IA</w:t>
            </w:r>
          </w:p>
        </w:tc>
        <w:tc>
          <w:tcPr>
            <w:tcW w:w="759" w:type="dxa"/>
            <w:tcBorders>
              <w:bottom w:val="single" w:sz="5" w:space="0" w:color="000000"/>
              <w:right w:val="single" w:sz="2" w:space="0" w:color="000000"/>
            </w:tcBorders>
          </w:tcPr>
          <w:p>
            <w:pPr>
              <w:pStyle w:val="TableParagraph"/>
              <w:spacing w:before="1"/>
              <w:jc w:val="left"/>
              <w:rPr>
                <w:sz w:val="7"/>
              </w:rPr>
            </w:pPr>
          </w:p>
          <w:p>
            <w:pPr>
              <w:pStyle w:val="TableParagraph"/>
              <w:ind w:left="78" w:right="72"/>
              <w:rPr>
                <w:rFonts w:ascii="Calibri"/>
                <w:sz w:val="7"/>
              </w:rPr>
            </w:pPr>
            <w:r>
              <w:rPr>
                <w:rFonts w:ascii="Calibri"/>
                <w:sz w:val="7"/>
              </w:rPr>
              <w:t>8.8</w:t>
            </w:r>
          </w:p>
        </w:tc>
        <w:tc>
          <w:tcPr>
            <w:tcW w:w="430" w:type="dxa"/>
            <w:tcBorders>
              <w:left w:val="single" w:sz="2" w:space="0" w:color="000000"/>
              <w:bottom w:val="single" w:sz="5" w:space="0" w:color="000000"/>
              <w:right w:val="single" w:sz="2" w:space="0" w:color="000000"/>
            </w:tcBorders>
          </w:tcPr>
          <w:p>
            <w:pPr>
              <w:pStyle w:val="TableParagraph"/>
              <w:spacing w:before="1"/>
              <w:jc w:val="left"/>
              <w:rPr>
                <w:sz w:val="7"/>
              </w:rPr>
            </w:pPr>
          </w:p>
          <w:p>
            <w:pPr>
              <w:pStyle w:val="TableParagraph"/>
              <w:ind w:left="3" w:right="2"/>
              <w:rPr>
                <w:rFonts w:ascii="Calibri"/>
                <w:sz w:val="7"/>
              </w:rPr>
            </w:pPr>
            <w:r>
              <w:rPr>
                <w:rFonts w:ascii="Calibri"/>
                <w:sz w:val="7"/>
              </w:rPr>
              <w:t>9.3</w:t>
            </w:r>
          </w:p>
        </w:tc>
        <w:tc>
          <w:tcPr>
            <w:tcW w:w="657" w:type="dxa"/>
            <w:tcBorders>
              <w:left w:val="single" w:sz="2" w:space="0" w:color="000000"/>
              <w:bottom w:val="single" w:sz="5" w:space="0" w:color="000000"/>
              <w:right w:val="single" w:sz="2" w:space="0" w:color="000000"/>
            </w:tcBorders>
          </w:tcPr>
          <w:p>
            <w:pPr>
              <w:pStyle w:val="TableParagraph"/>
              <w:spacing w:before="1"/>
              <w:jc w:val="left"/>
              <w:rPr>
                <w:sz w:val="7"/>
              </w:rPr>
            </w:pPr>
          </w:p>
          <w:p>
            <w:pPr>
              <w:pStyle w:val="TableParagraph"/>
              <w:ind w:right="2"/>
              <w:rPr>
                <w:rFonts w:ascii="Calibri"/>
                <w:sz w:val="7"/>
              </w:rPr>
            </w:pPr>
            <w:r>
              <w:rPr>
                <w:rFonts w:ascii="Calibri"/>
                <w:sz w:val="7"/>
              </w:rPr>
              <w:t>8.3</w:t>
            </w:r>
          </w:p>
        </w:tc>
        <w:tc>
          <w:tcPr>
            <w:tcW w:w="593" w:type="dxa"/>
            <w:tcBorders>
              <w:left w:val="single" w:sz="2" w:space="0" w:color="000000"/>
              <w:bottom w:val="single" w:sz="5" w:space="0" w:color="000000"/>
              <w:right w:val="single" w:sz="2" w:space="0" w:color="000000"/>
            </w:tcBorders>
          </w:tcPr>
          <w:p>
            <w:pPr>
              <w:pStyle w:val="TableParagraph"/>
              <w:spacing w:before="1"/>
              <w:jc w:val="left"/>
              <w:rPr>
                <w:sz w:val="7"/>
              </w:rPr>
            </w:pPr>
          </w:p>
          <w:p>
            <w:pPr>
              <w:pStyle w:val="TableParagraph"/>
              <w:ind w:left="2" w:right="1"/>
              <w:rPr>
                <w:rFonts w:ascii="Calibri"/>
                <w:sz w:val="7"/>
              </w:rPr>
            </w:pPr>
            <w:r>
              <w:rPr>
                <w:rFonts w:ascii="Calibri"/>
                <w:sz w:val="7"/>
              </w:rPr>
              <w:t>9.3</w:t>
            </w:r>
          </w:p>
        </w:tc>
        <w:tc>
          <w:tcPr>
            <w:tcW w:w="791" w:type="dxa"/>
            <w:tcBorders>
              <w:left w:val="single" w:sz="2" w:space="0" w:color="000000"/>
              <w:bottom w:val="single" w:sz="5" w:space="0" w:color="000000"/>
              <w:right w:val="single" w:sz="2" w:space="0" w:color="000000"/>
            </w:tcBorders>
          </w:tcPr>
          <w:p>
            <w:pPr>
              <w:pStyle w:val="TableParagraph"/>
              <w:spacing w:before="1"/>
              <w:jc w:val="left"/>
              <w:rPr>
                <w:sz w:val="7"/>
              </w:rPr>
            </w:pPr>
          </w:p>
          <w:p>
            <w:pPr>
              <w:pStyle w:val="TableParagraph"/>
              <w:ind w:left="348" w:right="-38"/>
              <w:jc w:val="left"/>
              <w:rPr>
                <w:rFonts w:ascii="Calibri"/>
                <w:sz w:val="7"/>
              </w:rPr>
            </w:pPr>
            <w:r>
              <w:rPr>
                <w:rFonts w:ascii="Calibri"/>
                <w:sz w:val="7"/>
              </w:rPr>
              <w:t>7.2</w:t>
            </w:r>
          </w:p>
        </w:tc>
        <w:tc>
          <w:tcPr>
            <w:tcW w:w="756" w:type="dxa"/>
            <w:tcBorders>
              <w:left w:val="single" w:sz="2" w:space="0" w:color="000000"/>
              <w:bottom w:val="single" w:sz="5" w:space="0" w:color="000000"/>
              <w:right w:val="single" w:sz="2" w:space="0" w:color="000000"/>
            </w:tcBorders>
          </w:tcPr>
          <w:p>
            <w:pPr>
              <w:pStyle w:val="TableParagraph"/>
              <w:spacing w:before="1"/>
              <w:jc w:val="left"/>
              <w:rPr>
                <w:sz w:val="7"/>
              </w:rPr>
            </w:pPr>
          </w:p>
          <w:p>
            <w:pPr>
              <w:pStyle w:val="TableParagraph"/>
              <w:ind w:right="328"/>
              <w:jc w:val="right"/>
              <w:rPr>
                <w:rFonts w:ascii="Calibri"/>
                <w:sz w:val="7"/>
              </w:rPr>
            </w:pPr>
            <w:r>
              <w:rPr>
                <w:rFonts w:ascii="Calibri"/>
                <w:w w:val="95"/>
                <w:sz w:val="7"/>
              </w:rPr>
              <w:t>8.3</w:t>
            </w:r>
          </w:p>
        </w:tc>
        <w:tc>
          <w:tcPr>
            <w:tcW w:w="802" w:type="dxa"/>
            <w:tcBorders>
              <w:left w:val="single" w:sz="2" w:space="0" w:color="000000"/>
              <w:bottom w:val="single" w:sz="5" w:space="0" w:color="000000"/>
              <w:right w:val="single" w:sz="2" w:space="0" w:color="000000"/>
            </w:tcBorders>
          </w:tcPr>
          <w:p>
            <w:pPr>
              <w:pStyle w:val="TableParagraph"/>
              <w:spacing w:before="1"/>
              <w:jc w:val="left"/>
              <w:rPr>
                <w:sz w:val="7"/>
              </w:rPr>
            </w:pPr>
          </w:p>
          <w:p>
            <w:pPr>
              <w:pStyle w:val="TableParagraph"/>
              <w:ind w:left="2" w:right="1"/>
              <w:rPr>
                <w:rFonts w:ascii="Calibri"/>
                <w:sz w:val="7"/>
              </w:rPr>
            </w:pPr>
            <w:r>
              <w:rPr>
                <w:rFonts w:ascii="Calibri"/>
                <w:sz w:val="7"/>
              </w:rPr>
              <w:t>9.3</w:t>
            </w:r>
          </w:p>
        </w:tc>
        <w:tc>
          <w:tcPr>
            <w:tcW w:w="860" w:type="dxa"/>
            <w:tcBorders>
              <w:left w:val="single" w:sz="2" w:space="0" w:color="000000"/>
              <w:bottom w:val="single" w:sz="5" w:space="0" w:color="000000"/>
              <w:right w:val="single" w:sz="2" w:space="0" w:color="000000"/>
            </w:tcBorders>
          </w:tcPr>
          <w:p>
            <w:pPr>
              <w:pStyle w:val="TableParagraph"/>
              <w:spacing w:before="1"/>
              <w:jc w:val="left"/>
              <w:rPr>
                <w:sz w:val="7"/>
              </w:rPr>
            </w:pPr>
          </w:p>
          <w:p>
            <w:pPr>
              <w:pStyle w:val="TableParagraph"/>
              <w:ind w:left="4" w:right="3"/>
              <w:rPr>
                <w:rFonts w:ascii="Calibri"/>
                <w:sz w:val="7"/>
              </w:rPr>
            </w:pPr>
            <w:r>
              <w:rPr>
                <w:rFonts w:ascii="Calibri"/>
                <w:sz w:val="7"/>
              </w:rPr>
              <w:t>7.3</w:t>
            </w:r>
          </w:p>
        </w:tc>
        <w:tc>
          <w:tcPr>
            <w:tcW w:w="700" w:type="dxa"/>
            <w:tcBorders>
              <w:left w:val="single" w:sz="2" w:space="0" w:color="000000"/>
              <w:bottom w:val="single" w:sz="5" w:space="0" w:color="000000"/>
              <w:right w:val="single" w:sz="5" w:space="0" w:color="000000"/>
            </w:tcBorders>
          </w:tcPr>
          <w:p>
            <w:pPr>
              <w:pStyle w:val="TableParagraph"/>
              <w:spacing w:before="1"/>
              <w:jc w:val="left"/>
              <w:rPr>
                <w:sz w:val="7"/>
              </w:rPr>
            </w:pPr>
          </w:p>
          <w:p>
            <w:pPr>
              <w:pStyle w:val="TableParagraph"/>
              <w:ind w:left="1"/>
              <w:rPr>
                <w:rFonts w:ascii="Calibri"/>
                <w:sz w:val="7"/>
              </w:rPr>
            </w:pPr>
            <w:r>
              <w:rPr>
                <w:rFonts w:ascii="Calibri"/>
                <w:sz w:val="7"/>
              </w:rPr>
              <w:t>7.8</w:t>
            </w:r>
          </w:p>
        </w:tc>
      </w:tr>
    </w:tbl>
    <w:p>
      <w:pPr>
        <w:spacing w:before="142"/>
        <w:ind w:left="268" w:right="0" w:firstLine="0"/>
        <w:jc w:val="both"/>
        <w:rPr>
          <w:sz w:val="21"/>
        </w:rPr>
      </w:pPr>
      <w:r>
        <w:rPr/>
        <w:pict>
          <v:group style="position:absolute;margin-left:223.421997pt;margin-top:-9.461538pt;width:317.7pt;height:5pt;mso-position-horizontal-relative:page;mso-position-vertical-relative:paragraph;z-index:-1145008" coordorigin="4468,-189" coordsize="6354,100">
            <v:line style="position:absolute" from="4471,-186" to="4471,-93" stroked="true" strokeweight=".290pt" strokecolor="#f79646"/>
            <v:rect style="position:absolute;left:4474;top:-186;width:6347;height:93" filled="true" fillcolor="#f79646" stroked="false">
              <v:fill type="solid"/>
            </v:rect>
            <w10:wrap type="none"/>
          </v:group>
        </w:pict>
      </w:r>
      <w:r>
        <w:rPr>
          <w:w w:val="105"/>
          <w:sz w:val="21"/>
        </w:rPr>
        <w:t>Fuente: Elaboración propia con base al estudio realizado.</w:t>
      </w:r>
    </w:p>
    <w:p>
      <w:pPr>
        <w:spacing w:after="0"/>
        <w:jc w:val="both"/>
        <w:rPr>
          <w:sz w:val="21"/>
        </w:rPr>
        <w:sectPr>
          <w:pgSz w:w="12240" w:h="15840"/>
          <w:pgMar w:header="730" w:footer="1066" w:top="1320" w:bottom="1260" w:left="1720" w:right="1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60" w:lineRule="auto" w:before="193"/>
        <w:ind w:left="268" w:right="231"/>
        <w:jc w:val="both"/>
      </w:pPr>
      <w:r>
        <w:rPr/>
        <w:pict>
          <v:line style="position:absolute;mso-position-horizontal-relative:page;mso-position-vertical-relative:paragraph;z-index:14320" from="93.199997pt,-66.694122pt" to="546.799997pt,-66.694122pt" stroked="true" strokeweight=".479981pt" strokecolor="#000000">
            <w10:wrap type="none"/>
          </v:line>
        </w:pict>
      </w:r>
      <w:r>
        <w:rPr/>
        <w:t>La tabla 35 muestra los resultados obtenidos en el sistema de indicadores referente al índice económico y sus respectivos subíndices de los nueve conjuntos urbanos autorizados en el municipio de Calimaya, siendo el CU denominado Valle de las Fuentes el evaluado con el menor puntaje, en contra parte el mejor evaluadao fue Urbi Hacienda Lomas, cabe mencionar que los resultados  obtenidos se encuentran por debajo de resultado deseable, los indicadores relacionados con gastos de habitabilidad impactaron de manera positiva y  negativa en los resultados obtenidos por los conjuntos</w:t>
      </w:r>
      <w:r>
        <w:rPr>
          <w:spacing w:val="-9"/>
        </w:rPr>
        <w:t> </w:t>
      </w:r>
      <w:r>
        <w:rPr/>
        <w:t>urbanos.</w:t>
      </w:r>
    </w:p>
    <w:p>
      <w:pPr>
        <w:pStyle w:val="BodyText"/>
      </w:pPr>
    </w:p>
    <w:p>
      <w:pPr>
        <w:pStyle w:val="BodyText"/>
      </w:pPr>
    </w:p>
    <w:p>
      <w:pPr>
        <w:pStyle w:val="BodyText"/>
        <w:spacing w:before="1"/>
        <w:rPr>
          <w:sz w:val="21"/>
        </w:rPr>
      </w:pPr>
    </w:p>
    <w:p>
      <w:pPr>
        <w:pStyle w:val="BodyText"/>
        <w:ind w:left="268"/>
        <w:jc w:val="both"/>
      </w:pPr>
      <w:r>
        <w:rPr/>
        <w:pict>
          <v:group style="position:absolute;margin-left:99.320602pt;margin-top:20.611954pt;width:442.05pt;height:134pt;mso-position-horizontal-relative:page;mso-position-vertical-relative:paragraph;z-index:14296;mso-wrap-distance-left:0;mso-wrap-distance-right:0" coordorigin="1986,412" coordsize="8841,2680">
            <v:rect style="position:absolute;left:1992;top:424;width:349;height:261" filled="true" fillcolor="#000000" stroked="false">
              <v:fill type="solid"/>
            </v:rect>
            <v:rect style="position:absolute;left:1992;top:679;width:349;height:232" filled="true" fillcolor="#808080" stroked="false">
              <v:fill type="solid"/>
            </v:rect>
            <v:line style="position:absolute" from="1990,418" to="1990,1698" stroked="true" strokeweight=".290653pt" strokecolor="#000000"/>
            <v:line style="position:absolute" from="1992,421" to="2347,421" stroked="true" strokeweight=".290pt" strokecolor="#000000"/>
            <v:rect style="position:absolute;left:2341;top:424;width:2133;height:261" filled="true" fillcolor="#000000" stroked="false">
              <v:fill type="solid"/>
            </v:rect>
            <v:rect style="position:absolute;left:2341;top:679;width:2133;height:232" filled="true" fillcolor="#808080" stroked="false">
              <v:fill type="solid"/>
            </v:rect>
            <v:line style="position:absolute" from="4471,992" to="4471,1084" stroked="true" strokeweight=".290pt" strokecolor="#baf9f5"/>
            <v:line style="position:absolute" from="4471,1079" to="4471,1171" stroked="true" strokeweight=".290pt" strokecolor="#baf9f5"/>
            <v:line style="position:absolute" from="4471,1165" to="4471,1258" stroked="true" strokeweight=".290pt" strokecolor="#f79646"/>
            <v:line style="position:absolute" from="4471,1339" to="4471,1432" stroked="true" strokeweight=".290pt" strokecolor="#baf9f5"/>
            <v:line style="position:absolute" from="4471,1426" to="4471,1519" stroked="true" strokeweight=".290pt" strokecolor="#f79646"/>
            <v:line style="position:absolute" from="2335,421" to="4480,421" stroked="true" strokeweight=".290pt" strokecolor="#000000"/>
            <v:rect style="position:absolute;left:4474;top:424;width:6347;height:261" filled="true" fillcolor="#000000" stroked="false">
              <v:fill type="solid"/>
            </v:rect>
            <v:rect style="position:absolute;left:4474;top:679;width:6347;height:232" filled="true" fillcolor="#808080" stroked="false">
              <v:fill type="solid"/>
            </v:rect>
            <v:rect style="position:absolute;left:4474;top:992;width:6347;height:93" filled="true" fillcolor="#baf9f5" stroked="false">
              <v:fill type="solid"/>
            </v:rect>
            <v:line style="position:absolute" from="10819,992" to="10819,1084" stroked="true" strokeweight=".290pt" strokecolor="#f79646"/>
            <v:rect style="position:absolute;left:4474;top:1079;width:6347;height:93" filled="true" fillcolor="#baf9f5" stroked="false">
              <v:fill type="solid"/>
            </v:rect>
            <v:rect style="position:absolute;left:4474;top:1165;width:6347;height:93" filled="true" fillcolor="#f79646" stroked="false">
              <v:fill type="solid"/>
            </v:rect>
            <v:rect style="position:absolute;left:4474;top:1339;width:6347;height:93" filled="true" fillcolor="#baf9f5" stroked="false">
              <v:fill type="solid"/>
            </v:rect>
            <v:rect style="position:absolute;left:4474;top:1426;width:6347;height:93" filled="true" fillcolor="#f79646" stroked="false">
              <v:fill type="solid"/>
            </v:rect>
            <v:rect style="position:absolute;left:4474;top:1600;width:6347;height:93" filled="true" fillcolor="#baf9f5" stroked="false">
              <v:fill type="solid"/>
            </v:rect>
            <v:line style="position:absolute" from="5227,824" to="5227,997" stroked="true" strokeweight=".290625pt" strokecolor="#000000"/>
            <v:line style="position:absolute" from="5657,824" to="5657,997" stroked="true" strokeweight=".290625pt" strokecolor="#000000"/>
            <v:line style="position:absolute" from="6314,824" to="6314,997" stroked="true" strokeweight=".290625pt" strokecolor="#000000"/>
            <v:line style="position:absolute" from="6907,824" to="6907,997" stroked="true" strokeweight=".290625pt" strokecolor="#000000"/>
            <v:line style="position:absolute" from="7697,824" to="7697,997" stroked="true" strokeweight=".290625pt" strokecolor="#000000"/>
            <v:line style="position:absolute" from="8453,824" to="8453,997" stroked="true" strokeweight=".290625pt" strokecolor="#000000"/>
            <v:line style="position:absolute" from="9255,824" to="9255,997" stroked="true" strokeweight=".290625pt" strokecolor="#000000"/>
            <v:line style="position:absolute" from="10115,824" to="10115,997" stroked="true" strokeweight=".290625pt" strokecolor="#000000"/>
            <v:line style="position:absolute" from="10816,418" to="10816,1698" stroked="true" strokeweight=".581238pt" strokecolor="#000000"/>
            <v:line style="position:absolute" from="5227,1078" to="5227,1698" stroked="true" strokeweight=".290625pt" strokecolor="#000000"/>
            <v:line style="position:absolute" from="5657,1078" to="5657,1698" stroked="true" strokeweight=".290625pt" strokecolor="#000000"/>
            <v:line style="position:absolute" from="6314,1078" to="6314,1698" stroked="true" strokeweight=".290625pt" strokecolor="#000000"/>
            <v:line style="position:absolute" from="6907,1078" to="6907,1698" stroked="true" strokeweight=".290625pt" strokecolor="#000000"/>
            <v:line style="position:absolute" from="7697,1078" to="7697,1698" stroked="true" strokeweight=".290625pt" strokecolor="#000000"/>
            <v:line style="position:absolute" from="8453,1078" to="8453,1698" stroked="true" strokeweight=".290625pt" strokecolor="#000000"/>
            <v:line style="position:absolute" from="9255,1078" to="9255,1698" stroked="true" strokeweight=".290625pt" strokecolor="#000000"/>
            <v:line style="position:absolute" from="10115,1078" to="10115,1698" stroked="true" strokeweight=".290625pt" strokecolor="#000000"/>
            <v:line style="position:absolute" from="4469,421" to="10822,421" stroked="true" strokeweight=".290pt" strokecolor="#000000"/>
            <v:line style="position:absolute" from="1990,1687" to="1990,1785" stroked="true" strokeweight=".290653pt" strokecolor="#000000"/>
            <v:rect style="position:absolute;left:4474;top:1692;width:6347;height:87" filled="true" fillcolor="#baf9f5" stroked="false">
              <v:fill type="solid"/>
            </v:rect>
            <v:line style="position:absolute" from="5227,1687" to="5227,1785" stroked="true" strokeweight=".290625pt" strokecolor="#000000"/>
            <v:line style="position:absolute" from="5657,1687" to="5657,1785" stroked="true" strokeweight=".290625pt" strokecolor="#000000"/>
            <v:line style="position:absolute" from="6314,1687" to="6314,1785" stroked="true" strokeweight=".290625pt" strokecolor="#000000"/>
            <v:line style="position:absolute" from="6907,1687" to="6907,1785" stroked="true" strokeweight=".290625pt" strokecolor="#000000"/>
            <v:line style="position:absolute" from="7697,1687" to="7697,1785" stroked="true" strokeweight=".290625pt" strokecolor="#000000"/>
            <v:line style="position:absolute" from="8453,1687" to="8453,1785" stroked="true" strokeweight=".290625pt" strokecolor="#000000"/>
            <v:line style="position:absolute" from="9255,1687" to="9255,1785" stroked="true" strokeweight=".290625pt" strokecolor="#000000"/>
            <v:line style="position:absolute" from="10115,1687" to="10115,1785" stroked="true" strokeweight=".290625pt" strokecolor="#000000"/>
            <v:line style="position:absolute" from="10816,1687" to="10816,1785" stroked="true" strokeweight=".581238pt" strokecolor="#000000"/>
            <v:line style="position:absolute" from="1990,1774" to="1990,2133" stroked="true" strokeweight=".290653pt" strokecolor="#000000"/>
            <v:line style="position:absolute" from="4471,1600" to="4471,1866" stroked="true" strokeweight=".290pt" strokecolor="#baf9f5"/>
            <v:line style="position:absolute" from="4471,1860" to="4471,1953" stroked="true" strokeweight=".290pt" strokecolor="#f79646"/>
            <v:line style="position:absolute" from="4471,2034" to="4471,2127" stroked="true" strokeweight=".290pt" strokecolor="#baf9f5"/>
            <v:rect style="position:absolute;left:4474;top:1779;width:6347;height:87" filled="true" fillcolor="#baf9f5" stroked="false">
              <v:fill type="solid"/>
            </v:rect>
            <v:rect style="position:absolute;left:4474;top:1860;width:6347;height:93" filled="true" fillcolor="#f79646" stroked="false">
              <v:fill type="solid"/>
            </v:rect>
            <v:rect style="position:absolute;left:4474;top:2034;width:6347;height:93" filled="true" fillcolor="#baf9f5" stroked="false">
              <v:fill type="solid"/>
            </v:rect>
            <v:line style="position:absolute" from="5227,1774" to="5227,2133" stroked="true" strokeweight=".290625pt" strokecolor="#000000"/>
            <v:line style="position:absolute" from="5657,1774" to="5657,2133" stroked="true" strokeweight=".290625pt" strokecolor="#000000"/>
            <v:line style="position:absolute" from="6314,1774" to="6314,2133" stroked="true" strokeweight=".290625pt" strokecolor="#000000"/>
            <v:line style="position:absolute" from="6907,1774" to="6907,2133" stroked="true" strokeweight=".290625pt" strokecolor="#000000"/>
            <v:line style="position:absolute" from="7697,1774" to="7697,2133" stroked="true" strokeweight=".290625pt" strokecolor="#000000"/>
            <v:line style="position:absolute" from="8453,1774" to="8453,2133" stroked="true" strokeweight=".290625pt" strokecolor="#000000"/>
            <v:line style="position:absolute" from="9255,1774" to="9255,2133" stroked="true" strokeweight=".290625pt" strokecolor="#000000"/>
            <v:line style="position:absolute" from="10115,1774" to="10115,2133" stroked="true" strokeweight=".290625pt" strokecolor="#000000"/>
            <v:line style="position:absolute" from="10816,1774" to="10816,2133" stroked="true" strokeweight=".581238pt" strokecolor="#000000"/>
            <v:line style="position:absolute" from="1990,2121" to="1990,2219" stroked="true" strokeweight=".290653pt" strokecolor="#000000"/>
            <v:line style="position:absolute" from="4471,2127" to="4471,2214" stroked="true" strokeweight=".290pt" strokecolor="#baf9f5"/>
            <v:rect style="position:absolute;left:4474;top:2127;width:6347;height:87" filled="true" fillcolor="#baf9f5" stroked="false">
              <v:fill type="solid"/>
            </v:rect>
            <v:line style="position:absolute" from="5227,2121" to="5227,2219" stroked="true" strokeweight=".290625pt" strokecolor="#000000"/>
            <v:line style="position:absolute" from="5657,2121" to="5657,2219" stroked="true" strokeweight=".290625pt" strokecolor="#000000"/>
            <v:line style="position:absolute" from="6314,2121" to="6314,2219" stroked="true" strokeweight=".290625pt" strokecolor="#000000"/>
            <v:line style="position:absolute" from="6907,2121" to="6907,2219" stroked="true" strokeweight=".290625pt" strokecolor="#000000"/>
            <v:line style="position:absolute" from="7697,2121" to="7697,2219" stroked="true" strokeweight=".290625pt" strokecolor="#000000"/>
            <v:line style="position:absolute" from="8453,2121" to="8453,2219" stroked="true" strokeweight=".290625pt" strokecolor="#000000"/>
            <v:line style="position:absolute" from="9255,2121" to="9255,2219" stroked="true" strokeweight=".290625pt" strokecolor="#000000"/>
            <v:line style="position:absolute" from="10115,2121" to="10115,2219" stroked="true" strokeweight=".290625pt" strokecolor="#000000"/>
            <v:line style="position:absolute" from="10816,2121" to="10816,2219" stroked="true" strokeweight=".581238pt" strokecolor="#000000"/>
            <v:line style="position:absolute" from="1990,2208" to="1990,2306" stroked="true" strokeweight=".290653pt" strokecolor="#000000"/>
            <v:line style="position:absolute" from="4471,2214" to="4471,2301" stroked="true" strokeweight=".290pt" strokecolor="#baf9f5"/>
            <v:rect style="position:absolute;left:4474;top:2214;width:6347;height:87" filled="true" fillcolor="#baf9f5" stroked="false">
              <v:fill type="solid"/>
            </v:rect>
            <v:line style="position:absolute" from="5227,2208" to="5227,2306" stroked="true" strokeweight=".290625pt" strokecolor="#000000"/>
            <v:line style="position:absolute" from="5657,2208" to="5657,2306" stroked="true" strokeweight=".290625pt" strokecolor="#000000"/>
            <v:line style="position:absolute" from="6314,2208" to="6314,2306" stroked="true" strokeweight=".290625pt" strokecolor="#000000"/>
            <v:line style="position:absolute" from="6907,2208" to="6907,2306" stroked="true" strokeweight=".290625pt" strokecolor="#000000"/>
            <v:line style="position:absolute" from="7697,2208" to="7697,2306" stroked="true" strokeweight=".290625pt" strokecolor="#000000"/>
            <v:line style="position:absolute" from="8453,2208" to="8453,2306" stroked="true" strokeweight=".290625pt" strokecolor="#000000"/>
            <v:line style="position:absolute" from="9255,2208" to="9255,2306" stroked="true" strokeweight=".290625pt" strokecolor="#000000"/>
            <v:line style="position:absolute" from="10115,2208" to="10115,2306" stroked="true" strokeweight=".290625pt" strokecolor="#000000"/>
            <v:line style="position:absolute" from="10816,2208" to="10816,2306" stroked="true" strokeweight=".581238pt" strokecolor="#000000"/>
            <v:line style="position:absolute" from="1990,2295" to="1990,2393" stroked="true" strokeweight=".290653pt" strokecolor="#000000"/>
            <v:line style="position:absolute" from="4471,2301" to="4471,2387" stroked="true" strokeweight=".290pt" strokecolor="#baf9f5"/>
            <v:rect style="position:absolute;left:4474;top:2301;width:6347;height:87" filled="true" fillcolor="#baf9f5" stroked="false">
              <v:fill type="solid"/>
            </v:rect>
            <v:line style="position:absolute" from="5227,2295" to="5227,2393" stroked="true" strokeweight=".290625pt" strokecolor="#000000"/>
            <v:line style="position:absolute" from="5657,2295" to="5657,2393" stroked="true" strokeweight=".290625pt" strokecolor="#000000"/>
            <v:line style="position:absolute" from="6314,2295" to="6314,2393" stroked="true" strokeweight=".290625pt" strokecolor="#000000"/>
            <v:line style="position:absolute" from="6907,2295" to="6907,2393" stroked="true" strokeweight=".290625pt" strokecolor="#000000"/>
            <v:line style="position:absolute" from="7697,2295" to="7697,2393" stroked="true" strokeweight=".290625pt" strokecolor="#000000"/>
            <v:line style="position:absolute" from="8453,2295" to="8453,2393" stroked="true" strokeweight=".290625pt" strokecolor="#000000"/>
            <v:line style="position:absolute" from="9255,2295" to="9255,2393" stroked="true" strokeweight=".290625pt" strokecolor="#000000"/>
            <v:line style="position:absolute" from="10115,2295" to="10115,2393" stroked="true" strokeweight=".290625pt" strokecolor="#000000"/>
            <v:line style="position:absolute" from="10816,2295" to="10816,2393" stroked="true" strokeweight=".581238pt" strokecolor="#000000"/>
            <v:line style="position:absolute" from="1992,3084" to="2341,3084" stroked="true" strokeweight=".17297pt" strokecolor="#eeece1"/>
            <v:line style="position:absolute" from="1990,2382" to="1990,3086" stroked="true" strokeweight=".290653pt" strokecolor="#000000"/>
            <v:line style="position:absolute" from="1992,3082" to="2347,3082" stroked="true" strokeweight=".579163pt" strokecolor="#000000"/>
            <v:line style="position:absolute" from="4471,2387" to="4471,2474" stroked="true" strokeweight=".290pt" strokecolor="#baf9f5"/>
            <v:line style="position:absolute" from="4471,2469" to="4471,2561" stroked="true" strokeweight=".290pt" strokecolor="#f79646"/>
            <v:line style="position:absolute" from="4471,2642" to="4471,2735" stroked="true" strokeweight=".290pt" strokecolor="#baf9f5"/>
            <v:line style="position:absolute" from="4471,2729" to="4471,2822" stroked="true" strokeweight=".290pt" strokecolor="#f79646"/>
            <v:line style="position:absolute" from="4471,2903" to="4471,2996" stroked="true" strokeweight=".290pt" strokecolor="#f79646"/>
            <v:line style="position:absolute" from="2341,3084" to="4474,3084" stroked="true" strokeweight=".17297pt" strokecolor="#eeece1"/>
            <v:line style="position:absolute" from="2335,3082" to="4480,3082" stroked="true" strokeweight=".579163pt" strokecolor="#000000"/>
            <v:rect style="position:absolute;left:4474;top:2387;width:6347;height:87" filled="true" fillcolor="#baf9f5" stroked="false">
              <v:fill type="solid"/>
            </v:rect>
            <v:rect style="position:absolute;left:4474;top:2469;width:6347;height:93" filled="true" fillcolor="#f79646" stroked="false">
              <v:fill type="solid"/>
            </v:rect>
            <v:rect style="position:absolute;left:4474;top:2642;width:6347;height:93" filled="true" fillcolor="#baf9f5" stroked="false">
              <v:fill type="solid"/>
            </v:rect>
            <v:rect style="position:absolute;left:4474;top:2729;width:6347;height:93" filled="true" fillcolor="#f79646" stroked="false">
              <v:fill type="solid"/>
            </v:rect>
            <v:rect style="position:absolute;left:4474;top:2903;width:6347;height:93" filled="true" fillcolor="#f79646" stroked="false">
              <v:fill type="solid"/>
            </v:rect>
            <v:line style="position:absolute" from="4474,3084" to="10822,3084" stroked="true" strokeweight=".17297pt" strokecolor="#eeece1"/>
            <v:line style="position:absolute" from="5227,2382" to="5227,3077" stroked="true" strokeweight=".290625pt" strokecolor="#000000"/>
            <v:line style="position:absolute" from="5657,2382" to="5657,3077" stroked="true" strokeweight=".290625pt" strokecolor="#000000"/>
            <v:line style="position:absolute" from="6314,2382" to="6314,3077" stroked="true" strokeweight=".290625pt" strokecolor="#000000"/>
            <v:line style="position:absolute" from="6907,2382" to="6907,3077" stroked="true" strokeweight=".290625pt" strokecolor="#000000"/>
            <v:line style="position:absolute" from="7697,2382" to="7697,3077" stroked="true" strokeweight=".290625pt" strokecolor="#000000"/>
            <v:line style="position:absolute" from="8453,2382" to="8453,3077" stroked="true" strokeweight=".290625pt" strokecolor="#000000"/>
            <v:line style="position:absolute" from="9255,2382" to="9255,3077" stroked="true" strokeweight=".290625pt" strokecolor="#000000"/>
            <v:line style="position:absolute" from="10115,2382" to="10115,3077" stroked="true" strokeweight=".290625pt" strokecolor="#000000"/>
            <v:line style="position:absolute" from="10816,2382" to="10816,3086" stroked="true" strokeweight=".581pt" strokecolor="#000000"/>
            <v:line style="position:absolute" from="4469,3081" to="10822,3081" stroked="true" strokeweight=".463163pt" strokecolor="#000000"/>
            <v:shape style="position:absolute;left:6015;top:463;width:780;height:157" type="#_x0000_t202" filled="false" stroked="false">
              <v:textbox inset="0,0,0,0">
                <w:txbxContent>
                  <w:p>
                    <w:pPr>
                      <w:spacing w:line="71" w:lineRule="exact" w:before="0"/>
                      <w:ind w:left="0" w:right="0" w:firstLine="0"/>
                      <w:jc w:val="center"/>
                      <w:rPr>
                        <w:b/>
                        <w:sz w:val="7"/>
                      </w:rPr>
                    </w:pPr>
                    <w:r>
                      <w:rPr>
                        <w:b/>
                        <w:color w:val="FFFFFF"/>
                        <w:sz w:val="7"/>
                      </w:rPr>
                      <w:t>Sistema de</w:t>
                    </w:r>
                    <w:r>
                      <w:rPr>
                        <w:b/>
                        <w:color w:val="FFFFFF"/>
                        <w:spacing w:val="-5"/>
                        <w:sz w:val="7"/>
                      </w:rPr>
                      <w:t> </w:t>
                    </w:r>
                    <w:r>
                      <w:rPr>
                        <w:b/>
                        <w:color w:val="FFFFFF"/>
                        <w:sz w:val="7"/>
                      </w:rPr>
                      <w:t>indicadores</w:t>
                    </w:r>
                  </w:p>
                  <w:p>
                    <w:pPr>
                      <w:spacing w:line="79" w:lineRule="exact" w:before="6"/>
                      <w:ind w:left="0" w:right="2" w:firstLine="0"/>
                      <w:jc w:val="center"/>
                      <w:rPr>
                        <w:b/>
                        <w:sz w:val="7"/>
                      </w:rPr>
                    </w:pPr>
                    <w:r>
                      <w:rPr>
                        <w:b/>
                        <w:color w:val="FFFFFF"/>
                        <w:sz w:val="7"/>
                      </w:rPr>
                      <w:t>Económicos</w:t>
                    </w:r>
                  </w:p>
                </w:txbxContent>
              </v:textbox>
              <w10:wrap type="none"/>
            </v:shape>
            <v:shape style="position:absolute;left:2062;top:759;width:202;height:70" type="#_x0000_t202" filled="false" stroked="false">
              <v:textbox inset="0,0,0,0">
                <w:txbxContent>
                  <w:p>
                    <w:pPr>
                      <w:spacing w:line="70" w:lineRule="exact" w:before="0"/>
                      <w:ind w:left="0" w:right="-11" w:firstLine="0"/>
                      <w:jc w:val="left"/>
                      <w:rPr>
                        <w:b/>
                        <w:sz w:val="7"/>
                      </w:rPr>
                    </w:pPr>
                    <w:r>
                      <w:rPr>
                        <w:b/>
                        <w:color w:val="FFFFFF"/>
                        <w:w w:val="95"/>
                        <w:sz w:val="7"/>
                      </w:rPr>
                      <w:t>Índice</w:t>
                    </w:r>
                  </w:p>
                </w:txbxContent>
              </v:textbox>
              <w10:wrap type="none"/>
            </v:shape>
            <v:shape style="position:absolute;left:2754;top:759;width:334;height:70" type="#_x0000_t202" filled="false" stroked="false">
              <v:textbox inset="0,0,0,0">
                <w:txbxContent>
                  <w:p>
                    <w:pPr>
                      <w:spacing w:line="70" w:lineRule="exact" w:before="0"/>
                      <w:ind w:left="0" w:right="-4" w:firstLine="0"/>
                      <w:jc w:val="left"/>
                      <w:rPr>
                        <w:b/>
                        <w:sz w:val="7"/>
                      </w:rPr>
                    </w:pPr>
                    <w:r>
                      <w:rPr>
                        <w:b/>
                        <w:color w:val="FFFFFF"/>
                        <w:w w:val="95"/>
                        <w:sz w:val="7"/>
                      </w:rPr>
                      <w:t>Subíndice</w:t>
                    </w:r>
                  </w:p>
                </w:txbxContent>
              </v:textbox>
              <w10:wrap type="none"/>
            </v:shape>
            <v:shape style="position:absolute;left:3835;top:759;width:314;height:70" type="#_x0000_t202" filled="false" stroked="false">
              <v:textbox inset="0,0,0,0">
                <w:txbxContent>
                  <w:p>
                    <w:pPr>
                      <w:spacing w:line="70" w:lineRule="exact" w:before="0"/>
                      <w:ind w:left="0" w:right="-6" w:firstLine="0"/>
                      <w:jc w:val="left"/>
                      <w:rPr>
                        <w:b/>
                        <w:sz w:val="7"/>
                      </w:rPr>
                    </w:pPr>
                    <w:r>
                      <w:rPr>
                        <w:b/>
                        <w:color w:val="FFFFFF"/>
                        <w:w w:val="95"/>
                        <w:sz w:val="7"/>
                      </w:rPr>
                      <w:t>Indicador</w:t>
                    </w:r>
                  </w:p>
                </w:txbxContent>
              </v:textbox>
              <w10:wrap type="none"/>
            </v:shape>
            <v:shape style="position:absolute;left:4573;top:718;width:6226;height:354" type="#_x0000_t202" filled="false" stroked="false">
              <v:textbox inset="0,0,0,0">
                <w:txbxContent>
                  <w:p>
                    <w:pPr>
                      <w:spacing w:line="71" w:lineRule="exact" w:before="0"/>
                      <w:ind w:left="2564" w:right="2645" w:firstLine="0"/>
                      <w:jc w:val="center"/>
                      <w:rPr>
                        <w:b/>
                        <w:sz w:val="7"/>
                      </w:rPr>
                    </w:pPr>
                    <w:r>
                      <w:rPr>
                        <w:b/>
                        <w:color w:val="FFFFFF"/>
                        <w:sz w:val="7"/>
                      </w:rPr>
                      <w:t>Valores por Conjunto Urbano</w:t>
                    </w:r>
                  </w:p>
                  <w:p>
                    <w:pPr>
                      <w:spacing w:before="29"/>
                      <w:ind w:left="0" w:right="-3" w:firstLine="0"/>
                      <w:jc w:val="left"/>
                      <w:rPr>
                        <w:b/>
                        <w:sz w:val="7"/>
                      </w:rPr>
                    </w:pPr>
                    <w:r>
                      <w:rPr>
                        <w:b/>
                        <w:color w:val="FFFFFF"/>
                        <w:sz w:val="7"/>
                      </w:rPr>
                      <w:t>Villas del Campo     San Andres  Villas del Campo II  Valle del Nevado  Rancho la Providencia  Urbi Hacienda Lomas  Bosque de las Fuentes  Hacienda de las Fuentes  Valle de las Fuentes</w:t>
                    </w:r>
                  </w:p>
                  <w:p>
                    <w:pPr>
                      <w:spacing w:line="240" w:lineRule="auto" w:before="1"/>
                      <w:rPr>
                        <w:sz w:val="8"/>
                      </w:rPr>
                    </w:pPr>
                  </w:p>
                  <w:p>
                    <w:pPr>
                      <w:spacing w:line="79" w:lineRule="exact" w:before="0"/>
                      <w:ind w:left="2564" w:right="2641" w:firstLine="0"/>
                      <w:jc w:val="center"/>
                      <w:rPr>
                        <w:b/>
                        <w:sz w:val="7"/>
                      </w:rPr>
                    </w:pPr>
                    <w:r>
                      <w:rPr>
                        <w:b/>
                        <w:sz w:val="7"/>
                      </w:rPr>
                      <w:t>Evaluación</w:t>
                    </w:r>
                  </w:p>
                </w:txbxContent>
              </v:textbox>
              <w10:wrap type="none"/>
            </v:shape>
            <v:shape style="position:absolute;left:2353;top:1091;width:1346;height:70" type="#_x0000_t202" filled="false" stroked="false">
              <v:textbox inset="0,0,0,0">
                <w:txbxContent>
                  <w:p>
                    <w:pPr>
                      <w:tabs>
                        <w:tab w:pos="1168" w:val="left" w:leader="none"/>
                      </w:tabs>
                      <w:spacing w:line="70" w:lineRule="exact" w:before="0"/>
                      <w:ind w:left="0" w:right="0" w:firstLine="0"/>
                      <w:jc w:val="left"/>
                      <w:rPr>
                        <w:rFonts w:ascii="Calibri" w:hAnsi="Calibri"/>
                        <w:sz w:val="7"/>
                      </w:rPr>
                    </w:pPr>
                    <w:r>
                      <w:rPr>
                        <w:rFonts w:ascii="Calibri" w:hAnsi="Calibri"/>
                        <w:sz w:val="7"/>
                      </w:rPr>
                      <w:t>Situación de</w:t>
                    </w:r>
                    <w:r>
                      <w:rPr>
                        <w:rFonts w:ascii="Calibri" w:hAnsi="Calibri"/>
                        <w:spacing w:val="-3"/>
                        <w:sz w:val="7"/>
                      </w:rPr>
                      <w:t> </w:t>
                    </w:r>
                    <w:r>
                      <w:rPr>
                        <w:rFonts w:ascii="Calibri" w:hAnsi="Calibri"/>
                        <w:sz w:val="7"/>
                      </w:rPr>
                      <w:t>la</w:t>
                    </w:r>
                    <w:r>
                      <w:rPr>
                        <w:rFonts w:ascii="Calibri" w:hAnsi="Calibri"/>
                        <w:spacing w:val="-2"/>
                        <w:sz w:val="7"/>
                      </w:rPr>
                      <w:t> </w:t>
                    </w:r>
                    <w:r>
                      <w:rPr>
                        <w:rFonts w:ascii="Calibri" w:hAnsi="Calibri"/>
                        <w:sz w:val="7"/>
                      </w:rPr>
                      <w:t>vivienda</w:t>
                      <w:tab/>
                    </w:r>
                    <w:r>
                      <w:rPr>
                        <w:rFonts w:ascii="Calibri" w:hAnsi="Calibri"/>
                        <w:w w:val="95"/>
                        <w:sz w:val="7"/>
                      </w:rPr>
                      <w:t>Precio</w:t>
                    </w:r>
                  </w:p>
                </w:txbxContent>
              </v:textbox>
              <w10:wrap type="none"/>
            </v:shape>
            <v:shape style="position:absolute;left:3870;top:1178;width:239;height:70" type="#_x0000_t202" filled="false" stroked="false">
              <v:textbox inset="0,0,0,0">
                <w:txbxContent>
                  <w:p>
                    <w:pPr>
                      <w:spacing w:line="70" w:lineRule="exact" w:before="0"/>
                      <w:ind w:left="0" w:right="-9" w:firstLine="0"/>
                      <w:jc w:val="left"/>
                      <w:rPr>
                        <w:rFonts w:ascii="Calibri"/>
                        <w:sz w:val="7"/>
                      </w:rPr>
                    </w:pPr>
                    <w:r>
                      <w:rPr>
                        <w:rFonts w:ascii="Calibri"/>
                        <w:w w:val="95"/>
                        <w:sz w:val="7"/>
                      </w:rPr>
                      <w:t>Subtotal</w:t>
                    </w:r>
                  </w:p>
                </w:txbxContent>
              </v:textbox>
              <w10:wrap type="none"/>
            </v:shape>
            <v:shape style="position:absolute;left:4806;top:1091;width:89;height:157" type="#_x0000_t202" filled="false" stroked="false">
              <v:textbox inset="0,0,0,0">
                <w:txbxContent>
                  <w:p>
                    <w:pPr>
                      <w:spacing w:line="73" w:lineRule="exact" w:before="0"/>
                      <w:ind w:left="0" w:right="-20" w:firstLine="0"/>
                      <w:jc w:val="left"/>
                      <w:rPr>
                        <w:rFonts w:ascii="Calibri"/>
                        <w:sz w:val="7"/>
                      </w:rPr>
                    </w:pPr>
                    <w:r>
                      <w:rPr>
                        <w:rFonts w:ascii="Calibri"/>
                        <w:sz w:val="7"/>
                      </w:rPr>
                      <w:t>0.5</w:t>
                    </w:r>
                  </w:p>
                  <w:p>
                    <w:pPr>
                      <w:spacing w:line="82" w:lineRule="exact" w:before="1"/>
                      <w:ind w:left="0" w:right="-20" w:firstLine="0"/>
                      <w:jc w:val="left"/>
                      <w:rPr>
                        <w:rFonts w:ascii="Calibri"/>
                        <w:sz w:val="7"/>
                      </w:rPr>
                    </w:pPr>
                    <w:r>
                      <w:rPr>
                        <w:rFonts w:ascii="Calibri"/>
                        <w:sz w:val="7"/>
                      </w:rPr>
                      <w:t>0.5</w:t>
                    </w:r>
                  </w:p>
                </w:txbxContent>
              </v:textbox>
              <w10:wrap type="none"/>
            </v:shape>
            <v:shape style="position:absolute;left:5428;top:1091;width:36;height:157" type="#_x0000_t202" filled="false" stroked="false">
              <v:textbox inset="0,0,0,0">
                <w:txbxContent>
                  <w:p>
                    <w:pPr>
                      <w:spacing w:line="73" w:lineRule="exact" w:before="0"/>
                      <w:ind w:left="0" w:right="0" w:firstLine="0"/>
                      <w:jc w:val="left"/>
                      <w:rPr>
                        <w:rFonts w:ascii="Calibri"/>
                        <w:sz w:val="7"/>
                      </w:rPr>
                    </w:pPr>
                    <w:r>
                      <w:rPr>
                        <w:rFonts w:ascii="Calibri"/>
                        <w:w w:val="99"/>
                        <w:sz w:val="7"/>
                      </w:rPr>
                      <w:t>0</w:t>
                    </w:r>
                  </w:p>
                  <w:p>
                    <w:pPr>
                      <w:spacing w:line="82" w:lineRule="exact" w:before="1"/>
                      <w:ind w:left="0" w:right="0" w:firstLine="0"/>
                      <w:jc w:val="left"/>
                      <w:rPr>
                        <w:rFonts w:ascii="Calibri"/>
                        <w:sz w:val="7"/>
                      </w:rPr>
                    </w:pPr>
                    <w:r>
                      <w:rPr>
                        <w:rFonts w:ascii="Calibri"/>
                        <w:w w:val="99"/>
                        <w:sz w:val="7"/>
                      </w:rPr>
                      <w:t>0</w:t>
                    </w:r>
                  </w:p>
                </w:txbxContent>
              </v:textbox>
              <w10:wrap type="none"/>
            </v:shape>
            <v:shape style="position:absolute;left:5939;top:1091;width:89;height:157" type="#_x0000_t202" filled="false" stroked="false">
              <v:textbox inset="0,0,0,0">
                <w:txbxContent>
                  <w:p>
                    <w:pPr>
                      <w:spacing w:line="73" w:lineRule="exact" w:before="0"/>
                      <w:ind w:left="0" w:right="-20" w:firstLine="0"/>
                      <w:jc w:val="left"/>
                      <w:rPr>
                        <w:rFonts w:ascii="Calibri"/>
                        <w:sz w:val="7"/>
                      </w:rPr>
                    </w:pPr>
                    <w:r>
                      <w:rPr>
                        <w:rFonts w:ascii="Calibri"/>
                        <w:sz w:val="7"/>
                      </w:rPr>
                      <w:t>0.5</w:t>
                    </w:r>
                  </w:p>
                  <w:p>
                    <w:pPr>
                      <w:spacing w:line="82" w:lineRule="exact" w:before="1"/>
                      <w:ind w:left="0" w:right="-20" w:firstLine="0"/>
                      <w:jc w:val="left"/>
                      <w:rPr>
                        <w:rFonts w:ascii="Calibri"/>
                        <w:sz w:val="7"/>
                      </w:rPr>
                    </w:pPr>
                    <w:r>
                      <w:rPr>
                        <w:rFonts w:ascii="Calibri"/>
                        <w:sz w:val="7"/>
                      </w:rPr>
                      <w:t>0.5</w:t>
                    </w:r>
                  </w:p>
                </w:txbxContent>
              </v:textbox>
              <w10:wrap type="none"/>
            </v:shape>
            <v:shape style="position:absolute;left:6596;top:1091;width:36;height:157" type="#_x0000_t202" filled="false" stroked="false">
              <v:textbox inset="0,0,0,0">
                <w:txbxContent>
                  <w:p>
                    <w:pPr>
                      <w:spacing w:line="73" w:lineRule="exact" w:before="0"/>
                      <w:ind w:left="0" w:right="0" w:firstLine="0"/>
                      <w:jc w:val="left"/>
                      <w:rPr>
                        <w:rFonts w:ascii="Calibri"/>
                        <w:sz w:val="7"/>
                      </w:rPr>
                    </w:pPr>
                    <w:r>
                      <w:rPr>
                        <w:rFonts w:ascii="Calibri"/>
                        <w:w w:val="99"/>
                        <w:sz w:val="7"/>
                      </w:rPr>
                      <w:t>0</w:t>
                    </w:r>
                  </w:p>
                  <w:p>
                    <w:pPr>
                      <w:spacing w:line="82" w:lineRule="exact" w:before="1"/>
                      <w:ind w:left="0" w:right="0" w:firstLine="0"/>
                      <w:jc w:val="left"/>
                      <w:rPr>
                        <w:rFonts w:ascii="Calibri"/>
                        <w:sz w:val="7"/>
                      </w:rPr>
                    </w:pPr>
                    <w:r>
                      <w:rPr>
                        <w:rFonts w:ascii="Calibri"/>
                        <w:w w:val="99"/>
                        <w:sz w:val="7"/>
                      </w:rPr>
                      <w:t>0</w:t>
                    </w:r>
                  </w:p>
                </w:txbxContent>
              </v:textbox>
              <w10:wrap type="none"/>
            </v:shape>
            <v:shape style="position:absolute;left:7288;top:1091;width:36;height:157" type="#_x0000_t202" filled="false" stroked="false">
              <v:textbox inset="0,0,0,0">
                <w:txbxContent>
                  <w:p>
                    <w:pPr>
                      <w:spacing w:line="73" w:lineRule="exact" w:before="0"/>
                      <w:ind w:left="0" w:right="0" w:firstLine="0"/>
                      <w:jc w:val="left"/>
                      <w:rPr>
                        <w:rFonts w:ascii="Calibri"/>
                        <w:sz w:val="7"/>
                      </w:rPr>
                    </w:pPr>
                    <w:r>
                      <w:rPr>
                        <w:rFonts w:ascii="Calibri"/>
                        <w:w w:val="99"/>
                        <w:sz w:val="7"/>
                      </w:rPr>
                      <w:t>1</w:t>
                    </w:r>
                  </w:p>
                  <w:p>
                    <w:pPr>
                      <w:spacing w:line="82" w:lineRule="exact" w:before="1"/>
                      <w:ind w:left="0" w:right="0" w:firstLine="0"/>
                      <w:jc w:val="left"/>
                      <w:rPr>
                        <w:rFonts w:ascii="Calibri"/>
                        <w:sz w:val="7"/>
                      </w:rPr>
                    </w:pPr>
                    <w:r>
                      <w:rPr>
                        <w:rFonts w:ascii="Calibri"/>
                        <w:w w:val="99"/>
                        <w:sz w:val="7"/>
                      </w:rPr>
                      <w:t>1</w:t>
                    </w:r>
                  </w:p>
                </w:txbxContent>
              </v:textbox>
              <w10:wrap type="none"/>
            </v:shape>
            <v:shape style="position:absolute;left:8061;top:1091;width:36;height:157" type="#_x0000_t202" filled="false" stroked="false">
              <v:textbox inset="0,0,0,0">
                <w:txbxContent>
                  <w:p>
                    <w:pPr>
                      <w:spacing w:line="73" w:lineRule="exact" w:before="0"/>
                      <w:ind w:left="0" w:right="0" w:firstLine="0"/>
                      <w:jc w:val="left"/>
                      <w:rPr>
                        <w:rFonts w:ascii="Calibri"/>
                        <w:sz w:val="7"/>
                      </w:rPr>
                    </w:pPr>
                    <w:r>
                      <w:rPr>
                        <w:rFonts w:ascii="Calibri"/>
                        <w:w w:val="99"/>
                        <w:sz w:val="7"/>
                      </w:rPr>
                      <w:t>1</w:t>
                    </w:r>
                  </w:p>
                  <w:p>
                    <w:pPr>
                      <w:spacing w:line="82" w:lineRule="exact" w:before="1"/>
                      <w:ind w:left="0" w:right="0" w:firstLine="0"/>
                      <w:jc w:val="left"/>
                      <w:rPr>
                        <w:rFonts w:ascii="Calibri"/>
                        <w:sz w:val="7"/>
                      </w:rPr>
                    </w:pPr>
                    <w:r>
                      <w:rPr>
                        <w:rFonts w:ascii="Calibri"/>
                        <w:w w:val="99"/>
                        <w:sz w:val="7"/>
                      </w:rPr>
                      <w:t>1</w:t>
                    </w:r>
                  </w:p>
                </w:txbxContent>
              </v:textbox>
              <w10:wrap type="none"/>
            </v:shape>
            <v:shape style="position:absolute;left:8840;top:1091;width:36;height:157" type="#_x0000_t202" filled="false" stroked="false">
              <v:textbox inset="0,0,0,0">
                <w:txbxContent>
                  <w:p>
                    <w:pPr>
                      <w:spacing w:line="73" w:lineRule="exact" w:before="0"/>
                      <w:ind w:left="0" w:right="0" w:firstLine="0"/>
                      <w:jc w:val="left"/>
                      <w:rPr>
                        <w:rFonts w:ascii="Calibri"/>
                        <w:sz w:val="7"/>
                      </w:rPr>
                    </w:pPr>
                    <w:r>
                      <w:rPr>
                        <w:rFonts w:ascii="Calibri"/>
                        <w:w w:val="99"/>
                        <w:sz w:val="7"/>
                      </w:rPr>
                      <w:t>1</w:t>
                    </w:r>
                  </w:p>
                  <w:p>
                    <w:pPr>
                      <w:spacing w:line="82" w:lineRule="exact" w:before="1"/>
                      <w:ind w:left="0" w:right="0" w:firstLine="0"/>
                      <w:jc w:val="left"/>
                      <w:rPr>
                        <w:rFonts w:ascii="Calibri"/>
                        <w:sz w:val="7"/>
                      </w:rPr>
                    </w:pPr>
                    <w:r>
                      <w:rPr>
                        <w:rFonts w:ascii="Calibri"/>
                        <w:w w:val="99"/>
                        <w:sz w:val="7"/>
                      </w:rPr>
                      <w:t>1</w:t>
                    </w:r>
                  </w:p>
                </w:txbxContent>
              </v:textbox>
              <w10:wrap type="none"/>
            </v:shape>
            <v:shape style="position:absolute;left:9642;top:1091;width:89;height:157" type="#_x0000_t202" filled="false" stroked="false">
              <v:textbox inset="0,0,0,0">
                <w:txbxContent>
                  <w:p>
                    <w:pPr>
                      <w:spacing w:line="73" w:lineRule="exact" w:before="0"/>
                      <w:ind w:left="0" w:right="-20" w:firstLine="0"/>
                      <w:jc w:val="left"/>
                      <w:rPr>
                        <w:rFonts w:ascii="Calibri"/>
                        <w:sz w:val="7"/>
                      </w:rPr>
                    </w:pPr>
                    <w:r>
                      <w:rPr>
                        <w:rFonts w:ascii="Calibri"/>
                        <w:sz w:val="7"/>
                      </w:rPr>
                      <w:t>0.5</w:t>
                    </w:r>
                  </w:p>
                  <w:p>
                    <w:pPr>
                      <w:spacing w:line="82" w:lineRule="exact" w:before="1"/>
                      <w:ind w:left="0" w:right="-20" w:firstLine="0"/>
                      <w:jc w:val="left"/>
                      <w:rPr>
                        <w:rFonts w:ascii="Calibri"/>
                        <w:sz w:val="7"/>
                      </w:rPr>
                    </w:pPr>
                    <w:r>
                      <w:rPr>
                        <w:rFonts w:ascii="Calibri"/>
                        <w:sz w:val="7"/>
                      </w:rPr>
                      <w:t>0.5</w:t>
                    </w:r>
                  </w:p>
                </w:txbxContent>
              </v:textbox>
              <w10:wrap type="none"/>
            </v:shape>
            <v:shape style="position:absolute;left:10450;top:1091;width:36;height:157" type="#_x0000_t202" filled="false" stroked="false">
              <v:textbox inset="0,0,0,0">
                <w:txbxContent>
                  <w:p>
                    <w:pPr>
                      <w:spacing w:line="73" w:lineRule="exact" w:before="0"/>
                      <w:ind w:left="0" w:right="0" w:firstLine="0"/>
                      <w:jc w:val="left"/>
                      <w:rPr>
                        <w:rFonts w:ascii="Calibri"/>
                        <w:sz w:val="7"/>
                      </w:rPr>
                    </w:pPr>
                    <w:r>
                      <w:rPr>
                        <w:rFonts w:ascii="Calibri"/>
                        <w:w w:val="99"/>
                        <w:sz w:val="7"/>
                      </w:rPr>
                      <w:t>1</w:t>
                    </w:r>
                  </w:p>
                  <w:p>
                    <w:pPr>
                      <w:spacing w:line="82" w:lineRule="exact" w:before="1"/>
                      <w:ind w:left="0" w:right="0" w:firstLine="0"/>
                      <w:jc w:val="left"/>
                      <w:rPr>
                        <w:rFonts w:ascii="Calibri"/>
                        <w:sz w:val="7"/>
                      </w:rPr>
                    </w:pPr>
                    <w:r>
                      <w:rPr>
                        <w:rFonts w:ascii="Calibri"/>
                        <w:w w:val="99"/>
                        <w:sz w:val="7"/>
                      </w:rPr>
                      <w:t>1</w:t>
                    </w:r>
                  </w:p>
                </w:txbxContent>
              </v:textbox>
              <w10:wrap type="none"/>
            </v:shape>
            <v:shape style="position:absolute;left:2353;top:1352;width:133;height:70" type="#_x0000_t202" filled="false" stroked="false">
              <v:textbox inset="0,0,0,0">
                <w:txbxContent>
                  <w:p>
                    <w:pPr>
                      <w:spacing w:line="70" w:lineRule="exact" w:before="0"/>
                      <w:ind w:left="0" w:right="-14" w:firstLine="0"/>
                      <w:jc w:val="left"/>
                      <w:rPr>
                        <w:rFonts w:ascii="Calibri"/>
                        <w:sz w:val="7"/>
                      </w:rPr>
                    </w:pPr>
                    <w:r>
                      <w:rPr>
                        <w:rFonts w:ascii="Calibri"/>
                        <w:w w:val="95"/>
                        <w:sz w:val="7"/>
                      </w:rPr>
                      <w:t>INEX</w:t>
                    </w:r>
                  </w:p>
                </w:txbxContent>
              </v:textbox>
              <w10:wrap type="none"/>
            </v:shape>
            <v:shape style="position:absolute;left:3521;top:1352;width:254;height:70" type="#_x0000_t202" filled="false" stroked="false">
              <v:textbox inset="0,0,0,0">
                <w:txbxContent>
                  <w:p>
                    <w:pPr>
                      <w:spacing w:line="70" w:lineRule="exact" w:before="0"/>
                      <w:ind w:left="0" w:right="-8" w:firstLine="0"/>
                      <w:jc w:val="left"/>
                      <w:rPr>
                        <w:rFonts w:ascii="Calibri"/>
                        <w:sz w:val="7"/>
                      </w:rPr>
                    </w:pPr>
                    <w:r>
                      <w:rPr>
                        <w:rFonts w:ascii="Calibri"/>
                        <w:w w:val="95"/>
                        <w:sz w:val="7"/>
                      </w:rPr>
                      <w:t>Infonavit</w:t>
                    </w:r>
                  </w:p>
                </w:txbxContent>
              </v:textbox>
              <w10:wrap type="none"/>
            </v:shape>
            <v:shape style="position:absolute;left:3870;top:1438;width:239;height:70" type="#_x0000_t202" filled="false" stroked="false">
              <v:textbox inset="0,0,0,0">
                <w:txbxContent>
                  <w:p>
                    <w:pPr>
                      <w:spacing w:line="70" w:lineRule="exact" w:before="0"/>
                      <w:ind w:left="0" w:right="-9" w:firstLine="0"/>
                      <w:jc w:val="left"/>
                      <w:rPr>
                        <w:rFonts w:ascii="Calibri"/>
                        <w:sz w:val="7"/>
                      </w:rPr>
                    </w:pPr>
                    <w:r>
                      <w:rPr>
                        <w:rFonts w:ascii="Calibri"/>
                        <w:w w:val="95"/>
                        <w:sz w:val="7"/>
                      </w:rPr>
                      <w:t>Subtotal</w:t>
                    </w:r>
                  </w:p>
                </w:txbxContent>
              </v:textbox>
              <w10:wrap type="none"/>
            </v:shape>
            <v:shape style="position:absolute;left:4835;top:1352;width:36;height:157" type="#_x0000_t202" filled="false" stroked="false">
              <v:textbox inset="0,0,0,0">
                <w:txbxContent>
                  <w:p>
                    <w:pPr>
                      <w:spacing w:line="73" w:lineRule="exact" w:before="0"/>
                      <w:ind w:left="0" w:right="0" w:firstLine="0"/>
                      <w:jc w:val="left"/>
                      <w:rPr>
                        <w:rFonts w:ascii="Calibri"/>
                        <w:sz w:val="7"/>
                      </w:rPr>
                    </w:pPr>
                    <w:r>
                      <w:rPr>
                        <w:rFonts w:ascii="Calibri"/>
                        <w:w w:val="99"/>
                        <w:sz w:val="7"/>
                      </w:rPr>
                      <w:t>0</w:t>
                    </w:r>
                  </w:p>
                  <w:p>
                    <w:pPr>
                      <w:spacing w:line="82" w:lineRule="exact" w:before="1"/>
                      <w:ind w:left="0" w:right="0" w:firstLine="0"/>
                      <w:jc w:val="left"/>
                      <w:rPr>
                        <w:rFonts w:ascii="Calibri"/>
                        <w:sz w:val="7"/>
                      </w:rPr>
                    </w:pPr>
                    <w:r>
                      <w:rPr>
                        <w:rFonts w:ascii="Calibri"/>
                        <w:w w:val="99"/>
                        <w:sz w:val="7"/>
                      </w:rPr>
                      <w:t>0</w:t>
                    </w:r>
                  </w:p>
                </w:txbxContent>
              </v:textbox>
              <w10:wrap type="none"/>
            </v:shape>
            <v:shape style="position:absolute;left:5428;top:1352;width:36;height:157" type="#_x0000_t202" filled="false" stroked="false">
              <v:textbox inset="0,0,0,0">
                <w:txbxContent>
                  <w:p>
                    <w:pPr>
                      <w:spacing w:line="73" w:lineRule="exact" w:before="0"/>
                      <w:ind w:left="0" w:right="0" w:firstLine="0"/>
                      <w:jc w:val="left"/>
                      <w:rPr>
                        <w:rFonts w:ascii="Calibri"/>
                        <w:sz w:val="7"/>
                      </w:rPr>
                    </w:pPr>
                    <w:r>
                      <w:rPr>
                        <w:rFonts w:ascii="Calibri"/>
                        <w:w w:val="99"/>
                        <w:sz w:val="7"/>
                      </w:rPr>
                      <w:t>0</w:t>
                    </w:r>
                  </w:p>
                  <w:p>
                    <w:pPr>
                      <w:spacing w:line="82" w:lineRule="exact" w:before="1"/>
                      <w:ind w:left="0" w:right="0" w:firstLine="0"/>
                      <w:jc w:val="left"/>
                      <w:rPr>
                        <w:rFonts w:ascii="Calibri"/>
                        <w:sz w:val="7"/>
                      </w:rPr>
                    </w:pPr>
                    <w:r>
                      <w:rPr>
                        <w:rFonts w:ascii="Calibri"/>
                        <w:w w:val="99"/>
                        <w:sz w:val="7"/>
                      </w:rPr>
                      <w:t>0</w:t>
                    </w:r>
                  </w:p>
                </w:txbxContent>
              </v:textbox>
              <w10:wrap type="none"/>
            </v:shape>
            <v:shape style="position:absolute;left:5968;top:1352;width:36;height:157" type="#_x0000_t202" filled="false" stroked="false">
              <v:textbox inset="0,0,0,0">
                <w:txbxContent>
                  <w:p>
                    <w:pPr>
                      <w:spacing w:line="73" w:lineRule="exact" w:before="0"/>
                      <w:ind w:left="0" w:right="0" w:firstLine="0"/>
                      <w:jc w:val="left"/>
                      <w:rPr>
                        <w:rFonts w:ascii="Calibri"/>
                        <w:sz w:val="7"/>
                      </w:rPr>
                    </w:pPr>
                    <w:r>
                      <w:rPr>
                        <w:rFonts w:ascii="Calibri"/>
                        <w:w w:val="99"/>
                        <w:sz w:val="7"/>
                      </w:rPr>
                      <w:t>0</w:t>
                    </w:r>
                  </w:p>
                  <w:p>
                    <w:pPr>
                      <w:spacing w:line="82" w:lineRule="exact" w:before="1"/>
                      <w:ind w:left="0" w:right="0" w:firstLine="0"/>
                      <w:jc w:val="left"/>
                      <w:rPr>
                        <w:rFonts w:ascii="Calibri"/>
                        <w:sz w:val="7"/>
                      </w:rPr>
                    </w:pPr>
                    <w:r>
                      <w:rPr>
                        <w:rFonts w:ascii="Calibri"/>
                        <w:w w:val="99"/>
                        <w:sz w:val="7"/>
                      </w:rPr>
                      <w:t>0</w:t>
                    </w:r>
                  </w:p>
                </w:txbxContent>
              </v:textbox>
              <w10:wrap type="none"/>
            </v:shape>
            <v:shape style="position:absolute;left:6596;top:1352;width:36;height:157" type="#_x0000_t202" filled="false" stroked="false">
              <v:textbox inset="0,0,0,0">
                <w:txbxContent>
                  <w:p>
                    <w:pPr>
                      <w:spacing w:line="73" w:lineRule="exact" w:before="0"/>
                      <w:ind w:left="0" w:right="0" w:firstLine="0"/>
                      <w:jc w:val="left"/>
                      <w:rPr>
                        <w:rFonts w:ascii="Calibri"/>
                        <w:sz w:val="7"/>
                      </w:rPr>
                    </w:pPr>
                    <w:r>
                      <w:rPr>
                        <w:rFonts w:ascii="Calibri"/>
                        <w:w w:val="99"/>
                        <w:sz w:val="7"/>
                      </w:rPr>
                      <w:t>0</w:t>
                    </w:r>
                  </w:p>
                  <w:p>
                    <w:pPr>
                      <w:spacing w:line="82" w:lineRule="exact" w:before="1"/>
                      <w:ind w:left="0" w:right="0" w:firstLine="0"/>
                      <w:jc w:val="left"/>
                      <w:rPr>
                        <w:rFonts w:ascii="Calibri"/>
                        <w:sz w:val="7"/>
                      </w:rPr>
                    </w:pPr>
                    <w:r>
                      <w:rPr>
                        <w:rFonts w:ascii="Calibri"/>
                        <w:w w:val="99"/>
                        <w:sz w:val="7"/>
                      </w:rPr>
                      <w:t>0</w:t>
                    </w:r>
                  </w:p>
                </w:txbxContent>
              </v:textbox>
              <w10:wrap type="none"/>
            </v:shape>
            <v:shape style="position:absolute;left:7288;top:1352;width:36;height:157" type="#_x0000_t202" filled="false" stroked="false">
              <v:textbox inset="0,0,0,0">
                <w:txbxContent>
                  <w:p>
                    <w:pPr>
                      <w:spacing w:line="73" w:lineRule="exact" w:before="0"/>
                      <w:ind w:left="0" w:right="0" w:firstLine="0"/>
                      <w:jc w:val="left"/>
                      <w:rPr>
                        <w:rFonts w:ascii="Calibri"/>
                        <w:sz w:val="7"/>
                      </w:rPr>
                    </w:pPr>
                    <w:r>
                      <w:rPr>
                        <w:rFonts w:ascii="Calibri"/>
                        <w:w w:val="99"/>
                        <w:sz w:val="7"/>
                      </w:rPr>
                      <w:t>0</w:t>
                    </w:r>
                  </w:p>
                  <w:p>
                    <w:pPr>
                      <w:spacing w:line="82" w:lineRule="exact" w:before="1"/>
                      <w:ind w:left="0" w:right="0" w:firstLine="0"/>
                      <w:jc w:val="left"/>
                      <w:rPr>
                        <w:rFonts w:ascii="Calibri"/>
                        <w:sz w:val="7"/>
                      </w:rPr>
                    </w:pPr>
                    <w:r>
                      <w:rPr>
                        <w:rFonts w:ascii="Calibri"/>
                        <w:w w:val="99"/>
                        <w:sz w:val="7"/>
                      </w:rPr>
                      <w:t>0</w:t>
                    </w:r>
                  </w:p>
                </w:txbxContent>
              </v:textbox>
              <w10:wrap type="none"/>
            </v:shape>
            <v:shape style="position:absolute;left:8061;top:1352;width:36;height:157" type="#_x0000_t202" filled="false" stroked="false">
              <v:textbox inset="0,0,0,0">
                <w:txbxContent>
                  <w:p>
                    <w:pPr>
                      <w:spacing w:line="73" w:lineRule="exact" w:before="0"/>
                      <w:ind w:left="0" w:right="0" w:firstLine="0"/>
                      <w:jc w:val="left"/>
                      <w:rPr>
                        <w:rFonts w:ascii="Calibri"/>
                        <w:sz w:val="7"/>
                      </w:rPr>
                    </w:pPr>
                    <w:r>
                      <w:rPr>
                        <w:rFonts w:ascii="Calibri"/>
                        <w:w w:val="99"/>
                        <w:sz w:val="7"/>
                      </w:rPr>
                      <w:t>0</w:t>
                    </w:r>
                  </w:p>
                  <w:p>
                    <w:pPr>
                      <w:spacing w:line="82" w:lineRule="exact" w:before="1"/>
                      <w:ind w:left="0" w:right="0" w:firstLine="0"/>
                      <w:jc w:val="left"/>
                      <w:rPr>
                        <w:rFonts w:ascii="Calibri"/>
                        <w:sz w:val="7"/>
                      </w:rPr>
                    </w:pPr>
                    <w:r>
                      <w:rPr>
                        <w:rFonts w:ascii="Calibri"/>
                        <w:w w:val="99"/>
                        <w:sz w:val="7"/>
                      </w:rPr>
                      <w:t>0</w:t>
                    </w:r>
                  </w:p>
                </w:txbxContent>
              </v:textbox>
              <w10:wrap type="none"/>
            </v:shape>
            <v:shape style="position:absolute;left:8840;top:1352;width:36;height:157" type="#_x0000_t202" filled="false" stroked="false">
              <v:textbox inset="0,0,0,0">
                <w:txbxContent>
                  <w:p>
                    <w:pPr>
                      <w:spacing w:line="73" w:lineRule="exact" w:before="0"/>
                      <w:ind w:left="0" w:right="0" w:firstLine="0"/>
                      <w:jc w:val="left"/>
                      <w:rPr>
                        <w:rFonts w:ascii="Calibri"/>
                        <w:sz w:val="7"/>
                      </w:rPr>
                    </w:pPr>
                    <w:r>
                      <w:rPr>
                        <w:rFonts w:ascii="Calibri"/>
                        <w:w w:val="99"/>
                        <w:sz w:val="7"/>
                      </w:rPr>
                      <w:t>0</w:t>
                    </w:r>
                  </w:p>
                  <w:p>
                    <w:pPr>
                      <w:spacing w:line="82" w:lineRule="exact" w:before="1"/>
                      <w:ind w:left="0" w:right="0" w:firstLine="0"/>
                      <w:jc w:val="left"/>
                      <w:rPr>
                        <w:rFonts w:ascii="Calibri"/>
                        <w:sz w:val="7"/>
                      </w:rPr>
                    </w:pPr>
                    <w:r>
                      <w:rPr>
                        <w:rFonts w:ascii="Calibri"/>
                        <w:w w:val="99"/>
                        <w:sz w:val="7"/>
                      </w:rPr>
                      <w:t>0</w:t>
                    </w:r>
                  </w:p>
                </w:txbxContent>
              </v:textbox>
              <w10:wrap type="none"/>
            </v:shape>
            <v:shape style="position:absolute;left:9671;top:1352;width:36;height:157" type="#_x0000_t202" filled="false" stroked="false">
              <v:textbox inset="0,0,0,0">
                <w:txbxContent>
                  <w:p>
                    <w:pPr>
                      <w:spacing w:line="73" w:lineRule="exact" w:before="0"/>
                      <w:ind w:left="0" w:right="0" w:firstLine="0"/>
                      <w:jc w:val="left"/>
                      <w:rPr>
                        <w:rFonts w:ascii="Calibri"/>
                        <w:sz w:val="7"/>
                      </w:rPr>
                    </w:pPr>
                    <w:r>
                      <w:rPr>
                        <w:rFonts w:ascii="Calibri"/>
                        <w:w w:val="99"/>
                        <w:sz w:val="7"/>
                      </w:rPr>
                      <w:t>0</w:t>
                    </w:r>
                  </w:p>
                  <w:p>
                    <w:pPr>
                      <w:spacing w:line="82" w:lineRule="exact" w:before="1"/>
                      <w:ind w:left="0" w:right="0" w:firstLine="0"/>
                      <w:jc w:val="left"/>
                      <w:rPr>
                        <w:rFonts w:ascii="Calibri"/>
                        <w:sz w:val="7"/>
                      </w:rPr>
                    </w:pPr>
                    <w:r>
                      <w:rPr>
                        <w:rFonts w:ascii="Calibri"/>
                        <w:w w:val="99"/>
                        <w:sz w:val="7"/>
                      </w:rPr>
                      <w:t>0</w:t>
                    </w:r>
                  </w:p>
                </w:txbxContent>
              </v:textbox>
              <w10:wrap type="none"/>
            </v:shape>
            <v:shape style="position:absolute;left:10450;top:1352;width:36;height:157" type="#_x0000_t202" filled="false" stroked="false">
              <v:textbox inset="0,0,0,0">
                <w:txbxContent>
                  <w:p>
                    <w:pPr>
                      <w:spacing w:line="73" w:lineRule="exact" w:before="0"/>
                      <w:ind w:left="0" w:right="0" w:firstLine="0"/>
                      <w:jc w:val="left"/>
                      <w:rPr>
                        <w:rFonts w:ascii="Calibri"/>
                        <w:sz w:val="7"/>
                      </w:rPr>
                    </w:pPr>
                    <w:r>
                      <w:rPr>
                        <w:rFonts w:ascii="Calibri"/>
                        <w:w w:val="99"/>
                        <w:sz w:val="7"/>
                      </w:rPr>
                      <w:t>0</w:t>
                    </w:r>
                  </w:p>
                  <w:p>
                    <w:pPr>
                      <w:spacing w:line="82" w:lineRule="exact" w:before="1"/>
                      <w:ind w:left="0" w:right="0" w:firstLine="0"/>
                      <w:jc w:val="left"/>
                      <w:rPr>
                        <w:rFonts w:ascii="Calibri"/>
                        <w:sz w:val="7"/>
                      </w:rPr>
                    </w:pPr>
                    <w:r>
                      <w:rPr>
                        <w:rFonts w:ascii="Calibri"/>
                        <w:w w:val="99"/>
                        <w:sz w:val="7"/>
                      </w:rPr>
                      <w:t>0</w:t>
                    </w:r>
                  </w:p>
                </w:txbxContent>
              </v:textbox>
              <w10:wrap type="none"/>
            </v:shape>
            <v:shape style="position:absolute;left:2353;top:1699;width:718;height:70" type="#_x0000_t202" filled="false" stroked="false">
              <v:textbox inset="0,0,0,0">
                <w:txbxContent>
                  <w:p>
                    <w:pPr>
                      <w:spacing w:line="70" w:lineRule="exact" w:before="0"/>
                      <w:ind w:left="0" w:right="-17" w:firstLine="0"/>
                      <w:jc w:val="left"/>
                      <w:rPr>
                        <w:rFonts w:ascii="Calibri" w:hAnsi="Calibri"/>
                        <w:sz w:val="7"/>
                      </w:rPr>
                    </w:pPr>
                    <w:r>
                      <w:rPr>
                        <w:rFonts w:ascii="Calibri" w:hAnsi="Calibri"/>
                        <w:sz w:val="7"/>
                      </w:rPr>
                      <w:t>Ingresos por</w:t>
                    </w:r>
                    <w:r>
                      <w:rPr>
                        <w:rFonts w:ascii="Calibri" w:hAnsi="Calibri"/>
                        <w:spacing w:val="-5"/>
                        <w:sz w:val="7"/>
                      </w:rPr>
                      <w:t> </w:t>
                    </w:r>
                    <w:r>
                      <w:rPr>
                        <w:rFonts w:ascii="Calibri" w:hAnsi="Calibri"/>
                        <w:sz w:val="7"/>
                      </w:rPr>
                      <w:t>autorización</w:t>
                    </w:r>
                  </w:p>
                </w:txbxContent>
              </v:textbox>
              <w10:wrap type="none"/>
            </v:shape>
            <v:shape style="position:absolute;left:3521;top:1612;width:706;height:331" type="#_x0000_t202" filled="false" stroked="false">
              <v:textbox inset="0,0,0,0">
                <w:txbxContent>
                  <w:p>
                    <w:pPr>
                      <w:spacing w:line="73" w:lineRule="exact" w:before="0"/>
                      <w:ind w:left="0" w:right="-17" w:firstLine="0"/>
                      <w:jc w:val="left"/>
                      <w:rPr>
                        <w:rFonts w:ascii="Calibri"/>
                        <w:sz w:val="7"/>
                      </w:rPr>
                    </w:pPr>
                    <w:r>
                      <w:rPr>
                        <w:rFonts w:ascii="Calibri"/>
                        <w:sz w:val="7"/>
                      </w:rPr>
                      <w:t>Ingresos al Estado</w:t>
                    </w:r>
                  </w:p>
                  <w:p>
                    <w:pPr>
                      <w:spacing w:before="1"/>
                      <w:ind w:left="0" w:right="-17" w:firstLine="0"/>
                      <w:jc w:val="left"/>
                      <w:rPr>
                        <w:rFonts w:ascii="Calibri"/>
                        <w:sz w:val="7"/>
                      </w:rPr>
                    </w:pPr>
                    <w:r>
                      <w:rPr>
                        <w:rFonts w:ascii="Calibri"/>
                        <w:sz w:val="7"/>
                      </w:rPr>
                      <w:t>Ingresos al Municipio Ingresos al</w:t>
                    </w:r>
                    <w:r>
                      <w:rPr>
                        <w:rFonts w:ascii="Calibri"/>
                        <w:spacing w:val="-5"/>
                        <w:sz w:val="7"/>
                      </w:rPr>
                      <w:t> </w:t>
                    </w:r>
                    <w:r>
                      <w:rPr>
                        <w:rFonts w:ascii="Calibri"/>
                        <w:sz w:val="7"/>
                      </w:rPr>
                      <w:t>Desarrollador</w:t>
                    </w:r>
                  </w:p>
                  <w:p>
                    <w:pPr>
                      <w:spacing w:line="82" w:lineRule="exact" w:before="1"/>
                      <w:ind w:left="348" w:right="-17" w:firstLine="0"/>
                      <w:jc w:val="left"/>
                      <w:rPr>
                        <w:rFonts w:ascii="Calibri"/>
                        <w:sz w:val="7"/>
                      </w:rPr>
                    </w:pPr>
                    <w:r>
                      <w:rPr>
                        <w:rFonts w:ascii="Calibri"/>
                        <w:sz w:val="7"/>
                      </w:rPr>
                      <w:t>Subtotal</w:t>
                    </w:r>
                  </w:p>
                </w:txbxContent>
              </v:textbox>
              <w10:wrap type="none"/>
            </v:shape>
            <v:shape style="position:absolute;left:4806;top:1612;width:89;height:331" type="#_x0000_t202" filled="false" stroked="false">
              <v:textbox inset="0,0,0,0">
                <w:txbxContent>
                  <w:p>
                    <w:pPr>
                      <w:spacing w:line="73" w:lineRule="exact" w:before="0"/>
                      <w:ind w:left="0" w:right="-20" w:firstLine="0"/>
                      <w:jc w:val="left"/>
                      <w:rPr>
                        <w:rFonts w:ascii="Calibri"/>
                        <w:sz w:val="7"/>
                      </w:rPr>
                    </w:pPr>
                    <w:r>
                      <w:rPr>
                        <w:rFonts w:ascii="Calibri"/>
                        <w:sz w:val="7"/>
                      </w:rPr>
                      <w:t>0.7</w:t>
                    </w:r>
                  </w:p>
                  <w:p>
                    <w:pPr>
                      <w:spacing w:before="1"/>
                      <w:ind w:left="0" w:right="-20" w:firstLine="0"/>
                      <w:jc w:val="left"/>
                      <w:rPr>
                        <w:rFonts w:ascii="Calibri"/>
                        <w:sz w:val="7"/>
                      </w:rPr>
                    </w:pPr>
                    <w:r>
                      <w:rPr>
                        <w:rFonts w:ascii="Calibri"/>
                        <w:sz w:val="7"/>
                      </w:rPr>
                      <w:t>0.5</w:t>
                    </w:r>
                  </w:p>
                  <w:p>
                    <w:pPr>
                      <w:spacing w:before="1"/>
                      <w:ind w:left="0" w:right="-20" w:firstLine="0"/>
                      <w:jc w:val="left"/>
                      <w:rPr>
                        <w:rFonts w:ascii="Calibri"/>
                        <w:sz w:val="7"/>
                      </w:rPr>
                    </w:pPr>
                    <w:r>
                      <w:rPr>
                        <w:rFonts w:ascii="Calibri"/>
                        <w:sz w:val="7"/>
                      </w:rPr>
                      <w:t>0.6</w:t>
                    </w:r>
                  </w:p>
                  <w:p>
                    <w:pPr>
                      <w:spacing w:line="82" w:lineRule="exact" w:before="1"/>
                      <w:ind w:left="0" w:right="-20" w:firstLine="0"/>
                      <w:jc w:val="left"/>
                      <w:rPr>
                        <w:rFonts w:ascii="Calibri"/>
                        <w:sz w:val="7"/>
                      </w:rPr>
                    </w:pPr>
                    <w:r>
                      <w:rPr>
                        <w:rFonts w:ascii="Calibri"/>
                        <w:sz w:val="7"/>
                      </w:rPr>
                      <w:t>1.8</w:t>
                    </w:r>
                  </w:p>
                </w:txbxContent>
              </v:textbox>
              <w10:wrap type="none"/>
            </v:shape>
            <v:shape style="position:absolute;left:5399;top:1612;width:89;height:331" type="#_x0000_t202" filled="false" stroked="false">
              <v:textbox inset="0,0,0,0">
                <w:txbxContent>
                  <w:p>
                    <w:pPr>
                      <w:spacing w:line="73" w:lineRule="exact" w:before="0"/>
                      <w:ind w:left="29" w:right="0" w:firstLine="0"/>
                      <w:jc w:val="left"/>
                      <w:rPr>
                        <w:rFonts w:ascii="Calibri"/>
                        <w:sz w:val="7"/>
                      </w:rPr>
                    </w:pPr>
                    <w:r>
                      <w:rPr>
                        <w:rFonts w:ascii="Calibri"/>
                        <w:w w:val="99"/>
                        <w:sz w:val="7"/>
                      </w:rPr>
                      <w:t>1</w:t>
                    </w:r>
                  </w:p>
                  <w:p>
                    <w:pPr>
                      <w:spacing w:before="1"/>
                      <w:ind w:left="0" w:right="-20" w:firstLine="0"/>
                      <w:jc w:val="left"/>
                      <w:rPr>
                        <w:rFonts w:ascii="Calibri"/>
                        <w:sz w:val="7"/>
                      </w:rPr>
                    </w:pPr>
                    <w:r>
                      <w:rPr>
                        <w:rFonts w:ascii="Calibri"/>
                        <w:sz w:val="7"/>
                      </w:rPr>
                      <w:t>0.9</w:t>
                    </w:r>
                  </w:p>
                  <w:p>
                    <w:pPr>
                      <w:spacing w:before="1"/>
                      <w:ind w:left="0" w:right="-20" w:firstLine="0"/>
                      <w:jc w:val="left"/>
                      <w:rPr>
                        <w:rFonts w:ascii="Calibri"/>
                        <w:sz w:val="7"/>
                      </w:rPr>
                    </w:pPr>
                    <w:r>
                      <w:rPr>
                        <w:rFonts w:ascii="Calibri"/>
                        <w:sz w:val="7"/>
                      </w:rPr>
                      <w:t>0.6</w:t>
                    </w:r>
                  </w:p>
                  <w:p>
                    <w:pPr>
                      <w:spacing w:line="82" w:lineRule="exact" w:before="1"/>
                      <w:ind w:left="0" w:right="-20" w:firstLine="0"/>
                      <w:jc w:val="left"/>
                      <w:rPr>
                        <w:rFonts w:ascii="Calibri"/>
                        <w:sz w:val="7"/>
                      </w:rPr>
                    </w:pPr>
                    <w:r>
                      <w:rPr>
                        <w:rFonts w:ascii="Calibri"/>
                        <w:sz w:val="7"/>
                      </w:rPr>
                      <w:t>2.5</w:t>
                    </w:r>
                  </w:p>
                </w:txbxContent>
              </v:textbox>
              <w10:wrap type="none"/>
            </v:shape>
            <v:shape style="position:absolute;left:5939;top:1612;width:89;height:331" type="#_x0000_t202" filled="false" stroked="false">
              <v:textbox inset="0,0,0,0">
                <w:txbxContent>
                  <w:p>
                    <w:pPr>
                      <w:spacing w:line="73" w:lineRule="exact" w:before="0"/>
                      <w:ind w:left="0" w:right="-20" w:firstLine="0"/>
                      <w:jc w:val="left"/>
                      <w:rPr>
                        <w:rFonts w:ascii="Calibri"/>
                        <w:sz w:val="7"/>
                      </w:rPr>
                    </w:pPr>
                    <w:r>
                      <w:rPr>
                        <w:rFonts w:ascii="Calibri"/>
                        <w:sz w:val="7"/>
                      </w:rPr>
                      <w:t>0.7</w:t>
                    </w:r>
                  </w:p>
                  <w:p>
                    <w:pPr>
                      <w:spacing w:before="1"/>
                      <w:ind w:left="0" w:right="-20" w:firstLine="0"/>
                      <w:jc w:val="left"/>
                      <w:rPr>
                        <w:rFonts w:ascii="Calibri"/>
                        <w:sz w:val="7"/>
                      </w:rPr>
                    </w:pPr>
                    <w:r>
                      <w:rPr>
                        <w:rFonts w:ascii="Calibri"/>
                        <w:sz w:val="7"/>
                      </w:rPr>
                      <w:t>0.5</w:t>
                    </w:r>
                  </w:p>
                  <w:p>
                    <w:pPr>
                      <w:spacing w:before="1"/>
                      <w:ind w:left="0" w:right="-20" w:firstLine="0"/>
                      <w:jc w:val="left"/>
                      <w:rPr>
                        <w:rFonts w:ascii="Calibri"/>
                        <w:sz w:val="7"/>
                      </w:rPr>
                    </w:pPr>
                    <w:r>
                      <w:rPr>
                        <w:rFonts w:ascii="Calibri"/>
                        <w:sz w:val="7"/>
                      </w:rPr>
                      <w:t>0.6</w:t>
                    </w:r>
                  </w:p>
                  <w:p>
                    <w:pPr>
                      <w:spacing w:line="82" w:lineRule="exact" w:before="1"/>
                      <w:ind w:left="0" w:right="-20" w:firstLine="0"/>
                      <w:jc w:val="left"/>
                      <w:rPr>
                        <w:rFonts w:ascii="Calibri"/>
                        <w:sz w:val="7"/>
                      </w:rPr>
                    </w:pPr>
                    <w:r>
                      <w:rPr>
                        <w:rFonts w:ascii="Calibri"/>
                        <w:sz w:val="7"/>
                      </w:rPr>
                      <w:t>1.8</w:t>
                    </w:r>
                  </w:p>
                </w:txbxContent>
              </v:textbox>
              <w10:wrap type="none"/>
            </v:shape>
            <v:shape style="position:absolute;left:6567;top:1612;width:89;height:331" type="#_x0000_t202" filled="false" stroked="false">
              <v:textbox inset="0,0,0,0">
                <w:txbxContent>
                  <w:p>
                    <w:pPr>
                      <w:spacing w:line="73" w:lineRule="exact" w:before="0"/>
                      <w:ind w:left="29" w:right="0" w:firstLine="0"/>
                      <w:jc w:val="left"/>
                      <w:rPr>
                        <w:rFonts w:ascii="Calibri"/>
                        <w:sz w:val="7"/>
                      </w:rPr>
                    </w:pPr>
                    <w:r>
                      <w:rPr>
                        <w:rFonts w:ascii="Calibri"/>
                        <w:w w:val="99"/>
                        <w:sz w:val="7"/>
                      </w:rPr>
                      <w:t>1</w:t>
                    </w:r>
                  </w:p>
                  <w:p>
                    <w:pPr>
                      <w:spacing w:before="1"/>
                      <w:ind w:left="0" w:right="-20" w:firstLine="0"/>
                      <w:jc w:val="left"/>
                      <w:rPr>
                        <w:rFonts w:ascii="Calibri"/>
                        <w:sz w:val="7"/>
                      </w:rPr>
                    </w:pPr>
                    <w:r>
                      <w:rPr>
                        <w:rFonts w:ascii="Calibri"/>
                        <w:sz w:val="7"/>
                      </w:rPr>
                      <w:t>0.9</w:t>
                    </w:r>
                  </w:p>
                  <w:p>
                    <w:pPr>
                      <w:spacing w:before="1"/>
                      <w:ind w:left="0" w:right="-20" w:firstLine="0"/>
                      <w:jc w:val="left"/>
                      <w:rPr>
                        <w:rFonts w:ascii="Calibri"/>
                        <w:sz w:val="7"/>
                      </w:rPr>
                    </w:pPr>
                    <w:r>
                      <w:rPr>
                        <w:rFonts w:ascii="Calibri"/>
                        <w:sz w:val="7"/>
                      </w:rPr>
                      <w:t>0.6</w:t>
                    </w:r>
                  </w:p>
                  <w:p>
                    <w:pPr>
                      <w:spacing w:line="82" w:lineRule="exact" w:before="1"/>
                      <w:ind w:left="0" w:right="-20" w:firstLine="0"/>
                      <w:jc w:val="left"/>
                      <w:rPr>
                        <w:rFonts w:ascii="Calibri"/>
                        <w:sz w:val="7"/>
                      </w:rPr>
                    </w:pPr>
                    <w:r>
                      <w:rPr>
                        <w:rFonts w:ascii="Calibri"/>
                        <w:sz w:val="7"/>
                      </w:rPr>
                      <w:t>2.5</w:t>
                    </w:r>
                  </w:p>
                </w:txbxContent>
              </v:textbox>
              <w10:wrap type="none"/>
            </v:shape>
            <v:shape style="position:absolute;left:7259;top:1612;width:89;height:331" type="#_x0000_t202" filled="false" stroked="false">
              <v:textbox inset="0,0,0,0">
                <w:txbxContent>
                  <w:p>
                    <w:pPr>
                      <w:spacing w:line="73" w:lineRule="exact" w:before="0"/>
                      <w:ind w:left="29" w:right="0" w:firstLine="0"/>
                      <w:jc w:val="left"/>
                      <w:rPr>
                        <w:rFonts w:ascii="Calibri"/>
                        <w:sz w:val="7"/>
                      </w:rPr>
                    </w:pPr>
                    <w:r>
                      <w:rPr>
                        <w:rFonts w:ascii="Calibri"/>
                        <w:w w:val="99"/>
                        <w:sz w:val="7"/>
                      </w:rPr>
                      <w:t>1</w:t>
                    </w:r>
                  </w:p>
                  <w:p>
                    <w:pPr>
                      <w:spacing w:before="1"/>
                      <w:ind w:left="0" w:right="-20" w:firstLine="0"/>
                      <w:jc w:val="left"/>
                      <w:rPr>
                        <w:rFonts w:ascii="Calibri"/>
                        <w:sz w:val="7"/>
                      </w:rPr>
                    </w:pPr>
                    <w:r>
                      <w:rPr>
                        <w:rFonts w:ascii="Calibri"/>
                        <w:sz w:val="7"/>
                      </w:rPr>
                      <w:t>0.9</w:t>
                    </w:r>
                  </w:p>
                  <w:p>
                    <w:pPr>
                      <w:spacing w:before="1"/>
                      <w:ind w:left="0" w:right="-20" w:firstLine="0"/>
                      <w:jc w:val="left"/>
                      <w:rPr>
                        <w:rFonts w:ascii="Calibri"/>
                        <w:sz w:val="7"/>
                      </w:rPr>
                    </w:pPr>
                    <w:r>
                      <w:rPr>
                        <w:rFonts w:ascii="Calibri"/>
                        <w:sz w:val="7"/>
                      </w:rPr>
                      <w:t>0.6</w:t>
                    </w:r>
                  </w:p>
                  <w:p>
                    <w:pPr>
                      <w:spacing w:line="82" w:lineRule="exact" w:before="1"/>
                      <w:ind w:left="0" w:right="-20" w:firstLine="0"/>
                      <w:jc w:val="left"/>
                      <w:rPr>
                        <w:rFonts w:ascii="Calibri"/>
                        <w:sz w:val="7"/>
                      </w:rPr>
                    </w:pPr>
                    <w:r>
                      <w:rPr>
                        <w:rFonts w:ascii="Calibri"/>
                        <w:sz w:val="7"/>
                      </w:rPr>
                      <w:t>2.5</w:t>
                    </w:r>
                  </w:p>
                </w:txbxContent>
              </v:textbox>
              <w10:wrap type="none"/>
            </v:shape>
            <v:shape style="position:absolute;left:8032;top:1612;width:89;height:331" type="#_x0000_t202" filled="false" stroked="false">
              <v:textbox inset="0,0,0,0">
                <w:txbxContent>
                  <w:p>
                    <w:pPr>
                      <w:spacing w:line="73" w:lineRule="exact" w:before="0"/>
                      <w:ind w:left="29" w:right="0" w:firstLine="0"/>
                      <w:jc w:val="left"/>
                      <w:rPr>
                        <w:rFonts w:ascii="Calibri"/>
                        <w:sz w:val="7"/>
                      </w:rPr>
                    </w:pPr>
                    <w:r>
                      <w:rPr>
                        <w:rFonts w:ascii="Calibri"/>
                        <w:w w:val="99"/>
                        <w:sz w:val="7"/>
                      </w:rPr>
                      <w:t>1</w:t>
                    </w:r>
                  </w:p>
                  <w:p>
                    <w:pPr>
                      <w:spacing w:before="1"/>
                      <w:ind w:left="0" w:right="-20" w:firstLine="0"/>
                      <w:jc w:val="left"/>
                      <w:rPr>
                        <w:rFonts w:ascii="Calibri"/>
                        <w:sz w:val="7"/>
                      </w:rPr>
                    </w:pPr>
                    <w:r>
                      <w:rPr>
                        <w:rFonts w:ascii="Calibri"/>
                        <w:sz w:val="7"/>
                      </w:rPr>
                      <w:t>0.9</w:t>
                    </w:r>
                  </w:p>
                  <w:p>
                    <w:pPr>
                      <w:spacing w:before="1"/>
                      <w:ind w:left="0" w:right="-20" w:firstLine="0"/>
                      <w:jc w:val="left"/>
                      <w:rPr>
                        <w:rFonts w:ascii="Calibri"/>
                        <w:sz w:val="7"/>
                      </w:rPr>
                    </w:pPr>
                    <w:r>
                      <w:rPr>
                        <w:rFonts w:ascii="Calibri"/>
                        <w:sz w:val="7"/>
                      </w:rPr>
                      <w:t>0.6</w:t>
                    </w:r>
                  </w:p>
                  <w:p>
                    <w:pPr>
                      <w:spacing w:line="82" w:lineRule="exact" w:before="1"/>
                      <w:ind w:left="0" w:right="-20" w:firstLine="0"/>
                      <w:jc w:val="left"/>
                      <w:rPr>
                        <w:rFonts w:ascii="Calibri"/>
                        <w:sz w:val="7"/>
                      </w:rPr>
                    </w:pPr>
                    <w:r>
                      <w:rPr>
                        <w:rFonts w:ascii="Calibri"/>
                        <w:sz w:val="7"/>
                      </w:rPr>
                      <w:t>2.5</w:t>
                    </w:r>
                  </w:p>
                </w:txbxContent>
              </v:textbox>
              <w10:wrap type="none"/>
            </v:shape>
            <v:shape style="position:absolute;left:8810;top:1612;width:89;height:331" type="#_x0000_t202" filled="false" stroked="false">
              <v:textbox inset="0,0,0,0">
                <w:txbxContent>
                  <w:p>
                    <w:pPr>
                      <w:spacing w:line="73" w:lineRule="exact" w:before="0"/>
                      <w:ind w:left="29" w:right="0" w:firstLine="0"/>
                      <w:jc w:val="left"/>
                      <w:rPr>
                        <w:rFonts w:ascii="Calibri"/>
                        <w:sz w:val="7"/>
                      </w:rPr>
                    </w:pPr>
                    <w:r>
                      <w:rPr>
                        <w:rFonts w:ascii="Calibri"/>
                        <w:w w:val="99"/>
                        <w:sz w:val="7"/>
                      </w:rPr>
                      <w:t>1</w:t>
                    </w:r>
                  </w:p>
                  <w:p>
                    <w:pPr>
                      <w:spacing w:before="1"/>
                      <w:ind w:left="0" w:right="-20" w:firstLine="0"/>
                      <w:jc w:val="left"/>
                      <w:rPr>
                        <w:rFonts w:ascii="Calibri"/>
                        <w:sz w:val="7"/>
                      </w:rPr>
                    </w:pPr>
                    <w:r>
                      <w:rPr>
                        <w:rFonts w:ascii="Calibri"/>
                        <w:sz w:val="7"/>
                      </w:rPr>
                      <w:t>0.9</w:t>
                    </w:r>
                  </w:p>
                  <w:p>
                    <w:pPr>
                      <w:spacing w:before="1"/>
                      <w:ind w:left="0" w:right="-20" w:firstLine="0"/>
                      <w:jc w:val="left"/>
                      <w:rPr>
                        <w:rFonts w:ascii="Calibri"/>
                        <w:sz w:val="7"/>
                      </w:rPr>
                    </w:pPr>
                    <w:r>
                      <w:rPr>
                        <w:rFonts w:ascii="Calibri"/>
                        <w:sz w:val="7"/>
                      </w:rPr>
                      <w:t>0.6</w:t>
                    </w:r>
                  </w:p>
                  <w:p>
                    <w:pPr>
                      <w:spacing w:line="82" w:lineRule="exact" w:before="1"/>
                      <w:ind w:left="0" w:right="-20" w:firstLine="0"/>
                      <w:jc w:val="left"/>
                      <w:rPr>
                        <w:rFonts w:ascii="Calibri"/>
                        <w:sz w:val="7"/>
                      </w:rPr>
                    </w:pPr>
                    <w:r>
                      <w:rPr>
                        <w:rFonts w:ascii="Calibri"/>
                        <w:sz w:val="7"/>
                      </w:rPr>
                      <w:t>2.5</w:t>
                    </w:r>
                  </w:p>
                </w:txbxContent>
              </v:textbox>
              <w10:wrap type="none"/>
            </v:shape>
            <v:shape style="position:absolute;left:9642;top:1612;width:89;height:331" type="#_x0000_t202" filled="false" stroked="false">
              <v:textbox inset="0,0,0,0">
                <w:txbxContent>
                  <w:p>
                    <w:pPr>
                      <w:spacing w:line="73" w:lineRule="exact" w:before="0"/>
                      <w:ind w:left="29" w:right="0" w:firstLine="0"/>
                      <w:jc w:val="left"/>
                      <w:rPr>
                        <w:rFonts w:ascii="Calibri"/>
                        <w:sz w:val="7"/>
                      </w:rPr>
                    </w:pPr>
                    <w:r>
                      <w:rPr>
                        <w:rFonts w:ascii="Calibri"/>
                        <w:w w:val="99"/>
                        <w:sz w:val="7"/>
                      </w:rPr>
                      <w:t>1</w:t>
                    </w:r>
                  </w:p>
                  <w:p>
                    <w:pPr>
                      <w:spacing w:before="1"/>
                      <w:ind w:left="0" w:right="-20" w:firstLine="0"/>
                      <w:jc w:val="left"/>
                      <w:rPr>
                        <w:rFonts w:ascii="Calibri"/>
                        <w:sz w:val="7"/>
                      </w:rPr>
                    </w:pPr>
                    <w:r>
                      <w:rPr>
                        <w:rFonts w:ascii="Calibri"/>
                        <w:sz w:val="7"/>
                      </w:rPr>
                      <w:t>0.9</w:t>
                    </w:r>
                  </w:p>
                  <w:p>
                    <w:pPr>
                      <w:spacing w:before="1"/>
                      <w:ind w:left="0" w:right="-20" w:firstLine="0"/>
                      <w:jc w:val="left"/>
                      <w:rPr>
                        <w:rFonts w:ascii="Calibri"/>
                        <w:sz w:val="7"/>
                      </w:rPr>
                    </w:pPr>
                    <w:r>
                      <w:rPr>
                        <w:rFonts w:ascii="Calibri"/>
                        <w:sz w:val="7"/>
                      </w:rPr>
                      <w:t>0.6</w:t>
                    </w:r>
                  </w:p>
                  <w:p>
                    <w:pPr>
                      <w:spacing w:line="82" w:lineRule="exact" w:before="1"/>
                      <w:ind w:left="0" w:right="-20" w:firstLine="0"/>
                      <w:jc w:val="left"/>
                      <w:rPr>
                        <w:rFonts w:ascii="Calibri"/>
                        <w:sz w:val="7"/>
                      </w:rPr>
                    </w:pPr>
                    <w:r>
                      <w:rPr>
                        <w:rFonts w:ascii="Calibri"/>
                        <w:sz w:val="7"/>
                      </w:rPr>
                      <w:t>2.5</w:t>
                    </w:r>
                  </w:p>
                </w:txbxContent>
              </v:textbox>
              <w10:wrap type="none"/>
            </v:shape>
            <v:shape style="position:absolute;left:10421;top:1612;width:89;height:331" type="#_x0000_t202" filled="false" stroked="false">
              <v:textbox inset="0,0,0,0">
                <w:txbxContent>
                  <w:p>
                    <w:pPr>
                      <w:spacing w:line="73" w:lineRule="exact" w:before="0"/>
                      <w:ind w:left="0" w:right="-20" w:firstLine="0"/>
                      <w:jc w:val="left"/>
                      <w:rPr>
                        <w:rFonts w:ascii="Calibri"/>
                        <w:sz w:val="7"/>
                      </w:rPr>
                    </w:pPr>
                    <w:r>
                      <w:rPr>
                        <w:rFonts w:ascii="Calibri"/>
                        <w:sz w:val="7"/>
                      </w:rPr>
                      <w:t>0.5</w:t>
                    </w:r>
                  </w:p>
                  <w:p>
                    <w:pPr>
                      <w:spacing w:before="1"/>
                      <w:ind w:left="0" w:right="-20" w:firstLine="0"/>
                      <w:jc w:val="left"/>
                      <w:rPr>
                        <w:rFonts w:ascii="Calibri"/>
                        <w:sz w:val="7"/>
                      </w:rPr>
                    </w:pPr>
                    <w:r>
                      <w:rPr>
                        <w:rFonts w:ascii="Calibri"/>
                        <w:sz w:val="7"/>
                      </w:rPr>
                      <w:t>0.1</w:t>
                    </w:r>
                  </w:p>
                  <w:p>
                    <w:pPr>
                      <w:spacing w:before="1"/>
                      <w:ind w:left="0" w:right="-20" w:firstLine="0"/>
                      <w:jc w:val="left"/>
                      <w:rPr>
                        <w:rFonts w:ascii="Calibri"/>
                        <w:sz w:val="7"/>
                      </w:rPr>
                    </w:pPr>
                    <w:r>
                      <w:rPr>
                        <w:rFonts w:ascii="Calibri"/>
                        <w:sz w:val="7"/>
                      </w:rPr>
                      <w:t>0.6</w:t>
                    </w:r>
                  </w:p>
                  <w:p>
                    <w:pPr>
                      <w:spacing w:line="82" w:lineRule="exact" w:before="1"/>
                      <w:ind w:left="0" w:right="-20" w:firstLine="0"/>
                      <w:jc w:val="left"/>
                      <w:rPr>
                        <w:rFonts w:ascii="Calibri"/>
                        <w:sz w:val="7"/>
                      </w:rPr>
                    </w:pPr>
                    <w:r>
                      <w:rPr>
                        <w:rFonts w:ascii="Calibri"/>
                        <w:sz w:val="7"/>
                      </w:rPr>
                      <w:t>1.2</w:t>
                    </w:r>
                  </w:p>
                </w:txbxContent>
              </v:textbox>
              <w10:wrap type="none"/>
            </v:shape>
            <v:shape style="position:absolute;left:2010;top:1960;width:312;height:70" type="#_x0000_t202" filled="false" stroked="false">
              <v:textbox inset="0,0,0,0">
                <w:txbxContent>
                  <w:p>
                    <w:pPr>
                      <w:spacing w:line="70" w:lineRule="exact" w:before="0"/>
                      <w:ind w:left="0" w:right="-12" w:firstLine="0"/>
                      <w:jc w:val="left"/>
                      <w:rPr>
                        <w:rFonts w:ascii="Calibri" w:hAnsi="Calibri"/>
                        <w:sz w:val="7"/>
                      </w:rPr>
                    </w:pPr>
                    <w:r>
                      <w:rPr>
                        <w:rFonts w:ascii="Calibri" w:hAnsi="Calibri"/>
                        <w:spacing w:val="-1"/>
                        <w:sz w:val="7"/>
                      </w:rPr>
                      <w:t>Económico</w:t>
                    </w:r>
                  </w:p>
                </w:txbxContent>
              </v:textbox>
              <w10:wrap type="none"/>
            </v:shape>
            <v:shape style="position:absolute;left:2353;top:2220;width:666;height:70" type="#_x0000_t202" filled="false" stroked="false">
              <v:textbox inset="0,0,0,0">
                <w:txbxContent>
                  <w:p>
                    <w:pPr>
                      <w:spacing w:line="70" w:lineRule="exact" w:before="0"/>
                      <w:ind w:left="0" w:right="-18" w:firstLine="0"/>
                      <w:jc w:val="left"/>
                      <w:rPr>
                        <w:rFonts w:ascii="Calibri"/>
                        <w:sz w:val="7"/>
                      </w:rPr>
                    </w:pPr>
                    <w:r>
                      <w:rPr>
                        <w:rFonts w:ascii="Calibri"/>
                        <w:sz w:val="7"/>
                      </w:rPr>
                      <w:t>Gastos de</w:t>
                    </w:r>
                    <w:r>
                      <w:rPr>
                        <w:rFonts w:ascii="Calibri"/>
                        <w:spacing w:val="-5"/>
                        <w:sz w:val="7"/>
                      </w:rPr>
                      <w:t> </w:t>
                    </w:r>
                    <w:r>
                      <w:rPr>
                        <w:rFonts w:ascii="Calibri"/>
                        <w:sz w:val="7"/>
                      </w:rPr>
                      <w:t>habitabilidad</w:t>
                    </w:r>
                  </w:p>
                </w:txbxContent>
              </v:textbox>
              <w10:wrap type="none"/>
            </v:shape>
            <v:shape style="position:absolute;left:3521;top:2047;width:587;height:504" type="#_x0000_t202" filled="false" stroked="false">
              <v:textbox inset="0,0,0,0">
                <w:txbxContent>
                  <w:p>
                    <w:pPr>
                      <w:spacing w:line="73" w:lineRule="exact" w:before="0"/>
                      <w:ind w:left="0" w:right="164" w:firstLine="0"/>
                      <w:jc w:val="left"/>
                      <w:rPr>
                        <w:rFonts w:ascii="Calibri"/>
                        <w:sz w:val="7"/>
                      </w:rPr>
                    </w:pPr>
                    <w:r>
                      <w:rPr>
                        <w:rFonts w:ascii="Calibri"/>
                        <w:sz w:val="7"/>
                      </w:rPr>
                      <w:t>Pago de CFE</w:t>
                    </w:r>
                  </w:p>
                  <w:p>
                    <w:pPr>
                      <w:spacing w:before="1"/>
                      <w:ind w:left="0" w:right="164" w:firstLine="0"/>
                      <w:jc w:val="left"/>
                      <w:rPr>
                        <w:rFonts w:ascii="Calibri" w:hAnsi="Calibri"/>
                        <w:sz w:val="7"/>
                      </w:rPr>
                    </w:pPr>
                    <w:r>
                      <w:rPr>
                        <w:rFonts w:ascii="Calibri" w:hAnsi="Calibri"/>
                        <w:sz w:val="7"/>
                      </w:rPr>
                      <w:t>Pago de agua Pago predial Comunicación</w:t>
                    </w:r>
                    <w:r>
                      <w:rPr>
                        <w:rFonts w:ascii="Calibri" w:hAnsi="Calibri"/>
                        <w:w w:val="99"/>
                        <w:sz w:val="7"/>
                      </w:rPr>
                      <w:t> </w:t>
                    </w:r>
                    <w:r>
                      <w:rPr>
                        <w:rFonts w:ascii="Calibri" w:hAnsi="Calibri"/>
                        <w:sz w:val="7"/>
                      </w:rPr>
                      <w:t>Comunidad</w:t>
                    </w:r>
                  </w:p>
                  <w:p>
                    <w:pPr>
                      <w:spacing w:line="82" w:lineRule="exact" w:before="1"/>
                      <w:ind w:left="348" w:right="-9" w:firstLine="0"/>
                      <w:jc w:val="left"/>
                      <w:rPr>
                        <w:rFonts w:ascii="Calibri"/>
                        <w:sz w:val="7"/>
                      </w:rPr>
                    </w:pPr>
                    <w:r>
                      <w:rPr>
                        <w:rFonts w:ascii="Calibri"/>
                        <w:w w:val="95"/>
                        <w:sz w:val="7"/>
                      </w:rPr>
                      <w:t>Subtotal</w:t>
                    </w:r>
                  </w:p>
                </w:txbxContent>
              </v:textbox>
              <w10:wrap type="none"/>
            </v:shape>
            <v:shape style="position:absolute;left:4806;top:2047;width:89;height:504" type="#_x0000_t202" filled="false" stroked="false">
              <v:textbox inset="0,0,0,0">
                <w:txbxContent>
                  <w:p>
                    <w:pPr>
                      <w:spacing w:line="73" w:lineRule="exact" w:before="0"/>
                      <w:ind w:left="0" w:right="-20" w:firstLine="0"/>
                      <w:jc w:val="left"/>
                      <w:rPr>
                        <w:rFonts w:ascii="Calibri"/>
                        <w:sz w:val="7"/>
                      </w:rPr>
                    </w:pPr>
                    <w:r>
                      <w:rPr>
                        <w:rFonts w:ascii="Calibri"/>
                        <w:sz w:val="7"/>
                      </w:rPr>
                      <w:t>0.7</w:t>
                    </w:r>
                  </w:p>
                  <w:p>
                    <w:pPr>
                      <w:spacing w:before="1"/>
                      <w:ind w:left="29" w:right="0" w:firstLine="0"/>
                      <w:jc w:val="left"/>
                      <w:rPr>
                        <w:rFonts w:ascii="Calibri"/>
                        <w:sz w:val="7"/>
                      </w:rPr>
                    </w:pPr>
                    <w:r>
                      <w:rPr>
                        <w:rFonts w:ascii="Calibri"/>
                        <w:w w:val="99"/>
                        <w:sz w:val="7"/>
                      </w:rPr>
                      <w:t>0</w:t>
                    </w:r>
                  </w:p>
                  <w:p>
                    <w:pPr>
                      <w:spacing w:before="1"/>
                      <w:ind w:left="0" w:right="-20" w:firstLine="0"/>
                      <w:jc w:val="left"/>
                      <w:rPr>
                        <w:rFonts w:ascii="Calibri"/>
                        <w:sz w:val="7"/>
                      </w:rPr>
                    </w:pPr>
                    <w:r>
                      <w:rPr>
                        <w:rFonts w:ascii="Calibri"/>
                        <w:sz w:val="7"/>
                      </w:rPr>
                      <w:t>0.6</w:t>
                    </w:r>
                  </w:p>
                  <w:p>
                    <w:pPr>
                      <w:spacing w:before="1"/>
                      <w:ind w:left="0" w:right="-20" w:firstLine="0"/>
                      <w:jc w:val="left"/>
                      <w:rPr>
                        <w:rFonts w:ascii="Calibri"/>
                        <w:sz w:val="7"/>
                      </w:rPr>
                    </w:pPr>
                    <w:r>
                      <w:rPr>
                        <w:rFonts w:ascii="Calibri"/>
                        <w:sz w:val="7"/>
                      </w:rPr>
                      <w:t>0.7</w:t>
                    </w:r>
                  </w:p>
                  <w:p>
                    <w:pPr>
                      <w:spacing w:before="1"/>
                      <w:ind w:left="0" w:right="-20" w:firstLine="0"/>
                      <w:jc w:val="left"/>
                      <w:rPr>
                        <w:rFonts w:ascii="Calibri"/>
                        <w:sz w:val="7"/>
                      </w:rPr>
                    </w:pPr>
                    <w:r>
                      <w:rPr>
                        <w:rFonts w:ascii="Calibri"/>
                        <w:sz w:val="7"/>
                      </w:rPr>
                      <w:t>0.6</w:t>
                    </w:r>
                  </w:p>
                  <w:p>
                    <w:pPr>
                      <w:spacing w:line="82" w:lineRule="exact" w:before="1"/>
                      <w:ind w:left="0" w:right="-20" w:firstLine="0"/>
                      <w:jc w:val="left"/>
                      <w:rPr>
                        <w:rFonts w:ascii="Calibri"/>
                        <w:sz w:val="7"/>
                      </w:rPr>
                    </w:pPr>
                    <w:r>
                      <w:rPr>
                        <w:rFonts w:ascii="Calibri"/>
                        <w:sz w:val="7"/>
                      </w:rPr>
                      <w:t>2.6</w:t>
                    </w:r>
                  </w:p>
                </w:txbxContent>
              </v:textbox>
              <w10:wrap type="none"/>
            </v:shape>
            <v:shape style="position:absolute;left:5399;top:2047;width:89;height:504" type="#_x0000_t202" filled="false" stroked="false">
              <v:textbox inset="0,0,0,0">
                <w:txbxContent>
                  <w:p>
                    <w:pPr>
                      <w:spacing w:line="73" w:lineRule="exact" w:before="0"/>
                      <w:ind w:left="0" w:right="-20" w:firstLine="0"/>
                      <w:jc w:val="left"/>
                      <w:rPr>
                        <w:rFonts w:ascii="Calibri"/>
                        <w:sz w:val="7"/>
                      </w:rPr>
                    </w:pPr>
                    <w:r>
                      <w:rPr>
                        <w:rFonts w:ascii="Calibri"/>
                        <w:sz w:val="7"/>
                      </w:rPr>
                      <w:t>0.7</w:t>
                    </w:r>
                  </w:p>
                  <w:p>
                    <w:pPr>
                      <w:spacing w:before="1"/>
                      <w:ind w:left="29" w:right="0" w:firstLine="0"/>
                      <w:jc w:val="left"/>
                      <w:rPr>
                        <w:rFonts w:ascii="Calibri"/>
                        <w:sz w:val="7"/>
                      </w:rPr>
                    </w:pPr>
                    <w:r>
                      <w:rPr>
                        <w:rFonts w:ascii="Calibri"/>
                        <w:w w:val="99"/>
                        <w:sz w:val="7"/>
                      </w:rPr>
                      <w:t>0</w:t>
                    </w:r>
                  </w:p>
                  <w:p>
                    <w:pPr>
                      <w:spacing w:before="1"/>
                      <w:ind w:left="29" w:right="0" w:firstLine="0"/>
                      <w:jc w:val="left"/>
                      <w:rPr>
                        <w:rFonts w:ascii="Calibri"/>
                        <w:sz w:val="7"/>
                      </w:rPr>
                    </w:pPr>
                    <w:r>
                      <w:rPr>
                        <w:rFonts w:ascii="Calibri"/>
                        <w:w w:val="99"/>
                        <w:sz w:val="7"/>
                      </w:rPr>
                      <w:t>0</w:t>
                    </w:r>
                  </w:p>
                  <w:p>
                    <w:pPr>
                      <w:spacing w:before="1"/>
                      <w:ind w:left="0" w:right="-20" w:firstLine="0"/>
                      <w:jc w:val="left"/>
                      <w:rPr>
                        <w:rFonts w:ascii="Calibri"/>
                        <w:sz w:val="7"/>
                      </w:rPr>
                    </w:pPr>
                    <w:r>
                      <w:rPr>
                        <w:rFonts w:ascii="Calibri"/>
                        <w:sz w:val="7"/>
                      </w:rPr>
                      <w:t>0.7</w:t>
                    </w:r>
                  </w:p>
                  <w:p>
                    <w:pPr>
                      <w:spacing w:before="1"/>
                      <w:ind w:left="0" w:right="-20" w:firstLine="0"/>
                      <w:jc w:val="left"/>
                      <w:rPr>
                        <w:rFonts w:ascii="Calibri"/>
                        <w:sz w:val="7"/>
                      </w:rPr>
                    </w:pPr>
                    <w:r>
                      <w:rPr>
                        <w:rFonts w:ascii="Calibri"/>
                        <w:sz w:val="7"/>
                      </w:rPr>
                      <w:t>0.2</w:t>
                    </w:r>
                  </w:p>
                  <w:p>
                    <w:pPr>
                      <w:spacing w:line="82" w:lineRule="exact" w:before="1"/>
                      <w:ind w:left="0" w:right="-20" w:firstLine="0"/>
                      <w:jc w:val="left"/>
                      <w:rPr>
                        <w:rFonts w:ascii="Calibri"/>
                        <w:sz w:val="7"/>
                      </w:rPr>
                    </w:pPr>
                    <w:r>
                      <w:rPr>
                        <w:rFonts w:ascii="Calibri"/>
                        <w:sz w:val="7"/>
                      </w:rPr>
                      <w:t>1.6</w:t>
                    </w:r>
                  </w:p>
                </w:txbxContent>
              </v:textbox>
              <w10:wrap type="none"/>
            </v:shape>
            <v:shape style="position:absolute;left:5939;top:2047;width:89;height:504" type="#_x0000_t202" filled="false" stroked="false">
              <v:textbox inset="0,0,0,0">
                <w:txbxContent>
                  <w:p>
                    <w:pPr>
                      <w:spacing w:line="73" w:lineRule="exact" w:before="0"/>
                      <w:ind w:left="0" w:right="-20" w:firstLine="0"/>
                      <w:jc w:val="left"/>
                      <w:rPr>
                        <w:rFonts w:ascii="Calibri"/>
                        <w:sz w:val="7"/>
                      </w:rPr>
                    </w:pPr>
                    <w:r>
                      <w:rPr>
                        <w:rFonts w:ascii="Calibri"/>
                        <w:sz w:val="7"/>
                      </w:rPr>
                      <w:t>0.7</w:t>
                    </w:r>
                  </w:p>
                  <w:p>
                    <w:pPr>
                      <w:spacing w:before="1"/>
                      <w:ind w:left="29" w:right="0" w:firstLine="0"/>
                      <w:jc w:val="left"/>
                      <w:rPr>
                        <w:rFonts w:ascii="Calibri"/>
                        <w:sz w:val="7"/>
                      </w:rPr>
                    </w:pPr>
                    <w:r>
                      <w:rPr>
                        <w:rFonts w:ascii="Calibri"/>
                        <w:w w:val="99"/>
                        <w:sz w:val="7"/>
                      </w:rPr>
                      <w:t>0</w:t>
                    </w:r>
                  </w:p>
                  <w:p>
                    <w:pPr>
                      <w:spacing w:before="1"/>
                      <w:ind w:left="0" w:right="-20" w:firstLine="0"/>
                      <w:jc w:val="left"/>
                      <w:rPr>
                        <w:rFonts w:ascii="Calibri"/>
                        <w:sz w:val="7"/>
                      </w:rPr>
                    </w:pPr>
                    <w:r>
                      <w:rPr>
                        <w:rFonts w:ascii="Calibri"/>
                        <w:sz w:val="7"/>
                      </w:rPr>
                      <w:t>0.6</w:t>
                    </w:r>
                  </w:p>
                  <w:p>
                    <w:pPr>
                      <w:spacing w:before="1"/>
                      <w:ind w:left="0" w:right="-20" w:firstLine="0"/>
                      <w:jc w:val="left"/>
                      <w:rPr>
                        <w:rFonts w:ascii="Calibri"/>
                        <w:sz w:val="7"/>
                      </w:rPr>
                    </w:pPr>
                    <w:r>
                      <w:rPr>
                        <w:rFonts w:ascii="Calibri"/>
                        <w:sz w:val="7"/>
                      </w:rPr>
                      <w:t>0.7</w:t>
                    </w:r>
                  </w:p>
                  <w:p>
                    <w:pPr>
                      <w:spacing w:before="1"/>
                      <w:ind w:left="0" w:right="-20" w:firstLine="0"/>
                      <w:jc w:val="left"/>
                      <w:rPr>
                        <w:rFonts w:ascii="Calibri"/>
                        <w:sz w:val="7"/>
                      </w:rPr>
                    </w:pPr>
                    <w:r>
                      <w:rPr>
                        <w:rFonts w:ascii="Calibri"/>
                        <w:sz w:val="7"/>
                      </w:rPr>
                      <w:t>0.6</w:t>
                    </w:r>
                  </w:p>
                  <w:p>
                    <w:pPr>
                      <w:spacing w:line="82" w:lineRule="exact" w:before="1"/>
                      <w:ind w:left="0" w:right="-20" w:firstLine="0"/>
                      <w:jc w:val="left"/>
                      <w:rPr>
                        <w:rFonts w:ascii="Calibri"/>
                        <w:sz w:val="7"/>
                      </w:rPr>
                    </w:pPr>
                    <w:r>
                      <w:rPr>
                        <w:rFonts w:ascii="Calibri"/>
                        <w:sz w:val="7"/>
                      </w:rPr>
                      <w:t>2.6</w:t>
                    </w:r>
                  </w:p>
                </w:txbxContent>
              </v:textbox>
              <w10:wrap type="none"/>
            </v:shape>
            <v:shape style="position:absolute;left:6567;top:2047;width:89;height:504" type="#_x0000_t202" filled="false" stroked="false">
              <v:textbox inset="0,0,0,0">
                <w:txbxContent>
                  <w:p>
                    <w:pPr>
                      <w:spacing w:line="73" w:lineRule="exact" w:before="0"/>
                      <w:ind w:left="29" w:right="0" w:firstLine="0"/>
                      <w:jc w:val="left"/>
                      <w:rPr>
                        <w:rFonts w:ascii="Calibri"/>
                        <w:sz w:val="7"/>
                      </w:rPr>
                    </w:pPr>
                    <w:r>
                      <w:rPr>
                        <w:rFonts w:ascii="Calibri"/>
                        <w:w w:val="99"/>
                        <w:sz w:val="7"/>
                      </w:rPr>
                      <w:t>1</w:t>
                    </w:r>
                  </w:p>
                  <w:p>
                    <w:pPr>
                      <w:spacing w:before="1"/>
                      <w:ind w:left="0" w:right="-20" w:firstLine="0"/>
                      <w:jc w:val="left"/>
                      <w:rPr>
                        <w:rFonts w:ascii="Calibri"/>
                        <w:sz w:val="7"/>
                      </w:rPr>
                    </w:pPr>
                    <w:r>
                      <w:rPr>
                        <w:rFonts w:ascii="Calibri"/>
                        <w:sz w:val="7"/>
                      </w:rPr>
                      <w:t>0.2</w:t>
                    </w:r>
                  </w:p>
                  <w:p>
                    <w:pPr>
                      <w:spacing w:before="1"/>
                      <w:ind w:left="29" w:right="0" w:firstLine="0"/>
                      <w:jc w:val="left"/>
                      <w:rPr>
                        <w:rFonts w:ascii="Calibri"/>
                        <w:sz w:val="7"/>
                      </w:rPr>
                    </w:pPr>
                    <w:r>
                      <w:rPr>
                        <w:rFonts w:ascii="Calibri"/>
                        <w:w w:val="99"/>
                        <w:sz w:val="7"/>
                      </w:rPr>
                      <w:t>1</w:t>
                    </w:r>
                  </w:p>
                  <w:p>
                    <w:pPr>
                      <w:spacing w:before="1"/>
                      <w:ind w:left="0" w:right="-20" w:firstLine="0"/>
                      <w:jc w:val="left"/>
                      <w:rPr>
                        <w:rFonts w:ascii="Calibri"/>
                        <w:sz w:val="7"/>
                      </w:rPr>
                    </w:pPr>
                    <w:r>
                      <w:rPr>
                        <w:rFonts w:ascii="Calibri"/>
                        <w:sz w:val="7"/>
                      </w:rPr>
                      <w:t>0.7</w:t>
                    </w:r>
                  </w:p>
                  <w:p>
                    <w:pPr>
                      <w:spacing w:before="1"/>
                      <w:ind w:left="29" w:right="0" w:firstLine="0"/>
                      <w:jc w:val="left"/>
                      <w:rPr>
                        <w:rFonts w:ascii="Calibri"/>
                        <w:sz w:val="7"/>
                      </w:rPr>
                    </w:pPr>
                    <w:r>
                      <w:rPr>
                        <w:rFonts w:ascii="Calibri"/>
                        <w:w w:val="99"/>
                        <w:sz w:val="7"/>
                      </w:rPr>
                      <w:t>0</w:t>
                    </w:r>
                  </w:p>
                  <w:p>
                    <w:pPr>
                      <w:spacing w:line="82" w:lineRule="exact" w:before="1"/>
                      <w:ind w:left="0" w:right="-20" w:firstLine="0"/>
                      <w:jc w:val="left"/>
                      <w:rPr>
                        <w:rFonts w:ascii="Calibri"/>
                        <w:sz w:val="7"/>
                      </w:rPr>
                    </w:pPr>
                    <w:r>
                      <w:rPr>
                        <w:rFonts w:ascii="Calibri"/>
                        <w:sz w:val="7"/>
                      </w:rPr>
                      <w:t>2.9</w:t>
                    </w:r>
                  </w:p>
                </w:txbxContent>
              </v:textbox>
              <w10:wrap type="none"/>
            </v:shape>
            <v:shape style="position:absolute;left:7259;top:2047;width:89;height:504" type="#_x0000_t202" filled="false" stroked="false">
              <v:textbox inset="0,0,0,0">
                <w:txbxContent>
                  <w:p>
                    <w:pPr>
                      <w:spacing w:line="73" w:lineRule="exact" w:before="0"/>
                      <w:ind w:left="29" w:right="0" w:firstLine="0"/>
                      <w:jc w:val="left"/>
                      <w:rPr>
                        <w:rFonts w:ascii="Calibri"/>
                        <w:sz w:val="7"/>
                      </w:rPr>
                    </w:pPr>
                    <w:r>
                      <w:rPr>
                        <w:rFonts w:ascii="Calibri"/>
                        <w:w w:val="99"/>
                        <w:sz w:val="7"/>
                      </w:rPr>
                      <w:t>0</w:t>
                    </w:r>
                  </w:p>
                  <w:p>
                    <w:pPr>
                      <w:spacing w:before="1"/>
                      <w:ind w:left="29" w:right="0" w:firstLine="0"/>
                      <w:jc w:val="left"/>
                      <w:rPr>
                        <w:rFonts w:ascii="Calibri"/>
                        <w:sz w:val="7"/>
                      </w:rPr>
                    </w:pPr>
                    <w:r>
                      <w:rPr>
                        <w:rFonts w:ascii="Calibri"/>
                        <w:w w:val="99"/>
                        <w:sz w:val="7"/>
                      </w:rPr>
                      <w:t>0</w:t>
                    </w:r>
                  </w:p>
                  <w:p>
                    <w:pPr>
                      <w:spacing w:before="1"/>
                      <w:ind w:left="0" w:right="-20" w:firstLine="0"/>
                      <w:jc w:val="left"/>
                      <w:rPr>
                        <w:rFonts w:ascii="Calibri"/>
                        <w:sz w:val="7"/>
                      </w:rPr>
                    </w:pPr>
                    <w:r>
                      <w:rPr>
                        <w:rFonts w:ascii="Calibri"/>
                        <w:sz w:val="7"/>
                      </w:rPr>
                      <w:t>0.2</w:t>
                    </w:r>
                  </w:p>
                  <w:p>
                    <w:pPr>
                      <w:spacing w:before="1"/>
                      <w:ind w:left="0" w:right="-20" w:firstLine="0"/>
                      <w:jc w:val="left"/>
                      <w:rPr>
                        <w:rFonts w:ascii="Calibri"/>
                        <w:sz w:val="7"/>
                      </w:rPr>
                    </w:pPr>
                    <w:r>
                      <w:rPr>
                        <w:rFonts w:ascii="Calibri"/>
                        <w:sz w:val="7"/>
                      </w:rPr>
                      <w:t>0.7</w:t>
                    </w:r>
                  </w:p>
                  <w:p>
                    <w:pPr>
                      <w:spacing w:before="1"/>
                      <w:ind w:left="29" w:right="0" w:firstLine="0"/>
                      <w:jc w:val="left"/>
                      <w:rPr>
                        <w:rFonts w:ascii="Calibri"/>
                        <w:sz w:val="7"/>
                      </w:rPr>
                    </w:pPr>
                    <w:r>
                      <w:rPr>
                        <w:rFonts w:ascii="Calibri"/>
                        <w:w w:val="99"/>
                        <w:sz w:val="7"/>
                      </w:rPr>
                      <w:t>1</w:t>
                    </w:r>
                  </w:p>
                  <w:p>
                    <w:pPr>
                      <w:spacing w:line="82" w:lineRule="exact" w:before="1"/>
                      <w:ind w:left="0" w:right="-20" w:firstLine="0"/>
                      <w:jc w:val="left"/>
                      <w:rPr>
                        <w:rFonts w:ascii="Calibri"/>
                        <w:sz w:val="7"/>
                      </w:rPr>
                    </w:pPr>
                    <w:r>
                      <w:rPr>
                        <w:rFonts w:ascii="Calibri"/>
                        <w:sz w:val="7"/>
                      </w:rPr>
                      <w:t>1.9</w:t>
                    </w:r>
                  </w:p>
                </w:txbxContent>
              </v:textbox>
              <w10:wrap type="none"/>
            </v:shape>
            <v:shape style="position:absolute;left:8032;top:2047;width:89;height:504" type="#_x0000_t202" filled="false" stroked="false">
              <v:textbox inset="0,0,0,0">
                <w:txbxContent>
                  <w:p>
                    <w:pPr>
                      <w:spacing w:line="73" w:lineRule="exact" w:before="0"/>
                      <w:ind w:left="0" w:right="-20" w:firstLine="0"/>
                      <w:jc w:val="left"/>
                      <w:rPr>
                        <w:rFonts w:ascii="Calibri"/>
                        <w:sz w:val="7"/>
                      </w:rPr>
                    </w:pPr>
                    <w:r>
                      <w:rPr>
                        <w:rFonts w:ascii="Calibri"/>
                        <w:sz w:val="7"/>
                      </w:rPr>
                      <w:t>0.7</w:t>
                    </w:r>
                  </w:p>
                  <w:p>
                    <w:pPr>
                      <w:spacing w:before="1"/>
                      <w:ind w:left="29" w:right="0" w:firstLine="0"/>
                      <w:jc w:val="left"/>
                      <w:rPr>
                        <w:rFonts w:ascii="Calibri"/>
                        <w:sz w:val="7"/>
                      </w:rPr>
                    </w:pPr>
                    <w:r>
                      <w:rPr>
                        <w:rFonts w:ascii="Calibri"/>
                        <w:w w:val="99"/>
                        <w:sz w:val="7"/>
                      </w:rPr>
                      <w:t>0</w:t>
                    </w:r>
                  </w:p>
                  <w:p>
                    <w:pPr>
                      <w:spacing w:before="1"/>
                      <w:ind w:left="0" w:right="-20" w:firstLine="0"/>
                      <w:jc w:val="left"/>
                      <w:rPr>
                        <w:rFonts w:ascii="Calibri"/>
                        <w:sz w:val="7"/>
                      </w:rPr>
                    </w:pPr>
                    <w:r>
                      <w:rPr>
                        <w:rFonts w:ascii="Calibri"/>
                        <w:sz w:val="7"/>
                      </w:rPr>
                      <w:t>0.6</w:t>
                    </w:r>
                  </w:p>
                  <w:p>
                    <w:pPr>
                      <w:spacing w:before="1"/>
                      <w:ind w:left="0" w:right="-20" w:firstLine="0"/>
                      <w:jc w:val="left"/>
                      <w:rPr>
                        <w:rFonts w:ascii="Calibri"/>
                        <w:sz w:val="7"/>
                      </w:rPr>
                    </w:pPr>
                    <w:r>
                      <w:rPr>
                        <w:rFonts w:ascii="Calibri"/>
                        <w:sz w:val="7"/>
                      </w:rPr>
                      <w:t>0.7</w:t>
                    </w:r>
                  </w:p>
                  <w:p>
                    <w:pPr>
                      <w:spacing w:before="1"/>
                      <w:ind w:left="0" w:right="-20" w:firstLine="0"/>
                      <w:jc w:val="left"/>
                      <w:rPr>
                        <w:rFonts w:ascii="Calibri"/>
                        <w:sz w:val="7"/>
                      </w:rPr>
                    </w:pPr>
                    <w:r>
                      <w:rPr>
                        <w:rFonts w:ascii="Calibri"/>
                        <w:sz w:val="7"/>
                      </w:rPr>
                      <w:t>0.6</w:t>
                    </w:r>
                  </w:p>
                  <w:p>
                    <w:pPr>
                      <w:spacing w:line="82" w:lineRule="exact" w:before="1"/>
                      <w:ind w:left="0" w:right="-20" w:firstLine="0"/>
                      <w:jc w:val="left"/>
                      <w:rPr>
                        <w:rFonts w:ascii="Calibri"/>
                        <w:sz w:val="7"/>
                      </w:rPr>
                    </w:pPr>
                    <w:r>
                      <w:rPr>
                        <w:rFonts w:ascii="Calibri"/>
                        <w:sz w:val="7"/>
                      </w:rPr>
                      <w:t>2.6</w:t>
                    </w:r>
                  </w:p>
                </w:txbxContent>
              </v:textbox>
              <w10:wrap type="none"/>
            </v:shape>
            <v:shape style="position:absolute;left:8810;top:2047;width:89;height:504" type="#_x0000_t202" filled="false" stroked="false">
              <v:textbox inset="0,0,0,0">
                <w:txbxContent>
                  <w:p>
                    <w:pPr>
                      <w:spacing w:line="73" w:lineRule="exact" w:before="0"/>
                      <w:ind w:left="0" w:right="-20" w:firstLine="0"/>
                      <w:jc w:val="left"/>
                      <w:rPr>
                        <w:rFonts w:ascii="Calibri"/>
                        <w:sz w:val="7"/>
                      </w:rPr>
                    </w:pPr>
                    <w:r>
                      <w:rPr>
                        <w:rFonts w:ascii="Calibri"/>
                        <w:sz w:val="7"/>
                      </w:rPr>
                      <w:t>0.6</w:t>
                    </w:r>
                  </w:p>
                  <w:p>
                    <w:pPr>
                      <w:spacing w:before="1"/>
                      <w:ind w:left="29" w:right="0" w:firstLine="0"/>
                      <w:jc w:val="left"/>
                      <w:rPr>
                        <w:rFonts w:ascii="Calibri"/>
                        <w:sz w:val="7"/>
                      </w:rPr>
                    </w:pPr>
                    <w:r>
                      <w:rPr>
                        <w:rFonts w:ascii="Calibri"/>
                        <w:w w:val="99"/>
                        <w:sz w:val="7"/>
                      </w:rPr>
                      <w:t>0</w:t>
                    </w:r>
                  </w:p>
                  <w:p>
                    <w:pPr>
                      <w:spacing w:before="1"/>
                      <w:ind w:left="29" w:right="0" w:firstLine="0"/>
                      <w:jc w:val="left"/>
                      <w:rPr>
                        <w:rFonts w:ascii="Calibri"/>
                        <w:sz w:val="7"/>
                      </w:rPr>
                    </w:pPr>
                    <w:r>
                      <w:rPr>
                        <w:rFonts w:ascii="Calibri"/>
                        <w:w w:val="99"/>
                        <w:sz w:val="7"/>
                      </w:rPr>
                      <w:t>0</w:t>
                    </w:r>
                  </w:p>
                  <w:p>
                    <w:pPr>
                      <w:spacing w:before="1"/>
                      <w:ind w:left="0" w:right="-20" w:firstLine="0"/>
                      <w:jc w:val="left"/>
                      <w:rPr>
                        <w:rFonts w:ascii="Calibri"/>
                        <w:sz w:val="7"/>
                      </w:rPr>
                    </w:pPr>
                    <w:r>
                      <w:rPr>
                        <w:rFonts w:ascii="Calibri"/>
                        <w:sz w:val="7"/>
                      </w:rPr>
                      <w:t>0.7</w:t>
                    </w:r>
                  </w:p>
                  <w:p>
                    <w:pPr>
                      <w:spacing w:before="1"/>
                      <w:ind w:left="29" w:right="0" w:firstLine="0"/>
                      <w:jc w:val="left"/>
                      <w:rPr>
                        <w:rFonts w:ascii="Calibri"/>
                        <w:sz w:val="7"/>
                      </w:rPr>
                    </w:pPr>
                    <w:r>
                      <w:rPr>
                        <w:rFonts w:ascii="Calibri"/>
                        <w:w w:val="99"/>
                        <w:sz w:val="7"/>
                      </w:rPr>
                      <w:t>0</w:t>
                    </w:r>
                  </w:p>
                  <w:p>
                    <w:pPr>
                      <w:spacing w:line="82" w:lineRule="exact" w:before="1"/>
                      <w:ind w:left="0" w:right="-20" w:firstLine="0"/>
                      <w:jc w:val="left"/>
                      <w:rPr>
                        <w:rFonts w:ascii="Calibri"/>
                        <w:sz w:val="7"/>
                      </w:rPr>
                    </w:pPr>
                    <w:r>
                      <w:rPr>
                        <w:rFonts w:ascii="Calibri"/>
                        <w:sz w:val="7"/>
                      </w:rPr>
                      <w:t>1.3</w:t>
                    </w:r>
                  </w:p>
                </w:txbxContent>
              </v:textbox>
              <w10:wrap type="none"/>
            </v:shape>
            <v:shape style="position:absolute;left:9642;top:2047;width:89;height:504" type="#_x0000_t202" filled="false" stroked="false">
              <v:textbox inset="0,0,0,0">
                <w:txbxContent>
                  <w:p>
                    <w:pPr>
                      <w:spacing w:line="73" w:lineRule="exact" w:before="0"/>
                      <w:ind w:left="0" w:right="-20" w:firstLine="0"/>
                      <w:jc w:val="left"/>
                      <w:rPr>
                        <w:rFonts w:ascii="Calibri"/>
                        <w:sz w:val="7"/>
                      </w:rPr>
                    </w:pPr>
                    <w:r>
                      <w:rPr>
                        <w:rFonts w:ascii="Calibri"/>
                        <w:sz w:val="7"/>
                      </w:rPr>
                      <w:t>0.7</w:t>
                    </w:r>
                  </w:p>
                  <w:p>
                    <w:pPr>
                      <w:spacing w:before="1"/>
                      <w:ind w:left="29" w:right="0" w:firstLine="0"/>
                      <w:jc w:val="left"/>
                      <w:rPr>
                        <w:rFonts w:ascii="Calibri"/>
                        <w:sz w:val="7"/>
                      </w:rPr>
                    </w:pPr>
                    <w:r>
                      <w:rPr>
                        <w:rFonts w:ascii="Calibri"/>
                        <w:w w:val="99"/>
                        <w:sz w:val="7"/>
                      </w:rPr>
                      <w:t>0</w:t>
                    </w:r>
                  </w:p>
                  <w:p>
                    <w:pPr>
                      <w:spacing w:before="1"/>
                      <w:ind w:left="0" w:right="-20" w:firstLine="0"/>
                      <w:jc w:val="left"/>
                      <w:rPr>
                        <w:rFonts w:ascii="Calibri"/>
                        <w:sz w:val="7"/>
                      </w:rPr>
                    </w:pPr>
                    <w:r>
                      <w:rPr>
                        <w:rFonts w:ascii="Calibri"/>
                        <w:sz w:val="7"/>
                      </w:rPr>
                      <w:t>0.6</w:t>
                    </w:r>
                  </w:p>
                  <w:p>
                    <w:pPr>
                      <w:spacing w:before="1"/>
                      <w:ind w:left="0" w:right="-20" w:firstLine="0"/>
                      <w:jc w:val="left"/>
                      <w:rPr>
                        <w:rFonts w:ascii="Calibri"/>
                        <w:sz w:val="7"/>
                      </w:rPr>
                    </w:pPr>
                    <w:r>
                      <w:rPr>
                        <w:rFonts w:ascii="Calibri"/>
                        <w:sz w:val="7"/>
                      </w:rPr>
                      <w:t>0.7</w:t>
                    </w:r>
                  </w:p>
                  <w:p>
                    <w:pPr>
                      <w:spacing w:before="1"/>
                      <w:ind w:left="0" w:right="-20" w:firstLine="0"/>
                      <w:jc w:val="left"/>
                      <w:rPr>
                        <w:rFonts w:ascii="Calibri"/>
                        <w:sz w:val="7"/>
                      </w:rPr>
                    </w:pPr>
                    <w:r>
                      <w:rPr>
                        <w:rFonts w:ascii="Calibri"/>
                        <w:sz w:val="7"/>
                      </w:rPr>
                      <w:t>0.7</w:t>
                    </w:r>
                  </w:p>
                  <w:p>
                    <w:pPr>
                      <w:spacing w:line="82" w:lineRule="exact" w:before="1"/>
                      <w:ind w:left="0" w:right="-20" w:firstLine="0"/>
                      <w:jc w:val="left"/>
                      <w:rPr>
                        <w:rFonts w:ascii="Calibri"/>
                        <w:sz w:val="7"/>
                      </w:rPr>
                    </w:pPr>
                    <w:r>
                      <w:rPr>
                        <w:rFonts w:ascii="Calibri"/>
                        <w:sz w:val="7"/>
                      </w:rPr>
                      <w:t>2.7</w:t>
                    </w:r>
                  </w:p>
                </w:txbxContent>
              </v:textbox>
              <w10:wrap type="none"/>
            </v:shape>
            <v:shape style="position:absolute;left:10421;top:2047;width:89;height:504" type="#_x0000_t202" filled="false" stroked="false">
              <v:textbox inset="0,0,0,0">
                <w:txbxContent>
                  <w:p>
                    <w:pPr>
                      <w:spacing w:line="73" w:lineRule="exact" w:before="0"/>
                      <w:ind w:left="0" w:right="-20" w:firstLine="0"/>
                      <w:jc w:val="left"/>
                      <w:rPr>
                        <w:rFonts w:ascii="Calibri"/>
                        <w:sz w:val="7"/>
                      </w:rPr>
                    </w:pPr>
                    <w:r>
                      <w:rPr>
                        <w:rFonts w:ascii="Calibri"/>
                        <w:sz w:val="7"/>
                      </w:rPr>
                      <w:t>0.6</w:t>
                    </w:r>
                  </w:p>
                  <w:p>
                    <w:pPr>
                      <w:spacing w:before="1"/>
                      <w:ind w:left="29" w:right="0" w:firstLine="0"/>
                      <w:jc w:val="left"/>
                      <w:rPr>
                        <w:rFonts w:ascii="Calibri"/>
                        <w:sz w:val="7"/>
                      </w:rPr>
                    </w:pPr>
                    <w:r>
                      <w:rPr>
                        <w:rFonts w:ascii="Calibri"/>
                        <w:w w:val="99"/>
                        <w:sz w:val="7"/>
                      </w:rPr>
                      <w:t>0</w:t>
                    </w:r>
                  </w:p>
                  <w:p>
                    <w:pPr>
                      <w:spacing w:before="1"/>
                      <w:ind w:left="29" w:right="0" w:firstLine="0"/>
                      <w:jc w:val="left"/>
                      <w:rPr>
                        <w:rFonts w:ascii="Calibri"/>
                        <w:sz w:val="7"/>
                      </w:rPr>
                    </w:pPr>
                    <w:r>
                      <w:rPr>
                        <w:rFonts w:ascii="Calibri"/>
                        <w:w w:val="99"/>
                        <w:sz w:val="7"/>
                      </w:rPr>
                      <w:t>0</w:t>
                    </w:r>
                  </w:p>
                  <w:p>
                    <w:pPr>
                      <w:spacing w:before="1"/>
                      <w:ind w:left="0" w:right="-20" w:firstLine="0"/>
                      <w:jc w:val="left"/>
                      <w:rPr>
                        <w:rFonts w:ascii="Calibri"/>
                        <w:sz w:val="7"/>
                      </w:rPr>
                    </w:pPr>
                    <w:r>
                      <w:rPr>
                        <w:rFonts w:ascii="Calibri"/>
                        <w:sz w:val="7"/>
                      </w:rPr>
                      <w:t>0.6</w:t>
                    </w:r>
                  </w:p>
                  <w:p>
                    <w:pPr>
                      <w:spacing w:before="1"/>
                      <w:ind w:left="0" w:right="-20" w:firstLine="0"/>
                      <w:jc w:val="left"/>
                      <w:rPr>
                        <w:rFonts w:ascii="Calibri"/>
                        <w:sz w:val="7"/>
                      </w:rPr>
                    </w:pPr>
                    <w:r>
                      <w:rPr>
                        <w:rFonts w:ascii="Calibri"/>
                        <w:sz w:val="7"/>
                      </w:rPr>
                      <w:t>0.6</w:t>
                    </w:r>
                  </w:p>
                  <w:p>
                    <w:pPr>
                      <w:spacing w:line="82" w:lineRule="exact" w:before="1"/>
                      <w:ind w:left="0" w:right="-20" w:firstLine="0"/>
                      <w:jc w:val="left"/>
                      <w:rPr>
                        <w:rFonts w:ascii="Calibri"/>
                        <w:sz w:val="7"/>
                      </w:rPr>
                    </w:pPr>
                    <w:r>
                      <w:rPr>
                        <w:rFonts w:ascii="Calibri"/>
                        <w:sz w:val="7"/>
                      </w:rPr>
                      <w:t>1.8</w:t>
                    </w:r>
                  </w:p>
                </w:txbxContent>
              </v:textbox>
              <w10:wrap type="none"/>
            </v:shape>
            <v:shape style="position:absolute;left:2353;top:2655;width:8157;height:331" type="#_x0000_t202" filled="false" stroked="false">
              <v:textbox inset="0,0,0,0">
                <w:txbxContent>
                  <w:p>
                    <w:pPr>
                      <w:tabs>
                        <w:tab w:pos="1168" w:val="left" w:leader="none"/>
                        <w:tab w:pos="2452" w:val="left" w:leader="none"/>
                        <w:tab w:pos="3045" w:val="left" w:leader="none"/>
                        <w:tab w:pos="3586" w:val="left" w:leader="none"/>
                        <w:tab w:pos="4214" w:val="left" w:leader="none"/>
                        <w:tab w:pos="4905" w:val="left" w:leader="none"/>
                        <w:tab w:pos="5678" w:val="left" w:leader="none"/>
                        <w:tab w:pos="6457" w:val="left" w:leader="none"/>
                        <w:tab w:pos="7288" w:val="left" w:leader="none"/>
                        <w:tab w:pos="8156" w:val="right" w:leader="none"/>
                      </w:tabs>
                      <w:spacing w:line="73" w:lineRule="exact" w:before="0"/>
                      <w:ind w:left="0" w:right="0" w:firstLine="0"/>
                      <w:jc w:val="left"/>
                      <w:rPr>
                        <w:rFonts w:ascii="Calibri" w:hAnsi="Calibri"/>
                        <w:sz w:val="7"/>
                      </w:rPr>
                    </w:pPr>
                    <w:r>
                      <w:rPr>
                        <w:rFonts w:ascii="Calibri" w:hAnsi="Calibri"/>
                        <w:sz w:val="7"/>
                      </w:rPr>
                      <w:t>Índice para una vida</w:t>
                    </w:r>
                    <w:r>
                      <w:rPr>
                        <w:rFonts w:ascii="Calibri" w:hAnsi="Calibri"/>
                        <w:spacing w:val="-6"/>
                        <w:sz w:val="7"/>
                      </w:rPr>
                      <w:t> </w:t>
                    </w:r>
                    <w:r>
                      <w:rPr>
                        <w:rFonts w:ascii="Calibri" w:hAnsi="Calibri"/>
                        <w:sz w:val="7"/>
                      </w:rPr>
                      <w:t>mejor</w:t>
                    </w:r>
                    <w:r>
                      <w:rPr>
                        <w:rFonts w:ascii="Calibri" w:hAnsi="Calibri"/>
                        <w:spacing w:val="-2"/>
                        <w:sz w:val="7"/>
                      </w:rPr>
                      <w:t> </w:t>
                    </w:r>
                    <w:r>
                      <w:rPr>
                        <w:rFonts w:ascii="Calibri" w:hAnsi="Calibri"/>
                        <w:sz w:val="7"/>
                      </w:rPr>
                      <w:t>OCDE</w:t>
                      <w:tab/>
                      <w:t>Gasto</w:t>
                    </w:r>
                    <w:r>
                      <w:rPr>
                        <w:rFonts w:ascii="Calibri" w:hAnsi="Calibri"/>
                        <w:spacing w:val="-2"/>
                        <w:sz w:val="7"/>
                      </w:rPr>
                      <w:t> </w:t>
                    </w:r>
                    <w:r>
                      <w:rPr>
                        <w:rFonts w:ascii="Calibri" w:hAnsi="Calibri"/>
                        <w:sz w:val="7"/>
                      </w:rPr>
                      <w:t>en</w:t>
                    </w:r>
                    <w:r>
                      <w:rPr>
                        <w:rFonts w:ascii="Calibri" w:hAnsi="Calibri"/>
                        <w:spacing w:val="-2"/>
                        <w:sz w:val="7"/>
                      </w:rPr>
                      <w:t> </w:t>
                    </w:r>
                    <w:r>
                      <w:rPr>
                        <w:rFonts w:ascii="Calibri" w:hAnsi="Calibri"/>
                        <w:sz w:val="7"/>
                      </w:rPr>
                      <w:t>vivienda</w:t>
                      <w:tab/>
                      <w:t>0.6</w:t>
                      <w:tab/>
                      <w:t>0.6</w:t>
                      <w:tab/>
                      <w:t>0.6</w:t>
                      <w:tab/>
                      <w:t>0.6</w:t>
                      <w:tab/>
                      <w:t>0.6</w:t>
                      <w:tab/>
                      <w:t>0.6</w:t>
                      <w:tab/>
                      <w:t>0.6</w:t>
                      <w:tab/>
                      <w:t>0.6</w:t>
                    </w:r>
                    <w:r>
                      <w:rPr>
                        <w:rFonts w:ascii="Times New Roman" w:hAnsi="Times New Roman"/>
                        <w:sz w:val="7"/>
                      </w:rPr>
                      <w:tab/>
                    </w:r>
                    <w:r>
                      <w:rPr>
                        <w:rFonts w:ascii="Calibri" w:hAnsi="Calibri"/>
                        <w:sz w:val="7"/>
                      </w:rPr>
                      <w:t>0.6</w:t>
                    </w:r>
                  </w:p>
                  <w:p>
                    <w:pPr>
                      <w:tabs>
                        <w:tab w:pos="2452" w:val="left" w:leader="none"/>
                        <w:tab w:pos="3045" w:val="left" w:leader="none"/>
                        <w:tab w:pos="3586" w:val="left" w:leader="none"/>
                        <w:tab w:pos="4214" w:val="left" w:leader="none"/>
                        <w:tab w:pos="4905" w:val="left" w:leader="none"/>
                        <w:tab w:pos="5678" w:val="left" w:leader="none"/>
                        <w:tab w:pos="6457" w:val="left" w:leader="none"/>
                        <w:tab w:pos="7288" w:val="left" w:leader="none"/>
                        <w:tab w:pos="8156" w:val="right" w:leader="none"/>
                      </w:tabs>
                      <w:spacing w:before="1"/>
                      <w:ind w:left="1517" w:right="0" w:firstLine="0"/>
                      <w:jc w:val="left"/>
                      <w:rPr>
                        <w:rFonts w:ascii="Calibri"/>
                        <w:sz w:val="7"/>
                      </w:rPr>
                    </w:pPr>
                    <w:r>
                      <w:rPr>
                        <w:rFonts w:ascii="Calibri"/>
                        <w:sz w:val="7"/>
                      </w:rPr>
                      <w:t>Subtotal</w:t>
                      <w:tab/>
                      <w:t>0.6</w:t>
                      <w:tab/>
                      <w:t>0.6</w:t>
                      <w:tab/>
                      <w:t>0.6</w:t>
                      <w:tab/>
                      <w:t>0.6</w:t>
                      <w:tab/>
                      <w:t>0.6</w:t>
                      <w:tab/>
                      <w:t>0.6</w:t>
                      <w:tab/>
                      <w:t>0.6</w:t>
                      <w:tab/>
                      <w:t>0.6</w:t>
                    </w:r>
                    <w:r>
                      <w:rPr>
                        <w:rFonts w:ascii="Times New Roman"/>
                        <w:sz w:val="7"/>
                      </w:rPr>
                      <w:tab/>
                    </w:r>
                    <w:r>
                      <w:rPr>
                        <w:rFonts w:ascii="Calibri"/>
                        <w:sz w:val="7"/>
                      </w:rPr>
                      <w:t>0.6</w:t>
                    </w:r>
                  </w:p>
                  <w:p>
                    <w:pPr>
                      <w:tabs>
                        <w:tab w:pos="2452" w:val="left" w:leader="none"/>
                        <w:tab w:pos="3045" w:val="left" w:leader="none"/>
                        <w:tab w:pos="3586" w:val="left" w:leader="none"/>
                        <w:tab w:pos="4243" w:val="left" w:leader="none"/>
                        <w:tab w:pos="4934" w:val="left" w:leader="none"/>
                        <w:tab w:pos="5678" w:val="left" w:leader="none"/>
                        <w:tab w:pos="6457" w:val="left" w:leader="none"/>
                        <w:tab w:pos="7288" w:val="left" w:leader="none"/>
                        <w:tab w:pos="8156" w:val="right" w:leader="none"/>
                      </w:tabs>
                      <w:spacing w:line="82" w:lineRule="exact" w:before="88"/>
                      <w:ind w:left="1528" w:right="0" w:firstLine="0"/>
                      <w:jc w:val="left"/>
                      <w:rPr>
                        <w:rFonts w:ascii="Calibri"/>
                        <w:sz w:val="7"/>
                      </w:rPr>
                    </w:pPr>
                    <w:r>
                      <w:rPr>
                        <w:rFonts w:ascii="Calibri"/>
                        <w:sz w:val="7"/>
                      </w:rPr>
                      <w:t>Total</w:t>
                    </w:r>
                    <w:r>
                      <w:rPr>
                        <w:rFonts w:ascii="Calibri"/>
                        <w:spacing w:val="-2"/>
                        <w:sz w:val="7"/>
                      </w:rPr>
                      <w:t> </w:t>
                    </w:r>
                    <w:r>
                      <w:rPr>
                        <w:rFonts w:ascii="Calibri"/>
                        <w:sz w:val="7"/>
                      </w:rPr>
                      <w:t>IE</w:t>
                      <w:tab/>
                      <w:t>5.5</w:t>
                      <w:tab/>
                      <w:t>4.7</w:t>
                      <w:tab/>
                      <w:t>5.5</w:t>
                      <w:tab/>
                      <w:t>6</w:t>
                      <w:tab/>
                      <w:t>6</w:t>
                      <w:tab/>
                      <w:t>6.7</w:t>
                      <w:tab/>
                      <w:t>5.4</w:t>
                      <w:tab/>
                      <w:t>6.3</w:t>
                    </w:r>
                    <w:r>
                      <w:rPr>
                        <w:rFonts w:ascii="Times New Roman"/>
                        <w:sz w:val="7"/>
                      </w:rPr>
                      <w:tab/>
                    </w:r>
                    <w:r>
                      <w:rPr>
                        <w:rFonts w:ascii="Calibri"/>
                        <w:sz w:val="7"/>
                      </w:rPr>
                      <w:t>4.6</w:t>
                    </w:r>
                  </w:p>
                </w:txbxContent>
              </v:textbox>
              <w10:wrap type="none"/>
            </v:shape>
            <w10:wrap type="topAndBottom"/>
          </v:group>
        </w:pict>
      </w:r>
      <w:r>
        <w:rPr/>
        <w:t>Tabla 35. Indicadores económicos</w:t>
      </w:r>
    </w:p>
    <w:p>
      <w:pPr>
        <w:spacing w:before="94"/>
        <w:ind w:left="268" w:right="0" w:firstLine="0"/>
        <w:jc w:val="both"/>
        <w:rPr>
          <w:sz w:val="21"/>
        </w:rPr>
      </w:pPr>
      <w:r>
        <w:rPr>
          <w:w w:val="105"/>
          <w:sz w:val="21"/>
        </w:rPr>
        <w:t>Fuente: Elaboración propia con base al estudio realizado.</w:t>
      </w:r>
    </w:p>
    <w:p>
      <w:pPr>
        <w:spacing w:after="0"/>
        <w:jc w:val="both"/>
        <w:rPr>
          <w:sz w:val="21"/>
        </w:rPr>
        <w:sectPr>
          <w:pgSz w:w="12240" w:h="15840"/>
          <w:pgMar w:header="730" w:footer="1066" w:top="1320" w:bottom="1260" w:left="1720" w:right="1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60" w:lineRule="auto" w:before="193"/>
        <w:ind w:left="268" w:right="231"/>
        <w:jc w:val="both"/>
      </w:pPr>
      <w:r>
        <w:rPr/>
        <w:pict>
          <v:line style="position:absolute;mso-position-horizontal-relative:page;mso-position-vertical-relative:paragraph;z-index:14368" from="93.199997pt,-66.694122pt" to="546.799997pt,-66.694122pt" stroked="true" strokeweight=".479981pt" strokecolor="#000000">
            <w10:wrap type="none"/>
          </v:line>
        </w:pict>
      </w:r>
      <w:r>
        <w:rPr/>
        <w:t>La tabla 36 muestra los resultados obtenidos en el sistema de indicadores referente al índice territorial y sus respectivos subíndices de los nueve conjuntos urbanos autorizados en el municipio de Calimaya, siendo el CU denominado Rancho la Providencia el evaluado con el menor puntaje, en contra parte los mejor evaluados fueron Valle del Nevado y Hacienda de las Fuentes, cabe mencionar que los resultados obtenidos se encuentran por debajo de resultado deseable, los indicadores relacionados con infraestructura y equipamiento desarrollado impactaron de manera positiva y negativa en los resultados obtenidos por los conjuntos urbanos.</w:t>
      </w:r>
    </w:p>
    <w:p>
      <w:pPr>
        <w:pStyle w:val="BodyText"/>
      </w:pPr>
    </w:p>
    <w:p>
      <w:pPr>
        <w:pStyle w:val="BodyText"/>
      </w:pPr>
    </w:p>
    <w:p>
      <w:pPr>
        <w:pStyle w:val="BodyText"/>
        <w:spacing w:before="1"/>
        <w:rPr>
          <w:sz w:val="21"/>
        </w:rPr>
      </w:pPr>
    </w:p>
    <w:p>
      <w:pPr>
        <w:pStyle w:val="BodyText"/>
        <w:ind w:left="268"/>
        <w:jc w:val="both"/>
      </w:pPr>
      <w:r>
        <w:rPr/>
        <w:t>Tabla 36. Indicadores territoriales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BodyText"/>
        <w:spacing w:before="8"/>
        <w:rPr>
          <w:sz w:val="7"/>
        </w:rPr>
      </w:pPr>
    </w:p>
    <w:p>
      <w:pPr>
        <w:spacing w:before="0"/>
        <w:ind w:left="307" w:right="0" w:firstLine="0"/>
        <w:jc w:val="left"/>
        <w:rPr>
          <w:rFonts w:ascii="Calibri"/>
          <w:sz w:val="7"/>
        </w:rPr>
      </w:pPr>
      <w:r>
        <w:rPr/>
        <w:pict>
          <v:shape style="position:absolute;margin-left:99.330002pt;margin-top:-101.180107pt;width:442.05pt;height:178.2pt;mso-position-horizontal-relative:page;mso-position-vertical-relative:paragraph;z-index:1439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9"/>
                    <w:gridCol w:w="1026"/>
                    <w:gridCol w:w="1134"/>
                    <w:gridCol w:w="759"/>
                    <w:gridCol w:w="430"/>
                    <w:gridCol w:w="657"/>
                    <w:gridCol w:w="593"/>
                    <w:gridCol w:w="791"/>
                    <w:gridCol w:w="756"/>
                    <w:gridCol w:w="802"/>
                    <w:gridCol w:w="860"/>
                    <w:gridCol w:w="700"/>
                  </w:tblGrid>
                  <w:tr>
                    <w:trPr>
                      <w:trHeight w:val="270" w:hRule="exact"/>
                    </w:trPr>
                    <w:tc>
                      <w:tcPr>
                        <w:tcW w:w="8826" w:type="dxa"/>
                        <w:gridSpan w:val="12"/>
                        <w:tcBorders>
                          <w:bottom w:val="nil"/>
                        </w:tcBorders>
                        <w:shd w:val="clear" w:color="auto" w:fill="000000"/>
                      </w:tcPr>
                      <w:p>
                        <w:pPr>
                          <w:pStyle w:val="TableParagraph"/>
                          <w:spacing w:line="259" w:lineRule="auto" w:before="36"/>
                          <w:ind w:left="4025" w:right="4019"/>
                          <w:rPr>
                            <w:b/>
                            <w:sz w:val="7"/>
                          </w:rPr>
                        </w:pPr>
                        <w:r>
                          <w:rPr>
                            <w:b/>
                            <w:color w:val="FFFFFF"/>
                            <w:sz w:val="7"/>
                          </w:rPr>
                          <w:t>Sistema de indicadores Territoriales</w:t>
                        </w:r>
                      </w:p>
                    </w:tc>
                  </w:tr>
                  <w:tr>
                    <w:trPr>
                      <w:trHeight w:val="142" w:hRule="exact"/>
                    </w:trPr>
                    <w:tc>
                      <w:tcPr>
                        <w:tcW w:w="319" w:type="dxa"/>
                        <w:tcBorders>
                          <w:top w:val="single" w:sz="2" w:space="0" w:color="FFFFFF"/>
                          <w:left w:val="single" w:sz="2" w:space="0" w:color="000000"/>
                        </w:tcBorders>
                        <w:shd w:val="clear" w:color="auto" w:fill="808080"/>
                      </w:tcPr>
                      <w:p>
                        <w:pPr>
                          <w:pStyle w:val="TableParagraph"/>
                          <w:spacing w:before="2"/>
                          <w:jc w:val="left"/>
                          <w:rPr>
                            <w:sz w:val="7"/>
                          </w:rPr>
                        </w:pPr>
                      </w:p>
                      <w:p>
                        <w:pPr>
                          <w:pStyle w:val="TableParagraph"/>
                          <w:ind w:left="69"/>
                          <w:jc w:val="left"/>
                          <w:rPr>
                            <w:b/>
                            <w:sz w:val="7"/>
                          </w:rPr>
                        </w:pPr>
                        <w:r>
                          <w:rPr>
                            <w:b/>
                            <w:color w:val="FFFFFF"/>
                            <w:sz w:val="7"/>
                          </w:rPr>
                          <w:t>Índice</w:t>
                        </w:r>
                      </w:p>
                    </w:tc>
                    <w:tc>
                      <w:tcPr>
                        <w:tcW w:w="1026" w:type="dxa"/>
                        <w:tcBorders>
                          <w:top w:val="single" w:sz="2" w:space="0" w:color="FFFFFF"/>
                        </w:tcBorders>
                        <w:shd w:val="clear" w:color="auto" w:fill="808080"/>
                      </w:tcPr>
                      <w:p>
                        <w:pPr>
                          <w:pStyle w:val="TableParagraph"/>
                          <w:spacing w:before="2"/>
                          <w:jc w:val="left"/>
                          <w:rPr>
                            <w:sz w:val="7"/>
                          </w:rPr>
                        </w:pPr>
                      </w:p>
                      <w:p>
                        <w:pPr>
                          <w:pStyle w:val="TableParagraph"/>
                          <w:ind w:left="445"/>
                          <w:jc w:val="left"/>
                          <w:rPr>
                            <w:b/>
                            <w:sz w:val="7"/>
                          </w:rPr>
                        </w:pPr>
                        <w:r>
                          <w:rPr>
                            <w:b/>
                            <w:color w:val="FFFFFF"/>
                            <w:sz w:val="7"/>
                          </w:rPr>
                          <w:t>Subíndice</w:t>
                        </w:r>
                      </w:p>
                    </w:tc>
                    <w:tc>
                      <w:tcPr>
                        <w:tcW w:w="1134" w:type="dxa"/>
                        <w:tcBorders>
                          <w:top w:val="single" w:sz="2" w:space="0" w:color="FFFFFF"/>
                        </w:tcBorders>
                        <w:shd w:val="clear" w:color="auto" w:fill="808080"/>
                      </w:tcPr>
                      <w:p>
                        <w:pPr>
                          <w:pStyle w:val="TableParagraph"/>
                          <w:spacing w:before="2"/>
                          <w:jc w:val="left"/>
                          <w:rPr>
                            <w:sz w:val="7"/>
                          </w:rPr>
                        </w:pPr>
                      </w:p>
                      <w:p>
                        <w:pPr>
                          <w:pStyle w:val="TableParagraph"/>
                          <w:ind w:right="317"/>
                          <w:jc w:val="right"/>
                          <w:rPr>
                            <w:b/>
                            <w:sz w:val="7"/>
                          </w:rPr>
                        </w:pPr>
                        <w:r>
                          <w:rPr>
                            <w:b/>
                            <w:color w:val="FFFFFF"/>
                            <w:sz w:val="7"/>
                          </w:rPr>
                          <w:t>Indicador</w:t>
                        </w:r>
                      </w:p>
                    </w:tc>
                    <w:tc>
                      <w:tcPr>
                        <w:tcW w:w="759" w:type="dxa"/>
                        <w:tcBorders>
                          <w:top w:val="single" w:sz="2" w:space="0" w:color="FFFFFF"/>
                        </w:tcBorders>
                        <w:shd w:val="clear" w:color="auto" w:fill="808080"/>
                      </w:tcPr>
                      <w:p>
                        <w:pPr/>
                      </w:p>
                    </w:tc>
                    <w:tc>
                      <w:tcPr>
                        <w:tcW w:w="430" w:type="dxa"/>
                        <w:tcBorders>
                          <w:top w:val="single" w:sz="2" w:space="0" w:color="FFFFFF"/>
                        </w:tcBorders>
                        <w:shd w:val="clear" w:color="auto" w:fill="808080"/>
                      </w:tcPr>
                      <w:p>
                        <w:pPr/>
                      </w:p>
                    </w:tc>
                    <w:tc>
                      <w:tcPr>
                        <w:tcW w:w="657" w:type="dxa"/>
                        <w:tcBorders>
                          <w:top w:val="single" w:sz="2" w:space="0" w:color="FFFFFF"/>
                        </w:tcBorders>
                        <w:shd w:val="clear" w:color="auto" w:fill="808080"/>
                      </w:tcPr>
                      <w:p>
                        <w:pPr/>
                      </w:p>
                    </w:tc>
                    <w:tc>
                      <w:tcPr>
                        <w:tcW w:w="593" w:type="dxa"/>
                        <w:tcBorders>
                          <w:top w:val="single" w:sz="2" w:space="0" w:color="FFFFFF"/>
                        </w:tcBorders>
                        <w:shd w:val="clear" w:color="auto" w:fill="808080"/>
                      </w:tcPr>
                      <w:p>
                        <w:pPr/>
                      </w:p>
                    </w:tc>
                    <w:tc>
                      <w:tcPr>
                        <w:tcW w:w="1546" w:type="dxa"/>
                        <w:gridSpan w:val="2"/>
                        <w:tcBorders>
                          <w:top w:val="single" w:sz="2" w:space="0" w:color="FFFFFF"/>
                        </w:tcBorders>
                        <w:shd w:val="clear" w:color="auto" w:fill="808080"/>
                      </w:tcPr>
                      <w:p>
                        <w:pPr>
                          <w:pStyle w:val="TableParagraph"/>
                          <w:spacing w:before="24"/>
                          <w:ind w:left="252"/>
                          <w:jc w:val="left"/>
                          <w:rPr>
                            <w:b/>
                            <w:sz w:val="7"/>
                          </w:rPr>
                        </w:pPr>
                        <w:r>
                          <w:rPr>
                            <w:b/>
                            <w:color w:val="FFFFFF"/>
                            <w:sz w:val="7"/>
                          </w:rPr>
                          <w:t>Valores por Conjunto Urbano</w:t>
                        </w:r>
                      </w:p>
                    </w:tc>
                    <w:tc>
                      <w:tcPr>
                        <w:tcW w:w="802" w:type="dxa"/>
                        <w:tcBorders>
                          <w:top w:val="single" w:sz="2" w:space="0" w:color="FFFFFF"/>
                        </w:tcBorders>
                        <w:shd w:val="clear" w:color="auto" w:fill="808080"/>
                      </w:tcPr>
                      <w:p>
                        <w:pPr/>
                      </w:p>
                    </w:tc>
                    <w:tc>
                      <w:tcPr>
                        <w:tcW w:w="860" w:type="dxa"/>
                        <w:tcBorders>
                          <w:top w:val="single" w:sz="2" w:space="0" w:color="FFFFFF"/>
                        </w:tcBorders>
                        <w:shd w:val="clear" w:color="auto" w:fill="808080"/>
                      </w:tcPr>
                      <w:p>
                        <w:pPr/>
                      </w:p>
                    </w:tc>
                    <w:tc>
                      <w:tcPr>
                        <w:tcW w:w="700" w:type="dxa"/>
                        <w:tcBorders>
                          <w:top w:val="single" w:sz="2" w:space="0" w:color="FFFFFF"/>
                          <w:right w:val="single" w:sz="5" w:space="0" w:color="000000"/>
                        </w:tcBorders>
                        <w:shd w:val="clear" w:color="auto" w:fill="808080"/>
                      </w:tcPr>
                      <w:p>
                        <w:pPr/>
                      </w:p>
                    </w:tc>
                  </w:tr>
                  <w:tr>
                    <w:trPr>
                      <w:trHeight w:val="151" w:hRule="exact"/>
                    </w:trPr>
                    <w:tc>
                      <w:tcPr>
                        <w:tcW w:w="3238" w:type="dxa"/>
                        <w:gridSpan w:val="4"/>
                        <w:tcBorders>
                          <w:left w:val="single" w:sz="2" w:space="0" w:color="000000"/>
                          <w:bottom w:val="single" w:sz="19" w:space="0" w:color="FFFFFF"/>
                          <w:right w:val="single" w:sz="2" w:space="0" w:color="000000"/>
                        </w:tcBorders>
                        <w:shd w:val="clear" w:color="auto" w:fill="808080"/>
                      </w:tcPr>
                      <w:p>
                        <w:pPr>
                          <w:pStyle w:val="TableParagraph"/>
                          <w:spacing w:before="18"/>
                          <w:ind w:right="92"/>
                          <w:jc w:val="right"/>
                          <w:rPr>
                            <w:b/>
                            <w:sz w:val="7"/>
                          </w:rPr>
                        </w:pPr>
                        <w:r>
                          <w:rPr>
                            <w:b/>
                            <w:color w:val="FFFFFF"/>
                            <w:sz w:val="7"/>
                          </w:rPr>
                          <w:t>Villas del Campo</w:t>
                        </w:r>
                      </w:p>
                    </w:tc>
                    <w:tc>
                      <w:tcPr>
                        <w:tcW w:w="430" w:type="dxa"/>
                        <w:tcBorders>
                          <w:left w:val="single" w:sz="2" w:space="0" w:color="000000"/>
                          <w:bottom w:val="single" w:sz="19" w:space="0" w:color="FFFFFF"/>
                          <w:right w:val="single" w:sz="2" w:space="0" w:color="000000"/>
                        </w:tcBorders>
                        <w:shd w:val="clear" w:color="auto" w:fill="808080"/>
                      </w:tcPr>
                      <w:p>
                        <w:pPr>
                          <w:pStyle w:val="TableParagraph"/>
                          <w:spacing w:before="18"/>
                          <w:ind w:right="2"/>
                          <w:rPr>
                            <w:b/>
                            <w:sz w:val="7"/>
                          </w:rPr>
                        </w:pPr>
                        <w:r>
                          <w:rPr>
                            <w:b/>
                            <w:color w:val="FFFFFF"/>
                            <w:sz w:val="7"/>
                          </w:rPr>
                          <w:t>San Andres</w:t>
                        </w:r>
                      </w:p>
                    </w:tc>
                    <w:tc>
                      <w:tcPr>
                        <w:tcW w:w="657" w:type="dxa"/>
                        <w:tcBorders>
                          <w:left w:val="single" w:sz="2" w:space="0" w:color="000000"/>
                          <w:bottom w:val="single" w:sz="19" w:space="0" w:color="FFFFFF"/>
                          <w:right w:val="single" w:sz="2" w:space="0" w:color="000000"/>
                        </w:tcBorders>
                        <w:shd w:val="clear" w:color="auto" w:fill="808080"/>
                      </w:tcPr>
                      <w:p>
                        <w:pPr>
                          <w:pStyle w:val="TableParagraph"/>
                          <w:spacing w:before="18"/>
                          <w:ind w:right="1"/>
                          <w:rPr>
                            <w:b/>
                            <w:sz w:val="7"/>
                          </w:rPr>
                        </w:pPr>
                        <w:r>
                          <w:rPr>
                            <w:b/>
                            <w:color w:val="FFFFFF"/>
                            <w:sz w:val="7"/>
                          </w:rPr>
                          <w:t>Villas del Campo II</w:t>
                        </w:r>
                      </w:p>
                    </w:tc>
                    <w:tc>
                      <w:tcPr>
                        <w:tcW w:w="593" w:type="dxa"/>
                        <w:tcBorders>
                          <w:left w:val="single" w:sz="2" w:space="0" w:color="000000"/>
                          <w:bottom w:val="single" w:sz="19" w:space="0" w:color="FFFFFF"/>
                          <w:right w:val="single" w:sz="2" w:space="0" w:color="000000"/>
                        </w:tcBorders>
                        <w:shd w:val="clear" w:color="auto" w:fill="808080"/>
                      </w:tcPr>
                      <w:p>
                        <w:pPr>
                          <w:pStyle w:val="TableParagraph"/>
                          <w:spacing w:before="18"/>
                          <w:ind w:right="1"/>
                          <w:rPr>
                            <w:b/>
                            <w:sz w:val="7"/>
                          </w:rPr>
                        </w:pPr>
                        <w:r>
                          <w:rPr>
                            <w:b/>
                            <w:color w:val="FFFFFF"/>
                            <w:sz w:val="7"/>
                          </w:rPr>
                          <w:t>Valle del Nevado</w:t>
                        </w:r>
                      </w:p>
                    </w:tc>
                    <w:tc>
                      <w:tcPr>
                        <w:tcW w:w="791" w:type="dxa"/>
                        <w:tcBorders>
                          <w:left w:val="single" w:sz="2" w:space="0" w:color="000000"/>
                          <w:bottom w:val="single" w:sz="19" w:space="0" w:color="FFFFFF"/>
                          <w:right w:val="single" w:sz="2" w:space="0" w:color="000000"/>
                        </w:tcBorders>
                        <w:shd w:val="clear" w:color="auto" w:fill="808080"/>
                      </w:tcPr>
                      <w:p>
                        <w:pPr>
                          <w:pStyle w:val="TableParagraph"/>
                          <w:spacing w:before="18"/>
                          <w:ind w:right="17"/>
                          <w:jc w:val="right"/>
                          <w:rPr>
                            <w:b/>
                            <w:sz w:val="7"/>
                          </w:rPr>
                        </w:pPr>
                        <w:r>
                          <w:rPr>
                            <w:b/>
                            <w:color w:val="FFFFFF"/>
                            <w:sz w:val="7"/>
                          </w:rPr>
                          <w:t>Rancho la Providencia</w:t>
                        </w:r>
                      </w:p>
                    </w:tc>
                    <w:tc>
                      <w:tcPr>
                        <w:tcW w:w="756" w:type="dxa"/>
                        <w:tcBorders>
                          <w:left w:val="single" w:sz="2" w:space="0" w:color="000000"/>
                          <w:bottom w:val="single" w:sz="19" w:space="0" w:color="FFFFFF"/>
                          <w:right w:val="single" w:sz="2" w:space="0" w:color="000000"/>
                        </w:tcBorders>
                        <w:shd w:val="clear" w:color="auto" w:fill="808080"/>
                      </w:tcPr>
                      <w:p>
                        <w:pPr>
                          <w:pStyle w:val="TableParagraph"/>
                          <w:spacing w:before="18"/>
                          <w:ind w:left="17" w:right="-3"/>
                          <w:jc w:val="left"/>
                          <w:rPr>
                            <w:b/>
                            <w:sz w:val="7"/>
                          </w:rPr>
                        </w:pPr>
                        <w:r>
                          <w:rPr>
                            <w:b/>
                            <w:color w:val="FFFFFF"/>
                            <w:sz w:val="7"/>
                          </w:rPr>
                          <w:t>Urbi Hacienda Lomas</w:t>
                        </w:r>
                      </w:p>
                    </w:tc>
                    <w:tc>
                      <w:tcPr>
                        <w:tcW w:w="802" w:type="dxa"/>
                        <w:tcBorders>
                          <w:left w:val="single" w:sz="2" w:space="0" w:color="000000"/>
                          <w:bottom w:val="single" w:sz="19" w:space="0" w:color="FFFFFF"/>
                          <w:right w:val="single" w:sz="2" w:space="0" w:color="000000"/>
                        </w:tcBorders>
                        <w:shd w:val="clear" w:color="auto" w:fill="808080"/>
                      </w:tcPr>
                      <w:p>
                        <w:pPr>
                          <w:pStyle w:val="TableParagraph"/>
                          <w:spacing w:before="18"/>
                          <w:ind w:right="1"/>
                          <w:rPr>
                            <w:b/>
                            <w:sz w:val="7"/>
                          </w:rPr>
                        </w:pPr>
                        <w:r>
                          <w:rPr>
                            <w:b/>
                            <w:color w:val="FFFFFF"/>
                            <w:sz w:val="7"/>
                          </w:rPr>
                          <w:t>Bosque de las Fuentes</w:t>
                        </w:r>
                      </w:p>
                    </w:tc>
                    <w:tc>
                      <w:tcPr>
                        <w:tcW w:w="860" w:type="dxa"/>
                        <w:tcBorders>
                          <w:left w:val="single" w:sz="2" w:space="0" w:color="000000"/>
                          <w:bottom w:val="single" w:sz="19" w:space="0" w:color="FFFFFF"/>
                          <w:right w:val="single" w:sz="2" w:space="0" w:color="000000"/>
                        </w:tcBorders>
                        <w:shd w:val="clear" w:color="auto" w:fill="808080"/>
                      </w:tcPr>
                      <w:p>
                        <w:pPr>
                          <w:pStyle w:val="TableParagraph"/>
                          <w:spacing w:before="18"/>
                          <w:ind w:right="3"/>
                          <w:rPr>
                            <w:b/>
                            <w:sz w:val="7"/>
                          </w:rPr>
                        </w:pPr>
                        <w:r>
                          <w:rPr>
                            <w:b/>
                            <w:color w:val="FFFFFF"/>
                            <w:sz w:val="7"/>
                          </w:rPr>
                          <w:t>Hacienda de las Fuentes</w:t>
                        </w:r>
                      </w:p>
                    </w:tc>
                    <w:tc>
                      <w:tcPr>
                        <w:tcW w:w="700" w:type="dxa"/>
                        <w:tcBorders>
                          <w:left w:val="single" w:sz="2" w:space="0" w:color="000000"/>
                          <w:bottom w:val="single" w:sz="19" w:space="0" w:color="FFFFFF"/>
                          <w:right w:val="single" w:sz="5" w:space="0" w:color="000000"/>
                        </w:tcBorders>
                        <w:shd w:val="clear" w:color="auto" w:fill="808080"/>
                      </w:tcPr>
                      <w:p>
                        <w:pPr>
                          <w:pStyle w:val="TableParagraph"/>
                          <w:spacing w:before="18"/>
                          <w:ind w:left="6"/>
                          <w:rPr>
                            <w:b/>
                            <w:sz w:val="7"/>
                          </w:rPr>
                        </w:pPr>
                        <w:r>
                          <w:rPr>
                            <w:b/>
                            <w:color w:val="FFFFFF"/>
                            <w:sz w:val="7"/>
                          </w:rPr>
                          <w:t>Valle de las Fuentes</w:t>
                        </w:r>
                      </w:p>
                    </w:tc>
                  </w:tr>
                  <w:tr>
                    <w:trPr>
                      <w:trHeight w:val="110" w:hRule="exact"/>
                    </w:trPr>
                    <w:tc>
                      <w:tcPr>
                        <w:tcW w:w="319" w:type="dxa"/>
                        <w:vMerge w:val="restart"/>
                        <w:tcBorders>
                          <w:top w:val="single" w:sz="19" w:space="0" w:color="FFFFFF"/>
                          <w:left w:val="single" w:sz="2" w:space="0" w:color="000000"/>
                        </w:tcBorders>
                      </w:tcPr>
                      <w:p>
                        <w:pPr/>
                      </w:p>
                    </w:tc>
                    <w:tc>
                      <w:tcPr>
                        <w:tcW w:w="1026" w:type="dxa"/>
                        <w:vMerge w:val="restart"/>
                        <w:tcBorders>
                          <w:top w:val="single" w:sz="19" w:space="0" w:color="FFFFFF"/>
                        </w:tcBorders>
                      </w:tcPr>
                      <w:p>
                        <w:pPr>
                          <w:pStyle w:val="TableParagraph"/>
                          <w:jc w:val="left"/>
                          <w:rPr>
                            <w:sz w:val="6"/>
                          </w:rPr>
                        </w:pPr>
                      </w:p>
                      <w:p>
                        <w:pPr>
                          <w:pStyle w:val="TableParagraph"/>
                          <w:spacing w:before="1"/>
                          <w:jc w:val="left"/>
                          <w:rPr>
                            <w:sz w:val="5"/>
                          </w:rPr>
                        </w:pPr>
                      </w:p>
                      <w:p>
                        <w:pPr>
                          <w:pStyle w:val="TableParagraph"/>
                          <w:ind w:left="44"/>
                          <w:jc w:val="left"/>
                          <w:rPr>
                            <w:rFonts w:ascii="Calibri"/>
                            <w:sz w:val="7"/>
                          </w:rPr>
                        </w:pPr>
                        <w:r>
                          <w:rPr>
                            <w:rFonts w:ascii="Calibri"/>
                            <w:sz w:val="7"/>
                          </w:rPr>
                          <w:t>Uso de suelo</w:t>
                        </w:r>
                      </w:p>
                    </w:tc>
                    <w:tc>
                      <w:tcPr>
                        <w:tcW w:w="1134" w:type="dxa"/>
                        <w:vMerge w:val="restart"/>
                        <w:tcBorders>
                          <w:top w:val="single" w:sz="19" w:space="0" w:color="FFFFFF"/>
                        </w:tcBorders>
                      </w:tcPr>
                      <w:p>
                        <w:pPr>
                          <w:pStyle w:val="TableParagraph"/>
                          <w:spacing w:before="6"/>
                          <w:jc w:val="left"/>
                          <w:rPr>
                            <w:sz w:val="7"/>
                          </w:rPr>
                        </w:pPr>
                      </w:p>
                      <w:p>
                        <w:pPr>
                          <w:pStyle w:val="TableParagraph"/>
                          <w:spacing w:before="1"/>
                          <w:ind w:left="186" w:right="279"/>
                          <w:jc w:val="left"/>
                          <w:rPr>
                            <w:rFonts w:ascii="Calibri" w:hAnsi="Calibri"/>
                            <w:sz w:val="7"/>
                          </w:rPr>
                        </w:pPr>
                        <w:r>
                          <w:rPr>
                            <w:rFonts w:ascii="Calibri" w:hAnsi="Calibri"/>
                            <w:sz w:val="7"/>
                          </w:rPr>
                          <w:t>Clasificación del suelo Densidad de población</w:t>
                        </w:r>
                      </w:p>
                      <w:p>
                        <w:pPr>
                          <w:pStyle w:val="TableParagraph"/>
                          <w:spacing w:before="1"/>
                          <w:ind w:left="535" w:right="279"/>
                          <w:jc w:val="left"/>
                          <w:rPr>
                            <w:rFonts w:ascii="Calibri"/>
                            <w:sz w:val="7"/>
                          </w:rPr>
                        </w:pPr>
                        <w:r>
                          <w:rPr>
                            <w:rFonts w:ascii="Calibri"/>
                            <w:sz w:val="7"/>
                          </w:rPr>
                          <w:t>Subtotal</w:t>
                        </w:r>
                      </w:p>
                    </w:tc>
                    <w:tc>
                      <w:tcPr>
                        <w:tcW w:w="1189" w:type="dxa"/>
                        <w:gridSpan w:val="2"/>
                        <w:tcBorders>
                          <w:top w:val="single" w:sz="19" w:space="0" w:color="FFFFFF"/>
                          <w:right w:val="single" w:sz="2" w:space="0" w:color="000000"/>
                        </w:tcBorders>
                        <w:shd w:val="clear" w:color="auto" w:fill="BAF9F5"/>
                      </w:tcPr>
                      <w:p>
                        <w:pPr/>
                      </w:p>
                    </w:tc>
                    <w:tc>
                      <w:tcPr>
                        <w:tcW w:w="657" w:type="dxa"/>
                        <w:tcBorders>
                          <w:top w:val="single" w:sz="19" w:space="0" w:color="FFFFFF"/>
                          <w:left w:val="single" w:sz="2" w:space="0" w:color="000000"/>
                          <w:right w:val="single" w:sz="2" w:space="0" w:color="000000"/>
                        </w:tcBorders>
                        <w:shd w:val="clear" w:color="auto" w:fill="BAF9F5"/>
                      </w:tcPr>
                      <w:p>
                        <w:pPr/>
                      </w:p>
                    </w:tc>
                    <w:tc>
                      <w:tcPr>
                        <w:tcW w:w="593" w:type="dxa"/>
                        <w:tcBorders>
                          <w:top w:val="single" w:sz="19" w:space="0" w:color="FFFFFF"/>
                          <w:left w:val="single" w:sz="2" w:space="0" w:color="000000"/>
                          <w:right w:val="single" w:sz="2" w:space="0" w:color="000000"/>
                        </w:tcBorders>
                        <w:shd w:val="clear" w:color="auto" w:fill="BAF9F5"/>
                      </w:tcPr>
                      <w:p>
                        <w:pPr/>
                      </w:p>
                    </w:tc>
                    <w:tc>
                      <w:tcPr>
                        <w:tcW w:w="791" w:type="dxa"/>
                        <w:tcBorders>
                          <w:top w:val="single" w:sz="19" w:space="0" w:color="FFFFFF"/>
                          <w:left w:val="single" w:sz="2" w:space="0" w:color="000000"/>
                          <w:right w:val="single" w:sz="2" w:space="0" w:color="000000"/>
                        </w:tcBorders>
                        <w:shd w:val="clear" w:color="auto" w:fill="BAF9F5"/>
                      </w:tcPr>
                      <w:p>
                        <w:pPr>
                          <w:pStyle w:val="TableParagraph"/>
                          <w:spacing w:before="1"/>
                          <w:ind w:right="5"/>
                          <w:jc w:val="right"/>
                          <w:rPr>
                            <w:b/>
                            <w:sz w:val="7"/>
                          </w:rPr>
                        </w:pPr>
                        <w:r>
                          <w:rPr>
                            <w:b/>
                            <w:w w:val="95"/>
                            <w:sz w:val="7"/>
                          </w:rPr>
                          <w:t>Evalua</w:t>
                        </w:r>
                      </w:p>
                    </w:tc>
                    <w:tc>
                      <w:tcPr>
                        <w:tcW w:w="756" w:type="dxa"/>
                        <w:tcBorders>
                          <w:top w:val="single" w:sz="19" w:space="0" w:color="FFFFFF"/>
                          <w:left w:val="single" w:sz="2" w:space="0" w:color="000000"/>
                          <w:right w:val="single" w:sz="2" w:space="0" w:color="000000"/>
                        </w:tcBorders>
                        <w:shd w:val="clear" w:color="auto" w:fill="BAF9F5"/>
                      </w:tcPr>
                      <w:p>
                        <w:pPr>
                          <w:pStyle w:val="TableParagraph"/>
                          <w:spacing w:before="1"/>
                          <w:ind w:left="-14" w:right="-3"/>
                          <w:jc w:val="left"/>
                          <w:rPr>
                            <w:b/>
                            <w:sz w:val="7"/>
                          </w:rPr>
                        </w:pPr>
                        <w:r>
                          <w:rPr>
                            <w:b/>
                            <w:sz w:val="7"/>
                          </w:rPr>
                          <w:t>ción</w:t>
                        </w:r>
                      </w:p>
                    </w:tc>
                    <w:tc>
                      <w:tcPr>
                        <w:tcW w:w="802" w:type="dxa"/>
                        <w:tcBorders>
                          <w:top w:val="single" w:sz="19" w:space="0" w:color="FFFFFF"/>
                          <w:left w:val="single" w:sz="2" w:space="0" w:color="000000"/>
                          <w:right w:val="single" w:sz="2" w:space="0" w:color="000000"/>
                        </w:tcBorders>
                        <w:shd w:val="clear" w:color="auto" w:fill="BAF9F5"/>
                      </w:tcPr>
                      <w:p>
                        <w:pPr/>
                      </w:p>
                    </w:tc>
                    <w:tc>
                      <w:tcPr>
                        <w:tcW w:w="860" w:type="dxa"/>
                        <w:tcBorders>
                          <w:top w:val="single" w:sz="19" w:space="0" w:color="FFFFFF"/>
                          <w:left w:val="single" w:sz="2" w:space="0" w:color="000000"/>
                          <w:right w:val="single" w:sz="2" w:space="0" w:color="000000"/>
                        </w:tcBorders>
                        <w:shd w:val="clear" w:color="auto" w:fill="BAF9F5"/>
                      </w:tcPr>
                      <w:p>
                        <w:pPr/>
                      </w:p>
                    </w:tc>
                    <w:tc>
                      <w:tcPr>
                        <w:tcW w:w="700" w:type="dxa"/>
                        <w:tcBorders>
                          <w:top w:val="single" w:sz="19" w:space="0" w:color="FFFFFF"/>
                          <w:left w:val="single" w:sz="2" w:space="0" w:color="000000"/>
                          <w:right w:val="single" w:sz="5" w:space="0" w:color="000000"/>
                        </w:tcBorders>
                        <w:shd w:val="clear" w:color="auto" w:fill="BAF9F5"/>
                      </w:tcPr>
                      <w:p>
                        <w:pPr/>
                      </w:p>
                    </w:tc>
                  </w:tr>
                  <w:tr>
                    <w:trPr>
                      <w:trHeight w:val="91" w:hRule="exact"/>
                    </w:trPr>
                    <w:tc>
                      <w:tcPr>
                        <w:tcW w:w="319" w:type="dxa"/>
                        <w:vMerge/>
                        <w:tcBorders>
                          <w:left w:val="single" w:sz="2" w:space="0" w:color="000000"/>
                        </w:tcBorders>
                      </w:tcPr>
                      <w:p>
                        <w:pPr/>
                      </w:p>
                    </w:tc>
                    <w:tc>
                      <w:tcPr>
                        <w:tcW w:w="1026" w:type="dxa"/>
                        <w:vMerge/>
                      </w:tcPr>
                      <w:p>
                        <w:pPr/>
                      </w:p>
                    </w:tc>
                    <w:tc>
                      <w:tcPr>
                        <w:tcW w:w="1134" w:type="dxa"/>
                        <w:vMerge/>
                      </w:tcPr>
                      <w:p>
                        <w:pPr/>
                      </w:p>
                    </w:tc>
                    <w:tc>
                      <w:tcPr>
                        <w:tcW w:w="759" w:type="dxa"/>
                        <w:tcBorders>
                          <w:right w:val="single" w:sz="2" w:space="0" w:color="000000"/>
                        </w:tcBorders>
                        <w:shd w:val="clear" w:color="auto" w:fill="BAF9F5"/>
                      </w:tcPr>
                      <w:p>
                        <w:pPr>
                          <w:pStyle w:val="TableParagraph"/>
                          <w:ind w:left="12"/>
                          <w:rPr>
                            <w:rFonts w:ascii="Calibri"/>
                            <w:sz w:val="7"/>
                          </w:rPr>
                        </w:pPr>
                        <w:r>
                          <w:rPr>
                            <w:rFonts w:ascii="Calibri"/>
                            <w:w w:val="99"/>
                            <w:sz w:val="7"/>
                          </w:rPr>
                          <w:t>0</w:t>
                        </w:r>
                      </w:p>
                    </w:tc>
                    <w:tc>
                      <w:tcPr>
                        <w:tcW w:w="430" w:type="dxa"/>
                        <w:tcBorders>
                          <w:left w:val="single" w:sz="2" w:space="0" w:color="000000"/>
                          <w:right w:val="single" w:sz="2" w:space="0" w:color="000000"/>
                        </w:tcBorders>
                        <w:shd w:val="clear" w:color="auto" w:fill="BAF9F5"/>
                      </w:tcPr>
                      <w:p>
                        <w:pPr>
                          <w:pStyle w:val="TableParagraph"/>
                          <w:ind w:left="3" w:right="2"/>
                          <w:rPr>
                            <w:rFonts w:ascii="Calibri"/>
                            <w:sz w:val="7"/>
                          </w:rPr>
                        </w:pPr>
                        <w:r>
                          <w:rPr>
                            <w:rFonts w:ascii="Calibri"/>
                            <w:sz w:val="7"/>
                          </w:rPr>
                          <w:t>0.5</w:t>
                        </w:r>
                      </w:p>
                    </w:tc>
                    <w:tc>
                      <w:tcPr>
                        <w:tcW w:w="657" w:type="dxa"/>
                        <w:tcBorders>
                          <w:left w:val="single" w:sz="2" w:space="0" w:color="000000"/>
                          <w:right w:val="single" w:sz="2" w:space="0" w:color="000000"/>
                        </w:tcBorders>
                        <w:shd w:val="clear" w:color="auto" w:fill="BAF9F5"/>
                      </w:tcPr>
                      <w:p>
                        <w:pPr>
                          <w:pStyle w:val="TableParagraph"/>
                          <w:rPr>
                            <w:rFonts w:ascii="Calibri"/>
                            <w:sz w:val="7"/>
                          </w:rPr>
                        </w:pPr>
                        <w:r>
                          <w:rPr>
                            <w:rFonts w:ascii="Calibri"/>
                            <w:w w:val="99"/>
                            <w:sz w:val="7"/>
                          </w:rPr>
                          <w:t>0</w:t>
                        </w:r>
                      </w:p>
                    </w:tc>
                    <w:tc>
                      <w:tcPr>
                        <w:tcW w:w="593" w:type="dxa"/>
                        <w:tcBorders>
                          <w:left w:val="single" w:sz="2" w:space="0" w:color="000000"/>
                          <w:right w:val="single" w:sz="2" w:space="0" w:color="000000"/>
                        </w:tcBorders>
                        <w:shd w:val="clear" w:color="auto" w:fill="BAF9F5"/>
                      </w:tcPr>
                      <w:p>
                        <w:pPr>
                          <w:pStyle w:val="TableParagraph"/>
                          <w:ind w:left="2" w:right="1"/>
                          <w:rPr>
                            <w:rFonts w:ascii="Calibri"/>
                            <w:sz w:val="7"/>
                          </w:rPr>
                        </w:pPr>
                        <w:r>
                          <w:rPr>
                            <w:rFonts w:ascii="Calibri"/>
                            <w:sz w:val="7"/>
                          </w:rPr>
                          <w:t>0.5</w:t>
                        </w:r>
                      </w:p>
                    </w:tc>
                    <w:tc>
                      <w:tcPr>
                        <w:tcW w:w="791"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0</w:t>
                        </w:r>
                      </w:p>
                    </w:tc>
                    <w:tc>
                      <w:tcPr>
                        <w:tcW w:w="756" w:type="dxa"/>
                        <w:tcBorders>
                          <w:left w:val="single" w:sz="2" w:space="0" w:color="000000"/>
                          <w:right w:val="single" w:sz="2" w:space="0" w:color="000000"/>
                        </w:tcBorders>
                        <w:shd w:val="clear" w:color="auto" w:fill="BAF9F5"/>
                      </w:tcPr>
                      <w:p>
                        <w:pPr>
                          <w:pStyle w:val="TableParagraph"/>
                          <w:ind w:left="286" w:right="285"/>
                          <w:rPr>
                            <w:rFonts w:ascii="Calibri"/>
                            <w:sz w:val="7"/>
                          </w:rPr>
                        </w:pPr>
                        <w:r>
                          <w:rPr>
                            <w:rFonts w:ascii="Calibri"/>
                            <w:sz w:val="7"/>
                          </w:rPr>
                          <w:t>0.5</w:t>
                        </w:r>
                      </w:p>
                    </w:tc>
                    <w:tc>
                      <w:tcPr>
                        <w:tcW w:w="802" w:type="dxa"/>
                        <w:tcBorders>
                          <w:left w:val="single" w:sz="2" w:space="0" w:color="000000"/>
                          <w:right w:val="single" w:sz="2" w:space="0" w:color="000000"/>
                        </w:tcBorders>
                        <w:shd w:val="clear" w:color="auto" w:fill="BAF9F5"/>
                      </w:tcPr>
                      <w:p>
                        <w:pPr>
                          <w:pStyle w:val="TableParagraph"/>
                          <w:ind w:left="2" w:right="1"/>
                          <w:rPr>
                            <w:rFonts w:ascii="Calibri"/>
                            <w:sz w:val="7"/>
                          </w:rPr>
                        </w:pPr>
                        <w:r>
                          <w:rPr>
                            <w:rFonts w:ascii="Calibri"/>
                            <w:sz w:val="7"/>
                          </w:rPr>
                          <w:t>0.5</w:t>
                        </w:r>
                      </w:p>
                    </w:tc>
                    <w:tc>
                      <w:tcPr>
                        <w:tcW w:w="860" w:type="dxa"/>
                        <w:tcBorders>
                          <w:left w:val="single" w:sz="2" w:space="0" w:color="000000"/>
                          <w:right w:val="single" w:sz="2" w:space="0" w:color="000000"/>
                        </w:tcBorders>
                        <w:shd w:val="clear" w:color="auto" w:fill="BAF9F5"/>
                      </w:tcPr>
                      <w:p>
                        <w:pPr>
                          <w:pStyle w:val="TableParagraph"/>
                          <w:ind w:left="4" w:right="3"/>
                          <w:rPr>
                            <w:rFonts w:ascii="Calibri"/>
                            <w:sz w:val="7"/>
                          </w:rPr>
                        </w:pPr>
                        <w:r>
                          <w:rPr>
                            <w:rFonts w:ascii="Calibri"/>
                            <w:sz w:val="7"/>
                          </w:rPr>
                          <w:t>0.5</w:t>
                        </w:r>
                      </w:p>
                    </w:tc>
                    <w:tc>
                      <w:tcPr>
                        <w:tcW w:w="700" w:type="dxa"/>
                        <w:tcBorders>
                          <w:left w:val="single" w:sz="2" w:space="0" w:color="000000"/>
                          <w:right w:val="single" w:sz="5" w:space="0" w:color="000000"/>
                        </w:tcBorders>
                        <w:shd w:val="clear" w:color="auto" w:fill="BAF9F5"/>
                      </w:tcPr>
                      <w:p>
                        <w:pPr>
                          <w:pStyle w:val="TableParagraph"/>
                          <w:ind w:left="1"/>
                          <w:rPr>
                            <w:rFonts w:ascii="Calibri"/>
                            <w:sz w:val="7"/>
                          </w:rPr>
                        </w:pPr>
                        <w:r>
                          <w:rPr>
                            <w:rFonts w:ascii="Calibri"/>
                            <w:sz w:val="7"/>
                          </w:rPr>
                          <w:t>0.5</w:t>
                        </w:r>
                      </w:p>
                    </w:tc>
                  </w:tr>
                  <w:tr>
                    <w:trPr>
                      <w:trHeight w:val="86" w:hRule="exact"/>
                    </w:trPr>
                    <w:tc>
                      <w:tcPr>
                        <w:tcW w:w="319" w:type="dxa"/>
                        <w:vMerge/>
                        <w:tcBorders>
                          <w:left w:val="single" w:sz="2" w:space="0" w:color="000000"/>
                        </w:tcBorders>
                      </w:tcPr>
                      <w:p>
                        <w:pPr/>
                      </w:p>
                    </w:tc>
                    <w:tc>
                      <w:tcPr>
                        <w:tcW w:w="1026" w:type="dxa"/>
                        <w:vMerge/>
                      </w:tcPr>
                      <w:p>
                        <w:pPr/>
                      </w:p>
                    </w:tc>
                    <w:tc>
                      <w:tcPr>
                        <w:tcW w:w="1134" w:type="dxa"/>
                        <w:vMerge/>
                      </w:tcPr>
                      <w:p>
                        <w:pPr/>
                      </w:p>
                    </w:tc>
                    <w:tc>
                      <w:tcPr>
                        <w:tcW w:w="759" w:type="dxa"/>
                        <w:tcBorders>
                          <w:bottom w:val="single" w:sz="2" w:space="0" w:color="FFFFFF"/>
                          <w:right w:val="single" w:sz="2" w:space="0" w:color="000000"/>
                        </w:tcBorders>
                        <w:shd w:val="clear" w:color="auto" w:fill="BAF9F5"/>
                      </w:tcPr>
                      <w:p>
                        <w:pPr>
                          <w:pStyle w:val="TableParagraph"/>
                          <w:spacing w:line="82" w:lineRule="exact"/>
                          <w:ind w:left="78" w:right="72"/>
                          <w:rPr>
                            <w:rFonts w:ascii="Calibri"/>
                            <w:sz w:val="7"/>
                          </w:rPr>
                        </w:pPr>
                        <w:r>
                          <w:rPr>
                            <w:rFonts w:ascii="Calibri"/>
                            <w:sz w:val="7"/>
                          </w:rPr>
                          <w:t>0.5</w:t>
                        </w:r>
                      </w:p>
                    </w:tc>
                    <w:tc>
                      <w:tcPr>
                        <w:tcW w:w="43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3" w:right="2"/>
                          <w:rPr>
                            <w:rFonts w:ascii="Calibri"/>
                            <w:sz w:val="7"/>
                          </w:rPr>
                        </w:pPr>
                        <w:r>
                          <w:rPr>
                            <w:rFonts w:ascii="Calibri"/>
                            <w:sz w:val="7"/>
                          </w:rPr>
                          <w:t>0.5</w:t>
                        </w:r>
                      </w:p>
                    </w:tc>
                    <w:tc>
                      <w:tcPr>
                        <w:tcW w:w="657"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right="2"/>
                          <w:rPr>
                            <w:rFonts w:ascii="Calibri"/>
                            <w:sz w:val="7"/>
                          </w:rPr>
                        </w:pPr>
                        <w:r>
                          <w:rPr>
                            <w:rFonts w:ascii="Calibri"/>
                            <w:sz w:val="7"/>
                          </w:rPr>
                          <w:t>0.5</w:t>
                        </w:r>
                      </w:p>
                    </w:tc>
                    <w:tc>
                      <w:tcPr>
                        <w:tcW w:w="593"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0.5</w:t>
                        </w:r>
                      </w:p>
                    </w:tc>
                    <w:tc>
                      <w:tcPr>
                        <w:tcW w:w="791"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303" w:right="302"/>
                          <w:rPr>
                            <w:rFonts w:ascii="Calibri"/>
                            <w:sz w:val="7"/>
                          </w:rPr>
                        </w:pPr>
                        <w:r>
                          <w:rPr>
                            <w:rFonts w:ascii="Calibri"/>
                            <w:sz w:val="7"/>
                          </w:rPr>
                          <w:t>0.5</w:t>
                        </w:r>
                      </w:p>
                    </w:tc>
                    <w:tc>
                      <w:tcPr>
                        <w:tcW w:w="756"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286" w:right="285"/>
                          <w:rPr>
                            <w:rFonts w:ascii="Calibri"/>
                            <w:sz w:val="7"/>
                          </w:rPr>
                        </w:pPr>
                        <w:r>
                          <w:rPr>
                            <w:rFonts w:ascii="Calibri"/>
                            <w:sz w:val="7"/>
                          </w:rPr>
                          <w:t>0.5</w:t>
                        </w:r>
                      </w:p>
                    </w:tc>
                    <w:tc>
                      <w:tcPr>
                        <w:tcW w:w="802"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0.5</w:t>
                        </w:r>
                      </w:p>
                    </w:tc>
                    <w:tc>
                      <w:tcPr>
                        <w:tcW w:w="86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4" w:right="3"/>
                          <w:rPr>
                            <w:rFonts w:ascii="Calibri"/>
                            <w:sz w:val="7"/>
                          </w:rPr>
                        </w:pPr>
                        <w:r>
                          <w:rPr>
                            <w:rFonts w:ascii="Calibri"/>
                            <w:sz w:val="7"/>
                          </w:rPr>
                          <w:t>0.5</w:t>
                        </w:r>
                      </w:p>
                    </w:tc>
                    <w:tc>
                      <w:tcPr>
                        <w:tcW w:w="700" w:type="dxa"/>
                        <w:tcBorders>
                          <w:left w:val="single" w:sz="2" w:space="0" w:color="000000"/>
                          <w:bottom w:val="single" w:sz="2" w:space="0" w:color="FFFFFF"/>
                          <w:right w:val="single" w:sz="5" w:space="0" w:color="000000"/>
                        </w:tcBorders>
                        <w:shd w:val="clear" w:color="auto" w:fill="BAF9F5"/>
                      </w:tcPr>
                      <w:p>
                        <w:pPr>
                          <w:pStyle w:val="TableParagraph"/>
                          <w:spacing w:line="82" w:lineRule="exact"/>
                          <w:ind w:left="1"/>
                          <w:rPr>
                            <w:rFonts w:ascii="Calibri"/>
                            <w:sz w:val="7"/>
                          </w:rPr>
                        </w:pPr>
                        <w:r>
                          <w:rPr>
                            <w:rFonts w:ascii="Calibri"/>
                            <w:sz w:val="7"/>
                          </w:rPr>
                          <w:t>0.5</w:t>
                        </w:r>
                      </w:p>
                    </w:tc>
                  </w:tr>
                  <w:tr>
                    <w:trPr>
                      <w:trHeight w:val="90" w:hRule="exact"/>
                    </w:trPr>
                    <w:tc>
                      <w:tcPr>
                        <w:tcW w:w="319" w:type="dxa"/>
                        <w:vMerge/>
                        <w:tcBorders>
                          <w:left w:val="single" w:sz="2" w:space="0" w:color="000000"/>
                        </w:tcBorders>
                      </w:tcPr>
                      <w:p>
                        <w:pPr/>
                      </w:p>
                    </w:tc>
                    <w:tc>
                      <w:tcPr>
                        <w:tcW w:w="1026" w:type="dxa"/>
                        <w:vMerge/>
                      </w:tcPr>
                      <w:p>
                        <w:pPr/>
                      </w:p>
                    </w:tc>
                    <w:tc>
                      <w:tcPr>
                        <w:tcW w:w="1134" w:type="dxa"/>
                        <w:vMerge/>
                      </w:tcPr>
                      <w:p>
                        <w:pPr/>
                      </w:p>
                    </w:tc>
                    <w:tc>
                      <w:tcPr>
                        <w:tcW w:w="759" w:type="dxa"/>
                        <w:tcBorders>
                          <w:top w:val="single" w:sz="2" w:space="0" w:color="FFFFFF"/>
                          <w:right w:val="single" w:sz="2" w:space="0" w:color="000000"/>
                        </w:tcBorders>
                        <w:shd w:val="clear" w:color="auto" w:fill="F79646"/>
                      </w:tcPr>
                      <w:p>
                        <w:pPr>
                          <w:pStyle w:val="TableParagraph"/>
                          <w:spacing w:line="80" w:lineRule="exact"/>
                          <w:ind w:left="78" w:right="72"/>
                          <w:rPr>
                            <w:rFonts w:ascii="Calibri"/>
                            <w:sz w:val="7"/>
                          </w:rPr>
                        </w:pPr>
                        <w:r>
                          <w:rPr>
                            <w:rFonts w:ascii="Calibri"/>
                            <w:sz w:val="7"/>
                          </w:rPr>
                          <w:t>0.5</w:t>
                        </w:r>
                      </w:p>
                    </w:tc>
                    <w:tc>
                      <w:tcPr>
                        <w:tcW w:w="43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1</w:t>
                        </w:r>
                      </w:p>
                    </w:tc>
                    <w:tc>
                      <w:tcPr>
                        <w:tcW w:w="657" w:type="dxa"/>
                        <w:tcBorders>
                          <w:top w:val="single" w:sz="2" w:space="0" w:color="FFFFFF"/>
                          <w:left w:val="single" w:sz="2" w:space="0" w:color="000000"/>
                          <w:right w:val="single" w:sz="2" w:space="0" w:color="000000"/>
                        </w:tcBorders>
                        <w:shd w:val="clear" w:color="auto" w:fill="F79646"/>
                      </w:tcPr>
                      <w:p>
                        <w:pPr>
                          <w:pStyle w:val="TableParagraph"/>
                          <w:spacing w:line="80" w:lineRule="exact"/>
                          <w:ind w:right="2"/>
                          <w:rPr>
                            <w:rFonts w:ascii="Calibri"/>
                            <w:sz w:val="7"/>
                          </w:rPr>
                        </w:pPr>
                        <w:r>
                          <w:rPr>
                            <w:rFonts w:ascii="Calibri"/>
                            <w:sz w:val="7"/>
                          </w:rPr>
                          <w:t>0.5</w:t>
                        </w:r>
                      </w:p>
                    </w:tc>
                    <w:tc>
                      <w:tcPr>
                        <w:tcW w:w="593"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1</w:t>
                        </w:r>
                      </w:p>
                    </w:tc>
                    <w:tc>
                      <w:tcPr>
                        <w:tcW w:w="791"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303" w:right="302"/>
                          <w:rPr>
                            <w:rFonts w:ascii="Calibri"/>
                            <w:sz w:val="7"/>
                          </w:rPr>
                        </w:pPr>
                        <w:r>
                          <w:rPr>
                            <w:rFonts w:ascii="Calibri"/>
                            <w:sz w:val="7"/>
                          </w:rPr>
                          <w:t>0.5</w:t>
                        </w:r>
                      </w:p>
                    </w:tc>
                    <w:tc>
                      <w:tcPr>
                        <w:tcW w:w="756"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1</w:t>
                        </w:r>
                      </w:p>
                    </w:tc>
                    <w:tc>
                      <w:tcPr>
                        <w:tcW w:w="802"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1</w:t>
                        </w:r>
                      </w:p>
                    </w:tc>
                    <w:tc>
                      <w:tcPr>
                        <w:tcW w:w="86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1</w:t>
                        </w:r>
                      </w:p>
                    </w:tc>
                    <w:tc>
                      <w:tcPr>
                        <w:tcW w:w="700" w:type="dxa"/>
                        <w:tcBorders>
                          <w:top w:val="single" w:sz="2" w:space="0" w:color="FFFFFF"/>
                          <w:left w:val="single" w:sz="2" w:space="0" w:color="000000"/>
                          <w:right w:val="single" w:sz="5" w:space="0" w:color="000000"/>
                        </w:tcBorders>
                        <w:shd w:val="clear" w:color="auto" w:fill="F79646"/>
                      </w:tcPr>
                      <w:p>
                        <w:pPr>
                          <w:pStyle w:val="TableParagraph"/>
                          <w:spacing w:line="80" w:lineRule="exact"/>
                          <w:ind w:left="6"/>
                          <w:rPr>
                            <w:rFonts w:ascii="Calibri"/>
                            <w:sz w:val="7"/>
                          </w:rPr>
                        </w:pPr>
                        <w:r>
                          <w:rPr>
                            <w:rFonts w:ascii="Calibri"/>
                            <w:w w:val="99"/>
                            <w:sz w:val="7"/>
                          </w:rPr>
                          <w:t>1</w:t>
                        </w:r>
                      </w:p>
                    </w:tc>
                  </w:tr>
                  <w:tr>
                    <w:trPr>
                      <w:trHeight w:val="81" w:hRule="exact"/>
                    </w:trPr>
                    <w:tc>
                      <w:tcPr>
                        <w:tcW w:w="3238" w:type="dxa"/>
                        <w:gridSpan w:val="4"/>
                        <w:tcBorders>
                          <w:left w:val="single" w:sz="2" w:space="0" w:color="000000"/>
                          <w:right w:val="single" w:sz="2" w:space="0" w:color="000000"/>
                        </w:tcBorders>
                      </w:tcPr>
                      <w:p>
                        <w:pPr/>
                      </w:p>
                    </w:tc>
                    <w:tc>
                      <w:tcPr>
                        <w:tcW w:w="430" w:type="dxa"/>
                        <w:tcBorders>
                          <w:left w:val="single" w:sz="2" w:space="0" w:color="000000"/>
                          <w:right w:val="single" w:sz="2" w:space="0" w:color="000000"/>
                        </w:tcBorders>
                      </w:tcPr>
                      <w:p>
                        <w:pPr/>
                      </w:p>
                    </w:tc>
                    <w:tc>
                      <w:tcPr>
                        <w:tcW w:w="657" w:type="dxa"/>
                        <w:tcBorders>
                          <w:left w:val="single" w:sz="2" w:space="0" w:color="000000"/>
                          <w:right w:val="single" w:sz="2" w:space="0" w:color="000000"/>
                        </w:tcBorders>
                      </w:tcPr>
                      <w:p>
                        <w:pPr/>
                      </w:p>
                    </w:tc>
                    <w:tc>
                      <w:tcPr>
                        <w:tcW w:w="593" w:type="dxa"/>
                        <w:tcBorders>
                          <w:left w:val="single" w:sz="2" w:space="0" w:color="000000"/>
                          <w:right w:val="single" w:sz="2" w:space="0" w:color="000000"/>
                        </w:tcBorders>
                      </w:tcPr>
                      <w:p>
                        <w:pPr/>
                      </w:p>
                    </w:tc>
                    <w:tc>
                      <w:tcPr>
                        <w:tcW w:w="791" w:type="dxa"/>
                        <w:tcBorders>
                          <w:left w:val="single" w:sz="2" w:space="0" w:color="000000"/>
                          <w:right w:val="single" w:sz="2" w:space="0" w:color="000000"/>
                        </w:tcBorders>
                      </w:tcPr>
                      <w:p>
                        <w:pPr/>
                      </w:p>
                    </w:tc>
                    <w:tc>
                      <w:tcPr>
                        <w:tcW w:w="756" w:type="dxa"/>
                        <w:tcBorders>
                          <w:left w:val="single" w:sz="2" w:space="0" w:color="000000"/>
                          <w:right w:val="single" w:sz="2" w:space="0" w:color="000000"/>
                        </w:tcBorders>
                      </w:tcPr>
                      <w:p>
                        <w:pPr/>
                      </w:p>
                    </w:tc>
                    <w:tc>
                      <w:tcPr>
                        <w:tcW w:w="802" w:type="dxa"/>
                        <w:tcBorders>
                          <w:left w:val="single" w:sz="2" w:space="0" w:color="000000"/>
                          <w:right w:val="single" w:sz="2" w:space="0" w:color="000000"/>
                        </w:tcBorders>
                      </w:tcPr>
                      <w:p>
                        <w:pPr/>
                      </w:p>
                    </w:tc>
                    <w:tc>
                      <w:tcPr>
                        <w:tcW w:w="860" w:type="dxa"/>
                        <w:tcBorders>
                          <w:left w:val="single" w:sz="2" w:space="0" w:color="000000"/>
                          <w:right w:val="single" w:sz="2" w:space="0" w:color="000000"/>
                        </w:tcBorders>
                      </w:tcPr>
                      <w:p>
                        <w:pPr/>
                      </w:p>
                    </w:tc>
                    <w:tc>
                      <w:tcPr>
                        <w:tcW w:w="700" w:type="dxa"/>
                        <w:tcBorders>
                          <w:left w:val="single" w:sz="2" w:space="0" w:color="000000"/>
                          <w:right w:val="single" w:sz="5" w:space="0" w:color="000000"/>
                        </w:tcBorders>
                      </w:tcPr>
                      <w:p>
                        <w:pPr/>
                      </w:p>
                    </w:tc>
                  </w:tr>
                  <w:tr>
                    <w:trPr>
                      <w:trHeight w:val="91" w:hRule="exact"/>
                    </w:trPr>
                    <w:tc>
                      <w:tcPr>
                        <w:tcW w:w="319" w:type="dxa"/>
                        <w:vMerge w:val="restart"/>
                        <w:tcBorders>
                          <w:left w:val="single" w:sz="2" w:space="0" w:color="000000"/>
                        </w:tcBorders>
                      </w:tcPr>
                      <w:p>
                        <w:pPr/>
                      </w:p>
                    </w:tc>
                    <w:tc>
                      <w:tcPr>
                        <w:tcW w:w="1026" w:type="dxa"/>
                        <w:vMerge w:val="restart"/>
                      </w:tcPr>
                      <w:p>
                        <w:pPr>
                          <w:pStyle w:val="TableParagraph"/>
                          <w:spacing w:before="41"/>
                          <w:ind w:left="44"/>
                          <w:jc w:val="left"/>
                          <w:rPr>
                            <w:rFonts w:ascii="Calibri"/>
                            <w:sz w:val="7"/>
                          </w:rPr>
                        </w:pPr>
                        <w:r>
                          <w:rPr>
                            <w:rFonts w:ascii="Calibri"/>
                            <w:sz w:val="7"/>
                          </w:rPr>
                          <w:t>Vivienda</w:t>
                        </w:r>
                      </w:p>
                    </w:tc>
                    <w:tc>
                      <w:tcPr>
                        <w:tcW w:w="1134" w:type="dxa"/>
                        <w:vMerge w:val="restart"/>
                      </w:tcPr>
                      <w:p>
                        <w:pPr>
                          <w:pStyle w:val="TableParagraph"/>
                          <w:ind w:left="186" w:right="590"/>
                          <w:jc w:val="left"/>
                          <w:rPr>
                            <w:rFonts w:ascii="Calibri"/>
                            <w:sz w:val="7"/>
                          </w:rPr>
                        </w:pPr>
                        <w:r>
                          <w:rPr>
                            <w:rFonts w:ascii="Calibri"/>
                            <w:sz w:val="7"/>
                          </w:rPr>
                          <w:t>Autorizadas</w:t>
                        </w:r>
                        <w:r>
                          <w:rPr>
                            <w:rFonts w:ascii="Calibri"/>
                            <w:w w:val="99"/>
                            <w:sz w:val="7"/>
                          </w:rPr>
                          <w:t> </w:t>
                        </w:r>
                        <w:r>
                          <w:rPr>
                            <w:rFonts w:ascii="Calibri"/>
                            <w:sz w:val="7"/>
                          </w:rPr>
                          <w:t>Tipo</w:t>
                        </w:r>
                      </w:p>
                      <w:p>
                        <w:pPr>
                          <w:pStyle w:val="TableParagraph"/>
                          <w:spacing w:before="1"/>
                          <w:ind w:left="535" w:right="279"/>
                          <w:jc w:val="left"/>
                          <w:rPr>
                            <w:rFonts w:ascii="Calibri"/>
                            <w:sz w:val="7"/>
                          </w:rPr>
                        </w:pPr>
                        <w:r>
                          <w:rPr>
                            <w:rFonts w:ascii="Calibri"/>
                            <w:sz w:val="7"/>
                          </w:rPr>
                          <w:t>Subtotal</w:t>
                        </w:r>
                      </w:p>
                    </w:tc>
                    <w:tc>
                      <w:tcPr>
                        <w:tcW w:w="759" w:type="dxa"/>
                        <w:tcBorders>
                          <w:right w:val="single" w:sz="2" w:space="0" w:color="000000"/>
                        </w:tcBorders>
                        <w:shd w:val="clear" w:color="auto" w:fill="BAF9F5"/>
                      </w:tcPr>
                      <w:p>
                        <w:pPr>
                          <w:pStyle w:val="TableParagraph"/>
                          <w:ind w:left="12"/>
                          <w:rPr>
                            <w:rFonts w:ascii="Calibri"/>
                            <w:sz w:val="7"/>
                          </w:rPr>
                        </w:pPr>
                        <w:r>
                          <w:rPr>
                            <w:rFonts w:ascii="Calibri"/>
                            <w:w w:val="99"/>
                            <w:sz w:val="7"/>
                          </w:rPr>
                          <w:t>1</w:t>
                        </w:r>
                      </w:p>
                    </w:tc>
                    <w:tc>
                      <w:tcPr>
                        <w:tcW w:w="430"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1</w:t>
                        </w:r>
                      </w:p>
                    </w:tc>
                    <w:tc>
                      <w:tcPr>
                        <w:tcW w:w="657" w:type="dxa"/>
                        <w:tcBorders>
                          <w:left w:val="single" w:sz="2" w:space="0" w:color="000000"/>
                          <w:right w:val="single" w:sz="2" w:space="0" w:color="000000"/>
                        </w:tcBorders>
                        <w:shd w:val="clear" w:color="auto" w:fill="BAF9F5"/>
                      </w:tcPr>
                      <w:p>
                        <w:pPr>
                          <w:pStyle w:val="TableParagraph"/>
                          <w:rPr>
                            <w:rFonts w:ascii="Calibri"/>
                            <w:sz w:val="7"/>
                          </w:rPr>
                        </w:pPr>
                        <w:r>
                          <w:rPr>
                            <w:rFonts w:ascii="Calibri"/>
                            <w:w w:val="99"/>
                            <w:sz w:val="7"/>
                          </w:rPr>
                          <w:t>1</w:t>
                        </w:r>
                      </w:p>
                    </w:tc>
                    <w:tc>
                      <w:tcPr>
                        <w:tcW w:w="593"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1</w:t>
                        </w:r>
                      </w:p>
                    </w:tc>
                    <w:tc>
                      <w:tcPr>
                        <w:tcW w:w="791"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1</w:t>
                        </w:r>
                      </w:p>
                    </w:tc>
                    <w:tc>
                      <w:tcPr>
                        <w:tcW w:w="756"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1</w:t>
                        </w:r>
                      </w:p>
                    </w:tc>
                    <w:tc>
                      <w:tcPr>
                        <w:tcW w:w="802"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1</w:t>
                        </w:r>
                      </w:p>
                    </w:tc>
                    <w:tc>
                      <w:tcPr>
                        <w:tcW w:w="860"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1</w:t>
                        </w:r>
                      </w:p>
                    </w:tc>
                    <w:tc>
                      <w:tcPr>
                        <w:tcW w:w="700" w:type="dxa"/>
                        <w:tcBorders>
                          <w:left w:val="single" w:sz="2" w:space="0" w:color="000000"/>
                          <w:right w:val="single" w:sz="5" w:space="0" w:color="000000"/>
                        </w:tcBorders>
                        <w:shd w:val="clear" w:color="auto" w:fill="BAF9F5"/>
                      </w:tcPr>
                      <w:p>
                        <w:pPr>
                          <w:pStyle w:val="TableParagraph"/>
                          <w:ind w:left="6"/>
                          <w:rPr>
                            <w:rFonts w:ascii="Calibri"/>
                            <w:sz w:val="7"/>
                          </w:rPr>
                        </w:pPr>
                        <w:r>
                          <w:rPr>
                            <w:rFonts w:ascii="Calibri"/>
                            <w:w w:val="99"/>
                            <w:sz w:val="7"/>
                          </w:rPr>
                          <w:t>1</w:t>
                        </w:r>
                      </w:p>
                    </w:tc>
                  </w:tr>
                  <w:tr>
                    <w:trPr>
                      <w:trHeight w:val="86" w:hRule="exact"/>
                    </w:trPr>
                    <w:tc>
                      <w:tcPr>
                        <w:tcW w:w="319" w:type="dxa"/>
                        <w:vMerge/>
                        <w:tcBorders>
                          <w:left w:val="single" w:sz="2" w:space="0" w:color="000000"/>
                        </w:tcBorders>
                      </w:tcPr>
                      <w:p>
                        <w:pPr/>
                      </w:p>
                    </w:tc>
                    <w:tc>
                      <w:tcPr>
                        <w:tcW w:w="1026" w:type="dxa"/>
                        <w:vMerge/>
                      </w:tcPr>
                      <w:p>
                        <w:pPr/>
                      </w:p>
                    </w:tc>
                    <w:tc>
                      <w:tcPr>
                        <w:tcW w:w="1134" w:type="dxa"/>
                        <w:vMerge/>
                      </w:tcPr>
                      <w:p>
                        <w:pPr/>
                      </w:p>
                    </w:tc>
                    <w:tc>
                      <w:tcPr>
                        <w:tcW w:w="759" w:type="dxa"/>
                        <w:tcBorders>
                          <w:bottom w:val="single" w:sz="2" w:space="0" w:color="FFFFFF"/>
                          <w:right w:val="single" w:sz="2" w:space="0" w:color="000000"/>
                        </w:tcBorders>
                        <w:shd w:val="clear" w:color="auto" w:fill="BAF9F5"/>
                      </w:tcPr>
                      <w:p>
                        <w:pPr>
                          <w:pStyle w:val="TableParagraph"/>
                          <w:spacing w:line="82" w:lineRule="exact"/>
                          <w:ind w:left="12"/>
                          <w:rPr>
                            <w:rFonts w:ascii="Calibri"/>
                            <w:sz w:val="7"/>
                          </w:rPr>
                        </w:pPr>
                        <w:r>
                          <w:rPr>
                            <w:rFonts w:ascii="Calibri"/>
                            <w:w w:val="99"/>
                            <w:sz w:val="7"/>
                          </w:rPr>
                          <w:t>0</w:t>
                        </w:r>
                      </w:p>
                    </w:tc>
                    <w:tc>
                      <w:tcPr>
                        <w:tcW w:w="43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3" w:right="2"/>
                          <w:rPr>
                            <w:rFonts w:ascii="Calibri"/>
                            <w:sz w:val="7"/>
                          </w:rPr>
                        </w:pPr>
                        <w:r>
                          <w:rPr>
                            <w:rFonts w:ascii="Calibri"/>
                            <w:sz w:val="7"/>
                          </w:rPr>
                          <w:t>0.5</w:t>
                        </w:r>
                      </w:p>
                    </w:tc>
                    <w:tc>
                      <w:tcPr>
                        <w:tcW w:w="657" w:type="dxa"/>
                        <w:tcBorders>
                          <w:left w:val="single" w:sz="2" w:space="0" w:color="000000"/>
                          <w:bottom w:val="single" w:sz="2" w:space="0" w:color="FFFFFF"/>
                          <w:right w:val="single" w:sz="2" w:space="0" w:color="000000"/>
                        </w:tcBorders>
                        <w:shd w:val="clear" w:color="auto" w:fill="BAF9F5"/>
                      </w:tcPr>
                      <w:p>
                        <w:pPr>
                          <w:pStyle w:val="TableParagraph"/>
                          <w:spacing w:line="82" w:lineRule="exact"/>
                          <w:rPr>
                            <w:rFonts w:ascii="Calibri"/>
                            <w:sz w:val="7"/>
                          </w:rPr>
                        </w:pPr>
                        <w:r>
                          <w:rPr>
                            <w:rFonts w:ascii="Calibri"/>
                            <w:w w:val="99"/>
                            <w:sz w:val="7"/>
                          </w:rPr>
                          <w:t>0</w:t>
                        </w:r>
                      </w:p>
                    </w:tc>
                    <w:tc>
                      <w:tcPr>
                        <w:tcW w:w="593"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0.5</w:t>
                        </w:r>
                      </w:p>
                    </w:tc>
                    <w:tc>
                      <w:tcPr>
                        <w:tcW w:w="791"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56"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286" w:right="285"/>
                          <w:rPr>
                            <w:rFonts w:ascii="Calibri"/>
                            <w:sz w:val="7"/>
                          </w:rPr>
                        </w:pPr>
                        <w:r>
                          <w:rPr>
                            <w:rFonts w:ascii="Calibri"/>
                            <w:sz w:val="7"/>
                          </w:rPr>
                          <w:t>0.5</w:t>
                        </w:r>
                      </w:p>
                    </w:tc>
                    <w:tc>
                      <w:tcPr>
                        <w:tcW w:w="802"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0.5</w:t>
                        </w:r>
                      </w:p>
                    </w:tc>
                    <w:tc>
                      <w:tcPr>
                        <w:tcW w:w="86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4" w:right="3"/>
                          <w:rPr>
                            <w:rFonts w:ascii="Calibri"/>
                            <w:sz w:val="7"/>
                          </w:rPr>
                        </w:pPr>
                        <w:r>
                          <w:rPr>
                            <w:rFonts w:ascii="Calibri"/>
                            <w:sz w:val="7"/>
                          </w:rPr>
                          <w:t>0.5</w:t>
                        </w:r>
                      </w:p>
                    </w:tc>
                    <w:tc>
                      <w:tcPr>
                        <w:tcW w:w="700" w:type="dxa"/>
                        <w:tcBorders>
                          <w:left w:val="single" w:sz="2" w:space="0" w:color="000000"/>
                          <w:bottom w:val="single" w:sz="2" w:space="0" w:color="FFFFFF"/>
                          <w:right w:val="single" w:sz="5" w:space="0" w:color="000000"/>
                        </w:tcBorders>
                        <w:shd w:val="clear" w:color="auto" w:fill="BAF9F5"/>
                      </w:tcPr>
                      <w:p>
                        <w:pPr>
                          <w:pStyle w:val="TableParagraph"/>
                          <w:spacing w:line="82" w:lineRule="exact"/>
                          <w:ind w:left="1"/>
                          <w:rPr>
                            <w:rFonts w:ascii="Calibri"/>
                            <w:sz w:val="7"/>
                          </w:rPr>
                        </w:pPr>
                        <w:r>
                          <w:rPr>
                            <w:rFonts w:ascii="Calibri"/>
                            <w:sz w:val="7"/>
                          </w:rPr>
                          <w:t>0.5</w:t>
                        </w:r>
                      </w:p>
                    </w:tc>
                  </w:tr>
                  <w:tr>
                    <w:trPr>
                      <w:trHeight w:val="90" w:hRule="exact"/>
                    </w:trPr>
                    <w:tc>
                      <w:tcPr>
                        <w:tcW w:w="319" w:type="dxa"/>
                        <w:vMerge/>
                        <w:tcBorders>
                          <w:left w:val="single" w:sz="2" w:space="0" w:color="000000"/>
                        </w:tcBorders>
                      </w:tcPr>
                      <w:p>
                        <w:pPr/>
                      </w:p>
                    </w:tc>
                    <w:tc>
                      <w:tcPr>
                        <w:tcW w:w="1026" w:type="dxa"/>
                        <w:vMerge/>
                      </w:tcPr>
                      <w:p>
                        <w:pPr/>
                      </w:p>
                    </w:tc>
                    <w:tc>
                      <w:tcPr>
                        <w:tcW w:w="1134" w:type="dxa"/>
                        <w:vMerge/>
                      </w:tcPr>
                      <w:p>
                        <w:pPr/>
                      </w:p>
                    </w:tc>
                    <w:tc>
                      <w:tcPr>
                        <w:tcW w:w="759" w:type="dxa"/>
                        <w:tcBorders>
                          <w:top w:val="single" w:sz="2" w:space="0" w:color="FFFFFF"/>
                          <w:right w:val="single" w:sz="2" w:space="0" w:color="000000"/>
                        </w:tcBorders>
                        <w:shd w:val="clear" w:color="auto" w:fill="F79646"/>
                      </w:tcPr>
                      <w:p>
                        <w:pPr>
                          <w:pStyle w:val="TableParagraph"/>
                          <w:spacing w:line="80" w:lineRule="exact"/>
                          <w:ind w:left="12"/>
                          <w:rPr>
                            <w:rFonts w:ascii="Calibri"/>
                            <w:sz w:val="7"/>
                          </w:rPr>
                        </w:pPr>
                        <w:r>
                          <w:rPr>
                            <w:rFonts w:ascii="Calibri"/>
                            <w:w w:val="99"/>
                            <w:sz w:val="7"/>
                          </w:rPr>
                          <w:t>1</w:t>
                        </w:r>
                      </w:p>
                    </w:tc>
                    <w:tc>
                      <w:tcPr>
                        <w:tcW w:w="43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3" w:right="2"/>
                          <w:rPr>
                            <w:rFonts w:ascii="Calibri"/>
                            <w:sz w:val="7"/>
                          </w:rPr>
                        </w:pPr>
                        <w:r>
                          <w:rPr>
                            <w:rFonts w:ascii="Calibri"/>
                            <w:sz w:val="7"/>
                          </w:rPr>
                          <w:t>1.5</w:t>
                        </w:r>
                      </w:p>
                    </w:tc>
                    <w:tc>
                      <w:tcPr>
                        <w:tcW w:w="657" w:type="dxa"/>
                        <w:tcBorders>
                          <w:top w:val="single" w:sz="2" w:space="0" w:color="FFFFFF"/>
                          <w:left w:val="single" w:sz="2" w:space="0" w:color="000000"/>
                          <w:right w:val="single" w:sz="2" w:space="0" w:color="000000"/>
                        </w:tcBorders>
                        <w:shd w:val="clear" w:color="auto" w:fill="F79646"/>
                      </w:tcPr>
                      <w:p>
                        <w:pPr>
                          <w:pStyle w:val="TableParagraph"/>
                          <w:spacing w:line="80" w:lineRule="exact"/>
                          <w:rPr>
                            <w:rFonts w:ascii="Calibri"/>
                            <w:sz w:val="7"/>
                          </w:rPr>
                        </w:pPr>
                        <w:r>
                          <w:rPr>
                            <w:rFonts w:ascii="Calibri"/>
                            <w:w w:val="99"/>
                            <w:sz w:val="7"/>
                          </w:rPr>
                          <w:t>1</w:t>
                        </w:r>
                      </w:p>
                    </w:tc>
                    <w:tc>
                      <w:tcPr>
                        <w:tcW w:w="593"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2" w:right="1"/>
                          <w:rPr>
                            <w:rFonts w:ascii="Calibri"/>
                            <w:sz w:val="7"/>
                          </w:rPr>
                        </w:pPr>
                        <w:r>
                          <w:rPr>
                            <w:rFonts w:ascii="Calibri"/>
                            <w:sz w:val="7"/>
                          </w:rPr>
                          <w:t>1.5</w:t>
                        </w:r>
                      </w:p>
                    </w:tc>
                    <w:tc>
                      <w:tcPr>
                        <w:tcW w:w="791"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1</w:t>
                        </w:r>
                      </w:p>
                    </w:tc>
                    <w:tc>
                      <w:tcPr>
                        <w:tcW w:w="756"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286" w:right="285"/>
                          <w:rPr>
                            <w:rFonts w:ascii="Calibri"/>
                            <w:sz w:val="7"/>
                          </w:rPr>
                        </w:pPr>
                        <w:r>
                          <w:rPr>
                            <w:rFonts w:ascii="Calibri"/>
                            <w:sz w:val="7"/>
                          </w:rPr>
                          <w:t>1.5</w:t>
                        </w:r>
                      </w:p>
                    </w:tc>
                    <w:tc>
                      <w:tcPr>
                        <w:tcW w:w="802"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2" w:right="1"/>
                          <w:rPr>
                            <w:rFonts w:ascii="Calibri"/>
                            <w:sz w:val="7"/>
                          </w:rPr>
                        </w:pPr>
                        <w:r>
                          <w:rPr>
                            <w:rFonts w:ascii="Calibri"/>
                            <w:sz w:val="7"/>
                          </w:rPr>
                          <w:t>1.5</w:t>
                        </w:r>
                      </w:p>
                    </w:tc>
                    <w:tc>
                      <w:tcPr>
                        <w:tcW w:w="86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4" w:right="3"/>
                          <w:rPr>
                            <w:rFonts w:ascii="Calibri"/>
                            <w:sz w:val="7"/>
                          </w:rPr>
                        </w:pPr>
                        <w:r>
                          <w:rPr>
                            <w:rFonts w:ascii="Calibri"/>
                            <w:sz w:val="7"/>
                          </w:rPr>
                          <w:t>1.5</w:t>
                        </w:r>
                      </w:p>
                    </w:tc>
                    <w:tc>
                      <w:tcPr>
                        <w:tcW w:w="700" w:type="dxa"/>
                        <w:tcBorders>
                          <w:top w:val="single" w:sz="2" w:space="0" w:color="FFFFFF"/>
                          <w:left w:val="single" w:sz="2" w:space="0" w:color="000000"/>
                          <w:right w:val="single" w:sz="5" w:space="0" w:color="000000"/>
                        </w:tcBorders>
                        <w:shd w:val="clear" w:color="auto" w:fill="F79646"/>
                      </w:tcPr>
                      <w:p>
                        <w:pPr>
                          <w:pStyle w:val="TableParagraph"/>
                          <w:spacing w:line="80" w:lineRule="exact"/>
                          <w:ind w:left="1"/>
                          <w:rPr>
                            <w:rFonts w:ascii="Calibri"/>
                            <w:sz w:val="7"/>
                          </w:rPr>
                        </w:pPr>
                        <w:r>
                          <w:rPr>
                            <w:rFonts w:ascii="Calibri"/>
                            <w:sz w:val="7"/>
                          </w:rPr>
                          <w:t>1.5</w:t>
                        </w:r>
                      </w:p>
                    </w:tc>
                  </w:tr>
                  <w:tr>
                    <w:trPr>
                      <w:trHeight w:val="81" w:hRule="exact"/>
                    </w:trPr>
                    <w:tc>
                      <w:tcPr>
                        <w:tcW w:w="3238" w:type="dxa"/>
                        <w:gridSpan w:val="4"/>
                        <w:tcBorders>
                          <w:left w:val="single" w:sz="2" w:space="0" w:color="000000"/>
                          <w:right w:val="single" w:sz="2" w:space="0" w:color="000000"/>
                        </w:tcBorders>
                      </w:tcPr>
                      <w:p>
                        <w:pPr/>
                      </w:p>
                    </w:tc>
                    <w:tc>
                      <w:tcPr>
                        <w:tcW w:w="430" w:type="dxa"/>
                        <w:tcBorders>
                          <w:left w:val="single" w:sz="2" w:space="0" w:color="000000"/>
                          <w:right w:val="single" w:sz="2" w:space="0" w:color="000000"/>
                        </w:tcBorders>
                      </w:tcPr>
                      <w:p>
                        <w:pPr/>
                      </w:p>
                    </w:tc>
                    <w:tc>
                      <w:tcPr>
                        <w:tcW w:w="657" w:type="dxa"/>
                        <w:tcBorders>
                          <w:left w:val="single" w:sz="2" w:space="0" w:color="000000"/>
                          <w:right w:val="single" w:sz="2" w:space="0" w:color="000000"/>
                        </w:tcBorders>
                      </w:tcPr>
                      <w:p>
                        <w:pPr/>
                      </w:p>
                    </w:tc>
                    <w:tc>
                      <w:tcPr>
                        <w:tcW w:w="593" w:type="dxa"/>
                        <w:tcBorders>
                          <w:left w:val="single" w:sz="2" w:space="0" w:color="000000"/>
                          <w:right w:val="single" w:sz="2" w:space="0" w:color="000000"/>
                        </w:tcBorders>
                      </w:tcPr>
                      <w:p>
                        <w:pPr/>
                      </w:p>
                    </w:tc>
                    <w:tc>
                      <w:tcPr>
                        <w:tcW w:w="791" w:type="dxa"/>
                        <w:tcBorders>
                          <w:left w:val="single" w:sz="2" w:space="0" w:color="000000"/>
                          <w:right w:val="single" w:sz="2" w:space="0" w:color="000000"/>
                        </w:tcBorders>
                      </w:tcPr>
                      <w:p>
                        <w:pPr/>
                      </w:p>
                    </w:tc>
                    <w:tc>
                      <w:tcPr>
                        <w:tcW w:w="756" w:type="dxa"/>
                        <w:tcBorders>
                          <w:left w:val="single" w:sz="2" w:space="0" w:color="000000"/>
                          <w:right w:val="single" w:sz="2" w:space="0" w:color="000000"/>
                        </w:tcBorders>
                      </w:tcPr>
                      <w:p>
                        <w:pPr/>
                      </w:p>
                    </w:tc>
                    <w:tc>
                      <w:tcPr>
                        <w:tcW w:w="802" w:type="dxa"/>
                        <w:tcBorders>
                          <w:left w:val="single" w:sz="2" w:space="0" w:color="000000"/>
                          <w:right w:val="single" w:sz="2" w:space="0" w:color="000000"/>
                        </w:tcBorders>
                      </w:tcPr>
                      <w:p>
                        <w:pPr/>
                      </w:p>
                    </w:tc>
                    <w:tc>
                      <w:tcPr>
                        <w:tcW w:w="860" w:type="dxa"/>
                        <w:tcBorders>
                          <w:left w:val="single" w:sz="2" w:space="0" w:color="000000"/>
                          <w:right w:val="single" w:sz="2" w:space="0" w:color="000000"/>
                        </w:tcBorders>
                      </w:tcPr>
                      <w:p>
                        <w:pPr/>
                      </w:p>
                    </w:tc>
                    <w:tc>
                      <w:tcPr>
                        <w:tcW w:w="700" w:type="dxa"/>
                        <w:tcBorders>
                          <w:left w:val="single" w:sz="2" w:space="0" w:color="000000"/>
                          <w:right w:val="single" w:sz="5" w:space="0" w:color="000000"/>
                        </w:tcBorders>
                      </w:tcPr>
                      <w:p>
                        <w:pPr/>
                      </w:p>
                    </w:tc>
                  </w:tr>
                  <w:tr>
                    <w:trPr>
                      <w:trHeight w:val="91" w:hRule="exact"/>
                    </w:trPr>
                    <w:tc>
                      <w:tcPr>
                        <w:tcW w:w="319" w:type="dxa"/>
                        <w:vMerge w:val="restart"/>
                        <w:tcBorders>
                          <w:left w:val="single" w:sz="2" w:space="0" w:color="000000"/>
                        </w:tcBorders>
                      </w:tcPr>
                      <w:p>
                        <w:pPr/>
                      </w:p>
                    </w:tc>
                    <w:tc>
                      <w:tcPr>
                        <w:tcW w:w="1026" w:type="dxa"/>
                        <w:vMerge w:val="restart"/>
                      </w:tcPr>
                      <w:p>
                        <w:pPr>
                          <w:pStyle w:val="TableParagraph"/>
                          <w:spacing w:before="41"/>
                          <w:ind w:left="44"/>
                          <w:jc w:val="left"/>
                          <w:rPr>
                            <w:rFonts w:ascii="Calibri" w:hAnsi="Calibri"/>
                            <w:sz w:val="7"/>
                          </w:rPr>
                        </w:pPr>
                        <w:r>
                          <w:rPr>
                            <w:rFonts w:ascii="Calibri" w:hAnsi="Calibri"/>
                            <w:sz w:val="7"/>
                          </w:rPr>
                          <w:t>Municipalización</w:t>
                        </w:r>
                      </w:p>
                    </w:tc>
                    <w:tc>
                      <w:tcPr>
                        <w:tcW w:w="1134" w:type="dxa"/>
                        <w:vMerge w:val="restart"/>
                      </w:tcPr>
                      <w:p>
                        <w:pPr>
                          <w:pStyle w:val="TableParagraph"/>
                          <w:ind w:left="186" w:right="501"/>
                          <w:jc w:val="left"/>
                          <w:rPr>
                            <w:rFonts w:ascii="Calibri"/>
                            <w:sz w:val="7"/>
                          </w:rPr>
                        </w:pPr>
                        <w:r>
                          <w:rPr>
                            <w:rFonts w:ascii="Calibri"/>
                            <w:sz w:val="7"/>
                          </w:rPr>
                          <w:t>Entrega parcial Entrega total</w:t>
                        </w:r>
                      </w:p>
                      <w:p>
                        <w:pPr>
                          <w:pStyle w:val="TableParagraph"/>
                          <w:spacing w:before="1"/>
                          <w:ind w:left="535" w:right="279"/>
                          <w:jc w:val="left"/>
                          <w:rPr>
                            <w:rFonts w:ascii="Calibri"/>
                            <w:sz w:val="7"/>
                          </w:rPr>
                        </w:pPr>
                        <w:r>
                          <w:rPr>
                            <w:rFonts w:ascii="Calibri"/>
                            <w:sz w:val="7"/>
                          </w:rPr>
                          <w:t>Subtotal</w:t>
                        </w:r>
                      </w:p>
                    </w:tc>
                    <w:tc>
                      <w:tcPr>
                        <w:tcW w:w="759" w:type="dxa"/>
                        <w:tcBorders>
                          <w:right w:val="single" w:sz="2" w:space="0" w:color="000000"/>
                        </w:tcBorders>
                        <w:shd w:val="clear" w:color="auto" w:fill="BAF9F5"/>
                      </w:tcPr>
                      <w:p>
                        <w:pPr>
                          <w:pStyle w:val="TableParagraph"/>
                          <w:ind w:left="78" w:right="72"/>
                          <w:rPr>
                            <w:rFonts w:ascii="Calibri"/>
                            <w:sz w:val="7"/>
                          </w:rPr>
                        </w:pPr>
                        <w:r>
                          <w:rPr>
                            <w:rFonts w:ascii="Calibri"/>
                            <w:sz w:val="7"/>
                          </w:rPr>
                          <w:t>0.5</w:t>
                        </w:r>
                      </w:p>
                    </w:tc>
                    <w:tc>
                      <w:tcPr>
                        <w:tcW w:w="430" w:type="dxa"/>
                        <w:tcBorders>
                          <w:left w:val="single" w:sz="2" w:space="0" w:color="000000"/>
                          <w:right w:val="single" w:sz="2" w:space="0" w:color="000000"/>
                        </w:tcBorders>
                        <w:shd w:val="clear" w:color="auto" w:fill="BAF9F5"/>
                      </w:tcPr>
                      <w:p>
                        <w:pPr>
                          <w:pStyle w:val="TableParagraph"/>
                          <w:ind w:left="3" w:right="2"/>
                          <w:rPr>
                            <w:rFonts w:ascii="Calibri"/>
                            <w:sz w:val="7"/>
                          </w:rPr>
                        </w:pPr>
                        <w:r>
                          <w:rPr>
                            <w:rFonts w:ascii="Calibri"/>
                            <w:sz w:val="7"/>
                          </w:rPr>
                          <w:t>0.5</w:t>
                        </w:r>
                      </w:p>
                    </w:tc>
                    <w:tc>
                      <w:tcPr>
                        <w:tcW w:w="657" w:type="dxa"/>
                        <w:tcBorders>
                          <w:left w:val="single" w:sz="2" w:space="0" w:color="000000"/>
                          <w:right w:val="single" w:sz="2" w:space="0" w:color="000000"/>
                        </w:tcBorders>
                        <w:shd w:val="clear" w:color="auto" w:fill="BAF9F5"/>
                      </w:tcPr>
                      <w:p>
                        <w:pPr>
                          <w:pStyle w:val="TableParagraph"/>
                          <w:ind w:right="2"/>
                          <w:rPr>
                            <w:rFonts w:ascii="Calibri"/>
                            <w:sz w:val="7"/>
                          </w:rPr>
                        </w:pPr>
                        <w:r>
                          <w:rPr>
                            <w:rFonts w:ascii="Calibri"/>
                            <w:sz w:val="7"/>
                          </w:rPr>
                          <w:t>0.5</w:t>
                        </w:r>
                      </w:p>
                    </w:tc>
                    <w:tc>
                      <w:tcPr>
                        <w:tcW w:w="593" w:type="dxa"/>
                        <w:tcBorders>
                          <w:left w:val="single" w:sz="2" w:space="0" w:color="000000"/>
                          <w:right w:val="single" w:sz="2" w:space="0" w:color="000000"/>
                        </w:tcBorders>
                        <w:shd w:val="clear" w:color="auto" w:fill="BAF9F5"/>
                      </w:tcPr>
                      <w:p>
                        <w:pPr>
                          <w:pStyle w:val="TableParagraph"/>
                          <w:ind w:left="2" w:right="1"/>
                          <w:rPr>
                            <w:rFonts w:ascii="Calibri"/>
                            <w:sz w:val="7"/>
                          </w:rPr>
                        </w:pPr>
                        <w:r>
                          <w:rPr>
                            <w:rFonts w:ascii="Calibri"/>
                            <w:sz w:val="7"/>
                          </w:rPr>
                          <w:t>0.5</w:t>
                        </w:r>
                      </w:p>
                    </w:tc>
                    <w:tc>
                      <w:tcPr>
                        <w:tcW w:w="791" w:type="dxa"/>
                        <w:tcBorders>
                          <w:left w:val="single" w:sz="2" w:space="0" w:color="000000"/>
                          <w:right w:val="single" w:sz="2" w:space="0" w:color="000000"/>
                        </w:tcBorders>
                        <w:shd w:val="clear" w:color="auto" w:fill="BAF9F5"/>
                      </w:tcPr>
                      <w:p>
                        <w:pPr>
                          <w:pStyle w:val="TableParagraph"/>
                          <w:ind w:left="6"/>
                          <w:rPr>
                            <w:rFonts w:ascii="Calibri"/>
                            <w:sz w:val="7"/>
                          </w:rPr>
                        </w:pPr>
                        <w:r>
                          <w:rPr>
                            <w:rFonts w:ascii="Calibri"/>
                            <w:w w:val="99"/>
                            <w:sz w:val="7"/>
                          </w:rPr>
                          <w:t>0</w:t>
                        </w:r>
                      </w:p>
                    </w:tc>
                    <w:tc>
                      <w:tcPr>
                        <w:tcW w:w="756" w:type="dxa"/>
                        <w:tcBorders>
                          <w:left w:val="single" w:sz="2" w:space="0" w:color="000000"/>
                          <w:right w:val="single" w:sz="2" w:space="0" w:color="000000"/>
                        </w:tcBorders>
                        <w:shd w:val="clear" w:color="auto" w:fill="BAF9F5"/>
                      </w:tcPr>
                      <w:p>
                        <w:pPr>
                          <w:pStyle w:val="TableParagraph"/>
                          <w:ind w:left="286" w:right="285"/>
                          <w:rPr>
                            <w:rFonts w:ascii="Calibri"/>
                            <w:sz w:val="7"/>
                          </w:rPr>
                        </w:pPr>
                        <w:r>
                          <w:rPr>
                            <w:rFonts w:ascii="Calibri"/>
                            <w:sz w:val="7"/>
                          </w:rPr>
                          <w:t>0.5</w:t>
                        </w:r>
                      </w:p>
                    </w:tc>
                    <w:tc>
                      <w:tcPr>
                        <w:tcW w:w="802" w:type="dxa"/>
                        <w:tcBorders>
                          <w:left w:val="single" w:sz="2" w:space="0" w:color="000000"/>
                          <w:right w:val="single" w:sz="2" w:space="0" w:color="000000"/>
                        </w:tcBorders>
                        <w:shd w:val="clear" w:color="auto" w:fill="BAF9F5"/>
                      </w:tcPr>
                      <w:p>
                        <w:pPr>
                          <w:pStyle w:val="TableParagraph"/>
                          <w:ind w:left="2" w:right="1"/>
                          <w:rPr>
                            <w:rFonts w:ascii="Calibri"/>
                            <w:sz w:val="7"/>
                          </w:rPr>
                        </w:pPr>
                        <w:r>
                          <w:rPr>
                            <w:rFonts w:ascii="Calibri"/>
                            <w:sz w:val="7"/>
                          </w:rPr>
                          <w:t>0.5</w:t>
                        </w:r>
                      </w:p>
                    </w:tc>
                    <w:tc>
                      <w:tcPr>
                        <w:tcW w:w="860" w:type="dxa"/>
                        <w:tcBorders>
                          <w:left w:val="single" w:sz="2" w:space="0" w:color="000000"/>
                          <w:right w:val="single" w:sz="2" w:space="0" w:color="000000"/>
                        </w:tcBorders>
                        <w:shd w:val="clear" w:color="auto" w:fill="BAF9F5"/>
                      </w:tcPr>
                      <w:p>
                        <w:pPr>
                          <w:pStyle w:val="TableParagraph"/>
                          <w:ind w:left="4" w:right="3"/>
                          <w:rPr>
                            <w:rFonts w:ascii="Calibri"/>
                            <w:sz w:val="7"/>
                          </w:rPr>
                        </w:pPr>
                        <w:r>
                          <w:rPr>
                            <w:rFonts w:ascii="Calibri"/>
                            <w:sz w:val="7"/>
                          </w:rPr>
                          <w:t>0.5</w:t>
                        </w:r>
                      </w:p>
                    </w:tc>
                    <w:tc>
                      <w:tcPr>
                        <w:tcW w:w="700" w:type="dxa"/>
                        <w:tcBorders>
                          <w:left w:val="single" w:sz="2" w:space="0" w:color="000000"/>
                          <w:right w:val="single" w:sz="5" w:space="0" w:color="000000"/>
                        </w:tcBorders>
                        <w:shd w:val="clear" w:color="auto" w:fill="BAF9F5"/>
                      </w:tcPr>
                      <w:p>
                        <w:pPr>
                          <w:pStyle w:val="TableParagraph"/>
                          <w:ind w:left="1"/>
                          <w:rPr>
                            <w:rFonts w:ascii="Calibri"/>
                            <w:sz w:val="7"/>
                          </w:rPr>
                        </w:pPr>
                        <w:r>
                          <w:rPr>
                            <w:rFonts w:ascii="Calibri"/>
                            <w:sz w:val="7"/>
                          </w:rPr>
                          <w:t>0.5</w:t>
                        </w:r>
                      </w:p>
                    </w:tc>
                  </w:tr>
                  <w:tr>
                    <w:trPr>
                      <w:trHeight w:val="86" w:hRule="exact"/>
                    </w:trPr>
                    <w:tc>
                      <w:tcPr>
                        <w:tcW w:w="319" w:type="dxa"/>
                        <w:vMerge/>
                        <w:tcBorders>
                          <w:left w:val="single" w:sz="2" w:space="0" w:color="000000"/>
                        </w:tcBorders>
                      </w:tcPr>
                      <w:p>
                        <w:pPr/>
                      </w:p>
                    </w:tc>
                    <w:tc>
                      <w:tcPr>
                        <w:tcW w:w="1026" w:type="dxa"/>
                        <w:vMerge/>
                      </w:tcPr>
                      <w:p>
                        <w:pPr/>
                      </w:p>
                    </w:tc>
                    <w:tc>
                      <w:tcPr>
                        <w:tcW w:w="1134" w:type="dxa"/>
                        <w:vMerge/>
                      </w:tcPr>
                      <w:p>
                        <w:pPr/>
                      </w:p>
                    </w:tc>
                    <w:tc>
                      <w:tcPr>
                        <w:tcW w:w="759" w:type="dxa"/>
                        <w:tcBorders>
                          <w:bottom w:val="single" w:sz="2" w:space="0" w:color="FFFFFF"/>
                          <w:right w:val="single" w:sz="2" w:space="0" w:color="000000"/>
                        </w:tcBorders>
                        <w:shd w:val="clear" w:color="auto" w:fill="BAF9F5"/>
                      </w:tcPr>
                      <w:p>
                        <w:pPr>
                          <w:pStyle w:val="TableParagraph"/>
                          <w:spacing w:line="82" w:lineRule="exact"/>
                          <w:ind w:left="12"/>
                          <w:rPr>
                            <w:rFonts w:ascii="Calibri"/>
                            <w:sz w:val="7"/>
                          </w:rPr>
                        </w:pPr>
                        <w:r>
                          <w:rPr>
                            <w:rFonts w:ascii="Calibri"/>
                            <w:w w:val="99"/>
                            <w:sz w:val="7"/>
                          </w:rPr>
                          <w:t>0</w:t>
                        </w:r>
                      </w:p>
                    </w:tc>
                    <w:tc>
                      <w:tcPr>
                        <w:tcW w:w="43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657" w:type="dxa"/>
                        <w:tcBorders>
                          <w:left w:val="single" w:sz="2" w:space="0" w:color="000000"/>
                          <w:bottom w:val="single" w:sz="2" w:space="0" w:color="FFFFFF"/>
                          <w:right w:val="single" w:sz="2" w:space="0" w:color="000000"/>
                        </w:tcBorders>
                        <w:shd w:val="clear" w:color="auto" w:fill="BAF9F5"/>
                      </w:tcPr>
                      <w:p>
                        <w:pPr>
                          <w:pStyle w:val="TableParagraph"/>
                          <w:spacing w:line="82" w:lineRule="exact"/>
                          <w:rPr>
                            <w:rFonts w:ascii="Calibri"/>
                            <w:sz w:val="7"/>
                          </w:rPr>
                        </w:pPr>
                        <w:r>
                          <w:rPr>
                            <w:rFonts w:ascii="Calibri"/>
                            <w:w w:val="99"/>
                            <w:sz w:val="7"/>
                          </w:rPr>
                          <w:t>0</w:t>
                        </w:r>
                      </w:p>
                    </w:tc>
                    <w:tc>
                      <w:tcPr>
                        <w:tcW w:w="593"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91"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56"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802"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86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00" w:type="dxa"/>
                        <w:tcBorders>
                          <w:left w:val="single" w:sz="2" w:space="0" w:color="000000"/>
                          <w:bottom w:val="single" w:sz="2" w:space="0" w:color="FFFFFF"/>
                          <w:right w:val="single" w:sz="5" w:space="0" w:color="000000"/>
                        </w:tcBorders>
                        <w:shd w:val="clear" w:color="auto" w:fill="BAF9F5"/>
                      </w:tcPr>
                      <w:p>
                        <w:pPr>
                          <w:pStyle w:val="TableParagraph"/>
                          <w:spacing w:line="82" w:lineRule="exact"/>
                          <w:ind w:left="6"/>
                          <w:rPr>
                            <w:rFonts w:ascii="Calibri"/>
                            <w:sz w:val="7"/>
                          </w:rPr>
                        </w:pPr>
                        <w:r>
                          <w:rPr>
                            <w:rFonts w:ascii="Calibri"/>
                            <w:w w:val="99"/>
                            <w:sz w:val="7"/>
                          </w:rPr>
                          <w:t>0</w:t>
                        </w:r>
                      </w:p>
                    </w:tc>
                  </w:tr>
                  <w:tr>
                    <w:trPr>
                      <w:trHeight w:val="90" w:hRule="exact"/>
                    </w:trPr>
                    <w:tc>
                      <w:tcPr>
                        <w:tcW w:w="319" w:type="dxa"/>
                        <w:vMerge/>
                        <w:tcBorders>
                          <w:left w:val="single" w:sz="2" w:space="0" w:color="000000"/>
                        </w:tcBorders>
                      </w:tcPr>
                      <w:p>
                        <w:pPr/>
                      </w:p>
                    </w:tc>
                    <w:tc>
                      <w:tcPr>
                        <w:tcW w:w="1026" w:type="dxa"/>
                        <w:vMerge/>
                      </w:tcPr>
                      <w:p>
                        <w:pPr/>
                      </w:p>
                    </w:tc>
                    <w:tc>
                      <w:tcPr>
                        <w:tcW w:w="1134" w:type="dxa"/>
                        <w:vMerge/>
                      </w:tcPr>
                      <w:p>
                        <w:pPr/>
                      </w:p>
                    </w:tc>
                    <w:tc>
                      <w:tcPr>
                        <w:tcW w:w="759" w:type="dxa"/>
                        <w:tcBorders>
                          <w:top w:val="single" w:sz="2" w:space="0" w:color="FFFFFF"/>
                          <w:right w:val="single" w:sz="2" w:space="0" w:color="000000"/>
                        </w:tcBorders>
                        <w:shd w:val="clear" w:color="auto" w:fill="F79646"/>
                      </w:tcPr>
                      <w:p>
                        <w:pPr>
                          <w:pStyle w:val="TableParagraph"/>
                          <w:spacing w:line="80" w:lineRule="exact"/>
                          <w:ind w:left="78" w:right="72"/>
                          <w:rPr>
                            <w:rFonts w:ascii="Calibri"/>
                            <w:sz w:val="7"/>
                          </w:rPr>
                        </w:pPr>
                        <w:r>
                          <w:rPr>
                            <w:rFonts w:ascii="Calibri"/>
                            <w:sz w:val="7"/>
                          </w:rPr>
                          <w:t>0.5</w:t>
                        </w:r>
                      </w:p>
                    </w:tc>
                    <w:tc>
                      <w:tcPr>
                        <w:tcW w:w="43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3" w:right="2"/>
                          <w:rPr>
                            <w:rFonts w:ascii="Calibri"/>
                            <w:sz w:val="7"/>
                          </w:rPr>
                        </w:pPr>
                        <w:r>
                          <w:rPr>
                            <w:rFonts w:ascii="Calibri"/>
                            <w:sz w:val="7"/>
                          </w:rPr>
                          <w:t>0.5</w:t>
                        </w:r>
                      </w:p>
                    </w:tc>
                    <w:tc>
                      <w:tcPr>
                        <w:tcW w:w="657" w:type="dxa"/>
                        <w:tcBorders>
                          <w:top w:val="single" w:sz="2" w:space="0" w:color="FFFFFF"/>
                          <w:left w:val="single" w:sz="2" w:space="0" w:color="000000"/>
                          <w:right w:val="single" w:sz="2" w:space="0" w:color="000000"/>
                        </w:tcBorders>
                        <w:shd w:val="clear" w:color="auto" w:fill="F79646"/>
                      </w:tcPr>
                      <w:p>
                        <w:pPr>
                          <w:pStyle w:val="TableParagraph"/>
                          <w:spacing w:line="80" w:lineRule="exact"/>
                          <w:ind w:right="2"/>
                          <w:rPr>
                            <w:rFonts w:ascii="Calibri"/>
                            <w:sz w:val="7"/>
                          </w:rPr>
                        </w:pPr>
                        <w:r>
                          <w:rPr>
                            <w:rFonts w:ascii="Calibri"/>
                            <w:sz w:val="7"/>
                          </w:rPr>
                          <w:t>0.5</w:t>
                        </w:r>
                      </w:p>
                    </w:tc>
                    <w:tc>
                      <w:tcPr>
                        <w:tcW w:w="593"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2" w:right="1"/>
                          <w:rPr>
                            <w:rFonts w:ascii="Calibri"/>
                            <w:sz w:val="7"/>
                          </w:rPr>
                        </w:pPr>
                        <w:r>
                          <w:rPr>
                            <w:rFonts w:ascii="Calibri"/>
                            <w:sz w:val="7"/>
                          </w:rPr>
                          <w:t>0.5</w:t>
                        </w:r>
                      </w:p>
                    </w:tc>
                    <w:tc>
                      <w:tcPr>
                        <w:tcW w:w="791"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0</w:t>
                        </w:r>
                      </w:p>
                    </w:tc>
                    <w:tc>
                      <w:tcPr>
                        <w:tcW w:w="756"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286" w:right="285"/>
                          <w:rPr>
                            <w:rFonts w:ascii="Calibri"/>
                            <w:sz w:val="7"/>
                          </w:rPr>
                        </w:pPr>
                        <w:r>
                          <w:rPr>
                            <w:rFonts w:ascii="Calibri"/>
                            <w:sz w:val="7"/>
                          </w:rPr>
                          <w:t>0.5</w:t>
                        </w:r>
                      </w:p>
                    </w:tc>
                    <w:tc>
                      <w:tcPr>
                        <w:tcW w:w="802"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2" w:right="1"/>
                          <w:rPr>
                            <w:rFonts w:ascii="Calibri"/>
                            <w:sz w:val="7"/>
                          </w:rPr>
                        </w:pPr>
                        <w:r>
                          <w:rPr>
                            <w:rFonts w:ascii="Calibri"/>
                            <w:sz w:val="7"/>
                          </w:rPr>
                          <w:t>0.5</w:t>
                        </w:r>
                      </w:p>
                    </w:tc>
                    <w:tc>
                      <w:tcPr>
                        <w:tcW w:w="86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4" w:right="3"/>
                          <w:rPr>
                            <w:rFonts w:ascii="Calibri"/>
                            <w:sz w:val="7"/>
                          </w:rPr>
                        </w:pPr>
                        <w:r>
                          <w:rPr>
                            <w:rFonts w:ascii="Calibri"/>
                            <w:sz w:val="7"/>
                          </w:rPr>
                          <w:t>0.5</w:t>
                        </w:r>
                      </w:p>
                    </w:tc>
                    <w:tc>
                      <w:tcPr>
                        <w:tcW w:w="700" w:type="dxa"/>
                        <w:tcBorders>
                          <w:top w:val="single" w:sz="2" w:space="0" w:color="FFFFFF"/>
                          <w:left w:val="single" w:sz="2" w:space="0" w:color="000000"/>
                          <w:right w:val="single" w:sz="5" w:space="0" w:color="000000"/>
                        </w:tcBorders>
                        <w:shd w:val="clear" w:color="auto" w:fill="F79646"/>
                      </w:tcPr>
                      <w:p>
                        <w:pPr>
                          <w:pStyle w:val="TableParagraph"/>
                          <w:spacing w:line="80" w:lineRule="exact"/>
                          <w:ind w:left="1"/>
                          <w:rPr>
                            <w:rFonts w:ascii="Calibri"/>
                            <w:sz w:val="7"/>
                          </w:rPr>
                        </w:pPr>
                        <w:r>
                          <w:rPr>
                            <w:rFonts w:ascii="Calibri"/>
                            <w:sz w:val="7"/>
                          </w:rPr>
                          <w:t>0.5</w:t>
                        </w:r>
                      </w:p>
                    </w:tc>
                  </w:tr>
                  <w:tr>
                    <w:trPr>
                      <w:trHeight w:val="81" w:hRule="exact"/>
                    </w:trPr>
                    <w:tc>
                      <w:tcPr>
                        <w:tcW w:w="3238" w:type="dxa"/>
                        <w:gridSpan w:val="4"/>
                        <w:tcBorders>
                          <w:left w:val="single" w:sz="2" w:space="0" w:color="000000"/>
                          <w:right w:val="single" w:sz="2" w:space="0" w:color="000000"/>
                        </w:tcBorders>
                      </w:tcPr>
                      <w:p>
                        <w:pPr/>
                      </w:p>
                    </w:tc>
                    <w:tc>
                      <w:tcPr>
                        <w:tcW w:w="430" w:type="dxa"/>
                        <w:tcBorders>
                          <w:left w:val="single" w:sz="2" w:space="0" w:color="000000"/>
                          <w:right w:val="single" w:sz="2" w:space="0" w:color="000000"/>
                        </w:tcBorders>
                      </w:tcPr>
                      <w:p>
                        <w:pPr/>
                      </w:p>
                    </w:tc>
                    <w:tc>
                      <w:tcPr>
                        <w:tcW w:w="657" w:type="dxa"/>
                        <w:tcBorders>
                          <w:left w:val="single" w:sz="2" w:space="0" w:color="000000"/>
                          <w:right w:val="single" w:sz="2" w:space="0" w:color="000000"/>
                        </w:tcBorders>
                      </w:tcPr>
                      <w:p>
                        <w:pPr/>
                      </w:p>
                    </w:tc>
                    <w:tc>
                      <w:tcPr>
                        <w:tcW w:w="593" w:type="dxa"/>
                        <w:tcBorders>
                          <w:left w:val="single" w:sz="2" w:space="0" w:color="000000"/>
                          <w:right w:val="single" w:sz="2" w:space="0" w:color="000000"/>
                        </w:tcBorders>
                      </w:tcPr>
                      <w:p>
                        <w:pPr/>
                      </w:p>
                    </w:tc>
                    <w:tc>
                      <w:tcPr>
                        <w:tcW w:w="791" w:type="dxa"/>
                        <w:tcBorders>
                          <w:left w:val="single" w:sz="2" w:space="0" w:color="000000"/>
                          <w:right w:val="single" w:sz="2" w:space="0" w:color="000000"/>
                        </w:tcBorders>
                      </w:tcPr>
                      <w:p>
                        <w:pPr/>
                      </w:p>
                    </w:tc>
                    <w:tc>
                      <w:tcPr>
                        <w:tcW w:w="756" w:type="dxa"/>
                        <w:tcBorders>
                          <w:left w:val="single" w:sz="2" w:space="0" w:color="000000"/>
                          <w:right w:val="single" w:sz="2" w:space="0" w:color="000000"/>
                        </w:tcBorders>
                      </w:tcPr>
                      <w:p>
                        <w:pPr/>
                      </w:p>
                    </w:tc>
                    <w:tc>
                      <w:tcPr>
                        <w:tcW w:w="802" w:type="dxa"/>
                        <w:tcBorders>
                          <w:left w:val="single" w:sz="2" w:space="0" w:color="000000"/>
                          <w:right w:val="single" w:sz="2" w:space="0" w:color="000000"/>
                        </w:tcBorders>
                      </w:tcPr>
                      <w:p>
                        <w:pPr/>
                      </w:p>
                    </w:tc>
                    <w:tc>
                      <w:tcPr>
                        <w:tcW w:w="860" w:type="dxa"/>
                        <w:tcBorders>
                          <w:left w:val="single" w:sz="2" w:space="0" w:color="000000"/>
                          <w:right w:val="single" w:sz="2" w:space="0" w:color="000000"/>
                        </w:tcBorders>
                      </w:tcPr>
                      <w:p>
                        <w:pPr/>
                      </w:p>
                    </w:tc>
                    <w:tc>
                      <w:tcPr>
                        <w:tcW w:w="700" w:type="dxa"/>
                        <w:tcBorders>
                          <w:left w:val="single" w:sz="2" w:space="0" w:color="000000"/>
                          <w:right w:val="single" w:sz="5" w:space="0" w:color="000000"/>
                        </w:tcBorders>
                      </w:tcPr>
                      <w:p>
                        <w:pPr/>
                      </w:p>
                    </w:tc>
                  </w:tr>
                  <w:tr>
                    <w:trPr>
                      <w:trHeight w:val="91" w:hRule="exact"/>
                    </w:trPr>
                    <w:tc>
                      <w:tcPr>
                        <w:tcW w:w="319" w:type="dxa"/>
                        <w:vMerge w:val="restart"/>
                        <w:tcBorders>
                          <w:left w:val="single" w:sz="2" w:space="0" w:color="000000"/>
                        </w:tcBorders>
                      </w:tcPr>
                      <w:p>
                        <w:pPr/>
                      </w:p>
                    </w:tc>
                    <w:tc>
                      <w:tcPr>
                        <w:tcW w:w="1026" w:type="dxa"/>
                        <w:vMerge w:val="restart"/>
                      </w:tcPr>
                      <w:p>
                        <w:pPr>
                          <w:pStyle w:val="TableParagraph"/>
                          <w:spacing w:before="41"/>
                          <w:ind w:left="44"/>
                          <w:jc w:val="left"/>
                          <w:rPr>
                            <w:rFonts w:ascii="Calibri"/>
                            <w:sz w:val="7"/>
                          </w:rPr>
                        </w:pPr>
                        <w:r>
                          <w:rPr>
                            <w:rFonts w:ascii="Calibri"/>
                            <w:sz w:val="7"/>
                          </w:rPr>
                          <w:t>Infraestrutura utilizada</w:t>
                        </w:r>
                      </w:p>
                    </w:tc>
                    <w:tc>
                      <w:tcPr>
                        <w:tcW w:w="1134" w:type="dxa"/>
                        <w:vMerge w:val="restart"/>
                      </w:tcPr>
                      <w:p>
                        <w:pPr>
                          <w:pStyle w:val="TableParagraph"/>
                          <w:ind w:left="186" w:right="637"/>
                          <w:jc w:val="left"/>
                          <w:rPr>
                            <w:rFonts w:ascii="Calibri"/>
                            <w:sz w:val="7"/>
                          </w:rPr>
                        </w:pPr>
                        <w:r>
                          <w:rPr>
                            <w:rFonts w:ascii="Calibri"/>
                            <w:sz w:val="7"/>
                          </w:rPr>
                          <w:t>Vialidades Redes</w:t>
                        </w:r>
                      </w:p>
                      <w:p>
                        <w:pPr>
                          <w:pStyle w:val="TableParagraph"/>
                          <w:spacing w:before="1"/>
                          <w:ind w:left="535" w:right="279"/>
                          <w:jc w:val="left"/>
                          <w:rPr>
                            <w:rFonts w:ascii="Calibri"/>
                            <w:sz w:val="7"/>
                          </w:rPr>
                        </w:pPr>
                        <w:r>
                          <w:rPr>
                            <w:rFonts w:ascii="Calibri"/>
                            <w:sz w:val="7"/>
                          </w:rPr>
                          <w:t>Subtotal</w:t>
                        </w:r>
                      </w:p>
                    </w:tc>
                    <w:tc>
                      <w:tcPr>
                        <w:tcW w:w="759" w:type="dxa"/>
                        <w:tcBorders>
                          <w:right w:val="single" w:sz="2" w:space="0" w:color="000000"/>
                        </w:tcBorders>
                        <w:shd w:val="clear" w:color="auto" w:fill="BAF9F5"/>
                      </w:tcPr>
                      <w:p>
                        <w:pPr>
                          <w:pStyle w:val="TableParagraph"/>
                          <w:ind w:left="78" w:right="72"/>
                          <w:rPr>
                            <w:rFonts w:ascii="Calibri"/>
                            <w:sz w:val="7"/>
                          </w:rPr>
                        </w:pPr>
                        <w:r>
                          <w:rPr>
                            <w:rFonts w:ascii="Calibri"/>
                            <w:sz w:val="7"/>
                          </w:rPr>
                          <w:t>0.5</w:t>
                        </w:r>
                      </w:p>
                    </w:tc>
                    <w:tc>
                      <w:tcPr>
                        <w:tcW w:w="430" w:type="dxa"/>
                        <w:tcBorders>
                          <w:left w:val="single" w:sz="2" w:space="0" w:color="000000"/>
                          <w:right w:val="single" w:sz="2" w:space="0" w:color="000000"/>
                        </w:tcBorders>
                        <w:shd w:val="clear" w:color="auto" w:fill="BAF9F5"/>
                      </w:tcPr>
                      <w:p>
                        <w:pPr>
                          <w:pStyle w:val="TableParagraph"/>
                          <w:ind w:left="3" w:right="2"/>
                          <w:rPr>
                            <w:rFonts w:ascii="Calibri"/>
                            <w:sz w:val="7"/>
                          </w:rPr>
                        </w:pPr>
                        <w:r>
                          <w:rPr>
                            <w:rFonts w:ascii="Calibri"/>
                            <w:sz w:val="7"/>
                          </w:rPr>
                          <w:t>0.25</w:t>
                        </w:r>
                      </w:p>
                    </w:tc>
                    <w:tc>
                      <w:tcPr>
                        <w:tcW w:w="657" w:type="dxa"/>
                        <w:tcBorders>
                          <w:left w:val="single" w:sz="2" w:space="0" w:color="000000"/>
                          <w:right w:val="single" w:sz="2" w:space="0" w:color="000000"/>
                        </w:tcBorders>
                        <w:shd w:val="clear" w:color="auto" w:fill="BAF9F5"/>
                      </w:tcPr>
                      <w:p>
                        <w:pPr>
                          <w:pStyle w:val="TableParagraph"/>
                          <w:ind w:right="2"/>
                          <w:rPr>
                            <w:rFonts w:ascii="Calibri"/>
                            <w:sz w:val="7"/>
                          </w:rPr>
                        </w:pPr>
                        <w:r>
                          <w:rPr>
                            <w:rFonts w:ascii="Calibri"/>
                            <w:sz w:val="7"/>
                          </w:rPr>
                          <w:t>0.5</w:t>
                        </w:r>
                      </w:p>
                    </w:tc>
                    <w:tc>
                      <w:tcPr>
                        <w:tcW w:w="593" w:type="dxa"/>
                        <w:tcBorders>
                          <w:left w:val="single" w:sz="2" w:space="0" w:color="000000"/>
                          <w:right w:val="single" w:sz="2" w:space="0" w:color="000000"/>
                        </w:tcBorders>
                        <w:shd w:val="clear" w:color="auto" w:fill="BAF9F5"/>
                      </w:tcPr>
                      <w:p>
                        <w:pPr>
                          <w:pStyle w:val="TableParagraph"/>
                          <w:ind w:left="2" w:right="1"/>
                          <w:rPr>
                            <w:rFonts w:ascii="Calibri"/>
                            <w:sz w:val="7"/>
                          </w:rPr>
                        </w:pPr>
                        <w:r>
                          <w:rPr>
                            <w:rFonts w:ascii="Calibri"/>
                            <w:sz w:val="7"/>
                          </w:rPr>
                          <w:t>0.5</w:t>
                        </w:r>
                      </w:p>
                    </w:tc>
                    <w:tc>
                      <w:tcPr>
                        <w:tcW w:w="791" w:type="dxa"/>
                        <w:tcBorders>
                          <w:left w:val="single" w:sz="2" w:space="0" w:color="000000"/>
                          <w:right w:val="single" w:sz="2" w:space="0" w:color="000000"/>
                        </w:tcBorders>
                        <w:shd w:val="clear" w:color="auto" w:fill="BAF9F5"/>
                      </w:tcPr>
                      <w:p>
                        <w:pPr>
                          <w:pStyle w:val="TableParagraph"/>
                          <w:ind w:left="303" w:right="302"/>
                          <w:rPr>
                            <w:rFonts w:ascii="Calibri"/>
                            <w:sz w:val="7"/>
                          </w:rPr>
                        </w:pPr>
                        <w:r>
                          <w:rPr>
                            <w:rFonts w:ascii="Calibri"/>
                            <w:sz w:val="7"/>
                          </w:rPr>
                          <w:t>0.25</w:t>
                        </w:r>
                      </w:p>
                    </w:tc>
                    <w:tc>
                      <w:tcPr>
                        <w:tcW w:w="756" w:type="dxa"/>
                        <w:tcBorders>
                          <w:left w:val="single" w:sz="2" w:space="0" w:color="000000"/>
                          <w:right w:val="single" w:sz="2" w:space="0" w:color="000000"/>
                        </w:tcBorders>
                        <w:shd w:val="clear" w:color="auto" w:fill="BAF9F5"/>
                      </w:tcPr>
                      <w:p>
                        <w:pPr>
                          <w:pStyle w:val="TableParagraph"/>
                          <w:ind w:left="286" w:right="285"/>
                          <w:rPr>
                            <w:rFonts w:ascii="Calibri"/>
                            <w:sz w:val="7"/>
                          </w:rPr>
                        </w:pPr>
                        <w:r>
                          <w:rPr>
                            <w:rFonts w:ascii="Calibri"/>
                            <w:sz w:val="7"/>
                          </w:rPr>
                          <w:t>0.5</w:t>
                        </w:r>
                      </w:p>
                    </w:tc>
                    <w:tc>
                      <w:tcPr>
                        <w:tcW w:w="802" w:type="dxa"/>
                        <w:tcBorders>
                          <w:left w:val="single" w:sz="2" w:space="0" w:color="000000"/>
                          <w:right w:val="single" w:sz="2" w:space="0" w:color="000000"/>
                        </w:tcBorders>
                        <w:shd w:val="clear" w:color="auto" w:fill="BAF9F5"/>
                      </w:tcPr>
                      <w:p>
                        <w:pPr>
                          <w:pStyle w:val="TableParagraph"/>
                          <w:ind w:left="2" w:right="1"/>
                          <w:rPr>
                            <w:rFonts w:ascii="Calibri"/>
                            <w:sz w:val="7"/>
                          </w:rPr>
                        </w:pPr>
                        <w:r>
                          <w:rPr>
                            <w:rFonts w:ascii="Calibri"/>
                            <w:sz w:val="7"/>
                          </w:rPr>
                          <w:t>0.5</w:t>
                        </w:r>
                      </w:p>
                    </w:tc>
                    <w:tc>
                      <w:tcPr>
                        <w:tcW w:w="860" w:type="dxa"/>
                        <w:tcBorders>
                          <w:left w:val="single" w:sz="2" w:space="0" w:color="000000"/>
                          <w:right w:val="single" w:sz="2" w:space="0" w:color="000000"/>
                        </w:tcBorders>
                        <w:shd w:val="clear" w:color="auto" w:fill="BAF9F5"/>
                      </w:tcPr>
                      <w:p>
                        <w:pPr>
                          <w:pStyle w:val="TableParagraph"/>
                          <w:ind w:left="4" w:right="3"/>
                          <w:rPr>
                            <w:rFonts w:ascii="Calibri"/>
                            <w:sz w:val="7"/>
                          </w:rPr>
                        </w:pPr>
                        <w:r>
                          <w:rPr>
                            <w:rFonts w:ascii="Calibri"/>
                            <w:sz w:val="7"/>
                          </w:rPr>
                          <w:t>0.5</w:t>
                        </w:r>
                      </w:p>
                    </w:tc>
                    <w:tc>
                      <w:tcPr>
                        <w:tcW w:w="700" w:type="dxa"/>
                        <w:tcBorders>
                          <w:left w:val="single" w:sz="2" w:space="0" w:color="000000"/>
                          <w:right w:val="single" w:sz="5" w:space="0" w:color="000000"/>
                        </w:tcBorders>
                        <w:shd w:val="clear" w:color="auto" w:fill="BAF9F5"/>
                      </w:tcPr>
                      <w:p>
                        <w:pPr>
                          <w:pStyle w:val="TableParagraph"/>
                          <w:ind w:left="1"/>
                          <w:rPr>
                            <w:rFonts w:ascii="Calibri"/>
                            <w:sz w:val="7"/>
                          </w:rPr>
                        </w:pPr>
                        <w:r>
                          <w:rPr>
                            <w:rFonts w:ascii="Calibri"/>
                            <w:sz w:val="7"/>
                          </w:rPr>
                          <w:t>0.5</w:t>
                        </w:r>
                      </w:p>
                    </w:tc>
                  </w:tr>
                  <w:tr>
                    <w:trPr>
                      <w:trHeight w:val="86" w:hRule="exact"/>
                    </w:trPr>
                    <w:tc>
                      <w:tcPr>
                        <w:tcW w:w="319" w:type="dxa"/>
                        <w:vMerge/>
                        <w:tcBorders>
                          <w:left w:val="single" w:sz="2" w:space="0" w:color="000000"/>
                        </w:tcBorders>
                      </w:tcPr>
                      <w:p>
                        <w:pPr/>
                      </w:p>
                    </w:tc>
                    <w:tc>
                      <w:tcPr>
                        <w:tcW w:w="1026" w:type="dxa"/>
                        <w:vMerge/>
                      </w:tcPr>
                      <w:p>
                        <w:pPr/>
                      </w:p>
                    </w:tc>
                    <w:tc>
                      <w:tcPr>
                        <w:tcW w:w="1134" w:type="dxa"/>
                        <w:vMerge/>
                      </w:tcPr>
                      <w:p>
                        <w:pPr/>
                      </w:p>
                    </w:tc>
                    <w:tc>
                      <w:tcPr>
                        <w:tcW w:w="759" w:type="dxa"/>
                        <w:tcBorders>
                          <w:bottom w:val="single" w:sz="2" w:space="0" w:color="FFFFFF"/>
                          <w:right w:val="single" w:sz="2" w:space="0" w:color="000000"/>
                        </w:tcBorders>
                        <w:shd w:val="clear" w:color="auto" w:fill="BAF9F5"/>
                      </w:tcPr>
                      <w:p>
                        <w:pPr>
                          <w:pStyle w:val="TableParagraph"/>
                          <w:spacing w:line="82" w:lineRule="exact"/>
                          <w:ind w:left="78" w:right="72"/>
                          <w:rPr>
                            <w:rFonts w:ascii="Calibri"/>
                            <w:sz w:val="7"/>
                          </w:rPr>
                        </w:pPr>
                        <w:r>
                          <w:rPr>
                            <w:rFonts w:ascii="Calibri"/>
                            <w:sz w:val="7"/>
                          </w:rPr>
                          <w:t>0.4</w:t>
                        </w:r>
                      </w:p>
                    </w:tc>
                    <w:tc>
                      <w:tcPr>
                        <w:tcW w:w="43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1</w:t>
                        </w:r>
                      </w:p>
                    </w:tc>
                    <w:tc>
                      <w:tcPr>
                        <w:tcW w:w="657"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right="2"/>
                          <w:rPr>
                            <w:rFonts w:ascii="Calibri"/>
                            <w:sz w:val="7"/>
                          </w:rPr>
                        </w:pPr>
                        <w:r>
                          <w:rPr>
                            <w:rFonts w:ascii="Calibri"/>
                            <w:sz w:val="7"/>
                          </w:rPr>
                          <w:t>0.4</w:t>
                        </w:r>
                      </w:p>
                    </w:tc>
                    <w:tc>
                      <w:tcPr>
                        <w:tcW w:w="593"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0.4</w:t>
                        </w:r>
                      </w:p>
                    </w:tc>
                    <w:tc>
                      <w:tcPr>
                        <w:tcW w:w="791"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303" w:right="302"/>
                          <w:rPr>
                            <w:rFonts w:ascii="Calibri"/>
                            <w:sz w:val="7"/>
                          </w:rPr>
                        </w:pPr>
                        <w:r>
                          <w:rPr>
                            <w:rFonts w:ascii="Calibri"/>
                            <w:sz w:val="7"/>
                          </w:rPr>
                          <w:t>0.8</w:t>
                        </w:r>
                      </w:p>
                    </w:tc>
                    <w:tc>
                      <w:tcPr>
                        <w:tcW w:w="756"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286" w:right="285"/>
                          <w:rPr>
                            <w:rFonts w:ascii="Calibri"/>
                            <w:sz w:val="7"/>
                          </w:rPr>
                        </w:pPr>
                        <w:r>
                          <w:rPr>
                            <w:rFonts w:ascii="Calibri"/>
                            <w:sz w:val="7"/>
                          </w:rPr>
                          <w:t>0.4</w:t>
                        </w:r>
                      </w:p>
                    </w:tc>
                    <w:tc>
                      <w:tcPr>
                        <w:tcW w:w="802"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0.4</w:t>
                        </w:r>
                      </w:p>
                    </w:tc>
                    <w:tc>
                      <w:tcPr>
                        <w:tcW w:w="86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4" w:right="3"/>
                          <w:rPr>
                            <w:rFonts w:ascii="Calibri"/>
                            <w:sz w:val="7"/>
                          </w:rPr>
                        </w:pPr>
                        <w:r>
                          <w:rPr>
                            <w:rFonts w:ascii="Calibri"/>
                            <w:sz w:val="7"/>
                          </w:rPr>
                          <w:t>0.4</w:t>
                        </w:r>
                      </w:p>
                    </w:tc>
                    <w:tc>
                      <w:tcPr>
                        <w:tcW w:w="700" w:type="dxa"/>
                        <w:tcBorders>
                          <w:left w:val="single" w:sz="2" w:space="0" w:color="000000"/>
                          <w:bottom w:val="single" w:sz="2" w:space="0" w:color="FFFFFF"/>
                          <w:right w:val="single" w:sz="5" w:space="0" w:color="000000"/>
                        </w:tcBorders>
                        <w:shd w:val="clear" w:color="auto" w:fill="BAF9F5"/>
                      </w:tcPr>
                      <w:p>
                        <w:pPr>
                          <w:pStyle w:val="TableParagraph"/>
                          <w:spacing w:line="82" w:lineRule="exact"/>
                          <w:ind w:left="1"/>
                          <w:rPr>
                            <w:rFonts w:ascii="Calibri"/>
                            <w:sz w:val="7"/>
                          </w:rPr>
                        </w:pPr>
                        <w:r>
                          <w:rPr>
                            <w:rFonts w:ascii="Calibri"/>
                            <w:sz w:val="7"/>
                          </w:rPr>
                          <w:t>0.4</w:t>
                        </w:r>
                      </w:p>
                    </w:tc>
                  </w:tr>
                  <w:tr>
                    <w:trPr>
                      <w:trHeight w:val="90" w:hRule="exact"/>
                    </w:trPr>
                    <w:tc>
                      <w:tcPr>
                        <w:tcW w:w="319" w:type="dxa"/>
                        <w:vMerge/>
                        <w:tcBorders>
                          <w:left w:val="single" w:sz="2" w:space="0" w:color="000000"/>
                        </w:tcBorders>
                      </w:tcPr>
                      <w:p>
                        <w:pPr/>
                      </w:p>
                    </w:tc>
                    <w:tc>
                      <w:tcPr>
                        <w:tcW w:w="1026" w:type="dxa"/>
                        <w:vMerge/>
                      </w:tcPr>
                      <w:p>
                        <w:pPr/>
                      </w:p>
                    </w:tc>
                    <w:tc>
                      <w:tcPr>
                        <w:tcW w:w="1134" w:type="dxa"/>
                        <w:vMerge/>
                      </w:tcPr>
                      <w:p>
                        <w:pPr/>
                      </w:p>
                    </w:tc>
                    <w:tc>
                      <w:tcPr>
                        <w:tcW w:w="759" w:type="dxa"/>
                        <w:tcBorders>
                          <w:top w:val="single" w:sz="2" w:space="0" w:color="FFFFFF"/>
                          <w:right w:val="single" w:sz="2" w:space="0" w:color="000000"/>
                        </w:tcBorders>
                        <w:shd w:val="clear" w:color="auto" w:fill="F79646"/>
                      </w:tcPr>
                      <w:p>
                        <w:pPr>
                          <w:pStyle w:val="TableParagraph"/>
                          <w:spacing w:line="80" w:lineRule="exact"/>
                          <w:ind w:left="78" w:right="72"/>
                          <w:rPr>
                            <w:rFonts w:ascii="Calibri"/>
                            <w:sz w:val="7"/>
                          </w:rPr>
                        </w:pPr>
                        <w:r>
                          <w:rPr>
                            <w:rFonts w:ascii="Calibri"/>
                            <w:sz w:val="7"/>
                          </w:rPr>
                          <w:t>0.9</w:t>
                        </w:r>
                      </w:p>
                    </w:tc>
                    <w:tc>
                      <w:tcPr>
                        <w:tcW w:w="43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3" w:right="2"/>
                          <w:rPr>
                            <w:rFonts w:ascii="Calibri"/>
                            <w:sz w:val="7"/>
                          </w:rPr>
                        </w:pPr>
                        <w:r>
                          <w:rPr>
                            <w:rFonts w:ascii="Calibri"/>
                            <w:sz w:val="7"/>
                          </w:rPr>
                          <w:t>1.25</w:t>
                        </w:r>
                      </w:p>
                    </w:tc>
                    <w:tc>
                      <w:tcPr>
                        <w:tcW w:w="657" w:type="dxa"/>
                        <w:tcBorders>
                          <w:top w:val="single" w:sz="2" w:space="0" w:color="FFFFFF"/>
                          <w:left w:val="single" w:sz="2" w:space="0" w:color="000000"/>
                          <w:right w:val="single" w:sz="2" w:space="0" w:color="000000"/>
                        </w:tcBorders>
                        <w:shd w:val="clear" w:color="auto" w:fill="F79646"/>
                      </w:tcPr>
                      <w:p>
                        <w:pPr>
                          <w:pStyle w:val="TableParagraph"/>
                          <w:spacing w:line="80" w:lineRule="exact"/>
                          <w:ind w:right="2"/>
                          <w:rPr>
                            <w:rFonts w:ascii="Calibri"/>
                            <w:sz w:val="7"/>
                          </w:rPr>
                        </w:pPr>
                        <w:r>
                          <w:rPr>
                            <w:rFonts w:ascii="Calibri"/>
                            <w:sz w:val="7"/>
                          </w:rPr>
                          <w:t>0.9</w:t>
                        </w:r>
                      </w:p>
                    </w:tc>
                    <w:tc>
                      <w:tcPr>
                        <w:tcW w:w="593"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2" w:right="1"/>
                          <w:rPr>
                            <w:rFonts w:ascii="Calibri"/>
                            <w:sz w:val="7"/>
                          </w:rPr>
                        </w:pPr>
                        <w:r>
                          <w:rPr>
                            <w:rFonts w:ascii="Calibri"/>
                            <w:sz w:val="7"/>
                          </w:rPr>
                          <w:t>0.9</w:t>
                        </w:r>
                      </w:p>
                    </w:tc>
                    <w:tc>
                      <w:tcPr>
                        <w:tcW w:w="791"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303" w:right="302"/>
                          <w:rPr>
                            <w:rFonts w:ascii="Calibri"/>
                            <w:sz w:val="7"/>
                          </w:rPr>
                        </w:pPr>
                        <w:r>
                          <w:rPr>
                            <w:rFonts w:ascii="Calibri"/>
                            <w:sz w:val="7"/>
                          </w:rPr>
                          <w:t>1.05</w:t>
                        </w:r>
                      </w:p>
                    </w:tc>
                    <w:tc>
                      <w:tcPr>
                        <w:tcW w:w="756"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286" w:right="285"/>
                          <w:rPr>
                            <w:rFonts w:ascii="Calibri"/>
                            <w:sz w:val="7"/>
                          </w:rPr>
                        </w:pPr>
                        <w:r>
                          <w:rPr>
                            <w:rFonts w:ascii="Calibri"/>
                            <w:sz w:val="7"/>
                          </w:rPr>
                          <w:t>0.9</w:t>
                        </w:r>
                      </w:p>
                    </w:tc>
                    <w:tc>
                      <w:tcPr>
                        <w:tcW w:w="802"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2" w:right="1"/>
                          <w:rPr>
                            <w:rFonts w:ascii="Calibri"/>
                            <w:sz w:val="7"/>
                          </w:rPr>
                        </w:pPr>
                        <w:r>
                          <w:rPr>
                            <w:rFonts w:ascii="Calibri"/>
                            <w:sz w:val="7"/>
                          </w:rPr>
                          <w:t>0.9</w:t>
                        </w:r>
                      </w:p>
                    </w:tc>
                    <w:tc>
                      <w:tcPr>
                        <w:tcW w:w="86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4" w:right="3"/>
                          <w:rPr>
                            <w:rFonts w:ascii="Calibri"/>
                            <w:sz w:val="7"/>
                          </w:rPr>
                        </w:pPr>
                        <w:r>
                          <w:rPr>
                            <w:rFonts w:ascii="Calibri"/>
                            <w:sz w:val="7"/>
                          </w:rPr>
                          <w:t>0.9</w:t>
                        </w:r>
                      </w:p>
                    </w:tc>
                    <w:tc>
                      <w:tcPr>
                        <w:tcW w:w="700" w:type="dxa"/>
                        <w:tcBorders>
                          <w:top w:val="single" w:sz="2" w:space="0" w:color="FFFFFF"/>
                          <w:left w:val="single" w:sz="2" w:space="0" w:color="000000"/>
                          <w:right w:val="single" w:sz="5" w:space="0" w:color="000000"/>
                        </w:tcBorders>
                        <w:shd w:val="clear" w:color="auto" w:fill="F79646"/>
                      </w:tcPr>
                      <w:p>
                        <w:pPr>
                          <w:pStyle w:val="TableParagraph"/>
                          <w:spacing w:line="80" w:lineRule="exact"/>
                          <w:ind w:left="1"/>
                          <w:rPr>
                            <w:rFonts w:ascii="Calibri"/>
                            <w:sz w:val="7"/>
                          </w:rPr>
                        </w:pPr>
                        <w:r>
                          <w:rPr>
                            <w:rFonts w:ascii="Calibri"/>
                            <w:sz w:val="7"/>
                          </w:rPr>
                          <w:t>0.9</w:t>
                        </w:r>
                      </w:p>
                    </w:tc>
                  </w:tr>
                  <w:tr>
                    <w:trPr>
                      <w:trHeight w:val="81" w:hRule="exact"/>
                    </w:trPr>
                    <w:tc>
                      <w:tcPr>
                        <w:tcW w:w="3238" w:type="dxa"/>
                        <w:gridSpan w:val="4"/>
                        <w:tcBorders>
                          <w:left w:val="single" w:sz="2" w:space="0" w:color="000000"/>
                          <w:right w:val="single" w:sz="2" w:space="0" w:color="000000"/>
                        </w:tcBorders>
                      </w:tcPr>
                      <w:p>
                        <w:pPr/>
                      </w:p>
                    </w:tc>
                    <w:tc>
                      <w:tcPr>
                        <w:tcW w:w="430" w:type="dxa"/>
                        <w:tcBorders>
                          <w:left w:val="single" w:sz="2" w:space="0" w:color="000000"/>
                          <w:right w:val="single" w:sz="2" w:space="0" w:color="000000"/>
                        </w:tcBorders>
                      </w:tcPr>
                      <w:p>
                        <w:pPr/>
                      </w:p>
                    </w:tc>
                    <w:tc>
                      <w:tcPr>
                        <w:tcW w:w="657" w:type="dxa"/>
                        <w:tcBorders>
                          <w:left w:val="single" w:sz="2" w:space="0" w:color="000000"/>
                          <w:right w:val="single" w:sz="2" w:space="0" w:color="000000"/>
                        </w:tcBorders>
                      </w:tcPr>
                      <w:p>
                        <w:pPr/>
                      </w:p>
                    </w:tc>
                    <w:tc>
                      <w:tcPr>
                        <w:tcW w:w="593" w:type="dxa"/>
                        <w:tcBorders>
                          <w:left w:val="single" w:sz="2" w:space="0" w:color="000000"/>
                          <w:right w:val="single" w:sz="2" w:space="0" w:color="000000"/>
                        </w:tcBorders>
                      </w:tcPr>
                      <w:p>
                        <w:pPr/>
                      </w:p>
                    </w:tc>
                    <w:tc>
                      <w:tcPr>
                        <w:tcW w:w="791" w:type="dxa"/>
                        <w:tcBorders>
                          <w:left w:val="single" w:sz="2" w:space="0" w:color="000000"/>
                          <w:right w:val="single" w:sz="2" w:space="0" w:color="000000"/>
                        </w:tcBorders>
                      </w:tcPr>
                      <w:p>
                        <w:pPr/>
                      </w:p>
                    </w:tc>
                    <w:tc>
                      <w:tcPr>
                        <w:tcW w:w="756" w:type="dxa"/>
                        <w:tcBorders>
                          <w:left w:val="single" w:sz="2" w:space="0" w:color="000000"/>
                          <w:right w:val="single" w:sz="2" w:space="0" w:color="000000"/>
                        </w:tcBorders>
                      </w:tcPr>
                      <w:p>
                        <w:pPr/>
                      </w:p>
                    </w:tc>
                    <w:tc>
                      <w:tcPr>
                        <w:tcW w:w="802" w:type="dxa"/>
                        <w:tcBorders>
                          <w:left w:val="single" w:sz="2" w:space="0" w:color="000000"/>
                          <w:right w:val="single" w:sz="2" w:space="0" w:color="000000"/>
                        </w:tcBorders>
                      </w:tcPr>
                      <w:p>
                        <w:pPr/>
                      </w:p>
                    </w:tc>
                    <w:tc>
                      <w:tcPr>
                        <w:tcW w:w="860" w:type="dxa"/>
                        <w:tcBorders>
                          <w:left w:val="single" w:sz="2" w:space="0" w:color="000000"/>
                          <w:right w:val="single" w:sz="2" w:space="0" w:color="000000"/>
                        </w:tcBorders>
                      </w:tcPr>
                      <w:p>
                        <w:pPr/>
                      </w:p>
                    </w:tc>
                    <w:tc>
                      <w:tcPr>
                        <w:tcW w:w="700" w:type="dxa"/>
                        <w:tcBorders>
                          <w:left w:val="single" w:sz="2" w:space="0" w:color="000000"/>
                          <w:right w:val="single" w:sz="5" w:space="0" w:color="000000"/>
                        </w:tcBorders>
                      </w:tcPr>
                      <w:p>
                        <w:pPr/>
                      </w:p>
                    </w:tc>
                  </w:tr>
                  <w:tr>
                    <w:trPr>
                      <w:trHeight w:val="91" w:hRule="exact"/>
                    </w:trPr>
                    <w:tc>
                      <w:tcPr>
                        <w:tcW w:w="319" w:type="dxa"/>
                        <w:vMerge w:val="restart"/>
                        <w:tcBorders>
                          <w:left w:val="single" w:sz="2" w:space="0" w:color="000000"/>
                        </w:tcBorders>
                      </w:tcPr>
                      <w:p>
                        <w:pPr/>
                      </w:p>
                    </w:tc>
                    <w:tc>
                      <w:tcPr>
                        <w:tcW w:w="1026" w:type="dxa"/>
                        <w:vMerge w:val="restart"/>
                      </w:tcPr>
                      <w:p>
                        <w:pPr>
                          <w:pStyle w:val="TableParagraph"/>
                          <w:spacing w:before="41"/>
                          <w:ind w:left="44"/>
                          <w:jc w:val="left"/>
                          <w:rPr>
                            <w:rFonts w:ascii="Calibri"/>
                            <w:sz w:val="7"/>
                          </w:rPr>
                        </w:pPr>
                        <w:r>
                          <w:rPr>
                            <w:rFonts w:ascii="Calibri"/>
                            <w:sz w:val="7"/>
                          </w:rPr>
                          <w:t>Infraestructura desarrollada</w:t>
                        </w:r>
                      </w:p>
                    </w:tc>
                    <w:tc>
                      <w:tcPr>
                        <w:tcW w:w="1134" w:type="dxa"/>
                        <w:vMerge w:val="restart"/>
                      </w:tcPr>
                      <w:p>
                        <w:pPr>
                          <w:pStyle w:val="TableParagraph"/>
                          <w:ind w:left="186" w:right="637"/>
                          <w:jc w:val="left"/>
                          <w:rPr>
                            <w:rFonts w:ascii="Calibri"/>
                            <w:sz w:val="7"/>
                          </w:rPr>
                        </w:pPr>
                        <w:r>
                          <w:rPr>
                            <w:rFonts w:ascii="Calibri"/>
                            <w:sz w:val="7"/>
                          </w:rPr>
                          <w:t>Vialidades Redes</w:t>
                        </w:r>
                      </w:p>
                      <w:p>
                        <w:pPr>
                          <w:pStyle w:val="TableParagraph"/>
                          <w:spacing w:before="1"/>
                          <w:ind w:left="535" w:right="279"/>
                          <w:jc w:val="left"/>
                          <w:rPr>
                            <w:rFonts w:ascii="Calibri"/>
                            <w:sz w:val="7"/>
                          </w:rPr>
                        </w:pPr>
                        <w:r>
                          <w:rPr>
                            <w:rFonts w:ascii="Calibri"/>
                            <w:sz w:val="7"/>
                          </w:rPr>
                          <w:t>Subtotal</w:t>
                        </w:r>
                      </w:p>
                    </w:tc>
                    <w:tc>
                      <w:tcPr>
                        <w:tcW w:w="759" w:type="dxa"/>
                        <w:tcBorders>
                          <w:right w:val="single" w:sz="2" w:space="0" w:color="000000"/>
                        </w:tcBorders>
                        <w:shd w:val="clear" w:color="auto" w:fill="BAF9F5"/>
                      </w:tcPr>
                      <w:p>
                        <w:pPr>
                          <w:pStyle w:val="TableParagraph"/>
                          <w:ind w:left="12"/>
                          <w:rPr>
                            <w:rFonts w:ascii="Calibri"/>
                            <w:sz w:val="7"/>
                          </w:rPr>
                        </w:pPr>
                        <w:r>
                          <w:rPr>
                            <w:rFonts w:ascii="Calibri"/>
                            <w:w w:val="99"/>
                            <w:sz w:val="7"/>
                          </w:rPr>
                          <w:t>1</w:t>
                        </w:r>
                      </w:p>
                    </w:tc>
                    <w:tc>
                      <w:tcPr>
                        <w:tcW w:w="430" w:type="dxa"/>
                        <w:tcBorders>
                          <w:left w:val="single" w:sz="2" w:space="0" w:color="000000"/>
                          <w:right w:val="single" w:sz="2" w:space="0" w:color="000000"/>
                        </w:tcBorders>
                        <w:shd w:val="clear" w:color="auto" w:fill="BAF9F5"/>
                      </w:tcPr>
                      <w:p>
                        <w:pPr>
                          <w:pStyle w:val="TableParagraph"/>
                          <w:ind w:left="3" w:right="2"/>
                          <w:rPr>
                            <w:rFonts w:ascii="Calibri"/>
                            <w:sz w:val="7"/>
                          </w:rPr>
                        </w:pPr>
                        <w:r>
                          <w:rPr>
                            <w:rFonts w:ascii="Calibri"/>
                            <w:sz w:val="7"/>
                          </w:rPr>
                          <w:t>0.25</w:t>
                        </w:r>
                      </w:p>
                    </w:tc>
                    <w:tc>
                      <w:tcPr>
                        <w:tcW w:w="657" w:type="dxa"/>
                        <w:tcBorders>
                          <w:left w:val="single" w:sz="2" w:space="0" w:color="000000"/>
                          <w:right w:val="single" w:sz="2" w:space="0" w:color="000000"/>
                        </w:tcBorders>
                        <w:shd w:val="clear" w:color="auto" w:fill="BAF9F5"/>
                      </w:tcPr>
                      <w:p>
                        <w:pPr>
                          <w:pStyle w:val="TableParagraph"/>
                          <w:rPr>
                            <w:rFonts w:ascii="Calibri"/>
                            <w:sz w:val="7"/>
                          </w:rPr>
                        </w:pPr>
                        <w:r>
                          <w:rPr>
                            <w:rFonts w:ascii="Calibri"/>
                            <w:w w:val="99"/>
                            <w:sz w:val="7"/>
                          </w:rPr>
                          <w:t>1</w:t>
                        </w:r>
                      </w:p>
                    </w:tc>
                    <w:tc>
                      <w:tcPr>
                        <w:tcW w:w="593" w:type="dxa"/>
                        <w:tcBorders>
                          <w:left w:val="single" w:sz="2" w:space="0" w:color="000000"/>
                          <w:right w:val="single" w:sz="2" w:space="0" w:color="000000"/>
                        </w:tcBorders>
                        <w:shd w:val="clear" w:color="auto" w:fill="BAF9F5"/>
                      </w:tcPr>
                      <w:p>
                        <w:pPr>
                          <w:pStyle w:val="TableParagraph"/>
                          <w:ind w:left="2" w:right="1"/>
                          <w:rPr>
                            <w:rFonts w:ascii="Calibri"/>
                            <w:sz w:val="7"/>
                          </w:rPr>
                        </w:pPr>
                        <w:r>
                          <w:rPr>
                            <w:rFonts w:ascii="Calibri"/>
                            <w:sz w:val="7"/>
                          </w:rPr>
                          <w:t>0.75</w:t>
                        </w:r>
                      </w:p>
                    </w:tc>
                    <w:tc>
                      <w:tcPr>
                        <w:tcW w:w="791" w:type="dxa"/>
                        <w:tcBorders>
                          <w:left w:val="single" w:sz="2" w:space="0" w:color="000000"/>
                          <w:right w:val="single" w:sz="2" w:space="0" w:color="000000"/>
                        </w:tcBorders>
                        <w:shd w:val="clear" w:color="auto" w:fill="BAF9F5"/>
                      </w:tcPr>
                      <w:p>
                        <w:pPr>
                          <w:pStyle w:val="TableParagraph"/>
                          <w:ind w:left="303" w:right="302"/>
                          <w:rPr>
                            <w:rFonts w:ascii="Calibri"/>
                            <w:sz w:val="7"/>
                          </w:rPr>
                        </w:pPr>
                        <w:r>
                          <w:rPr>
                            <w:rFonts w:ascii="Calibri"/>
                            <w:sz w:val="7"/>
                          </w:rPr>
                          <w:t>0.5</w:t>
                        </w:r>
                      </w:p>
                    </w:tc>
                    <w:tc>
                      <w:tcPr>
                        <w:tcW w:w="756" w:type="dxa"/>
                        <w:tcBorders>
                          <w:left w:val="single" w:sz="2" w:space="0" w:color="000000"/>
                          <w:right w:val="single" w:sz="2" w:space="0" w:color="000000"/>
                        </w:tcBorders>
                        <w:shd w:val="clear" w:color="auto" w:fill="BAF9F5"/>
                      </w:tcPr>
                      <w:p>
                        <w:pPr>
                          <w:pStyle w:val="TableParagraph"/>
                          <w:ind w:left="286" w:right="285"/>
                          <w:rPr>
                            <w:rFonts w:ascii="Calibri"/>
                            <w:sz w:val="7"/>
                          </w:rPr>
                        </w:pPr>
                        <w:r>
                          <w:rPr>
                            <w:rFonts w:ascii="Calibri"/>
                            <w:sz w:val="7"/>
                          </w:rPr>
                          <w:t>0.5</w:t>
                        </w:r>
                      </w:p>
                    </w:tc>
                    <w:tc>
                      <w:tcPr>
                        <w:tcW w:w="802" w:type="dxa"/>
                        <w:tcBorders>
                          <w:left w:val="single" w:sz="2" w:space="0" w:color="000000"/>
                          <w:right w:val="single" w:sz="2" w:space="0" w:color="000000"/>
                        </w:tcBorders>
                        <w:shd w:val="clear" w:color="auto" w:fill="BAF9F5"/>
                      </w:tcPr>
                      <w:p>
                        <w:pPr>
                          <w:pStyle w:val="TableParagraph"/>
                          <w:ind w:left="2" w:right="1"/>
                          <w:rPr>
                            <w:rFonts w:ascii="Calibri"/>
                            <w:sz w:val="7"/>
                          </w:rPr>
                        </w:pPr>
                        <w:r>
                          <w:rPr>
                            <w:rFonts w:ascii="Calibri"/>
                            <w:sz w:val="7"/>
                          </w:rPr>
                          <w:t>0.75</w:t>
                        </w:r>
                      </w:p>
                    </w:tc>
                    <w:tc>
                      <w:tcPr>
                        <w:tcW w:w="860" w:type="dxa"/>
                        <w:tcBorders>
                          <w:left w:val="single" w:sz="2" w:space="0" w:color="000000"/>
                          <w:right w:val="single" w:sz="2" w:space="0" w:color="000000"/>
                        </w:tcBorders>
                        <w:shd w:val="clear" w:color="auto" w:fill="BAF9F5"/>
                      </w:tcPr>
                      <w:p>
                        <w:pPr>
                          <w:pStyle w:val="TableParagraph"/>
                          <w:ind w:left="4" w:right="3"/>
                          <w:rPr>
                            <w:rFonts w:ascii="Calibri"/>
                            <w:sz w:val="7"/>
                          </w:rPr>
                        </w:pPr>
                        <w:r>
                          <w:rPr>
                            <w:rFonts w:ascii="Calibri"/>
                            <w:sz w:val="7"/>
                          </w:rPr>
                          <w:t>0.75</w:t>
                        </w:r>
                      </w:p>
                    </w:tc>
                    <w:tc>
                      <w:tcPr>
                        <w:tcW w:w="700" w:type="dxa"/>
                        <w:tcBorders>
                          <w:left w:val="single" w:sz="2" w:space="0" w:color="000000"/>
                          <w:right w:val="single" w:sz="5" w:space="0" w:color="000000"/>
                        </w:tcBorders>
                        <w:shd w:val="clear" w:color="auto" w:fill="BAF9F5"/>
                      </w:tcPr>
                      <w:p>
                        <w:pPr>
                          <w:pStyle w:val="TableParagraph"/>
                          <w:ind w:left="1"/>
                          <w:rPr>
                            <w:rFonts w:ascii="Calibri"/>
                            <w:sz w:val="7"/>
                          </w:rPr>
                        </w:pPr>
                        <w:r>
                          <w:rPr>
                            <w:rFonts w:ascii="Calibri"/>
                            <w:sz w:val="7"/>
                          </w:rPr>
                          <w:t>0.5</w:t>
                        </w:r>
                      </w:p>
                    </w:tc>
                  </w:tr>
                  <w:tr>
                    <w:trPr>
                      <w:trHeight w:val="86" w:hRule="exact"/>
                    </w:trPr>
                    <w:tc>
                      <w:tcPr>
                        <w:tcW w:w="319" w:type="dxa"/>
                        <w:vMerge/>
                        <w:tcBorders>
                          <w:left w:val="single" w:sz="2" w:space="0" w:color="000000"/>
                        </w:tcBorders>
                      </w:tcPr>
                      <w:p>
                        <w:pPr/>
                      </w:p>
                    </w:tc>
                    <w:tc>
                      <w:tcPr>
                        <w:tcW w:w="1026" w:type="dxa"/>
                        <w:vMerge/>
                      </w:tcPr>
                      <w:p>
                        <w:pPr/>
                      </w:p>
                    </w:tc>
                    <w:tc>
                      <w:tcPr>
                        <w:tcW w:w="1134" w:type="dxa"/>
                        <w:vMerge/>
                      </w:tcPr>
                      <w:p>
                        <w:pPr/>
                      </w:p>
                    </w:tc>
                    <w:tc>
                      <w:tcPr>
                        <w:tcW w:w="759" w:type="dxa"/>
                        <w:tcBorders>
                          <w:bottom w:val="single" w:sz="2" w:space="0" w:color="FFFFFF"/>
                          <w:right w:val="single" w:sz="2" w:space="0" w:color="000000"/>
                        </w:tcBorders>
                        <w:shd w:val="clear" w:color="auto" w:fill="BAF9F5"/>
                      </w:tcPr>
                      <w:p>
                        <w:pPr>
                          <w:pStyle w:val="TableParagraph"/>
                          <w:spacing w:line="82" w:lineRule="exact"/>
                          <w:ind w:left="12"/>
                          <w:rPr>
                            <w:rFonts w:ascii="Calibri"/>
                            <w:sz w:val="7"/>
                          </w:rPr>
                        </w:pPr>
                        <w:r>
                          <w:rPr>
                            <w:rFonts w:ascii="Calibri"/>
                            <w:w w:val="99"/>
                            <w:sz w:val="7"/>
                          </w:rPr>
                          <w:t>1</w:t>
                        </w:r>
                      </w:p>
                    </w:tc>
                    <w:tc>
                      <w:tcPr>
                        <w:tcW w:w="43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3" w:right="2"/>
                          <w:rPr>
                            <w:rFonts w:ascii="Calibri"/>
                            <w:sz w:val="7"/>
                          </w:rPr>
                        </w:pPr>
                        <w:r>
                          <w:rPr>
                            <w:rFonts w:ascii="Calibri"/>
                            <w:sz w:val="7"/>
                          </w:rPr>
                          <w:t>0.66</w:t>
                        </w:r>
                      </w:p>
                    </w:tc>
                    <w:tc>
                      <w:tcPr>
                        <w:tcW w:w="657" w:type="dxa"/>
                        <w:tcBorders>
                          <w:left w:val="single" w:sz="2" w:space="0" w:color="000000"/>
                          <w:bottom w:val="single" w:sz="2" w:space="0" w:color="FFFFFF"/>
                          <w:right w:val="single" w:sz="2" w:space="0" w:color="000000"/>
                        </w:tcBorders>
                        <w:shd w:val="clear" w:color="auto" w:fill="BAF9F5"/>
                      </w:tcPr>
                      <w:p>
                        <w:pPr>
                          <w:pStyle w:val="TableParagraph"/>
                          <w:spacing w:line="82" w:lineRule="exact"/>
                          <w:rPr>
                            <w:rFonts w:ascii="Calibri"/>
                            <w:sz w:val="7"/>
                          </w:rPr>
                        </w:pPr>
                        <w:r>
                          <w:rPr>
                            <w:rFonts w:ascii="Calibri"/>
                            <w:w w:val="99"/>
                            <w:sz w:val="7"/>
                          </w:rPr>
                          <w:t>1</w:t>
                        </w:r>
                      </w:p>
                    </w:tc>
                    <w:tc>
                      <w:tcPr>
                        <w:tcW w:w="593"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0.66</w:t>
                        </w:r>
                      </w:p>
                    </w:tc>
                    <w:tc>
                      <w:tcPr>
                        <w:tcW w:w="791"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303" w:right="302"/>
                          <w:rPr>
                            <w:rFonts w:ascii="Calibri"/>
                            <w:sz w:val="7"/>
                          </w:rPr>
                        </w:pPr>
                        <w:r>
                          <w:rPr>
                            <w:rFonts w:ascii="Calibri"/>
                            <w:sz w:val="7"/>
                          </w:rPr>
                          <w:t>0.66</w:t>
                        </w:r>
                      </w:p>
                    </w:tc>
                    <w:tc>
                      <w:tcPr>
                        <w:tcW w:w="756"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286" w:right="285"/>
                          <w:rPr>
                            <w:rFonts w:ascii="Calibri"/>
                            <w:sz w:val="7"/>
                          </w:rPr>
                        </w:pPr>
                        <w:r>
                          <w:rPr>
                            <w:rFonts w:ascii="Calibri"/>
                            <w:sz w:val="7"/>
                          </w:rPr>
                          <w:t>0.66</w:t>
                        </w:r>
                      </w:p>
                    </w:tc>
                    <w:tc>
                      <w:tcPr>
                        <w:tcW w:w="802"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0.66</w:t>
                        </w:r>
                      </w:p>
                    </w:tc>
                    <w:tc>
                      <w:tcPr>
                        <w:tcW w:w="86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4" w:right="3"/>
                          <w:rPr>
                            <w:rFonts w:ascii="Calibri"/>
                            <w:sz w:val="7"/>
                          </w:rPr>
                        </w:pPr>
                        <w:r>
                          <w:rPr>
                            <w:rFonts w:ascii="Calibri"/>
                            <w:sz w:val="7"/>
                          </w:rPr>
                          <w:t>0.66</w:t>
                        </w:r>
                      </w:p>
                    </w:tc>
                    <w:tc>
                      <w:tcPr>
                        <w:tcW w:w="700" w:type="dxa"/>
                        <w:tcBorders>
                          <w:left w:val="single" w:sz="2" w:space="0" w:color="000000"/>
                          <w:bottom w:val="single" w:sz="2" w:space="0" w:color="FFFFFF"/>
                          <w:right w:val="single" w:sz="5" w:space="0" w:color="000000"/>
                        </w:tcBorders>
                        <w:shd w:val="clear" w:color="auto" w:fill="BAF9F5"/>
                      </w:tcPr>
                      <w:p>
                        <w:pPr>
                          <w:pStyle w:val="TableParagraph"/>
                          <w:spacing w:line="82" w:lineRule="exact"/>
                          <w:ind w:left="1"/>
                          <w:rPr>
                            <w:rFonts w:ascii="Calibri"/>
                            <w:sz w:val="7"/>
                          </w:rPr>
                        </w:pPr>
                        <w:r>
                          <w:rPr>
                            <w:rFonts w:ascii="Calibri"/>
                            <w:sz w:val="7"/>
                          </w:rPr>
                          <w:t>0.66</w:t>
                        </w:r>
                      </w:p>
                    </w:tc>
                  </w:tr>
                  <w:tr>
                    <w:trPr>
                      <w:trHeight w:val="90" w:hRule="exact"/>
                    </w:trPr>
                    <w:tc>
                      <w:tcPr>
                        <w:tcW w:w="319" w:type="dxa"/>
                        <w:vMerge/>
                        <w:tcBorders>
                          <w:left w:val="single" w:sz="2" w:space="0" w:color="000000"/>
                        </w:tcBorders>
                      </w:tcPr>
                      <w:p>
                        <w:pPr/>
                      </w:p>
                    </w:tc>
                    <w:tc>
                      <w:tcPr>
                        <w:tcW w:w="1026" w:type="dxa"/>
                        <w:vMerge/>
                      </w:tcPr>
                      <w:p>
                        <w:pPr/>
                      </w:p>
                    </w:tc>
                    <w:tc>
                      <w:tcPr>
                        <w:tcW w:w="1134" w:type="dxa"/>
                        <w:vMerge/>
                      </w:tcPr>
                      <w:p>
                        <w:pPr/>
                      </w:p>
                    </w:tc>
                    <w:tc>
                      <w:tcPr>
                        <w:tcW w:w="759" w:type="dxa"/>
                        <w:tcBorders>
                          <w:top w:val="single" w:sz="2" w:space="0" w:color="FFFFFF"/>
                          <w:right w:val="single" w:sz="2" w:space="0" w:color="000000"/>
                        </w:tcBorders>
                        <w:shd w:val="clear" w:color="auto" w:fill="F79646"/>
                      </w:tcPr>
                      <w:p>
                        <w:pPr>
                          <w:pStyle w:val="TableParagraph"/>
                          <w:spacing w:line="80" w:lineRule="exact"/>
                          <w:ind w:left="12"/>
                          <w:rPr>
                            <w:rFonts w:ascii="Calibri"/>
                            <w:sz w:val="7"/>
                          </w:rPr>
                        </w:pPr>
                        <w:r>
                          <w:rPr>
                            <w:rFonts w:ascii="Calibri"/>
                            <w:w w:val="99"/>
                            <w:sz w:val="7"/>
                          </w:rPr>
                          <w:t>2</w:t>
                        </w:r>
                      </w:p>
                    </w:tc>
                    <w:tc>
                      <w:tcPr>
                        <w:tcW w:w="43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3" w:right="2"/>
                          <w:rPr>
                            <w:rFonts w:ascii="Calibri"/>
                            <w:sz w:val="7"/>
                          </w:rPr>
                        </w:pPr>
                        <w:r>
                          <w:rPr>
                            <w:rFonts w:ascii="Calibri"/>
                            <w:sz w:val="7"/>
                          </w:rPr>
                          <w:t>0.91</w:t>
                        </w:r>
                      </w:p>
                    </w:tc>
                    <w:tc>
                      <w:tcPr>
                        <w:tcW w:w="657" w:type="dxa"/>
                        <w:tcBorders>
                          <w:top w:val="single" w:sz="2" w:space="0" w:color="FFFFFF"/>
                          <w:left w:val="single" w:sz="2" w:space="0" w:color="000000"/>
                          <w:right w:val="single" w:sz="2" w:space="0" w:color="000000"/>
                        </w:tcBorders>
                        <w:shd w:val="clear" w:color="auto" w:fill="F79646"/>
                      </w:tcPr>
                      <w:p>
                        <w:pPr>
                          <w:pStyle w:val="TableParagraph"/>
                          <w:spacing w:line="80" w:lineRule="exact"/>
                          <w:rPr>
                            <w:rFonts w:ascii="Calibri"/>
                            <w:sz w:val="7"/>
                          </w:rPr>
                        </w:pPr>
                        <w:r>
                          <w:rPr>
                            <w:rFonts w:ascii="Calibri"/>
                            <w:w w:val="99"/>
                            <w:sz w:val="7"/>
                          </w:rPr>
                          <w:t>2</w:t>
                        </w:r>
                      </w:p>
                    </w:tc>
                    <w:tc>
                      <w:tcPr>
                        <w:tcW w:w="593"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2" w:right="1"/>
                          <w:rPr>
                            <w:rFonts w:ascii="Calibri"/>
                            <w:sz w:val="7"/>
                          </w:rPr>
                        </w:pPr>
                        <w:r>
                          <w:rPr>
                            <w:rFonts w:ascii="Calibri"/>
                            <w:sz w:val="7"/>
                          </w:rPr>
                          <w:t>1.41</w:t>
                        </w:r>
                      </w:p>
                    </w:tc>
                    <w:tc>
                      <w:tcPr>
                        <w:tcW w:w="791"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303" w:right="302"/>
                          <w:rPr>
                            <w:rFonts w:ascii="Calibri"/>
                            <w:sz w:val="7"/>
                          </w:rPr>
                        </w:pPr>
                        <w:r>
                          <w:rPr>
                            <w:rFonts w:ascii="Calibri"/>
                            <w:sz w:val="7"/>
                          </w:rPr>
                          <w:t>1.16</w:t>
                        </w:r>
                      </w:p>
                    </w:tc>
                    <w:tc>
                      <w:tcPr>
                        <w:tcW w:w="756"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286" w:right="285"/>
                          <w:rPr>
                            <w:rFonts w:ascii="Calibri"/>
                            <w:sz w:val="7"/>
                          </w:rPr>
                        </w:pPr>
                        <w:r>
                          <w:rPr>
                            <w:rFonts w:ascii="Calibri"/>
                            <w:sz w:val="7"/>
                          </w:rPr>
                          <w:t>1.16</w:t>
                        </w:r>
                      </w:p>
                    </w:tc>
                    <w:tc>
                      <w:tcPr>
                        <w:tcW w:w="802"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2" w:right="1"/>
                          <w:rPr>
                            <w:rFonts w:ascii="Calibri"/>
                            <w:sz w:val="7"/>
                          </w:rPr>
                        </w:pPr>
                        <w:r>
                          <w:rPr>
                            <w:rFonts w:ascii="Calibri"/>
                            <w:sz w:val="7"/>
                          </w:rPr>
                          <w:t>1.41</w:t>
                        </w:r>
                      </w:p>
                    </w:tc>
                    <w:tc>
                      <w:tcPr>
                        <w:tcW w:w="86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4" w:right="3"/>
                          <w:rPr>
                            <w:rFonts w:ascii="Calibri"/>
                            <w:sz w:val="7"/>
                          </w:rPr>
                        </w:pPr>
                        <w:r>
                          <w:rPr>
                            <w:rFonts w:ascii="Calibri"/>
                            <w:sz w:val="7"/>
                          </w:rPr>
                          <w:t>1.41</w:t>
                        </w:r>
                      </w:p>
                    </w:tc>
                    <w:tc>
                      <w:tcPr>
                        <w:tcW w:w="700" w:type="dxa"/>
                        <w:tcBorders>
                          <w:top w:val="single" w:sz="2" w:space="0" w:color="FFFFFF"/>
                          <w:left w:val="single" w:sz="2" w:space="0" w:color="000000"/>
                          <w:right w:val="single" w:sz="5" w:space="0" w:color="000000"/>
                        </w:tcBorders>
                        <w:shd w:val="clear" w:color="auto" w:fill="F79646"/>
                      </w:tcPr>
                      <w:p>
                        <w:pPr>
                          <w:pStyle w:val="TableParagraph"/>
                          <w:spacing w:line="80" w:lineRule="exact"/>
                          <w:ind w:left="1"/>
                          <w:rPr>
                            <w:rFonts w:ascii="Calibri"/>
                            <w:sz w:val="7"/>
                          </w:rPr>
                        </w:pPr>
                        <w:r>
                          <w:rPr>
                            <w:rFonts w:ascii="Calibri"/>
                            <w:sz w:val="7"/>
                          </w:rPr>
                          <w:t>1.16</w:t>
                        </w:r>
                      </w:p>
                    </w:tc>
                  </w:tr>
                  <w:tr>
                    <w:trPr>
                      <w:trHeight w:val="81" w:hRule="exact"/>
                    </w:trPr>
                    <w:tc>
                      <w:tcPr>
                        <w:tcW w:w="3238" w:type="dxa"/>
                        <w:gridSpan w:val="4"/>
                        <w:tcBorders>
                          <w:left w:val="single" w:sz="2" w:space="0" w:color="000000"/>
                          <w:right w:val="single" w:sz="2" w:space="0" w:color="000000"/>
                        </w:tcBorders>
                      </w:tcPr>
                      <w:p>
                        <w:pPr/>
                      </w:p>
                    </w:tc>
                    <w:tc>
                      <w:tcPr>
                        <w:tcW w:w="430" w:type="dxa"/>
                        <w:tcBorders>
                          <w:left w:val="single" w:sz="2" w:space="0" w:color="000000"/>
                          <w:right w:val="single" w:sz="2" w:space="0" w:color="000000"/>
                        </w:tcBorders>
                      </w:tcPr>
                      <w:p>
                        <w:pPr/>
                      </w:p>
                    </w:tc>
                    <w:tc>
                      <w:tcPr>
                        <w:tcW w:w="657" w:type="dxa"/>
                        <w:tcBorders>
                          <w:left w:val="single" w:sz="2" w:space="0" w:color="000000"/>
                          <w:right w:val="single" w:sz="2" w:space="0" w:color="000000"/>
                        </w:tcBorders>
                      </w:tcPr>
                      <w:p>
                        <w:pPr/>
                      </w:p>
                    </w:tc>
                    <w:tc>
                      <w:tcPr>
                        <w:tcW w:w="593" w:type="dxa"/>
                        <w:tcBorders>
                          <w:left w:val="single" w:sz="2" w:space="0" w:color="000000"/>
                          <w:right w:val="single" w:sz="2" w:space="0" w:color="000000"/>
                        </w:tcBorders>
                      </w:tcPr>
                      <w:p>
                        <w:pPr/>
                      </w:p>
                    </w:tc>
                    <w:tc>
                      <w:tcPr>
                        <w:tcW w:w="791" w:type="dxa"/>
                        <w:tcBorders>
                          <w:left w:val="single" w:sz="2" w:space="0" w:color="000000"/>
                          <w:right w:val="single" w:sz="2" w:space="0" w:color="000000"/>
                        </w:tcBorders>
                      </w:tcPr>
                      <w:p>
                        <w:pPr/>
                      </w:p>
                    </w:tc>
                    <w:tc>
                      <w:tcPr>
                        <w:tcW w:w="756" w:type="dxa"/>
                        <w:tcBorders>
                          <w:left w:val="single" w:sz="2" w:space="0" w:color="000000"/>
                          <w:right w:val="single" w:sz="2" w:space="0" w:color="000000"/>
                        </w:tcBorders>
                      </w:tcPr>
                      <w:p>
                        <w:pPr/>
                      </w:p>
                    </w:tc>
                    <w:tc>
                      <w:tcPr>
                        <w:tcW w:w="802" w:type="dxa"/>
                        <w:tcBorders>
                          <w:left w:val="single" w:sz="2" w:space="0" w:color="000000"/>
                          <w:right w:val="single" w:sz="2" w:space="0" w:color="000000"/>
                        </w:tcBorders>
                      </w:tcPr>
                      <w:p>
                        <w:pPr/>
                      </w:p>
                    </w:tc>
                    <w:tc>
                      <w:tcPr>
                        <w:tcW w:w="860" w:type="dxa"/>
                        <w:tcBorders>
                          <w:left w:val="single" w:sz="2" w:space="0" w:color="000000"/>
                          <w:right w:val="single" w:sz="2" w:space="0" w:color="000000"/>
                        </w:tcBorders>
                      </w:tcPr>
                      <w:p>
                        <w:pPr/>
                      </w:p>
                    </w:tc>
                    <w:tc>
                      <w:tcPr>
                        <w:tcW w:w="700" w:type="dxa"/>
                        <w:tcBorders>
                          <w:left w:val="single" w:sz="2" w:space="0" w:color="000000"/>
                          <w:right w:val="single" w:sz="5" w:space="0" w:color="000000"/>
                        </w:tcBorders>
                      </w:tcPr>
                      <w:p>
                        <w:pPr/>
                      </w:p>
                    </w:tc>
                  </w:tr>
                  <w:tr>
                    <w:trPr>
                      <w:trHeight w:val="91" w:hRule="exact"/>
                    </w:trPr>
                    <w:tc>
                      <w:tcPr>
                        <w:tcW w:w="319" w:type="dxa"/>
                        <w:vMerge w:val="restart"/>
                        <w:tcBorders>
                          <w:left w:val="single" w:sz="2" w:space="0" w:color="000000"/>
                        </w:tcBorders>
                      </w:tcPr>
                      <w:p>
                        <w:pPr/>
                      </w:p>
                    </w:tc>
                    <w:tc>
                      <w:tcPr>
                        <w:tcW w:w="1026" w:type="dxa"/>
                        <w:vMerge w:val="restart"/>
                      </w:tcPr>
                      <w:p>
                        <w:pPr>
                          <w:pStyle w:val="TableParagraph"/>
                          <w:spacing w:before="41"/>
                          <w:ind w:left="44"/>
                          <w:jc w:val="left"/>
                          <w:rPr>
                            <w:rFonts w:ascii="Calibri"/>
                            <w:sz w:val="7"/>
                          </w:rPr>
                        </w:pPr>
                        <w:r>
                          <w:rPr>
                            <w:rFonts w:ascii="Calibri"/>
                            <w:sz w:val="7"/>
                          </w:rPr>
                          <w:t>Equipamiento desarrollado</w:t>
                        </w:r>
                      </w:p>
                    </w:tc>
                    <w:tc>
                      <w:tcPr>
                        <w:tcW w:w="1134" w:type="dxa"/>
                        <w:vMerge w:val="restart"/>
                      </w:tcPr>
                      <w:p>
                        <w:pPr>
                          <w:pStyle w:val="TableParagraph"/>
                          <w:ind w:left="186" w:right="646"/>
                          <w:jc w:val="left"/>
                          <w:rPr>
                            <w:rFonts w:ascii="Calibri"/>
                            <w:sz w:val="7"/>
                          </w:rPr>
                        </w:pPr>
                        <w:r>
                          <w:rPr>
                            <w:rFonts w:ascii="Calibri"/>
                            <w:sz w:val="7"/>
                          </w:rPr>
                          <w:t>Municipal Estatal</w:t>
                        </w:r>
                      </w:p>
                      <w:p>
                        <w:pPr>
                          <w:pStyle w:val="TableParagraph"/>
                          <w:spacing w:before="1"/>
                          <w:ind w:left="535" w:right="279"/>
                          <w:jc w:val="left"/>
                          <w:rPr>
                            <w:rFonts w:ascii="Calibri"/>
                            <w:sz w:val="7"/>
                          </w:rPr>
                        </w:pPr>
                        <w:r>
                          <w:rPr>
                            <w:rFonts w:ascii="Calibri"/>
                            <w:sz w:val="7"/>
                          </w:rPr>
                          <w:t>Subtotal</w:t>
                        </w:r>
                      </w:p>
                    </w:tc>
                    <w:tc>
                      <w:tcPr>
                        <w:tcW w:w="759" w:type="dxa"/>
                        <w:tcBorders>
                          <w:right w:val="single" w:sz="2" w:space="0" w:color="000000"/>
                        </w:tcBorders>
                        <w:shd w:val="clear" w:color="auto" w:fill="BAF9F5"/>
                      </w:tcPr>
                      <w:p>
                        <w:pPr>
                          <w:pStyle w:val="TableParagraph"/>
                          <w:ind w:left="78" w:right="72"/>
                          <w:rPr>
                            <w:rFonts w:ascii="Calibri"/>
                            <w:sz w:val="7"/>
                          </w:rPr>
                        </w:pPr>
                        <w:r>
                          <w:rPr>
                            <w:rFonts w:ascii="Calibri"/>
                            <w:sz w:val="7"/>
                          </w:rPr>
                          <w:t>0.8</w:t>
                        </w:r>
                      </w:p>
                    </w:tc>
                    <w:tc>
                      <w:tcPr>
                        <w:tcW w:w="430" w:type="dxa"/>
                        <w:tcBorders>
                          <w:left w:val="single" w:sz="2" w:space="0" w:color="000000"/>
                          <w:right w:val="single" w:sz="2" w:space="0" w:color="000000"/>
                        </w:tcBorders>
                        <w:shd w:val="clear" w:color="auto" w:fill="BAF9F5"/>
                      </w:tcPr>
                      <w:p>
                        <w:pPr>
                          <w:pStyle w:val="TableParagraph"/>
                          <w:ind w:left="3" w:right="2"/>
                          <w:rPr>
                            <w:rFonts w:ascii="Calibri"/>
                            <w:sz w:val="7"/>
                          </w:rPr>
                        </w:pPr>
                        <w:r>
                          <w:rPr>
                            <w:rFonts w:ascii="Calibri"/>
                            <w:sz w:val="7"/>
                          </w:rPr>
                          <w:t>0.6</w:t>
                        </w:r>
                      </w:p>
                    </w:tc>
                    <w:tc>
                      <w:tcPr>
                        <w:tcW w:w="657" w:type="dxa"/>
                        <w:tcBorders>
                          <w:left w:val="single" w:sz="2" w:space="0" w:color="000000"/>
                          <w:right w:val="single" w:sz="2" w:space="0" w:color="000000"/>
                        </w:tcBorders>
                        <w:shd w:val="clear" w:color="auto" w:fill="BAF9F5"/>
                      </w:tcPr>
                      <w:p>
                        <w:pPr>
                          <w:pStyle w:val="TableParagraph"/>
                          <w:ind w:right="2"/>
                          <w:rPr>
                            <w:rFonts w:ascii="Calibri"/>
                            <w:sz w:val="7"/>
                          </w:rPr>
                        </w:pPr>
                        <w:r>
                          <w:rPr>
                            <w:rFonts w:ascii="Calibri"/>
                            <w:sz w:val="7"/>
                          </w:rPr>
                          <w:t>0.8</w:t>
                        </w:r>
                      </w:p>
                    </w:tc>
                    <w:tc>
                      <w:tcPr>
                        <w:tcW w:w="593" w:type="dxa"/>
                        <w:tcBorders>
                          <w:left w:val="single" w:sz="2" w:space="0" w:color="000000"/>
                          <w:right w:val="single" w:sz="2" w:space="0" w:color="000000"/>
                        </w:tcBorders>
                        <w:shd w:val="clear" w:color="auto" w:fill="BAF9F5"/>
                      </w:tcPr>
                      <w:p>
                        <w:pPr>
                          <w:pStyle w:val="TableParagraph"/>
                          <w:ind w:left="2" w:right="1"/>
                          <w:rPr>
                            <w:rFonts w:ascii="Calibri"/>
                            <w:sz w:val="7"/>
                          </w:rPr>
                        </w:pPr>
                        <w:r>
                          <w:rPr>
                            <w:rFonts w:ascii="Calibri"/>
                            <w:sz w:val="7"/>
                          </w:rPr>
                          <w:t>0.6</w:t>
                        </w:r>
                      </w:p>
                    </w:tc>
                    <w:tc>
                      <w:tcPr>
                        <w:tcW w:w="791" w:type="dxa"/>
                        <w:tcBorders>
                          <w:left w:val="single" w:sz="2" w:space="0" w:color="000000"/>
                          <w:right w:val="single" w:sz="2" w:space="0" w:color="000000"/>
                        </w:tcBorders>
                        <w:shd w:val="clear" w:color="auto" w:fill="BAF9F5"/>
                      </w:tcPr>
                      <w:p>
                        <w:pPr>
                          <w:pStyle w:val="TableParagraph"/>
                          <w:ind w:left="303" w:right="302"/>
                          <w:rPr>
                            <w:rFonts w:ascii="Calibri"/>
                            <w:sz w:val="7"/>
                          </w:rPr>
                        </w:pPr>
                        <w:r>
                          <w:rPr>
                            <w:rFonts w:ascii="Calibri"/>
                            <w:sz w:val="7"/>
                          </w:rPr>
                          <w:t>0.2</w:t>
                        </w:r>
                      </w:p>
                    </w:tc>
                    <w:tc>
                      <w:tcPr>
                        <w:tcW w:w="756" w:type="dxa"/>
                        <w:tcBorders>
                          <w:left w:val="single" w:sz="2" w:space="0" w:color="000000"/>
                          <w:right w:val="single" w:sz="2" w:space="0" w:color="000000"/>
                        </w:tcBorders>
                        <w:shd w:val="clear" w:color="auto" w:fill="BAF9F5"/>
                      </w:tcPr>
                      <w:p>
                        <w:pPr>
                          <w:pStyle w:val="TableParagraph"/>
                          <w:ind w:left="286" w:right="285"/>
                          <w:rPr>
                            <w:rFonts w:ascii="Calibri"/>
                            <w:sz w:val="7"/>
                          </w:rPr>
                        </w:pPr>
                        <w:r>
                          <w:rPr>
                            <w:rFonts w:ascii="Calibri"/>
                            <w:sz w:val="7"/>
                          </w:rPr>
                          <w:t>0.6</w:t>
                        </w:r>
                      </w:p>
                    </w:tc>
                    <w:tc>
                      <w:tcPr>
                        <w:tcW w:w="802" w:type="dxa"/>
                        <w:tcBorders>
                          <w:left w:val="single" w:sz="2" w:space="0" w:color="000000"/>
                          <w:right w:val="single" w:sz="2" w:space="0" w:color="000000"/>
                        </w:tcBorders>
                        <w:shd w:val="clear" w:color="auto" w:fill="BAF9F5"/>
                      </w:tcPr>
                      <w:p>
                        <w:pPr>
                          <w:pStyle w:val="TableParagraph"/>
                          <w:ind w:left="2" w:right="1"/>
                          <w:rPr>
                            <w:rFonts w:ascii="Calibri"/>
                            <w:sz w:val="7"/>
                          </w:rPr>
                        </w:pPr>
                        <w:r>
                          <w:rPr>
                            <w:rFonts w:ascii="Calibri"/>
                            <w:sz w:val="7"/>
                          </w:rPr>
                          <w:t>0.8</w:t>
                        </w:r>
                      </w:p>
                    </w:tc>
                    <w:tc>
                      <w:tcPr>
                        <w:tcW w:w="860" w:type="dxa"/>
                        <w:tcBorders>
                          <w:left w:val="single" w:sz="2" w:space="0" w:color="000000"/>
                          <w:right w:val="single" w:sz="2" w:space="0" w:color="000000"/>
                        </w:tcBorders>
                        <w:shd w:val="clear" w:color="auto" w:fill="BAF9F5"/>
                      </w:tcPr>
                      <w:p>
                        <w:pPr>
                          <w:pStyle w:val="TableParagraph"/>
                          <w:ind w:left="4" w:right="3"/>
                          <w:rPr>
                            <w:rFonts w:ascii="Calibri"/>
                            <w:sz w:val="7"/>
                          </w:rPr>
                        </w:pPr>
                        <w:r>
                          <w:rPr>
                            <w:rFonts w:ascii="Calibri"/>
                            <w:sz w:val="7"/>
                          </w:rPr>
                          <w:t>0.8</w:t>
                        </w:r>
                      </w:p>
                    </w:tc>
                    <w:tc>
                      <w:tcPr>
                        <w:tcW w:w="700" w:type="dxa"/>
                        <w:tcBorders>
                          <w:left w:val="single" w:sz="2" w:space="0" w:color="000000"/>
                          <w:right w:val="single" w:sz="5" w:space="0" w:color="000000"/>
                        </w:tcBorders>
                        <w:shd w:val="clear" w:color="auto" w:fill="BAF9F5"/>
                      </w:tcPr>
                      <w:p>
                        <w:pPr>
                          <w:pStyle w:val="TableParagraph"/>
                          <w:ind w:left="1"/>
                          <w:rPr>
                            <w:rFonts w:ascii="Calibri"/>
                            <w:sz w:val="7"/>
                          </w:rPr>
                        </w:pPr>
                        <w:r>
                          <w:rPr>
                            <w:rFonts w:ascii="Calibri"/>
                            <w:sz w:val="7"/>
                          </w:rPr>
                          <w:t>0.8</w:t>
                        </w:r>
                      </w:p>
                    </w:tc>
                  </w:tr>
                  <w:tr>
                    <w:trPr>
                      <w:trHeight w:val="86" w:hRule="exact"/>
                    </w:trPr>
                    <w:tc>
                      <w:tcPr>
                        <w:tcW w:w="319" w:type="dxa"/>
                        <w:vMerge/>
                        <w:tcBorders>
                          <w:left w:val="single" w:sz="2" w:space="0" w:color="000000"/>
                        </w:tcBorders>
                      </w:tcPr>
                      <w:p>
                        <w:pPr/>
                      </w:p>
                    </w:tc>
                    <w:tc>
                      <w:tcPr>
                        <w:tcW w:w="1026" w:type="dxa"/>
                        <w:vMerge/>
                      </w:tcPr>
                      <w:p>
                        <w:pPr/>
                      </w:p>
                    </w:tc>
                    <w:tc>
                      <w:tcPr>
                        <w:tcW w:w="1134" w:type="dxa"/>
                        <w:vMerge/>
                      </w:tcPr>
                      <w:p>
                        <w:pPr/>
                      </w:p>
                    </w:tc>
                    <w:tc>
                      <w:tcPr>
                        <w:tcW w:w="759" w:type="dxa"/>
                        <w:tcBorders>
                          <w:bottom w:val="single" w:sz="2" w:space="0" w:color="FFFFFF"/>
                          <w:right w:val="single" w:sz="2" w:space="0" w:color="000000"/>
                        </w:tcBorders>
                        <w:shd w:val="clear" w:color="auto" w:fill="BAF9F5"/>
                      </w:tcPr>
                      <w:p>
                        <w:pPr>
                          <w:pStyle w:val="TableParagraph"/>
                          <w:spacing w:line="82" w:lineRule="exact"/>
                          <w:ind w:left="78" w:right="72"/>
                          <w:rPr>
                            <w:rFonts w:ascii="Calibri"/>
                            <w:sz w:val="7"/>
                          </w:rPr>
                        </w:pPr>
                        <w:r>
                          <w:rPr>
                            <w:rFonts w:ascii="Calibri"/>
                            <w:sz w:val="7"/>
                          </w:rPr>
                          <w:t>0.2</w:t>
                        </w:r>
                      </w:p>
                    </w:tc>
                    <w:tc>
                      <w:tcPr>
                        <w:tcW w:w="43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3" w:right="2"/>
                          <w:rPr>
                            <w:rFonts w:ascii="Calibri"/>
                            <w:sz w:val="7"/>
                          </w:rPr>
                        </w:pPr>
                        <w:r>
                          <w:rPr>
                            <w:rFonts w:ascii="Calibri"/>
                            <w:sz w:val="7"/>
                          </w:rPr>
                          <w:t>0.2</w:t>
                        </w:r>
                      </w:p>
                    </w:tc>
                    <w:tc>
                      <w:tcPr>
                        <w:tcW w:w="657"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right="2"/>
                          <w:rPr>
                            <w:rFonts w:ascii="Calibri"/>
                            <w:sz w:val="7"/>
                          </w:rPr>
                        </w:pPr>
                        <w:r>
                          <w:rPr>
                            <w:rFonts w:ascii="Calibri"/>
                            <w:sz w:val="7"/>
                          </w:rPr>
                          <w:t>0.2</w:t>
                        </w:r>
                      </w:p>
                    </w:tc>
                    <w:tc>
                      <w:tcPr>
                        <w:tcW w:w="593"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0.4</w:t>
                        </w:r>
                      </w:p>
                    </w:tc>
                    <w:tc>
                      <w:tcPr>
                        <w:tcW w:w="791"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56"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286" w:right="285"/>
                          <w:rPr>
                            <w:rFonts w:ascii="Calibri"/>
                            <w:sz w:val="7"/>
                          </w:rPr>
                        </w:pPr>
                        <w:r>
                          <w:rPr>
                            <w:rFonts w:ascii="Calibri"/>
                            <w:sz w:val="7"/>
                          </w:rPr>
                          <w:t>0.4</w:t>
                        </w:r>
                      </w:p>
                    </w:tc>
                    <w:tc>
                      <w:tcPr>
                        <w:tcW w:w="802"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0.2</w:t>
                        </w:r>
                      </w:p>
                    </w:tc>
                    <w:tc>
                      <w:tcPr>
                        <w:tcW w:w="86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4" w:right="3"/>
                          <w:rPr>
                            <w:rFonts w:ascii="Calibri"/>
                            <w:sz w:val="7"/>
                          </w:rPr>
                        </w:pPr>
                        <w:r>
                          <w:rPr>
                            <w:rFonts w:ascii="Calibri"/>
                            <w:sz w:val="7"/>
                          </w:rPr>
                          <w:t>0.2</w:t>
                        </w:r>
                      </w:p>
                    </w:tc>
                    <w:tc>
                      <w:tcPr>
                        <w:tcW w:w="700" w:type="dxa"/>
                        <w:tcBorders>
                          <w:left w:val="single" w:sz="2" w:space="0" w:color="000000"/>
                          <w:bottom w:val="single" w:sz="2" w:space="0" w:color="FFFFFF"/>
                          <w:right w:val="single" w:sz="5" w:space="0" w:color="000000"/>
                        </w:tcBorders>
                        <w:shd w:val="clear" w:color="auto" w:fill="BAF9F5"/>
                      </w:tcPr>
                      <w:p>
                        <w:pPr>
                          <w:pStyle w:val="TableParagraph"/>
                          <w:spacing w:line="82" w:lineRule="exact"/>
                          <w:ind w:left="1"/>
                          <w:rPr>
                            <w:rFonts w:ascii="Calibri"/>
                            <w:sz w:val="7"/>
                          </w:rPr>
                        </w:pPr>
                        <w:r>
                          <w:rPr>
                            <w:rFonts w:ascii="Calibri"/>
                            <w:sz w:val="7"/>
                          </w:rPr>
                          <w:t>0.4</w:t>
                        </w:r>
                      </w:p>
                    </w:tc>
                  </w:tr>
                  <w:tr>
                    <w:trPr>
                      <w:trHeight w:val="90" w:hRule="exact"/>
                    </w:trPr>
                    <w:tc>
                      <w:tcPr>
                        <w:tcW w:w="319" w:type="dxa"/>
                        <w:vMerge/>
                        <w:tcBorders>
                          <w:left w:val="single" w:sz="2" w:space="0" w:color="000000"/>
                        </w:tcBorders>
                      </w:tcPr>
                      <w:p>
                        <w:pPr/>
                      </w:p>
                    </w:tc>
                    <w:tc>
                      <w:tcPr>
                        <w:tcW w:w="1026" w:type="dxa"/>
                        <w:vMerge/>
                      </w:tcPr>
                      <w:p>
                        <w:pPr/>
                      </w:p>
                    </w:tc>
                    <w:tc>
                      <w:tcPr>
                        <w:tcW w:w="1134" w:type="dxa"/>
                        <w:vMerge/>
                      </w:tcPr>
                      <w:p>
                        <w:pPr/>
                      </w:p>
                    </w:tc>
                    <w:tc>
                      <w:tcPr>
                        <w:tcW w:w="759" w:type="dxa"/>
                        <w:tcBorders>
                          <w:top w:val="single" w:sz="2" w:space="0" w:color="FFFFFF"/>
                          <w:right w:val="single" w:sz="2" w:space="0" w:color="000000"/>
                        </w:tcBorders>
                        <w:shd w:val="clear" w:color="auto" w:fill="F79646"/>
                      </w:tcPr>
                      <w:p>
                        <w:pPr>
                          <w:pStyle w:val="TableParagraph"/>
                          <w:spacing w:line="80" w:lineRule="exact"/>
                          <w:ind w:left="12"/>
                          <w:rPr>
                            <w:rFonts w:ascii="Calibri"/>
                            <w:sz w:val="7"/>
                          </w:rPr>
                        </w:pPr>
                        <w:r>
                          <w:rPr>
                            <w:rFonts w:ascii="Calibri"/>
                            <w:w w:val="99"/>
                            <w:sz w:val="7"/>
                          </w:rPr>
                          <w:t>1</w:t>
                        </w:r>
                      </w:p>
                    </w:tc>
                    <w:tc>
                      <w:tcPr>
                        <w:tcW w:w="43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3" w:right="2"/>
                          <w:rPr>
                            <w:rFonts w:ascii="Calibri"/>
                            <w:sz w:val="7"/>
                          </w:rPr>
                        </w:pPr>
                        <w:r>
                          <w:rPr>
                            <w:rFonts w:ascii="Calibri"/>
                            <w:sz w:val="7"/>
                          </w:rPr>
                          <w:t>0.8</w:t>
                        </w:r>
                      </w:p>
                    </w:tc>
                    <w:tc>
                      <w:tcPr>
                        <w:tcW w:w="657" w:type="dxa"/>
                        <w:tcBorders>
                          <w:top w:val="single" w:sz="2" w:space="0" w:color="FFFFFF"/>
                          <w:left w:val="single" w:sz="2" w:space="0" w:color="000000"/>
                          <w:right w:val="single" w:sz="2" w:space="0" w:color="000000"/>
                        </w:tcBorders>
                        <w:shd w:val="clear" w:color="auto" w:fill="F79646"/>
                      </w:tcPr>
                      <w:p>
                        <w:pPr>
                          <w:pStyle w:val="TableParagraph"/>
                          <w:spacing w:line="80" w:lineRule="exact"/>
                          <w:rPr>
                            <w:rFonts w:ascii="Calibri"/>
                            <w:sz w:val="7"/>
                          </w:rPr>
                        </w:pPr>
                        <w:r>
                          <w:rPr>
                            <w:rFonts w:ascii="Calibri"/>
                            <w:w w:val="99"/>
                            <w:sz w:val="7"/>
                          </w:rPr>
                          <w:t>1</w:t>
                        </w:r>
                      </w:p>
                    </w:tc>
                    <w:tc>
                      <w:tcPr>
                        <w:tcW w:w="593"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1</w:t>
                        </w:r>
                      </w:p>
                    </w:tc>
                    <w:tc>
                      <w:tcPr>
                        <w:tcW w:w="791"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303" w:right="302"/>
                          <w:rPr>
                            <w:rFonts w:ascii="Calibri"/>
                            <w:sz w:val="7"/>
                          </w:rPr>
                        </w:pPr>
                        <w:r>
                          <w:rPr>
                            <w:rFonts w:ascii="Calibri"/>
                            <w:sz w:val="7"/>
                          </w:rPr>
                          <w:t>0.2</w:t>
                        </w:r>
                      </w:p>
                    </w:tc>
                    <w:tc>
                      <w:tcPr>
                        <w:tcW w:w="756"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1</w:t>
                        </w:r>
                      </w:p>
                    </w:tc>
                    <w:tc>
                      <w:tcPr>
                        <w:tcW w:w="802"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1</w:t>
                        </w:r>
                      </w:p>
                    </w:tc>
                    <w:tc>
                      <w:tcPr>
                        <w:tcW w:w="86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6"/>
                          <w:rPr>
                            <w:rFonts w:ascii="Calibri"/>
                            <w:sz w:val="7"/>
                          </w:rPr>
                        </w:pPr>
                        <w:r>
                          <w:rPr>
                            <w:rFonts w:ascii="Calibri"/>
                            <w:w w:val="99"/>
                            <w:sz w:val="7"/>
                          </w:rPr>
                          <w:t>1</w:t>
                        </w:r>
                      </w:p>
                    </w:tc>
                    <w:tc>
                      <w:tcPr>
                        <w:tcW w:w="700" w:type="dxa"/>
                        <w:tcBorders>
                          <w:top w:val="single" w:sz="2" w:space="0" w:color="FFFFFF"/>
                          <w:left w:val="single" w:sz="2" w:space="0" w:color="000000"/>
                          <w:right w:val="single" w:sz="5" w:space="0" w:color="000000"/>
                        </w:tcBorders>
                        <w:shd w:val="clear" w:color="auto" w:fill="F79646"/>
                      </w:tcPr>
                      <w:p>
                        <w:pPr>
                          <w:pStyle w:val="TableParagraph"/>
                          <w:spacing w:line="80" w:lineRule="exact"/>
                          <w:ind w:left="1"/>
                          <w:rPr>
                            <w:rFonts w:ascii="Calibri"/>
                            <w:sz w:val="7"/>
                          </w:rPr>
                        </w:pPr>
                        <w:r>
                          <w:rPr>
                            <w:rFonts w:ascii="Calibri"/>
                            <w:sz w:val="7"/>
                          </w:rPr>
                          <w:t>1.2</w:t>
                        </w:r>
                      </w:p>
                    </w:tc>
                  </w:tr>
                  <w:tr>
                    <w:trPr>
                      <w:trHeight w:val="81" w:hRule="exact"/>
                    </w:trPr>
                    <w:tc>
                      <w:tcPr>
                        <w:tcW w:w="3238" w:type="dxa"/>
                        <w:gridSpan w:val="4"/>
                        <w:tcBorders>
                          <w:left w:val="single" w:sz="2" w:space="0" w:color="000000"/>
                          <w:right w:val="single" w:sz="2" w:space="0" w:color="000000"/>
                        </w:tcBorders>
                      </w:tcPr>
                      <w:p>
                        <w:pPr/>
                      </w:p>
                    </w:tc>
                    <w:tc>
                      <w:tcPr>
                        <w:tcW w:w="430" w:type="dxa"/>
                        <w:tcBorders>
                          <w:left w:val="single" w:sz="2" w:space="0" w:color="000000"/>
                          <w:right w:val="single" w:sz="2" w:space="0" w:color="000000"/>
                        </w:tcBorders>
                      </w:tcPr>
                      <w:p>
                        <w:pPr/>
                      </w:p>
                    </w:tc>
                    <w:tc>
                      <w:tcPr>
                        <w:tcW w:w="657" w:type="dxa"/>
                        <w:tcBorders>
                          <w:left w:val="single" w:sz="2" w:space="0" w:color="000000"/>
                          <w:right w:val="single" w:sz="2" w:space="0" w:color="000000"/>
                        </w:tcBorders>
                      </w:tcPr>
                      <w:p>
                        <w:pPr/>
                      </w:p>
                    </w:tc>
                    <w:tc>
                      <w:tcPr>
                        <w:tcW w:w="593" w:type="dxa"/>
                        <w:tcBorders>
                          <w:left w:val="single" w:sz="2" w:space="0" w:color="000000"/>
                          <w:right w:val="single" w:sz="2" w:space="0" w:color="000000"/>
                        </w:tcBorders>
                      </w:tcPr>
                      <w:p>
                        <w:pPr/>
                      </w:p>
                    </w:tc>
                    <w:tc>
                      <w:tcPr>
                        <w:tcW w:w="791" w:type="dxa"/>
                        <w:tcBorders>
                          <w:left w:val="single" w:sz="2" w:space="0" w:color="000000"/>
                          <w:right w:val="single" w:sz="2" w:space="0" w:color="000000"/>
                        </w:tcBorders>
                      </w:tcPr>
                      <w:p>
                        <w:pPr/>
                      </w:p>
                    </w:tc>
                    <w:tc>
                      <w:tcPr>
                        <w:tcW w:w="756" w:type="dxa"/>
                        <w:tcBorders>
                          <w:left w:val="single" w:sz="2" w:space="0" w:color="000000"/>
                          <w:right w:val="single" w:sz="2" w:space="0" w:color="000000"/>
                        </w:tcBorders>
                      </w:tcPr>
                      <w:p>
                        <w:pPr/>
                      </w:p>
                    </w:tc>
                    <w:tc>
                      <w:tcPr>
                        <w:tcW w:w="802" w:type="dxa"/>
                        <w:tcBorders>
                          <w:left w:val="single" w:sz="2" w:space="0" w:color="000000"/>
                          <w:right w:val="single" w:sz="2" w:space="0" w:color="000000"/>
                        </w:tcBorders>
                      </w:tcPr>
                      <w:p>
                        <w:pPr/>
                      </w:p>
                    </w:tc>
                    <w:tc>
                      <w:tcPr>
                        <w:tcW w:w="860" w:type="dxa"/>
                        <w:tcBorders>
                          <w:left w:val="single" w:sz="2" w:space="0" w:color="000000"/>
                          <w:right w:val="single" w:sz="2" w:space="0" w:color="000000"/>
                        </w:tcBorders>
                      </w:tcPr>
                      <w:p>
                        <w:pPr/>
                      </w:p>
                    </w:tc>
                    <w:tc>
                      <w:tcPr>
                        <w:tcW w:w="700" w:type="dxa"/>
                        <w:tcBorders>
                          <w:left w:val="single" w:sz="2" w:space="0" w:color="000000"/>
                          <w:right w:val="single" w:sz="5" w:space="0" w:color="000000"/>
                        </w:tcBorders>
                      </w:tcPr>
                      <w:p>
                        <w:pPr/>
                      </w:p>
                    </w:tc>
                  </w:tr>
                  <w:tr>
                    <w:trPr>
                      <w:trHeight w:val="91" w:hRule="exact"/>
                    </w:trPr>
                    <w:tc>
                      <w:tcPr>
                        <w:tcW w:w="319" w:type="dxa"/>
                        <w:vMerge w:val="restart"/>
                        <w:tcBorders>
                          <w:left w:val="single" w:sz="2" w:space="0" w:color="000000"/>
                        </w:tcBorders>
                      </w:tcPr>
                      <w:p>
                        <w:pPr/>
                      </w:p>
                    </w:tc>
                    <w:tc>
                      <w:tcPr>
                        <w:tcW w:w="1026" w:type="dxa"/>
                        <w:vMerge w:val="restart"/>
                      </w:tcPr>
                      <w:p>
                        <w:pPr>
                          <w:pStyle w:val="TableParagraph"/>
                          <w:jc w:val="left"/>
                          <w:rPr>
                            <w:sz w:val="6"/>
                          </w:rPr>
                        </w:pPr>
                      </w:p>
                      <w:p>
                        <w:pPr>
                          <w:pStyle w:val="TableParagraph"/>
                          <w:jc w:val="left"/>
                          <w:rPr>
                            <w:sz w:val="6"/>
                          </w:rPr>
                        </w:pPr>
                      </w:p>
                      <w:p>
                        <w:pPr>
                          <w:pStyle w:val="TableParagraph"/>
                          <w:spacing w:before="36"/>
                          <w:ind w:left="44"/>
                          <w:jc w:val="left"/>
                          <w:rPr>
                            <w:rFonts w:ascii="Calibri" w:hAnsi="Calibri"/>
                            <w:sz w:val="7"/>
                          </w:rPr>
                        </w:pPr>
                        <w:r>
                          <w:rPr>
                            <w:rFonts w:ascii="Calibri" w:hAnsi="Calibri"/>
                            <w:sz w:val="7"/>
                          </w:rPr>
                          <w:t>Integración al territorio</w:t>
                        </w:r>
                      </w:p>
                    </w:tc>
                    <w:tc>
                      <w:tcPr>
                        <w:tcW w:w="1134" w:type="dxa"/>
                        <w:vMerge w:val="restart"/>
                      </w:tcPr>
                      <w:p>
                        <w:pPr>
                          <w:pStyle w:val="TableParagraph"/>
                          <w:ind w:left="186"/>
                          <w:jc w:val="left"/>
                          <w:rPr>
                            <w:rFonts w:ascii="Calibri" w:hAnsi="Calibri"/>
                            <w:sz w:val="7"/>
                          </w:rPr>
                        </w:pPr>
                        <w:r>
                          <w:rPr>
                            <w:rFonts w:ascii="Calibri" w:hAnsi="Calibri"/>
                            <w:sz w:val="7"/>
                          </w:rPr>
                          <w:t>Ubicación del conjunto urbano Abierto</w:t>
                        </w:r>
                      </w:p>
                      <w:p>
                        <w:pPr>
                          <w:pStyle w:val="TableParagraph"/>
                          <w:spacing w:before="1"/>
                          <w:ind w:left="186" w:right="429"/>
                          <w:jc w:val="left"/>
                          <w:rPr>
                            <w:rFonts w:ascii="Calibri" w:hAnsi="Calibri"/>
                            <w:sz w:val="7"/>
                          </w:rPr>
                        </w:pPr>
                        <w:r>
                          <w:rPr>
                            <w:rFonts w:ascii="Calibri" w:hAnsi="Calibri"/>
                            <w:sz w:val="7"/>
                          </w:rPr>
                          <w:t>Integración social Protección civil Seguridad</w:t>
                        </w:r>
                      </w:p>
                      <w:p>
                        <w:pPr>
                          <w:pStyle w:val="TableParagraph"/>
                          <w:spacing w:before="1"/>
                          <w:ind w:left="535" w:right="279"/>
                          <w:jc w:val="left"/>
                          <w:rPr>
                            <w:rFonts w:ascii="Calibri"/>
                            <w:sz w:val="7"/>
                          </w:rPr>
                        </w:pPr>
                        <w:r>
                          <w:rPr>
                            <w:rFonts w:ascii="Calibri"/>
                            <w:sz w:val="7"/>
                          </w:rPr>
                          <w:t>Subtotal</w:t>
                        </w:r>
                      </w:p>
                    </w:tc>
                    <w:tc>
                      <w:tcPr>
                        <w:tcW w:w="759" w:type="dxa"/>
                        <w:tcBorders>
                          <w:right w:val="single" w:sz="2" w:space="0" w:color="000000"/>
                        </w:tcBorders>
                        <w:shd w:val="clear" w:color="auto" w:fill="BAF9F5"/>
                      </w:tcPr>
                      <w:p>
                        <w:pPr>
                          <w:pStyle w:val="TableParagraph"/>
                          <w:ind w:left="78" w:right="72"/>
                          <w:rPr>
                            <w:rFonts w:ascii="Calibri"/>
                            <w:sz w:val="7"/>
                          </w:rPr>
                        </w:pPr>
                        <w:r>
                          <w:rPr>
                            <w:rFonts w:ascii="Calibri"/>
                            <w:sz w:val="7"/>
                          </w:rPr>
                          <w:t>0.6</w:t>
                        </w:r>
                      </w:p>
                    </w:tc>
                    <w:tc>
                      <w:tcPr>
                        <w:tcW w:w="430" w:type="dxa"/>
                        <w:tcBorders>
                          <w:left w:val="single" w:sz="2" w:space="0" w:color="000000"/>
                          <w:right w:val="single" w:sz="2" w:space="0" w:color="000000"/>
                        </w:tcBorders>
                        <w:shd w:val="clear" w:color="auto" w:fill="BAF9F5"/>
                      </w:tcPr>
                      <w:p>
                        <w:pPr>
                          <w:pStyle w:val="TableParagraph"/>
                          <w:ind w:left="3" w:right="2"/>
                          <w:rPr>
                            <w:rFonts w:ascii="Calibri"/>
                            <w:sz w:val="7"/>
                          </w:rPr>
                        </w:pPr>
                        <w:r>
                          <w:rPr>
                            <w:rFonts w:ascii="Calibri"/>
                            <w:sz w:val="7"/>
                          </w:rPr>
                          <w:t>0.4</w:t>
                        </w:r>
                      </w:p>
                    </w:tc>
                    <w:tc>
                      <w:tcPr>
                        <w:tcW w:w="657" w:type="dxa"/>
                        <w:tcBorders>
                          <w:left w:val="single" w:sz="2" w:space="0" w:color="000000"/>
                          <w:right w:val="single" w:sz="2" w:space="0" w:color="000000"/>
                        </w:tcBorders>
                        <w:shd w:val="clear" w:color="auto" w:fill="BAF9F5"/>
                      </w:tcPr>
                      <w:p>
                        <w:pPr>
                          <w:pStyle w:val="TableParagraph"/>
                          <w:ind w:right="2"/>
                          <w:rPr>
                            <w:rFonts w:ascii="Calibri"/>
                            <w:sz w:val="7"/>
                          </w:rPr>
                        </w:pPr>
                        <w:r>
                          <w:rPr>
                            <w:rFonts w:ascii="Calibri"/>
                            <w:sz w:val="7"/>
                          </w:rPr>
                          <w:t>0.6</w:t>
                        </w:r>
                      </w:p>
                    </w:tc>
                    <w:tc>
                      <w:tcPr>
                        <w:tcW w:w="593" w:type="dxa"/>
                        <w:tcBorders>
                          <w:left w:val="single" w:sz="2" w:space="0" w:color="000000"/>
                          <w:right w:val="single" w:sz="2" w:space="0" w:color="000000"/>
                        </w:tcBorders>
                        <w:shd w:val="clear" w:color="auto" w:fill="BAF9F5"/>
                      </w:tcPr>
                      <w:p>
                        <w:pPr>
                          <w:pStyle w:val="TableParagraph"/>
                          <w:ind w:left="2" w:right="1"/>
                          <w:rPr>
                            <w:rFonts w:ascii="Calibri"/>
                            <w:sz w:val="7"/>
                          </w:rPr>
                        </w:pPr>
                        <w:r>
                          <w:rPr>
                            <w:rFonts w:ascii="Calibri"/>
                            <w:sz w:val="7"/>
                          </w:rPr>
                          <w:t>0.4</w:t>
                        </w:r>
                      </w:p>
                    </w:tc>
                    <w:tc>
                      <w:tcPr>
                        <w:tcW w:w="791" w:type="dxa"/>
                        <w:tcBorders>
                          <w:left w:val="single" w:sz="2" w:space="0" w:color="000000"/>
                          <w:right w:val="single" w:sz="2" w:space="0" w:color="000000"/>
                        </w:tcBorders>
                        <w:shd w:val="clear" w:color="auto" w:fill="BAF9F5"/>
                      </w:tcPr>
                      <w:p>
                        <w:pPr>
                          <w:pStyle w:val="TableParagraph"/>
                          <w:ind w:left="303" w:right="302"/>
                          <w:rPr>
                            <w:rFonts w:ascii="Calibri"/>
                            <w:sz w:val="7"/>
                          </w:rPr>
                        </w:pPr>
                        <w:r>
                          <w:rPr>
                            <w:rFonts w:ascii="Calibri"/>
                            <w:sz w:val="7"/>
                          </w:rPr>
                          <w:t>0.2</w:t>
                        </w:r>
                      </w:p>
                    </w:tc>
                    <w:tc>
                      <w:tcPr>
                        <w:tcW w:w="756" w:type="dxa"/>
                        <w:tcBorders>
                          <w:left w:val="single" w:sz="2" w:space="0" w:color="000000"/>
                          <w:right w:val="single" w:sz="2" w:space="0" w:color="000000"/>
                        </w:tcBorders>
                        <w:shd w:val="clear" w:color="auto" w:fill="BAF9F5"/>
                      </w:tcPr>
                      <w:p>
                        <w:pPr>
                          <w:pStyle w:val="TableParagraph"/>
                          <w:ind w:left="286" w:right="285"/>
                          <w:rPr>
                            <w:rFonts w:ascii="Calibri"/>
                            <w:sz w:val="7"/>
                          </w:rPr>
                        </w:pPr>
                        <w:r>
                          <w:rPr>
                            <w:rFonts w:ascii="Calibri"/>
                            <w:sz w:val="7"/>
                          </w:rPr>
                          <w:t>0.4</w:t>
                        </w:r>
                      </w:p>
                    </w:tc>
                    <w:tc>
                      <w:tcPr>
                        <w:tcW w:w="802" w:type="dxa"/>
                        <w:tcBorders>
                          <w:left w:val="single" w:sz="2" w:space="0" w:color="000000"/>
                          <w:right w:val="single" w:sz="2" w:space="0" w:color="000000"/>
                        </w:tcBorders>
                        <w:shd w:val="clear" w:color="auto" w:fill="BAF9F5"/>
                      </w:tcPr>
                      <w:p>
                        <w:pPr>
                          <w:pStyle w:val="TableParagraph"/>
                          <w:ind w:left="2" w:right="1"/>
                          <w:rPr>
                            <w:rFonts w:ascii="Calibri"/>
                            <w:sz w:val="7"/>
                          </w:rPr>
                        </w:pPr>
                        <w:r>
                          <w:rPr>
                            <w:rFonts w:ascii="Calibri"/>
                            <w:sz w:val="7"/>
                          </w:rPr>
                          <w:t>0.4</w:t>
                        </w:r>
                      </w:p>
                    </w:tc>
                    <w:tc>
                      <w:tcPr>
                        <w:tcW w:w="860" w:type="dxa"/>
                        <w:tcBorders>
                          <w:left w:val="single" w:sz="2" w:space="0" w:color="000000"/>
                          <w:right w:val="single" w:sz="2" w:space="0" w:color="000000"/>
                        </w:tcBorders>
                        <w:shd w:val="clear" w:color="auto" w:fill="BAF9F5"/>
                      </w:tcPr>
                      <w:p>
                        <w:pPr>
                          <w:pStyle w:val="TableParagraph"/>
                          <w:ind w:left="4" w:right="3"/>
                          <w:rPr>
                            <w:rFonts w:ascii="Calibri"/>
                            <w:sz w:val="7"/>
                          </w:rPr>
                        </w:pPr>
                        <w:r>
                          <w:rPr>
                            <w:rFonts w:ascii="Calibri"/>
                            <w:sz w:val="7"/>
                          </w:rPr>
                          <w:t>0.4</w:t>
                        </w:r>
                      </w:p>
                    </w:tc>
                    <w:tc>
                      <w:tcPr>
                        <w:tcW w:w="700" w:type="dxa"/>
                        <w:tcBorders>
                          <w:left w:val="single" w:sz="2" w:space="0" w:color="000000"/>
                          <w:right w:val="single" w:sz="5" w:space="0" w:color="000000"/>
                        </w:tcBorders>
                        <w:shd w:val="clear" w:color="auto" w:fill="BAF9F5"/>
                      </w:tcPr>
                      <w:p>
                        <w:pPr>
                          <w:pStyle w:val="TableParagraph"/>
                          <w:ind w:left="1"/>
                          <w:rPr>
                            <w:rFonts w:ascii="Calibri"/>
                            <w:sz w:val="7"/>
                          </w:rPr>
                        </w:pPr>
                        <w:r>
                          <w:rPr>
                            <w:rFonts w:ascii="Calibri"/>
                            <w:sz w:val="7"/>
                          </w:rPr>
                          <w:t>0.4</w:t>
                        </w:r>
                      </w:p>
                    </w:tc>
                  </w:tr>
                  <w:tr>
                    <w:trPr>
                      <w:trHeight w:val="87" w:hRule="exact"/>
                    </w:trPr>
                    <w:tc>
                      <w:tcPr>
                        <w:tcW w:w="319" w:type="dxa"/>
                        <w:vMerge/>
                        <w:tcBorders>
                          <w:left w:val="single" w:sz="2" w:space="0" w:color="000000"/>
                        </w:tcBorders>
                      </w:tcPr>
                      <w:p>
                        <w:pPr/>
                      </w:p>
                    </w:tc>
                    <w:tc>
                      <w:tcPr>
                        <w:tcW w:w="1026" w:type="dxa"/>
                        <w:vMerge/>
                      </w:tcPr>
                      <w:p>
                        <w:pPr/>
                      </w:p>
                    </w:tc>
                    <w:tc>
                      <w:tcPr>
                        <w:tcW w:w="1134" w:type="dxa"/>
                        <w:vMerge/>
                      </w:tcPr>
                      <w:p>
                        <w:pPr/>
                      </w:p>
                    </w:tc>
                    <w:tc>
                      <w:tcPr>
                        <w:tcW w:w="759" w:type="dxa"/>
                        <w:tcBorders>
                          <w:right w:val="single" w:sz="2" w:space="0" w:color="000000"/>
                        </w:tcBorders>
                        <w:shd w:val="clear" w:color="auto" w:fill="BAF9F5"/>
                      </w:tcPr>
                      <w:p>
                        <w:pPr>
                          <w:pStyle w:val="TableParagraph"/>
                          <w:spacing w:line="82" w:lineRule="exact"/>
                          <w:ind w:left="78" w:right="72"/>
                          <w:rPr>
                            <w:rFonts w:ascii="Calibri"/>
                            <w:sz w:val="7"/>
                          </w:rPr>
                        </w:pPr>
                        <w:r>
                          <w:rPr>
                            <w:rFonts w:ascii="Calibri"/>
                            <w:sz w:val="7"/>
                          </w:rPr>
                          <w:t>0.5</w:t>
                        </w:r>
                      </w:p>
                    </w:tc>
                    <w:tc>
                      <w:tcPr>
                        <w:tcW w:w="430" w:type="dxa"/>
                        <w:tcBorders>
                          <w:left w:val="single" w:sz="2" w:space="0" w:color="000000"/>
                          <w:right w:val="single" w:sz="2" w:space="0" w:color="000000"/>
                        </w:tcBorders>
                        <w:shd w:val="clear" w:color="auto" w:fill="BAF9F5"/>
                      </w:tcPr>
                      <w:p>
                        <w:pPr>
                          <w:pStyle w:val="TableParagraph"/>
                          <w:spacing w:line="82" w:lineRule="exact"/>
                          <w:ind w:left="3" w:right="2"/>
                          <w:rPr>
                            <w:rFonts w:ascii="Calibri"/>
                            <w:sz w:val="7"/>
                          </w:rPr>
                        </w:pPr>
                        <w:r>
                          <w:rPr>
                            <w:rFonts w:ascii="Calibri"/>
                            <w:sz w:val="7"/>
                          </w:rPr>
                          <w:t>0.5</w:t>
                        </w:r>
                      </w:p>
                    </w:tc>
                    <w:tc>
                      <w:tcPr>
                        <w:tcW w:w="657" w:type="dxa"/>
                        <w:tcBorders>
                          <w:left w:val="single" w:sz="2" w:space="0" w:color="000000"/>
                          <w:right w:val="single" w:sz="2" w:space="0" w:color="000000"/>
                        </w:tcBorders>
                        <w:shd w:val="clear" w:color="auto" w:fill="BAF9F5"/>
                      </w:tcPr>
                      <w:p>
                        <w:pPr>
                          <w:pStyle w:val="TableParagraph"/>
                          <w:spacing w:line="82" w:lineRule="exact"/>
                          <w:ind w:right="2"/>
                          <w:rPr>
                            <w:rFonts w:ascii="Calibri"/>
                            <w:sz w:val="7"/>
                          </w:rPr>
                        </w:pPr>
                        <w:r>
                          <w:rPr>
                            <w:rFonts w:ascii="Calibri"/>
                            <w:sz w:val="7"/>
                          </w:rPr>
                          <w:t>0.5</w:t>
                        </w:r>
                      </w:p>
                    </w:tc>
                    <w:tc>
                      <w:tcPr>
                        <w:tcW w:w="593"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1</w:t>
                        </w:r>
                      </w:p>
                    </w:tc>
                    <w:tc>
                      <w:tcPr>
                        <w:tcW w:w="791" w:type="dxa"/>
                        <w:tcBorders>
                          <w:left w:val="single" w:sz="2" w:space="0" w:color="000000"/>
                          <w:right w:val="single" w:sz="2" w:space="0" w:color="000000"/>
                        </w:tcBorders>
                        <w:shd w:val="clear" w:color="auto" w:fill="BAF9F5"/>
                      </w:tcPr>
                      <w:p>
                        <w:pPr>
                          <w:pStyle w:val="TableParagraph"/>
                          <w:spacing w:line="82" w:lineRule="exact"/>
                          <w:ind w:left="303" w:right="302"/>
                          <w:rPr>
                            <w:rFonts w:ascii="Calibri"/>
                            <w:sz w:val="7"/>
                          </w:rPr>
                        </w:pPr>
                        <w:r>
                          <w:rPr>
                            <w:rFonts w:ascii="Calibri"/>
                            <w:sz w:val="7"/>
                          </w:rPr>
                          <w:t>0.5</w:t>
                        </w:r>
                      </w:p>
                    </w:tc>
                    <w:tc>
                      <w:tcPr>
                        <w:tcW w:w="756" w:type="dxa"/>
                        <w:tcBorders>
                          <w:left w:val="single" w:sz="2" w:space="0" w:color="000000"/>
                          <w:right w:val="single" w:sz="2" w:space="0" w:color="000000"/>
                        </w:tcBorders>
                        <w:shd w:val="clear" w:color="auto" w:fill="BAF9F5"/>
                      </w:tcPr>
                      <w:p>
                        <w:pPr>
                          <w:pStyle w:val="TableParagraph"/>
                          <w:spacing w:line="82" w:lineRule="exact"/>
                          <w:ind w:left="286" w:right="285"/>
                          <w:rPr>
                            <w:rFonts w:ascii="Calibri"/>
                            <w:sz w:val="7"/>
                          </w:rPr>
                        </w:pPr>
                        <w:r>
                          <w:rPr>
                            <w:rFonts w:ascii="Calibri"/>
                            <w:sz w:val="7"/>
                          </w:rPr>
                          <w:t>0.5</w:t>
                        </w:r>
                      </w:p>
                    </w:tc>
                    <w:tc>
                      <w:tcPr>
                        <w:tcW w:w="802" w:type="dxa"/>
                        <w:tcBorders>
                          <w:left w:val="single" w:sz="2" w:space="0" w:color="000000"/>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0.5</w:t>
                        </w:r>
                      </w:p>
                    </w:tc>
                    <w:tc>
                      <w:tcPr>
                        <w:tcW w:w="860" w:type="dxa"/>
                        <w:tcBorders>
                          <w:left w:val="single" w:sz="2" w:space="0" w:color="000000"/>
                          <w:right w:val="single" w:sz="2" w:space="0" w:color="000000"/>
                        </w:tcBorders>
                        <w:shd w:val="clear" w:color="auto" w:fill="BAF9F5"/>
                      </w:tcPr>
                      <w:p>
                        <w:pPr>
                          <w:pStyle w:val="TableParagraph"/>
                          <w:spacing w:line="82" w:lineRule="exact"/>
                          <w:ind w:left="4" w:right="3"/>
                          <w:rPr>
                            <w:rFonts w:ascii="Calibri"/>
                            <w:sz w:val="7"/>
                          </w:rPr>
                        </w:pPr>
                        <w:r>
                          <w:rPr>
                            <w:rFonts w:ascii="Calibri"/>
                            <w:sz w:val="7"/>
                          </w:rPr>
                          <w:t>0.5</w:t>
                        </w:r>
                      </w:p>
                    </w:tc>
                    <w:tc>
                      <w:tcPr>
                        <w:tcW w:w="700" w:type="dxa"/>
                        <w:tcBorders>
                          <w:left w:val="single" w:sz="2" w:space="0" w:color="000000"/>
                          <w:right w:val="single" w:sz="5" w:space="0" w:color="000000"/>
                        </w:tcBorders>
                        <w:shd w:val="clear" w:color="auto" w:fill="BAF9F5"/>
                      </w:tcPr>
                      <w:p>
                        <w:pPr>
                          <w:pStyle w:val="TableParagraph"/>
                          <w:spacing w:line="82" w:lineRule="exact"/>
                          <w:ind w:left="1"/>
                          <w:rPr>
                            <w:rFonts w:ascii="Calibri"/>
                            <w:sz w:val="7"/>
                          </w:rPr>
                        </w:pPr>
                        <w:r>
                          <w:rPr>
                            <w:rFonts w:ascii="Calibri"/>
                            <w:sz w:val="7"/>
                          </w:rPr>
                          <w:t>0.5</w:t>
                        </w:r>
                      </w:p>
                    </w:tc>
                  </w:tr>
                  <w:tr>
                    <w:trPr>
                      <w:trHeight w:val="87" w:hRule="exact"/>
                    </w:trPr>
                    <w:tc>
                      <w:tcPr>
                        <w:tcW w:w="319" w:type="dxa"/>
                        <w:vMerge/>
                        <w:tcBorders>
                          <w:left w:val="single" w:sz="2" w:space="0" w:color="000000"/>
                        </w:tcBorders>
                      </w:tcPr>
                      <w:p>
                        <w:pPr/>
                      </w:p>
                    </w:tc>
                    <w:tc>
                      <w:tcPr>
                        <w:tcW w:w="1026" w:type="dxa"/>
                        <w:vMerge/>
                      </w:tcPr>
                      <w:p>
                        <w:pPr/>
                      </w:p>
                    </w:tc>
                    <w:tc>
                      <w:tcPr>
                        <w:tcW w:w="1134" w:type="dxa"/>
                        <w:vMerge/>
                      </w:tcPr>
                      <w:p>
                        <w:pPr/>
                      </w:p>
                    </w:tc>
                    <w:tc>
                      <w:tcPr>
                        <w:tcW w:w="759" w:type="dxa"/>
                        <w:tcBorders>
                          <w:right w:val="single" w:sz="2" w:space="0" w:color="000000"/>
                        </w:tcBorders>
                        <w:shd w:val="clear" w:color="auto" w:fill="BAF9F5"/>
                      </w:tcPr>
                      <w:p>
                        <w:pPr>
                          <w:pStyle w:val="TableParagraph"/>
                          <w:spacing w:line="82" w:lineRule="exact"/>
                          <w:ind w:left="78" w:right="72"/>
                          <w:rPr>
                            <w:rFonts w:ascii="Calibri"/>
                            <w:sz w:val="7"/>
                          </w:rPr>
                        </w:pPr>
                        <w:r>
                          <w:rPr>
                            <w:rFonts w:ascii="Calibri"/>
                            <w:sz w:val="7"/>
                          </w:rPr>
                          <w:t>0.5</w:t>
                        </w:r>
                      </w:p>
                    </w:tc>
                    <w:tc>
                      <w:tcPr>
                        <w:tcW w:w="430"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657" w:type="dxa"/>
                        <w:tcBorders>
                          <w:left w:val="single" w:sz="2" w:space="0" w:color="000000"/>
                          <w:right w:val="single" w:sz="2" w:space="0" w:color="000000"/>
                        </w:tcBorders>
                        <w:shd w:val="clear" w:color="auto" w:fill="BAF9F5"/>
                      </w:tcPr>
                      <w:p>
                        <w:pPr>
                          <w:pStyle w:val="TableParagraph"/>
                          <w:spacing w:line="82" w:lineRule="exact"/>
                          <w:ind w:right="2"/>
                          <w:rPr>
                            <w:rFonts w:ascii="Calibri"/>
                            <w:sz w:val="7"/>
                          </w:rPr>
                        </w:pPr>
                        <w:r>
                          <w:rPr>
                            <w:rFonts w:ascii="Calibri"/>
                            <w:sz w:val="7"/>
                          </w:rPr>
                          <w:t>0.5</w:t>
                        </w:r>
                      </w:p>
                    </w:tc>
                    <w:tc>
                      <w:tcPr>
                        <w:tcW w:w="593" w:type="dxa"/>
                        <w:tcBorders>
                          <w:left w:val="single" w:sz="2" w:space="0" w:color="000000"/>
                          <w:right w:val="single" w:sz="2" w:space="0" w:color="000000"/>
                        </w:tcBorders>
                        <w:shd w:val="clear" w:color="auto" w:fill="BAF9F5"/>
                      </w:tcPr>
                      <w:p>
                        <w:pPr>
                          <w:pStyle w:val="TableParagraph"/>
                          <w:spacing w:line="82" w:lineRule="exact"/>
                          <w:ind w:left="2" w:right="1"/>
                          <w:rPr>
                            <w:rFonts w:ascii="Calibri"/>
                            <w:sz w:val="7"/>
                          </w:rPr>
                        </w:pPr>
                        <w:r>
                          <w:rPr>
                            <w:rFonts w:ascii="Calibri"/>
                            <w:sz w:val="7"/>
                          </w:rPr>
                          <w:t>0.5</w:t>
                        </w:r>
                      </w:p>
                    </w:tc>
                    <w:tc>
                      <w:tcPr>
                        <w:tcW w:w="791"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56" w:type="dxa"/>
                        <w:tcBorders>
                          <w:left w:val="single" w:sz="2" w:space="0" w:color="000000"/>
                          <w:right w:val="single" w:sz="2" w:space="0" w:color="000000"/>
                        </w:tcBorders>
                        <w:shd w:val="clear" w:color="auto" w:fill="BAF9F5"/>
                      </w:tcPr>
                      <w:p>
                        <w:pPr>
                          <w:pStyle w:val="TableParagraph"/>
                          <w:spacing w:line="82" w:lineRule="exact"/>
                          <w:ind w:left="286" w:right="285"/>
                          <w:rPr>
                            <w:rFonts w:ascii="Calibri"/>
                            <w:sz w:val="7"/>
                          </w:rPr>
                        </w:pPr>
                        <w:r>
                          <w:rPr>
                            <w:rFonts w:ascii="Calibri"/>
                            <w:sz w:val="7"/>
                          </w:rPr>
                          <w:t>0.5</w:t>
                        </w:r>
                      </w:p>
                    </w:tc>
                    <w:tc>
                      <w:tcPr>
                        <w:tcW w:w="802"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860" w:type="dxa"/>
                        <w:tcBorders>
                          <w:left w:val="single" w:sz="2" w:space="0" w:color="000000"/>
                          <w:right w:val="single" w:sz="2" w:space="0" w:color="000000"/>
                        </w:tcBorders>
                        <w:shd w:val="clear" w:color="auto" w:fill="BAF9F5"/>
                      </w:tcPr>
                      <w:p>
                        <w:pPr>
                          <w:pStyle w:val="TableParagraph"/>
                          <w:spacing w:line="82" w:lineRule="exact"/>
                          <w:ind w:left="4" w:right="3"/>
                          <w:rPr>
                            <w:rFonts w:ascii="Calibri"/>
                            <w:sz w:val="7"/>
                          </w:rPr>
                        </w:pPr>
                        <w:r>
                          <w:rPr>
                            <w:rFonts w:ascii="Calibri"/>
                            <w:sz w:val="7"/>
                          </w:rPr>
                          <w:t>0.5</w:t>
                        </w:r>
                      </w:p>
                    </w:tc>
                    <w:tc>
                      <w:tcPr>
                        <w:tcW w:w="700" w:type="dxa"/>
                        <w:tcBorders>
                          <w:left w:val="single" w:sz="2" w:space="0" w:color="000000"/>
                          <w:right w:val="single" w:sz="5" w:space="0" w:color="000000"/>
                        </w:tcBorders>
                        <w:shd w:val="clear" w:color="auto" w:fill="BAF9F5"/>
                      </w:tcPr>
                      <w:p>
                        <w:pPr>
                          <w:pStyle w:val="TableParagraph"/>
                          <w:spacing w:line="82" w:lineRule="exact"/>
                          <w:ind w:left="6"/>
                          <w:rPr>
                            <w:rFonts w:ascii="Calibri"/>
                            <w:sz w:val="7"/>
                          </w:rPr>
                        </w:pPr>
                        <w:r>
                          <w:rPr>
                            <w:rFonts w:ascii="Calibri"/>
                            <w:w w:val="99"/>
                            <w:sz w:val="7"/>
                          </w:rPr>
                          <w:t>0</w:t>
                        </w:r>
                      </w:p>
                    </w:tc>
                  </w:tr>
                  <w:tr>
                    <w:trPr>
                      <w:trHeight w:val="87" w:hRule="exact"/>
                    </w:trPr>
                    <w:tc>
                      <w:tcPr>
                        <w:tcW w:w="319" w:type="dxa"/>
                        <w:vMerge/>
                        <w:tcBorders>
                          <w:left w:val="single" w:sz="2" w:space="0" w:color="000000"/>
                        </w:tcBorders>
                      </w:tcPr>
                      <w:p>
                        <w:pPr/>
                      </w:p>
                    </w:tc>
                    <w:tc>
                      <w:tcPr>
                        <w:tcW w:w="1026" w:type="dxa"/>
                        <w:vMerge/>
                      </w:tcPr>
                      <w:p>
                        <w:pPr/>
                      </w:p>
                    </w:tc>
                    <w:tc>
                      <w:tcPr>
                        <w:tcW w:w="1134" w:type="dxa"/>
                        <w:vMerge/>
                      </w:tcPr>
                      <w:p>
                        <w:pPr/>
                      </w:p>
                    </w:tc>
                    <w:tc>
                      <w:tcPr>
                        <w:tcW w:w="759" w:type="dxa"/>
                        <w:tcBorders>
                          <w:right w:val="single" w:sz="2" w:space="0" w:color="000000"/>
                        </w:tcBorders>
                        <w:shd w:val="clear" w:color="auto" w:fill="BAF9F5"/>
                      </w:tcPr>
                      <w:p>
                        <w:pPr>
                          <w:pStyle w:val="TableParagraph"/>
                          <w:spacing w:line="82" w:lineRule="exact"/>
                          <w:ind w:left="12"/>
                          <w:rPr>
                            <w:rFonts w:ascii="Calibri"/>
                            <w:sz w:val="7"/>
                          </w:rPr>
                        </w:pPr>
                        <w:r>
                          <w:rPr>
                            <w:rFonts w:ascii="Calibri"/>
                            <w:w w:val="99"/>
                            <w:sz w:val="7"/>
                          </w:rPr>
                          <w:t>0</w:t>
                        </w:r>
                      </w:p>
                    </w:tc>
                    <w:tc>
                      <w:tcPr>
                        <w:tcW w:w="430"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657" w:type="dxa"/>
                        <w:tcBorders>
                          <w:left w:val="single" w:sz="2" w:space="0" w:color="000000"/>
                          <w:right w:val="single" w:sz="2" w:space="0" w:color="000000"/>
                        </w:tcBorders>
                        <w:shd w:val="clear" w:color="auto" w:fill="BAF9F5"/>
                      </w:tcPr>
                      <w:p>
                        <w:pPr>
                          <w:pStyle w:val="TableParagraph"/>
                          <w:spacing w:line="82" w:lineRule="exact"/>
                          <w:rPr>
                            <w:rFonts w:ascii="Calibri"/>
                            <w:sz w:val="7"/>
                          </w:rPr>
                        </w:pPr>
                        <w:r>
                          <w:rPr>
                            <w:rFonts w:ascii="Calibri"/>
                            <w:w w:val="99"/>
                            <w:sz w:val="7"/>
                          </w:rPr>
                          <w:t>0</w:t>
                        </w:r>
                      </w:p>
                    </w:tc>
                    <w:tc>
                      <w:tcPr>
                        <w:tcW w:w="593"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91"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56"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802"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860" w:type="dxa"/>
                        <w:tcBorders>
                          <w:left w:val="single" w:sz="2" w:space="0" w:color="000000"/>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00" w:type="dxa"/>
                        <w:tcBorders>
                          <w:left w:val="single" w:sz="2" w:space="0" w:color="000000"/>
                          <w:right w:val="single" w:sz="5" w:space="0" w:color="000000"/>
                        </w:tcBorders>
                        <w:shd w:val="clear" w:color="auto" w:fill="BAF9F5"/>
                      </w:tcPr>
                      <w:p>
                        <w:pPr>
                          <w:pStyle w:val="TableParagraph"/>
                          <w:spacing w:line="82" w:lineRule="exact"/>
                          <w:ind w:left="6"/>
                          <w:rPr>
                            <w:rFonts w:ascii="Calibri"/>
                            <w:sz w:val="7"/>
                          </w:rPr>
                        </w:pPr>
                        <w:r>
                          <w:rPr>
                            <w:rFonts w:ascii="Calibri"/>
                            <w:w w:val="99"/>
                            <w:sz w:val="7"/>
                          </w:rPr>
                          <w:t>0</w:t>
                        </w:r>
                      </w:p>
                    </w:tc>
                  </w:tr>
                  <w:tr>
                    <w:trPr>
                      <w:trHeight w:val="86" w:hRule="exact"/>
                    </w:trPr>
                    <w:tc>
                      <w:tcPr>
                        <w:tcW w:w="319" w:type="dxa"/>
                        <w:vMerge/>
                        <w:tcBorders>
                          <w:left w:val="single" w:sz="2" w:space="0" w:color="000000"/>
                        </w:tcBorders>
                      </w:tcPr>
                      <w:p>
                        <w:pPr/>
                      </w:p>
                    </w:tc>
                    <w:tc>
                      <w:tcPr>
                        <w:tcW w:w="1026" w:type="dxa"/>
                        <w:vMerge/>
                      </w:tcPr>
                      <w:p>
                        <w:pPr/>
                      </w:p>
                    </w:tc>
                    <w:tc>
                      <w:tcPr>
                        <w:tcW w:w="1134" w:type="dxa"/>
                        <w:vMerge/>
                      </w:tcPr>
                      <w:p>
                        <w:pPr/>
                      </w:p>
                    </w:tc>
                    <w:tc>
                      <w:tcPr>
                        <w:tcW w:w="759" w:type="dxa"/>
                        <w:tcBorders>
                          <w:bottom w:val="single" w:sz="2" w:space="0" w:color="FFFFFF"/>
                          <w:right w:val="single" w:sz="2" w:space="0" w:color="000000"/>
                        </w:tcBorders>
                        <w:shd w:val="clear" w:color="auto" w:fill="BAF9F5"/>
                      </w:tcPr>
                      <w:p>
                        <w:pPr>
                          <w:pStyle w:val="TableParagraph"/>
                          <w:spacing w:line="82" w:lineRule="exact"/>
                          <w:ind w:left="78" w:right="72"/>
                          <w:rPr>
                            <w:rFonts w:ascii="Calibri"/>
                            <w:sz w:val="7"/>
                          </w:rPr>
                        </w:pPr>
                        <w:r>
                          <w:rPr>
                            <w:rFonts w:ascii="Calibri"/>
                            <w:sz w:val="7"/>
                          </w:rPr>
                          <w:t>0.5</w:t>
                        </w:r>
                      </w:p>
                    </w:tc>
                    <w:tc>
                      <w:tcPr>
                        <w:tcW w:w="43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3" w:right="2"/>
                          <w:rPr>
                            <w:rFonts w:ascii="Calibri"/>
                            <w:sz w:val="7"/>
                          </w:rPr>
                        </w:pPr>
                        <w:r>
                          <w:rPr>
                            <w:rFonts w:ascii="Calibri"/>
                            <w:sz w:val="7"/>
                          </w:rPr>
                          <w:t>0.5</w:t>
                        </w:r>
                      </w:p>
                    </w:tc>
                    <w:tc>
                      <w:tcPr>
                        <w:tcW w:w="657"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right="2"/>
                          <w:rPr>
                            <w:rFonts w:ascii="Calibri"/>
                            <w:sz w:val="7"/>
                          </w:rPr>
                        </w:pPr>
                        <w:r>
                          <w:rPr>
                            <w:rFonts w:ascii="Calibri"/>
                            <w:sz w:val="7"/>
                          </w:rPr>
                          <w:t>0.5</w:t>
                        </w:r>
                      </w:p>
                    </w:tc>
                    <w:tc>
                      <w:tcPr>
                        <w:tcW w:w="593"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791"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303" w:right="302"/>
                          <w:rPr>
                            <w:rFonts w:ascii="Calibri"/>
                            <w:sz w:val="7"/>
                          </w:rPr>
                        </w:pPr>
                        <w:r>
                          <w:rPr>
                            <w:rFonts w:ascii="Calibri"/>
                            <w:sz w:val="7"/>
                          </w:rPr>
                          <w:t>0.5</w:t>
                        </w:r>
                      </w:p>
                    </w:tc>
                    <w:tc>
                      <w:tcPr>
                        <w:tcW w:w="756"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286" w:right="285"/>
                          <w:rPr>
                            <w:rFonts w:ascii="Calibri"/>
                            <w:sz w:val="7"/>
                          </w:rPr>
                        </w:pPr>
                        <w:r>
                          <w:rPr>
                            <w:rFonts w:ascii="Calibri"/>
                            <w:sz w:val="7"/>
                          </w:rPr>
                          <w:t>0.5</w:t>
                        </w:r>
                      </w:p>
                    </w:tc>
                    <w:tc>
                      <w:tcPr>
                        <w:tcW w:w="802"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6"/>
                          <w:rPr>
                            <w:rFonts w:ascii="Calibri"/>
                            <w:sz w:val="7"/>
                          </w:rPr>
                        </w:pPr>
                        <w:r>
                          <w:rPr>
                            <w:rFonts w:ascii="Calibri"/>
                            <w:w w:val="99"/>
                            <w:sz w:val="7"/>
                          </w:rPr>
                          <w:t>0</w:t>
                        </w:r>
                      </w:p>
                    </w:tc>
                    <w:tc>
                      <w:tcPr>
                        <w:tcW w:w="860" w:type="dxa"/>
                        <w:tcBorders>
                          <w:left w:val="single" w:sz="2" w:space="0" w:color="000000"/>
                          <w:bottom w:val="single" w:sz="2" w:space="0" w:color="FFFFFF"/>
                          <w:right w:val="single" w:sz="2" w:space="0" w:color="000000"/>
                        </w:tcBorders>
                        <w:shd w:val="clear" w:color="auto" w:fill="BAF9F5"/>
                      </w:tcPr>
                      <w:p>
                        <w:pPr>
                          <w:pStyle w:val="TableParagraph"/>
                          <w:spacing w:line="82" w:lineRule="exact"/>
                          <w:ind w:left="4" w:right="3"/>
                          <w:rPr>
                            <w:rFonts w:ascii="Calibri"/>
                            <w:sz w:val="7"/>
                          </w:rPr>
                        </w:pPr>
                        <w:r>
                          <w:rPr>
                            <w:rFonts w:ascii="Calibri"/>
                            <w:sz w:val="7"/>
                          </w:rPr>
                          <w:t>0.5</w:t>
                        </w:r>
                      </w:p>
                    </w:tc>
                    <w:tc>
                      <w:tcPr>
                        <w:tcW w:w="700" w:type="dxa"/>
                        <w:tcBorders>
                          <w:left w:val="single" w:sz="2" w:space="0" w:color="000000"/>
                          <w:bottom w:val="single" w:sz="2" w:space="0" w:color="FFFFFF"/>
                          <w:right w:val="single" w:sz="5" w:space="0" w:color="000000"/>
                        </w:tcBorders>
                        <w:shd w:val="clear" w:color="auto" w:fill="BAF9F5"/>
                      </w:tcPr>
                      <w:p>
                        <w:pPr>
                          <w:pStyle w:val="TableParagraph"/>
                          <w:spacing w:line="82" w:lineRule="exact"/>
                          <w:ind w:left="6"/>
                          <w:rPr>
                            <w:rFonts w:ascii="Calibri"/>
                            <w:sz w:val="7"/>
                          </w:rPr>
                        </w:pPr>
                        <w:r>
                          <w:rPr>
                            <w:rFonts w:ascii="Calibri"/>
                            <w:w w:val="99"/>
                            <w:sz w:val="7"/>
                          </w:rPr>
                          <w:t>0</w:t>
                        </w:r>
                      </w:p>
                    </w:tc>
                  </w:tr>
                  <w:tr>
                    <w:trPr>
                      <w:trHeight w:val="90" w:hRule="exact"/>
                    </w:trPr>
                    <w:tc>
                      <w:tcPr>
                        <w:tcW w:w="319" w:type="dxa"/>
                        <w:vMerge/>
                        <w:tcBorders>
                          <w:left w:val="single" w:sz="2" w:space="0" w:color="000000"/>
                        </w:tcBorders>
                      </w:tcPr>
                      <w:p>
                        <w:pPr/>
                      </w:p>
                    </w:tc>
                    <w:tc>
                      <w:tcPr>
                        <w:tcW w:w="1026" w:type="dxa"/>
                        <w:vMerge/>
                      </w:tcPr>
                      <w:p>
                        <w:pPr/>
                      </w:p>
                    </w:tc>
                    <w:tc>
                      <w:tcPr>
                        <w:tcW w:w="1134" w:type="dxa"/>
                        <w:vMerge/>
                      </w:tcPr>
                      <w:p>
                        <w:pPr/>
                      </w:p>
                    </w:tc>
                    <w:tc>
                      <w:tcPr>
                        <w:tcW w:w="759" w:type="dxa"/>
                        <w:tcBorders>
                          <w:top w:val="single" w:sz="2" w:space="0" w:color="FFFFFF"/>
                          <w:right w:val="single" w:sz="2" w:space="0" w:color="000000"/>
                        </w:tcBorders>
                        <w:shd w:val="clear" w:color="auto" w:fill="F79646"/>
                      </w:tcPr>
                      <w:p>
                        <w:pPr>
                          <w:pStyle w:val="TableParagraph"/>
                          <w:spacing w:line="80" w:lineRule="exact"/>
                          <w:ind w:left="78" w:right="72"/>
                          <w:rPr>
                            <w:rFonts w:ascii="Calibri"/>
                            <w:sz w:val="7"/>
                          </w:rPr>
                        </w:pPr>
                        <w:r>
                          <w:rPr>
                            <w:rFonts w:ascii="Calibri"/>
                            <w:sz w:val="7"/>
                          </w:rPr>
                          <w:t>2.1</w:t>
                        </w:r>
                      </w:p>
                    </w:tc>
                    <w:tc>
                      <w:tcPr>
                        <w:tcW w:w="43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3" w:right="2"/>
                          <w:rPr>
                            <w:rFonts w:ascii="Calibri"/>
                            <w:sz w:val="7"/>
                          </w:rPr>
                        </w:pPr>
                        <w:r>
                          <w:rPr>
                            <w:rFonts w:ascii="Calibri"/>
                            <w:sz w:val="7"/>
                          </w:rPr>
                          <w:t>1.4</w:t>
                        </w:r>
                      </w:p>
                    </w:tc>
                    <w:tc>
                      <w:tcPr>
                        <w:tcW w:w="657" w:type="dxa"/>
                        <w:tcBorders>
                          <w:top w:val="single" w:sz="2" w:space="0" w:color="FFFFFF"/>
                          <w:left w:val="single" w:sz="2" w:space="0" w:color="000000"/>
                          <w:right w:val="single" w:sz="2" w:space="0" w:color="000000"/>
                        </w:tcBorders>
                        <w:shd w:val="clear" w:color="auto" w:fill="F79646"/>
                      </w:tcPr>
                      <w:p>
                        <w:pPr>
                          <w:pStyle w:val="TableParagraph"/>
                          <w:spacing w:line="80" w:lineRule="exact"/>
                          <w:ind w:right="2"/>
                          <w:rPr>
                            <w:rFonts w:ascii="Calibri"/>
                            <w:sz w:val="7"/>
                          </w:rPr>
                        </w:pPr>
                        <w:r>
                          <w:rPr>
                            <w:rFonts w:ascii="Calibri"/>
                            <w:sz w:val="7"/>
                          </w:rPr>
                          <w:t>2.1</w:t>
                        </w:r>
                      </w:p>
                    </w:tc>
                    <w:tc>
                      <w:tcPr>
                        <w:tcW w:w="593"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2" w:right="1"/>
                          <w:rPr>
                            <w:rFonts w:ascii="Calibri"/>
                            <w:sz w:val="7"/>
                          </w:rPr>
                        </w:pPr>
                        <w:r>
                          <w:rPr>
                            <w:rFonts w:ascii="Calibri"/>
                            <w:sz w:val="7"/>
                          </w:rPr>
                          <w:t>1.9</w:t>
                        </w:r>
                      </w:p>
                    </w:tc>
                    <w:tc>
                      <w:tcPr>
                        <w:tcW w:w="791"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303" w:right="302"/>
                          <w:rPr>
                            <w:rFonts w:ascii="Calibri"/>
                            <w:sz w:val="7"/>
                          </w:rPr>
                        </w:pPr>
                        <w:r>
                          <w:rPr>
                            <w:rFonts w:ascii="Calibri"/>
                            <w:sz w:val="7"/>
                          </w:rPr>
                          <w:t>1.2</w:t>
                        </w:r>
                      </w:p>
                    </w:tc>
                    <w:tc>
                      <w:tcPr>
                        <w:tcW w:w="756"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286" w:right="285"/>
                          <w:rPr>
                            <w:rFonts w:ascii="Calibri"/>
                            <w:sz w:val="7"/>
                          </w:rPr>
                        </w:pPr>
                        <w:r>
                          <w:rPr>
                            <w:rFonts w:ascii="Calibri"/>
                            <w:sz w:val="7"/>
                          </w:rPr>
                          <w:t>1.9</w:t>
                        </w:r>
                      </w:p>
                    </w:tc>
                    <w:tc>
                      <w:tcPr>
                        <w:tcW w:w="802"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2" w:right="1"/>
                          <w:rPr>
                            <w:rFonts w:ascii="Calibri"/>
                            <w:sz w:val="7"/>
                          </w:rPr>
                        </w:pPr>
                        <w:r>
                          <w:rPr>
                            <w:rFonts w:ascii="Calibri"/>
                            <w:sz w:val="7"/>
                          </w:rPr>
                          <w:t>0.9</w:t>
                        </w:r>
                      </w:p>
                    </w:tc>
                    <w:tc>
                      <w:tcPr>
                        <w:tcW w:w="860" w:type="dxa"/>
                        <w:tcBorders>
                          <w:top w:val="single" w:sz="2" w:space="0" w:color="FFFFFF"/>
                          <w:left w:val="single" w:sz="2" w:space="0" w:color="000000"/>
                          <w:right w:val="single" w:sz="2" w:space="0" w:color="000000"/>
                        </w:tcBorders>
                        <w:shd w:val="clear" w:color="auto" w:fill="F79646"/>
                      </w:tcPr>
                      <w:p>
                        <w:pPr>
                          <w:pStyle w:val="TableParagraph"/>
                          <w:spacing w:line="80" w:lineRule="exact"/>
                          <w:ind w:left="4" w:right="3"/>
                          <w:rPr>
                            <w:rFonts w:ascii="Calibri"/>
                            <w:sz w:val="7"/>
                          </w:rPr>
                        </w:pPr>
                        <w:r>
                          <w:rPr>
                            <w:rFonts w:ascii="Calibri"/>
                            <w:sz w:val="7"/>
                          </w:rPr>
                          <w:t>1.9</w:t>
                        </w:r>
                      </w:p>
                    </w:tc>
                    <w:tc>
                      <w:tcPr>
                        <w:tcW w:w="700" w:type="dxa"/>
                        <w:tcBorders>
                          <w:top w:val="single" w:sz="2" w:space="0" w:color="FFFFFF"/>
                          <w:left w:val="single" w:sz="2" w:space="0" w:color="000000"/>
                          <w:right w:val="single" w:sz="5" w:space="0" w:color="000000"/>
                        </w:tcBorders>
                        <w:shd w:val="clear" w:color="auto" w:fill="F79646"/>
                      </w:tcPr>
                      <w:p>
                        <w:pPr>
                          <w:pStyle w:val="TableParagraph"/>
                          <w:spacing w:line="80" w:lineRule="exact"/>
                          <w:ind w:left="1"/>
                          <w:rPr>
                            <w:rFonts w:ascii="Calibri"/>
                            <w:sz w:val="7"/>
                          </w:rPr>
                        </w:pPr>
                        <w:r>
                          <w:rPr>
                            <w:rFonts w:ascii="Calibri"/>
                            <w:sz w:val="7"/>
                          </w:rPr>
                          <w:t>0.9</w:t>
                        </w:r>
                      </w:p>
                    </w:tc>
                  </w:tr>
                  <w:tr>
                    <w:trPr>
                      <w:trHeight w:val="261" w:hRule="exact"/>
                    </w:trPr>
                    <w:tc>
                      <w:tcPr>
                        <w:tcW w:w="319" w:type="dxa"/>
                        <w:tcBorders>
                          <w:left w:val="single" w:sz="2" w:space="0" w:color="000000"/>
                          <w:bottom w:val="single" w:sz="5" w:space="0" w:color="000000"/>
                        </w:tcBorders>
                      </w:tcPr>
                      <w:p>
                        <w:pPr/>
                      </w:p>
                    </w:tc>
                    <w:tc>
                      <w:tcPr>
                        <w:tcW w:w="1026" w:type="dxa"/>
                        <w:tcBorders>
                          <w:bottom w:val="single" w:sz="5" w:space="0" w:color="000000"/>
                        </w:tcBorders>
                      </w:tcPr>
                      <w:p>
                        <w:pPr/>
                      </w:p>
                    </w:tc>
                    <w:tc>
                      <w:tcPr>
                        <w:tcW w:w="1134" w:type="dxa"/>
                        <w:tcBorders>
                          <w:bottom w:val="single" w:sz="5" w:space="0" w:color="000000"/>
                        </w:tcBorders>
                      </w:tcPr>
                      <w:p>
                        <w:pPr>
                          <w:pStyle w:val="TableParagraph"/>
                          <w:spacing w:before="1"/>
                          <w:jc w:val="left"/>
                          <w:rPr>
                            <w:sz w:val="7"/>
                          </w:rPr>
                        </w:pPr>
                      </w:p>
                      <w:p>
                        <w:pPr>
                          <w:pStyle w:val="TableParagraph"/>
                          <w:ind w:right="374"/>
                          <w:jc w:val="right"/>
                          <w:rPr>
                            <w:rFonts w:ascii="Calibri"/>
                            <w:sz w:val="7"/>
                          </w:rPr>
                        </w:pPr>
                        <w:r>
                          <w:rPr>
                            <w:rFonts w:ascii="Calibri"/>
                            <w:sz w:val="7"/>
                          </w:rPr>
                          <w:t>Total IT</w:t>
                        </w:r>
                      </w:p>
                    </w:tc>
                    <w:tc>
                      <w:tcPr>
                        <w:tcW w:w="759" w:type="dxa"/>
                        <w:tcBorders>
                          <w:bottom w:val="single" w:sz="4" w:space="0" w:color="000000"/>
                          <w:right w:val="single" w:sz="2" w:space="0" w:color="000000"/>
                        </w:tcBorders>
                      </w:tcPr>
                      <w:p>
                        <w:pPr>
                          <w:pStyle w:val="TableParagraph"/>
                          <w:spacing w:before="1"/>
                          <w:jc w:val="left"/>
                          <w:rPr>
                            <w:sz w:val="7"/>
                          </w:rPr>
                        </w:pPr>
                      </w:p>
                      <w:p>
                        <w:pPr>
                          <w:pStyle w:val="TableParagraph"/>
                          <w:ind w:left="12"/>
                          <w:rPr>
                            <w:rFonts w:ascii="Calibri"/>
                            <w:sz w:val="7"/>
                          </w:rPr>
                        </w:pPr>
                        <w:r>
                          <w:rPr>
                            <w:rFonts w:ascii="Calibri"/>
                            <w:w w:val="99"/>
                            <w:sz w:val="7"/>
                          </w:rPr>
                          <w:t>8</w:t>
                        </w:r>
                      </w:p>
                    </w:tc>
                    <w:tc>
                      <w:tcPr>
                        <w:tcW w:w="430" w:type="dxa"/>
                        <w:tcBorders>
                          <w:left w:val="single" w:sz="2" w:space="0" w:color="000000"/>
                          <w:bottom w:val="single" w:sz="4" w:space="0" w:color="000000"/>
                          <w:right w:val="single" w:sz="2" w:space="0" w:color="000000"/>
                        </w:tcBorders>
                      </w:tcPr>
                      <w:p>
                        <w:pPr>
                          <w:pStyle w:val="TableParagraph"/>
                          <w:spacing w:before="1"/>
                          <w:jc w:val="left"/>
                          <w:rPr>
                            <w:sz w:val="7"/>
                          </w:rPr>
                        </w:pPr>
                      </w:p>
                      <w:p>
                        <w:pPr>
                          <w:pStyle w:val="TableParagraph"/>
                          <w:ind w:left="3" w:right="2"/>
                          <w:rPr>
                            <w:rFonts w:ascii="Calibri"/>
                            <w:sz w:val="7"/>
                          </w:rPr>
                        </w:pPr>
                        <w:r>
                          <w:rPr>
                            <w:rFonts w:ascii="Calibri"/>
                            <w:sz w:val="7"/>
                          </w:rPr>
                          <w:t>7.36</w:t>
                        </w:r>
                      </w:p>
                    </w:tc>
                    <w:tc>
                      <w:tcPr>
                        <w:tcW w:w="657" w:type="dxa"/>
                        <w:tcBorders>
                          <w:left w:val="single" w:sz="2" w:space="0" w:color="000000"/>
                          <w:bottom w:val="single" w:sz="4" w:space="0" w:color="000000"/>
                          <w:right w:val="single" w:sz="2" w:space="0" w:color="000000"/>
                        </w:tcBorders>
                      </w:tcPr>
                      <w:p>
                        <w:pPr>
                          <w:pStyle w:val="TableParagraph"/>
                          <w:spacing w:before="1"/>
                          <w:jc w:val="left"/>
                          <w:rPr>
                            <w:sz w:val="7"/>
                          </w:rPr>
                        </w:pPr>
                      </w:p>
                      <w:p>
                        <w:pPr>
                          <w:pStyle w:val="TableParagraph"/>
                          <w:rPr>
                            <w:rFonts w:ascii="Calibri"/>
                            <w:sz w:val="7"/>
                          </w:rPr>
                        </w:pPr>
                        <w:r>
                          <w:rPr>
                            <w:rFonts w:ascii="Calibri"/>
                            <w:w w:val="99"/>
                            <w:sz w:val="7"/>
                          </w:rPr>
                          <w:t>8</w:t>
                        </w:r>
                      </w:p>
                    </w:tc>
                    <w:tc>
                      <w:tcPr>
                        <w:tcW w:w="593" w:type="dxa"/>
                        <w:tcBorders>
                          <w:left w:val="single" w:sz="2" w:space="0" w:color="000000"/>
                          <w:bottom w:val="single" w:sz="4" w:space="0" w:color="000000"/>
                          <w:right w:val="single" w:sz="2" w:space="0" w:color="000000"/>
                        </w:tcBorders>
                      </w:tcPr>
                      <w:p>
                        <w:pPr>
                          <w:pStyle w:val="TableParagraph"/>
                          <w:spacing w:before="1"/>
                          <w:jc w:val="left"/>
                          <w:rPr>
                            <w:sz w:val="7"/>
                          </w:rPr>
                        </w:pPr>
                      </w:p>
                      <w:p>
                        <w:pPr>
                          <w:pStyle w:val="TableParagraph"/>
                          <w:ind w:left="2" w:right="1"/>
                          <w:rPr>
                            <w:rFonts w:ascii="Calibri"/>
                            <w:sz w:val="7"/>
                          </w:rPr>
                        </w:pPr>
                        <w:r>
                          <w:rPr>
                            <w:rFonts w:ascii="Calibri"/>
                            <w:sz w:val="7"/>
                          </w:rPr>
                          <w:t>8.21</w:t>
                        </w:r>
                      </w:p>
                    </w:tc>
                    <w:tc>
                      <w:tcPr>
                        <w:tcW w:w="791" w:type="dxa"/>
                        <w:tcBorders>
                          <w:left w:val="single" w:sz="2" w:space="0" w:color="000000"/>
                          <w:bottom w:val="single" w:sz="4" w:space="0" w:color="000000"/>
                          <w:right w:val="single" w:sz="2" w:space="0" w:color="000000"/>
                        </w:tcBorders>
                      </w:tcPr>
                      <w:p>
                        <w:pPr>
                          <w:pStyle w:val="TableParagraph"/>
                          <w:spacing w:before="1"/>
                          <w:jc w:val="left"/>
                          <w:rPr>
                            <w:sz w:val="7"/>
                          </w:rPr>
                        </w:pPr>
                      </w:p>
                      <w:p>
                        <w:pPr>
                          <w:pStyle w:val="TableParagraph"/>
                          <w:ind w:left="303" w:right="302"/>
                          <w:rPr>
                            <w:rFonts w:ascii="Calibri"/>
                            <w:sz w:val="7"/>
                          </w:rPr>
                        </w:pPr>
                        <w:r>
                          <w:rPr>
                            <w:rFonts w:ascii="Calibri"/>
                            <w:sz w:val="7"/>
                          </w:rPr>
                          <w:t>5.11</w:t>
                        </w:r>
                      </w:p>
                    </w:tc>
                    <w:tc>
                      <w:tcPr>
                        <w:tcW w:w="756" w:type="dxa"/>
                        <w:tcBorders>
                          <w:left w:val="single" w:sz="2" w:space="0" w:color="000000"/>
                          <w:bottom w:val="single" w:sz="4" w:space="0" w:color="000000"/>
                          <w:right w:val="single" w:sz="2" w:space="0" w:color="000000"/>
                        </w:tcBorders>
                      </w:tcPr>
                      <w:p>
                        <w:pPr>
                          <w:pStyle w:val="TableParagraph"/>
                          <w:spacing w:before="1"/>
                          <w:jc w:val="left"/>
                          <w:rPr>
                            <w:sz w:val="7"/>
                          </w:rPr>
                        </w:pPr>
                      </w:p>
                      <w:p>
                        <w:pPr>
                          <w:pStyle w:val="TableParagraph"/>
                          <w:ind w:left="286" w:right="285"/>
                          <w:rPr>
                            <w:rFonts w:ascii="Calibri"/>
                            <w:sz w:val="7"/>
                          </w:rPr>
                        </w:pPr>
                        <w:r>
                          <w:rPr>
                            <w:rFonts w:ascii="Calibri"/>
                            <w:sz w:val="7"/>
                          </w:rPr>
                          <w:t>7.96</w:t>
                        </w:r>
                      </w:p>
                    </w:tc>
                    <w:tc>
                      <w:tcPr>
                        <w:tcW w:w="802" w:type="dxa"/>
                        <w:tcBorders>
                          <w:left w:val="single" w:sz="2" w:space="0" w:color="000000"/>
                          <w:bottom w:val="single" w:sz="4" w:space="0" w:color="000000"/>
                          <w:right w:val="single" w:sz="2" w:space="0" w:color="000000"/>
                        </w:tcBorders>
                      </w:tcPr>
                      <w:p>
                        <w:pPr>
                          <w:pStyle w:val="TableParagraph"/>
                          <w:spacing w:before="1"/>
                          <w:jc w:val="left"/>
                          <w:rPr>
                            <w:sz w:val="7"/>
                          </w:rPr>
                        </w:pPr>
                      </w:p>
                      <w:p>
                        <w:pPr>
                          <w:pStyle w:val="TableParagraph"/>
                          <w:ind w:left="2" w:right="1"/>
                          <w:rPr>
                            <w:rFonts w:ascii="Calibri"/>
                            <w:sz w:val="7"/>
                          </w:rPr>
                        </w:pPr>
                        <w:r>
                          <w:rPr>
                            <w:rFonts w:ascii="Calibri"/>
                            <w:sz w:val="7"/>
                          </w:rPr>
                          <w:t>7.21</w:t>
                        </w:r>
                      </w:p>
                    </w:tc>
                    <w:tc>
                      <w:tcPr>
                        <w:tcW w:w="860" w:type="dxa"/>
                        <w:tcBorders>
                          <w:left w:val="single" w:sz="2" w:space="0" w:color="000000"/>
                          <w:bottom w:val="single" w:sz="4" w:space="0" w:color="000000"/>
                          <w:right w:val="single" w:sz="2" w:space="0" w:color="000000"/>
                        </w:tcBorders>
                      </w:tcPr>
                      <w:p>
                        <w:pPr>
                          <w:pStyle w:val="TableParagraph"/>
                          <w:spacing w:before="1"/>
                          <w:jc w:val="left"/>
                          <w:rPr>
                            <w:sz w:val="7"/>
                          </w:rPr>
                        </w:pPr>
                      </w:p>
                      <w:p>
                        <w:pPr>
                          <w:pStyle w:val="TableParagraph"/>
                          <w:ind w:left="4" w:right="3"/>
                          <w:rPr>
                            <w:rFonts w:ascii="Calibri"/>
                            <w:sz w:val="7"/>
                          </w:rPr>
                        </w:pPr>
                        <w:r>
                          <w:rPr>
                            <w:rFonts w:ascii="Calibri"/>
                            <w:sz w:val="7"/>
                          </w:rPr>
                          <w:t>8.21</w:t>
                        </w:r>
                      </w:p>
                    </w:tc>
                    <w:tc>
                      <w:tcPr>
                        <w:tcW w:w="700" w:type="dxa"/>
                        <w:tcBorders>
                          <w:left w:val="single" w:sz="2" w:space="0" w:color="000000"/>
                          <w:bottom w:val="single" w:sz="4" w:space="0" w:color="000000"/>
                          <w:right w:val="single" w:sz="5" w:space="0" w:color="000000"/>
                        </w:tcBorders>
                      </w:tcPr>
                      <w:p>
                        <w:pPr>
                          <w:pStyle w:val="TableParagraph"/>
                          <w:spacing w:before="1"/>
                          <w:jc w:val="left"/>
                          <w:rPr>
                            <w:sz w:val="7"/>
                          </w:rPr>
                        </w:pPr>
                      </w:p>
                      <w:p>
                        <w:pPr>
                          <w:pStyle w:val="TableParagraph"/>
                          <w:ind w:left="1"/>
                          <w:rPr>
                            <w:rFonts w:ascii="Calibri"/>
                            <w:sz w:val="7"/>
                          </w:rPr>
                        </w:pPr>
                        <w:r>
                          <w:rPr>
                            <w:rFonts w:ascii="Calibri"/>
                            <w:sz w:val="7"/>
                          </w:rPr>
                          <w:t>7.16</w:t>
                        </w:r>
                      </w:p>
                    </w:tc>
                  </w:tr>
                </w:tbl>
                <w:p>
                  <w:pPr>
                    <w:pStyle w:val="BodyText"/>
                  </w:pPr>
                </w:p>
              </w:txbxContent>
            </v:textbox>
            <w10:wrap type="none"/>
          </v:shape>
        </w:pict>
      </w:r>
      <w:r>
        <w:rPr>
          <w:rFonts w:ascii="Calibri"/>
          <w:sz w:val="7"/>
        </w:rPr>
        <w:t>Territorio</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20"/>
        </w:rPr>
      </w:pPr>
      <w:r>
        <w:rPr/>
        <w:pict>
          <v:group style="position:absolute;margin-left:223.421997pt;margin-top:14.475836pt;width:317.7pt;height:5pt;mso-position-horizontal-relative:page;mso-position-vertical-relative:paragraph;z-index:14344;mso-wrap-distance-left:0;mso-wrap-distance-right:0" coordorigin="4468,290" coordsize="6354,100">
            <v:line style="position:absolute" from="4471,293" to="4471,386" stroked="true" strokeweight=".290pt" strokecolor="#f79646"/>
            <v:rect style="position:absolute;left:4474;top:293;width:6347;height:93" filled="true" fillcolor="#f79646" stroked="false">
              <v:fill type="solid"/>
            </v:rect>
            <w10:wrap type="topAndBottom"/>
          </v:group>
        </w:pict>
      </w:r>
    </w:p>
    <w:p>
      <w:pPr>
        <w:pStyle w:val="BodyText"/>
        <w:spacing w:before="1"/>
        <w:rPr>
          <w:rFonts w:ascii="Calibri"/>
          <w:sz w:val="9"/>
        </w:rPr>
      </w:pPr>
    </w:p>
    <w:p>
      <w:pPr>
        <w:spacing w:before="78"/>
        <w:ind w:left="268" w:right="0" w:firstLine="0"/>
        <w:jc w:val="left"/>
        <w:rPr>
          <w:sz w:val="21"/>
        </w:rPr>
      </w:pP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spacing w:before="1"/>
        <w:rPr>
          <w:sz w:val="18"/>
        </w:rPr>
      </w:pPr>
    </w:p>
    <w:p>
      <w:pPr>
        <w:pStyle w:val="ListParagraph"/>
        <w:numPr>
          <w:ilvl w:val="1"/>
          <w:numId w:val="23"/>
        </w:numPr>
        <w:tabs>
          <w:tab w:pos="736" w:val="left" w:leader="none"/>
        </w:tabs>
        <w:spacing w:line="240" w:lineRule="auto" w:before="69" w:after="0"/>
        <w:ind w:left="735" w:right="0" w:hanging="467"/>
        <w:jc w:val="both"/>
        <w:rPr>
          <w:b/>
          <w:sz w:val="24"/>
        </w:rPr>
      </w:pPr>
      <w:r>
        <w:rPr/>
        <w:pict>
          <v:line style="position:absolute;mso-position-horizontal-relative:page;mso-position-vertical-relative:paragraph;z-index:14416" from="93.199997pt,-19.614155pt" to="546.799997pt,-19.614155pt" stroked="true" strokeweight=".479981pt" strokecolor="#000000">
            <w10:wrap type="none"/>
          </v:line>
        </w:pict>
      </w:r>
      <w:r>
        <w:rPr>
          <w:b/>
          <w:sz w:val="24"/>
        </w:rPr>
        <w:t>Análisis de resultados</w:t>
      </w:r>
    </w:p>
    <w:p>
      <w:pPr>
        <w:pStyle w:val="BodyText"/>
        <w:spacing w:before="1"/>
        <w:rPr>
          <w:b/>
          <w:sz w:val="31"/>
        </w:rPr>
      </w:pPr>
    </w:p>
    <w:p>
      <w:pPr>
        <w:pStyle w:val="BodyText"/>
        <w:spacing w:line="360" w:lineRule="auto"/>
        <w:ind w:left="268" w:right="231"/>
        <w:jc w:val="both"/>
      </w:pPr>
      <w:r>
        <w:rPr/>
        <w:t>Los nueve conjuntos urbanos autorizados en el municipio de Calimaya presentan características similares en los resultados obtenidos; sin embargo, existen diferencias importantes en los indicadores e índices de sustentabilidad.</w:t>
      </w:r>
    </w:p>
    <w:p>
      <w:pPr>
        <w:pStyle w:val="BodyText"/>
        <w:spacing w:line="360" w:lineRule="auto" w:before="122"/>
        <w:ind w:left="268" w:right="231"/>
        <w:jc w:val="both"/>
      </w:pPr>
      <w:r>
        <w:rPr/>
        <w:t>Al obtener el Índice de Sustentabilidad de los conjuntos urbanos se puede apreciar que ninguno de los nueve conjuntos obtuvo un resultado deseable, los dos desarrollos habitacionales más cercanos se situaron con 17.6 puntos por debajo  de los 52.16 puntos para lograr un escenario deseable que permitiera considerar que el CU es sustentable de manera integral en los cuatro ejes del</w:t>
      </w:r>
      <w:r>
        <w:rPr>
          <w:spacing w:val="-1"/>
        </w:rPr>
        <w:t> </w:t>
      </w:r>
      <w:r>
        <w:rPr/>
        <w:t>estudio.</w:t>
      </w:r>
    </w:p>
    <w:p>
      <w:pPr>
        <w:pStyle w:val="BodyText"/>
        <w:spacing w:line="360" w:lineRule="auto" w:before="122"/>
        <w:ind w:left="268" w:right="231"/>
        <w:jc w:val="both"/>
      </w:pPr>
      <w:r>
        <w:rPr/>
        <w:t>El ISCU de los desarrollos denominados Urbi Hacienda de las Lomas y San Andrés, obtuvieron los resultados más altos, esto es de llamar la atención ya que ambos desarrollos cuentan con vivienda de tipo medio, ninguno de los desarrollos se encuentra municipalizado, el número de viviendas es menor al de los demás conjuntos y se encuentran ubicados en vialidades secundarias que les dan un acceso rápido a los medios de transporte, las gráficas 11 y 23 muestran los picos  e intervalos en los resultados de los indicadores de cada</w:t>
      </w:r>
      <w:r>
        <w:rPr>
          <w:spacing w:val="-1"/>
        </w:rPr>
        <w:t> </w:t>
      </w:r>
      <w:r>
        <w:rPr/>
        <w:t>conjunto.</w:t>
      </w:r>
    </w:p>
    <w:p>
      <w:pPr>
        <w:pStyle w:val="BodyText"/>
        <w:spacing w:line="360" w:lineRule="auto" w:before="122"/>
        <w:ind w:left="268" w:right="231"/>
        <w:jc w:val="both"/>
      </w:pPr>
      <w:r>
        <w:rPr/>
        <w:t>Por otro lado, los conjuntos urbanos con los resultados más bajos fueron Rancho la Providencia con 29.51 puntos y Valle de las Fuentes con 31.66 puntos. El primero cuenta con vivienda de tipo medio y su resultado refleja parcialmente la realidad en la que se encuentra el desarrollo, ya que está inconcluso y  abandonado por la inmobiliaria, carente de servicios públicos por lo que los habitantes han tenido que solventar la mayoría de los</w:t>
      </w:r>
      <w:r>
        <w:rPr>
          <w:spacing w:val="-2"/>
        </w:rPr>
        <w:t> </w:t>
      </w:r>
      <w:r>
        <w:rPr/>
        <w:t>servicios.</w:t>
      </w:r>
    </w:p>
    <w:p>
      <w:pPr>
        <w:pStyle w:val="BodyText"/>
        <w:spacing w:line="360" w:lineRule="auto" w:before="122"/>
        <w:ind w:left="268" w:right="231"/>
        <w:jc w:val="both"/>
      </w:pPr>
      <w:r>
        <w:rPr/>
        <w:t>En lo que respecta al proyecto de Valle de la Fuentes, éste es un proyecto de tipo residencial, cabe resaltar que el Índice de Sustentabilidad social obtuvo una ponderación alta incluso por un par de décimas del escenario deseable, este resultado se debe a factores intrínsecos al tipo de vivienda que se desarrolla y a datos cualitativos que influyen al ser una vivienda de tipo residencial; sin embargo, el resto de los resultados de los índices de sustentabilidad se encuentran muy  por</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5544" from="93.199997pt,-19.614155pt" to="546.799997pt,-19.614155pt" stroked="true" strokeweight=".479981pt" strokecolor="#000000">
            <w10:wrap type="none"/>
          </v:line>
        </w:pict>
      </w:r>
      <w:r>
        <w:rPr/>
        <w:t>debajo del escenario deseable, el índice económico muestra la relación del precio de la vivienda contra la realidad del proyecto habitacional.</w:t>
      </w:r>
    </w:p>
    <w:p>
      <w:pPr>
        <w:pStyle w:val="BodyText"/>
        <w:spacing w:line="360" w:lineRule="auto" w:before="122"/>
        <w:ind w:left="268" w:right="231"/>
        <w:jc w:val="both"/>
      </w:pPr>
      <w:r>
        <w:rPr/>
        <w:t>Con la obtención de los cuatro índices de sustentabilidad podemos apreciar la relación que guarda uno con otro ante la conceptualización de la sustentabilidad  en la promoción, producción y desarrollo de vivienda formal, la gráfica 20 muestra que a menor puntaje en el índice económico mayor es la distancia que guarda el índice social, estos índices deben ir a la par ya que esto representaría una sustentabilidad social respaldada por una sustentabilidad</w:t>
      </w:r>
      <w:r>
        <w:rPr>
          <w:spacing w:val="-1"/>
        </w:rPr>
        <w:t> </w:t>
      </w:r>
      <w:r>
        <w:rPr/>
        <w:t>económica.</w:t>
      </w:r>
    </w:p>
    <w:p>
      <w:pPr>
        <w:spacing w:before="136" w:after="6"/>
        <w:ind w:left="268" w:right="0" w:firstLine="0"/>
        <w:jc w:val="both"/>
        <w:rPr>
          <w:sz w:val="21"/>
        </w:rPr>
      </w:pPr>
      <w:r>
        <w:rPr>
          <w:w w:val="105"/>
          <w:sz w:val="21"/>
        </w:rPr>
        <w:t>Gráfica 20. Índices: económico y territorial</w:t>
      </w:r>
    </w:p>
    <w:p>
      <w:pPr>
        <w:pStyle w:val="BodyText"/>
        <w:ind w:left="267"/>
        <w:rPr>
          <w:sz w:val="20"/>
        </w:rPr>
      </w:pPr>
      <w:r>
        <w:rPr>
          <w:sz w:val="20"/>
        </w:rPr>
        <w:pict>
          <v:group style="width:441.55pt;height:227.8pt;mso-position-horizontal-relative:char;mso-position-vertical-relative:line" coordorigin="0,0" coordsize="8831,4556">
            <v:line style="position:absolute" from="159,4160" to="8669,4160" stroked="true" strokeweight=".300396pt" strokecolor="#c4c4c4"/>
            <v:line style="position:absolute" from="159,4034" to="8669,4034" stroked="true" strokeweight=".300396pt" strokecolor="#c4c4c4"/>
            <v:line style="position:absolute" from="159,3908" to="8669,3908" stroked="true" strokeweight=".300396pt" strokecolor="#c4c4c4"/>
            <v:line style="position:absolute" from="159,3776" to="8669,3776" stroked="true" strokeweight=".300396pt" strokecolor="#c4c4c4"/>
            <v:line style="position:absolute" from="159,3518" to="8669,3518" stroked="true" strokeweight=".300396pt" strokecolor="#c4c4c4"/>
            <v:line style="position:absolute" from="159,3391" to="8669,3391" stroked="true" strokeweight=".300396pt" strokecolor="#c4c4c4"/>
            <v:line style="position:absolute" from="159,3259" to="8669,3259" stroked="true" strokeweight=".300396pt" strokecolor="#c4c4c4"/>
            <v:line style="position:absolute" from="159,3133" to="8669,3133" stroked="true" strokeweight=".300396pt" strokecolor="#c4c4c4"/>
            <v:line style="position:absolute" from="159,2875" to="8669,2875" stroked="true" strokeweight=".300396pt" strokecolor="#c4c4c4"/>
            <v:line style="position:absolute" from="159,2743" to="8669,2743" stroked="true" strokeweight=".300396pt" strokecolor="#c4c4c4"/>
            <v:line style="position:absolute" from="159,2616" to="8669,2616" stroked="true" strokeweight=".300396pt" strokecolor="#c4c4c4"/>
            <v:line style="position:absolute" from="159,2490" to="8669,2490" stroked="true" strokeweight=".300396pt" strokecolor="#c4c4c4"/>
            <v:line style="position:absolute" from="159,2232" to="8669,2232" stroked="true" strokeweight=".300396pt" strokecolor="#c4c4c4"/>
            <v:line style="position:absolute" from="159,2100" to="8669,2100" stroked="true" strokeweight=".300396pt" strokecolor="#c4c4c4"/>
            <v:line style="position:absolute" from="159,1974" to="8669,1974" stroked="true" strokeweight=".300396pt" strokecolor="#c4c4c4"/>
            <v:line style="position:absolute" from="159,1841" to="8669,1841" stroked="true" strokeweight=".300396pt" strokecolor="#c4c4c4"/>
            <v:line style="position:absolute" from="159,1583" to="8669,1583" stroked="true" strokeweight=".300396pt" strokecolor="#c4c4c4"/>
            <v:line style="position:absolute" from="159,1457" to="8669,1457" stroked="true" strokeweight=".300396pt" strokecolor="#c4c4c4"/>
            <v:line style="position:absolute" from="159,1325" to="8669,1325" stroked="true" strokeweight=".300396pt" strokecolor="#c4c4c4"/>
            <v:line style="position:absolute" from="159,1199" to="8669,1199" stroked="true" strokeweight=".300396pt" strokecolor="#c4c4c4"/>
            <v:line style="position:absolute" from="159,940" to="8669,940" stroked="true" strokeweight=".300396pt" strokecolor="#c4c4c4"/>
            <v:line style="position:absolute" from="159,814" to="8669,814" stroked="true" strokeweight=".300396pt" strokecolor="#c4c4c4"/>
            <v:line style="position:absolute" from="159,682" to="8669,682" stroked="true" strokeweight=".300396pt" strokecolor="#c4c4c4"/>
            <v:line style="position:absolute" from="159,556" to="8669,556" stroked="true" strokeweight=".300396pt" strokecolor="#c4c4c4"/>
            <v:line style="position:absolute" from="159,3650" to="8669,3650" stroked="true" strokeweight=".300396pt" strokecolor="#989898"/>
            <v:line style="position:absolute" from="159,3001" to="8669,3001" stroked="true" strokeweight=".300396pt" strokecolor="#989898"/>
            <v:line style="position:absolute" from="159,2358" to="8669,2358" stroked="true" strokeweight=".300396pt" strokecolor="#989898"/>
            <v:line style="position:absolute" from="159,1715" to="8669,1715" stroked="true" strokeweight=".300396pt" strokecolor="#989898"/>
            <v:line style="position:absolute" from="159,1072" to="8669,1072" stroked="true" strokeweight=".300396pt" strokecolor="#989898"/>
            <v:line style="position:absolute" from="159,424" to="8669,424" stroked="true" strokeweight=".300396pt" strokecolor="#989898"/>
            <v:line style="position:absolute" from="159,424" to="159,4292" stroked="true" strokeweight=".300920pt" strokecolor="#989898"/>
            <v:line style="position:absolute" from="936,424" to="936,4292" stroked="true" strokeweight=".300920pt" strokecolor="#989898"/>
            <v:line style="position:absolute" from="1706,424" to="1706,4292" stroked="true" strokeweight=".300920pt" strokecolor="#989898"/>
            <v:line style="position:absolute" from="2483,424" to="2483,4292" stroked="true" strokeweight=".300920pt" strokecolor="#989898"/>
            <v:line style="position:absolute" from="3253,424" to="3253,4292" stroked="true" strokeweight=".300920pt" strokecolor="#989898"/>
            <v:line style="position:absolute" from="4029,424" to="4029,4292" stroked="true" strokeweight=".300920pt" strokecolor="#989898"/>
            <v:line style="position:absolute" from="4800,424" to="4800,4292" stroked="true" strokeweight=".300920pt" strokecolor="#989898"/>
            <v:line style="position:absolute" from="5576,424" to="5576,4292" stroked="true" strokeweight=".300920pt" strokecolor="#989898"/>
            <v:line style="position:absolute" from="6346,424" to="6346,4292" stroked="true" strokeweight=".300920pt" strokecolor="#989898"/>
            <v:line style="position:absolute" from="7123,424" to="7123,4292" stroked="true" strokeweight=".300920pt" strokecolor="#989898"/>
            <v:line style="position:absolute" from="7893,424" to="7893,4292" stroked="true" strokeweight=".300920pt" strokecolor="#989898"/>
            <v:line style="position:absolute" from="8669,424" to="8669,4292" stroked="true" strokeweight=".300920pt" strokecolor="#989898"/>
            <v:line style="position:absolute" from="8669,4292" to="8669,425" stroked="true" strokeweight=".300920pt" strokecolor="#989898"/>
            <v:line style="position:absolute" from="8669,4292" to="8688,4292" stroked="true" strokeweight=".300396pt" strokecolor="#989898"/>
            <v:line style="position:absolute" from="8669,3806" to="8688,3806" stroked="true" strokeweight=".300396pt" strokecolor="#989898"/>
            <v:line style="position:absolute" from="8669,3325" to="8688,3325" stroked="true" strokeweight=".300396pt" strokecolor="#989898"/>
            <v:line style="position:absolute" from="8669,2845" to="8688,2845" stroked="true" strokeweight=".300396pt" strokecolor="#989898"/>
            <v:line style="position:absolute" from="8669,2358" to="8688,2358" stroked="true" strokeweight=".300396pt" strokecolor="#989898"/>
            <v:line style="position:absolute" from="8669,1877" to="8688,1877" stroked="true" strokeweight=".300396pt" strokecolor="#989898"/>
            <v:line style="position:absolute" from="8669,1391" to="8688,1391" stroked="true" strokeweight=".300396pt" strokecolor="#989898"/>
            <v:line style="position:absolute" from="8669,910" to="8688,910" stroked="true" strokeweight=".300396pt" strokecolor="#989898"/>
            <v:line style="position:absolute" from="8669,424" to="8688,424" stroked="true" strokeweight=".300396pt" strokecolor="#989898"/>
            <v:line style="position:absolute" from="162,4292" to="8669,4292" stroked="true" strokeweight=".300396pt" strokecolor="#989898"/>
            <v:line style="position:absolute" from="159,4293" to="159,4315" stroked="true" strokeweight=".300920pt" strokecolor="#989898"/>
            <v:line style="position:absolute" from="936,4293" to="936,4315" stroked="true" strokeweight=".300920pt" strokecolor="#989898"/>
            <v:line style="position:absolute" from="1706,4293" to="1706,4315" stroked="true" strokeweight=".300920pt" strokecolor="#989898"/>
            <v:line style="position:absolute" from="2483,4293" to="2483,4315" stroked="true" strokeweight=".300920pt" strokecolor="#989898"/>
            <v:line style="position:absolute" from="3253,4293" to="3253,4315" stroked="true" strokeweight=".300920pt" strokecolor="#989898"/>
            <v:line style="position:absolute" from="4029,4293" to="4029,4315" stroked="true" strokeweight=".300920pt" strokecolor="#989898"/>
            <v:line style="position:absolute" from="4800,4293" to="4800,4315" stroked="true" strokeweight=".300920pt" strokecolor="#989898"/>
            <v:line style="position:absolute" from="5576,4293" to="5576,4315" stroked="true" strokeweight=".300920pt" strokecolor="#989898"/>
            <v:line style="position:absolute" from="6346,4293" to="6346,4315" stroked="true" strokeweight=".300920pt" strokecolor="#989898"/>
            <v:line style="position:absolute" from="7123,4293" to="7123,4315" stroked="true" strokeweight=".300920pt" strokecolor="#989898"/>
            <v:line style="position:absolute" from="7893,4293" to="7893,4315" stroked="true" strokeweight=".300920pt" strokecolor="#989898"/>
            <v:line style="position:absolute" from="8669,4293" to="8669,4315" stroked="true" strokeweight=".300920pt" strokecolor="#989898"/>
            <v:shape style="position:absolute;left:499;top:708;width:102;height:102" type="#_x0000_t75" stroked="false">
              <v:imagedata r:id="rId263" o:title=""/>
            </v:shape>
            <v:shape style="position:absolute;left:1269;top:1351;width:102;height:102" type="#_x0000_t75" stroked="false">
              <v:imagedata r:id="rId263" o:title=""/>
            </v:shape>
            <v:shape style="position:absolute;left:2045;top:2480;width:102;height:102" type="#_x0000_t75" stroked="false">
              <v:imagedata r:id="rId263" o:title=""/>
            </v:shape>
            <v:shape style="position:absolute;left:2816;top:2739;width:102;height:102" type="#_x0000_t75" stroked="false">
              <v:imagedata r:id="rId263" o:title=""/>
            </v:shape>
            <v:shape style="position:absolute;left:3592;top:2480;width:102;height:102" type="#_x0000_t75" stroked="false">
              <v:imagedata r:id="rId263" o:title=""/>
            </v:shape>
            <v:shape style="position:absolute;left:4362;top:2318;width:102;height:102" type="#_x0000_t75" stroked="false">
              <v:imagedata r:id="rId263" o:title=""/>
            </v:shape>
            <v:shape style="position:absolute;left:5139;top:2318;width:102;height:102" type="#_x0000_t75" stroked="false">
              <v:imagedata r:id="rId263" o:title=""/>
            </v:shape>
            <v:shape style="position:absolute;left:5909;top:2096;width:102;height:102" type="#_x0000_t75" stroked="false">
              <v:imagedata r:id="rId263" o:title=""/>
            </v:shape>
            <v:shape style="position:absolute;left:6685;top:2673;width:102;height:102" type="#_x0000_t75" stroked="false">
              <v:imagedata r:id="rId263" o:title=""/>
            </v:shape>
            <v:shape style="position:absolute;left:7456;top:2222;width:102;height:102" type="#_x0000_t75" stroked="false">
              <v:imagedata r:id="rId263" o:title=""/>
            </v:shape>
            <v:shape style="position:absolute;left:8232;top:2769;width:102;height:102" type="#_x0000_t75" stroked="false">
              <v:imagedata r:id="rId263" o:title=""/>
            </v:shape>
            <v:line style="position:absolute" from="551,748" to="1321,1391" stroked="true" strokeweight="1.127291pt" strokecolor="#e9e00c"/>
            <v:line style="position:absolute" from="1321,1391" to="2097,2520" stroked="true" strokeweight="1.127819pt" strokecolor="#e9e00c"/>
            <v:line style="position:absolute" from="2097,2520" to="2868,2779" stroked="true" strokeweight="1.126682pt" strokecolor="#e9e00c"/>
            <v:line style="position:absolute" from="2868,2779" to="3644,2520" stroked="true" strokeweight="1.126680pt" strokecolor="#e9e00c"/>
            <v:line style="position:absolute" from="3644,2520" to="4414,2358" stroked="true" strokeweight="1.126567pt" strokecolor="#e9e00c"/>
            <v:line style="position:absolute" from="4414,2358" to="5191,2358" stroked="true" strokeweight="1.126484pt" strokecolor="#e9e00c"/>
            <v:line style="position:absolute" from="5191,2358" to="5961,2136" stroked="true" strokeweight="1.126635pt" strokecolor="#e9e00c"/>
            <v:line style="position:absolute" from="5961,2136" to="6738,2713" stroked="true" strokeweight="1.127183pt" strokecolor="#e9e00c"/>
            <v:line style="position:absolute" from="6738,2713" to="7508,2262" stroked="true" strokeweight="1.126985pt" strokecolor="#e9e00c"/>
            <v:line style="position:absolute" from="7508,2262" to="8282,2809" stroked="true" strokeweight="1.127138pt" strokecolor="#e9e00c"/>
            <v:shape style="position:absolute;left:517;top:714;width:66;height:66" type="#_x0000_t75" stroked="false">
              <v:imagedata r:id="rId264" o:title=""/>
            </v:shape>
            <v:shape style="position:absolute;left:1287;top:1357;width:66;height:66" type="#_x0000_t75" stroked="false">
              <v:imagedata r:id="rId264" o:title=""/>
            </v:shape>
            <v:shape style="position:absolute;left:2063;top:2486;width:66;height:66" type="#_x0000_t75" stroked="false">
              <v:imagedata r:id="rId264" o:title=""/>
            </v:shape>
            <v:shape style="position:absolute;left:2834;top:2745;width:66;height:66" type="#_x0000_t75" stroked="false">
              <v:imagedata r:id="rId264" o:title=""/>
            </v:shape>
            <v:shape style="position:absolute;left:3610;top:2486;width:66;height:66" type="#_x0000_t75" stroked="false">
              <v:imagedata r:id="rId264" o:title=""/>
            </v:shape>
            <v:shape style="position:absolute;left:4380;top:2324;width:66;height:66" type="#_x0000_t75" stroked="false">
              <v:imagedata r:id="rId264" o:title=""/>
            </v:shape>
            <v:shape style="position:absolute;left:5157;top:2324;width:66;height:66" type="#_x0000_t75" stroked="false">
              <v:imagedata r:id="rId264" o:title=""/>
            </v:shape>
            <v:shape style="position:absolute;left:5927;top:2102;width:66;height:66" type="#_x0000_t75" stroked="false">
              <v:imagedata r:id="rId264" o:title=""/>
            </v:shape>
            <v:shape style="position:absolute;left:6703;top:2679;width:66;height:66" type="#_x0000_t75" stroked="false">
              <v:imagedata r:id="rId264" o:title=""/>
            </v:shape>
            <v:shape style="position:absolute;left:7474;top:2228;width:66;height:66" type="#_x0000_t75" stroked="false">
              <v:imagedata r:id="rId264" o:title=""/>
            </v:shape>
            <v:shape style="position:absolute;left:8250;top:2775;width:66;height:66" type="#_x0000_t75" stroked="false">
              <v:imagedata r:id="rId264" o:title=""/>
            </v:shape>
            <v:shape style="position:absolute;left:499;top:624;width:102;height:102" type="#_x0000_t75" stroked="false">
              <v:imagedata r:id="rId265" o:title=""/>
            </v:shape>
            <v:shape style="position:absolute;left:1269;top:1495;width:102;height:102" type="#_x0000_t75" stroked="false">
              <v:imagedata r:id="rId265" o:title=""/>
            </v:shape>
            <v:shape style="position:absolute;left:2045;top:1447;width:102;height:102" type="#_x0000_t75" stroked="false">
              <v:imagedata r:id="rId265" o:title=""/>
            </v:shape>
            <v:shape style="position:absolute;left:2816;top:1159;width:102;height:102" type="#_x0000_t75" stroked="false">
              <v:imagedata r:id="rId265" o:title=""/>
            </v:shape>
            <v:shape style="position:absolute;left:3592;top:1447;width:102;height:102" type="#_x0000_t75" stroked="false">
              <v:imagedata r:id="rId265" o:title=""/>
            </v:shape>
            <v:shape style="position:absolute;left:4362;top:1741;width:102;height:102" type="#_x0000_t75" stroked="false">
              <v:imagedata r:id="rId265" o:title=""/>
            </v:shape>
            <v:shape style="position:absolute;left:5139;top:1543;width:102;height:102" type="#_x0000_t75" stroked="false">
              <v:imagedata r:id="rId265" o:title=""/>
            </v:shape>
            <v:shape style="position:absolute;left:5909;top:1447;width:102;height:102" type="#_x0000_t75" stroked="false">
              <v:imagedata r:id="rId265" o:title=""/>
            </v:shape>
            <v:shape style="position:absolute;left:6685;top:1327;width:102;height:102" type="#_x0000_t75" stroked="false">
              <v:imagedata r:id="rId265" o:title=""/>
            </v:shape>
            <v:shape style="position:absolute;left:7456;top:1447;width:102;height:102" type="#_x0000_t75" stroked="false">
              <v:imagedata r:id="rId265" o:title=""/>
            </v:shape>
            <v:shape style="position:absolute;left:8232;top:1327;width:102;height:102" type="#_x0000_t75" stroked="false">
              <v:imagedata r:id="rId265" o:title=""/>
            </v:shape>
            <v:line style="position:absolute" from="551,664" to="1321,1535" stroked="true" strokeweight="1.127587pt" strokecolor="#c731d0"/>
            <v:line style="position:absolute" from="1321,1535" to="2097,1487" stroked="true" strokeweight="1.126491pt" strokecolor="#c731d0"/>
            <v:line style="position:absolute" from="2097,1487" to="2868,1199" stroked="true" strokeweight="1.126725pt" strokecolor="#c731d0"/>
            <v:line style="position:absolute" from="2868,1199" to="3644,1487" stroked="true" strokeweight="1.126722pt" strokecolor="#c731d0"/>
            <v:line style="position:absolute" from="3644,1487" to="4414,1779" stroked="true" strokeweight="1.12673pt" strokecolor="#c731d0"/>
            <v:line style="position:absolute" from="4414,1779" to="5191,1583" stroked="true" strokeweight="1.126601pt" strokecolor="#c731d0"/>
            <v:line style="position:absolute" from="5191,1583" to="5961,1487" stroked="true" strokeweight="1.126514pt" strokecolor="#c731d0"/>
            <v:line style="position:absolute" from="5961,1487" to="6738,1367" stroked="true" strokeweight="1.12653pt" strokecolor="#c731d0"/>
            <v:line style="position:absolute" from="6738,1367" to="7508,1487" stroked="true" strokeweight="1.12653pt" strokecolor="#c731d0"/>
            <v:line style="position:absolute" from="7508,1487" to="8282,1367" stroked="true" strokeweight="1.12653pt" strokecolor="#c731d0"/>
            <v:shape style="position:absolute;left:517;top:630;width:66;height:66" type="#_x0000_t75" stroked="false">
              <v:imagedata r:id="rId266" o:title=""/>
            </v:shape>
            <v:shape style="position:absolute;left:1287;top:1501;width:66;height:66" type="#_x0000_t75" stroked="false">
              <v:imagedata r:id="rId266" o:title=""/>
            </v:shape>
            <v:shape style="position:absolute;left:2063;top:1453;width:66;height:66" type="#_x0000_t75" stroked="false">
              <v:imagedata r:id="rId266" o:title=""/>
            </v:shape>
            <v:shape style="position:absolute;left:2834;top:1165;width:66;height:66" type="#_x0000_t75" stroked="false">
              <v:imagedata r:id="rId266" o:title=""/>
            </v:shape>
            <v:shape style="position:absolute;left:3610;top:1453;width:66;height:66" type="#_x0000_t75" stroked="false">
              <v:imagedata r:id="rId266" o:title=""/>
            </v:shape>
            <v:shape style="position:absolute;left:4380;top:1747;width:66;height:66" type="#_x0000_t75" stroked="false">
              <v:imagedata r:id="rId266" o:title=""/>
            </v:shape>
            <v:shape style="position:absolute;left:5157;top:1549;width:66;height:66" type="#_x0000_t75" stroked="false">
              <v:imagedata r:id="rId266" o:title=""/>
            </v:shape>
            <v:shape style="position:absolute;left:5927;top:1453;width:66;height:66" type="#_x0000_t75" stroked="false">
              <v:imagedata r:id="rId266" o:title=""/>
            </v:shape>
            <v:shape style="position:absolute;left:6703;top:1333;width:66;height:66" type="#_x0000_t75" stroked="false">
              <v:imagedata r:id="rId266" o:title=""/>
            </v:shape>
            <v:shape style="position:absolute;left:7474;top:1453;width:66;height:66" type="#_x0000_t75" stroked="false">
              <v:imagedata r:id="rId266" o:title=""/>
            </v:shape>
            <v:shape style="position:absolute;left:8250;top:1333;width:66;height:66" type="#_x0000_t75" stroked="false">
              <v:imagedata r:id="rId266" o:title=""/>
            </v:shape>
            <v:line style="position:absolute" from="4221,290" to="4337,290" stroked="true" strokeweight="1.126484pt" strokecolor="#e9e00c"/>
            <v:line style="position:absolute" from="4258,291" to="4294,291" stroked="true" strokeweight="1.72028pt" strokecolor="#e9e00c"/>
            <v:rect style="position:absolute;left:4258;top:273;width:36;height:34" filled="false" stroked="true" strokeweight=".300645pt" strokecolor="#e9e00c"/>
            <v:shape style="position:absolute;left:4487;top:273;width:37;height:35" coordorigin="4487,273" coordsize="37,35" path="m4505,273l4487,291,4505,308,4523,291,4505,273xe" filled="true" fillcolor="#c731d0" stroked="false">
              <v:path arrowok="t"/>
              <v:fill type="solid"/>
            </v:shape>
            <v:shape style="position:absolute;left:4487;top:273;width:37;height:35" coordorigin="4487,273" coordsize="37,35" path="m4505,273l4523,291,4505,308,4487,291,4505,273xe" filled="false" stroked="true" strokeweight=".300645pt" strokecolor="#c731d0">
              <v:path arrowok="t"/>
            </v:shape>
            <v:rect style="position:absolute;left:3;top:3;width:8825;height:4550" filled="false" stroked="true" strokeweight=".300506pt" strokecolor="#989898"/>
            <v:shape style="position:absolute;left:3666;top:78;width:1498;height:250" type="#_x0000_t202" filled="false" stroked="false">
              <v:textbox inset="0,0,0,0">
                <w:txbxContent>
                  <w:p>
                    <w:pPr>
                      <w:spacing w:line="97" w:lineRule="exact" w:before="0"/>
                      <w:ind w:left="0" w:right="0" w:firstLine="0"/>
                      <w:jc w:val="center"/>
                      <w:rPr>
                        <w:b/>
                        <w:sz w:val="9"/>
                      </w:rPr>
                    </w:pPr>
                    <w:r>
                      <w:rPr>
                        <w:b/>
                        <w:w w:val="105"/>
                        <w:sz w:val="9"/>
                      </w:rPr>
                      <w:t>Índice económico e Índice social</w:t>
                    </w:r>
                  </w:p>
                  <w:p>
                    <w:pPr>
                      <w:spacing w:line="68" w:lineRule="exact" w:before="84"/>
                      <w:ind w:left="151" w:right="0" w:firstLine="0"/>
                      <w:jc w:val="center"/>
                      <w:rPr>
                        <w:b/>
                        <w:sz w:val="6"/>
                      </w:rPr>
                    </w:pPr>
                    <w:r>
                      <w:rPr>
                        <w:b/>
                        <w:sz w:val="6"/>
                      </w:rPr>
                      <w:t>IE          IS</w:t>
                    </w:r>
                  </w:p>
                </w:txbxContent>
              </v:textbox>
              <w10:wrap type="none"/>
            </v:shape>
            <v:shape style="position:absolute;left:45;top:402;width:62;height:61" type="#_x0000_t202" filled="false" stroked="false">
              <v:textbox inset="0,0,0,0">
                <w:txbxContent>
                  <w:p>
                    <w:pPr>
                      <w:spacing w:line="60" w:lineRule="exact" w:before="0"/>
                      <w:ind w:left="0" w:right="-19" w:firstLine="0"/>
                      <w:jc w:val="left"/>
                      <w:rPr>
                        <w:rFonts w:ascii="Calibri"/>
                        <w:sz w:val="6"/>
                      </w:rPr>
                    </w:pPr>
                    <w:r>
                      <w:rPr>
                        <w:rFonts w:ascii="Calibri"/>
                        <w:sz w:val="6"/>
                      </w:rPr>
                      <w:t>12</w:t>
                    </w:r>
                  </w:p>
                </w:txbxContent>
              </v:textbox>
              <w10:wrap type="none"/>
            </v:shape>
            <v:shape style="position:absolute;left:8725;top:402;width:62;height:61" type="#_x0000_t202" filled="false" stroked="false">
              <v:textbox inset="0,0,0,0">
                <w:txbxContent>
                  <w:p>
                    <w:pPr>
                      <w:spacing w:line="60" w:lineRule="exact" w:before="0"/>
                      <w:ind w:left="0" w:right="-19" w:firstLine="0"/>
                      <w:jc w:val="left"/>
                      <w:rPr>
                        <w:rFonts w:ascii="Calibri"/>
                        <w:sz w:val="6"/>
                      </w:rPr>
                    </w:pPr>
                    <w:r>
                      <w:rPr>
                        <w:rFonts w:ascii="Calibri"/>
                        <w:sz w:val="6"/>
                      </w:rPr>
                      <w:t>16</w:t>
                    </w:r>
                  </w:p>
                </w:txbxContent>
              </v:textbox>
              <w10:wrap type="none"/>
            </v:shape>
            <v:shape style="position:absolute;left:618;top:644;width:62;height:141" type="#_x0000_t202" filled="false" stroked="false">
              <v:textbox inset="0,0,0,0">
                <w:txbxContent>
                  <w:p>
                    <w:pPr>
                      <w:spacing w:line="63" w:lineRule="exact" w:before="0"/>
                      <w:ind w:left="0" w:right="-19" w:firstLine="0"/>
                      <w:jc w:val="left"/>
                      <w:rPr>
                        <w:rFonts w:ascii="Calibri"/>
                        <w:sz w:val="6"/>
                      </w:rPr>
                    </w:pPr>
                    <w:r>
                      <w:rPr>
                        <w:rFonts w:ascii="Calibri"/>
                        <w:sz w:val="6"/>
                      </w:rPr>
                      <w:t>15</w:t>
                    </w:r>
                  </w:p>
                  <w:p>
                    <w:pPr>
                      <w:spacing w:line="70" w:lineRule="exact" w:before="7"/>
                      <w:ind w:left="0" w:right="-19" w:firstLine="0"/>
                      <w:jc w:val="left"/>
                      <w:rPr>
                        <w:rFonts w:ascii="Calibri"/>
                        <w:sz w:val="6"/>
                      </w:rPr>
                    </w:pPr>
                    <w:r>
                      <w:rPr>
                        <w:rFonts w:ascii="Calibri"/>
                        <w:sz w:val="6"/>
                      </w:rPr>
                      <w:t>11</w:t>
                    </w:r>
                  </w:p>
                </w:txbxContent>
              </v:textbox>
              <w10:wrap type="none"/>
            </v:shape>
            <v:shape style="position:absolute;left:8725;top:886;width:62;height:61" type="#_x0000_t202" filled="false" stroked="false">
              <v:textbox inset="0,0,0,0">
                <w:txbxContent>
                  <w:p>
                    <w:pPr>
                      <w:spacing w:line="60" w:lineRule="exact" w:before="0"/>
                      <w:ind w:left="0" w:right="-19" w:firstLine="0"/>
                      <w:jc w:val="left"/>
                      <w:rPr>
                        <w:rFonts w:ascii="Calibri"/>
                        <w:sz w:val="6"/>
                      </w:rPr>
                    </w:pPr>
                    <w:r>
                      <w:rPr>
                        <w:rFonts w:ascii="Calibri"/>
                        <w:sz w:val="6"/>
                      </w:rPr>
                      <w:t>14</w:t>
                    </w:r>
                  </w:p>
                </w:txbxContent>
              </v:textbox>
              <w10:wrap type="none"/>
            </v:shape>
            <v:shape style="position:absolute;left:45;top:1047;width:62;height:61" type="#_x0000_t202" filled="false" stroked="false">
              <v:textbox inset="0,0,0,0">
                <w:txbxContent>
                  <w:p>
                    <w:pPr>
                      <w:spacing w:line="60" w:lineRule="exact" w:before="0"/>
                      <w:ind w:left="0" w:right="-19" w:firstLine="0"/>
                      <w:jc w:val="left"/>
                      <w:rPr>
                        <w:rFonts w:ascii="Calibri"/>
                        <w:sz w:val="6"/>
                      </w:rPr>
                    </w:pPr>
                    <w:r>
                      <w:rPr>
                        <w:rFonts w:ascii="Calibri"/>
                        <w:sz w:val="6"/>
                      </w:rPr>
                      <w:t>10</w:t>
                    </w:r>
                  </w:p>
                </w:txbxContent>
              </v:textbox>
              <w10:wrap type="none"/>
            </v:shape>
            <v:shape style="position:absolute;left:2941;top:1176;width:138;height:61" type="#_x0000_t202" filled="false" stroked="false">
              <v:textbox inset="0,0,0,0">
                <w:txbxContent>
                  <w:p>
                    <w:pPr>
                      <w:spacing w:line="60" w:lineRule="exact" w:before="0"/>
                      <w:ind w:left="0" w:right="-19" w:firstLine="0"/>
                      <w:jc w:val="left"/>
                      <w:rPr>
                        <w:rFonts w:ascii="Calibri"/>
                        <w:sz w:val="6"/>
                      </w:rPr>
                    </w:pPr>
                    <w:r>
                      <w:rPr>
                        <w:rFonts w:ascii="Calibri"/>
                        <w:sz w:val="6"/>
                      </w:rPr>
                      <w:t>12.80</w:t>
                    </w:r>
                  </w:p>
                </w:txbxContent>
              </v:textbox>
              <w10:wrap type="none"/>
            </v:shape>
            <v:shape style="position:absolute;left:1391;top:1369;width:107;height:61" type="#_x0000_t202" filled="false" stroked="false">
              <v:textbox inset="0,0,0,0">
                <w:txbxContent>
                  <w:p>
                    <w:pPr>
                      <w:spacing w:line="60" w:lineRule="exact" w:before="0"/>
                      <w:ind w:left="0" w:right="-20" w:firstLine="0"/>
                      <w:jc w:val="left"/>
                      <w:rPr>
                        <w:rFonts w:ascii="Calibri"/>
                        <w:sz w:val="6"/>
                      </w:rPr>
                    </w:pPr>
                    <w:r>
                      <w:rPr>
                        <w:rFonts w:ascii="Calibri"/>
                        <w:sz w:val="6"/>
                      </w:rPr>
                      <w:t>9.00</w:t>
                    </w:r>
                  </w:p>
                </w:txbxContent>
              </v:textbox>
              <w10:wrap type="none"/>
            </v:shape>
            <v:shape style="position:absolute;left:6808;top:1345;width:138;height:61" type="#_x0000_t202" filled="false" stroked="false">
              <v:textbox inset="0,0,0,0">
                <w:txbxContent>
                  <w:p>
                    <w:pPr>
                      <w:spacing w:line="60" w:lineRule="exact" w:before="0"/>
                      <w:ind w:left="0" w:right="-19" w:firstLine="0"/>
                      <w:jc w:val="left"/>
                      <w:rPr>
                        <w:rFonts w:ascii="Calibri"/>
                        <w:sz w:val="6"/>
                      </w:rPr>
                    </w:pPr>
                    <w:r>
                      <w:rPr>
                        <w:rFonts w:ascii="Calibri"/>
                        <w:sz w:val="6"/>
                      </w:rPr>
                      <w:t>12.10</w:t>
                    </w:r>
                  </w:p>
                </w:txbxContent>
              </v:textbox>
              <w10:wrap type="none"/>
            </v:shape>
            <v:shape style="position:absolute;left:8354;top:1345;width:138;height:61" type="#_x0000_t202" filled="false" stroked="false">
              <v:textbox inset="0,0,0,0">
                <w:txbxContent>
                  <w:p>
                    <w:pPr>
                      <w:spacing w:line="60" w:lineRule="exact" w:before="0"/>
                      <w:ind w:left="0" w:right="-19" w:firstLine="0"/>
                      <w:jc w:val="left"/>
                      <w:rPr>
                        <w:rFonts w:ascii="Calibri"/>
                        <w:sz w:val="6"/>
                      </w:rPr>
                    </w:pPr>
                    <w:r>
                      <w:rPr>
                        <w:rFonts w:ascii="Calibri"/>
                        <w:sz w:val="6"/>
                      </w:rPr>
                      <w:t>12.10</w:t>
                    </w:r>
                  </w:p>
                </w:txbxContent>
              </v:textbox>
              <w10:wrap type="none"/>
            </v:shape>
            <v:shape style="position:absolute;left:8725;top:1369;width:62;height:61" type="#_x0000_t202" filled="false" stroked="false">
              <v:textbox inset="0,0,0,0">
                <w:txbxContent>
                  <w:p>
                    <w:pPr>
                      <w:spacing w:line="60" w:lineRule="exact" w:before="0"/>
                      <w:ind w:left="0" w:right="-19" w:firstLine="0"/>
                      <w:jc w:val="left"/>
                      <w:rPr>
                        <w:rFonts w:ascii="Calibri"/>
                        <w:sz w:val="6"/>
                      </w:rPr>
                    </w:pPr>
                    <w:r>
                      <w:rPr>
                        <w:rFonts w:ascii="Calibri"/>
                        <w:sz w:val="6"/>
                      </w:rPr>
                      <w:t>12</w:t>
                    </w:r>
                  </w:p>
                </w:txbxContent>
              </v:textbox>
              <w10:wrap type="none"/>
            </v:shape>
            <v:shape style="position:absolute;left:2168;top:1466;width:138;height:61" type="#_x0000_t202" filled="false" stroked="false">
              <v:textbox inset="0,0,0,0">
                <w:txbxContent>
                  <w:p>
                    <w:pPr>
                      <w:spacing w:line="60" w:lineRule="exact" w:before="0"/>
                      <w:ind w:left="0" w:right="-19" w:firstLine="0"/>
                      <w:jc w:val="left"/>
                      <w:rPr>
                        <w:rFonts w:ascii="Calibri"/>
                        <w:sz w:val="6"/>
                      </w:rPr>
                    </w:pPr>
                    <w:r>
                      <w:rPr>
                        <w:rFonts w:ascii="Calibri"/>
                        <w:sz w:val="6"/>
                      </w:rPr>
                      <w:t>11.60</w:t>
                    </w:r>
                  </w:p>
                </w:txbxContent>
              </v:textbox>
              <w10:wrap type="none"/>
            </v:shape>
            <v:shape style="position:absolute;left:3714;top:1466;width:138;height:61" type="#_x0000_t202" filled="false" stroked="false">
              <v:textbox inset="0,0,0,0">
                <w:txbxContent>
                  <w:p>
                    <w:pPr>
                      <w:spacing w:line="60" w:lineRule="exact" w:before="0"/>
                      <w:ind w:left="0" w:right="-19" w:firstLine="0"/>
                      <w:jc w:val="left"/>
                      <w:rPr>
                        <w:rFonts w:ascii="Calibri"/>
                        <w:sz w:val="6"/>
                      </w:rPr>
                    </w:pPr>
                    <w:r>
                      <w:rPr>
                        <w:rFonts w:ascii="Calibri"/>
                        <w:sz w:val="6"/>
                      </w:rPr>
                      <w:t>11.60</w:t>
                    </w:r>
                  </w:p>
                </w:txbxContent>
              </v:textbox>
              <w10:wrap type="none"/>
            </v:shape>
            <v:shape style="position:absolute;left:6034;top:1466;width:138;height:61" type="#_x0000_t202" filled="false" stroked="false">
              <v:textbox inset="0,0,0,0">
                <w:txbxContent>
                  <w:p>
                    <w:pPr>
                      <w:spacing w:line="60" w:lineRule="exact" w:before="0"/>
                      <w:ind w:left="0" w:right="-19" w:firstLine="0"/>
                      <w:jc w:val="left"/>
                      <w:rPr>
                        <w:rFonts w:ascii="Calibri"/>
                        <w:sz w:val="6"/>
                      </w:rPr>
                    </w:pPr>
                    <w:r>
                      <w:rPr>
                        <w:rFonts w:ascii="Calibri"/>
                        <w:sz w:val="6"/>
                      </w:rPr>
                      <w:t>11.60</w:t>
                    </w:r>
                  </w:p>
                </w:txbxContent>
              </v:textbox>
              <w10:wrap type="none"/>
            </v:shape>
            <v:shape style="position:absolute;left:7581;top:1466;width:138;height:61" type="#_x0000_t202" filled="false" stroked="false">
              <v:textbox inset="0,0,0,0">
                <w:txbxContent>
                  <w:p>
                    <w:pPr>
                      <w:spacing w:line="60" w:lineRule="exact" w:before="0"/>
                      <w:ind w:left="0" w:right="-19" w:firstLine="0"/>
                      <w:jc w:val="left"/>
                      <w:rPr>
                        <w:rFonts w:ascii="Calibri"/>
                        <w:sz w:val="6"/>
                      </w:rPr>
                    </w:pPr>
                    <w:r>
                      <w:rPr>
                        <w:rFonts w:ascii="Calibri"/>
                        <w:sz w:val="6"/>
                      </w:rPr>
                      <w:t>11.60</w:t>
                    </w:r>
                  </w:p>
                </w:txbxContent>
              </v:textbox>
              <w10:wrap type="none"/>
            </v:shape>
            <v:shape style="position:absolute;left:1394;top:1514;width:138;height:61" type="#_x0000_t202" filled="false" stroked="false">
              <v:textbox inset="0,0,0,0">
                <w:txbxContent>
                  <w:p>
                    <w:pPr>
                      <w:spacing w:line="60" w:lineRule="exact" w:before="0"/>
                      <w:ind w:left="0" w:right="-19" w:firstLine="0"/>
                      <w:jc w:val="left"/>
                      <w:rPr>
                        <w:rFonts w:ascii="Calibri"/>
                        <w:sz w:val="6"/>
                      </w:rPr>
                    </w:pPr>
                    <w:r>
                      <w:rPr>
                        <w:rFonts w:ascii="Calibri"/>
                        <w:sz w:val="6"/>
                      </w:rPr>
                      <w:t>11.40</w:t>
                    </w:r>
                  </w:p>
                </w:txbxContent>
              </v:textbox>
              <w10:wrap type="none"/>
            </v:shape>
            <v:shape style="position:absolute;left:5261;top:1562;width:138;height:61" type="#_x0000_t202" filled="false" stroked="false">
              <v:textbox inset="0,0,0,0">
                <w:txbxContent>
                  <w:p>
                    <w:pPr>
                      <w:spacing w:line="60" w:lineRule="exact" w:before="0"/>
                      <w:ind w:left="0" w:right="-19" w:firstLine="0"/>
                      <w:jc w:val="left"/>
                      <w:rPr>
                        <w:rFonts w:ascii="Calibri"/>
                        <w:sz w:val="6"/>
                      </w:rPr>
                    </w:pPr>
                    <w:r>
                      <w:rPr>
                        <w:rFonts w:ascii="Calibri"/>
                        <w:sz w:val="6"/>
                      </w:rPr>
                      <w:t>11.20</w:t>
                    </w:r>
                  </w:p>
                </w:txbxContent>
              </v:textbox>
              <w10:wrap type="none"/>
            </v:shape>
            <v:shape style="position:absolute;left:76;top:1691;width:31;height:61" type="#_x0000_t202" filled="false" stroked="false">
              <v:textbox inset="0,0,0,0">
                <w:txbxContent>
                  <w:p>
                    <w:pPr>
                      <w:spacing w:line="60" w:lineRule="exact" w:before="0"/>
                      <w:ind w:left="0" w:right="0" w:firstLine="0"/>
                      <w:jc w:val="left"/>
                      <w:rPr>
                        <w:rFonts w:ascii="Calibri"/>
                        <w:sz w:val="6"/>
                      </w:rPr>
                    </w:pPr>
                    <w:r>
                      <w:rPr>
                        <w:rFonts w:ascii="Calibri"/>
                        <w:w w:val="100"/>
                        <w:sz w:val="6"/>
                      </w:rPr>
                      <w:t>8</w:t>
                    </w:r>
                  </w:p>
                </w:txbxContent>
              </v:textbox>
              <w10:wrap type="none"/>
            </v:shape>
            <v:shape style="position:absolute;left:4488;top:1756;width:138;height:61" type="#_x0000_t202" filled="false" stroked="false">
              <v:textbox inset="0,0,0,0">
                <w:txbxContent>
                  <w:p>
                    <w:pPr>
                      <w:spacing w:line="60" w:lineRule="exact" w:before="0"/>
                      <w:ind w:left="0" w:right="-19" w:firstLine="0"/>
                      <w:jc w:val="left"/>
                      <w:rPr>
                        <w:rFonts w:ascii="Calibri"/>
                        <w:sz w:val="6"/>
                      </w:rPr>
                    </w:pPr>
                    <w:r>
                      <w:rPr>
                        <w:rFonts w:ascii="Calibri"/>
                        <w:sz w:val="6"/>
                      </w:rPr>
                      <w:t>10.40</w:t>
                    </w:r>
                  </w:p>
                </w:txbxContent>
              </v:textbox>
              <w10:wrap type="none"/>
            </v:shape>
            <v:shape style="position:absolute;left:8725;top:1852;width:62;height:61" type="#_x0000_t202" filled="false" stroked="false">
              <v:textbox inset="0,0,0,0">
                <w:txbxContent>
                  <w:p>
                    <w:pPr>
                      <w:spacing w:line="60" w:lineRule="exact" w:before="0"/>
                      <w:ind w:left="0" w:right="-19" w:firstLine="0"/>
                      <w:jc w:val="left"/>
                      <w:rPr>
                        <w:rFonts w:ascii="Calibri"/>
                        <w:sz w:val="6"/>
                      </w:rPr>
                    </w:pPr>
                    <w:r>
                      <w:rPr>
                        <w:rFonts w:ascii="Calibri"/>
                        <w:sz w:val="6"/>
                      </w:rPr>
                      <w:t>10</w:t>
                    </w:r>
                  </w:p>
                </w:txbxContent>
              </v:textbox>
              <w10:wrap type="none"/>
            </v:shape>
            <v:shape style="position:absolute;left:6031;top:2110;width:107;height:61" type="#_x0000_t202" filled="false" stroked="false">
              <v:textbox inset="0,0,0,0">
                <w:txbxContent>
                  <w:p>
                    <w:pPr>
                      <w:spacing w:line="60" w:lineRule="exact" w:before="0"/>
                      <w:ind w:left="0" w:right="-20" w:firstLine="0"/>
                      <w:jc w:val="left"/>
                      <w:rPr>
                        <w:rFonts w:ascii="Calibri"/>
                        <w:sz w:val="6"/>
                      </w:rPr>
                    </w:pPr>
                    <w:r>
                      <w:rPr>
                        <w:rFonts w:ascii="Calibri"/>
                        <w:sz w:val="6"/>
                      </w:rPr>
                      <w:t>6.70</w:t>
                    </w:r>
                  </w:p>
                </w:txbxContent>
              </v:textbox>
              <w10:wrap type="none"/>
            </v:shape>
            <v:shape style="position:absolute;left:7578;top:2239;width:107;height:61" type="#_x0000_t202" filled="false" stroked="false">
              <v:textbox inset="0,0,0,0">
                <w:txbxContent>
                  <w:p>
                    <w:pPr>
                      <w:spacing w:line="60" w:lineRule="exact" w:before="0"/>
                      <w:ind w:left="0" w:right="-20" w:firstLine="0"/>
                      <w:jc w:val="left"/>
                      <w:rPr>
                        <w:rFonts w:ascii="Calibri"/>
                        <w:sz w:val="6"/>
                      </w:rPr>
                    </w:pPr>
                    <w:r>
                      <w:rPr>
                        <w:rFonts w:ascii="Calibri"/>
                        <w:sz w:val="6"/>
                      </w:rPr>
                      <w:t>6.30</w:t>
                    </w:r>
                  </w:p>
                </w:txbxContent>
              </v:textbox>
              <w10:wrap type="none"/>
            </v:shape>
            <v:shape style="position:absolute;left:76;top:2336;width:31;height:61" type="#_x0000_t202" filled="false" stroked="false">
              <v:textbox inset="0,0,0,0">
                <w:txbxContent>
                  <w:p>
                    <w:pPr>
                      <w:spacing w:line="60" w:lineRule="exact" w:before="0"/>
                      <w:ind w:left="0" w:right="0" w:firstLine="0"/>
                      <w:jc w:val="left"/>
                      <w:rPr>
                        <w:rFonts w:ascii="Calibri"/>
                        <w:sz w:val="6"/>
                      </w:rPr>
                    </w:pPr>
                    <w:r>
                      <w:rPr>
                        <w:rFonts w:ascii="Calibri"/>
                        <w:w w:val="100"/>
                        <w:sz w:val="6"/>
                      </w:rPr>
                      <w:t>6</w:t>
                    </w:r>
                  </w:p>
                </w:txbxContent>
              </v:textbox>
              <w10:wrap type="none"/>
            </v:shape>
            <v:shape style="position:absolute;left:4485;top:2336;width:107;height:61" type="#_x0000_t202" filled="false" stroked="false">
              <v:textbox inset="0,0,0,0">
                <w:txbxContent>
                  <w:p>
                    <w:pPr>
                      <w:spacing w:line="60" w:lineRule="exact" w:before="0"/>
                      <w:ind w:left="0" w:right="-20" w:firstLine="0"/>
                      <w:jc w:val="left"/>
                      <w:rPr>
                        <w:rFonts w:ascii="Calibri"/>
                        <w:sz w:val="6"/>
                      </w:rPr>
                    </w:pPr>
                    <w:r>
                      <w:rPr>
                        <w:rFonts w:ascii="Calibri"/>
                        <w:sz w:val="6"/>
                      </w:rPr>
                      <w:t>6.00</w:t>
                    </w:r>
                  </w:p>
                </w:txbxContent>
              </v:textbox>
              <w10:wrap type="none"/>
            </v:shape>
            <v:shape style="position:absolute;left:5258;top:2336;width:107;height:61" type="#_x0000_t202" filled="false" stroked="false">
              <v:textbox inset="0,0,0,0">
                <w:txbxContent>
                  <w:p>
                    <w:pPr>
                      <w:spacing w:line="60" w:lineRule="exact" w:before="0"/>
                      <w:ind w:left="0" w:right="-20" w:firstLine="0"/>
                      <w:jc w:val="left"/>
                      <w:rPr>
                        <w:rFonts w:ascii="Calibri"/>
                        <w:sz w:val="6"/>
                      </w:rPr>
                    </w:pPr>
                    <w:r>
                      <w:rPr>
                        <w:rFonts w:ascii="Calibri"/>
                        <w:sz w:val="6"/>
                      </w:rPr>
                      <w:t>6.00</w:t>
                    </w:r>
                  </w:p>
                </w:txbxContent>
              </v:textbox>
              <w10:wrap type="none"/>
            </v:shape>
            <v:shape style="position:absolute;left:8725;top:2336;width:31;height:61" type="#_x0000_t202" filled="false" stroked="false">
              <v:textbox inset="0,0,0,0">
                <w:txbxContent>
                  <w:p>
                    <w:pPr>
                      <w:spacing w:line="60" w:lineRule="exact" w:before="0"/>
                      <w:ind w:left="0" w:right="0" w:firstLine="0"/>
                      <w:jc w:val="left"/>
                      <w:rPr>
                        <w:rFonts w:ascii="Calibri"/>
                        <w:sz w:val="6"/>
                      </w:rPr>
                    </w:pPr>
                    <w:r>
                      <w:rPr>
                        <w:rFonts w:ascii="Calibri"/>
                        <w:w w:val="100"/>
                        <w:sz w:val="6"/>
                      </w:rPr>
                      <w:t>8</w:t>
                    </w:r>
                  </w:p>
                </w:txbxContent>
              </v:textbox>
              <w10:wrap type="none"/>
            </v:shape>
            <v:shape style="position:absolute;left:2165;top:2497;width:107;height:61" type="#_x0000_t202" filled="false" stroked="false">
              <v:textbox inset="0,0,0,0">
                <w:txbxContent>
                  <w:p>
                    <w:pPr>
                      <w:spacing w:line="60" w:lineRule="exact" w:before="0"/>
                      <w:ind w:left="0" w:right="-20" w:firstLine="0"/>
                      <w:jc w:val="left"/>
                      <w:rPr>
                        <w:rFonts w:ascii="Calibri"/>
                        <w:sz w:val="6"/>
                      </w:rPr>
                    </w:pPr>
                    <w:r>
                      <w:rPr>
                        <w:rFonts w:ascii="Calibri"/>
                        <w:sz w:val="6"/>
                      </w:rPr>
                      <w:t>5.50</w:t>
                    </w:r>
                  </w:p>
                </w:txbxContent>
              </v:textbox>
              <w10:wrap type="none"/>
            </v:shape>
            <v:shape style="position:absolute;left:3711;top:2497;width:107;height:61" type="#_x0000_t202" filled="false" stroked="false">
              <v:textbox inset="0,0,0,0">
                <w:txbxContent>
                  <w:p>
                    <w:pPr>
                      <w:spacing w:line="60" w:lineRule="exact" w:before="0"/>
                      <w:ind w:left="0" w:right="-20" w:firstLine="0"/>
                      <w:jc w:val="left"/>
                      <w:rPr>
                        <w:rFonts w:ascii="Calibri"/>
                        <w:sz w:val="6"/>
                      </w:rPr>
                    </w:pPr>
                    <w:r>
                      <w:rPr>
                        <w:rFonts w:ascii="Calibri"/>
                        <w:sz w:val="6"/>
                      </w:rPr>
                      <w:t>5.50</w:t>
                    </w:r>
                  </w:p>
                </w:txbxContent>
              </v:textbox>
              <w10:wrap type="none"/>
            </v:shape>
            <v:shape style="position:absolute;left:6805;top:2690;width:107;height:61" type="#_x0000_t202" filled="false" stroked="false">
              <v:textbox inset="0,0,0,0">
                <w:txbxContent>
                  <w:p>
                    <w:pPr>
                      <w:spacing w:line="60" w:lineRule="exact" w:before="0"/>
                      <w:ind w:left="0" w:right="-20" w:firstLine="0"/>
                      <w:jc w:val="left"/>
                      <w:rPr>
                        <w:rFonts w:ascii="Calibri"/>
                        <w:sz w:val="6"/>
                      </w:rPr>
                    </w:pPr>
                    <w:r>
                      <w:rPr>
                        <w:rFonts w:ascii="Calibri"/>
                        <w:sz w:val="6"/>
                      </w:rPr>
                      <w:t>4.90</w:t>
                    </w:r>
                  </w:p>
                </w:txbxContent>
              </v:textbox>
              <w10:wrap type="none"/>
            </v:shape>
            <v:shape style="position:absolute;left:2938;top:2755;width:107;height:61" type="#_x0000_t202" filled="false" stroked="false">
              <v:textbox inset="0,0,0,0">
                <w:txbxContent>
                  <w:p>
                    <w:pPr>
                      <w:spacing w:line="60" w:lineRule="exact" w:before="0"/>
                      <w:ind w:left="0" w:right="-20" w:firstLine="0"/>
                      <w:jc w:val="left"/>
                      <w:rPr>
                        <w:rFonts w:ascii="Calibri"/>
                        <w:sz w:val="6"/>
                      </w:rPr>
                    </w:pPr>
                    <w:r>
                      <w:rPr>
                        <w:rFonts w:ascii="Calibri"/>
                        <w:sz w:val="6"/>
                      </w:rPr>
                      <w:t>4.70</w:t>
                    </w:r>
                  </w:p>
                </w:txbxContent>
              </v:textbox>
              <w10:wrap type="none"/>
            </v:shape>
            <v:shape style="position:absolute;left:8352;top:2787;width:107;height:61" type="#_x0000_t202" filled="false" stroked="false">
              <v:textbox inset="0,0,0,0">
                <w:txbxContent>
                  <w:p>
                    <w:pPr>
                      <w:spacing w:line="60" w:lineRule="exact" w:before="0"/>
                      <w:ind w:left="0" w:right="-20" w:firstLine="0"/>
                      <w:jc w:val="left"/>
                      <w:rPr>
                        <w:rFonts w:ascii="Calibri"/>
                        <w:sz w:val="6"/>
                      </w:rPr>
                    </w:pPr>
                    <w:r>
                      <w:rPr>
                        <w:rFonts w:ascii="Calibri"/>
                        <w:sz w:val="6"/>
                      </w:rPr>
                      <w:t>4.60</w:t>
                    </w:r>
                  </w:p>
                </w:txbxContent>
              </v:textbox>
              <w10:wrap type="none"/>
            </v:shape>
            <v:shape style="position:absolute;left:8725;top:2819;width:31;height:61" type="#_x0000_t202" filled="false" stroked="false">
              <v:textbox inset="0,0,0,0">
                <w:txbxContent>
                  <w:p>
                    <w:pPr>
                      <w:spacing w:line="60" w:lineRule="exact" w:before="0"/>
                      <w:ind w:left="0" w:right="0" w:firstLine="0"/>
                      <w:jc w:val="left"/>
                      <w:rPr>
                        <w:rFonts w:ascii="Calibri"/>
                        <w:sz w:val="6"/>
                      </w:rPr>
                    </w:pPr>
                    <w:r>
                      <w:rPr>
                        <w:rFonts w:ascii="Calibri"/>
                        <w:w w:val="100"/>
                        <w:sz w:val="6"/>
                      </w:rPr>
                      <w:t>6</w:t>
                    </w:r>
                  </w:p>
                </w:txbxContent>
              </v:textbox>
              <w10:wrap type="none"/>
            </v:shape>
            <v:shape style="position:absolute;left:76;top:2980;width:31;height:61" type="#_x0000_t202" filled="false" stroked="false">
              <v:textbox inset="0,0,0,0">
                <w:txbxContent>
                  <w:p>
                    <w:pPr>
                      <w:spacing w:line="60" w:lineRule="exact" w:before="0"/>
                      <w:ind w:left="0" w:right="0" w:firstLine="0"/>
                      <w:jc w:val="left"/>
                      <w:rPr>
                        <w:rFonts w:ascii="Calibri"/>
                        <w:sz w:val="6"/>
                      </w:rPr>
                    </w:pPr>
                    <w:r>
                      <w:rPr>
                        <w:rFonts w:ascii="Calibri"/>
                        <w:w w:val="100"/>
                        <w:sz w:val="6"/>
                      </w:rPr>
                      <w:t>4</w:t>
                    </w:r>
                  </w:p>
                </w:txbxContent>
              </v:textbox>
              <w10:wrap type="none"/>
            </v:shape>
            <v:shape style="position:absolute;left:8725;top:3303;width:31;height:61" type="#_x0000_t202" filled="false" stroked="false">
              <v:textbox inset="0,0,0,0">
                <w:txbxContent>
                  <w:p>
                    <w:pPr>
                      <w:spacing w:line="60" w:lineRule="exact" w:before="0"/>
                      <w:ind w:left="0" w:right="0" w:firstLine="0"/>
                      <w:jc w:val="left"/>
                      <w:rPr>
                        <w:rFonts w:ascii="Calibri"/>
                        <w:sz w:val="6"/>
                      </w:rPr>
                    </w:pPr>
                    <w:r>
                      <w:rPr>
                        <w:rFonts w:ascii="Calibri"/>
                        <w:w w:val="100"/>
                        <w:sz w:val="6"/>
                      </w:rPr>
                      <w:t>4</w:t>
                    </w:r>
                  </w:p>
                </w:txbxContent>
              </v:textbox>
              <w10:wrap type="none"/>
            </v:shape>
            <v:shape style="position:absolute;left:76;top:3625;width:31;height:61" type="#_x0000_t202" filled="false" stroked="false">
              <v:textbox inset="0,0,0,0">
                <w:txbxContent>
                  <w:p>
                    <w:pPr>
                      <w:spacing w:line="60" w:lineRule="exact" w:before="0"/>
                      <w:ind w:left="0" w:right="0" w:firstLine="0"/>
                      <w:jc w:val="left"/>
                      <w:rPr>
                        <w:rFonts w:ascii="Calibri"/>
                        <w:sz w:val="6"/>
                      </w:rPr>
                    </w:pPr>
                    <w:r>
                      <w:rPr>
                        <w:rFonts w:ascii="Calibri"/>
                        <w:w w:val="100"/>
                        <w:sz w:val="6"/>
                      </w:rPr>
                      <w:t>2</w:t>
                    </w:r>
                  </w:p>
                </w:txbxContent>
              </v:textbox>
              <w10:wrap type="none"/>
            </v:shape>
            <v:shape style="position:absolute;left:8725;top:3786;width:31;height:61" type="#_x0000_t202" filled="false" stroked="false">
              <v:textbox inset="0,0,0,0">
                <w:txbxContent>
                  <w:p>
                    <w:pPr>
                      <w:spacing w:line="60" w:lineRule="exact" w:before="0"/>
                      <w:ind w:left="0" w:right="0" w:firstLine="0"/>
                      <w:jc w:val="left"/>
                      <w:rPr>
                        <w:rFonts w:ascii="Calibri"/>
                        <w:sz w:val="6"/>
                      </w:rPr>
                    </w:pPr>
                    <w:r>
                      <w:rPr>
                        <w:rFonts w:ascii="Calibri"/>
                        <w:w w:val="100"/>
                        <w:sz w:val="6"/>
                      </w:rPr>
                      <w:t>2</w:t>
                    </w:r>
                  </w:p>
                </w:txbxContent>
              </v:textbox>
              <w10:wrap type="none"/>
            </v:shape>
            <v:shape style="position:absolute;left:76;top:4269;width:31;height:61" type="#_x0000_t202" filled="false" stroked="false">
              <v:textbox inset="0,0,0,0">
                <w:txbxContent>
                  <w:p>
                    <w:pPr>
                      <w:spacing w:line="60" w:lineRule="exact" w:before="0"/>
                      <w:ind w:left="0" w:right="0" w:firstLine="0"/>
                      <w:jc w:val="left"/>
                      <w:rPr>
                        <w:rFonts w:ascii="Calibri"/>
                        <w:sz w:val="6"/>
                      </w:rPr>
                    </w:pPr>
                    <w:r>
                      <w:rPr>
                        <w:rFonts w:ascii="Calibri"/>
                        <w:w w:val="100"/>
                        <w:sz w:val="6"/>
                      </w:rPr>
                      <w:t>0</w:t>
                    </w:r>
                  </w:p>
                </w:txbxContent>
              </v:textbox>
              <w10:wrap type="none"/>
            </v:shape>
            <v:shape style="position:absolute;left:8725;top:4269;width:31;height:61" type="#_x0000_t202" filled="false" stroked="false">
              <v:textbox inset="0,0,0,0">
                <w:txbxContent>
                  <w:p>
                    <w:pPr>
                      <w:spacing w:line="60" w:lineRule="exact" w:before="0"/>
                      <w:ind w:left="0" w:right="0" w:firstLine="0"/>
                      <w:jc w:val="left"/>
                      <w:rPr>
                        <w:rFonts w:ascii="Calibri"/>
                        <w:sz w:val="6"/>
                      </w:rPr>
                    </w:pPr>
                    <w:r>
                      <w:rPr>
                        <w:rFonts w:ascii="Calibri"/>
                        <w:w w:val="100"/>
                        <w:sz w:val="6"/>
                      </w:rPr>
                      <w:t>0</w:t>
                    </w:r>
                  </w:p>
                </w:txbxContent>
              </v:textbox>
              <w10:wrap type="none"/>
            </v:shape>
            <v:shape style="position:absolute;left:430;top:4354;width:222;height:73" type="#_x0000_t202" filled="false" stroked="false">
              <v:textbox inset="0,0,0,0">
                <w:txbxContent>
                  <w:p>
                    <w:pPr>
                      <w:spacing w:line="72" w:lineRule="exact" w:before="0"/>
                      <w:ind w:left="0" w:right="-14" w:firstLine="0"/>
                      <w:jc w:val="left"/>
                      <w:rPr>
                        <w:rFonts w:ascii="Calibri"/>
                        <w:sz w:val="7"/>
                      </w:rPr>
                    </w:pPr>
                    <w:r>
                      <w:rPr>
                        <w:rFonts w:ascii="Calibri"/>
                        <w:sz w:val="7"/>
                      </w:rPr>
                      <w:t>Optimo</w:t>
                    </w:r>
                  </w:p>
                </w:txbxContent>
              </v:textbox>
              <w10:wrap type="none"/>
            </v:shape>
            <v:shape style="position:absolute;left:1187;top:4354;width:270;height:73" type="#_x0000_t202" filled="false" stroked="false">
              <v:textbox inset="0,0,0,0">
                <w:txbxContent>
                  <w:p>
                    <w:pPr>
                      <w:spacing w:line="72" w:lineRule="exact" w:before="0"/>
                      <w:ind w:left="0" w:right="-12" w:firstLine="0"/>
                      <w:jc w:val="left"/>
                      <w:rPr>
                        <w:rFonts w:ascii="Calibri"/>
                        <w:sz w:val="7"/>
                      </w:rPr>
                    </w:pPr>
                    <w:r>
                      <w:rPr>
                        <w:rFonts w:ascii="Calibri"/>
                        <w:sz w:val="7"/>
                      </w:rPr>
                      <w:t>Deseable</w:t>
                    </w:r>
                  </w:p>
                </w:txbxContent>
              </v:textbox>
              <w10:wrap type="none"/>
            </v:shape>
            <v:shape style="position:absolute;left:1855;top:4354;width:484;height:73" type="#_x0000_t202" filled="false" stroked="false">
              <v:textbox inset="0,0,0,0">
                <w:txbxContent>
                  <w:p>
                    <w:pPr>
                      <w:spacing w:line="72" w:lineRule="exact" w:before="0"/>
                      <w:ind w:left="0" w:right="-19" w:firstLine="0"/>
                      <w:jc w:val="left"/>
                      <w:rPr>
                        <w:rFonts w:ascii="Calibri"/>
                        <w:sz w:val="7"/>
                      </w:rPr>
                    </w:pPr>
                    <w:r>
                      <w:rPr>
                        <w:rFonts w:ascii="Calibri"/>
                        <w:w w:val="105"/>
                        <w:sz w:val="7"/>
                      </w:rPr>
                      <w:t>Villas del</w:t>
                    </w:r>
                    <w:r>
                      <w:rPr>
                        <w:rFonts w:ascii="Calibri"/>
                        <w:spacing w:val="-10"/>
                        <w:w w:val="105"/>
                        <w:sz w:val="7"/>
                      </w:rPr>
                      <w:t> </w:t>
                    </w:r>
                    <w:r>
                      <w:rPr>
                        <w:rFonts w:ascii="Calibri"/>
                        <w:w w:val="105"/>
                        <w:sz w:val="7"/>
                      </w:rPr>
                      <w:t>Campo</w:t>
                    </w:r>
                  </w:p>
                </w:txbxContent>
              </v:textbox>
              <w10:wrap type="none"/>
            </v:shape>
            <v:shape style="position:absolute;left:2704;top:4354;width:330;height:73" type="#_x0000_t202" filled="false" stroked="false">
              <v:textbox inset="0,0,0,0">
                <w:txbxContent>
                  <w:p>
                    <w:pPr>
                      <w:spacing w:line="72" w:lineRule="exact" w:before="0"/>
                      <w:ind w:left="0" w:right="-18" w:firstLine="0"/>
                      <w:jc w:val="left"/>
                      <w:rPr>
                        <w:rFonts w:ascii="Calibri"/>
                        <w:sz w:val="7"/>
                      </w:rPr>
                    </w:pPr>
                    <w:r>
                      <w:rPr>
                        <w:rFonts w:ascii="Calibri"/>
                        <w:w w:val="105"/>
                        <w:sz w:val="7"/>
                      </w:rPr>
                      <w:t>San</w:t>
                    </w:r>
                    <w:r>
                      <w:rPr>
                        <w:rFonts w:ascii="Calibri"/>
                        <w:spacing w:val="-7"/>
                        <w:w w:val="105"/>
                        <w:sz w:val="7"/>
                      </w:rPr>
                      <w:t> </w:t>
                    </w:r>
                    <w:r>
                      <w:rPr>
                        <w:rFonts w:ascii="Calibri"/>
                        <w:w w:val="105"/>
                        <w:sz w:val="7"/>
                      </w:rPr>
                      <w:t>Andres</w:t>
                    </w:r>
                  </w:p>
                </w:txbxContent>
              </v:textbox>
              <w10:wrap type="none"/>
            </v:shape>
            <v:shape style="position:absolute;left:3374;top:4354;width:537;height:73" type="#_x0000_t202" filled="false" stroked="false">
              <v:textbox inset="0,0,0,0">
                <w:txbxContent>
                  <w:p>
                    <w:pPr>
                      <w:spacing w:line="72" w:lineRule="exact" w:before="0"/>
                      <w:ind w:left="0" w:right="-18" w:firstLine="0"/>
                      <w:jc w:val="left"/>
                      <w:rPr>
                        <w:rFonts w:ascii="Calibri"/>
                        <w:sz w:val="7"/>
                      </w:rPr>
                    </w:pPr>
                    <w:r>
                      <w:rPr>
                        <w:rFonts w:ascii="Calibri"/>
                        <w:w w:val="105"/>
                        <w:sz w:val="7"/>
                      </w:rPr>
                      <w:t>Villas del Campo</w:t>
                    </w:r>
                    <w:r>
                      <w:rPr>
                        <w:rFonts w:ascii="Calibri"/>
                        <w:spacing w:val="-11"/>
                        <w:w w:val="105"/>
                        <w:sz w:val="7"/>
                      </w:rPr>
                      <w:t> </w:t>
                    </w:r>
                    <w:r>
                      <w:rPr>
                        <w:rFonts w:ascii="Calibri"/>
                        <w:w w:val="105"/>
                        <w:sz w:val="7"/>
                      </w:rPr>
                      <w:t>II</w:t>
                    </w:r>
                  </w:p>
                </w:txbxContent>
              </v:textbox>
              <w10:wrap type="none"/>
            </v:shape>
            <v:shape style="position:absolute;left:4170;top:4354;width:4403;height:73" type="#_x0000_t202" filled="false" stroked="false">
              <v:textbox inset="0,0,0,0">
                <w:txbxContent>
                  <w:p>
                    <w:pPr>
                      <w:spacing w:line="72" w:lineRule="exact" w:before="0"/>
                      <w:ind w:left="0" w:right="-8" w:firstLine="0"/>
                      <w:jc w:val="left"/>
                      <w:rPr>
                        <w:rFonts w:ascii="Calibri"/>
                        <w:sz w:val="7"/>
                      </w:rPr>
                    </w:pPr>
                    <w:r>
                      <w:rPr>
                        <w:rFonts w:ascii="Calibri"/>
                        <w:w w:val="105"/>
                        <w:sz w:val="7"/>
                      </w:rPr>
                      <w:t>Valle del Nevado          Rancho la Providencia /       Urbi Hacienda de las        Bosque de las Fuentes     Hacienda de las Fuentes      Valle de las Fuentes</w:t>
                    </w:r>
                  </w:p>
                </w:txbxContent>
              </v:textbox>
              <w10:wrap type="none"/>
            </v:shape>
            <v:shape style="position:absolute;left:5089;top:4438;width:967;height:73" type="#_x0000_t202" filled="false" stroked="false">
              <v:textbox inset="0,0,0,0">
                <w:txbxContent>
                  <w:p>
                    <w:pPr>
                      <w:tabs>
                        <w:tab w:pos="777" w:val="left" w:leader="none"/>
                      </w:tabs>
                      <w:spacing w:line="72" w:lineRule="exact" w:before="0"/>
                      <w:ind w:left="0" w:right="0" w:firstLine="0"/>
                      <w:jc w:val="left"/>
                      <w:rPr>
                        <w:rFonts w:ascii="Calibri"/>
                        <w:sz w:val="7"/>
                      </w:rPr>
                    </w:pPr>
                    <w:r>
                      <w:rPr>
                        <w:rFonts w:ascii="Calibri"/>
                        <w:w w:val="105"/>
                        <w:sz w:val="7"/>
                      </w:rPr>
                      <w:t>Iberica</w:t>
                      <w:tab/>
                    </w:r>
                    <w:r>
                      <w:rPr>
                        <w:rFonts w:ascii="Calibri"/>
                        <w:sz w:val="7"/>
                      </w:rPr>
                      <w:t>Lomas</w:t>
                    </w:r>
                  </w:p>
                </w:txbxContent>
              </v:textbox>
              <w10:wrap type="none"/>
            </v:shape>
          </v:group>
        </w:pict>
      </w:r>
      <w:r>
        <w:rPr>
          <w:sz w:val="20"/>
        </w:rPr>
      </w:r>
    </w:p>
    <w:p>
      <w:pPr>
        <w:pStyle w:val="BodyText"/>
        <w:spacing w:before="10"/>
        <w:rPr>
          <w:sz w:val="21"/>
        </w:rPr>
      </w:pPr>
    </w:p>
    <w:p>
      <w:pPr>
        <w:spacing w:before="0"/>
        <w:ind w:left="268" w:right="0" w:firstLine="0"/>
        <w:jc w:val="both"/>
        <w:rPr>
          <w:sz w:val="21"/>
        </w:rPr>
      </w:pPr>
      <w:r>
        <w:rPr>
          <w:w w:val="105"/>
          <w:sz w:val="21"/>
        </w:rPr>
        <w:t>Fuente: Elaboración propia con base en los resultados obtenidos del estudio realizado.</w:t>
      </w:r>
    </w:p>
    <w:p>
      <w:pPr>
        <w:pStyle w:val="BodyText"/>
        <w:spacing w:before="2"/>
        <w:rPr>
          <w:sz w:val="21"/>
        </w:rPr>
      </w:pPr>
    </w:p>
    <w:p>
      <w:pPr>
        <w:pStyle w:val="BodyText"/>
        <w:spacing w:line="360" w:lineRule="auto"/>
        <w:ind w:left="268" w:right="231"/>
        <w:jc w:val="both"/>
      </w:pPr>
      <w:r>
        <w:rPr/>
        <w:t>Este resultado expresa variables sociales que no fueron caso de estudio de esta investigación y abren la puerta a nuevas interrogantes como la relación que guardan las percepciones de las personas ante la perspectiva de que el adquirir una vivienda de mayor costo; le da un mayor estatus y se consideran socialmente aceptados o bien, puede ser un indicador para otro estudio de la diferencia que existe entre la realidad de los precios de la vivienda y la sustentabilidad económica de las personas que adquieren vivienda con ciertas características que satisfacen aspectos de carácter social aún a costa de un sacrificio económico.</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6672" from="93.199997pt,-19.614155pt" to="546.799997pt,-19.614155pt" stroked="true" strokeweight=".479981pt" strokecolor="#000000">
            <w10:wrap type="none"/>
          </v:line>
        </w:pict>
      </w:r>
      <w:r>
        <w:rPr/>
        <w:t>En lo que refiere al índice ambiental y territorial la evaluación muestra que la relación que guardan es muy estrecha y con ello se demuestra que a menor puntaje de la sustentabilidad ambiental el impacto en el territorio es mayor como  se puede apreciar en la gráfica</w:t>
      </w:r>
      <w:r>
        <w:rPr>
          <w:spacing w:val="-2"/>
        </w:rPr>
        <w:t> </w:t>
      </w:r>
      <w:r>
        <w:rPr/>
        <w:t>21.</w:t>
      </w:r>
    </w:p>
    <w:p>
      <w:pPr>
        <w:spacing w:before="136" w:after="5"/>
        <w:ind w:left="268" w:right="0" w:firstLine="0"/>
        <w:jc w:val="both"/>
        <w:rPr>
          <w:sz w:val="21"/>
        </w:rPr>
      </w:pPr>
      <w:r>
        <w:rPr>
          <w:w w:val="105"/>
          <w:sz w:val="21"/>
        </w:rPr>
        <w:t>Gráfica 21. Índices: ambiental y territorial</w:t>
      </w:r>
    </w:p>
    <w:p>
      <w:pPr>
        <w:pStyle w:val="BodyText"/>
        <w:ind w:left="268"/>
        <w:rPr>
          <w:sz w:val="20"/>
        </w:rPr>
      </w:pPr>
      <w:r>
        <w:rPr>
          <w:sz w:val="20"/>
        </w:rPr>
        <w:pict>
          <v:group style="width:441.65pt;height:271.3pt;mso-position-horizontal-relative:char;mso-position-vertical-relative:line" coordorigin="0,0" coordsize="8833,5426">
            <v:line style="position:absolute" from="237,4265" to="8589,4265" stroked="true" strokeweight=".446546pt" strokecolor="#989898"/>
            <v:line style="position:absolute" from="237,3541" to="8589,3541" stroked="true" strokeweight=".446546pt" strokecolor="#989898"/>
            <v:line style="position:absolute" from="237,2818" to="8589,2818" stroked="true" strokeweight=".446546pt" strokecolor="#989898"/>
            <v:line style="position:absolute" from="237,2094" to="8589,2094" stroked="true" strokeweight=".446546pt" strokecolor="#989898"/>
            <v:line style="position:absolute" from="237,1371" to="8589,1371" stroked="true" strokeweight=".446546pt" strokecolor="#989898"/>
            <v:line style="position:absolute" from="237,656" to="8589,656" stroked="true" strokeweight=".446546pt" strokecolor="#989898"/>
            <v:line style="position:absolute" from="237,656" to="237,4979" stroked="true" strokeweight=".446663pt" strokecolor="#989898"/>
            <v:line style="position:absolute" from="996,656" to="996,4979" stroked="true" strokeweight=".446663pt" strokecolor="#989898"/>
            <v:line style="position:absolute" from="1755,656" to="1755,4979" stroked="true" strokeweight=".446663pt" strokecolor="#989898"/>
            <v:line style="position:absolute" from="2515,656" to="2515,4979" stroked="true" strokeweight=".446663pt" strokecolor="#989898"/>
            <v:line style="position:absolute" from="3274,656" to="3274,4979" stroked="true" strokeweight=".446663pt" strokecolor="#989898"/>
            <v:line style="position:absolute" from="4033,656" to="4033,4979" stroked="true" strokeweight=".446663pt" strokecolor="#989898"/>
            <v:line style="position:absolute" from="4793,656" to="4793,4979" stroked="true" strokeweight=".446663pt" strokecolor="#989898"/>
            <v:line style="position:absolute" from="5552,656" to="5552,4979" stroked="true" strokeweight=".446663pt" strokecolor="#989898"/>
            <v:line style="position:absolute" from="6311,656" to="6311,4979" stroked="true" strokeweight=".446663pt" strokecolor="#989898"/>
            <v:line style="position:absolute" from="7071,656" to="7071,4979" stroked="true" strokeweight=".446663pt" strokecolor="#989898"/>
            <v:line style="position:absolute" from="7830,656" to="7830,4979" stroked="true" strokeweight=".446663pt" strokecolor="#989898"/>
            <v:line style="position:absolute" from="8589,656" to="8589,4979" stroked="true" strokeweight=".446663pt" strokecolor="#989898"/>
            <v:line style="position:absolute" from="8592,4983" to="8592,653" stroked="true" strokeweight=".446663pt" strokecolor="#989898"/>
            <v:line style="position:absolute" from="8589,4979" to="8616,4979" stroked="true" strokeweight=".446546pt" strokecolor="#989898"/>
            <v:line style="position:absolute" from="8589,4506" to="8616,4506" stroked="true" strokeweight=".446546pt" strokecolor="#989898"/>
            <v:line style="position:absolute" from="8589,4023" to="8616,4023" stroked="true" strokeweight=".446546pt" strokecolor="#989898"/>
            <v:line style="position:absolute" from="8589,3541" to="8616,3541" stroked="true" strokeweight=".446546pt" strokecolor="#989898"/>
            <v:line style="position:absolute" from="8589,3059" to="8616,3059" stroked="true" strokeweight=".446546pt" strokecolor="#989898"/>
            <v:line style="position:absolute" from="8589,2577" to="8616,2577" stroked="true" strokeweight=".446546pt" strokecolor="#989898"/>
            <v:line style="position:absolute" from="8589,2094" to="8616,2094" stroked="true" strokeweight=".446546pt" strokecolor="#989898"/>
            <v:line style="position:absolute" from="8589,1612" to="8616,1612" stroked="true" strokeweight=".446546pt" strokecolor="#989898"/>
            <v:line style="position:absolute" from="8589,1139" to="8616,1139" stroked="true" strokeweight=".446546pt" strokecolor="#989898"/>
            <v:line style="position:absolute" from="8589,656" to="8616,656" stroked="true" strokeweight=".446546pt" strokecolor="#989898"/>
            <v:line style="position:absolute" from="240,4983" to="8592,4983" stroked="true" strokeweight=".446546pt" strokecolor="#989898"/>
            <v:shape style="position:absolute;left:543;top:1465;width:152;height:152" type="#_x0000_t75" stroked="false">
              <v:imagedata r:id="rId268" o:title=""/>
            </v:shape>
            <v:shape style="position:absolute;left:1303;top:2286;width:152;height:152" type="#_x0000_t75" stroked="false">
              <v:imagedata r:id="rId268" o:title=""/>
            </v:shape>
            <v:shape style="position:absolute;left:2062;top:3653;width:152;height:152" type="#_x0000_t75" stroked="false">
              <v:imagedata r:id="rId268" o:title=""/>
            </v:shape>
            <v:shape style="position:absolute;left:2821;top:3581;width:152;height:152" type="#_x0000_t75" stroked="false">
              <v:imagedata r:id="rId268" o:title=""/>
            </v:shape>
            <v:shape style="position:absolute;left:3581;top:3724;width:152;height:152" type="#_x0000_t75" stroked="false">
              <v:imagedata r:id="rId268" o:title=""/>
            </v:shape>
            <v:shape style="position:absolute;left:4340;top:3581;width:152;height:152" type="#_x0000_t75" stroked="false">
              <v:imagedata r:id="rId268" o:title=""/>
            </v:shape>
            <v:shape style="position:absolute;left:5099;top:3885;width:152;height:152" type="#_x0000_t75" stroked="false">
              <v:imagedata r:id="rId268" o:title=""/>
            </v:shape>
            <v:shape style="position:absolute;left:5859;top:3724;width:152;height:152" type="#_x0000_t75" stroked="false">
              <v:imagedata r:id="rId268" o:title=""/>
            </v:shape>
            <v:shape style="position:absolute;left:6618;top:3581;width:152;height:152" type="#_x0000_t75" stroked="false">
              <v:imagedata r:id="rId268" o:title=""/>
            </v:shape>
            <v:shape style="position:absolute;left:7377;top:3867;width:152;height:152" type="#_x0000_t75" stroked="false">
              <v:imagedata r:id="rId268" o:title=""/>
            </v:shape>
            <v:shape style="position:absolute;left:8137;top:3796;width:152;height:152" type="#_x0000_t75" stroked="false">
              <v:imagedata r:id="rId268" o:title=""/>
            </v:shape>
            <v:line style="position:absolute" from="621,1523" to="1380,2344" stroked="true" strokeweight="1.674784pt" strokecolor="#86e45e"/>
            <v:line style="position:absolute" from="1380,2344" to="2140,3711" stroked="true" strokeweight="1.674882pt" strokecolor="#86e45e"/>
            <v:line style="position:absolute" from="2140,3711" to="2899,3639" stroked="true" strokeweight="1.674551pt" strokecolor="#86e45e"/>
            <v:line style="position:absolute" from="2899,3639" to="3658,3782" stroked="true" strokeweight="1.674562pt" strokecolor="#86e45e"/>
            <v:line style="position:absolute" from="3658,3782" to="4418,3639" stroked="true" strokeweight="1.674562pt" strokecolor="#86e45e"/>
            <v:line style="position:absolute" from="4418,3639" to="5177,3943" stroked="true" strokeweight="1.674608pt" strokecolor="#86e45e"/>
            <v:line style="position:absolute" from="5177,3943" to="5936,3782" stroked="true" strokeweight="1.674566pt" strokecolor="#86e45e"/>
            <v:line style="position:absolute" from="5936,3782" to="6696,3639" stroked="true" strokeweight="1.674562pt" strokecolor="#86e45e"/>
            <v:line style="position:absolute" from="6696,3639" to="7455,3925" stroked="true" strokeweight="1.674602pt" strokecolor="#86e45e"/>
            <v:line style="position:absolute" from="7455,3925" to="8212,3854" stroked="true" strokeweight="1.674551pt" strokecolor="#86e45e"/>
            <v:shape style="position:absolute;left:570;top:1474;width:98;height:98" type="#_x0000_t75" stroked="false">
              <v:imagedata r:id="rId269" o:title=""/>
            </v:shape>
            <v:shape style="position:absolute;left:1330;top:2295;width:98;height:98" type="#_x0000_t75" stroked="false">
              <v:imagedata r:id="rId269" o:title=""/>
            </v:shape>
            <v:shape style="position:absolute;left:2089;top:3662;width:98;height:98" type="#_x0000_t75" stroked="false">
              <v:imagedata r:id="rId269" o:title=""/>
            </v:shape>
            <v:shape style="position:absolute;left:2848;top:3590;width:98;height:98" type="#_x0000_t75" stroked="false">
              <v:imagedata r:id="rId269" o:title=""/>
            </v:shape>
            <v:shape style="position:absolute;left:3608;top:3733;width:98;height:98" type="#_x0000_t75" stroked="false">
              <v:imagedata r:id="rId269" o:title=""/>
            </v:shape>
            <v:shape style="position:absolute;left:4367;top:3590;width:98;height:98" type="#_x0000_t75" stroked="false">
              <v:imagedata r:id="rId269" o:title=""/>
            </v:shape>
            <v:shape style="position:absolute;left:5126;top:3894;width:98;height:98" type="#_x0000_t75" stroked="false">
              <v:imagedata r:id="rId269" o:title=""/>
            </v:shape>
            <v:shape style="position:absolute;left:5886;top:3733;width:98;height:98" type="#_x0000_t75" stroked="false">
              <v:imagedata r:id="rId269" o:title=""/>
            </v:shape>
            <v:shape style="position:absolute;left:6645;top:3590;width:98;height:98" type="#_x0000_t75" stroked="false">
              <v:imagedata r:id="rId269" o:title=""/>
            </v:shape>
            <v:shape style="position:absolute;left:7404;top:3876;width:98;height:98" type="#_x0000_t75" stroked="false">
              <v:imagedata r:id="rId269" o:title=""/>
            </v:shape>
            <v:shape style="position:absolute;left:8164;top:3805;width:98;height:98" type="#_x0000_t75" stroked="false">
              <v:imagedata r:id="rId269" o:title=""/>
            </v:shape>
            <v:shape style="position:absolute;left:543;top:840;width:152;height:152" type="#_x0000_t75" stroked="false">
              <v:imagedata r:id="rId270" o:title=""/>
            </v:shape>
            <v:shape style="position:absolute;left:1303;top:1876;width:152;height:152" type="#_x0000_t75" stroked="false">
              <v:imagedata r:id="rId270" o:title=""/>
            </v:shape>
            <v:shape style="position:absolute;left:2062;top:3001;width:152;height:152" type="#_x0000_t75" stroked="false">
              <v:imagedata r:id="rId270" o:title=""/>
            </v:shape>
            <v:shape style="position:absolute;left:2821;top:3153;width:152;height:152" type="#_x0000_t75" stroked="false">
              <v:imagedata r:id="rId270" o:title=""/>
            </v:shape>
            <v:shape style="position:absolute;left:3581;top:3001;width:152;height:152" type="#_x0000_t75" stroked="false">
              <v:imagedata r:id="rId270" o:title=""/>
            </v:shape>
            <v:shape style="position:absolute;left:4340;top:2947;width:152;height:152" type="#_x0000_t75" stroked="false">
              <v:imagedata r:id="rId270" o:title=""/>
            </v:shape>
            <v:shape style="position:absolute;left:5099;top:3697;width:152;height:152" type="#_x0000_t75" stroked="false">
              <v:imagedata r:id="rId270" o:title=""/>
            </v:shape>
            <v:shape style="position:absolute;left:5859;top:3010;width:152;height:152" type="#_x0000_t75" stroked="false">
              <v:imagedata r:id="rId270" o:title=""/>
            </v:shape>
            <v:shape style="position:absolute;left:6618;top:3188;width:152;height:152" type="#_x0000_t75" stroked="false">
              <v:imagedata r:id="rId270" o:title=""/>
            </v:shape>
            <v:shape style="position:absolute;left:7377;top:2947;width:152;height:152" type="#_x0000_t75" stroked="false">
              <v:imagedata r:id="rId270" o:title=""/>
            </v:shape>
            <v:shape style="position:absolute;left:8137;top:3206;width:152;height:152" type="#_x0000_t75" stroked="false">
              <v:imagedata r:id="rId270" o:title=""/>
            </v:shape>
            <v:line style="position:absolute" from="621,898" to="1380,1934" stroked="true" strokeweight="1.674832pt" strokecolor="#a59b67"/>
            <v:line style="position:absolute" from="1380,1934" to="2140,3059" stroked="true" strokeweight="1.674848pt" strokecolor="#a59b67"/>
            <v:line style="position:absolute" from="2140,3059" to="2899,3211" stroked="true" strokeweight="1.674564pt" strokecolor="#a59b67"/>
            <v:line style="position:absolute" from="2899,3211" to="3658,3059" stroked="true" strokeweight="1.674564pt" strokecolor="#a59b67"/>
            <v:line style="position:absolute" from="3658,3059" to="4418,3005" stroked="true" strokeweight="1.67455pt" strokecolor="#a59b67"/>
            <v:line style="position:absolute" from="4418,3005" to="5177,3754" stroked="true" strokeweight="1.674763pt" strokecolor="#a59b67"/>
            <v:line style="position:absolute" from="5177,3754" to="5936,3068" stroked="true" strokeweight="1.674744pt" strokecolor="#a59b67"/>
            <v:line style="position:absolute" from="5936,3068" to="6696,3246" stroked="true" strokeweight="1.67457pt" strokecolor="#a59b67"/>
            <v:line style="position:absolute" from="6696,3246" to="7455,3005" stroked="true" strokeweight="1.674588pt" strokecolor="#a59b67"/>
            <v:line style="position:absolute" from="7455,3005" to="8212,3264" stroked="true" strokeweight="1.674593pt" strokecolor="#a59b67"/>
            <v:shape style="position:absolute;left:570;top:848;width:98;height:98" type="#_x0000_t75" stroked="false">
              <v:imagedata r:id="rId271" o:title=""/>
            </v:shape>
            <v:shape style="position:absolute;left:1330;top:1884;width:98;height:98" type="#_x0000_t75" stroked="false">
              <v:imagedata r:id="rId271" o:title=""/>
            </v:shape>
            <v:shape style="position:absolute;left:2089;top:3010;width:98;height:98" type="#_x0000_t75" stroked="false">
              <v:imagedata r:id="rId271" o:title=""/>
            </v:shape>
            <v:shape style="position:absolute;left:2848;top:3162;width:98;height:98" type="#_x0000_t75" stroked="false">
              <v:imagedata r:id="rId271" o:title=""/>
            </v:shape>
            <v:shape style="position:absolute;left:3608;top:3010;width:98;height:98" type="#_x0000_t75" stroked="false">
              <v:imagedata r:id="rId271" o:title=""/>
            </v:shape>
            <v:shape style="position:absolute;left:4367;top:2956;width:98;height:98" type="#_x0000_t75" stroked="false">
              <v:imagedata r:id="rId271" o:title=""/>
            </v:shape>
            <v:shape style="position:absolute;left:5126;top:3706;width:98;height:98" type="#_x0000_t75" stroked="false">
              <v:imagedata r:id="rId271" o:title=""/>
            </v:shape>
            <v:shape style="position:absolute;left:5886;top:3019;width:98;height:98" type="#_x0000_t75" stroked="false">
              <v:imagedata r:id="rId271" o:title=""/>
            </v:shape>
            <v:shape style="position:absolute;left:6645;top:3197;width:98;height:98" type="#_x0000_t75" stroked="false">
              <v:imagedata r:id="rId271" o:title=""/>
            </v:shape>
            <v:shape style="position:absolute;left:7404;top:2956;width:98;height:98" type="#_x0000_t75" stroked="false">
              <v:imagedata r:id="rId271" o:title=""/>
            </v:shape>
            <v:shape style="position:absolute;left:8164;top:3215;width:98;height:98" type="#_x0000_t75" stroked="false">
              <v:imagedata r:id="rId271" o:title=""/>
            </v:shape>
            <v:line style="position:absolute" from="4127,452" to="4299,452" stroked="true" strokeweight="1.674547pt" strokecolor="#86e45e"/>
            <v:shape style="position:absolute;left:4185;top:424;width:54;height:54" coordorigin="4185,424" coordsize="54,54" path="m4212,424l4185,451,4212,478,4239,451,4212,424xe" filled="true" fillcolor="#86e45e" stroked="false">
              <v:path arrowok="t"/>
              <v:fill type="solid"/>
            </v:shape>
            <v:shape style="position:absolute;left:4185;top:424;width:54;height:54" coordorigin="4185,424" coordsize="54,54" path="m4212,424l4239,451,4212,478,4185,451,4212,424xe" filled="false" stroked="true" strokeweight=".446604pt" strokecolor="#86e45e">
              <v:path arrowok="t"/>
            </v:shape>
            <v:line style="position:absolute" from="4471,452" to="4642,452" stroked="true" strokeweight="1.674547pt" strokecolor="#a59b67"/>
            <v:line style="position:absolute" from="4534,451" to="4583,451" stroked="true" strokeweight="2.67926pt" strokecolor="#a59b67"/>
            <v:rect style="position:absolute;left:4534;top:424;width:50;height:54" filled="false" stroked="true" strokeweight=".446609pt" strokecolor="#a59b67"/>
            <v:rect style="position:absolute;left:4;top:4;width:8823;height:5417" filled="false" stroked="true" strokeweight=".446578pt" strokecolor="#989898"/>
            <v:shape style="position:absolute;left:3089;top:120;width:2654;height:161" type="#_x0000_t202" filled="false" stroked="false">
              <v:textbox inset="0,0,0,0">
                <w:txbxContent>
                  <w:p>
                    <w:pPr>
                      <w:spacing w:line="161" w:lineRule="exact" w:before="0"/>
                      <w:ind w:left="0" w:right="-7" w:firstLine="0"/>
                      <w:jc w:val="left"/>
                      <w:rPr>
                        <w:b/>
                        <w:sz w:val="16"/>
                      </w:rPr>
                    </w:pPr>
                    <w:r>
                      <w:rPr>
                        <w:b/>
                        <w:sz w:val="16"/>
                      </w:rPr>
                      <w:t>Índice ambiental e Índice territorial</w:t>
                    </w:r>
                  </w:p>
                </w:txbxContent>
              </v:textbox>
              <w10:wrap type="none"/>
            </v:shape>
            <v:shape style="position:absolute;left:4316;top:419;width:85;height:90" type="#_x0000_t202" filled="false" stroked="false">
              <v:textbox inset="0,0,0,0">
                <w:txbxContent>
                  <w:p>
                    <w:pPr>
                      <w:spacing w:line="89" w:lineRule="exact" w:before="0"/>
                      <w:ind w:left="0" w:right="-16" w:firstLine="0"/>
                      <w:jc w:val="left"/>
                      <w:rPr>
                        <w:sz w:val="9"/>
                      </w:rPr>
                    </w:pPr>
                    <w:r>
                      <w:rPr>
                        <w:w w:val="95"/>
                        <w:sz w:val="9"/>
                      </w:rPr>
                      <w:t>IA</w:t>
                    </w:r>
                  </w:p>
                </w:txbxContent>
              </v:textbox>
              <w10:wrap type="none"/>
            </v:shape>
            <v:shape style="position:absolute;left:4659;top:419;width:80;height:90" type="#_x0000_t202" filled="false" stroked="false">
              <v:textbox inset="0,0,0,0">
                <w:txbxContent>
                  <w:p>
                    <w:pPr>
                      <w:spacing w:line="89" w:lineRule="exact" w:before="0"/>
                      <w:ind w:left="0" w:right="-16" w:firstLine="0"/>
                      <w:jc w:val="left"/>
                      <w:rPr>
                        <w:sz w:val="9"/>
                      </w:rPr>
                    </w:pPr>
                    <w:r>
                      <w:rPr>
                        <w:w w:val="95"/>
                        <w:sz w:val="9"/>
                      </w:rPr>
                      <w:t>IT</w:t>
                    </w:r>
                  </w:p>
                </w:txbxContent>
              </v:textbox>
              <w10:wrap type="none"/>
            </v:shape>
            <v:shape style="position:absolute;left:67;top:619;width:91;height:90" type="#_x0000_t202" filled="false" stroked="false">
              <v:textbox inset="0,0,0,0">
                <w:txbxContent>
                  <w:p>
                    <w:pPr>
                      <w:spacing w:line="89" w:lineRule="exact" w:before="0"/>
                      <w:ind w:left="0" w:right="-16" w:firstLine="0"/>
                      <w:jc w:val="left"/>
                      <w:rPr>
                        <w:rFonts w:ascii="Calibri"/>
                        <w:sz w:val="9"/>
                      </w:rPr>
                    </w:pPr>
                    <w:r>
                      <w:rPr>
                        <w:rFonts w:ascii="Calibri"/>
                        <w:w w:val="95"/>
                        <w:sz w:val="9"/>
                      </w:rPr>
                      <w:t>30</w:t>
                    </w:r>
                  </w:p>
                </w:txbxContent>
              </v:textbox>
              <w10:wrap type="none"/>
            </v:shape>
            <v:shape style="position:absolute;left:8675;top:619;width:91;height:90" type="#_x0000_t202" filled="false" stroked="false">
              <v:textbox inset="0,0,0,0">
                <w:txbxContent>
                  <w:p>
                    <w:pPr>
                      <w:spacing w:line="89" w:lineRule="exact" w:before="0"/>
                      <w:ind w:left="0" w:right="-16" w:firstLine="0"/>
                      <w:jc w:val="left"/>
                      <w:rPr>
                        <w:rFonts w:ascii="Calibri"/>
                        <w:sz w:val="9"/>
                      </w:rPr>
                    </w:pPr>
                    <w:r>
                      <w:rPr>
                        <w:rFonts w:ascii="Calibri"/>
                        <w:w w:val="95"/>
                        <w:sz w:val="9"/>
                      </w:rPr>
                      <w:t>18</w:t>
                    </w:r>
                  </w:p>
                </w:txbxContent>
              </v:textbox>
              <w10:wrap type="none"/>
            </v:shape>
            <v:shape style="position:absolute;left:723;top:860;width:91;height:90" type="#_x0000_t202" filled="false" stroked="false">
              <v:textbox inset="0,0,0,0">
                <w:txbxContent>
                  <w:p>
                    <w:pPr>
                      <w:spacing w:line="89" w:lineRule="exact" w:before="0"/>
                      <w:ind w:left="0" w:right="-16" w:firstLine="0"/>
                      <w:jc w:val="left"/>
                      <w:rPr>
                        <w:rFonts w:ascii="Calibri"/>
                        <w:sz w:val="9"/>
                      </w:rPr>
                    </w:pPr>
                    <w:r>
                      <w:rPr>
                        <w:rFonts w:ascii="Calibri"/>
                        <w:w w:val="95"/>
                        <w:sz w:val="9"/>
                      </w:rPr>
                      <w:t>17</w:t>
                    </w:r>
                  </w:p>
                </w:txbxContent>
              </v:textbox>
              <w10:wrap type="none"/>
            </v:shape>
            <v:shape style="position:absolute;left:8675;top:1101;width:91;height:90" type="#_x0000_t202" filled="false" stroked="false">
              <v:textbox inset="0,0,0,0">
                <w:txbxContent>
                  <w:p>
                    <w:pPr>
                      <w:spacing w:line="89" w:lineRule="exact" w:before="0"/>
                      <w:ind w:left="0" w:right="-16" w:firstLine="0"/>
                      <w:jc w:val="left"/>
                      <w:rPr>
                        <w:rFonts w:ascii="Calibri"/>
                        <w:sz w:val="9"/>
                      </w:rPr>
                    </w:pPr>
                    <w:r>
                      <w:rPr>
                        <w:rFonts w:ascii="Calibri"/>
                        <w:w w:val="95"/>
                        <w:sz w:val="9"/>
                      </w:rPr>
                      <w:t>16</w:t>
                    </w:r>
                  </w:p>
                </w:txbxContent>
              </v:textbox>
              <w10:wrap type="none"/>
            </v:shape>
            <v:shape style="position:absolute;left:67;top:1341;width:91;height:90" type="#_x0000_t202" filled="false" stroked="false">
              <v:textbox inset="0,0,0,0">
                <w:txbxContent>
                  <w:p>
                    <w:pPr>
                      <w:spacing w:line="89" w:lineRule="exact" w:before="0"/>
                      <w:ind w:left="0" w:right="-16" w:firstLine="0"/>
                      <w:jc w:val="left"/>
                      <w:rPr>
                        <w:rFonts w:ascii="Calibri"/>
                        <w:sz w:val="9"/>
                      </w:rPr>
                    </w:pPr>
                    <w:r>
                      <w:rPr>
                        <w:rFonts w:ascii="Calibri"/>
                        <w:w w:val="95"/>
                        <w:sz w:val="9"/>
                      </w:rPr>
                      <w:t>25</w:t>
                    </w:r>
                  </w:p>
                </w:txbxContent>
              </v:textbox>
              <w10:wrap type="none"/>
            </v:shape>
            <v:shape style="position:absolute;left:723;top:1485;width:91;height:90" type="#_x0000_t202" filled="false" stroked="false">
              <v:textbox inset="0,0,0,0">
                <w:txbxContent>
                  <w:p>
                    <w:pPr>
                      <w:spacing w:line="89" w:lineRule="exact" w:before="0"/>
                      <w:ind w:left="0" w:right="-16" w:firstLine="0"/>
                      <w:jc w:val="left"/>
                      <w:rPr>
                        <w:rFonts w:ascii="Calibri"/>
                        <w:sz w:val="9"/>
                      </w:rPr>
                    </w:pPr>
                    <w:r>
                      <w:rPr>
                        <w:rFonts w:ascii="Calibri"/>
                        <w:w w:val="95"/>
                        <w:sz w:val="9"/>
                      </w:rPr>
                      <w:t>24</w:t>
                    </w:r>
                  </w:p>
                </w:txbxContent>
              </v:textbox>
              <w10:wrap type="none"/>
            </v:shape>
            <v:shape style="position:absolute;left:8675;top:1582;width:91;height:90" type="#_x0000_t202" filled="false" stroked="false">
              <v:textbox inset="0,0,0,0">
                <w:txbxContent>
                  <w:p>
                    <w:pPr>
                      <w:spacing w:line="89" w:lineRule="exact" w:before="0"/>
                      <w:ind w:left="0" w:right="-16" w:firstLine="0"/>
                      <w:jc w:val="left"/>
                      <w:rPr>
                        <w:rFonts w:ascii="Calibri"/>
                        <w:sz w:val="9"/>
                      </w:rPr>
                    </w:pPr>
                    <w:r>
                      <w:rPr>
                        <w:rFonts w:ascii="Calibri"/>
                        <w:w w:val="95"/>
                        <w:sz w:val="9"/>
                      </w:rPr>
                      <w:t>14</w:t>
                    </w:r>
                  </w:p>
                </w:txbxContent>
              </v:textbox>
              <w10:wrap type="none"/>
            </v:shape>
            <v:shape style="position:absolute;left:1482;top:1904;width:204;height:90" type="#_x0000_t202" filled="false" stroked="false">
              <v:textbox inset="0,0,0,0">
                <w:txbxContent>
                  <w:p>
                    <w:pPr>
                      <w:spacing w:line="89" w:lineRule="exact" w:before="0"/>
                      <w:ind w:left="0" w:right="-11" w:firstLine="0"/>
                      <w:jc w:val="left"/>
                      <w:rPr>
                        <w:rFonts w:ascii="Calibri"/>
                        <w:sz w:val="9"/>
                      </w:rPr>
                    </w:pPr>
                    <w:r>
                      <w:rPr>
                        <w:rFonts w:ascii="Calibri"/>
                        <w:w w:val="95"/>
                        <w:sz w:val="9"/>
                      </w:rPr>
                      <w:t>12.66</w:t>
                    </w:r>
                  </w:p>
                </w:txbxContent>
              </v:textbox>
              <w10:wrap type="none"/>
            </v:shape>
            <v:shape style="position:absolute;left:67;top:2063;width:91;height:90" type="#_x0000_t202" filled="false" stroked="false">
              <v:textbox inset="0,0,0,0">
                <w:txbxContent>
                  <w:p>
                    <w:pPr>
                      <w:spacing w:line="89" w:lineRule="exact" w:before="0"/>
                      <w:ind w:left="0" w:right="-16" w:firstLine="0"/>
                      <w:jc w:val="left"/>
                      <w:rPr>
                        <w:rFonts w:ascii="Calibri"/>
                        <w:sz w:val="9"/>
                      </w:rPr>
                    </w:pPr>
                    <w:r>
                      <w:rPr>
                        <w:rFonts w:ascii="Calibri"/>
                        <w:w w:val="95"/>
                        <w:sz w:val="9"/>
                      </w:rPr>
                      <w:t>20</w:t>
                    </w:r>
                  </w:p>
                </w:txbxContent>
              </v:textbox>
              <w10:wrap type="none"/>
            </v:shape>
            <v:shape style="position:absolute;left:8675;top:2063;width:91;height:90" type="#_x0000_t202" filled="false" stroked="false">
              <v:textbox inset="0,0,0,0">
                <w:txbxContent>
                  <w:p>
                    <w:pPr>
                      <w:spacing w:line="89" w:lineRule="exact" w:before="0"/>
                      <w:ind w:left="0" w:right="-16" w:firstLine="0"/>
                      <w:jc w:val="left"/>
                      <w:rPr>
                        <w:rFonts w:ascii="Calibri"/>
                        <w:sz w:val="9"/>
                      </w:rPr>
                    </w:pPr>
                    <w:r>
                      <w:rPr>
                        <w:rFonts w:ascii="Calibri"/>
                        <w:w w:val="95"/>
                        <w:sz w:val="9"/>
                      </w:rPr>
                      <w:t>12</w:t>
                    </w:r>
                  </w:p>
                </w:txbxContent>
              </v:textbox>
              <w10:wrap type="none"/>
            </v:shape>
            <v:shape style="position:absolute;left:1482;top:2308;width:204;height:90" type="#_x0000_t202" filled="false" stroked="false">
              <v:textbox inset="0,0,0,0">
                <w:txbxContent>
                  <w:p>
                    <w:pPr>
                      <w:spacing w:line="89" w:lineRule="exact" w:before="0"/>
                      <w:ind w:left="0" w:right="-11" w:firstLine="0"/>
                      <w:jc w:val="left"/>
                      <w:rPr>
                        <w:rFonts w:ascii="Calibri"/>
                        <w:sz w:val="9"/>
                      </w:rPr>
                    </w:pPr>
                    <w:r>
                      <w:rPr>
                        <w:rFonts w:ascii="Calibri"/>
                        <w:w w:val="95"/>
                        <w:sz w:val="9"/>
                      </w:rPr>
                      <w:t>18.30</w:t>
                    </w:r>
                  </w:p>
                </w:txbxContent>
              </v:textbox>
              <w10:wrap type="none"/>
            </v:shape>
            <v:shape style="position:absolute;left:8675;top:2544;width:91;height:90" type="#_x0000_t202" filled="false" stroked="false">
              <v:textbox inset="0,0,0,0">
                <w:txbxContent>
                  <w:p>
                    <w:pPr>
                      <w:spacing w:line="89" w:lineRule="exact" w:before="0"/>
                      <w:ind w:left="0" w:right="-16" w:firstLine="0"/>
                      <w:jc w:val="left"/>
                      <w:rPr>
                        <w:rFonts w:ascii="Calibri"/>
                        <w:sz w:val="9"/>
                      </w:rPr>
                    </w:pPr>
                    <w:r>
                      <w:rPr>
                        <w:rFonts w:ascii="Calibri"/>
                        <w:w w:val="95"/>
                        <w:sz w:val="9"/>
                      </w:rPr>
                      <w:t>10</w:t>
                    </w:r>
                  </w:p>
                </w:txbxContent>
              </v:textbox>
              <w10:wrap type="none"/>
            </v:shape>
            <v:shape style="position:absolute;left:67;top:2784;width:91;height:90" type="#_x0000_t202" filled="false" stroked="false">
              <v:textbox inset="0,0,0,0">
                <w:txbxContent>
                  <w:p>
                    <w:pPr>
                      <w:spacing w:line="89" w:lineRule="exact" w:before="0"/>
                      <w:ind w:left="0" w:right="-16" w:firstLine="0"/>
                      <w:jc w:val="left"/>
                      <w:rPr>
                        <w:rFonts w:ascii="Calibri"/>
                        <w:sz w:val="9"/>
                      </w:rPr>
                    </w:pPr>
                    <w:r>
                      <w:rPr>
                        <w:rFonts w:ascii="Calibri"/>
                        <w:w w:val="95"/>
                        <w:sz w:val="9"/>
                      </w:rPr>
                      <w:t>15</w:t>
                    </w:r>
                  </w:p>
                </w:txbxContent>
              </v:textbox>
              <w10:wrap type="none"/>
            </v:shape>
            <v:shape style="position:absolute;left:2243;top:3025;width:159;height:90" type="#_x0000_t202" filled="false" stroked="false">
              <v:textbox inset="0,0,0,0">
                <w:txbxContent>
                  <w:p>
                    <w:pPr>
                      <w:spacing w:line="89" w:lineRule="exact" w:before="0"/>
                      <w:ind w:left="0" w:right="-13" w:firstLine="0"/>
                      <w:jc w:val="left"/>
                      <w:rPr>
                        <w:rFonts w:ascii="Calibri"/>
                        <w:sz w:val="9"/>
                      </w:rPr>
                    </w:pPr>
                    <w:r>
                      <w:rPr>
                        <w:rFonts w:ascii="Calibri"/>
                        <w:w w:val="95"/>
                        <w:sz w:val="9"/>
                      </w:rPr>
                      <w:t>8.00</w:t>
                    </w:r>
                  </w:p>
                </w:txbxContent>
              </v:textbox>
              <w10:wrap type="none"/>
            </v:shape>
            <v:shape style="position:absolute;left:3761;top:3025;width:159;height:90" type="#_x0000_t202" filled="false" stroked="false">
              <v:textbox inset="0,0,0,0">
                <w:txbxContent>
                  <w:p>
                    <w:pPr>
                      <w:spacing w:line="89" w:lineRule="exact" w:before="0"/>
                      <w:ind w:left="0" w:right="-13" w:firstLine="0"/>
                      <w:jc w:val="left"/>
                      <w:rPr>
                        <w:rFonts w:ascii="Calibri"/>
                        <w:sz w:val="9"/>
                      </w:rPr>
                    </w:pPr>
                    <w:r>
                      <w:rPr>
                        <w:rFonts w:ascii="Calibri"/>
                        <w:w w:val="95"/>
                        <w:sz w:val="9"/>
                      </w:rPr>
                      <w:t>8.00</w:t>
                    </w:r>
                  </w:p>
                </w:txbxContent>
              </v:textbox>
              <w10:wrap type="none"/>
            </v:shape>
            <v:shape style="position:absolute;left:4520;top:2974;width:159;height:90" type="#_x0000_t202" filled="false" stroked="false">
              <v:textbox inset="0,0,0,0">
                <w:txbxContent>
                  <w:p>
                    <w:pPr>
                      <w:spacing w:line="89" w:lineRule="exact" w:before="0"/>
                      <w:ind w:left="0" w:right="-13" w:firstLine="0"/>
                      <w:jc w:val="left"/>
                      <w:rPr>
                        <w:rFonts w:ascii="Calibri"/>
                        <w:sz w:val="9"/>
                      </w:rPr>
                    </w:pPr>
                    <w:r>
                      <w:rPr>
                        <w:rFonts w:ascii="Calibri"/>
                        <w:w w:val="95"/>
                        <w:sz w:val="9"/>
                      </w:rPr>
                      <w:t>8.21</w:t>
                    </w:r>
                  </w:p>
                </w:txbxContent>
              </v:textbox>
              <w10:wrap type="none"/>
            </v:shape>
            <v:shape style="position:absolute;left:6039;top:3035;width:159;height:90" type="#_x0000_t202" filled="false" stroked="false">
              <v:textbox inset="0,0,0,0">
                <w:txbxContent>
                  <w:p>
                    <w:pPr>
                      <w:spacing w:line="89" w:lineRule="exact" w:before="0"/>
                      <w:ind w:left="0" w:right="-13" w:firstLine="0"/>
                      <w:jc w:val="left"/>
                      <w:rPr>
                        <w:rFonts w:ascii="Calibri"/>
                        <w:sz w:val="9"/>
                      </w:rPr>
                    </w:pPr>
                    <w:r>
                      <w:rPr>
                        <w:rFonts w:ascii="Calibri"/>
                        <w:w w:val="95"/>
                        <w:sz w:val="9"/>
                      </w:rPr>
                      <w:t>7.96</w:t>
                    </w:r>
                  </w:p>
                </w:txbxContent>
              </v:textbox>
              <w10:wrap type="none"/>
            </v:shape>
            <v:shape style="position:absolute;left:7557;top:2974;width:159;height:90" type="#_x0000_t202" filled="false" stroked="false">
              <v:textbox inset="0,0,0,0">
                <w:txbxContent>
                  <w:p>
                    <w:pPr>
                      <w:spacing w:line="89" w:lineRule="exact" w:before="0"/>
                      <w:ind w:left="0" w:right="-13" w:firstLine="0"/>
                      <w:jc w:val="left"/>
                      <w:rPr>
                        <w:rFonts w:ascii="Calibri"/>
                        <w:sz w:val="9"/>
                      </w:rPr>
                    </w:pPr>
                    <w:r>
                      <w:rPr>
                        <w:rFonts w:ascii="Calibri"/>
                        <w:w w:val="95"/>
                        <w:sz w:val="9"/>
                      </w:rPr>
                      <w:t>8.21</w:t>
                    </w:r>
                  </w:p>
                </w:txbxContent>
              </v:textbox>
              <w10:wrap type="none"/>
            </v:shape>
            <v:shape style="position:absolute;left:8675;top:3025;width:46;height:90" type="#_x0000_t202" filled="false" stroked="false">
              <v:textbox inset="0,0,0,0">
                <w:txbxContent>
                  <w:p>
                    <w:pPr>
                      <w:spacing w:line="89" w:lineRule="exact" w:before="0"/>
                      <w:ind w:left="0" w:right="0" w:firstLine="0"/>
                      <w:jc w:val="left"/>
                      <w:rPr>
                        <w:rFonts w:ascii="Calibri"/>
                        <w:sz w:val="9"/>
                      </w:rPr>
                    </w:pPr>
                    <w:r>
                      <w:rPr>
                        <w:rFonts w:ascii="Calibri"/>
                        <w:w w:val="99"/>
                        <w:sz w:val="9"/>
                      </w:rPr>
                      <w:t>8</w:t>
                    </w:r>
                  </w:p>
                </w:txbxContent>
              </v:textbox>
              <w10:wrap type="none"/>
            </v:shape>
            <v:shape style="position:absolute;left:3002;top:3179;width:159;height:90" type="#_x0000_t202" filled="false" stroked="false">
              <v:textbox inset="0,0,0,0">
                <w:txbxContent>
                  <w:p>
                    <w:pPr>
                      <w:spacing w:line="89" w:lineRule="exact" w:before="0"/>
                      <w:ind w:left="0" w:right="-13" w:firstLine="0"/>
                      <w:jc w:val="left"/>
                      <w:rPr>
                        <w:rFonts w:ascii="Calibri"/>
                        <w:sz w:val="9"/>
                      </w:rPr>
                    </w:pPr>
                    <w:r>
                      <w:rPr>
                        <w:rFonts w:ascii="Calibri"/>
                        <w:w w:val="95"/>
                        <w:sz w:val="9"/>
                      </w:rPr>
                      <w:t>7.36</w:t>
                    </w:r>
                  </w:p>
                </w:txbxContent>
              </v:textbox>
              <w10:wrap type="none"/>
            </v:shape>
            <v:shape style="position:absolute;left:6798;top:3215;width:159;height:90" type="#_x0000_t202" filled="false" stroked="false">
              <v:textbox inset="0,0,0,0">
                <w:txbxContent>
                  <w:p>
                    <w:pPr>
                      <w:spacing w:line="89" w:lineRule="exact" w:before="0"/>
                      <w:ind w:left="0" w:right="-13" w:firstLine="0"/>
                      <w:jc w:val="left"/>
                      <w:rPr>
                        <w:rFonts w:ascii="Calibri"/>
                        <w:sz w:val="9"/>
                      </w:rPr>
                    </w:pPr>
                    <w:r>
                      <w:rPr>
                        <w:rFonts w:ascii="Calibri"/>
                        <w:w w:val="95"/>
                        <w:sz w:val="9"/>
                      </w:rPr>
                      <w:t>7.21</w:t>
                    </w:r>
                  </w:p>
                </w:txbxContent>
              </v:textbox>
              <w10:wrap type="none"/>
            </v:shape>
            <v:shape style="position:absolute;left:8316;top:3227;width:159;height:90" type="#_x0000_t202" filled="false" stroked="false">
              <v:textbox inset="0,0,0,0">
                <w:txbxContent>
                  <w:p>
                    <w:pPr>
                      <w:spacing w:line="89" w:lineRule="exact" w:before="0"/>
                      <w:ind w:left="0" w:right="-13" w:firstLine="0"/>
                      <w:jc w:val="left"/>
                      <w:rPr>
                        <w:rFonts w:ascii="Calibri"/>
                        <w:sz w:val="9"/>
                      </w:rPr>
                    </w:pPr>
                    <w:r>
                      <w:rPr>
                        <w:rFonts w:ascii="Calibri"/>
                        <w:w w:val="95"/>
                        <w:sz w:val="9"/>
                      </w:rPr>
                      <w:t>7.16</w:t>
                    </w:r>
                  </w:p>
                </w:txbxContent>
              </v:textbox>
              <w10:wrap type="none"/>
            </v:shape>
            <v:shape style="position:absolute;left:67;top:3506;width:91;height:90" type="#_x0000_t202" filled="false" stroked="false">
              <v:textbox inset="0,0,0,0">
                <w:txbxContent>
                  <w:p>
                    <w:pPr>
                      <w:spacing w:line="89" w:lineRule="exact" w:before="0"/>
                      <w:ind w:left="0" w:right="-16" w:firstLine="0"/>
                      <w:jc w:val="left"/>
                      <w:rPr>
                        <w:rFonts w:ascii="Calibri"/>
                        <w:sz w:val="9"/>
                      </w:rPr>
                    </w:pPr>
                    <w:r>
                      <w:rPr>
                        <w:rFonts w:ascii="Calibri"/>
                        <w:w w:val="95"/>
                        <w:sz w:val="9"/>
                      </w:rPr>
                      <w:t>10</w:t>
                    </w:r>
                  </w:p>
                </w:txbxContent>
              </v:textbox>
              <w10:wrap type="none"/>
            </v:shape>
            <v:shape style="position:absolute;left:8675;top:3506;width:46;height:90" type="#_x0000_t202" filled="false" stroked="false">
              <v:textbox inset="0,0,0,0">
                <w:txbxContent>
                  <w:p>
                    <w:pPr>
                      <w:spacing w:line="89" w:lineRule="exact" w:before="0"/>
                      <w:ind w:left="0" w:right="0" w:firstLine="0"/>
                      <w:jc w:val="left"/>
                      <w:rPr>
                        <w:rFonts w:ascii="Calibri"/>
                        <w:sz w:val="9"/>
                      </w:rPr>
                    </w:pPr>
                    <w:r>
                      <w:rPr>
                        <w:rFonts w:ascii="Calibri"/>
                        <w:w w:val="99"/>
                        <w:sz w:val="9"/>
                      </w:rPr>
                      <w:t>6</w:t>
                    </w:r>
                  </w:p>
                </w:txbxContent>
              </v:textbox>
              <w10:wrap type="none"/>
            </v:shape>
            <v:shape style="position:absolute;left:3002;top:3607;width:3955;height:90" type="#_x0000_t202" filled="false" stroked="false">
              <v:textbox inset="0,0,0,0">
                <w:txbxContent>
                  <w:p>
                    <w:pPr>
                      <w:tabs>
                        <w:tab w:pos="1518" w:val="left" w:leader="none"/>
                        <w:tab w:pos="3795" w:val="left" w:leader="none"/>
                      </w:tabs>
                      <w:spacing w:line="89" w:lineRule="exact" w:before="0"/>
                      <w:ind w:left="0" w:right="0" w:firstLine="0"/>
                      <w:jc w:val="left"/>
                      <w:rPr>
                        <w:rFonts w:ascii="Calibri"/>
                        <w:sz w:val="9"/>
                      </w:rPr>
                    </w:pPr>
                    <w:r>
                      <w:rPr>
                        <w:rFonts w:ascii="Calibri"/>
                        <w:sz w:val="9"/>
                      </w:rPr>
                      <w:t>9.30</w:t>
                      <w:tab/>
                      <w:t>9.30</w:t>
                      <w:tab/>
                    </w:r>
                    <w:r>
                      <w:rPr>
                        <w:rFonts w:ascii="Calibri"/>
                        <w:w w:val="95"/>
                        <w:sz w:val="9"/>
                      </w:rPr>
                      <w:t>9.30</w:t>
                    </w:r>
                  </w:p>
                </w:txbxContent>
              </v:textbox>
              <w10:wrap type="none"/>
            </v:shape>
            <v:shape style="position:absolute;left:2243;top:3679;width:159;height:90" type="#_x0000_t202" filled="false" stroked="false">
              <v:textbox inset="0,0,0,0">
                <w:txbxContent>
                  <w:p>
                    <w:pPr>
                      <w:spacing w:line="89" w:lineRule="exact" w:before="0"/>
                      <w:ind w:left="0" w:right="-13" w:firstLine="0"/>
                      <w:jc w:val="left"/>
                      <w:rPr>
                        <w:rFonts w:ascii="Calibri"/>
                        <w:sz w:val="9"/>
                      </w:rPr>
                    </w:pPr>
                    <w:r>
                      <w:rPr>
                        <w:rFonts w:ascii="Calibri"/>
                        <w:w w:val="95"/>
                        <w:sz w:val="9"/>
                      </w:rPr>
                      <w:t>8.80</w:t>
                    </w:r>
                  </w:p>
                </w:txbxContent>
              </v:textbox>
              <w10:wrap type="none"/>
            </v:shape>
            <v:shape style="position:absolute;left:3761;top:3751;width:159;height:90" type="#_x0000_t202" filled="false" stroked="false">
              <v:textbox inset="0,0,0,0">
                <w:txbxContent>
                  <w:p>
                    <w:pPr>
                      <w:spacing w:line="89" w:lineRule="exact" w:before="0"/>
                      <w:ind w:left="0" w:right="-13" w:firstLine="0"/>
                      <w:jc w:val="left"/>
                      <w:rPr>
                        <w:rFonts w:ascii="Calibri"/>
                        <w:sz w:val="9"/>
                      </w:rPr>
                    </w:pPr>
                    <w:r>
                      <w:rPr>
                        <w:rFonts w:ascii="Calibri"/>
                        <w:w w:val="95"/>
                        <w:sz w:val="9"/>
                      </w:rPr>
                      <w:t>8.30</w:t>
                    </w:r>
                  </w:p>
                </w:txbxContent>
              </v:textbox>
              <w10:wrap type="none"/>
            </v:shape>
            <v:shape style="position:absolute;left:5279;top:3720;width:159;height:280" type="#_x0000_t202" filled="false" stroked="false">
              <v:textbox inset="0,0,0,0">
                <w:txbxContent>
                  <w:p>
                    <w:pPr>
                      <w:spacing w:line="94" w:lineRule="exact" w:before="0"/>
                      <w:ind w:left="0" w:right="-13" w:firstLine="0"/>
                      <w:jc w:val="left"/>
                      <w:rPr>
                        <w:rFonts w:ascii="Calibri"/>
                        <w:sz w:val="9"/>
                      </w:rPr>
                    </w:pPr>
                    <w:r>
                      <w:rPr>
                        <w:rFonts w:ascii="Calibri"/>
                        <w:w w:val="95"/>
                        <w:sz w:val="9"/>
                      </w:rPr>
                      <w:t>5.11</w:t>
                    </w:r>
                  </w:p>
                  <w:p>
                    <w:pPr>
                      <w:spacing w:line="240" w:lineRule="auto" w:before="11"/>
                      <w:rPr>
                        <w:sz w:val="6"/>
                      </w:rPr>
                    </w:pPr>
                  </w:p>
                  <w:p>
                    <w:pPr>
                      <w:spacing w:line="105" w:lineRule="exact" w:before="0"/>
                      <w:ind w:left="0" w:right="-13" w:firstLine="0"/>
                      <w:jc w:val="left"/>
                      <w:rPr>
                        <w:rFonts w:ascii="Calibri"/>
                        <w:sz w:val="9"/>
                      </w:rPr>
                    </w:pPr>
                    <w:r>
                      <w:rPr>
                        <w:rFonts w:ascii="Calibri"/>
                        <w:w w:val="95"/>
                        <w:sz w:val="9"/>
                      </w:rPr>
                      <w:t>7.20</w:t>
                    </w:r>
                  </w:p>
                </w:txbxContent>
              </v:textbox>
              <w10:wrap type="none"/>
            </v:shape>
            <v:shape style="position:absolute;left:6039;top:3751;width:159;height:90" type="#_x0000_t202" filled="false" stroked="false">
              <v:textbox inset="0,0,0,0">
                <w:txbxContent>
                  <w:p>
                    <w:pPr>
                      <w:spacing w:line="89" w:lineRule="exact" w:before="0"/>
                      <w:ind w:left="0" w:right="-13" w:firstLine="0"/>
                      <w:jc w:val="left"/>
                      <w:rPr>
                        <w:rFonts w:ascii="Calibri"/>
                        <w:sz w:val="9"/>
                      </w:rPr>
                    </w:pPr>
                    <w:r>
                      <w:rPr>
                        <w:rFonts w:ascii="Calibri"/>
                        <w:w w:val="95"/>
                        <w:sz w:val="9"/>
                      </w:rPr>
                      <w:t>8.30</w:t>
                    </w:r>
                  </w:p>
                </w:txbxContent>
              </v:textbox>
              <w10:wrap type="none"/>
            </v:shape>
            <v:shape style="position:absolute;left:8316;top:3824;width:159;height:90" type="#_x0000_t202" filled="false" stroked="false">
              <v:textbox inset="0,0,0,0">
                <w:txbxContent>
                  <w:p>
                    <w:pPr>
                      <w:spacing w:line="89" w:lineRule="exact" w:before="0"/>
                      <w:ind w:left="0" w:right="-13" w:firstLine="0"/>
                      <w:jc w:val="left"/>
                      <w:rPr>
                        <w:rFonts w:ascii="Calibri"/>
                        <w:sz w:val="9"/>
                      </w:rPr>
                    </w:pPr>
                    <w:r>
                      <w:rPr>
                        <w:rFonts w:ascii="Calibri"/>
                        <w:w w:val="95"/>
                        <w:sz w:val="9"/>
                      </w:rPr>
                      <w:t>7.80</w:t>
                    </w:r>
                  </w:p>
                </w:txbxContent>
              </v:textbox>
              <w10:wrap type="none"/>
            </v:shape>
            <v:shape style="position:absolute;left:7557;top:3896;width:159;height:90" type="#_x0000_t202" filled="false" stroked="false">
              <v:textbox inset="0,0,0,0">
                <w:txbxContent>
                  <w:p>
                    <w:pPr>
                      <w:spacing w:line="89" w:lineRule="exact" w:before="0"/>
                      <w:ind w:left="0" w:right="-13" w:firstLine="0"/>
                      <w:jc w:val="left"/>
                      <w:rPr>
                        <w:rFonts w:ascii="Calibri"/>
                        <w:sz w:val="9"/>
                      </w:rPr>
                    </w:pPr>
                    <w:r>
                      <w:rPr>
                        <w:rFonts w:ascii="Calibri"/>
                        <w:w w:val="95"/>
                        <w:sz w:val="9"/>
                      </w:rPr>
                      <w:t>7.30</w:t>
                    </w:r>
                  </w:p>
                </w:txbxContent>
              </v:textbox>
              <w10:wrap type="none"/>
            </v:shape>
            <v:shape style="position:absolute;left:8675;top:3987;width:46;height:90" type="#_x0000_t202" filled="false" stroked="false">
              <v:textbox inset="0,0,0,0">
                <w:txbxContent>
                  <w:p>
                    <w:pPr>
                      <w:spacing w:line="89" w:lineRule="exact" w:before="0"/>
                      <w:ind w:left="0" w:right="0" w:firstLine="0"/>
                      <w:jc w:val="left"/>
                      <w:rPr>
                        <w:rFonts w:ascii="Calibri"/>
                        <w:sz w:val="9"/>
                      </w:rPr>
                    </w:pPr>
                    <w:r>
                      <w:rPr>
                        <w:rFonts w:ascii="Calibri"/>
                        <w:w w:val="99"/>
                        <w:sz w:val="9"/>
                      </w:rPr>
                      <w:t>4</w:t>
                    </w:r>
                  </w:p>
                </w:txbxContent>
              </v:textbox>
              <w10:wrap type="none"/>
            </v:shape>
            <v:shape style="position:absolute;left:112;top:4228;width:46;height:90" type="#_x0000_t202" filled="false" stroked="false">
              <v:textbox inset="0,0,0,0">
                <w:txbxContent>
                  <w:p>
                    <w:pPr>
                      <w:spacing w:line="89" w:lineRule="exact" w:before="0"/>
                      <w:ind w:left="0" w:right="0" w:firstLine="0"/>
                      <w:jc w:val="left"/>
                      <w:rPr>
                        <w:rFonts w:ascii="Calibri"/>
                        <w:sz w:val="9"/>
                      </w:rPr>
                    </w:pPr>
                    <w:r>
                      <w:rPr>
                        <w:rFonts w:ascii="Calibri"/>
                        <w:w w:val="99"/>
                        <w:sz w:val="9"/>
                      </w:rPr>
                      <w:t>5</w:t>
                    </w:r>
                  </w:p>
                </w:txbxContent>
              </v:textbox>
              <w10:wrap type="none"/>
            </v:shape>
            <v:shape style="position:absolute;left:8675;top:4468;width:46;height:90" type="#_x0000_t202" filled="false" stroked="false">
              <v:textbox inset="0,0,0,0">
                <w:txbxContent>
                  <w:p>
                    <w:pPr>
                      <w:spacing w:line="89" w:lineRule="exact" w:before="0"/>
                      <w:ind w:left="0" w:right="0" w:firstLine="0"/>
                      <w:jc w:val="left"/>
                      <w:rPr>
                        <w:rFonts w:ascii="Calibri"/>
                        <w:sz w:val="9"/>
                      </w:rPr>
                    </w:pPr>
                    <w:r>
                      <w:rPr>
                        <w:rFonts w:ascii="Calibri"/>
                        <w:w w:val="99"/>
                        <w:sz w:val="9"/>
                      </w:rPr>
                      <w:t>2</w:t>
                    </w:r>
                  </w:p>
                </w:txbxContent>
              </v:textbox>
              <w10:wrap type="none"/>
            </v:shape>
            <v:shape style="position:absolute;left:112;top:4949;width:46;height:90" type="#_x0000_t202" filled="false" stroked="false">
              <v:textbox inset="0,0,0,0">
                <w:txbxContent>
                  <w:p>
                    <w:pPr>
                      <w:spacing w:line="89" w:lineRule="exact" w:before="0"/>
                      <w:ind w:left="0" w:right="0" w:firstLine="0"/>
                      <w:jc w:val="left"/>
                      <w:rPr>
                        <w:rFonts w:ascii="Calibri"/>
                        <w:sz w:val="9"/>
                      </w:rPr>
                    </w:pPr>
                    <w:r>
                      <w:rPr>
                        <w:rFonts w:ascii="Calibri"/>
                        <w:w w:val="99"/>
                        <w:sz w:val="9"/>
                      </w:rPr>
                      <w:t>0</w:t>
                    </w:r>
                  </w:p>
                </w:txbxContent>
              </v:textbox>
              <w10:wrap type="none"/>
            </v:shape>
            <v:shape style="position:absolute;left:8675;top:4949;width:46;height:90" type="#_x0000_t202" filled="false" stroked="false">
              <v:textbox inset="0,0,0,0">
                <w:txbxContent>
                  <w:p>
                    <w:pPr>
                      <w:spacing w:line="89" w:lineRule="exact" w:before="0"/>
                      <w:ind w:left="0" w:right="0" w:firstLine="0"/>
                      <w:jc w:val="left"/>
                      <w:rPr>
                        <w:rFonts w:ascii="Calibri"/>
                        <w:sz w:val="9"/>
                      </w:rPr>
                    </w:pPr>
                    <w:r>
                      <w:rPr>
                        <w:rFonts w:ascii="Calibri"/>
                        <w:w w:val="99"/>
                        <w:sz w:val="9"/>
                      </w:rPr>
                      <w:t>0</w:t>
                    </w:r>
                  </w:p>
                </w:txbxContent>
              </v:textbox>
              <w10:wrap type="none"/>
            </v:shape>
            <v:shape style="position:absolute;left:464;top:5054;width:4289;height:90" type="#_x0000_t202" filled="false" stroked="false">
              <v:textbox inset="0,0,0,0">
                <w:txbxContent>
                  <w:p>
                    <w:pPr>
                      <w:tabs>
                        <w:tab w:pos="726" w:val="left" w:leader="none"/>
                        <w:tab w:pos="1341" w:val="left" w:leader="none"/>
                      </w:tabs>
                      <w:spacing w:line="89" w:lineRule="exact" w:before="0"/>
                      <w:ind w:left="0" w:right="0" w:firstLine="0"/>
                      <w:jc w:val="left"/>
                      <w:rPr>
                        <w:sz w:val="9"/>
                      </w:rPr>
                    </w:pPr>
                    <w:r>
                      <w:rPr>
                        <w:sz w:val="9"/>
                      </w:rPr>
                      <w:t>Optimo</w:t>
                      <w:tab/>
                      <w:t>Deseable</w:t>
                      <w:tab/>
                      <w:t>Villas del Campo       San Andres      Villas del Campo II  Valle del</w:t>
                    </w:r>
                    <w:r>
                      <w:rPr>
                        <w:spacing w:val="-15"/>
                        <w:sz w:val="9"/>
                      </w:rPr>
                      <w:t> </w:t>
                    </w:r>
                    <w:r>
                      <w:rPr>
                        <w:sz w:val="9"/>
                      </w:rPr>
                      <w:t>Nevado</w:t>
                    </w:r>
                  </w:p>
                </w:txbxContent>
              </v:textbox>
              <w10:wrap type="none"/>
            </v:shape>
            <v:shape style="position:absolute;left:4915;top:5054;width:517;height:304" type="#_x0000_t202" filled="false" stroked="false">
              <v:textbox inset="0,0,0,0">
                <w:txbxContent>
                  <w:p>
                    <w:pPr>
                      <w:spacing w:line="91" w:lineRule="exact" w:before="0"/>
                      <w:ind w:left="0" w:right="-18" w:firstLine="57"/>
                      <w:jc w:val="left"/>
                      <w:rPr>
                        <w:sz w:val="9"/>
                      </w:rPr>
                    </w:pPr>
                    <w:r>
                      <w:rPr>
                        <w:sz w:val="9"/>
                      </w:rPr>
                      <w:t>Rancho la</w:t>
                    </w:r>
                  </w:p>
                  <w:p>
                    <w:pPr>
                      <w:spacing w:line="249" w:lineRule="auto" w:before="3"/>
                      <w:ind w:left="124" w:right="-18" w:hanging="125"/>
                      <w:jc w:val="left"/>
                      <w:rPr>
                        <w:sz w:val="9"/>
                      </w:rPr>
                    </w:pPr>
                    <w:r>
                      <w:rPr>
                        <w:sz w:val="9"/>
                      </w:rPr>
                      <w:t>Providencia</w:t>
                    </w:r>
                    <w:r>
                      <w:rPr>
                        <w:spacing w:val="-5"/>
                        <w:sz w:val="9"/>
                      </w:rPr>
                      <w:t> </w:t>
                    </w:r>
                    <w:r>
                      <w:rPr>
                        <w:sz w:val="9"/>
                      </w:rPr>
                      <w:t>/ Iberica</w:t>
                    </w:r>
                  </w:p>
                </w:txbxContent>
              </v:textbox>
              <w10:wrap type="none"/>
            </v:shape>
            <v:shape style="position:absolute;left:5589;top:5054;width:1388;height:90" type="#_x0000_t202" filled="false" stroked="false">
              <v:textbox inset="0,0,0,0">
                <w:txbxContent>
                  <w:p>
                    <w:pPr>
                      <w:spacing w:line="89" w:lineRule="exact" w:before="0"/>
                      <w:ind w:left="0" w:right="-15" w:firstLine="0"/>
                      <w:jc w:val="left"/>
                      <w:rPr>
                        <w:sz w:val="9"/>
                      </w:rPr>
                    </w:pPr>
                    <w:r>
                      <w:rPr>
                        <w:sz w:val="9"/>
                      </w:rPr>
                      <w:t>Urbi Hacienda de     Bosque de</w:t>
                    </w:r>
                    <w:r>
                      <w:rPr>
                        <w:spacing w:val="-8"/>
                        <w:sz w:val="9"/>
                      </w:rPr>
                      <w:t> </w:t>
                    </w:r>
                    <w:r>
                      <w:rPr>
                        <w:sz w:val="9"/>
                      </w:rPr>
                      <w:t>las</w:t>
                    </w:r>
                  </w:p>
                </w:txbxContent>
              </v:textbox>
              <w10:wrap type="none"/>
            </v:shape>
            <v:shape style="position:absolute;left:5731;top:5161;width:408;height:90" type="#_x0000_t202" filled="false" stroked="false">
              <v:textbox inset="0,0,0,0">
                <w:txbxContent>
                  <w:p>
                    <w:pPr>
                      <w:spacing w:line="89" w:lineRule="exact" w:before="0"/>
                      <w:ind w:left="0" w:right="-19" w:firstLine="0"/>
                      <w:jc w:val="left"/>
                      <w:rPr>
                        <w:sz w:val="9"/>
                      </w:rPr>
                    </w:pPr>
                    <w:r>
                      <w:rPr>
                        <w:sz w:val="9"/>
                      </w:rPr>
                      <w:t>las</w:t>
                    </w:r>
                    <w:r>
                      <w:rPr>
                        <w:spacing w:val="-4"/>
                        <w:sz w:val="9"/>
                      </w:rPr>
                      <w:t> </w:t>
                    </w:r>
                    <w:r>
                      <w:rPr>
                        <w:sz w:val="9"/>
                      </w:rPr>
                      <w:t>Lomas</w:t>
                    </w:r>
                  </w:p>
                </w:txbxContent>
              </v:textbox>
              <w10:wrap type="none"/>
            </v:shape>
            <v:shape style="position:absolute;left:6532;top:5161;width:323;height:90" type="#_x0000_t202" filled="false" stroked="false">
              <v:textbox inset="0,0,0,0">
                <w:txbxContent>
                  <w:p>
                    <w:pPr>
                      <w:spacing w:line="89" w:lineRule="exact" w:before="0"/>
                      <w:ind w:left="0" w:right="-6" w:firstLine="0"/>
                      <w:jc w:val="left"/>
                      <w:rPr>
                        <w:sz w:val="9"/>
                      </w:rPr>
                    </w:pPr>
                    <w:r>
                      <w:rPr>
                        <w:w w:val="95"/>
                        <w:sz w:val="9"/>
                      </w:rPr>
                      <w:t>Fuentes</w:t>
                    </w:r>
                  </w:p>
                </w:txbxContent>
              </v:textbox>
              <w10:wrap type="none"/>
            </v:shape>
            <v:shape style="position:absolute;left:7133;top:5054;width:1309;height:197" type="#_x0000_t202" filled="false" stroked="false">
              <v:textbox inset="0,0,0,0">
                <w:txbxContent>
                  <w:p>
                    <w:pPr>
                      <w:tabs>
                        <w:tab w:pos="853" w:val="left" w:leader="none"/>
                      </w:tabs>
                      <w:spacing w:line="91" w:lineRule="exact" w:before="0"/>
                      <w:ind w:left="0" w:right="0" w:firstLine="0"/>
                      <w:jc w:val="left"/>
                      <w:rPr>
                        <w:sz w:val="9"/>
                      </w:rPr>
                    </w:pPr>
                    <w:r>
                      <w:rPr>
                        <w:sz w:val="9"/>
                      </w:rPr>
                      <w:t>Hacienda</w:t>
                    </w:r>
                    <w:r>
                      <w:rPr>
                        <w:spacing w:val="-3"/>
                        <w:sz w:val="9"/>
                      </w:rPr>
                      <w:t> </w:t>
                    </w:r>
                    <w:r>
                      <w:rPr>
                        <w:sz w:val="9"/>
                      </w:rPr>
                      <w:t>de</w:t>
                    </w:r>
                    <w:r>
                      <w:rPr>
                        <w:spacing w:val="-3"/>
                        <w:sz w:val="9"/>
                      </w:rPr>
                      <w:t> </w:t>
                    </w:r>
                    <w:r>
                      <w:rPr>
                        <w:sz w:val="9"/>
                      </w:rPr>
                      <w:t>las</w:t>
                      <w:tab/>
                      <w:t>Valle de</w:t>
                    </w:r>
                    <w:r>
                      <w:rPr>
                        <w:spacing w:val="-13"/>
                        <w:sz w:val="9"/>
                      </w:rPr>
                      <w:t> </w:t>
                    </w:r>
                    <w:r>
                      <w:rPr>
                        <w:sz w:val="9"/>
                      </w:rPr>
                      <w:t>las</w:t>
                    </w:r>
                  </w:p>
                  <w:p>
                    <w:pPr>
                      <w:tabs>
                        <w:tab w:pos="919" w:val="left" w:leader="none"/>
                      </w:tabs>
                      <w:spacing w:line="101" w:lineRule="exact" w:before="3"/>
                      <w:ind w:left="158" w:right="0" w:firstLine="0"/>
                      <w:jc w:val="left"/>
                      <w:rPr>
                        <w:sz w:val="9"/>
                      </w:rPr>
                    </w:pPr>
                    <w:r>
                      <w:rPr>
                        <w:sz w:val="9"/>
                      </w:rPr>
                      <w:t>Fuentes</w:t>
                      <w:tab/>
                      <w:t>Fuentes</w:t>
                    </w:r>
                  </w:p>
                </w:txbxContent>
              </v:textbox>
              <w10:wrap type="none"/>
            </v:shape>
          </v:group>
        </w:pict>
      </w:r>
      <w:r>
        <w:rPr>
          <w:sz w:val="20"/>
        </w:rPr>
      </w:r>
    </w:p>
    <w:p>
      <w:pPr>
        <w:pStyle w:val="BodyText"/>
        <w:spacing w:before="9"/>
        <w:rPr>
          <w:sz w:val="21"/>
        </w:rPr>
      </w:pPr>
    </w:p>
    <w:p>
      <w:pPr>
        <w:spacing w:before="0"/>
        <w:ind w:left="268" w:right="0" w:firstLine="0"/>
        <w:jc w:val="both"/>
        <w:rPr>
          <w:sz w:val="21"/>
        </w:rPr>
      </w:pPr>
      <w:r>
        <w:rPr>
          <w:w w:val="105"/>
          <w:sz w:val="21"/>
        </w:rPr>
        <w:t>Fuente: Elaboración propia con base en los resultados obtenidos del estudio realizado.</w:t>
      </w:r>
    </w:p>
    <w:p>
      <w:pPr>
        <w:pStyle w:val="BodyText"/>
        <w:spacing w:before="2"/>
        <w:rPr>
          <w:sz w:val="21"/>
        </w:rPr>
      </w:pPr>
    </w:p>
    <w:p>
      <w:pPr>
        <w:pStyle w:val="BodyText"/>
        <w:spacing w:line="360" w:lineRule="auto"/>
        <w:ind w:left="268" w:right="231"/>
        <w:jc w:val="both"/>
      </w:pPr>
      <w:r>
        <w:rPr/>
        <w:t>Continuando con el factor ambiental, el impacto que conlleva la sustentabilidad sobre este eje, la investigación demostró resultados que abrieron nuevos temas de interés para futuras investigaciones en relación al derecho ambiental y el estudio social en la calidad de vida de los habitantes, ya que se encontró que los conjuntos habitacionales analizados están por debajo de los estándares nacionales e internacionales en relación a los metros cuadrados de área verde por habitante con los que cuenta cada conjunto urbano, superficie que es regulada por la normatividad en los procesos de autorización que administra la Secretaría de Desarrollo Urbano y Metropolitano en el Estado de México.</w:t>
      </w:r>
    </w:p>
    <w:p>
      <w:pPr>
        <w:pStyle w:val="BodyText"/>
        <w:spacing w:line="362" w:lineRule="auto" w:before="122"/>
        <w:ind w:left="268" w:right="232"/>
        <w:jc w:val="both"/>
      </w:pPr>
      <w:r>
        <w:rPr/>
        <w:t>Indiscutiblemente se abre el panorama para plantear interrogantes ante los lineamientos, estándares que se consideran en las leyes y reglamentos en los que</w:t>
      </w:r>
    </w:p>
    <w:p>
      <w:pPr>
        <w:spacing w:after="0" w:line="362" w:lineRule="auto"/>
        <w:jc w:val="both"/>
        <w:sectPr>
          <w:footerReference w:type="default" r:id="rId267"/>
          <w:pgSz w:w="12240" w:h="15840"/>
          <w:pgMar w:footer="1066" w:header="730"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7896" from="93.199997pt,-19.614155pt" to="546.799997pt,-19.614155pt" stroked="true" strokeweight=".479981pt" strokecolor="#000000">
            <w10:wrap type="none"/>
          </v:line>
        </w:pict>
      </w:r>
      <w:r>
        <w:rPr/>
        <w:t>se fundamenta y sustenta la promoción, producción y desarrollo de vivienda formal en el Estado de México.</w:t>
      </w:r>
    </w:p>
    <w:p>
      <w:pPr>
        <w:pStyle w:val="BodyText"/>
        <w:spacing w:line="352" w:lineRule="auto" w:before="88"/>
        <w:ind w:left="268" w:right="232"/>
        <w:jc w:val="both"/>
      </w:pPr>
      <w:r>
        <w:rPr/>
        <w:t>Cabe señalar que los conjuntos que cuentan con los mayores m</w:t>
      </w:r>
      <w:r>
        <w:rPr>
          <w:position w:val="11"/>
          <w:sz w:val="16"/>
        </w:rPr>
        <w:t>2 </w:t>
      </w:r>
      <w:r>
        <w:rPr/>
        <w:t>de área verde  por habitante no cuentan con los mejores resultados en el Índice de Sustentabilidad del conjunto urbano y, por otro lado, los conjuntos con el puntaje más alto no cuentan con más de 4.7m</w:t>
      </w:r>
      <w:r>
        <w:rPr>
          <w:position w:val="11"/>
          <w:sz w:val="16"/>
        </w:rPr>
        <w:t>2 </w:t>
      </w:r>
      <w:r>
        <w:rPr/>
        <w:t>de área verde por habitante, como se muestra en la gráfica</w:t>
      </w:r>
      <w:r>
        <w:rPr>
          <w:spacing w:val="-1"/>
        </w:rPr>
        <w:t> </w:t>
      </w:r>
      <w:r>
        <w:rPr/>
        <w:t>22.</w:t>
      </w:r>
    </w:p>
    <w:p>
      <w:pPr>
        <w:spacing w:before="139" w:after="10"/>
        <w:ind w:left="268" w:right="0" w:firstLine="0"/>
        <w:jc w:val="both"/>
        <w:rPr>
          <w:sz w:val="21"/>
        </w:rPr>
      </w:pPr>
      <w:r>
        <w:rPr>
          <w:w w:val="105"/>
          <w:sz w:val="21"/>
        </w:rPr>
        <w:t>Gráfica 22. ISC vs Área verde de CU´s por habitante</w:t>
      </w:r>
    </w:p>
    <w:p>
      <w:pPr>
        <w:pStyle w:val="BodyText"/>
        <w:ind w:left="274"/>
        <w:rPr>
          <w:sz w:val="20"/>
        </w:rPr>
      </w:pPr>
      <w:r>
        <w:rPr>
          <w:sz w:val="20"/>
        </w:rPr>
        <w:pict>
          <v:group style="width:441.3pt;height:351.3pt;mso-position-horizontal-relative:char;mso-position-vertical-relative:line" coordorigin="0,0" coordsize="8826,7026">
            <v:line style="position:absolute" from="239,6435" to="8583,6435" stroked="true" strokeweight=".450962pt" strokecolor="#c4c4c4"/>
            <v:line style="position:absolute" from="239,6282" to="8583,6282" stroked="true" strokeweight=".450962pt" strokecolor="#c4c4c4"/>
            <v:line style="position:absolute" from="239,6138" to="8583,6138" stroked="true" strokeweight=".450962pt" strokecolor="#c4c4c4"/>
            <v:line style="position:absolute" from="239,5984" to="8583,5984" stroked="true" strokeweight=".450962pt" strokecolor="#c4c4c4"/>
            <v:line style="position:absolute" from="239,5696" to="8583,5696" stroked="true" strokeweight=".450962pt" strokecolor="#c4c4c4"/>
            <v:line style="position:absolute" from="239,5542" to="8583,5542" stroked="true" strokeweight=".450962pt" strokecolor="#c4c4c4"/>
            <v:line style="position:absolute" from="239,5398" to="8583,5398" stroked="true" strokeweight=".450962pt" strokecolor="#c4c4c4"/>
            <v:line style="position:absolute" from="239,5245" to="8583,5245" stroked="true" strokeweight=".450962pt" strokecolor="#c4c4c4"/>
            <v:line style="position:absolute" from="239,4947" to="8583,4947" stroked="true" strokeweight=".450962pt" strokecolor="#c4c4c4"/>
            <v:line style="position:absolute" from="239,4803" to="8583,4803" stroked="true" strokeweight=".450962pt" strokecolor="#c4c4c4"/>
            <v:line style="position:absolute" from="239,4658" to="8583,4658" stroked="true" strokeweight=".450962pt" strokecolor="#c4c4c4"/>
            <v:line style="position:absolute" from="239,4505" to="8583,4505" stroked="true" strokeweight=".450962pt" strokecolor="#c4c4c4"/>
            <v:line style="position:absolute" from="239,4207" to="8583,4207" stroked="true" strokeweight=".450962pt" strokecolor="#c4c4c4"/>
            <v:line style="position:absolute" from="239,4063" to="8583,4063" stroked="true" strokeweight=".450962pt" strokecolor="#c4c4c4"/>
            <v:line style="position:absolute" from="239,3919" to="8583,3919" stroked="true" strokeweight=".450962pt" strokecolor="#c4c4c4"/>
            <v:line style="position:absolute" from="239,3766" to="8583,3766" stroked="true" strokeweight=".450962pt" strokecolor="#c4c4c4"/>
            <v:line style="position:absolute" from="239,3468" to="8583,3468" stroked="true" strokeweight=".450962pt" strokecolor="#c4c4c4"/>
            <v:line style="position:absolute" from="239,3324" to="8583,3324" stroked="true" strokeweight=".450962pt" strokecolor="#c4c4c4"/>
            <v:line style="position:absolute" from="239,3179" to="8583,3179" stroked="true" strokeweight=".450962pt" strokecolor="#c4c4c4"/>
            <v:line style="position:absolute" from="239,3026" to="8583,3026" stroked="true" strokeweight=".450962pt" strokecolor="#c4c4c4"/>
            <v:line style="position:absolute" from="239,2728" to="8583,2728" stroked="true" strokeweight=".450962pt" strokecolor="#c4c4c4"/>
            <v:line style="position:absolute" from="239,2584" to="8583,2584" stroked="true" strokeweight=".450962pt" strokecolor="#c4c4c4"/>
            <v:line style="position:absolute" from="239,2440" to="8583,2440" stroked="true" strokeweight=".450962pt" strokecolor="#c4c4c4"/>
            <v:line style="position:absolute" from="239,2286" to="8583,2286" stroked="true" strokeweight=".450962pt" strokecolor="#c4c4c4"/>
            <v:line style="position:absolute" from="239,1989" to="8583,1989" stroked="true" strokeweight=".450962pt" strokecolor="#c4c4c4"/>
            <v:line style="position:absolute" from="239,1844" to="8583,1844" stroked="true" strokeweight=".450962pt" strokecolor="#c4c4c4"/>
            <v:line style="position:absolute" from="239,1700" to="8583,1700" stroked="true" strokeweight=".450962pt" strokecolor="#c4c4c4"/>
            <v:line style="position:absolute" from="239,1547" to="8583,1547" stroked="true" strokeweight=".450962pt" strokecolor="#c4c4c4"/>
            <v:line style="position:absolute" from="239,1249" to="8583,1249" stroked="true" strokeweight=".450962pt" strokecolor="#c4c4c4"/>
            <v:line style="position:absolute" from="239,1105" to="8583,1105" stroked="true" strokeweight=".450962pt" strokecolor="#c4c4c4"/>
            <v:line style="position:absolute" from="239,952" to="8583,952" stroked="true" strokeweight=".450962pt" strokecolor="#c4c4c4"/>
            <v:line style="position:absolute" from="239,807" to="8583,807" stroked="true" strokeweight=".450962pt" strokecolor="#c4c4c4"/>
            <v:line style="position:absolute" from="239,6579" to="8583,6579" stroked="true" strokeweight=".450962pt" strokecolor="#989898"/>
            <v:line style="position:absolute" from="239,5840" to="8583,5840" stroked="true" strokeweight=".450962pt" strokecolor="#989898"/>
            <v:line style="position:absolute" from="239,5100" to="8583,5100" stroked="true" strokeweight=".450962pt" strokecolor="#989898"/>
            <v:line style="position:absolute" from="239,4361" to="8583,4361" stroked="true" strokeweight=".450962pt" strokecolor="#989898"/>
            <v:line style="position:absolute" from="239,3621" to="8583,3621" stroked="true" strokeweight=".450962pt" strokecolor="#989898"/>
            <v:line style="position:absolute" from="239,2882" to="8583,2882" stroked="true" strokeweight=".450962pt" strokecolor="#989898"/>
            <v:line style="position:absolute" from="239,2142" to="8583,2142" stroked="true" strokeweight=".450962pt" strokecolor="#989898"/>
            <v:line style="position:absolute" from="239,1402" to="8583,1402" stroked="true" strokeweight=".450962pt" strokecolor="#989898"/>
            <v:line style="position:absolute" from="239,663" to="8583,663" stroked="true" strokeweight=".450962pt" strokecolor="#989898"/>
            <v:line style="position:absolute" from="1005,663" to="1005,6579" stroked="true" strokeweight=".450765pt" strokecolor="#989898"/>
            <v:line style="position:absolute" from="1762,663" to="1762,6579" stroked="true" strokeweight=".450765pt" strokecolor="#989898"/>
            <v:line style="position:absolute" from="2520,663" to="2520,6579" stroked="true" strokeweight=".450765pt" strokecolor="#989898"/>
            <v:line style="position:absolute" from="3277,663" to="3277,6579" stroked="true" strokeweight=".450765pt" strokecolor="#989898"/>
            <v:line style="position:absolute" from="4034,663" to="4034,6579" stroked="true" strokeweight=".450765pt" strokecolor="#989898"/>
            <v:line style="position:absolute" from="4792,663" to="4792,6579" stroked="true" strokeweight=".450765pt" strokecolor="#989898"/>
            <v:line style="position:absolute" from="5549,663" to="5549,6579" stroked="true" strokeweight=".450765pt" strokecolor="#989898"/>
            <v:line style="position:absolute" from="6306,663" to="6306,6579" stroked="true" strokeweight=".450765pt" strokecolor="#989898"/>
            <v:line style="position:absolute" from="7063,663" to="7063,6579" stroked="true" strokeweight=".450765pt" strokecolor="#989898"/>
            <v:line style="position:absolute" from="7821,663" to="7821,6579" stroked="true" strokeweight=".450765pt" strokecolor="#989898"/>
            <v:line style="position:absolute" from="8583,663" to="8583,6579" stroked="true" strokeweight=".450765pt" strokecolor="#989898"/>
            <v:line style="position:absolute" from="8583,6579" to="8583,660" stroked="true" strokeweight=".450765pt" strokecolor="#989898"/>
            <v:line style="position:absolute" from="8587,6579" to="8612,6579" stroked="true" strokeweight=".450962pt" strokecolor="#989898"/>
            <v:line style="position:absolute" from="8587,5921" to="8612,5921" stroked="true" strokeweight=".450962pt" strokecolor="#989898"/>
            <v:line style="position:absolute" from="8587,5263" to="8612,5263" stroked="true" strokeweight=".450962pt" strokecolor="#989898"/>
            <v:line style="position:absolute" from="8587,4604" to="8612,4604" stroked="true" strokeweight=".450962pt" strokecolor="#989898"/>
            <v:line style="position:absolute" from="8587,3946" to="8612,3946" stroked="true" strokeweight=".450962pt" strokecolor="#989898"/>
            <v:line style="position:absolute" from="8587,3288" to="8612,3288" stroked="true" strokeweight=".450962pt" strokecolor="#989898"/>
            <v:line style="position:absolute" from="8587,2629" to="8612,2629" stroked="true" strokeweight=".450962pt" strokecolor="#989898"/>
            <v:line style="position:absolute" from="8587,1980" to="8612,1980" stroked="true" strokeweight=".450962pt" strokecolor="#989898"/>
            <v:line style="position:absolute" from="8587,1321" to="8612,1321" stroked="true" strokeweight=".450962pt" strokecolor="#989898"/>
            <v:line style="position:absolute" from="8587,663" to="8612,663" stroked="true" strokeweight=".450962pt" strokecolor="#989898"/>
            <v:line style="position:absolute" from="243,6579" to="243,660" stroked="true" strokeweight=".450765pt" strokecolor="#989898"/>
            <v:shape style="position:absolute;left:542;top:1559;width:153;height:153" type="#_x0000_t75" stroked="false">
              <v:imagedata r:id="rId273" o:title=""/>
            </v:shape>
            <v:shape style="position:absolute;left:1309;top:2659;width:153;height:153" type="#_x0000_t75" stroked="false">
              <v:imagedata r:id="rId273" o:title=""/>
            </v:shape>
            <v:shape style="position:absolute;left:2066;top:4012;width:153;height:153" type="#_x0000_t75" stroked="false">
              <v:imagedata r:id="rId273" o:title=""/>
            </v:shape>
            <v:shape style="position:absolute;left:2823;top:3994;width:153;height:153" type="#_x0000_t75" stroked="false">
              <v:imagedata r:id="rId273" o:title=""/>
            </v:shape>
            <v:shape style="position:absolute;left:3581;top:4048;width:153;height:153" type="#_x0000_t75" stroked="false">
              <v:imagedata r:id="rId273" o:title=""/>
            </v:shape>
            <v:shape style="position:absolute;left:4338;top:4012;width:153;height:153" type="#_x0000_t75" stroked="false">
              <v:imagedata r:id="rId273" o:title=""/>
            </v:shape>
            <v:shape style="position:absolute;left:5095;top:4337;width:153;height:153" type="#_x0000_t75" stroked="false">
              <v:imagedata r:id="rId273" o:title=""/>
            </v:shape>
            <v:shape style="position:absolute;left:5852;top:3958;width:153;height:153" type="#_x0000_t75" stroked="false">
              <v:imagedata r:id="rId273" o:title=""/>
            </v:shape>
            <v:shape style="position:absolute;left:6610;top:4039;width:153;height:153" type="#_x0000_t75" stroked="false">
              <v:imagedata r:id="rId273" o:title=""/>
            </v:shape>
            <v:shape style="position:absolute;left:7367;top:4048;width:153;height:153" type="#_x0000_t75" stroked="false">
              <v:imagedata r:id="rId273" o:title=""/>
            </v:shape>
            <v:shape style="position:absolute;left:8133;top:4174;width:153;height:153" type="#_x0000_t75" stroked="false">
              <v:imagedata r:id="rId273" o:title=""/>
            </v:shape>
            <v:line style="position:absolute" from="618,1619" to="1384,2719" stroked="true" strokeweight="1.69061pt" strokecolor="#0433ff"/>
            <v:line style="position:absolute" from="1384,2719" to="2141,4072" stroked="true" strokeweight="1.690545pt" strokecolor="#0433ff"/>
            <v:line style="position:absolute" from="2141,4072" to="2898,4054" stroked="true" strokeweight="1.691106pt" strokecolor="#0433ff"/>
            <v:line style="position:absolute" from="2898,4054" to="3656,4108" stroked="true" strokeweight="1.691103pt" strokecolor="#0433ff"/>
            <v:line style="position:absolute" from="3656,4108" to="4413,4072" stroked="true" strokeweight="1.691105pt" strokecolor="#0433ff"/>
            <v:line style="position:absolute" from="4413,4072" to="5170,4396" stroked="true" strokeweight="1.690993pt" strokecolor="#0433ff"/>
            <v:line style="position:absolute" from="5170,4396" to="5928,4018" stroked="true" strokeweight="1.69096pt" strokecolor="#0433ff"/>
            <v:line style="position:absolute" from="5928,4018" to="6685,4099" stroked="true" strokeweight="1.691098pt" strokecolor="#0433ff"/>
            <v:line style="position:absolute" from="6685,4099" to="7442,4108" stroked="true" strokeweight="1.691107pt" strokecolor="#0433ff"/>
            <v:line style="position:absolute" from="7442,4108" to="8204,4235" stroked="true" strokeweight="1.691087pt" strokecolor="#0433ff"/>
            <v:shape style="position:absolute;left:569;top:1568;width:99;height:99" type="#_x0000_t75" stroked="false">
              <v:imagedata r:id="rId274" o:title=""/>
            </v:shape>
            <v:shape style="position:absolute;left:1336;top:2668;width:99;height:99" type="#_x0000_t75" stroked="false">
              <v:imagedata r:id="rId274" o:title=""/>
            </v:shape>
            <v:shape style="position:absolute;left:2093;top:4021;width:99;height:99" type="#_x0000_t75" stroked="false">
              <v:imagedata r:id="rId274" o:title=""/>
            </v:shape>
            <v:shape style="position:absolute;left:2850;top:4003;width:99;height:99" type="#_x0000_t75" stroked="false">
              <v:imagedata r:id="rId274" o:title=""/>
            </v:shape>
            <v:shape style="position:absolute;left:3608;top:4057;width:99;height:99" type="#_x0000_t75" stroked="false">
              <v:imagedata r:id="rId274" o:title=""/>
            </v:shape>
            <v:shape style="position:absolute;left:4365;top:4021;width:99;height:99" type="#_x0000_t75" stroked="false">
              <v:imagedata r:id="rId274" o:title=""/>
            </v:shape>
            <v:shape style="position:absolute;left:5122;top:4346;width:99;height:99" type="#_x0000_t75" stroked="false">
              <v:imagedata r:id="rId274" o:title=""/>
            </v:shape>
            <v:shape style="position:absolute;left:5879;top:3967;width:99;height:99" type="#_x0000_t75" stroked="false">
              <v:imagedata r:id="rId274" o:title=""/>
            </v:shape>
            <v:shape style="position:absolute;left:6637;top:4048;width:99;height:99" type="#_x0000_t75" stroked="false">
              <v:imagedata r:id="rId274" o:title=""/>
            </v:shape>
            <v:shape style="position:absolute;left:7394;top:4057;width:99;height:99" type="#_x0000_t75" stroked="false">
              <v:imagedata r:id="rId274" o:title=""/>
            </v:shape>
            <v:shape style="position:absolute;left:8160;top:4183;width:99;height:99" type="#_x0000_t75" stroked="false">
              <v:imagedata r:id="rId274" o:title=""/>
            </v:shape>
            <v:shape style="position:absolute;left:542;top:1261;width:153;height:153" type="#_x0000_t75" stroked="false">
              <v:imagedata r:id="rId275" o:title=""/>
            </v:shape>
            <v:shape style="position:absolute;left:1309;top:3561;width:153;height:153" type="#_x0000_t75" stroked="false">
              <v:imagedata r:id="rId275" o:title=""/>
            </v:shape>
            <v:shape style="position:absolute;left:2066;top:4716;width:153;height:153" type="#_x0000_t75" stroked="false">
              <v:imagedata r:id="rId275" o:title=""/>
            </v:shape>
            <v:shape style="position:absolute;left:2823;top:4995;width:153;height:153" type="#_x0000_t75" stroked="false">
              <v:imagedata r:id="rId275" o:title=""/>
            </v:shape>
            <v:shape style="position:absolute;left:3581;top:5058;width:153;height:153" type="#_x0000_t75" stroked="false">
              <v:imagedata r:id="rId275" o:title=""/>
            </v:shape>
            <v:shape style="position:absolute;left:4338;top:5509;width:153;height:153" type="#_x0000_t75" stroked="false">
              <v:imagedata r:id="rId275" o:title=""/>
            </v:shape>
            <v:shape style="position:absolute;left:5095;top:4039;width:153;height:153" type="#_x0000_t75" stroked="false">
              <v:imagedata r:id="rId275" o:title=""/>
            </v:shape>
            <v:shape style="position:absolute;left:5852;top:5130;width:153;height:153" type="#_x0000_t75" stroked="false">
              <v:imagedata r:id="rId275" o:title=""/>
            </v:shape>
            <v:shape style="position:absolute;left:6610;top:5067;width:153;height:153" type="#_x0000_t75" stroked="false">
              <v:imagedata r:id="rId275" o:title=""/>
            </v:shape>
            <v:shape style="position:absolute;left:7367;top:3904;width:153;height:153" type="#_x0000_t75" stroked="false">
              <v:imagedata r:id="rId275" o:title=""/>
            </v:shape>
            <v:shape style="position:absolute;left:8133;top:4842;width:153;height:153" type="#_x0000_t75" stroked="false">
              <v:imagedata r:id="rId275" o:title=""/>
            </v:shape>
            <v:line style="position:absolute" from="618,1321" to="1384,3621" stroked="true" strokeweight="1.690442pt" strokecolor="#86e45e"/>
            <v:line style="position:absolute" from="1384,3621" to="2141,4776" stroked="true" strokeweight="1.690591pt" strokecolor="#86e45e"/>
            <v:line style="position:absolute" from="2141,4776" to="2898,5055" stroked="true" strokeweight="1.691018pt" strokecolor="#86e45e"/>
            <v:line style="position:absolute" from="2898,5055" to="3656,5118" stroked="true" strokeweight="1.691102pt" strokecolor="#86e45e"/>
            <v:line style="position:absolute" from="3656,5118" to="4413,5569" stroked="true" strokeweight="1.690914pt" strokecolor="#86e45e"/>
            <v:line style="position:absolute" from="4413,5569" to="5170,4099" stroked="true" strokeweight="1.690523pt" strokecolor="#86e45e"/>
            <v:line style="position:absolute" from="5170,4099" to="5928,5191" stroked="true" strokeweight="1.690608pt" strokecolor="#86e45e"/>
            <v:line style="position:absolute" from="5928,5191" to="6685,5127" stroked="true" strokeweight="1.691102pt" strokecolor="#86e45e"/>
            <v:line style="position:absolute" from="6685,5127" to="7442,3964" stroked="true" strokeweight="1.690588pt" strokecolor="#86e45e"/>
            <v:line style="position:absolute" from="7442,3964" to="8204,4902" stroked="true" strokeweight="1.690662pt" strokecolor="#86e45e"/>
            <v:shape style="position:absolute;left:569;top:1270;width:99;height:99" type="#_x0000_t75" stroked="false">
              <v:imagedata r:id="rId276" o:title=""/>
            </v:shape>
            <v:shape style="position:absolute;left:1336;top:3570;width:99;height:99" type="#_x0000_t75" stroked="false">
              <v:imagedata r:id="rId276" o:title=""/>
            </v:shape>
            <v:shape style="position:absolute;left:2093;top:4725;width:99;height:99" type="#_x0000_t75" stroked="false">
              <v:imagedata r:id="rId276" o:title=""/>
            </v:shape>
            <v:shape style="position:absolute;left:2850;top:5004;width:99;height:99" type="#_x0000_t75" stroked="false">
              <v:imagedata r:id="rId276" o:title=""/>
            </v:shape>
            <v:shape style="position:absolute;left:3608;top:5067;width:99;height:99" type="#_x0000_t75" stroked="false">
              <v:imagedata r:id="rId276" o:title=""/>
            </v:shape>
            <v:shape style="position:absolute;left:4365;top:5518;width:99;height:99" type="#_x0000_t75" stroked="false">
              <v:imagedata r:id="rId276" o:title=""/>
            </v:shape>
            <v:shape style="position:absolute;left:5122;top:4048;width:99;height:99" type="#_x0000_t75" stroked="false">
              <v:imagedata r:id="rId276" o:title=""/>
            </v:shape>
            <v:shape style="position:absolute;left:5879;top:5139;width:99;height:99" type="#_x0000_t75" stroked="false">
              <v:imagedata r:id="rId276" o:title=""/>
            </v:shape>
            <v:shape style="position:absolute;left:6637;top:5076;width:99;height:99" type="#_x0000_t75" stroked="false">
              <v:imagedata r:id="rId276" o:title=""/>
            </v:shape>
            <v:shape style="position:absolute;left:7394;top:3913;width:99;height:99" type="#_x0000_t75" stroked="false">
              <v:imagedata r:id="rId276" o:title=""/>
            </v:shape>
            <v:shape style="position:absolute;left:8160;top:4851;width:99;height:99" type="#_x0000_t75" stroked="false">
              <v:imagedata r:id="rId276" o:title=""/>
            </v:shape>
            <v:line style="position:absolute" from="4035,457" to="4209,457" stroked="true" strokeweight="1.691107pt" strokecolor="#0433ff"/>
            <v:shape style="position:absolute;left:4097;top:428;width:52;height:55" coordorigin="4097,428" coordsize="52,55" path="m4124,428l4097,455,4124,483,4149,455,4124,428xe" filled="true" fillcolor="#0433ff" stroked="false">
              <v:path arrowok="t"/>
              <v:fill type="solid"/>
            </v:shape>
            <v:shape style="position:absolute;left:4097;top:428;width:52;height:55" coordorigin="4097,428" coordsize="52,55" path="m4124,428l4149,455,4124,483,4097,455,4124,428xe" filled="false" stroked="true" strokeweight=".450859pt" strokecolor="#0433ff">
              <v:path arrowok="t"/>
            </v:shape>
            <v:line style="position:absolute" from="4518,457" to="4691,457" stroked="true" strokeweight="1.691107pt" strokecolor="#86e45e"/>
            <v:line style="position:absolute" from="4575,455" to="4629,455" stroked="true" strokeweight="2.70575pt" strokecolor="#86e45e"/>
            <v:rect style="position:absolute;left:4575;top:428;width:54;height:54" filled="false" stroked="true" strokeweight=".450863pt" strokecolor="#86e45e"/>
            <v:rect style="position:absolute;left:4;top:4;width:8817;height:7017" filled="false" stroked="true" strokeweight=".450885pt" strokecolor="#989898"/>
            <v:shape style="position:absolute;left:1609;top:121;width:5609;height:163" type="#_x0000_t202" filled="false" stroked="false">
              <v:textbox inset="0,0,0,0">
                <w:txbxContent>
                  <w:p>
                    <w:pPr>
                      <w:spacing w:line="162" w:lineRule="exact" w:before="0"/>
                      <w:ind w:left="0" w:right="0" w:firstLine="0"/>
                      <w:jc w:val="left"/>
                      <w:rPr>
                        <w:b/>
                        <w:sz w:val="16"/>
                      </w:rPr>
                    </w:pPr>
                    <w:r>
                      <w:rPr>
                        <w:b/>
                        <w:sz w:val="16"/>
                      </w:rPr>
                      <w:t>Índice de sustentabilidad del conjunto urbano y área verde por  habitante</w:t>
                    </w:r>
                  </w:p>
                </w:txbxContent>
              </v:textbox>
              <w10:wrap type="none"/>
            </v:shape>
            <v:shape style="position:absolute;left:4226;top:423;width:216;height:91" type="#_x0000_t202" filled="false" stroked="false">
              <v:textbox inset="0,0,0,0">
                <w:txbxContent>
                  <w:p>
                    <w:pPr>
                      <w:spacing w:line="90" w:lineRule="exact" w:before="0"/>
                      <w:ind w:left="0" w:right="-20" w:firstLine="0"/>
                      <w:jc w:val="left"/>
                      <w:rPr>
                        <w:sz w:val="9"/>
                      </w:rPr>
                    </w:pPr>
                    <w:r>
                      <w:rPr>
                        <w:sz w:val="9"/>
                      </w:rPr>
                      <w:t>ISCU</w:t>
                    </w:r>
                  </w:p>
                </w:txbxContent>
              </v:textbox>
              <w10:wrap type="none"/>
            </v:shape>
            <v:shape style="position:absolute;left:4708;top:423;width:114;height:91" type="#_x0000_t202" filled="false" stroked="false">
              <v:textbox inset="0,0,0,0">
                <w:txbxContent>
                  <w:p>
                    <w:pPr>
                      <w:spacing w:line="90" w:lineRule="exact" w:before="0"/>
                      <w:ind w:left="0" w:right="-19" w:firstLine="0"/>
                      <w:jc w:val="left"/>
                      <w:rPr>
                        <w:sz w:val="9"/>
                      </w:rPr>
                    </w:pPr>
                    <w:r>
                      <w:rPr>
                        <w:spacing w:val="-4"/>
                        <w:sz w:val="9"/>
                      </w:rPr>
                      <w:t>AV</w:t>
                    </w:r>
                  </w:p>
                </w:txbxContent>
              </v:textbox>
              <w10:wrap type="none"/>
            </v:shape>
            <v:shape style="position:absolute;left:68;top:626;width:92;height:91" type="#_x0000_t202" filled="false" stroked="false">
              <v:textbox inset="0,0,0,0">
                <w:txbxContent>
                  <w:p>
                    <w:pPr>
                      <w:spacing w:line="90" w:lineRule="exact" w:before="0"/>
                      <w:ind w:left="0" w:right="-20" w:firstLine="0"/>
                      <w:jc w:val="left"/>
                      <w:rPr>
                        <w:rFonts w:ascii="Calibri"/>
                        <w:sz w:val="9"/>
                      </w:rPr>
                    </w:pPr>
                    <w:r>
                      <w:rPr>
                        <w:rFonts w:ascii="Calibri"/>
                        <w:sz w:val="9"/>
                      </w:rPr>
                      <w:t>80</w:t>
                    </w:r>
                  </w:p>
                </w:txbxContent>
              </v:textbox>
              <w10:wrap type="none"/>
            </v:shape>
            <v:shape style="position:absolute;left:8667;top:626;width:92;height:91" type="#_x0000_t202" filled="false" stroked="false">
              <v:textbox inset="0,0,0,0">
                <w:txbxContent>
                  <w:p>
                    <w:pPr>
                      <w:spacing w:line="90" w:lineRule="exact" w:before="0"/>
                      <w:ind w:left="0" w:right="-20" w:firstLine="0"/>
                      <w:jc w:val="left"/>
                      <w:rPr>
                        <w:rFonts w:ascii="Calibri"/>
                        <w:sz w:val="9"/>
                      </w:rPr>
                    </w:pPr>
                    <w:r>
                      <w:rPr>
                        <w:rFonts w:ascii="Calibri"/>
                        <w:sz w:val="9"/>
                      </w:rPr>
                      <w:t>18</w:t>
                    </w:r>
                  </w:p>
                </w:txbxContent>
              </v:textbox>
              <w10:wrap type="none"/>
            </v:shape>
            <v:shape style="position:absolute;left:725;top:1283;width:92;height:91" type="#_x0000_t202" filled="false" stroked="false">
              <v:textbox inset="0,0,0,0">
                <w:txbxContent>
                  <w:p>
                    <w:pPr>
                      <w:spacing w:line="90" w:lineRule="exact" w:before="0"/>
                      <w:ind w:left="0" w:right="-20" w:firstLine="0"/>
                      <w:jc w:val="left"/>
                      <w:rPr>
                        <w:rFonts w:ascii="Calibri"/>
                        <w:sz w:val="9"/>
                      </w:rPr>
                    </w:pPr>
                    <w:r>
                      <w:rPr>
                        <w:rFonts w:ascii="Calibri"/>
                        <w:sz w:val="9"/>
                      </w:rPr>
                      <w:t>16</w:t>
                    </w:r>
                  </w:p>
                </w:txbxContent>
              </v:textbox>
              <w10:wrap type="none"/>
            </v:shape>
            <v:shape style="position:absolute;left:8667;top:1283;width:92;height:91" type="#_x0000_t202" filled="false" stroked="false">
              <v:textbox inset="0,0,0,0">
                <w:txbxContent>
                  <w:p>
                    <w:pPr>
                      <w:spacing w:line="90" w:lineRule="exact" w:before="0"/>
                      <w:ind w:left="0" w:right="-20" w:firstLine="0"/>
                      <w:jc w:val="left"/>
                      <w:rPr>
                        <w:rFonts w:ascii="Calibri"/>
                        <w:sz w:val="9"/>
                      </w:rPr>
                    </w:pPr>
                    <w:r>
                      <w:rPr>
                        <w:rFonts w:ascii="Calibri"/>
                        <w:sz w:val="9"/>
                      </w:rPr>
                      <w:t>16</w:t>
                    </w:r>
                  </w:p>
                </w:txbxContent>
              </v:textbox>
              <w10:wrap type="none"/>
            </v:shape>
            <v:shape style="position:absolute;left:68;top:1365;width:92;height:91" type="#_x0000_t202" filled="false" stroked="false">
              <v:textbox inset="0,0,0,0">
                <w:txbxContent>
                  <w:p>
                    <w:pPr>
                      <w:spacing w:line="90" w:lineRule="exact" w:before="0"/>
                      <w:ind w:left="0" w:right="-20" w:firstLine="0"/>
                      <w:jc w:val="left"/>
                      <w:rPr>
                        <w:rFonts w:ascii="Calibri"/>
                        <w:sz w:val="9"/>
                      </w:rPr>
                    </w:pPr>
                    <w:r>
                      <w:rPr>
                        <w:rFonts w:ascii="Calibri"/>
                        <w:sz w:val="9"/>
                      </w:rPr>
                      <w:t>70</w:t>
                    </w:r>
                  </w:p>
                </w:txbxContent>
              </v:textbox>
              <w10:wrap type="none"/>
            </v:shape>
            <v:shape style="position:absolute;left:725;top:1587;width:92;height:91" type="#_x0000_t202" filled="false" stroked="false">
              <v:textbox inset="0,0,0,0">
                <w:txbxContent>
                  <w:p>
                    <w:pPr>
                      <w:spacing w:line="90" w:lineRule="exact" w:before="0"/>
                      <w:ind w:left="0" w:right="-20" w:firstLine="0"/>
                      <w:jc w:val="left"/>
                      <w:rPr>
                        <w:rFonts w:ascii="Calibri"/>
                        <w:sz w:val="9"/>
                      </w:rPr>
                    </w:pPr>
                    <w:r>
                      <w:rPr>
                        <w:rFonts w:ascii="Calibri"/>
                        <w:sz w:val="9"/>
                      </w:rPr>
                      <w:t>67</w:t>
                    </w:r>
                  </w:p>
                </w:txbxContent>
              </v:textbox>
              <w10:wrap type="none"/>
            </v:shape>
            <v:shape style="position:absolute;left:8667;top:1941;width:92;height:91" type="#_x0000_t202" filled="false" stroked="false">
              <v:textbox inset="0,0,0,0">
                <w:txbxContent>
                  <w:p>
                    <w:pPr>
                      <w:spacing w:line="90" w:lineRule="exact" w:before="0"/>
                      <w:ind w:left="0" w:right="-20" w:firstLine="0"/>
                      <w:jc w:val="left"/>
                      <w:rPr>
                        <w:rFonts w:ascii="Calibri"/>
                        <w:sz w:val="9"/>
                      </w:rPr>
                    </w:pPr>
                    <w:r>
                      <w:rPr>
                        <w:rFonts w:ascii="Calibri"/>
                        <w:sz w:val="9"/>
                      </w:rPr>
                      <w:t>14</w:t>
                    </w:r>
                  </w:p>
                </w:txbxContent>
              </v:textbox>
              <w10:wrap type="none"/>
            </v:shape>
            <v:shape style="position:absolute;left:68;top:2105;width:92;height:91" type="#_x0000_t202" filled="false" stroked="false">
              <v:textbox inset="0,0,0,0">
                <w:txbxContent>
                  <w:p>
                    <w:pPr>
                      <w:spacing w:line="90" w:lineRule="exact" w:before="0"/>
                      <w:ind w:left="0" w:right="-20" w:firstLine="0"/>
                      <w:jc w:val="left"/>
                      <w:rPr>
                        <w:rFonts w:ascii="Calibri"/>
                        <w:sz w:val="9"/>
                      </w:rPr>
                    </w:pPr>
                    <w:r>
                      <w:rPr>
                        <w:rFonts w:ascii="Calibri"/>
                        <w:sz w:val="9"/>
                      </w:rPr>
                      <w:t>60</w:t>
                    </w:r>
                  </w:p>
                </w:txbxContent>
              </v:textbox>
              <w10:wrap type="none"/>
            </v:shape>
            <v:shape style="position:absolute;left:8667;top:2599;width:92;height:91" type="#_x0000_t202" filled="false" stroked="false">
              <v:textbox inset="0,0,0,0">
                <w:txbxContent>
                  <w:p>
                    <w:pPr>
                      <w:spacing w:line="90" w:lineRule="exact" w:before="0"/>
                      <w:ind w:left="0" w:right="-20" w:firstLine="0"/>
                      <w:jc w:val="left"/>
                      <w:rPr>
                        <w:rFonts w:ascii="Calibri"/>
                        <w:sz w:val="9"/>
                      </w:rPr>
                    </w:pPr>
                    <w:r>
                      <w:rPr>
                        <w:rFonts w:ascii="Calibri"/>
                        <w:sz w:val="9"/>
                      </w:rPr>
                      <w:t>12</w:t>
                    </w:r>
                  </w:p>
                </w:txbxContent>
              </v:textbox>
              <w10:wrap type="none"/>
            </v:shape>
            <v:shape style="position:absolute;left:1484;top:2685;width:206;height:91" type="#_x0000_t202" filled="false" stroked="false">
              <v:textbox inset="0,0,0,0">
                <w:txbxContent>
                  <w:p>
                    <w:pPr>
                      <w:spacing w:line="90" w:lineRule="exact" w:before="0"/>
                      <w:ind w:left="0" w:right="-20" w:firstLine="0"/>
                      <w:jc w:val="left"/>
                      <w:rPr>
                        <w:rFonts w:ascii="Calibri"/>
                        <w:sz w:val="9"/>
                      </w:rPr>
                    </w:pPr>
                    <w:r>
                      <w:rPr>
                        <w:rFonts w:ascii="Calibri"/>
                        <w:sz w:val="9"/>
                      </w:rPr>
                      <w:t>52.16</w:t>
                    </w:r>
                  </w:p>
                </w:txbxContent>
              </v:textbox>
              <w10:wrap type="none"/>
            </v:shape>
            <v:shape style="position:absolute;left:68;top:2845;width:92;height:91" type="#_x0000_t202" filled="false" stroked="false">
              <v:textbox inset="0,0,0,0">
                <w:txbxContent>
                  <w:p>
                    <w:pPr>
                      <w:spacing w:line="90" w:lineRule="exact" w:before="0"/>
                      <w:ind w:left="0" w:right="-20" w:firstLine="0"/>
                      <w:jc w:val="left"/>
                      <w:rPr>
                        <w:rFonts w:ascii="Calibri"/>
                        <w:sz w:val="9"/>
                      </w:rPr>
                    </w:pPr>
                    <w:r>
                      <w:rPr>
                        <w:rFonts w:ascii="Calibri"/>
                        <w:sz w:val="9"/>
                      </w:rPr>
                      <w:t>50</w:t>
                    </w:r>
                  </w:p>
                </w:txbxContent>
              </v:textbox>
              <w10:wrap type="none"/>
            </v:shape>
            <v:shape style="position:absolute;left:8667;top:3256;width:92;height:91" type="#_x0000_t202" filled="false" stroked="false">
              <v:textbox inset="0,0,0,0">
                <w:txbxContent>
                  <w:p>
                    <w:pPr>
                      <w:spacing w:line="90" w:lineRule="exact" w:before="0"/>
                      <w:ind w:left="0" w:right="-20" w:firstLine="0"/>
                      <w:jc w:val="left"/>
                      <w:rPr>
                        <w:rFonts w:ascii="Calibri"/>
                        <w:sz w:val="9"/>
                      </w:rPr>
                    </w:pPr>
                    <w:r>
                      <w:rPr>
                        <w:rFonts w:ascii="Calibri"/>
                        <w:sz w:val="9"/>
                      </w:rPr>
                      <w:t>10</w:t>
                    </w:r>
                  </w:p>
                </w:txbxContent>
              </v:textbox>
              <w10:wrap type="none"/>
            </v:shape>
            <v:shape style="position:absolute;left:68;top:3585;width:92;height:91" type="#_x0000_t202" filled="false" stroked="false">
              <v:textbox inset="0,0,0,0">
                <w:txbxContent>
                  <w:p>
                    <w:pPr>
                      <w:spacing w:line="90" w:lineRule="exact" w:before="0"/>
                      <w:ind w:left="0" w:right="-20" w:firstLine="0"/>
                      <w:jc w:val="left"/>
                      <w:rPr>
                        <w:rFonts w:ascii="Calibri"/>
                        <w:sz w:val="9"/>
                      </w:rPr>
                    </w:pPr>
                    <w:r>
                      <w:rPr>
                        <w:rFonts w:ascii="Calibri"/>
                        <w:sz w:val="9"/>
                      </w:rPr>
                      <w:t>40</w:t>
                    </w:r>
                  </w:p>
                </w:txbxContent>
              </v:textbox>
              <w10:wrap type="none"/>
            </v:shape>
            <v:shape style="position:absolute;left:1484;top:3585;width:46;height:91" type="#_x0000_t202" filled="false" stroked="false">
              <v:textbox inset="0,0,0,0">
                <w:txbxContent>
                  <w:p>
                    <w:pPr>
                      <w:spacing w:line="90" w:lineRule="exact" w:before="0"/>
                      <w:ind w:left="0" w:right="0" w:firstLine="0"/>
                      <w:jc w:val="left"/>
                      <w:rPr>
                        <w:rFonts w:ascii="Calibri"/>
                        <w:sz w:val="9"/>
                      </w:rPr>
                    </w:pPr>
                    <w:r>
                      <w:rPr>
                        <w:rFonts w:ascii="Calibri"/>
                        <w:w w:val="99"/>
                        <w:sz w:val="9"/>
                      </w:rPr>
                      <w:t>9</w:t>
                    </w:r>
                  </w:p>
                </w:txbxContent>
              </v:textbox>
              <w10:wrap type="none"/>
            </v:shape>
            <v:shape style="position:absolute;left:2242;top:4037;width:206;height:91" type="#_x0000_t202" filled="false" stroked="false">
              <v:textbox inset="0,0,0,0">
                <w:txbxContent>
                  <w:p>
                    <w:pPr>
                      <w:spacing w:line="90" w:lineRule="exact" w:before="0"/>
                      <w:ind w:left="0" w:right="-20" w:firstLine="0"/>
                      <w:jc w:val="left"/>
                      <w:rPr>
                        <w:rFonts w:ascii="Calibri"/>
                        <w:sz w:val="9"/>
                      </w:rPr>
                    </w:pPr>
                    <w:r>
                      <w:rPr>
                        <w:rFonts w:ascii="Calibri"/>
                        <w:sz w:val="9"/>
                      </w:rPr>
                      <w:t>33.90</w:t>
                    </w:r>
                  </w:p>
                </w:txbxContent>
              </v:textbox>
              <w10:wrap type="none"/>
            </v:shape>
            <v:shape style="position:absolute;left:3000;top:4017;width:206;height:91" type="#_x0000_t202" filled="false" stroked="false">
              <v:textbox inset="0,0,0,0">
                <w:txbxContent>
                  <w:p>
                    <w:pPr>
                      <w:spacing w:line="90" w:lineRule="exact" w:before="0"/>
                      <w:ind w:left="0" w:right="-20" w:firstLine="0"/>
                      <w:jc w:val="left"/>
                      <w:rPr>
                        <w:rFonts w:ascii="Calibri"/>
                        <w:sz w:val="9"/>
                      </w:rPr>
                    </w:pPr>
                    <w:r>
                      <w:rPr>
                        <w:rFonts w:ascii="Calibri"/>
                        <w:sz w:val="9"/>
                      </w:rPr>
                      <w:t>34.16</w:t>
                    </w:r>
                  </w:p>
                </w:txbxContent>
              </v:textbox>
              <w10:wrap type="none"/>
            </v:shape>
            <v:shape style="position:absolute;left:3758;top:4074;width:206;height:91" type="#_x0000_t202" filled="false" stroked="false">
              <v:textbox inset="0,0,0,0">
                <w:txbxContent>
                  <w:p>
                    <w:pPr>
                      <w:spacing w:line="90" w:lineRule="exact" w:before="0"/>
                      <w:ind w:left="0" w:right="-20" w:firstLine="0"/>
                      <w:jc w:val="left"/>
                      <w:rPr>
                        <w:rFonts w:ascii="Calibri"/>
                        <w:sz w:val="9"/>
                      </w:rPr>
                    </w:pPr>
                    <w:r>
                      <w:rPr>
                        <w:rFonts w:ascii="Calibri"/>
                        <w:sz w:val="9"/>
                      </w:rPr>
                      <w:t>33.40</w:t>
                    </w:r>
                  </w:p>
                </w:txbxContent>
              </v:textbox>
              <w10:wrap type="none"/>
            </v:shape>
            <v:shape style="position:absolute;left:4517;top:4036;width:206;height:91" type="#_x0000_t202" filled="false" stroked="false">
              <v:textbox inset="0,0,0,0">
                <w:txbxContent>
                  <w:p>
                    <w:pPr>
                      <w:spacing w:line="90" w:lineRule="exact" w:before="0"/>
                      <w:ind w:left="0" w:right="-20" w:firstLine="0"/>
                      <w:jc w:val="left"/>
                      <w:rPr>
                        <w:rFonts w:ascii="Calibri"/>
                        <w:sz w:val="9"/>
                      </w:rPr>
                    </w:pPr>
                    <w:r>
                      <w:rPr>
                        <w:rFonts w:ascii="Calibri"/>
                        <w:sz w:val="9"/>
                      </w:rPr>
                      <w:t>33.91</w:t>
                    </w:r>
                  </w:p>
                </w:txbxContent>
              </v:textbox>
              <w10:wrap type="none"/>
            </v:shape>
            <v:shape style="position:absolute;left:5277;top:4067;width:160;height:91" type="#_x0000_t202" filled="false" stroked="false">
              <v:textbox inset="0,0,0,0">
                <w:txbxContent>
                  <w:p>
                    <w:pPr>
                      <w:spacing w:line="90" w:lineRule="exact" w:before="0"/>
                      <w:ind w:left="0" w:right="-20" w:firstLine="0"/>
                      <w:jc w:val="left"/>
                      <w:rPr>
                        <w:rFonts w:ascii="Calibri"/>
                        <w:sz w:val="9"/>
                      </w:rPr>
                    </w:pPr>
                    <w:r>
                      <w:rPr>
                        <w:rFonts w:ascii="Calibri"/>
                        <w:sz w:val="9"/>
                      </w:rPr>
                      <w:t>7.54</w:t>
                    </w:r>
                  </w:p>
                </w:txbxContent>
              </v:textbox>
              <w10:wrap type="none"/>
            </v:shape>
            <v:shape style="position:absolute;left:6791;top:4065;width:206;height:91" type="#_x0000_t202" filled="false" stroked="false">
              <v:textbox inset="0,0,0,0">
                <w:txbxContent>
                  <w:p>
                    <w:pPr>
                      <w:spacing w:line="90" w:lineRule="exact" w:before="0"/>
                      <w:ind w:left="0" w:right="-20" w:firstLine="0"/>
                      <w:jc w:val="left"/>
                      <w:rPr>
                        <w:rFonts w:ascii="Calibri"/>
                        <w:sz w:val="9"/>
                      </w:rPr>
                    </w:pPr>
                    <w:r>
                      <w:rPr>
                        <w:rFonts w:ascii="Calibri"/>
                        <w:sz w:val="9"/>
                      </w:rPr>
                      <w:t>33.51</w:t>
                    </w:r>
                  </w:p>
                </w:txbxContent>
              </v:textbox>
              <w10:wrap type="none"/>
            </v:shape>
            <v:shape style="position:absolute;left:7550;top:3931;width:206;height:233" type="#_x0000_t202" filled="false" stroked="false">
              <v:textbox inset="0,0,0,0">
                <w:txbxContent>
                  <w:p>
                    <w:pPr>
                      <w:spacing w:line="95" w:lineRule="exact" w:before="0"/>
                      <w:ind w:left="1" w:right="-20" w:firstLine="0"/>
                      <w:jc w:val="left"/>
                      <w:rPr>
                        <w:rFonts w:ascii="Calibri"/>
                        <w:sz w:val="9"/>
                      </w:rPr>
                    </w:pPr>
                    <w:r>
                      <w:rPr>
                        <w:rFonts w:ascii="Calibri"/>
                        <w:sz w:val="9"/>
                      </w:rPr>
                      <w:t>7.95</w:t>
                    </w:r>
                  </w:p>
                  <w:p>
                    <w:pPr>
                      <w:spacing w:line="106" w:lineRule="exact" w:before="32"/>
                      <w:ind w:left="0" w:right="-20" w:firstLine="0"/>
                      <w:jc w:val="left"/>
                      <w:rPr>
                        <w:rFonts w:ascii="Calibri"/>
                        <w:sz w:val="9"/>
                      </w:rPr>
                    </w:pPr>
                    <w:r>
                      <w:rPr>
                        <w:rFonts w:ascii="Calibri"/>
                        <w:sz w:val="9"/>
                      </w:rPr>
                      <w:t>33.41</w:t>
                    </w:r>
                  </w:p>
                </w:txbxContent>
              </v:textbox>
              <w10:wrap type="none"/>
            </v:shape>
            <v:shape style="position:absolute;left:8667;top:3914;width:46;height:91" type="#_x0000_t202" filled="false" stroked="false">
              <v:textbox inset="0,0,0,0">
                <w:txbxContent>
                  <w:p>
                    <w:pPr>
                      <w:spacing w:line="90" w:lineRule="exact" w:before="0"/>
                      <w:ind w:left="0" w:right="0" w:firstLine="0"/>
                      <w:jc w:val="left"/>
                      <w:rPr>
                        <w:rFonts w:ascii="Calibri"/>
                        <w:sz w:val="9"/>
                      </w:rPr>
                    </w:pPr>
                    <w:r>
                      <w:rPr>
                        <w:rFonts w:ascii="Calibri"/>
                        <w:w w:val="99"/>
                        <w:sz w:val="9"/>
                      </w:rPr>
                      <w:t>8</w:t>
                    </w:r>
                  </w:p>
                </w:txbxContent>
              </v:textbox>
              <w10:wrap type="none"/>
            </v:shape>
            <v:shape style="position:absolute;left:6033;top:3988;width:206;height:91" type="#_x0000_t202" filled="false" stroked="false">
              <v:textbox inset="0,0,0,0">
                <w:txbxContent>
                  <w:p>
                    <w:pPr>
                      <w:spacing w:line="90" w:lineRule="exact" w:before="0"/>
                      <w:ind w:left="0" w:right="-20" w:firstLine="0"/>
                      <w:jc w:val="left"/>
                      <w:rPr>
                        <w:rFonts w:ascii="Calibri"/>
                        <w:sz w:val="9"/>
                      </w:rPr>
                    </w:pPr>
                    <w:r>
                      <w:rPr>
                        <w:rFonts w:ascii="Calibri"/>
                        <w:sz w:val="9"/>
                      </w:rPr>
                      <w:t>34.56</w:t>
                    </w:r>
                  </w:p>
                </w:txbxContent>
              </v:textbox>
              <w10:wrap type="none"/>
            </v:shape>
            <v:shape style="position:absolute;left:8308;top:4202;width:206;height:91" type="#_x0000_t202" filled="false" stroked="false">
              <v:textbox inset="0,0,0,0">
                <w:txbxContent>
                  <w:p>
                    <w:pPr>
                      <w:spacing w:line="90" w:lineRule="exact" w:before="0"/>
                      <w:ind w:left="0" w:right="-20" w:firstLine="0"/>
                      <w:jc w:val="left"/>
                      <w:rPr>
                        <w:rFonts w:ascii="Calibri"/>
                        <w:sz w:val="9"/>
                      </w:rPr>
                    </w:pPr>
                    <w:r>
                      <w:rPr>
                        <w:rFonts w:ascii="Calibri"/>
                        <w:sz w:val="9"/>
                      </w:rPr>
                      <w:t>31.66</w:t>
                    </w:r>
                  </w:p>
                </w:txbxContent>
              </v:textbox>
              <w10:wrap type="none"/>
            </v:shape>
            <v:shape style="position:absolute;left:68;top:4325;width:92;height:91" type="#_x0000_t202" filled="false" stroked="false">
              <v:textbox inset="0,0,0,0">
                <w:txbxContent>
                  <w:p>
                    <w:pPr>
                      <w:spacing w:line="90" w:lineRule="exact" w:before="0"/>
                      <w:ind w:left="0" w:right="-20" w:firstLine="0"/>
                      <w:jc w:val="left"/>
                      <w:rPr>
                        <w:rFonts w:ascii="Calibri"/>
                        <w:sz w:val="9"/>
                      </w:rPr>
                    </w:pPr>
                    <w:r>
                      <w:rPr>
                        <w:rFonts w:ascii="Calibri"/>
                        <w:sz w:val="9"/>
                      </w:rPr>
                      <w:t>30</w:t>
                    </w:r>
                  </w:p>
                </w:txbxContent>
              </v:textbox>
              <w10:wrap type="none"/>
            </v:shape>
            <v:shape style="position:absolute;left:5275;top:4361;width:206;height:91" type="#_x0000_t202" filled="false" stroked="false">
              <v:textbox inset="0,0,0,0">
                <w:txbxContent>
                  <w:p>
                    <w:pPr>
                      <w:spacing w:line="90" w:lineRule="exact" w:before="0"/>
                      <w:ind w:left="0" w:right="-20" w:firstLine="0"/>
                      <w:jc w:val="left"/>
                      <w:rPr>
                        <w:rFonts w:ascii="Calibri"/>
                        <w:sz w:val="9"/>
                      </w:rPr>
                    </w:pPr>
                    <w:r>
                      <w:rPr>
                        <w:rFonts w:ascii="Calibri"/>
                        <w:sz w:val="9"/>
                      </w:rPr>
                      <w:t>29.51</w:t>
                    </w:r>
                  </w:p>
                </w:txbxContent>
              </v:textbox>
              <w10:wrap type="none"/>
            </v:shape>
            <v:shape style="position:absolute;left:8667;top:4572;width:46;height:91" type="#_x0000_t202" filled="false" stroked="false">
              <v:textbox inset="0,0,0,0">
                <w:txbxContent>
                  <w:p>
                    <w:pPr>
                      <w:spacing w:line="90" w:lineRule="exact" w:before="0"/>
                      <w:ind w:left="0" w:right="0" w:firstLine="0"/>
                      <w:jc w:val="left"/>
                      <w:rPr>
                        <w:rFonts w:ascii="Calibri"/>
                        <w:sz w:val="9"/>
                      </w:rPr>
                    </w:pPr>
                    <w:r>
                      <w:rPr>
                        <w:rFonts w:ascii="Calibri"/>
                        <w:w w:val="99"/>
                        <w:sz w:val="9"/>
                      </w:rPr>
                      <w:t>6</w:t>
                    </w:r>
                  </w:p>
                </w:txbxContent>
              </v:textbox>
              <w10:wrap type="none"/>
            </v:shape>
            <v:shape style="position:absolute;left:2244;top:4741;width:160;height:91" type="#_x0000_t202" filled="false" stroked="false">
              <v:textbox inset="0,0,0,0">
                <w:txbxContent>
                  <w:p>
                    <w:pPr>
                      <w:spacing w:line="90" w:lineRule="exact" w:before="0"/>
                      <w:ind w:left="0" w:right="-20" w:firstLine="0"/>
                      <w:jc w:val="left"/>
                      <w:rPr>
                        <w:rFonts w:ascii="Calibri"/>
                        <w:sz w:val="9"/>
                      </w:rPr>
                    </w:pPr>
                    <w:r>
                      <w:rPr>
                        <w:rFonts w:ascii="Calibri"/>
                        <w:sz w:val="9"/>
                      </w:rPr>
                      <w:t>5.48</w:t>
                    </w:r>
                  </w:p>
                </w:txbxContent>
              </v:textbox>
              <w10:wrap type="none"/>
            </v:shape>
            <v:shape style="position:absolute;left:8310;top:4871;width:160;height:91" type="#_x0000_t202" filled="false" stroked="false">
              <v:textbox inset="0,0,0,0">
                <w:txbxContent>
                  <w:p>
                    <w:pPr>
                      <w:spacing w:line="90" w:lineRule="exact" w:before="0"/>
                      <w:ind w:left="0" w:right="-20" w:firstLine="0"/>
                      <w:jc w:val="left"/>
                      <w:rPr>
                        <w:rFonts w:ascii="Calibri"/>
                        <w:sz w:val="9"/>
                      </w:rPr>
                    </w:pPr>
                    <w:r>
                      <w:rPr>
                        <w:rFonts w:ascii="Calibri"/>
                        <w:sz w:val="9"/>
                      </w:rPr>
                      <w:t>5.09</w:t>
                    </w:r>
                  </w:p>
                </w:txbxContent>
              </v:textbox>
              <w10:wrap type="none"/>
            </v:shape>
            <v:shape style="position:absolute;left:68;top:5065;width:92;height:91" type="#_x0000_t202" filled="false" stroked="false">
              <v:textbox inset="0,0,0,0">
                <w:txbxContent>
                  <w:p>
                    <w:pPr>
                      <w:spacing w:line="90" w:lineRule="exact" w:before="0"/>
                      <w:ind w:left="0" w:right="-20" w:firstLine="0"/>
                      <w:jc w:val="left"/>
                      <w:rPr>
                        <w:rFonts w:ascii="Calibri"/>
                        <w:sz w:val="9"/>
                      </w:rPr>
                    </w:pPr>
                    <w:r>
                      <w:rPr>
                        <w:rFonts w:ascii="Calibri"/>
                        <w:sz w:val="9"/>
                      </w:rPr>
                      <w:t>20</w:t>
                    </w:r>
                  </w:p>
                </w:txbxContent>
              </v:textbox>
              <w10:wrap type="none"/>
            </v:shape>
            <v:shape style="position:absolute;left:3002;top:5022;width:160;height:91" type="#_x0000_t202" filled="false" stroked="false">
              <v:textbox inset="0,0,0,0">
                <w:txbxContent>
                  <w:p>
                    <w:pPr>
                      <w:spacing w:line="90" w:lineRule="exact" w:before="0"/>
                      <w:ind w:left="0" w:right="-20" w:firstLine="0"/>
                      <w:jc w:val="left"/>
                      <w:rPr>
                        <w:rFonts w:ascii="Calibri"/>
                        <w:sz w:val="9"/>
                      </w:rPr>
                    </w:pPr>
                    <w:r>
                      <w:rPr>
                        <w:rFonts w:ascii="Calibri"/>
                        <w:sz w:val="9"/>
                      </w:rPr>
                      <w:t>4.63</w:t>
                    </w:r>
                  </w:p>
                </w:txbxContent>
              </v:textbox>
              <w10:wrap type="none"/>
            </v:shape>
            <v:shape style="position:absolute;left:3760;top:5081;width:160;height:91" type="#_x0000_t202" filled="false" stroked="false">
              <v:textbox inset="0,0,0,0">
                <w:txbxContent>
                  <w:p>
                    <w:pPr>
                      <w:spacing w:line="90" w:lineRule="exact" w:before="0"/>
                      <w:ind w:left="0" w:right="-20" w:firstLine="0"/>
                      <w:jc w:val="left"/>
                      <w:rPr>
                        <w:rFonts w:ascii="Calibri"/>
                        <w:sz w:val="9"/>
                      </w:rPr>
                    </w:pPr>
                    <w:r>
                      <w:rPr>
                        <w:rFonts w:ascii="Calibri"/>
                        <w:sz w:val="9"/>
                      </w:rPr>
                      <w:t>4.45</w:t>
                    </w:r>
                  </w:p>
                </w:txbxContent>
              </v:textbox>
              <w10:wrap type="none"/>
            </v:shape>
            <v:shape style="position:absolute;left:6035;top:5157;width:160;height:91" type="#_x0000_t202" filled="false" stroked="false">
              <v:textbox inset="0,0,0,0">
                <w:txbxContent>
                  <w:p>
                    <w:pPr>
                      <w:spacing w:line="90" w:lineRule="exact" w:before="0"/>
                      <w:ind w:left="0" w:right="-20" w:firstLine="0"/>
                      <w:jc w:val="left"/>
                      <w:rPr>
                        <w:rFonts w:ascii="Calibri"/>
                        <w:sz w:val="9"/>
                      </w:rPr>
                    </w:pPr>
                    <w:r>
                      <w:rPr>
                        <w:rFonts w:ascii="Calibri"/>
                        <w:sz w:val="9"/>
                      </w:rPr>
                      <w:t>4.22</w:t>
                    </w:r>
                  </w:p>
                </w:txbxContent>
              </v:textbox>
              <w10:wrap type="none"/>
            </v:shape>
            <v:shape style="position:absolute;left:6793;top:5096;width:160;height:91" type="#_x0000_t202" filled="false" stroked="false">
              <v:textbox inset="0,0,0,0">
                <w:txbxContent>
                  <w:p>
                    <w:pPr>
                      <w:spacing w:line="90" w:lineRule="exact" w:before="0"/>
                      <w:ind w:left="0" w:right="-20" w:firstLine="0"/>
                      <w:jc w:val="left"/>
                      <w:rPr>
                        <w:rFonts w:ascii="Calibri"/>
                        <w:sz w:val="9"/>
                      </w:rPr>
                    </w:pPr>
                    <w:r>
                      <w:rPr>
                        <w:rFonts w:ascii="Calibri"/>
                        <w:sz w:val="9"/>
                      </w:rPr>
                      <w:t>4.41</w:t>
                    </w:r>
                  </w:p>
                </w:txbxContent>
              </v:textbox>
              <w10:wrap type="none"/>
            </v:shape>
            <v:shape style="position:absolute;left:8667;top:5230;width:46;height:91" type="#_x0000_t202" filled="false" stroked="false">
              <v:textbox inset="0,0,0,0">
                <w:txbxContent>
                  <w:p>
                    <w:pPr>
                      <w:spacing w:line="90" w:lineRule="exact" w:before="0"/>
                      <w:ind w:left="0" w:right="0" w:firstLine="0"/>
                      <w:jc w:val="left"/>
                      <w:rPr>
                        <w:rFonts w:ascii="Calibri"/>
                        <w:sz w:val="9"/>
                      </w:rPr>
                    </w:pPr>
                    <w:r>
                      <w:rPr>
                        <w:rFonts w:ascii="Calibri"/>
                        <w:w w:val="99"/>
                        <w:sz w:val="9"/>
                      </w:rPr>
                      <w:t>4</w:t>
                    </w:r>
                  </w:p>
                </w:txbxContent>
              </v:textbox>
              <w10:wrap type="none"/>
            </v:shape>
            <v:shape style="position:absolute;left:4517;top:5535;width:160;height:91" type="#_x0000_t202" filled="false" stroked="false">
              <v:textbox inset="0,0,0,0">
                <w:txbxContent>
                  <w:p>
                    <w:pPr>
                      <w:spacing w:line="90" w:lineRule="exact" w:before="0"/>
                      <w:ind w:left="0" w:right="-20" w:firstLine="0"/>
                      <w:jc w:val="left"/>
                      <w:rPr>
                        <w:rFonts w:ascii="Calibri"/>
                        <w:sz w:val="9"/>
                      </w:rPr>
                    </w:pPr>
                    <w:r>
                      <w:rPr>
                        <w:rFonts w:ascii="Calibri"/>
                        <w:sz w:val="9"/>
                      </w:rPr>
                      <w:t>3.07</w:t>
                    </w:r>
                  </w:p>
                </w:txbxContent>
              </v:textbox>
              <w10:wrap type="none"/>
            </v:shape>
            <v:shape style="position:absolute;left:68;top:5805;width:92;height:91" type="#_x0000_t202" filled="false" stroked="false">
              <v:textbox inset="0,0,0,0">
                <w:txbxContent>
                  <w:p>
                    <w:pPr>
                      <w:spacing w:line="90" w:lineRule="exact" w:before="0"/>
                      <w:ind w:left="0" w:right="-20" w:firstLine="0"/>
                      <w:jc w:val="left"/>
                      <w:rPr>
                        <w:rFonts w:ascii="Calibri"/>
                        <w:sz w:val="9"/>
                      </w:rPr>
                    </w:pPr>
                    <w:r>
                      <w:rPr>
                        <w:rFonts w:ascii="Calibri"/>
                        <w:sz w:val="9"/>
                      </w:rPr>
                      <w:t>10</w:t>
                    </w:r>
                  </w:p>
                </w:txbxContent>
              </v:textbox>
              <w10:wrap type="none"/>
            </v:shape>
            <v:shape style="position:absolute;left:8667;top:5887;width:46;height:91" type="#_x0000_t202" filled="false" stroked="false">
              <v:textbox inset="0,0,0,0">
                <w:txbxContent>
                  <w:p>
                    <w:pPr>
                      <w:spacing w:line="90" w:lineRule="exact" w:before="0"/>
                      <w:ind w:left="0" w:right="0" w:firstLine="0"/>
                      <w:jc w:val="left"/>
                      <w:rPr>
                        <w:rFonts w:ascii="Calibri"/>
                        <w:sz w:val="9"/>
                      </w:rPr>
                    </w:pPr>
                    <w:r>
                      <w:rPr>
                        <w:rFonts w:ascii="Calibri"/>
                        <w:w w:val="99"/>
                        <w:sz w:val="9"/>
                      </w:rPr>
                      <w:t>2</w:t>
                    </w:r>
                  </w:p>
                </w:txbxContent>
              </v:textbox>
              <w10:wrap type="none"/>
            </v:shape>
            <v:shape style="position:absolute;left:113;top:6545;width:46;height:91" type="#_x0000_t202" filled="false" stroked="false">
              <v:textbox inset="0,0,0,0">
                <w:txbxContent>
                  <w:p>
                    <w:pPr>
                      <w:spacing w:line="90" w:lineRule="exact" w:before="0"/>
                      <w:ind w:left="0" w:right="0" w:firstLine="0"/>
                      <w:jc w:val="left"/>
                      <w:rPr>
                        <w:rFonts w:ascii="Calibri"/>
                        <w:sz w:val="9"/>
                      </w:rPr>
                    </w:pPr>
                    <w:r>
                      <w:rPr>
                        <w:rFonts w:ascii="Calibri"/>
                        <w:w w:val="99"/>
                        <w:sz w:val="9"/>
                      </w:rPr>
                      <w:t>0</w:t>
                    </w:r>
                  </w:p>
                </w:txbxContent>
              </v:textbox>
              <w10:wrap type="none"/>
            </v:shape>
            <v:shape style="position:absolute;left:8667;top:6545;width:46;height:91" type="#_x0000_t202" filled="false" stroked="false">
              <v:textbox inset="0,0,0,0">
                <w:txbxContent>
                  <w:p>
                    <w:pPr>
                      <w:spacing w:line="90" w:lineRule="exact" w:before="0"/>
                      <w:ind w:left="0" w:right="0" w:firstLine="0"/>
                      <w:jc w:val="left"/>
                      <w:rPr>
                        <w:rFonts w:ascii="Calibri"/>
                        <w:sz w:val="9"/>
                      </w:rPr>
                    </w:pPr>
                    <w:r>
                      <w:rPr>
                        <w:rFonts w:ascii="Calibri"/>
                        <w:w w:val="99"/>
                        <w:sz w:val="9"/>
                      </w:rPr>
                      <w:t>0</w:t>
                    </w:r>
                  </w:p>
                </w:txbxContent>
              </v:textbox>
              <w10:wrap type="none"/>
            </v:shape>
            <v:shape style="position:absolute;left:464;top:6651;width:4287;height:91" type="#_x0000_t202" filled="false" stroked="false">
              <v:textbox inset="0,0,0,0">
                <w:txbxContent>
                  <w:p>
                    <w:pPr>
                      <w:tabs>
                        <w:tab w:pos="725" w:val="left" w:leader="none"/>
                        <w:tab w:pos="1336" w:val="left" w:leader="none"/>
                      </w:tabs>
                      <w:spacing w:line="90" w:lineRule="exact" w:before="0"/>
                      <w:ind w:left="0" w:right="0" w:firstLine="0"/>
                      <w:jc w:val="left"/>
                      <w:rPr>
                        <w:sz w:val="9"/>
                      </w:rPr>
                    </w:pPr>
                    <w:r>
                      <w:rPr>
                        <w:sz w:val="9"/>
                      </w:rPr>
                      <w:t>Optimo</w:t>
                      <w:tab/>
                      <w:t>Deseable</w:t>
                      <w:tab/>
                      <w:t>Villas del Campo       San Andres      Villas del Campo II  Valle del</w:t>
                    </w:r>
                    <w:r>
                      <w:rPr>
                        <w:spacing w:val="-10"/>
                        <w:sz w:val="9"/>
                      </w:rPr>
                      <w:t> </w:t>
                    </w:r>
                    <w:r>
                      <w:rPr>
                        <w:sz w:val="9"/>
                      </w:rPr>
                      <w:t>Nevado</w:t>
                    </w:r>
                  </w:p>
                </w:txbxContent>
              </v:textbox>
              <w10:wrap type="none"/>
            </v:shape>
            <v:shape style="position:absolute;left:4911;top:6651;width:522;height:307" type="#_x0000_t202" filled="false" stroked="false">
              <v:textbox inset="0,0,0,0">
                <w:txbxContent>
                  <w:p>
                    <w:pPr>
                      <w:spacing w:line="92" w:lineRule="exact" w:before="0"/>
                      <w:ind w:left="0" w:right="-18" w:firstLine="57"/>
                      <w:jc w:val="left"/>
                      <w:rPr>
                        <w:sz w:val="9"/>
                      </w:rPr>
                    </w:pPr>
                    <w:r>
                      <w:rPr>
                        <w:sz w:val="9"/>
                      </w:rPr>
                      <w:t>Rancho la</w:t>
                    </w:r>
                  </w:p>
                  <w:p>
                    <w:pPr>
                      <w:spacing w:line="252" w:lineRule="auto" w:before="4"/>
                      <w:ind w:left="125" w:right="-18" w:hanging="126"/>
                      <w:jc w:val="left"/>
                      <w:rPr>
                        <w:sz w:val="9"/>
                      </w:rPr>
                    </w:pPr>
                    <w:r>
                      <w:rPr>
                        <w:sz w:val="9"/>
                      </w:rPr>
                      <w:t>Providencia / Iberica</w:t>
                    </w:r>
                  </w:p>
                </w:txbxContent>
              </v:textbox>
              <w10:wrap type="none"/>
            </v:shape>
            <v:shape style="position:absolute;left:5581;top:6651;width:1393;height:91" type="#_x0000_t202" filled="false" stroked="false">
              <v:textbox inset="0,0,0,0">
                <w:txbxContent>
                  <w:p>
                    <w:pPr>
                      <w:spacing w:line="90" w:lineRule="exact" w:before="0"/>
                      <w:ind w:left="0" w:right="-18" w:firstLine="0"/>
                      <w:jc w:val="left"/>
                      <w:rPr>
                        <w:sz w:val="9"/>
                      </w:rPr>
                    </w:pPr>
                    <w:r>
                      <w:rPr>
                        <w:sz w:val="9"/>
                      </w:rPr>
                      <w:t>Urbi Hacienda de     Bosque de las</w:t>
                    </w:r>
                  </w:p>
                </w:txbxContent>
              </v:textbox>
              <w10:wrap type="none"/>
            </v:shape>
            <v:shape style="position:absolute;left:5724;top:6759;width:411;height:91" type="#_x0000_t202" filled="false" stroked="false">
              <v:textbox inset="0,0,0,0">
                <w:txbxContent>
                  <w:p>
                    <w:pPr>
                      <w:spacing w:line="90" w:lineRule="exact" w:before="0"/>
                      <w:ind w:left="0" w:right="-20" w:firstLine="0"/>
                      <w:jc w:val="left"/>
                      <w:rPr>
                        <w:sz w:val="9"/>
                      </w:rPr>
                    </w:pPr>
                    <w:r>
                      <w:rPr>
                        <w:sz w:val="9"/>
                      </w:rPr>
                      <w:t>las Lomas</w:t>
                    </w:r>
                  </w:p>
                </w:txbxContent>
              </v:textbox>
              <w10:wrap type="none"/>
            </v:shape>
            <v:shape style="position:absolute;left:6525;top:6759;width:326;height:91" type="#_x0000_t202" filled="false" stroked="false">
              <v:textbox inset="0,0,0,0">
                <w:txbxContent>
                  <w:p>
                    <w:pPr>
                      <w:spacing w:line="90" w:lineRule="exact" w:before="0"/>
                      <w:ind w:left="0" w:right="-20" w:firstLine="0"/>
                      <w:jc w:val="left"/>
                      <w:rPr>
                        <w:sz w:val="9"/>
                      </w:rPr>
                    </w:pPr>
                    <w:r>
                      <w:rPr>
                        <w:sz w:val="9"/>
                      </w:rPr>
                      <w:t>Fuentes</w:t>
                    </w:r>
                  </w:p>
                </w:txbxContent>
              </v:textbox>
              <w10:wrap type="none"/>
            </v:shape>
            <v:shape style="position:absolute;left:7123;top:6651;width:1312;height:199" type="#_x0000_t202" filled="false" stroked="false">
              <v:textbox inset="0,0,0,0">
                <w:txbxContent>
                  <w:p>
                    <w:pPr>
                      <w:tabs>
                        <w:tab w:pos="851" w:val="left" w:leader="none"/>
                      </w:tabs>
                      <w:spacing w:line="92" w:lineRule="exact" w:before="0"/>
                      <w:ind w:left="0" w:right="0" w:firstLine="0"/>
                      <w:jc w:val="left"/>
                      <w:rPr>
                        <w:sz w:val="9"/>
                      </w:rPr>
                    </w:pPr>
                    <w:r>
                      <w:rPr>
                        <w:sz w:val="9"/>
                      </w:rPr>
                      <w:t>Hacienda</w:t>
                    </w:r>
                    <w:r>
                      <w:rPr>
                        <w:spacing w:val="-1"/>
                        <w:sz w:val="9"/>
                      </w:rPr>
                      <w:t> </w:t>
                    </w:r>
                    <w:r>
                      <w:rPr>
                        <w:sz w:val="9"/>
                      </w:rPr>
                      <w:t>de</w:t>
                    </w:r>
                    <w:r>
                      <w:rPr>
                        <w:spacing w:val="-1"/>
                        <w:sz w:val="9"/>
                      </w:rPr>
                      <w:t> </w:t>
                    </w:r>
                    <w:r>
                      <w:rPr>
                        <w:sz w:val="9"/>
                      </w:rPr>
                      <w:t>las</w:t>
                      <w:tab/>
                      <w:t>Valle de</w:t>
                    </w:r>
                    <w:r>
                      <w:rPr>
                        <w:spacing w:val="-8"/>
                        <w:sz w:val="9"/>
                      </w:rPr>
                      <w:t> </w:t>
                    </w:r>
                    <w:r>
                      <w:rPr>
                        <w:sz w:val="9"/>
                      </w:rPr>
                      <w:t>las</w:t>
                    </w:r>
                  </w:p>
                  <w:p>
                    <w:pPr>
                      <w:tabs>
                        <w:tab w:pos="918" w:val="left" w:leader="none"/>
                      </w:tabs>
                      <w:spacing w:line="102" w:lineRule="exact" w:before="4"/>
                      <w:ind w:left="160" w:right="0" w:firstLine="0"/>
                      <w:jc w:val="left"/>
                      <w:rPr>
                        <w:sz w:val="9"/>
                      </w:rPr>
                    </w:pPr>
                    <w:r>
                      <w:rPr>
                        <w:sz w:val="9"/>
                      </w:rPr>
                      <w:t>Fuentes</w:t>
                      <w:tab/>
                      <w:t>Fuentes</w:t>
                    </w:r>
                  </w:p>
                </w:txbxContent>
              </v:textbox>
              <w10:wrap type="none"/>
            </v:shape>
          </v:group>
        </w:pict>
      </w:r>
      <w:r>
        <w:rPr>
          <w:sz w:val="20"/>
        </w:rPr>
      </w:r>
    </w:p>
    <w:p>
      <w:pPr>
        <w:pStyle w:val="BodyText"/>
        <w:spacing w:before="10"/>
        <w:rPr>
          <w:sz w:val="22"/>
        </w:rPr>
      </w:pPr>
    </w:p>
    <w:p>
      <w:pPr>
        <w:spacing w:before="0"/>
        <w:ind w:left="268" w:right="0" w:firstLine="0"/>
        <w:jc w:val="both"/>
        <w:rPr>
          <w:sz w:val="21"/>
        </w:rPr>
      </w:pPr>
      <w:r>
        <w:rPr>
          <w:w w:val="105"/>
          <w:sz w:val="21"/>
        </w:rPr>
        <w:t>Fuente: Elaboración propia con base en los resultados obtenidos del estudio realizado.</w:t>
      </w:r>
    </w:p>
    <w:p>
      <w:pPr>
        <w:pStyle w:val="BodyText"/>
        <w:spacing w:before="7"/>
        <w:rPr>
          <w:sz w:val="21"/>
        </w:rPr>
      </w:pPr>
    </w:p>
    <w:p>
      <w:pPr>
        <w:pStyle w:val="BodyText"/>
        <w:spacing w:line="360" w:lineRule="auto"/>
        <w:ind w:left="268" w:right="231"/>
        <w:jc w:val="both"/>
      </w:pPr>
      <w:r>
        <w:rPr/>
        <w:t>Otro de los hallazgos realizados con la investigación fue la relación que existe entre la política nacional de vivienda de la actual administración de Enrique Peña (2013-2018) que es administrada por la SEDATU y la realidad del impacto de los conjuntos urbanos en el territorio, que como caso de estudio se tomó el   municipio</w:t>
      </w:r>
    </w:p>
    <w:p>
      <w:pPr>
        <w:spacing w:after="0" w:line="360" w:lineRule="auto"/>
        <w:jc w:val="both"/>
        <w:sectPr>
          <w:footerReference w:type="default" r:id="rId272"/>
          <w:pgSz w:w="12240" w:h="15840"/>
          <w:pgMar w:footer="1066" w:header="730" w:top="1320" w:bottom="1260" w:left="1720" w:right="1180"/>
          <w:pgNumType w:start="221"/>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7920" from="93.199997pt,-19.614155pt" to="546.799997pt,-19.614155pt" stroked="true" strokeweight=".479981pt" strokecolor="#000000">
            <w10:wrap type="none"/>
          </v:line>
        </w:pict>
      </w:r>
      <w:r>
        <w:rPr/>
        <w:t>de Calimaya que fue seleccionado para evaluar siendo solo un ejemplo del Estado de México, como muchos municipios de éste y otros estados de la República.</w:t>
      </w:r>
    </w:p>
    <w:p>
      <w:pPr>
        <w:pStyle w:val="BodyText"/>
        <w:spacing w:line="360" w:lineRule="auto" w:before="122"/>
        <w:ind w:left="268" w:right="231"/>
        <w:jc w:val="both"/>
      </w:pPr>
      <w:r>
        <w:rPr/>
        <w:t>Los polígonos de contención urbana que el Estado generó como un instrumento  de política en la vivienda han sido cuestionados por varios urbanistas como Jesús García Rojas, en específico el caso del Tlajomulco en el Estado de Guadalajara, con un conjunto denominado Arvento de la empresa GEO, el cual no estaba considerado en los perímetros de contención urbana en el 2014 y para el año  2015 apárese dentro de un polígono con clasificación U3 (ver clasificación de polígonos de contención urbana en página 189), con el objetivo de recibir subsidio sin importar el impacto que genere en el territorio. Esto se puede constatar con  una nota de divulgación titulada “Los perímetros de contención, negociados con vivienderos” realizada por Castillo en abril de</w:t>
      </w:r>
      <w:r>
        <w:rPr>
          <w:spacing w:val="-2"/>
        </w:rPr>
        <w:t> </w:t>
      </w:r>
      <w:r>
        <w:rPr/>
        <w:t>2015.</w:t>
      </w:r>
    </w:p>
    <w:p>
      <w:pPr>
        <w:pStyle w:val="BodyText"/>
        <w:spacing w:line="360" w:lineRule="auto" w:before="122"/>
        <w:ind w:left="268" w:right="231"/>
        <w:jc w:val="both"/>
      </w:pPr>
      <w:r>
        <w:rPr/>
        <w:t>El estudio realizado en el municipio de Calimaya muestra incongruencias y congruencias casuales, los conjuntos de interés social, popular y medio se encuentran dentro de un polígono con clasificación U3, incluso el proyecto de Hacienda de las Fuentes de tipo popular de la empresa GEO, cuenta con su  propio polígono U3, como se puede apreciar en el mapa</w:t>
      </w:r>
      <w:r>
        <w:rPr>
          <w:spacing w:val="-6"/>
        </w:rPr>
        <w:t> </w:t>
      </w:r>
      <w:r>
        <w:rPr/>
        <w:t>15.</w:t>
      </w:r>
    </w:p>
    <w:p>
      <w:pPr>
        <w:pStyle w:val="BodyText"/>
        <w:spacing w:line="360" w:lineRule="auto" w:before="127"/>
        <w:ind w:left="268" w:right="231"/>
        <w:jc w:val="both"/>
      </w:pPr>
      <w:r>
        <w:rPr/>
        <w:t>Por otro lado, los desarrollos habitacionales de tipo medio y residencial se encuentran a una distancia menor a los 7km del polígono U3 y nos son considerados dentro de éste, las empresas inmobiliarias son locales y no participan a nivel nacional en el mercado de vivienda, la CONAVI o mucho menos en la Bolsa Mexicana de Valores, una línea interesante para la investigación en el área de la participación de empresas inmobiliarias en el índice de la vivienda.</w:t>
      </w:r>
    </w:p>
    <w:p>
      <w:pPr>
        <w:spacing w:after="0" w:line="360" w:lineRule="auto"/>
        <w:jc w:val="both"/>
        <w:sectPr>
          <w:pgSz w:w="12240" w:h="15840"/>
          <w:pgMar w:header="730" w:footer="1066" w:top="1320" w:bottom="1260" w:left="1720" w:right="1180"/>
        </w:sectPr>
      </w:pPr>
    </w:p>
    <w:p>
      <w:pPr>
        <w:pStyle w:val="BodyText"/>
        <w:spacing w:before="1"/>
        <w:rPr>
          <w:sz w:val="18"/>
        </w:rPr>
      </w:pPr>
    </w:p>
    <w:p>
      <w:pPr>
        <w:spacing w:before="78" w:after="10"/>
        <w:ind w:left="268" w:right="0" w:firstLine="0"/>
        <w:jc w:val="both"/>
        <w:rPr>
          <w:sz w:val="21"/>
        </w:rPr>
      </w:pPr>
      <w:r>
        <w:rPr/>
        <w:pict>
          <v:line style="position:absolute;mso-position-horizontal-relative:page;mso-position-vertical-relative:paragraph;z-index:17944" from="93.199997pt,-19.611116pt" to="546.799997pt,-19.611116pt" stroked="true" strokeweight=".479981pt" strokecolor="#000000">
            <w10:wrap type="none"/>
          </v:line>
        </w:pict>
      </w:r>
      <w:r>
        <w:rPr>
          <w:w w:val="105"/>
          <w:sz w:val="21"/>
        </w:rPr>
        <w:t>Mapa 15. Distancias de CU a perimetros de contención urbana en Calimaya.</w:t>
      </w:r>
    </w:p>
    <w:p>
      <w:pPr>
        <w:pStyle w:val="BodyText"/>
        <w:ind w:left="266"/>
        <w:rPr>
          <w:sz w:val="20"/>
        </w:rPr>
      </w:pPr>
      <w:r>
        <w:rPr>
          <w:sz w:val="20"/>
        </w:rPr>
        <w:drawing>
          <wp:inline distT="0" distB="0" distL="0" distR="0">
            <wp:extent cx="5603624" cy="4231100"/>
            <wp:effectExtent l="0" t="0" r="0" b="0"/>
            <wp:docPr id="45" name="image198.jpeg" descr=""/>
            <wp:cNvGraphicFramePr>
              <a:graphicFrameLocks noChangeAspect="1"/>
            </wp:cNvGraphicFramePr>
            <a:graphic>
              <a:graphicData uri="http://schemas.openxmlformats.org/drawingml/2006/picture">
                <pic:pic>
                  <pic:nvPicPr>
                    <pic:cNvPr id="46" name="image198.jpeg"/>
                    <pic:cNvPicPr/>
                  </pic:nvPicPr>
                  <pic:blipFill>
                    <a:blip r:embed="rId277" cstate="print"/>
                    <a:stretch>
                      <a:fillRect/>
                    </a:stretch>
                  </pic:blipFill>
                  <pic:spPr>
                    <a:xfrm>
                      <a:off x="0" y="0"/>
                      <a:ext cx="5603624" cy="4231100"/>
                    </a:xfrm>
                    <a:prstGeom prst="rect">
                      <a:avLst/>
                    </a:prstGeom>
                  </pic:spPr>
                </pic:pic>
              </a:graphicData>
            </a:graphic>
          </wp:inline>
        </w:drawing>
      </w:r>
      <w:r>
        <w:rPr>
          <w:sz w:val="20"/>
        </w:rPr>
      </w:r>
    </w:p>
    <w:p>
      <w:pPr>
        <w:spacing w:before="107"/>
        <w:ind w:left="268" w:right="0" w:firstLine="0"/>
        <w:jc w:val="both"/>
        <w:rPr>
          <w:sz w:val="21"/>
        </w:rPr>
      </w:pPr>
      <w:r>
        <w:rPr>
          <w:w w:val="105"/>
          <w:sz w:val="21"/>
        </w:rPr>
        <w:t>Fuente: Elaboración propia con base a SEDATU, INEGI y Google earth 2016.</w:t>
      </w:r>
    </w:p>
    <w:p>
      <w:pPr>
        <w:pStyle w:val="BodyText"/>
        <w:spacing w:before="2"/>
        <w:rPr>
          <w:sz w:val="21"/>
        </w:rPr>
      </w:pPr>
    </w:p>
    <w:p>
      <w:pPr>
        <w:pStyle w:val="BodyText"/>
        <w:spacing w:line="360" w:lineRule="auto"/>
        <w:ind w:left="268" w:right="231"/>
        <w:jc w:val="both"/>
      </w:pPr>
      <w:r>
        <w:rPr/>
        <w:t>Continuando con los polígonos de contención urbana en el municipio de Calimaya, los polígonos incluyen en su totalidad a dos localidades en el polígono U3 y dejan fuera a otras tres localidades con una población considerable como lo es la cabecera municipal, como se muestra en el mapa 15. La justificación podría ser la metodología empleada para la elaboración de los perímetros de contención, la  cual se basa en la población ocupada sobre la población existente por AGEB con el resultado se generan tres clasificaciones para el “subsidio” como se describe a continuación.</w:t>
      </w:r>
    </w:p>
    <w:p>
      <w:pPr>
        <w:spacing w:after="0" w:line="360" w:lineRule="auto"/>
        <w:jc w:val="both"/>
        <w:sectPr>
          <w:pgSz w:w="12240" w:h="15840"/>
          <w:pgMar w:header="730" w:footer="1066" w:top="1320" w:bottom="1260" w:left="1720" w:right="1180"/>
        </w:sectPr>
      </w:pPr>
    </w:p>
    <w:p>
      <w:pPr>
        <w:pStyle w:val="BodyText"/>
        <w:rPr>
          <w:sz w:val="20"/>
        </w:rPr>
      </w:pPr>
    </w:p>
    <w:p>
      <w:pPr>
        <w:pStyle w:val="BodyText"/>
        <w:rPr>
          <w:sz w:val="20"/>
        </w:rPr>
      </w:pPr>
    </w:p>
    <w:p>
      <w:pPr>
        <w:pStyle w:val="BodyText"/>
        <w:spacing w:before="5"/>
      </w:pPr>
    </w:p>
    <w:p>
      <w:pPr>
        <w:spacing w:line="360" w:lineRule="auto" w:before="69"/>
        <w:ind w:left="976" w:right="231" w:firstLine="0"/>
        <w:jc w:val="both"/>
        <w:rPr>
          <w:i/>
          <w:sz w:val="24"/>
        </w:rPr>
      </w:pPr>
      <w:r>
        <w:rPr/>
        <w:pict>
          <v:line style="position:absolute;mso-position-horizontal-relative:page;mso-position-vertical-relative:paragraph;z-index:17968" from="93.199997pt,-46.254108pt" to="546.799997pt,-46.254108pt" stroked="true" strokeweight=".479981pt" strokecolor="#000000">
            <w10:wrap type="none"/>
          </v:line>
        </w:pict>
      </w:r>
      <w:r>
        <w:rPr>
          <w:i/>
          <w:sz w:val="24"/>
          <w:shd w:fill="FF0000" w:color="auto" w:val="clear"/>
        </w:rPr>
        <w:t>“U1 </w:t>
      </w:r>
      <w:r>
        <w:rPr>
          <w:i/>
          <w:sz w:val="24"/>
        </w:rPr>
        <w:t>Esta ubicación contiene las </w:t>
      </w:r>
      <w:r>
        <w:rPr>
          <w:i/>
          <w:sz w:val="24"/>
          <w:u w:val="single"/>
        </w:rPr>
        <w:t>fuentes de empleo </w:t>
      </w:r>
      <w:r>
        <w:rPr>
          <w:i/>
          <w:sz w:val="24"/>
        </w:rPr>
        <w:t>como elemento básico </w:t>
      </w:r>
      <w:r>
        <w:rPr>
          <w:i/>
          <w:sz w:val="24"/>
        </w:rPr>
        <w:t>para consolidar las ciudades. Información contenida en el Censo  Económico 2009 y el Directorio Estadístico Nacional de Unidades Económicas (DENUE) 2011, 2013, del Instituto Nacional de Estadística y Geografía (INEGI), así como la información aportada por el Consejo Nacional de Población. (CONAPO).</w:t>
      </w:r>
    </w:p>
    <w:p>
      <w:pPr>
        <w:spacing w:line="360" w:lineRule="auto" w:before="122"/>
        <w:ind w:left="976" w:right="231" w:firstLine="0"/>
        <w:jc w:val="both"/>
        <w:rPr>
          <w:i/>
          <w:sz w:val="24"/>
        </w:rPr>
      </w:pPr>
      <w:r>
        <w:rPr>
          <w:i/>
          <w:sz w:val="24"/>
          <w:shd w:fill="00FF00" w:color="auto" w:val="clear"/>
        </w:rPr>
        <w:t>U2 </w:t>
      </w:r>
      <w:r>
        <w:rPr>
          <w:i/>
          <w:sz w:val="24"/>
        </w:rPr>
        <w:t>Se basa en la existencia de </w:t>
      </w:r>
      <w:r>
        <w:rPr>
          <w:i/>
          <w:sz w:val="24"/>
          <w:u w:val="single"/>
        </w:rPr>
        <w:t>servicios </w:t>
      </w:r>
      <w:r>
        <w:rPr>
          <w:i/>
          <w:sz w:val="24"/>
        </w:rPr>
        <w:t>de agua y drenaje en la vivienda, </w:t>
      </w:r>
      <w:r>
        <w:rPr>
          <w:i/>
          <w:sz w:val="24"/>
        </w:rPr>
        <w:t>que coadyuvan a la proliferación de vivienda cercana al primer perímetro. Con información del Censo General de Población y Vivienda 2010 INEGI, referida a los servicios.</w:t>
      </w:r>
    </w:p>
    <w:p>
      <w:pPr>
        <w:spacing w:line="360" w:lineRule="auto" w:before="122"/>
        <w:ind w:left="976" w:right="232" w:firstLine="0"/>
        <w:jc w:val="both"/>
        <w:rPr>
          <w:i/>
          <w:sz w:val="24"/>
        </w:rPr>
      </w:pPr>
      <w:r>
        <w:rPr>
          <w:i/>
          <w:sz w:val="24"/>
          <w:shd w:fill="00FFFF" w:color="auto" w:val="clear"/>
        </w:rPr>
        <w:t>U3 </w:t>
      </w:r>
      <w:r>
        <w:rPr>
          <w:i/>
          <w:sz w:val="24"/>
          <w:u w:val="single"/>
        </w:rPr>
        <w:t>Áreas de crecimiento contiguas al área urbana consolidada. </w:t>
      </w:r>
      <w:r>
        <w:rPr>
          <w:i/>
          <w:sz w:val="24"/>
        </w:rPr>
        <w:t>Que </w:t>
      </w:r>
      <w:r>
        <w:rPr>
          <w:i/>
          <w:sz w:val="24"/>
        </w:rPr>
        <w:t>conformadas por un </w:t>
      </w:r>
      <w:r>
        <w:rPr>
          <w:i/>
          <w:sz w:val="24"/>
          <w:u w:val="single"/>
        </w:rPr>
        <w:t>buffer o envolvente </w:t>
      </w:r>
      <w:r>
        <w:rPr>
          <w:i/>
          <w:sz w:val="24"/>
        </w:rPr>
        <w:t>que cubre los contornos U1 y U2, de acuerdo con el rango de población de la ciudad.”</w:t>
      </w:r>
    </w:p>
    <w:p>
      <w:pPr>
        <w:spacing w:line="376" w:lineRule="auto" w:before="136"/>
        <w:ind w:left="268" w:right="0" w:firstLine="0"/>
        <w:jc w:val="left"/>
        <w:rPr>
          <w:sz w:val="21"/>
        </w:rPr>
      </w:pPr>
      <w:r>
        <w:rPr>
          <w:w w:val="105"/>
          <w:sz w:val="21"/>
        </w:rPr>
        <w:t>Fuente: SEDATU. Modelo geoestadístico para la actualización de los perímetros de contención urbana 2015.</w:t>
      </w:r>
    </w:p>
    <w:p>
      <w:pPr>
        <w:pStyle w:val="BodyText"/>
        <w:spacing w:line="360" w:lineRule="auto" w:before="110"/>
        <w:ind w:left="268" w:right="231"/>
        <w:jc w:val="both"/>
      </w:pPr>
      <w:r>
        <w:rPr/>
        <w:t>Como se demuestra en el estudio realizado, los polígonos de contención urbana son una herramienta que considera elementos importantes para otorgar subsidios en la adquisición de vivienda y con ello beneficiar a los desarrolladores inmobiliarios dejando de considerar la sustentabilidad económica de las familias que adquieren una vivienda con un subsidio determinado, pero con un gasto elevado en el pago de transporte y/o servicios públicos.</w:t>
      </w:r>
    </w:p>
    <w:p>
      <w:pPr>
        <w:spacing w:after="0" w:line="360" w:lineRule="auto"/>
        <w:jc w:val="both"/>
        <w:sectPr>
          <w:pgSz w:w="12240" w:h="15840"/>
          <w:pgMar w:header="730" w:footer="1066" w:top="1320" w:bottom="1260" w:left="1720" w:right="1180"/>
        </w:sectPr>
      </w:pPr>
    </w:p>
    <w:p>
      <w:pPr>
        <w:pStyle w:val="BodyText"/>
        <w:spacing w:before="1"/>
        <w:rPr>
          <w:sz w:val="18"/>
        </w:rPr>
      </w:pPr>
    </w:p>
    <w:p>
      <w:pPr>
        <w:spacing w:before="78"/>
        <w:ind w:left="268" w:right="0" w:firstLine="0"/>
        <w:jc w:val="both"/>
        <w:rPr>
          <w:sz w:val="21"/>
        </w:rPr>
      </w:pPr>
      <w:r>
        <w:rPr/>
        <w:pict>
          <v:line style="position:absolute;mso-position-horizontal-relative:page;mso-position-vertical-relative:paragraph;z-index:18016" from="93.199997pt,-19.611116pt" to="546.799997pt,-19.611116pt" stroked="true" strokeweight=".479981pt" strokecolor="#000000">
            <w10:wrap type="none"/>
          </v:line>
        </w:pict>
      </w:r>
      <w:r>
        <w:rPr>
          <w:w w:val="105"/>
          <w:sz w:val="21"/>
        </w:rPr>
        <w:t>Mapa 16. Perímetros de contención urbana en Calimaya.</w:t>
      </w:r>
    </w:p>
    <w:p>
      <w:pPr>
        <w:pStyle w:val="BodyText"/>
        <w:spacing w:before="5"/>
        <w:rPr>
          <w:sz w:val="21"/>
        </w:rPr>
      </w:pPr>
      <w:r>
        <w:rPr/>
        <w:drawing>
          <wp:anchor distT="0" distB="0" distL="0" distR="0" allowOverlap="1" layoutInCell="1" locked="0" behindDoc="0" simplePos="0" relativeHeight="17992">
            <wp:simplePos x="0" y="0"/>
            <wp:positionH relativeFrom="page">
              <wp:posOffset>1261491</wp:posOffset>
            </wp:positionH>
            <wp:positionV relativeFrom="paragraph">
              <wp:posOffset>181545</wp:posOffset>
            </wp:positionV>
            <wp:extent cx="5647963" cy="4261866"/>
            <wp:effectExtent l="0" t="0" r="0" b="0"/>
            <wp:wrapTopAndBottom/>
            <wp:docPr id="47" name="image199.jpeg" descr=""/>
            <wp:cNvGraphicFramePr>
              <a:graphicFrameLocks noChangeAspect="1"/>
            </wp:cNvGraphicFramePr>
            <a:graphic>
              <a:graphicData uri="http://schemas.openxmlformats.org/drawingml/2006/picture">
                <pic:pic>
                  <pic:nvPicPr>
                    <pic:cNvPr id="48" name="image199.jpeg"/>
                    <pic:cNvPicPr/>
                  </pic:nvPicPr>
                  <pic:blipFill>
                    <a:blip r:embed="rId278" cstate="print"/>
                    <a:stretch>
                      <a:fillRect/>
                    </a:stretch>
                  </pic:blipFill>
                  <pic:spPr>
                    <a:xfrm>
                      <a:off x="0" y="0"/>
                      <a:ext cx="5647963" cy="4261866"/>
                    </a:xfrm>
                    <a:prstGeom prst="rect">
                      <a:avLst/>
                    </a:prstGeom>
                  </pic:spPr>
                </pic:pic>
              </a:graphicData>
            </a:graphic>
          </wp:anchor>
        </w:drawing>
      </w:r>
    </w:p>
    <w:p>
      <w:pPr>
        <w:spacing w:before="71"/>
        <w:ind w:left="268" w:right="0" w:firstLine="0"/>
        <w:jc w:val="both"/>
        <w:rPr>
          <w:sz w:val="21"/>
        </w:rPr>
      </w:pPr>
      <w:r>
        <w:rPr>
          <w:w w:val="105"/>
          <w:sz w:val="21"/>
        </w:rPr>
        <w:t>Fuente: Elaboración propia con base a SEDATU, INEGI y Google earth 2016.</w:t>
      </w:r>
    </w:p>
    <w:p>
      <w:pPr>
        <w:pStyle w:val="BodyText"/>
        <w:spacing w:before="2"/>
        <w:rPr>
          <w:sz w:val="21"/>
        </w:rPr>
      </w:pPr>
    </w:p>
    <w:p>
      <w:pPr>
        <w:pStyle w:val="BodyText"/>
        <w:spacing w:line="360" w:lineRule="auto"/>
        <w:ind w:left="268" w:right="231"/>
        <w:jc w:val="both"/>
      </w:pPr>
      <w:r>
        <w:rPr/>
        <w:t>En relación a la clasificación de los polígonos surgen interrogantes con base en la metodología aplicada, por ejemplo, ¿Un conjunto urbano genera empleo para sus residentes en comparación con la cabecera municipal?, cuando adicionalmente el conjunto urbano no está integrado con el territorio, puesto que son proyectos habitacionales cerrados y alrededor de ellos solo existen tierras de cultivo u otros desarrollos habitacionales con las mismas características, esto se puede apreciar en el índice territorial y ambiental, los cuales representan el impacto de los desarrollos habitacionales en el territorio.</w:t>
      </w:r>
    </w:p>
    <w:p>
      <w:pPr>
        <w:pStyle w:val="BodyText"/>
        <w:spacing w:line="360" w:lineRule="auto" w:before="122"/>
        <w:ind w:left="268" w:right="231"/>
        <w:jc w:val="both"/>
      </w:pPr>
      <w:r>
        <w:rPr/>
        <w:t>La discusión puede continuar en cada uno de los indicadores ejemplificando la realidad de la política nacional de vivienda con el análisis realizado en el capítulo tres de la investigación, donde se exponen los procesos y relación que existen entre la norma que regula la promoción que a su vez administra el Estado, así</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8568" from="93.199997pt,-19.614155pt" to="546.799997pt,-19.614155pt" stroked="true" strokeweight=".479981pt" strokecolor="#000000">
            <w10:wrap type="none"/>
          </v:line>
        </w:pict>
      </w:r>
      <w:r>
        <w:rPr/>
        <w:t>como los acuerdos entre la CONAVI que se integra con las inmobiliarias que participan en el mercado de la vivienda a nivel nacional, responsables de la producción de vivienda, los datos del estudio de caso en el municipio de Calimaya en el que se desarrolla vivienda de tipo medio en su mayoría, la cual cuenta con ciertos estándares de calidad, mismos que están ligados al precio de venta, muestran que la forma de desarrollar vivienda formal pareciera ser beneficio de unos sin importar el impacto en el territorio que esto signifique y por consiguiente carece de ser una vivienda sustentable, sino todo lo contrario se desarrolla vivienda insustentable.</w:t>
      </w:r>
    </w:p>
    <w:p>
      <w:pPr>
        <w:pStyle w:val="BodyText"/>
        <w:spacing w:line="360" w:lineRule="auto" w:before="122"/>
        <w:ind w:left="268" w:right="232"/>
        <w:jc w:val="both"/>
      </w:pPr>
      <w:r>
        <w:rPr/>
        <w:t>La gráfica 23 muestra la distancia que guardan los conjuntos urbanos analizados entre un escenario óptimo, deseable y real, de igual modo se aprecia gráficamente que ninguno de los conjuntos urbanos sobre sale en el ISCU.</w:t>
      </w:r>
    </w:p>
    <w:p>
      <w:pPr>
        <w:pStyle w:val="BodyText"/>
      </w:pPr>
    </w:p>
    <w:p>
      <w:pPr>
        <w:pStyle w:val="BodyText"/>
        <w:spacing w:before="1"/>
        <w:rPr>
          <w:sz w:val="22"/>
        </w:rPr>
      </w:pPr>
    </w:p>
    <w:p>
      <w:pPr>
        <w:spacing w:before="0"/>
        <w:ind w:left="268" w:right="0" w:firstLine="0"/>
        <w:jc w:val="both"/>
        <w:rPr>
          <w:sz w:val="21"/>
        </w:rPr>
      </w:pPr>
      <w:r>
        <w:rPr/>
        <w:pict>
          <v:group style="position:absolute;margin-left:99.311501pt;margin-top:18.551882pt;width:441.7pt;height:264.4pt;mso-position-horizontal-relative:page;mso-position-vertical-relative:paragraph;z-index:18544;mso-wrap-distance-left:0;mso-wrap-distance-right:0" coordorigin="1986,371" coordsize="8834,5288">
            <v:line style="position:absolute" from="2823,4848" to="10180,4848" stroked="true" strokeweight=".313685pt" strokecolor="#989898"/>
            <v:line style="position:absolute" from="2823,4308" to="10180,4308" stroked="true" strokeweight=".313685pt" strokecolor="#989898"/>
            <v:line style="position:absolute" from="2823,3762" to="10180,3762" stroked="true" strokeweight=".313685pt" strokecolor="#989898"/>
            <v:line style="position:absolute" from="2823,3223" to="10180,3223" stroked="true" strokeweight=".313685pt" strokecolor="#989898"/>
            <v:line style="position:absolute" from="2823,2683" to="10180,2683" stroked="true" strokeweight=".313685pt" strokecolor="#989898"/>
            <v:line style="position:absolute" from="2823,2144" to="10180,2144" stroked="true" strokeweight=".313685pt" strokecolor="#989898"/>
            <v:line style="position:absolute" from="2823,1598" to="10180,1598" stroked="true" strokeweight=".313685pt" strokecolor="#989898"/>
            <v:line style="position:absolute" from="2823,1058" to="10180,1058" stroked="true" strokeweight=".313685pt" strokecolor="#989898"/>
            <v:line style="position:absolute" from="2821,5390" to="2821,1058" stroked="true" strokeweight=".313075pt" strokecolor="#989898"/>
            <v:line style="position:absolute" from="2821,5390" to="10182,5390" stroked="true" strokeweight=".313685pt" strokecolor="#989898"/>
            <v:shape style="position:absolute;left:3101;top:1717;width:106;height:107" type="#_x0000_t75" stroked="false">
              <v:imagedata r:id="rId279" o:title=""/>
            </v:shape>
            <v:shape style="position:absolute;left:3771;top:2520;width:106;height:107" type="#_x0000_t75" stroked="false">
              <v:imagedata r:id="rId279" o:title=""/>
            </v:shape>
            <v:shape style="position:absolute;left:4441;top:3511;width:106;height:107" type="#_x0000_t75" stroked="false">
              <v:imagedata r:id="rId279" o:title=""/>
            </v:shape>
            <v:shape style="position:absolute;left:5111;top:3499;width:106;height:107" type="#_x0000_t75" stroked="false">
              <v:imagedata r:id="rId279" o:title=""/>
            </v:shape>
            <v:shape style="position:absolute;left:5781;top:3536;width:106;height:107" type="#_x0000_t75" stroked="false">
              <v:imagedata r:id="rId279" o:title=""/>
            </v:shape>
            <v:shape style="position:absolute;left:6451;top:3511;width:106;height:107" type="#_x0000_t75" stroked="false">
              <v:imagedata r:id="rId279" o:title=""/>
            </v:shape>
            <v:shape style="position:absolute;left:7115;top:3750;width:106;height:107" type="#_x0000_t75" stroked="false">
              <v:imagedata r:id="rId279" o:title=""/>
            </v:shape>
            <v:shape style="position:absolute;left:7785;top:3474;width:106;height:107" type="#_x0000_t75" stroked="false">
              <v:imagedata r:id="rId279" o:title=""/>
            </v:shape>
            <v:shape style="position:absolute;left:8455;top:3530;width:106;height:107" type="#_x0000_t75" stroked="false">
              <v:imagedata r:id="rId279" o:title=""/>
            </v:shape>
            <v:shape style="position:absolute;left:9125;top:3536;width:106;height:107" type="#_x0000_t75" stroked="false">
              <v:imagedata r:id="rId279" o:title=""/>
            </v:shape>
            <v:shape style="position:absolute;left:9795;top:3631;width:106;height:107" type="#_x0000_t75" stroked="false">
              <v:imagedata r:id="rId279" o:title=""/>
            </v:shape>
            <v:shape style="position:absolute;left:3771;top:4728;width:106;height:107" type="#_x0000_t75" stroked="false">
              <v:imagedata r:id="rId280" o:title=""/>
            </v:shape>
            <v:shape style="position:absolute;left:4441;top:4716;width:106;height:107" type="#_x0000_t75" stroked="false">
              <v:imagedata r:id="rId280" o:title=""/>
            </v:shape>
            <v:shape style="position:absolute;left:5111;top:4653;width:106;height:107" type="#_x0000_t75" stroked="false">
              <v:imagedata r:id="rId280" o:title=""/>
            </v:shape>
            <v:shape style="position:absolute;left:5781;top:4716;width:106;height:107" type="#_x0000_t75" stroked="false">
              <v:imagedata r:id="rId280" o:title=""/>
            </v:shape>
            <v:shape style="position:absolute;left:7115;top:4741;width:106;height:107" type="#_x0000_t75" stroked="false">
              <v:imagedata r:id="rId280" o:title=""/>
            </v:shape>
            <v:shape style="position:absolute;left:7785;top:4716;width:106;height:107" type="#_x0000_t75" stroked="false">
              <v:imagedata r:id="rId280" o:title=""/>
            </v:shape>
            <v:shape style="position:absolute;left:8455;top:4691;width:106;height:107" type="#_x0000_t75" stroked="false">
              <v:imagedata r:id="rId280" o:title=""/>
            </v:shape>
            <v:shape style="position:absolute;left:9125;top:4716;width:106;height:107" type="#_x0000_t75" stroked="false">
              <v:imagedata r:id="rId280" o:title=""/>
            </v:shape>
            <v:shape style="position:absolute;left:9795;top:4691;width:106;height:107" type="#_x0000_t75" stroked="false">
              <v:imagedata r:id="rId280" o:title=""/>
            </v:shape>
            <v:shape style="position:absolute;left:3101;top:4045;width:106;height:107" type="#_x0000_t75" stroked="false">
              <v:imagedata r:id="rId281" o:title=""/>
            </v:shape>
            <v:shape style="position:absolute;left:3771;top:4352;width:106;height:107" type="#_x0000_t75" stroked="false">
              <v:imagedata r:id="rId281" o:title=""/>
            </v:shape>
            <v:shape style="position:absolute;left:4441;top:4867;width:106;height:107" type="#_x0000_t75" stroked="false">
              <v:imagedata r:id="rId281" o:title=""/>
            </v:shape>
            <v:shape style="position:absolute;left:8455;top:4841;width:106;height:107" type="#_x0000_t75" stroked="false">
              <v:imagedata r:id="rId281" o:title=""/>
            </v:shape>
            <v:shape style="position:absolute;left:9795;top:4923;width:106;height:107" type="#_x0000_t75" stroked="false">
              <v:imagedata r:id="rId281" o:title=""/>
            </v:shape>
            <v:shape style="position:absolute;left:7115;top:4954;width:106;height:176" type="#_x0000_t75" stroked="false">
              <v:imagedata r:id="rId282" o:title=""/>
            </v:shape>
            <v:shape style="position:absolute;left:7785;top:4898;width:106;height:194" type="#_x0000_t75" stroked="false">
              <v:imagedata r:id="rId283" o:title=""/>
            </v:shape>
            <v:shape style="position:absolute;left:9125;top:4948;width:106;height:163" type="#_x0000_t75" stroked="false">
              <v:imagedata r:id="rId284" o:title=""/>
            </v:shape>
            <v:shape style="position:absolute;left:3101;top:4747;width:106;height:107" type="#_x0000_t75" stroked="false">
              <v:imagedata r:id="rId285" o:title=""/>
            </v:shape>
            <v:shape style="position:absolute;left:4441;top:5048;width:106;height:107" type="#_x0000_t75" stroked="false">
              <v:imagedata r:id="rId285" o:title=""/>
            </v:shape>
            <v:shape style="position:absolute;left:5111;top:5092;width:106;height:107" type="#_x0000_t75" stroked="false">
              <v:imagedata r:id="rId285" o:title=""/>
            </v:shape>
            <v:shape style="position:absolute;left:5781;top:5048;width:106;height:107" type="#_x0000_t75" stroked="false">
              <v:imagedata r:id="rId285" o:title=""/>
            </v:shape>
            <v:shape style="position:absolute;left:6451;top:5023;width:106;height:107" type="#_x0000_t75" stroked="false">
              <v:imagedata r:id="rId285" o:title=""/>
            </v:shape>
            <v:shape style="position:absolute;left:7115;top:5023;width:106;height:107" type="#_x0000_t75" stroked="false">
              <v:imagedata r:id="rId286" o:title=""/>
            </v:shape>
            <v:shape style="position:absolute;left:8455;top:5080;width:106;height:107" type="#_x0000_t75" stroked="false">
              <v:imagedata r:id="rId285" o:title=""/>
            </v:shape>
            <v:shape style="position:absolute;left:9795;top:5099;width:106;height:107" type="#_x0000_t75" stroked="false">
              <v:imagedata r:id="rId285" o:title=""/>
            </v:shape>
            <v:shape style="position:absolute;left:3101;top:4427;width:106;height:213" type="#_x0000_t75" stroked="false">
              <v:imagedata r:id="rId287" o:title=""/>
            </v:shape>
            <v:shape style="position:absolute;left:5111;top:4841;width:106;height:213" type="#_x0000_t75" stroked="false">
              <v:imagedata r:id="rId288" o:title=""/>
            </v:shape>
            <v:shape style="position:absolute;left:6451;top:4785;width:106;height:226" type="#_x0000_t75" stroked="false">
              <v:imagedata r:id="rId289" o:title=""/>
            </v:shape>
            <v:shape style="position:absolute;left:7785;top:4917;width:106;height:176" type="#_x0000_t75" stroked="false">
              <v:imagedata r:id="rId290" o:title=""/>
            </v:shape>
            <v:shape style="position:absolute;left:9125;top:4904;width:106;height:207" type="#_x0000_t75" stroked="false">
              <v:imagedata r:id="rId291" o:title=""/>
            </v:shape>
            <v:shape style="position:absolute;left:3771;top:4659;width:106;height:107" type="#_x0000_t75" stroked="false">
              <v:imagedata r:id="rId292" o:title=""/>
            </v:shape>
            <v:shape style="position:absolute;left:5781;top:4898;width:106;height:119" type="#_x0000_t75" stroked="false">
              <v:imagedata r:id="rId293" o:title=""/>
            </v:shape>
            <v:shape style="position:absolute;left:7785;top:4917;width:106;height:107" type="#_x0000_t75" stroked="false">
              <v:imagedata r:id="rId294" o:title=""/>
            </v:shape>
            <v:shape style="position:absolute;left:8455;top:4954;width:106;height:107" type="#_x0000_t75" stroked="false">
              <v:imagedata r:id="rId292" o:title=""/>
            </v:shape>
            <v:shape style="position:absolute;left:9125;top:4904;width:106;height:107" type="#_x0000_t75" stroked="false">
              <v:imagedata r:id="rId294" o:title=""/>
            </v:shape>
            <v:shape style="position:absolute;left:9795;top:4961;width:106;height:107" type="#_x0000_t75" stroked="false">
              <v:imagedata r:id="rId292" o:title=""/>
            </v:shape>
            <v:line style="position:absolute" from="3154,1761" to="3824,2564" stroked="true" strokeweight="1.174971pt" strokecolor="#5b92c7"/>
            <v:line style="position:absolute" from="3824,2564" to="4494,3555" stroked="true" strokeweight="1.174749pt" strokecolor="#5b92c7"/>
            <v:line style="position:absolute" from="4494,3555" to="5164,3543" stroked="true" strokeweight="1.176318pt" strokecolor="#5b92c7"/>
            <v:line style="position:absolute" from="5164,3543" to="5834,3580" stroked="true" strokeweight="1.176311pt" strokecolor="#5b92c7"/>
            <v:line style="position:absolute" from="5834,3580" to="6504,3555" stroked="true" strokeweight="1.176315pt" strokecolor="#5b92c7"/>
            <v:line style="position:absolute" from="6504,3555" to="7168,3792" stroked="true" strokeweight="1.176061pt" strokecolor="#5b92c7"/>
            <v:line style="position:absolute" from="7168,3792" to="7838,3518" stroked="true" strokeweight="1.175990pt" strokecolor="#5b92c7"/>
            <v:line style="position:absolute" from="7838,3518" to="8508,3574" stroked="true" strokeweight="1.176302pt" strokecolor="#5b92c7"/>
            <v:line style="position:absolute" from="8508,3574" to="9178,3580" stroked="true" strokeweight="1.176318pt" strokecolor="#5b92c7"/>
            <v:line style="position:absolute" from="9178,3580" to="9847,3675" stroked="true" strokeweight="1.176274pt" strokecolor="#5b92c7"/>
            <v:shape style="position:absolute;left:3120;top:1730;width:69;height:63" type="#_x0000_t75" stroked="false">
              <v:imagedata r:id="rId295" o:title=""/>
            </v:shape>
            <v:shape style="position:absolute;left:3790;top:2533;width:69;height:63" type="#_x0000_t75" stroked="false">
              <v:imagedata r:id="rId295" o:title=""/>
            </v:shape>
            <v:shape style="position:absolute;left:4460;top:3524;width:69;height:63" type="#_x0000_t75" stroked="false">
              <v:imagedata r:id="rId295" o:title=""/>
            </v:shape>
            <v:shape style="position:absolute;left:5130;top:3511;width:69;height:63" type="#_x0000_t75" stroked="false">
              <v:imagedata r:id="rId295" o:title=""/>
            </v:shape>
            <v:shape style="position:absolute;left:5800;top:3549;width:69;height:63" type="#_x0000_t75" stroked="false">
              <v:imagedata r:id="rId295" o:title=""/>
            </v:shape>
            <v:shape style="position:absolute;left:6470;top:3524;width:69;height:63" type="#_x0000_t75" stroked="false">
              <v:imagedata r:id="rId295" o:title=""/>
            </v:shape>
            <v:shape style="position:absolute;left:7134;top:3762;width:69;height:63" type="#_x0000_t75" stroked="false">
              <v:imagedata r:id="rId295" o:title=""/>
            </v:shape>
            <v:shape style="position:absolute;left:7804;top:3486;width:69;height:63" type="#_x0000_t75" stroked="false">
              <v:imagedata r:id="rId295" o:title=""/>
            </v:shape>
            <v:shape style="position:absolute;left:8474;top:3543;width:69;height:63" type="#_x0000_t75" stroked="false">
              <v:imagedata r:id="rId295" o:title=""/>
            </v:shape>
            <v:shape style="position:absolute;left:9144;top:3549;width:69;height:63" type="#_x0000_t75" stroked="false">
              <v:imagedata r:id="rId295" o:title=""/>
            </v:shape>
            <v:shape style="position:absolute;left:9813;top:3643;width:69;height:63" type="#_x0000_t75" stroked="false">
              <v:imagedata r:id="rId295" o:title=""/>
            </v:shape>
            <v:line style="position:absolute" from="3154,4578" to="3824,4772" stroked="true" strokeweight="1.176141pt" strokecolor="#c731d0"/>
            <v:line style="position:absolute" from="3824,4772" to="4494,4760" stroked="true" strokeweight="1.176318pt" strokecolor="#c731d0"/>
            <v:line style="position:absolute" from="4494,4760" to="5164,4697" stroked="true" strokeweight="1.176299pt" strokecolor="#c731d0"/>
            <v:line style="position:absolute" from="5164,4697" to="5834,4760" stroked="true" strokeweight="1.176299pt" strokecolor="#c731d0"/>
            <v:line style="position:absolute" from="5834,4760" to="6504,4827" stroked="true" strokeweight="1.176296pt" strokecolor="#c731d0"/>
            <v:line style="position:absolute" from="6504,4827" to="7168,4785" stroked="true" strokeweight="1.17631pt" strokecolor="#c731d0"/>
            <v:line style="position:absolute" from="7168,4785" to="7838,4760" stroked="true" strokeweight="1.176315pt" strokecolor="#c731d0"/>
            <v:line style="position:absolute" from="7838,4760" to="8508,4735" stroked="true" strokeweight="1.176315pt" strokecolor="#c731d0"/>
            <v:line style="position:absolute" from="8508,4735" to="9178,4760" stroked="true" strokeweight="1.176315pt" strokecolor="#c731d0"/>
            <v:line style="position:absolute" from="9178,4760" to="9847,4735" stroked="true" strokeweight="1.176315pt" strokecolor="#c731d0"/>
            <v:shape style="position:absolute;left:3101;top:4427;width:106;height:182" type="#_x0000_t75" stroked="false">
              <v:imagedata r:id="rId296" o:title=""/>
            </v:shape>
            <v:shape style="position:absolute;left:3771;top:4741;width:106;height:226" type="#_x0000_t75" stroked="false">
              <v:imagedata r:id="rId297" o:title=""/>
            </v:shape>
            <v:shape style="position:absolute;left:4460;top:4729;width:69;height:63" type="#_x0000_t75" stroked="false">
              <v:imagedata r:id="rId298" o:title=""/>
            </v:shape>
            <v:shape style="position:absolute;left:5130;top:4666;width:69;height:63" type="#_x0000_t75" stroked="false">
              <v:imagedata r:id="rId298" o:title=""/>
            </v:shape>
            <v:shape style="position:absolute;left:5800;top:4729;width:69;height:63" type="#_x0000_t75" stroked="false">
              <v:imagedata r:id="rId298" o:title=""/>
            </v:shape>
            <v:shape style="position:absolute;left:6451;top:4798;width:106;height:213" type="#_x0000_t75" stroked="false">
              <v:imagedata r:id="rId299" o:title=""/>
            </v:shape>
            <v:shape style="position:absolute;left:7134;top:4754;width:69;height:63" type="#_x0000_t75" stroked="false">
              <v:imagedata r:id="rId298" o:title=""/>
            </v:shape>
            <v:shape style="position:absolute;left:7804;top:4729;width:69;height:63" type="#_x0000_t75" stroked="false">
              <v:imagedata r:id="rId298" o:title=""/>
            </v:shape>
            <v:shape style="position:absolute;left:8474;top:4703;width:69;height:63" type="#_x0000_t75" stroked="false">
              <v:imagedata r:id="rId298" o:title=""/>
            </v:shape>
            <v:shape style="position:absolute;left:9144;top:4729;width:69;height:63" type="#_x0000_t75" stroked="false">
              <v:imagedata r:id="rId298" o:title=""/>
            </v:shape>
            <v:shape style="position:absolute;left:9813;top:4703;width:69;height:63" type="#_x0000_t75" stroked="false">
              <v:imagedata r:id="rId298" o:title=""/>
            </v:shape>
            <v:line style="position:absolute" from="3154,4089" to="3824,4396" stroked="true" strokeweight="1.175921pt" strokecolor="#8ef065"/>
            <v:line style="position:absolute" from="3824,4396" to="4494,4910" stroked="true" strokeweight="1.175471pt" strokecolor="#8ef065"/>
            <v:line style="position:absolute" from="4494,4910" to="5164,4885" stroked="true" strokeweight="1.176315pt" strokecolor="#8ef065"/>
            <v:line style="position:absolute" from="5164,4885" to="5834,4942" stroked="true" strokeweight="1.176302pt" strokecolor="#8ef065"/>
            <v:line style="position:absolute" from="5834,4942" to="6504,4885" stroked="true" strokeweight="1.176302pt" strokecolor="#8ef065"/>
            <v:line style="position:absolute" from="6504,4885" to="7168,4998" stroked="true" strokeweight="1.176254pt" strokecolor="#8ef065"/>
            <v:line style="position:absolute" from="7168,4998" to="7838,4942" stroked="true" strokeweight="1.176302pt" strokecolor="#8ef065"/>
            <v:line style="position:absolute" from="7838,4942" to="8508,4885" stroked="true" strokeweight="1.176302pt" strokecolor="#8ef065"/>
            <v:line style="position:absolute" from="8508,4885" to="9178,4992" stroked="true" strokeweight="1.176262pt" strokecolor="#8ef065"/>
            <v:line style="position:absolute" from="9178,4992" to="9847,4967" stroked="true" strokeweight="1.176315pt" strokecolor="#8ef065"/>
            <v:shape style="position:absolute;left:3120;top:4057;width:69;height:63" type="#_x0000_t75" stroked="false">
              <v:imagedata r:id="rId300" o:title=""/>
            </v:shape>
            <v:shape style="position:absolute;left:3790;top:4365;width:69;height:63" type="#_x0000_t75" stroked="false">
              <v:imagedata r:id="rId300" o:title=""/>
            </v:shape>
            <v:shape style="position:absolute;left:4441;top:4879;width:106;height:138" type="#_x0000_t75" stroked="false">
              <v:imagedata r:id="rId301" o:title=""/>
            </v:shape>
            <v:shape style="position:absolute;left:5800;top:4910;width:69;height:63" type="#_x0000_t75" stroked="false">
              <v:imagedata r:id="rId300" o:title=""/>
            </v:shape>
            <v:shape style="position:absolute;left:7115;top:4967;width:106;height:207" type="#_x0000_t75" stroked="false">
              <v:imagedata r:id="rId302" o:title=""/>
            </v:shape>
            <v:shape style="position:absolute;left:9813;top:4936;width:69;height:63" type="#_x0000_t75" stroked="false">
              <v:imagedata r:id="rId300" o:title=""/>
            </v:shape>
            <v:line style="position:absolute" from="3154,4791" to="3824,4904" stroked="true" strokeweight="1.176255pt" strokecolor="#e9e00c"/>
            <v:line style="position:absolute" from="3824,4904" to="4494,5092" stroked="true" strokeweight="1.176151pt" strokecolor="#e9e00c"/>
            <v:line style="position:absolute" from="4494,5092" to="5164,5136" stroked="true" strokeweight="1.176309pt" strokecolor="#e9e00c"/>
            <v:line style="position:absolute" from="5164,5136" to="5834,5092" stroked="true" strokeweight="1.176309pt" strokecolor="#e9e00c"/>
            <v:line style="position:absolute" from="5834,5092" to="6504,5067" stroked="true" strokeweight="1.176315pt" strokecolor="#e9e00c"/>
            <v:line style="position:absolute" from="6504,5067" to="7168,5067" stroked="true" strokeweight="1.176318pt" strokecolor="#e9e00c"/>
            <v:line style="position:absolute" from="7168,5067" to="7838,5030" stroked="true" strokeweight="1.176311pt" strokecolor="#e9e00c"/>
            <v:line style="position:absolute" from="7838,5030" to="8508,5124" stroked="true" strokeweight="1.176274pt" strokecolor="#e9e00c"/>
            <v:line style="position:absolute" from="8508,5124" to="9178,5048" stroked="true" strokeweight="1.17629pt" strokecolor="#e9e00c"/>
            <v:line style="position:absolute" from="9178,5048" to="9847,5141" stroked="true" strokeweight="1.176276pt" strokecolor="#e9e00c"/>
            <v:shape style="position:absolute;left:3120;top:4760;width:69;height:63" type="#_x0000_t75" stroked="false">
              <v:imagedata r:id="rId303" o:title=""/>
            </v:shape>
            <v:shape style="position:absolute;left:3790;top:4873;width:69;height:63" type="#_x0000_t75" stroked="false">
              <v:imagedata r:id="rId303" o:title=""/>
            </v:shape>
            <v:shape style="position:absolute;left:4460;top:5061;width:69;height:63" type="#_x0000_t75" stroked="false">
              <v:imagedata r:id="rId303" o:title=""/>
            </v:shape>
            <v:shape style="position:absolute;left:5111;top:4854;width:106;height:314" type="#_x0000_t75" stroked="false">
              <v:imagedata r:id="rId304" o:title=""/>
            </v:shape>
            <v:shape style="position:absolute;left:5800;top:5061;width:69;height:63" type="#_x0000_t75" stroked="false">
              <v:imagedata r:id="rId303" o:title=""/>
            </v:shape>
            <v:shape style="position:absolute;left:6470;top:5036;width:69;height:63" type="#_x0000_t75" stroked="false">
              <v:imagedata r:id="rId303" o:title=""/>
            </v:shape>
            <v:shape style="position:absolute;left:7134;top:5036;width:69;height:63" type="#_x0000_t75" stroked="false">
              <v:imagedata r:id="rId303" o:title=""/>
            </v:shape>
            <v:shape style="position:absolute;left:7804;top:4910;width:69;height:151" type="#_x0000_t75" stroked="false">
              <v:imagedata r:id="rId305" o:title=""/>
            </v:shape>
            <v:shape style="position:absolute;left:8474;top:5092;width:69;height:63" type="#_x0000_t75" stroked="false">
              <v:imagedata r:id="rId303" o:title=""/>
            </v:shape>
            <v:shape style="position:absolute;left:9144;top:4961;width:69;height:119" type="#_x0000_t75" stroked="false">
              <v:imagedata r:id="rId306" o:title=""/>
            </v:shape>
            <v:shape style="position:absolute;left:9813;top:5111;width:69;height:63" type="#_x0000_t75" stroked="false">
              <v:imagedata r:id="rId303" o:title=""/>
            </v:shape>
            <v:line style="position:absolute" from="3154,4471" to="3824,4703" stroked="true" strokeweight="1.176073pt" strokecolor="#5c5637"/>
            <v:line style="position:absolute" from="3824,4703" to="4494,4954" stroked="true" strokeweight="1.176037pt" strokecolor="#5c5637"/>
            <v:line style="position:absolute" from="4494,4954" to="5164,4992" stroked="true" strokeweight="1.176311pt" strokecolor="#5c5637"/>
            <v:line style="position:absolute" from="5164,4992" to="5834,4954" stroked="true" strokeweight="1.176311pt" strokecolor="#5c5637"/>
            <v:line style="position:absolute" from="5834,4954" to="6504,4948" stroked="true" strokeweight="1.176318pt" strokecolor="#5c5637"/>
            <v:line style="position:absolute" from="6504,4948" to="7168,5111" stroked="true" strokeweight="1.176188pt" strokecolor="#5c5637"/>
            <v:line style="position:absolute" from="7168,5111" to="7838,4961" stroked="true" strokeweight="1.176209pt" strokecolor="#5c5637"/>
            <v:line style="position:absolute" from="7838,4961" to="8508,4998" stroked="true" strokeweight="1.176311pt" strokecolor="#5c5637"/>
            <v:line style="position:absolute" from="8508,4998" to="9178,4948" stroked="true" strokeweight="1.176306pt" strokecolor="#5c5637"/>
            <v:line style="position:absolute" from="9178,4948" to="9847,5005" stroked="true" strokeweight="1.176302pt" strokecolor="#5c5637"/>
            <v:shape style="position:absolute;left:3120;top:4440;width:69;height:63" type="#_x0000_t75" stroked="false">
              <v:imagedata r:id="rId307" o:title=""/>
            </v:shape>
            <v:shape style="position:absolute;left:3790;top:4672;width:69;height:63" type="#_x0000_t75" stroked="false">
              <v:imagedata r:id="rId307" o:title=""/>
            </v:shape>
            <v:shape style="position:absolute;left:4460;top:4923;width:69;height:63" type="#_x0000_t75" stroked="false">
              <v:imagedata r:id="rId307" o:title=""/>
            </v:shape>
            <v:shape style="position:absolute;left:5130;top:4961;width:69;height:63" type="#_x0000_t75" stroked="false">
              <v:imagedata r:id="rId307" o:title=""/>
            </v:shape>
            <v:shape style="position:absolute;left:5800;top:4923;width:69;height:63" type="#_x0000_t75" stroked="false">
              <v:imagedata r:id="rId307" o:title=""/>
            </v:shape>
            <v:shape style="position:absolute;left:6470;top:4854;width:69;height:125" type="#_x0000_t75" stroked="false">
              <v:imagedata r:id="rId308" o:title=""/>
            </v:shape>
            <v:shape style="position:absolute;left:7134;top:5080;width:69;height:63" type="#_x0000_t75" stroked="false">
              <v:imagedata r:id="rId307" o:title=""/>
            </v:shape>
            <v:shape style="position:absolute;left:7804;top:4929;width:69;height:63" type="#_x0000_t75" stroked="false">
              <v:imagedata r:id="rId307" o:title=""/>
            </v:shape>
            <v:shape style="position:absolute;left:8474;top:4854;width:69;height:176" type="#_x0000_t75" stroked="false">
              <v:imagedata r:id="rId309" o:title=""/>
            </v:shape>
            <v:shape style="position:absolute;left:9144;top:4917;width:69;height:63" type="#_x0000_t75" stroked="false">
              <v:imagedata r:id="rId307" o:title=""/>
            </v:shape>
            <v:shape style="position:absolute;left:9813;top:4973;width:69;height:63" type="#_x0000_t75" stroked="false">
              <v:imagedata r:id="rId307" o:title=""/>
            </v:shape>
            <v:shape style="position:absolute;left:5922;top:876;width:37;height:38" type="#_x0000_t75" stroked="false">
              <v:imagedata r:id="rId310" o:title=""/>
            </v:shape>
            <v:shape style="position:absolute;left:5922;top:876;width:37;height:38" coordorigin="5922,876" coordsize="37,38" path="m5941,876l5959,895,5941,914,5922,895,5941,876xe" filled="false" stroked="true" strokeweight=".313373pt" strokecolor="#5b92c7">
              <v:path arrowok="t"/>
            </v:shape>
            <v:line style="position:absolute" from="6305,898" to="6426,898" stroked="true" strokeweight="1.176318pt" strokecolor="#c731d0"/>
            <v:line style="position:absolute" from="6348,895" to="6384,895" stroked="true" strokeweight="1.88211pt" strokecolor="#c731d0"/>
            <v:rect style="position:absolute;left:6348;top:876;width:37;height:38" filled="false" stroked="true" strokeweight=".313371pt" strokecolor="#c731d0"/>
            <v:shape style="position:absolute;left:6680;top:876;width:38;height:38" coordorigin="6680,876" coordsize="38,38" path="m6698,876l6680,914,6717,914,6698,876xe" filled="true" fillcolor="#8ef065" stroked="false">
              <v:path arrowok="t"/>
              <v:fill type="solid"/>
            </v:shape>
            <v:shape style="position:absolute;left:6680;top:876;width:38;height:38" coordorigin="6680,876" coordsize="38,38" path="m6698,876l6717,914,6680,914,6698,876xe" filled="false" stroked="true" strokeweight=".31338pt" strokecolor="#8ef065">
              <v:path arrowok="t"/>
            </v:shape>
            <v:line style="position:absolute" from="6979,898" to="7099,898" stroked="true" strokeweight="1.176318pt" strokecolor="#e9e00c"/>
            <v:line style="position:absolute" from="7018,895" to="7055,895" stroked="true" strokeweight="1.88211pt" strokecolor="#e9e00c"/>
            <v:rect style="position:absolute;left:7018;top:876;width:38;height:38" filled="false" stroked="true" strokeweight=".31338pt" strokecolor="#e9e00c"/>
            <v:shape style="position:absolute;left:7018;top:876;width:38;height:38" coordorigin="7018,876" coordsize="38,38" path="m7037,895l7018,914,7055,914,7037,895xm7055,876l7018,876,7037,895,7055,876xe" filled="true" fillcolor="#e9e00c" stroked="false">
              <v:path arrowok="t"/>
              <v:fill type="solid"/>
            </v:shape>
            <v:line style="position:absolute" from="7055,914" to="7018,876" stroked="true" strokeweight=".31338pt" strokecolor="#e9e00c"/>
            <v:line style="position:absolute" from="7018,914" to="7055,876" stroked="true" strokeweight=".31338pt" strokecolor="#e9e00c"/>
            <v:line style="position:absolute" from="7314,898" to="7434,898" stroked="true" strokeweight="1.176318pt" strokecolor="#5c5637"/>
            <v:line style="position:absolute" from="7356,895" to="7393,895" stroked="true" strokeweight="1.88211pt" strokecolor="#5c5637"/>
            <v:rect style="position:absolute;left:7356;top:876;width:37;height:38" filled="false" stroked="true" strokeweight=".313377pt" strokecolor="#5c5637"/>
            <v:shape style="position:absolute;left:7356;top:876;width:19;height:38" coordorigin="7356,876" coordsize="19,38" path="m7374,895l7356,914,7375,914,7374,895xm7375,876l7356,876,7374,895,7375,876xe" filled="true" fillcolor="#5c5637" stroked="false">
              <v:path arrowok="t"/>
              <v:fill type="solid"/>
            </v:shape>
            <v:line style="position:absolute" from="7393,914" to="7356,876" stroked="true" strokeweight=".313377pt" strokecolor="#5c5637"/>
            <v:line style="position:absolute" from="7375,876" to="7375,914" stroked="true" strokeweight=".313075pt" strokecolor="#5c5637"/>
            <v:line style="position:absolute" from="7356,914" to="7393,876" stroked="true" strokeweight=".313377pt" strokecolor="#5c5637"/>
            <v:rect style="position:absolute;left:1990;top:375;width:8827;height:5280" filled="false" stroked="true" strokeweight=".313524pt" strokecolor="#989898"/>
            <v:shape style="position:absolute;left:5161;top:502;width:3257;height:113" type="#_x0000_t202" filled="false" stroked="false">
              <v:textbox inset="0,0,0,0">
                <w:txbxContent>
                  <w:p>
                    <w:pPr>
                      <w:spacing w:line="113" w:lineRule="exact" w:before="0"/>
                      <w:ind w:left="0" w:right="-3" w:firstLine="0"/>
                      <w:jc w:val="left"/>
                      <w:rPr>
                        <w:b/>
                        <w:sz w:val="11"/>
                      </w:rPr>
                    </w:pPr>
                    <w:r>
                      <w:rPr>
                        <w:b/>
                        <w:sz w:val="11"/>
                      </w:rPr>
                      <w:t>Sistema del Índice de Sustentabilidad de Conjuntos   Urbanos</w:t>
                    </w:r>
                  </w:p>
                </w:txbxContent>
              </v:textbox>
              <w10:wrap type="none"/>
            </v:shape>
            <v:shape style="position:absolute;left:5880;top:875;width:956;height:63" type="#_x0000_t202" filled="false" stroked="false">
              <v:textbox inset="0,0,0,0">
                <w:txbxContent>
                  <w:p>
                    <w:pPr>
                      <w:tabs>
                        <w:tab w:pos="557" w:val="left" w:leader="none"/>
                      </w:tabs>
                      <w:spacing w:line="63" w:lineRule="exact" w:before="0"/>
                      <w:ind w:left="0" w:right="0" w:firstLine="0"/>
                      <w:jc w:val="left"/>
                      <w:rPr>
                        <w:b/>
                        <w:sz w:val="6"/>
                      </w:rPr>
                    </w:pPr>
                    <w:r>
                      <w:rPr>
                        <w:b/>
                        <w:w w:val="104"/>
                        <w:sz w:val="6"/>
                        <w:u w:val="thick" w:color="5B92C7"/>
                      </w:rPr>
                      <w:t> </w:t>
                    </w:r>
                    <w:r>
                      <w:rPr>
                        <w:b/>
                        <w:sz w:val="6"/>
                        <w:u w:val="thick" w:color="5B92C7"/>
                      </w:rPr>
                      <w:t>     </w:t>
                    </w:r>
                    <w:r>
                      <w:rPr>
                        <w:b/>
                        <w:spacing w:val="2"/>
                        <w:sz w:val="6"/>
                        <w:u w:val="thick" w:color="5B92C7"/>
                      </w:rPr>
                      <w:t> </w:t>
                    </w:r>
                    <w:r>
                      <w:rPr>
                        <w:b/>
                        <w:spacing w:val="-5"/>
                        <w:sz w:val="6"/>
                      </w:rPr>
                      <w:t> </w:t>
                    </w:r>
                    <w:r>
                      <w:rPr>
                        <w:b/>
                        <w:w w:val="105"/>
                        <w:sz w:val="6"/>
                      </w:rPr>
                      <w:t>ISCU</w:t>
                      <w:tab/>
                      <w:t>IS              </w:t>
                    </w:r>
                    <w:r>
                      <w:rPr>
                        <w:b/>
                        <w:spacing w:val="10"/>
                        <w:w w:val="105"/>
                        <w:sz w:val="6"/>
                      </w:rPr>
                      <w:t> </w:t>
                    </w:r>
                    <w:r>
                      <w:rPr>
                        <w:b/>
                        <w:w w:val="105"/>
                        <w:sz w:val="6"/>
                      </w:rPr>
                      <w:t>IA</w:t>
                    </w:r>
                  </w:p>
                </w:txbxContent>
              </v:textbox>
              <w10:wrap type="none"/>
            </v:shape>
            <v:shape style="position:absolute;left:7111;top:875;width:60;height:63" type="#_x0000_t202" filled="false" stroked="false">
              <v:textbox inset="0,0,0,0">
                <w:txbxContent>
                  <w:p>
                    <w:pPr>
                      <w:spacing w:line="63" w:lineRule="exact" w:before="0"/>
                      <w:ind w:left="0" w:right="-20" w:firstLine="0"/>
                      <w:jc w:val="left"/>
                      <w:rPr>
                        <w:b/>
                        <w:sz w:val="6"/>
                      </w:rPr>
                    </w:pPr>
                    <w:r>
                      <w:rPr>
                        <w:b/>
                        <w:w w:val="105"/>
                        <w:sz w:val="6"/>
                      </w:rPr>
                      <w:t>IE</w:t>
                    </w:r>
                  </w:p>
                </w:txbxContent>
              </v:textbox>
              <w10:wrap type="none"/>
            </v:shape>
            <v:shape style="position:absolute;left:7446;top:875;width:56;height:63" type="#_x0000_t202" filled="false" stroked="false">
              <v:textbox inset="0,0,0,0">
                <w:txbxContent>
                  <w:p>
                    <w:pPr>
                      <w:spacing w:line="63" w:lineRule="exact" w:before="0"/>
                      <w:ind w:left="0" w:right="-18" w:firstLine="0"/>
                      <w:jc w:val="left"/>
                      <w:rPr>
                        <w:b/>
                        <w:sz w:val="6"/>
                      </w:rPr>
                    </w:pPr>
                    <w:r>
                      <w:rPr>
                        <w:b/>
                        <w:sz w:val="6"/>
                      </w:rPr>
                      <w:t>IT</w:t>
                    </w:r>
                  </w:p>
                </w:txbxContent>
              </v:textbox>
              <w10:wrap type="none"/>
            </v:shape>
            <v:shape style="position:absolute;left:2699;top:1035;width:64;height:63" type="#_x0000_t202" filled="false" stroked="false">
              <v:textbox inset="0,0,0,0">
                <w:txbxContent>
                  <w:p>
                    <w:pPr>
                      <w:spacing w:line="63" w:lineRule="exact" w:before="0"/>
                      <w:ind w:left="0" w:right="-17" w:firstLine="0"/>
                      <w:jc w:val="left"/>
                      <w:rPr>
                        <w:rFonts w:ascii="Calibri"/>
                        <w:sz w:val="6"/>
                      </w:rPr>
                    </w:pPr>
                    <w:r>
                      <w:rPr>
                        <w:rFonts w:ascii="Calibri"/>
                        <w:sz w:val="6"/>
                      </w:rPr>
                      <w:t>80</w:t>
                    </w:r>
                  </w:p>
                </w:txbxContent>
              </v:textbox>
              <w10:wrap type="none"/>
            </v:shape>
            <v:shape style="position:absolute;left:2699;top:1576;width:64;height:63" type="#_x0000_t202" filled="false" stroked="false">
              <v:textbox inset="0,0,0,0">
                <w:txbxContent>
                  <w:p>
                    <w:pPr>
                      <w:spacing w:line="63" w:lineRule="exact" w:before="0"/>
                      <w:ind w:left="0" w:right="-17" w:firstLine="0"/>
                      <w:jc w:val="left"/>
                      <w:rPr>
                        <w:rFonts w:ascii="Calibri"/>
                        <w:sz w:val="6"/>
                      </w:rPr>
                    </w:pPr>
                    <w:r>
                      <w:rPr>
                        <w:rFonts w:ascii="Calibri"/>
                        <w:sz w:val="6"/>
                      </w:rPr>
                      <w:t>70</w:t>
                    </w:r>
                  </w:p>
                </w:txbxContent>
              </v:textbox>
              <w10:wrap type="none"/>
            </v:shape>
            <v:shape style="position:absolute;left:2699;top:2117;width:64;height:63" type="#_x0000_t202" filled="false" stroked="false">
              <v:textbox inset="0,0,0,0">
                <w:txbxContent>
                  <w:p>
                    <w:pPr>
                      <w:spacing w:line="63" w:lineRule="exact" w:before="0"/>
                      <w:ind w:left="0" w:right="-17" w:firstLine="0"/>
                      <w:jc w:val="left"/>
                      <w:rPr>
                        <w:rFonts w:ascii="Calibri"/>
                        <w:sz w:val="6"/>
                      </w:rPr>
                    </w:pPr>
                    <w:r>
                      <w:rPr>
                        <w:rFonts w:ascii="Calibri"/>
                        <w:sz w:val="6"/>
                      </w:rPr>
                      <w:t>60</w:t>
                    </w:r>
                  </w:p>
                </w:txbxContent>
              </v:textbox>
              <w10:wrap type="none"/>
            </v:shape>
            <v:shape style="position:absolute;left:2699;top:2659;width:64;height:63" type="#_x0000_t202" filled="false" stroked="false">
              <v:textbox inset="0,0,0,0">
                <w:txbxContent>
                  <w:p>
                    <w:pPr>
                      <w:spacing w:line="63" w:lineRule="exact" w:before="0"/>
                      <w:ind w:left="0" w:right="-17" w:firstLine="0"/>
                      <w:jc w:val="left"/>
                      <w:rPr>
                        <w:rFonts w:ascii="Calibri"/>
                        <w:sz w:val="6"/>
                      </w:rPr>
                    </w:pPr>
                    <w:r>
                      <w:rPr>
                        <w:rFonts w:ascii="Calibri"/>
                        <w:sz w:val="6"/>
                      </w:rPr>
                      <w:t>50</w:t>
                    </w:r>
                  </w:p>
                </w:txbxContent>
              </v:textbox>
              <w10:wrap type="none"/>
            </v:shape>
            <v:shape style="position:absolute;left:2699;top:3200;width:64;height:63" type="#_x0000_t202" filled="false" stroked="false">
              <v:textbox inset="0,0,0,0">
                <w:txbxContent>
                  <w:p>
                    <w:pPr>
                      <w:spacing w:line="63" w:lineRule="exact" w:before="0"/>
                      <w:ind w:left="0" w:right="-17" w:firstLine="0"/>
                      <w:jc w:val="left"/>
                      <w:rPr>
                        <w:rFonts w:ascii="Calibri"/>
                        <w:sz w:val="6"/>
                      </w:rPr>
                    </w:pPr>
                    <w:r>
                      <w:rPr>
                        <w:rFonts w:ascii="Calibri"/>
                        <w:sz w:val="6"/>
                      </w:rPr>
                      <w:t>40</w:t>
                    </w:r>
                  </w:p>
                </w:txbxContent>
              </v:textbox>
              <w10:wrap type="none"/>
            </v:shape>
            <v:shape style="position:absolute;left:2699;top:3742;width:64;height:63" type="#_x0000_t202" filled="false" stroked="false">
              <v:textbox inset="0,0,0,0">
                <w:txbxContent>
                  <w:p>
                    <w:pPr>
                      <w:spacing w:line="63" w:lineRule="exact" w:before="0"/>
                      <w:ind w:left="0" w:right="-17" w:firstLine="0"/>
                      <w:jc w:val="left"/>
                      <w:rPr>
                        <w:rFonts w:ascii="Calibri"/>
                        <w:sz w:val="6"/>
                      </w:rPr>
                    </w:pPr>
                    <w:r>
                      <w:rPr>
                        <w:rFonts w:ascii="Calibri"/>
                        <w:sz w:val="6"/>
                      </w:rPr>
                      <w:t>30</w:t>
                    </w:r>
                  </w:p>
                </w:txbxContent>
              </v:textbox>
              <w10:wrap type="none"/>
            </v:shape>
            <v:shape style="position:absolute;left:2699;top:4283;width:64;height:63" type="#_x0000_t202" filled="false" stroked="false">
              <v:textbox inset="0,0,0,0">
                <w:txbxContent>
                  <w:p>
                    <w:pPr>
                      <w:spacing w:line="63" w:lineRule="exact" w:before="0"/>
                      <w:ind w:left="0" w:right="-17" w:firstLine="0"/>
                      <w:jc w:val="left"/>
                      <w:rPr>
                        <w:rFonts w:ascii="Calibri"/>
                        <w:sz w:val="6"/>
                      </w:rPr>
                    </w:pPr>
                    <w:r>
                      <w:rPr>
                        <w:rFonts w:ascii="Calibri"/>
                        <w:sz w:val="6"/>
                      </w:rPr>
                      <w:t>20</w:t>
                    </w:r>
                  </w:p>
                </w:txbxContent>
              </v:textbox>
              <w10:wrap type="none"/>
            </v:shape>
            <v:shape style="position:absolute;left:2699;top:4824;width:64;height:63" type="#_x0000_t202" filled="false" stroked="false">
              <v:textbox inset="0,0,0,0">
                <w:txbxContent>
                  <w:p>
                    <w:pPr>
                      <w:spacing w:line="63" w:lineRule="exact" w:before="0"/>
                      <w:ind w:left="0" w:right="-17" w:firstLine="0"/>
                      <w:jc w:val="left"/>
                      <w:rPr>
                        <w:rFonts w:ascii="Calibri"/>
                        <w:sz w:val="6"/>
                      </w:rPr>
                    </w:pPr>
                    <w:r>
                      <w:rPr>
                        <w:rFonts w:ascii="Calibri"/>
                        <w:sz w:val="6"/>
                      </w:rPr>
                      <w:t>10</w:t>
                    </w:r>
                  </w:p>
                </w:txbxContent>
              </v:textbox>
              <w10:wrap type="none"/>
            </v:shape>
            <v:shape style="position:absolute;left:2731;top:5366;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0</w:t>
                    </w:r>
                  </w:p>
                </w:txbxContent>
              </v:textbox>
              <w10:wrap type="none"/>
            </v:shape>
            <v:shape style="position:absolute;left:3046;top:5439;width:202;height:63" type="#_x0000_t202" filled="false" stroked="false">
              <v:textbox inset="0,0,0,0">
                <w:txbxContent>
                  <w:p>
                    <w:pPr>
                      <w:spacing w:line="63" w:lineRule="exact" w:before="0"/>
                      <w:ind w:left="0" w:right="-12" w:firstLine="0"/>
                      <w:jc w:val="left"/>
                      <w:rPr>
                        <w:sz w:val="6"/>
                      </w:rPr>
                    </w:pPr>
                    <w:r>
                      <w:rPr>
                        <w:sz w:val="6"/>
                      </w:rPr>
                      <w:t>Optimo</w:t>
                    </w:r>
                  </w:p>
                </w:txbxContent>
              </v:textbox>
              <w10:wrap type="none"/>
            </v:shape>
            <v:shape style="position:absolute;left:3692;top:5439;width:265;height:63" type="#_x0000_t202" filled="false" stroked="false">
              <v:textbox inset="0,0,0,0">
                <w:txbxContent>
                  <w:p>
                    <w:pPr>
                      <w:spacing w:line="63" w:lineRule="exact" w:before="0"/>
                      <w:ind w:left="0" w:right="-9" w:firstLine="0"/>
                      <w:jc w:val="left"/>
                      <w:rPr>
                        <w:sz w:val="6"/>
                      </w:rPr>
                    </w:pPr>
                    <w:r>
                      <w:rPr>
                        <w:sz w:val="6"/>
                      </w:rPr>
                      <w:t>Deseable</w:t>
                    </w:r>
                  </w:p>
                </w:txbxContent>
              </v:textbox>
              <w10:wrap type="none"/>
            </v:shape>
            <v:shape style="position:absolute;left:4260;top:5439;width:469;height:63" type="#_x0000_t202" filled="false" stroked="false">
              <v:textbox inset="0,0,0,0">
                <w:txbxContent>
                  <w:p>
                    <w:pPr>
                      <w:spacing w:line="63" w:lineRule="exact" w:before="0"/>
                      <w:ind w:left="0" w:right="-17" w:firstLine="0"/>
                      <w:jc w:val="left"/>
                      <w:rPr>
                        <w:sz w:val="6"/>
                      </w:rPr>
                    </w:pPr>
                    <w:r>
                      <w:rPr>
                        <w:w w:val="105"/>
                        <w:sz w:val="6"/>
                      </w:rPr>
                      <w:t>Villas del</w:t>
                    </w:r>
                    <w:r>
                      <w:rPr>
                        <w:spacing w:val="-7"/>
                        <w:w w:val="105"/>
                        <w:sz w:val="6"/>
                      </w:rPr>
                      <w:t> </w:t>
                    </w:r>
                    <w:r>
                      <w:rPr>
                        <w:w w:val="105"/>
                        <w:sz w:val="6"/>
                      </w:rPr>
                      <w:t>Campo</w:t>
                    </w:r>
                  </w:p>
                </w:txbxContent>
              </v:textbox>
              <w10:wrap type="none"/>
            </v:shape>
            <v:shape style="position:absolute;left:5001;top:5439;width:324;height:63" type="#_x0000_t202" filled="false" stroked="false">
              <v:textbox inset="0,0,0,0">
                <w:txbxContent>
                  <w:p>
                    <w:pPr>
                      <w:spacing w:line="63" w:lineRule="exact" w:before="0"/>
                      <w:ind w:left="0" w:right="-20" w:firstLine="0"/>
                      <w:jc w:val="left"/>
                      <w:rPr>
                        <w:sz w:val="6"/>
                      </w:rPr>
                    </w:pPr>
                    <w:r>
                      <w:rPr>
                        <w:w w:val="105"/>
                        <w:sz w:val="6"/>
                      </w:rPr>
                      <w:t>San</w:t>
                    </w:r>
                    <w:r>
                      <w:rPr>
                        <w:spacing w:val="-6"/>
                        <w:w w:val="105"/>
                        <w:sz w:val="6"/>
                      </w:rPr>
                      <w:t> </w:t>
                    </w:r>
                    <w:r>
                      <w:rPr>
                        <w:w w:val="105"/>
                        <w:sz w:val="6"/>
                      </w:rPr>
                      <w:t>Andres</w:t>
                    </w:r>
                  </w:p>
                </w:txbxContent>
              </v:textbox>
              <w10:wrap type="none"/>
            </v:shape>
            <v:shape style="position:absolute;left:5572;top:5439;width:4557;height:63" type="#_x0000_t202" filled="false" stroked="false">
              <v:textbox inset="0,0,0,0">
                <w:txbxContent>
                  <w:p>
                    <w:pPr>
                      <w:spacing w:line="63" w:lineRule="exact" w:before="0"/>
                      <w:ind w:left="0" w:right="-12" w:firstLine="0"/>
                      <w:jc w:val="left"/>
                      <w:rPr>
                        <w:sz w:val="6"/>
                      </w:rPr>
                    </w:pPr>
                    <w:r>
                      <w:rPr>
                        <w:w w:val="105"/>
                        <w:sz w:val="6"/>
                      </w:rPr>
                      <w:t>Villas del Campo II         Valle del Nevado     Rancho la Providencia /   Urbi Hacienda de las   Bosque de las Fuentes       Hacienda de las         Valle de las Fuentes</w:t>
                    </w:r>
                  </w:p>
                </w:txbxContent>
              </v:textbox>
              <w10:wrap type="none"/>
            </v:shape>
            <v:shape style="position:absolute;left:7075;top:5515;width:188;height:63" type="#_x0000_t202" filled="false" stroked="false">
              <v:textbox inset="0,0,0,0">
                <w:txbxContent>
                  <w:p>
                    <w:pPr>
                      <w:spacing w:line="63" w:lineRule="exact" w:before="0"/>
                      <w:ind w:left="0" w:right="-13" w:firstLine="0"/>
                      <w:jc w:val="left"/>
                      <w:rPr>
                        <w:sz w:val="6"/>
                      </w:rPr>
                    </w:pPr>
                    <w:r>
                      <w:rPr>
                        <w:sz w:val="6"/>
                      </w:rPr>
                      <w:t>Iberica</w:t>
                    </w:r>
                  </w:p>
                </w:txbxContent>
              </v:textbox>
              <w10:wrap type="none"/>
            </v:shape>
            <v:shape style="position:absolute;left:7746;top:5515;width:188;height:63" type="#_x0000_t202" filled="false" stroked="false">
              <v:textbox inset="0,0,0,0">
                <w:txbxContent>
                  <w:p>
                    <w:pPr>
                      <w:spacing w:line="63" w:lineRule="exact" w:before="0"/>
                      <w:ind w:left="0" w:right="-13" w:firstLine="0"/>
                      <w:jc w:val="left"/>
                      <w:rPr>
                        <w:sz w:val="6"/>
                      </w:rPr>
                    </w:pPr>
                    <w:r>
                      <w:rPr>
                        <w:sz w:val="6"/>
                      </w:rPr>
                      <w:t>Lomas</w:t>
                    </w:r>
                  </w:p>
                </w:txbxContent>
              </v:textbox>
              <w10:wrap type="none"/>
            </v:shape>
            <v:shape style="position:absolute;left:9065;top:5515;width:227;height:63" type="#_x0000_t202" filled="false" stroked="false">
              <v:textbox inset="0,0,0,0">
                <w:txbxContent>
                  <w:p>
                    <w:pPr>
                      <w:spacing w:line="63" w:lineRule="exact" w:before="0"/>
                      <w:ind w:left="0" w:right="-10" w:firstLine="0"/>
                      <w:jc w:val="left"/>
                      <w:rPr>
                        <w:sz w:val="6"/>
                      </w:rPr>
                    </w:pPr>
                    <w:r>
                      <w:rPr>
                        <w:sz w:val="6"/>
                      </w:rPr>
                      <w:t>Fuentes</w:t>
                    </w:r>
                  </w:p>
                </w:txbxContent>
              </v:textbox>
              <w10:wrap type="none"/>
            </v:shape>
            <w10:wrap type="topAndBottom"/>
          </v:group>
        </w:pict>
      </w:r>
      <w:r>
        <w:rPr>
          <w:w w:val="105"/>
          <w:sz w:val="21"/>
        </w:rPr>
        <w:t>Gráfica 23. Sistema del ISCU.</w:t>
      </w:r>
    </w:p>
    <w:p>
      <w:pPr>
        <w:spacing w:before="0"/>
        <w:ind w:left="268" w:right="0" w:firstLine="0"/>
        <w:jc w:val="both"/>
        <w:rPr>
          <w:sz w:val="21"/>
        </w:rPr>
      </w:pPr>
      <w:r>
        <w:rPr>
          <w:w w:val="105"/>
          <w:sz w:val="21"/>
        </w:rPr>
        <w:t>Fuente: Elaboración propia con base en los resultados obtenidos del estudio realizado.</w:t>
      </w:r>
    </w:p>
    <w:p>
      <w:pPr>
        <w:spacing w:after="0"/>
        <w:jc w:val="both"/>
        <w:rPr>
          <w:sz w:val="21"/>
        </w:rPr>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8592" from="93.199997pt,-19.614155pt" to="546.799997pt,-19.614155pt" stroked="true" strokeweight=".479981pt" strokecolor="#000000">
            <w10:wrap type="none"/>
          </v:line>
        </w:pict>
      </w:r>
      <w:r>
        <w:rPr/>
        <w:t>La dimensión territorial y ambiental se encuentran en correspondencia guardando una distancia menor, mientras la parte social y económica se dispara en la  mayoría de los casos, cabe destacar que la parte social aún con demostrar ser el índice más alto en el caso de estudio, refleja una mejor aceptación en los proyectos de tipo medio, por la superficie de la vivienda y sus características, así como la consideración de dos indicadores que manejan dependencias del Estado que evalúan a los desarrolladores con una calificación tendenciosa, de no haber considerado este indicador en el estudio del índice social el resultado obtenido estaría por debajo de los resultados</w:t>
      </w:r>
      <w:r>
        <w:rPr>
          <w:spacing w:val="-2"/>
        </w:rPr>
        <w:t> </w:t>
      </w:r>
      <w:r>
        <w:rPr/>
        <w:t>obtenidos.</w:t>
      </w:r>
    </w:p>
    <w:p>
      <w:pPr>
        <w:pStyle w:val="BodyText"/>
        <w:spacing w:before="122"/>
        <w:ind w:left="268"/>
        <w:jc w:val="both"/>
      </w:pPr>
      <w:r>
        <w:rPr/>
        <w:t>Tabla 37. Análisis de aspectos teóricos en relación al estudio.</w:t>
      </w:r>
    </w:p>
    <w:p>
      <w:pPr>
        <w:pStyle w:val="BodyText"/>
        <w:spacing w:before="3"/>
        <w:rPr>
          <w:sz w:val="18"/>
        </w:rPr>
      </w:pP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03"/>
        <w:gridCol w:w="1757"/>
        <w:gridCol w:w="2217"/>
        <w:gridCol w:w="1982"/>
        <w:gridCol w:w="868"/>
        <w:gridCol w:w="894"/>
      </w:tblGrid>
      <w:tr>
        <w:trPr>
          <w:trHeight w:val="363" w:hRule="exact"/>
        </w:trPr>
        <w:tc>
          <w:tcPr>
            <w:tcW w:w="8823" w:type="dxa"/>
            <w:gridSpan w:val="6"/>
            <w:tcBorders>
              <w:bottom w:val="nil"/>
            </w:tcBorders>
            <w:shd w:val="clear" w:color="auto" w:fill="000000"/>
          </w:tcPr>
          <w:p>
            <w:pPr>
              <w:pStyle w:val="TableParagraph"/>
              <w:spacing w:before="107"/>
              <w:ind w:left="2876"/>
              <w:jc w:val="left"/>
              <w:rPr>
                <w:b/>
                <w:sz w:val="12"/>
              </w:rPr>
            </w:pPr>
            <w:r>
              <w:rPr>
                <w:b/>
                <w:color w:val="FFFFFF"/>
                <w:sz w:val="12"/>
              </w:rPr>
              <w:t>Análisis de aspectos teóricos y del estudio  realizado</w:t>
            </w:r>
          </w:p>
        </w:tc>
      </w:tr>
      <w:tr>
        <w:trPr>
          <w:trHeight w:val="317" w:hRule="exact"/>
        </w:trPr>
        <w:tc>
          <w:tcPr>
            <w:tcW w:w="1103" w:type="dxa"/>
            <w:tcBorders>
              <w:top w:val="single" w:sz="4" w:space="0" w:color="FFFFFF"/>
              <w:left w:val="single" w:sz="4" w:space="0" w:color="000000"/>
              <w:bottom w:val="double" w:sz="10" w:space="0" w:color="000000"/>
              <w:right w:val="single" w:sz="4" w:space="0" w:color="000000"/>
            </w:tcBorders>
            <w:shd w:val="clear" w:color="auto" w:fill="808080"/>
          </w:tcPr>
          <w:p>
            <w:pPr>
              <w:pStyle w:val="TableParagraph"/>
              <w:spacing w:before="56"/>
              <w:ind w:left="30"/>
              <w:jc w:val="left"/>
              <w:rPr>
                <w:b/>
                <w:sz w:val="12"/>
              </w:rPr>
            </w:pPr>
            <w:r>
              <w:rPr>
                <w:b/>
                <w:color w:val="FFFFFF"/>
                <w:sz w:val="12"/>
              </w:rPr>
              <w:t>Agentes tríadicos</w:t>
            </w:r>
          </w:p>
        </w:tc>
        <w:tc>
          <w:tcPr>
            <w:tcW w:w="1757" w:type="dxa"/>
            <w:tcBorders>
              <w:top w:val="single" w:sz="4" w:space="0" w:color="FFFFFF"/>
              <w:left w:val="single" w:sz="4" w:space="0" w:color="000000"/>
              <w:bottom w:val="double" w:sz="10" w:space="0" w:color="000000"/>
              <w:right w:val="single" w:sz="4" w:space="0" w:color="000000"/>
            </w:tcBorders>
            <w:shd w:val="clear" w:color="auto" w:fill="808080"/>
          </w:tcPr>
          <w:p>
            <w:pPr>
              <w:pStyle w:val="TableParagraph"/>
              <w:spacing w:before="56"/>
              <w:ind w:left="628" w:right="625"/>
              <w:rPr>
                <w:b/>
                <w:sz w:val="12"/>
              </w:rPr>
            </w:pPr>
            <w:r>
              <w:rPr>
                <w:b/>
                <w:color w:val="FFFFFF"/>
                <w:sz w:val="12"/>
              </w:rPr>
              <w:t>Autores</w:t>
            </w:r>
          </w:p>
        </w:tc>
        <w:tc>
          <w:tcPr>
            <w:tcW w:w="2217" w:type="dxa"/>
            <w:tcBorders>
              <w:top w:val="single" w:sz="4" w:space="0" w:color="FFFFFF"/>
              <w:left w:val="single" w:sz="4" w:space="0" w:color="000000"/>
              <w:bottom w:val="double" w:sz="10" w:space="0" w:color="000000"/>
              <w:right w:val="single" w:sz="4" w:space="0" w:color="000000"/>
            </w:tcBorders>
            <w:shd w:val="clear" w:color="auto" w:fill="808080"/>
          </w:tcPr>
          <w:p>
            <w:pPr>
              <w:pStyle w:val="TableParagraph"/>
              <w:spacing w:before="56"/>
              <w:ind w:left="418" w:right="13"/>
              <w:jc w:val="left"/>
              <w:rPr>
                <w:b/>
                <w:sz w:val="12"/>
              </w:rPr>
            </w:pPr>
            <w:r>
              <w:rPr>
                <w:b/>
                <w:color w:val="FFFFFF"/>
                <w:sz w:val="12"/>
              </w:rPr>
              <w:t>Aporte teórico revisado</w:t>
            </w:r>
          </w:p>
        </w:tc>
        <w:tc>
          <w:tcPr>
            <w:tcW w:w="1982" w:type="dxa"/>
            <w:tcBorders>
              <w:top w:val="single" w:sz="4" w:space="0" w:color="FFFFFF"/>
              <w:left w:val="single" w:sz="4" w:space="0" w:color="000000"/>
              <w:bottom w:val="double" w:sz="10" w:space="0" w:color="000000"/>
              <w:right w:val="single" w:sz="4" w:space="0" w:color="000000"/>
            </w:tcBorders>
            <w:shd w:val="clear" w:color="auto" w:fill="808080"/>
          </w:tcPr>
          <w:p>
            <w:pPr>
              <w:pStyle w:val="TableParagraph"/>
              <w:spacing w:before="56"/>
              <w:ind w:left="337" w:right="11"/>
              <w:jc w:val="left"/>
              <w:rPr>
                <w:b/>
                <w:sz w:val="12"/>
              </w:rPr>
            </w:pPr>
            <w:r>
              <w:rPr>
                <w:b/>
                <w:color w:val="FFFFFF"/>
                <w:sz w:val="12"/>
              </w:rPr>
              <w:t>Análisis de resultados</w:t>
            </w:r>
          </w:p>
        </w:tc>
        <w:tc>
          <w:tcPr>
            <w:tcW w:w="868" w:type="dxa"/>
            <w:tcBorders>
              <w:top w:val="single" w:sz="4" w:space="0" w:color="FFFFFF"/>
              <w:left w:val="single" w:sz="4" w:space="0" w:color="000000"/>
              <w:bottom w:val="double" w:sz="10" w:space="0" w:color="000000"/>
              <w:right w:val="single" w:sz="4" w:space="0" w:color="000000"/>
            </w:tcBorders>
            <w:shd w:val="clear" w:color="auto" w:fill="808080"/>
          </w:tcPr>
          <w:p>
            <w:pPr>
              <w:pStyle w:val="TableParagraph"/>
              <w:spacing w:before="56"/>
              <w:ind w:left="39" w:right="39"/>
              <w:rPr>
                <w:b/>
                <w:sz w:val="12"/>
              </w:rPr>
            </w:pPr>
            <w:r>
              <w:rPr>
                <w:b/>
                <w:color w:val="FFFFFF"/>
                <w:sz w:val="12"/>
              </w:rPr>
              <w:t>Es adecuado</w:t>
            </w:r>
          </w:p>
        </w:tc>
        <w:tc>
          <w:tcPr>
            <w:tcW w:w="894" w:type="dxa"/>
            <w:tcBorders>
              <w:top w:val="single" w:sz="4" w:space="0" w:color="FFFFFF"/>
              <w:left w:val="single" w:sz="4" w:space="0" w:color="000000"/>
              <w:bottom w:val="double" w:sz="10" w:space="0" w:color="000000"/>
              <w:right w:val="single" w:sz="8" w:space="0" w:color="000000"/>
            </w:tcBorders>
            <w:shd w:val="clear" w:color="auto" w:fill="808080"/>
          </w:tcPr>
          <w:p>
            <w:pPr>
              <w:pStyle w:val="TableParagraph"/>
              <w:spacing w:before="56"/>
              <w:ind w:right="226"/>
              <w:jc w:val="right"/>
              <w:rPr>
                <w:b/>
                <w:sz w:val="12"/>
              </w:rPr>
            </w:pPr>
            <w:r>
              <w:rPr>
                <w:b/>
                <w:color w:val="FFFFFF"/>
                <w:sz w:val="12"/>
              </w:rPr>
              <w:t>Prueba</w:t>
            </w:r>
          </w:p>
        </w:tc>
      </w:tr>
      <w:tr>
        <w:trPr>
          <w:trHeight w:val="337" w:hRule="exact"/>
        </w:trPr>
        <w:tc>
          <w:tcPr>
            <w:tcW w:w="1103" w:type="dxa"/>
            <w:vMerge w:val="restart"/>
            <w:tcBorders>
              <w:top w:val="double" w:sz="10" w:space="0" w:color="000000"/>
              <w:left w:val="single" w:sz="4" w:space="0" w:color="000000"/>
              <w:right w:val="single" w:sz="4" w:space="0" w:color="000000"/>
            </w:tcBorders>
          </w:tcPr>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spacing w:before="102"/>
              <w:ind w:left="357"/>
              <w:jc w:val="left"/>
              <w:rPr>
                <w:sz w:val="12"/>
              </w:rPr>
            </w:pPr>
            <w:r>
              <w:rPr>
                <w:sz w:val="12"/>
              </w:rPr>
              <w:t>Estado</w:t>
            </w:r>
          </w:p>
        </w:tc>
        <w:tc>
          <w:tcPr>
            <w:tcW w:w="1757" w:type="dxa"/>
            <w:vMerge w:val="restart"/>
            <w:tcBorders>
              <w:top w:val="double" w:sz="10" w:space="0" w:color="000000"/>
              <w:left w:val="single" w:sz="4" w:space="0" w:color="000000"/>
              <w:right w:val="single" w:sz="4" w:space="0" w:color="000000"/>
            </w:tcBorders>
          </w:tcPr>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spacing w:before="102"/>
              <w:ind w:left="132" w:right="46"/>
              <w:jc w:val="left"/>
              <w:rPr>
                <w:sz w:val="12"/>
              </w:rPr>
            </w:pPr>
            <w:r>
              <w:rPr>
                <w:sz w:val="12"/>
              </w:rPr>
              <w:t>Schteingart y Patiño (2006)</w:t>
            </w:r>
          </w:p>
        </w:tc>
        <w:tc>
          <w:tcPr>
            <w:tcW w:w="2217" w:type="dxa"/>
            <w:vMerge w:val="restart"/>
            <w:tcBorders>
              <w:top w:val="double" w:sz="10" w:space="0" w:color="000000"/>
              <w:left w:val="single" w:sz="4" w:space="0" w:color="000000"/>
              <w:right w:val="single" w:sz="4" w:space="0" w:color="000000"/>
            </w:tcBorders>
          </w:tcPr>
          <w:p>
            <w:pPr>
              <w:pStyle w:val="TableParagraph"/>
              <w:jc w:val="left"/>
              <w:rPr>
                <w:sz w:val="12"/>
              </w:rPr>
            </w:pPr>
          </w:p>
          <w:p>
            <w:pPr>
              <w:pStyle w:val="TableParagraph"/>
              <w:jc w:val="left"/>
              <w:rPr>
                <w:sz w:val="12"/>
              </w:rPr>
            </w:pPr>
          </w:p>
          <w:p>
            <w:pPr>
              <w:pStyle w:val="TableParagraph"/>
              <w:spacing w:line="266" w:lineRule="auto" w:before="97"/>
              <w:ind w:left="21" w:right="13" w:hanging="2"/>
              <w:jc w:val="left"/>
              <w:rPr>
                <w:sz w:val="12"/>
              </w:rPr>
            </w:pPr>
            <w:r>
              <w:rPr>
                <w:sz w:val="12"/>
              </w:rPr>
              <w:t>La normativa que regula la  producción de vivienda.</w:t>
            </w:r>
          </w:p>
        </w:tc>
        <w:tc>
          <w:tcPr>
            <w:tcW w:w="1982" w:type="dxa"/>
            <w:tcBorders>
              <w:top w:val="double" w:sz="10" w:space="0" w:color="000000"/>
              <w:left w:val="single" w:sz="4" w:space="0" w:color="000000"/>
              <w:bottom w:val="single" w:sz="4" w:space="0" w:color="000000"/>
              <w:right w:val="single" w:sz="4" w:space="0" w:color="000000"/>
            </w:tcBorders>
          </w:tcPr>
          <w:p>
            <w:pPr>
              <w:pStyle w:val="TableParagraph"/>
              <w:spacing w:line="266" w:lineRule="auto"/>
              <w:ind w:left="21" w:right="11" w:hanging="2"/>
              <w:jc w:val="left"/>
              <w:rPr>
                <w:sz w:val="12"/>
              </w:rPr>
            </w:pPr>
            <w:r>
              <w:rPr>
                <w:sz w:val="12"/>
              </w:rPr>
              <w:t>Es necesario  homologar  la  norma a nivel federal, estatal y  municipal.</w:t>
            </w:r>
          </w:p>
        </w:tc>
        <w:tc>
          <w:tcPr>
            <w:tcW w:w="868" w:type="dxa"/>
            <w:vMerge w:val="restart"/>
            <w:tcBorders>
              <w:top w:val="double" w:sz="10" w:space="0" w:color="000000"/>
              <w:left w:val="single" w:sz="4" w:space="0" w:color="000000"/>
              <w:right w:val="single" w:sz="4" w:space="0" w:color="000000"/>
            </w:tcBorders>
          </w:tcPr>
          <w:p>
            <w:pPr>
              <w:pStyle w:val="TableParagraph"/>
              <w:jc w:val="left"/>
              <w:rPr>
                <w:sz w:val="12"/>
              </w:rPr>
            </w:pPr>
          </w:p>
          <w:p>
            <w:pPr>
              <w:pStyle w:val="TableParagraph"/>
              <w:jc w:val="left"/>
              <w:rPr>
                <w:sz w:val="12"/>
              </w:rPr>
            </w:pPr>
          </w:p>
          <w:p>
            <w:pPr>
              <w:pStyle w:val="TableParagraph"/>
              <w:spacing w:before="6"/>
              <w:jc w:val="left"/>
              <w:rPr>
                <w:sz w:val="15"/>
              </w:rPr>
            </w:pPr>
          </w:p>
          <w:p>
            <w:pPr>
              <w:pStyle w:val="TableParagraph"/>
              <w:ind w:left="28" w:right="39"/>
              <w:rPr>
                <w:sz w:val="12"/>
              </w:rPr>
            </w:pPr>
            <w:r>
              <w:rPr>
                <w:sz w:val="12"/>
              </w:rPr>
              <w:t>Si</w:t>
            </w:r>
          </w:p>
        </w:tc>
        <w:tc>
          <w:tcPr>
            <w:tcW w:w="894" w:type="dxa"/>
            <w:vMerge w:val="restart"/>
            <w:tcBorders>
              <w:top w:val="double" w:sz="10" w:space="0" w:color="000000"/>
              <w:left w:val="single" w:sz="4" w:space="0" w:color="000000"/>
              <w:right w:val="single" w:sz="8" w:space="0" w:color="000000"/>
            </w:tcBorders>
          </w:tcPr>
          <w:p>
            <w:pPr>
              <w:pStyle w:val="TableParagraph"/>
              <w:jc w:val="left"/>
              <w:rPr>
                <w:sz w:val="12"/>
              </w:rPr>
            </w:pPr>
          </w:p>
          <w:p>
            <w:pPr>
              <w:pStyle w:val="TableParagraph"/>
              <w:jc w:val="left"/>
              <w:rPr>
                <w:sz w:val="12"/>
              </w:rPr>
            </w:pPr>
          </w:p>
          <w:p>
            <w:pPr>
              <w:pStyle w:val="TableParagraph"/>
              <w:spacing w:before="6"/>
              <w:jc w:val="left"/>
              <w:rPr>
                <w:sz w:val="15"/>
              </w:rPr>
            </w:pPr>
          </w:p>
          <w:p>
            <w:pPr>
              <w:pStyle w:val="TableParagraph"/>
              <w:ind w:left="296"/>
              <w:jc w:val="left"/>
              <w:rPr>
                <w:sz w:val="12"/>
              </w:rPr>
            </w:pPr>
            <w:r>
              <w:rPr>
                <w:sz w:val="12"/>
              </w:rPr>
              <w:t>ISCU</w:t>
            </w:r>
          </w:p>
        </w:tc>
      </w:tr>
      <w:tr>
        <w:trPr>
          <w:trHeight w:val="307" w:hRule="exact"/>
        </w:trPr>
        <w:tc>
          <w:tcPr>
            <w:tcW w:w="1103" w:type="dxa"/>
            <w:vMerge/>
            <w:tcBorders>
              <w:left w:val="single" w:sz="4" w:space="0" w:color="000000"/>
              <w:right w:val="single" w:sz="4" w:space="0" w:color="000000"/>
            </w:tcBorders>
          </w:tcPr>
          <w:p>
            <w:pPr/>
          </w:p>
        </w:tc>
        <w:tc>
          <w:tcPr>
            <w:tcW w:w="1757" w:type="dxa"/>
            <w:vMerge/>
            <w:tcBorders>
              <w:left w:val="single" w:sz="4" w:space="0" w:color="000000"/>
              <w:right w:val="single" w:sz="4" w:space="0" w:color="000000"/>
            </w:tcBorders>
          </w:tcPr>
          <w:p>
            <w:pPr/>
          </w:p>
        </w:tc>
        <w:tc>
          <w:tcPr>
            <w:tcW w:w="2217" w:type="dxa"/>
            <w:vMerge/>
            <w:tcBorders>
              <w:left w:val="single" w:sz="4" w:space="0" w:color="000000"/>
              <w:right w:val="single" w:sz="4" w:space="0" w:color="000000"/>
            </w:tcBorders>
          </w:tcPr>
          <w:p>
            <w:pPr/>
          </w:p>
        </w:tc>
        <w:tc>
          <w:tcPr>
            <w:tcW w:w="1982" w:type="dxa"/>
            <w:tcBorders>
              <w:top w:val="single" w:sz="4" w:space="0" w:color="000000"/>
              <w:left w:val="single" w:sz="4" w:space="0" w:color="000000"/>
              <w:bottom w:val="single" w:sz="4" w:space="0" w:color="000000"/>
              <w:right w:val="single" w:sz="4" w:space="0" w:color="000000"/>
            </w:tcBorders>
          </w:tcPr>
          <w:p>
            <w:pPr>
              <w:pStyle w:val="TableParagraph"/>
              <w:tabs>
                <w:tab w:pos="765" w:val="left" w:leader="none"/>
                <w:tab w:pos="1899" w:val="left" w:leader="none"/>
              </w:tabs>
              <w:spacing w:line="266" w:lineRule="auto"/>
              <w:ind w:left="19" w:right="8"/>
              <w:jc w:val="left"/>
              <w:rPr>
                <w:sz w:val="12"/>
              </w:rPr>
            </w:pPr>
            <w:r>
              <w:rPr>
                <w:sz w:val="12"/>
              </w:rPr>
              <w:t>Existen</w:t>
              <w:tab/>
              <w:t>ambigüedades</w:t>
              <w:tab/>
              <w:t>y diferencias</w:t>
            </w:r>
            <w:r>
              <w:rPr>
                <w:spacing w:val="26"/>
                <w:sz w:val="12"/>
              </w:rPr>
              <w:t> </w:t>
            </w:r>
            <w:r>
              <w:rPr>
                <w:sz w:val="12"/>
              </w:rPr>
              <w:t>importantes.</w:t>
            </w:r>
          </w:p>
        </w:tc>
        <w:tc>
          <w:tcPr>
            <w:tcW w:w="868" w:type="dxa"/>
            <w:vMerge/>
            <w:tcBorders>
              <w:left w:val="single" w:sz="4" w:space="0" w:color="000000"/>
              <w:right w:val="single" w:sz="4" w:space="0" w:color="000000"/>
            </w:tcBorders>
          </w:tcPr>
          <w:p>
            <w:pPr/>
          </w:p>
        </w:tc>
        <w:tc>
          <w:tcPr>
            <w:tcW w:w="894" w:type="dxa"/>
            <w:vMerge/>
            <w:tcBorders>
              <w:left w:val="single" w:sz="4" w:space="0" w:color="000000"/>
              <w:right w:val="single" w:sz="8" w:space="0" w:color="000000"/>
            </w:tcBorders>
          </w:tcPr>
          <w:p>
            <w:pPr/>
          </w:p>
        </w:tc>
      </w:tr>
      <w:tr>
        <w:trPr>
          <w:trHeight w:val="460" w:hRule="exact"/>
        </w:trPr>
        <w:tc>
          <w:tcPr>
            <w:tcW w:w="1103" w:type="dxa"/>
            <w:vMerge/>
            <w:tcBorders>
              <w:left w:val="single" w:sz="4" w:space="0" w:color="000000"/>
              <w:right w:val="single" w:sz="4" w:space="0" w:color="000000"/>
            </w:tcBorders>
          </w:tcPr>
          <w:p>
            <w:pPr/>
          </w:p>
        </w:tc>
        <w:tc>
          <w:tcPr>
            <w:tcW w:w="1757" w:type="dxa"/>
            <w:vMerge/>
            <w:tcBorders>
              <w:left w:val="single" w:sz="4" w:space="0" w:color="000000"/>
              <w:right w:val="single" w:sz="4" w:space="0" w:color="000000"/>
            </w:tcBorders>
          </w:tcPr>
          <w:p>
            <w:pPr/>
          </w:p>
        </w:tc>
        <w:tc>
          <w:tcPr>
            <w:tcW w:w="2217" w:type="dxa"/>
            <w:vMerge/>
            <w:tcBorders>
              <w:left w:val="single" w:sz="4" w:space="0" w:color="000000"/>
              <w:bottom w:val="single" w:sz="4" w:space="0" w:color="000000"/>
              <w:right w:val="single" w:sz="4" w:space="0" w:color="000000"/>
            </w:tcBorders>
          </w:tcPr>
          <w:p>
            <w:pPr/>
          </w:p>
        </w:tc>
        <w:tc>
          <w:tcPr>
            <w:tcW w:w="1982" w:type="dxa"/>
            <w:tcBorders>
              <w:top w:val="single" w:sz="4" w:space="0" w:color="000000"/>
              <w:left w:val="single" w:sz="4" w:space="0" w:color="000000"/>
              <w:bottom w:val="single" w:sz="4" w:space="0" w:color="000000"/>
              <w:right w:val="single" w:sz="4" w:space="0" w:color="000000"/>
            </w:tcBorders>
          </w:tcPr>
          <w:p>
            <w:pPr>
              <w:pStyle w:val="TableParagraph"/>
              <w:spacing w:line="266" w:lineRule="auto"/>
              <w:ind w:left="19" w:right="6" w:firstLine="1"/>
              <w:jc w:val="both"/>
              <w:rPr>
                <w:sz w:val="12"/>
              </w:rPr>
            </w:pPr>
            <w:r>
              <w:rPr>
                <w:sz w:val="12"/>
              </w:rPr>
              <w:t>Propuesta de un código de administración urbana federal, estatal y municipal</w:t>
            </w:r>
          </w:p>
        </w:tc>
        <w:tc>
          <w:tcPr>
            <w:tcW w:w="868" w:type="dxa"/>
            <w:vMerge/>
            <w:tcBorders>
              <w:left w:val="single" w:sz="4" w:space="0" w:color="000000"/>
              <w:bottom w:val="single" w:sz="4" w:space="0" w:color="000000"/>
              <w:right w:val="single" w:sz="4" w:space="0" w:color="000000"/>
            </w:tcBorders>
          </w:tcPr>
          <w:p>
            <w:pPr/>
          </w:p>
        </w:tc>
        <w:tc>
          <w:tcPr>
            <w:tcW w:w="894" w:type="dxa"/>
            <w:vMerge/>
            <w:tcBorders>
              <w:left w:val="single" w:sz="4" w:space="0" w:color="000000"/>
              <w:bottom w:val="single" w:sz="4" w:space="0" w:color="000000"/>
              <w:right w:val="single" w:sz="8" w:space="0" w:color="000000"/>
            </w:tcBorders>
          </w:tcPr>
          <w:p>
            <w:pPr/>
          </w:p>
        </w:tc>
      </w:tr>
      <w:tr>
        <w:trPr>
          <w:trHeight w:val="613" w:hRule="exact"/>
        </w:trPr>
        <w:tc>
          <w:tcPr>
            <w:tcW w:w="1103" w:type="dxa"/>
            <w:vMerge/>
            <w:tcBorders>
              <w:left w:val="single" w:sz="4" w:space="0" w:color="000000"/>
              <w:right w:val="single" w:sz="4" w:space="0" w:color="000000"/>
            </w:tcBorders>
          </w:tcPr>
          <w:p>
            <w:pPr/>
          </w:p>
        </w:tc>
        <w:tc>
          <w:tcPr>
            <w:tcW w:w="1757" w:type="dxa"/>
            <w:vMerge/>
            <w:tcBorders>
              <w:left w:val="single" w:sz="4" w:space="0" w:color="000000"/>
              <w:right w:val="single" w:sz="4" w:space="0" w:color="000000"/>
            </w:tcBorders>
          </w:tcPr>
          <w:p>
            <w:pPr/>
          </w:p>
        </w:tc>
        <w:tc>
          <w:tcPr>
            <w:tcW w:w="2217" w:type="dxa"/>
            <w:vMerge w:val="restart"/>
            <w:tcBorders>
              <w:top w:val="single" w:sz="4" w:space="0" w:color="000000"/>
              <w:left w:val="single" w:sz="4" w:space="0" w:color="000000"/>
              <w:right w:val="single" w:sz="4" w:space="0" w:color="000000"/>
            </w:tcBorders>
          </w:tcPr>
          <w:p>
            <w:pPr>
              <w:pStyle w:val="TableParagraph"/>
              <w:jc w:val="left"/>
              <w:rPr>
                <w:sz w:val="12"/>
              </w:rPr>
            </w:pPr>
          </w:p>
          <w:p>
            <w:pPr>
              <w:pStyle w:val="TableParagraph"/>
              <w:jc w:val="left"/>
              <w:rPr>
                <w:sz w:val="12"/>
              </w:rPr>
            </w:pPr>
          </w:p>
          <w:p>
            <w:pPr>
              <w:pStyle w:val="TableParagraph"/>
              <w:spacing w:before="6"/>
              <w:jc w:val="left"/>
              <w:rPr>
                <w:sz w:val="15"/>
              </w:rPr>
            </w:pPr>
          </w:p>
          <w:p>
            <w:pPr>
              <w:pStyle w:val="TableParagraph"/>
              <w:spacing w:line="266" w:lineRule="auto"/>
              <w:ind w:left="19" w:right="15" w:firstLine="1"/>
              <w:jc w:val="both"/>
              <w:rPr>
                <w:sz w:val="12"/>
              </w:rPr>
            </w:pPr>
            <w:r>
              <w:rPr>
                <w:sz w:val="12"/>
              </w:rPr>
              <w:t>La vivienda va  perdiendo  su importancia en el papel social así como su vinculación con el desarrollo  urbano.</w:t>
            </w:r>
          </w:p>
        </w:tc>
        <w:tc>
          <w:tcPr>
            <w:tcW w:w="1982" w:type="dxa"/>
            <w:tcBorders>
              <w:top w:val="single" w:sz="4" w:space="0" w:color="000000"/>
              <w:left w:val="single" w:sz="4" w:space="0" w:color="000000"/>
              <w:bottom w:val="single" w:sz="4" w:space="0" w:color="000000"/>
              <w:right w:val="single" w:sz="4" w:space="0" w:color="000000"/>
            </w:tcBorders>
          </w:tcPr>
          <w:p>
            <w:pPr>
              <w:pStyle w:val="TableParagraph"/>
              <w:spacing w:before="10"/>
              <w:jc w:val="left"/>
              <w:rPr>
                <w:sz w:val="12"/>
              </w:rPr>
            </w:pPr>
          </w:p>
          <w:p>
            <w:pPr>
              <w:pStyle w:val="TableParagraph"/>
              <w:spacing w:line="266" w:lineRule="auto"/>
              <w:ind w:left="20" w:right="11" w:hanging="1"/>
              <w:jc w:val="left"/>
              <w:rPr>
                <w:sz w:val="12"/>
              </w:rPr>
            </w:pPr>
            <w:r>
              <w:rPr>
                <w:sz w:val="12"/>
              </w:rPr>
              <w:t>Los conjuntos urbanos no se integran en el territorio</w:t>
            </w:r>
          </w:p>
        </w:tc>
        <w:tc>
          <w:tcPr>
            <w:tcW w:w="868" w:type="dxa"/>
            <w:vMerge w:val="restart"/>
            <w:tcBorders>
              <w:top w:val="single" w:sz="4" w:space="0" w:color="000000"/>
              <w:left w:val="single" w:sz="4" w:space="0" w:color="000000"/>
              <w:right w:val="single" w:sz="4" w:space="0" w:color="000000"/>
            </w:tcBorders>
          </w:tcPr>
          <w:p>
            <w:pPr>
              <w:pStyle w:val="TableParagraph"/>
              <w:jc w:val="left"/>
              <w:rPr>
                <w:sz w:val="12"/>
              </w:rPr>
            </w:pPr>
          </w:p>
          <w:p>
            <w:pPr>
              <w:pStyle w:val="TableParagraph"/>
              <w:jc w:val="left"/>
              <w:rPr>
                <w:sz w:val="12"/>
              </w:rPr>
            </w:pPr>
          </w:p>
          <w:p>
            <w:pPr>
              <w:pStyle w:val="TableParagraph"/>
              <w:jc w:val="left"/>
              <w:rPr>
                <w:sz w:val="12"/>
              </w:rPr>
            </w:pPr>
          </w:p>
          <w:p>
            <w:pPr>
              <w:pStyle w:val="TableParagraph"/>
              <w:spacing w:before="10"/>
              <w:jc w:val="left"/>
              <w:rPr>
                <w:sz w:val="16"/>
              </w:rPr>
            </w:pPr>
          </w:p>
          <w:p>
            <w:pPr>
              <w:pStyle w:val="TableParagraph"/>
              <w:ind w:left="28" w:right="39"/>
              <w:rPr>
                <w:sz w:val="12"/>
              </w:rPr>
            </w:pPr>
            <w:r>
              <w:rPr>
                <w:sz w:val="12"/>
              </w:rPr>
              <w:t>Si</w:t>
            </w:r>
          </w:p>
        </w:tc>
        <w:tc>
          <w:tcPr>
            <w:tcW w:w="894" w:type="dxa"/>
            <w:tcBorders>
              <w:top w:val="single" w:sz="4" w:space="0" w:color="000000"/>
              <w:left w:val="single" w:sz="4" w:space="0" w:color="000000"/>
              <w:bottom w:val="single" w:sz="4" w:space="0" w:color="000000"/>
              <w:right w:val="single" w:sz="8" w:space="0" w:color="000000"/>
            </w:tcBorders>
          </w:tcPr>
          <w:p>
            <w:pPr>
              <w:pStyle w:val="TableParagraph"/>
              <w:jc w:val="left"/>
              <w:rPr>
                <w:sz w:val="12"/>
              </w:rPr>
            </w:pPr>
          </w:p>
          <w:p>
            <w:pPr>
              <w:pStyle w:val="TableParagraph"/>
              <w:spacing w:before="81"/>
              <w:ind w:right="174"/>
              <w:jc w:val="right"/>
              <w:rPr>
                <w:sz w:val="12"/>
              </w:rPr>
            </w:pPr>
            <w:r>
              <w:rPr>
                <w:sz w:val="12"/>
              </w:rPr>
              <w:t>ISA e IST</w:t>
            </w:r>
          </w:p>
        </w:tc>
      </w:tr>
      <w:tr>
        <w:trPr>
          <w:trHeight w:val="307" w:hRule="exact"/>
        </w:trPr>
        <w:tc>
          <w:tcPr>
            <w:tcW w:w="1103" w:type="dxa"/>
            <w:vMerge/>
            <w:tcBorders>
              <w:left w:val="single" w:sz="4" w:space="0" w:color="000000"/>
              <w:right w:val="single" w:sz="4" w:space="0" w:color="000000"/>
            </w:tcBorders>
          </w:tcPr>
          <w:p>
            <w:pPr/>
          </w:p>
        </w:tc>
        <w:tc>
          <w:tcPr>
            <w:tcW w:w="1757" w:type="dxa"/>
            <w:vMerge/>
            <w:tcBorders>
              <w:left w:val="single" w:sz="4" w:space="0" w:color="000000"/>
              <w:right w:val="single" w:sz="4" w:space="0" w:color="000000"/>
            </w:tcBorders>
          </w:tcPr>
          <w:p>
            <w:pPr/>
          </w:p>
        </w:tc>
        <w:tc>
          <w:tcPr>
            <w:tcW w:w="2217" w:type="dxa"/>
            <w:vMerge/>
            <w:tcBorders>
              <w:left w:val="single" w:sz="4" w:space="0" w:color="000000"/>
              <w:right w:val="single" w:sz="4" w:space="0" w:color="000000"/>
            </w:tcBorders>
          </w:tcPr>
          <w:p>
            <w:pPr/>
          </w:p>
        </w:tc>
        <w:tc>
          <w:tcPr>
            <w:tcW w:w="1982" w:type="dxa"/>
            <w:tcBorders>
              <w:top w:val="single" w:sz="4" w:space="0" w:color="000000"/>
              <w:left w:val="single" w:sz="4" w:space="0" w:color="000000"/>
              <w:bottom w:val="single" w:sz="4" w:space="0" w:color="000000"/>
              <w:right w:val="single" w:sz="4" w:space="0" w:color="000000"/>
            </w:tcBorders>
          </w:tcPr>
          <w:p>
            <w:pPr>
              <w:pStyle w:val="TableParagraph"/>
              <w:spacing w:line="266" w:lineRule="auto"/>
              <w:ind w:left="21" w:right="11" w:hanging="2"/>
              <w:jc w:val="left"/>
              <w:rPr>
                <w:sz w:val="12"/>
              </w:rPr>
            </w:pPr>
            <w:r>
              <w:rPr>
                <w:sz w:val="12"/>
              </w:rPr>
              <w:t>Los desarrollos son aislados y sin interacción con su entorno.</w:t>
            </w:r>
          </w:p>
        </w:tc>
        <w:tc>
          <w:tcPr>
            <w:tcW w:w="868" w:type="dxa"/>
            <w:vMerge/>
            <w:tcBorders>
              <w:left w:val="single" w:sz="4" w:space="0" w:color="000000"/>
              <w:right w:val="single" w:sz="4" w:space="0" w:color="000000"/>
            </w:tcBorders>
          </w:tcPr>
          <w:p>
            <w:pPr/>
          </w:p>
        </w:tc>
        <w:tc>
          <w:tcPr>
            <w:tcW w:w="894" w:type="dxa"/>
            <w:tcBorders>
              <w:top w:val="single" w:sz="4" w:space="0" w:color="000000"/>
              <w:left w:val="single" w:sz="4" w:space="0" w:color="000000"/>
              <w:bottom w:val="single" w:sz="4" w:space="0" w:color="000000"/>
              <w:right w:val="single" w:sz="8" w:space="0" w:color="000000"/>
            </w:tcBorders>
          </w:tcPr>
          <w:p>
            <w:pPr>
              <w:pStyle w:val="TableParagraph"/>
              <w:spacing w:before="66"/>
              <w:ind w:left="22" w:right="26"/>
              <w:rPr>
                <w:sz w:val="12"/>
              </w:rPr>
            </w:pPr>
            <w:r>
              <w:rPr>
                <w:sz w:val="12"/>
              </w:rPr>
              <w:t>ISS</w:t>
            </w:r>
          </w:p>
        </w:tc>
      </w:tr>
      <w:tr>
        <w:trPr>
          <w:trHeight w:val="460" w:hRule="exact"/>
        </w:trPr>
        <w:tc>
          <w:tcPr>
            <w:tcW w:w="1103" w:type="dxa"/>
            <w:vMerge/>
            <w:tcBorders>
              <w:left w:val="single" w:sz="4" w:space="0" w:color="000000"/>
              <w:right w:val="single" w:sz="4" w:space="0" w:color="000000"/>
            </w:tcBorders>
          </w:tcPr>
          <w:p>
            <w:pPr/>
          </w:p>
        </w:tc>
        <w:tc>
          <w:tcPr>
            <w:tcW w:w="1757" w:type="dxa"/>
            <w:vMerge/>
            <w:tcBorders>
              <w:left w:val="single" w:sz="4" w:space="0" w:color="000000"/>
              <w:right w:val="single" w:sz="4" w:space="0" w:color="000000"/>
            </w:tcBorders>
          </w:tcPr>
          <w:p>
            <w:pPr/>
          </w:p>
        </w:tc>
        <w:tc>
          <w:tcPr>
            <w:tcW w:w="2217" w:type="dxa"/>
            <w:vMerge/>
            <w:tcBorders>
              <w:left w:val="single" w:sz="4" w:space="0" w:color="000000"/>
              <w:bottom w:val="single" w:sz="4" w:space="0" w:color="000000"/>
              <w:right w:val="single" w:sz="4" w:space="0" w:color="000000"/>
            </w:tcBorders>
          </w:tcPr>
          <w:p>
            <w:pPr/>
          </w:p>
        </w:tc>
        <w:tc>
          <w:tcPr>
            <w:tcW w:w="1982" w:type="dxa"/>
            <w:tcBorders>
              <w:top w:val="single" w:sz="4" w:space="0" w:color="000000"/>
              <w:left w:val="single" w:sz="4" w:space="0" w:color="000000"/>
              <w:bottom w:val="single" w:sz="4" w:space="0" w:color="000000"/>
              <w:right w:val="single" w:sz="4" w:space="0" w:color="000000"/>
            </w:tcBorders>
          </w:tcPr>
          <w:p>
            <w:pPr>
              <w:pStyle w:val="TableParagraph"/>
              <w:spacing w:line="266" w:lineRule="auto"/>
              <w:ind w:left="19" w:right="10" w:firstLine="1"/>
              <w:jc w:val="both"/>
              <w:rPr>
                <w:sz w:val="12"/>
              </w:rPr>
            </w:pPr>
            <w:r>
              <w:rPr>
                <w:sz w:val="12"/>
              </w:rPr>
              <w:t>Los CU´S con incongruentes con  los usos de suelo fisicos y normativos.</w:t>
            </w:r>
          </w:p>
        </w:tc>
        <w:tc>
          <w:tcPr>
            <w:tcW w:w="868" w:type="dxa"/>
            <w:vMerge/>
            <w:tcBorders>
              <w:left w:val="single" w:sz="4" w:space="0" w:color="000000"/>
              <w:bottom w:val="single" w:sz="4" w:space="0" w:color="000000"/>
              <w:right w:val="single" w:sz="4" w:space="0" w:color="000000"/>
            </w:tcBorders>
          </w:tcPr>
          <w:p>
            <w:pPr/>
          </w:p>
        </w:tc>
        <w:tc>
          <w:tcPr>
            <w:tcW w:w="894" w:type="dxa"/>
            <w:tcBorders>
              <w:top w:val="single" w:sz="4" w:space="0" w:color="000000"/>
              <w:left w:val="single" w:sz="4" w:space="0" w:color="000000"/>
              <w:bottom w:val="single" w:sz="4" w:space="0" w:color="000000"/>
              <w:right w:val="single" w:sz="8" w:space="0" w:color="000000"/>
            </w:tcBorders>
          </w:tcPr>
          <w:p>
            <w:pPr>
              <w:pStyle w:val="TableParagraph"/>
              <w:spacing w:before="10"/>
              <w:jc w:val="left"/>
              <w:rPr>
                <w:sz w:val="12"/>
              </w:rPr>
            </w:pPr>
          </w:p>
          <w:p>
            <w:pPr>
              <w:pStyle w:val="TableParagraph"/>
              <w:ind w:left="32" w:right="26"/>
              <w:rPr>
                <w:sz w:val="12"/>
              </w:rPr>
            </w:pPr>
            <w:r>
              <w:rPr>
                <w:sz w:val="12"/>
              </w:rPr>
              <w:t>IST</w:t>
            </w:r>
          </w:p>
        </w:tc>
      </w:tr>
      <w:tr>
        <w:trPr>
          <w:trHeight w:val="429" w:hRule="exact"/>
        </w:trPr>
        <w:tc>
          <w:tcPr>
            <w:tcW w:w="1103" w:type="dxa"/>
            <w:vMerge/>
            <w:tcBorders>
              <w:left w:val="single" w:sz="4" w:space="0" w:color="000000"/>
              <w:right w:val="single" w:sz="4" w:space="0" w:color="000000"/>
            </w:tcBorders>
          </w:tcPr>
          <w:p>
            <w:pPr/>
          </w:p>
        </w:tc>
        <w:tc>
          <w:tcPr>
            <w:tcW w:w="1757" w:type="dxa"/>
            <w:vMerge/>
            <w:tcBorders>
              <w:left w:val="single" w:sz="4" w:space="0" w:color="000000"/>
              <w:right w:val="single" w:sz="4" w:space="0" w:color="000000"/>
            </w:tcBorders>
          </w:tcPr>
          <w:p>
            <w:pPr/>
          </w:p>
        </w:tc>
        <w:tc>
          <w:tcPr>
            <w:tcW w:w="2217" w:type="dxa"/>
            <w:vMerge w:val="restart"/>
            <w:tcBorders>
              <w:top w:val="single" w:sz="4" w:space="0" w:color="000000"/>
              <w:left w:val="single" w:sz="4" w:space="0" w:color="000000"/>
              <w:right w:val="single" w:sz="4" w:space="0" w:color="000000"/>
            </w:tcBorders>
          </w:tcPr>
          <w:p>
            <w:pPr>
              <w:pStyle w:val="TableParagraph"/>
              <w:jc w:val="left"/>
              <w:rPr>
                <w:sz w:val="12"/>
              </w:rPr>
            </w:pPr>
          </w:p>
          <w:p>
            <w:pPr>
              <w:pStyle w:val="TableParagraph"/>
              <w:jc w:val="left"/>
              <w:rPr>
                <w:sz w:val="12"/>
              </w:rPr>
            </w:pPr>
          </w:p>
          <w:p>
            <w:pPr>
              <w:pStyle w:val="TableParagraph"/>
              <w:spacing w:before="8"/>
              <w:jc w:val="left"/>
              <w:rPr>
                <w:sz w:val="13"/>
              </w:rPr>
            </w:pPr>
          </w:p>
          <w:p>
            <w:pPr>
              <w:pStyle w:val="TableParagraph"/>
              <w:spacing w:line="266" w:lineRule="auto"/>
              <w:ind w:left="19" w:right="8"/>
              <w:jc w:val="both"/>
              <w:rPr>
                <w:sz w:val="12"/>
              </w:rPr>
            </w:pPr>
            <w:r>
              <w:rPr>
                <w:sz w:val="12"/>
              </w:rPr>
              <w:t>Los aspectos económicos y financieros han adquirido mayor importancia y relevancia en la política habitacional tomada por el Estado.</w:t>
            </w:r>
          </w:p>
        </w:tc>
        <w:tc>
          <w:tcPr>
            <w:tcW w:w="1982" w:type="dxa"/>
            <w:tcBorders>
              <w:top w:val="single" w:sz="4" w:space="0" w:color="000000"/>
              <w:left w:val="single" w:sz="4" w:space="0" w:color="000000"/>
              <w:bottom w:val="single" w:sz="4" w:space="0" w:color="000000"/>
              <w:right w:val="single" w:sz="4" w:space="0" w:color="000000"/>
            </w:tcBorders>
          </w:tcPr>
          <w:p>
            <w:pPr>
              <w:pStyle w:val="TableParagraph"/>
              <w:spacing w:line="266" w:lineRule="auto" w:before="56"/>
              <w:ind w:left="20" w:right="11" w:hanging="1"/>
              <w:jc w:val="left"/>
              <w:rPr>
                <w:sz w:val="12"/>
              </w:rPr>
            </w:pPr>
            <w:r>
              <w:rPr>
                <w:sz w:val="12"/>
              </w:rPr>
              <w:t>El precio de la  vivienda  cada vez es más</w:t>
            </w:r>
            <w:r>
              <w:rPr>
                <w:spacing w:val="11"/>
                <w:sz w:val="12"/>
              </w:rPr>
              <w:t> </w:t>
            </w:r>
            <w:r>
              <w:rPr>
                <w:sz w:val="12"/>
              </w:rPr>
              <w:t>alto</w:t>
            </w:r>
          </w:p>
        </w:tc>
        <w:tc>
          <w:tcPr>
            <w:tcW w:w="868"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sz w:val="11"/>
              </w:rPr>
            </w:pPr>
          </w:p>
          <w:p>
            <w:pPr>
              <w:pStyle w:val="TableParagraph"/>
              <w:ind w:left="21" w:right="39"/>
              <w:rPr>
                <w:sz w:val="12"/>
              </w:rPr>
            </w:pPr>
            <w:r>
              <w:rPr>
                <w:sz w:val="12"/>
              </w:rPr>
              <w:t>Parcialmente</w:t>
            </w:r>
          </w:p>
        </w:tc>
        <w:tc>
          <w:tcPr>
            <w:tcW w:w="894" w:type="dxa"/>
            <w:tcBorders>
              <w:top w:val="single" w:sz="4" w:space="0" w:color="000000"/>
              <w:left w:val="single" w:sz="4" w:space="0" w:color="000000"/>
              <w:bottom w:val="single" w:sz="4" w:space="0" w:color="000000"/>
              <w:right w:val="single" w:sz="8" w:space="0" w:color="000000"/>
            </w:tcBorders>
          </w:tcPr>
          <w:p>
            <w:pPr>
              <w:pStyle w:val="TableParagraph"/>
              <w:spacing w:before="1"/>
              <w:jc w:val="left"/>
              <w:rPr>
                <w:sz w:val="11"/>
              </w:rPr>
            </w:pPr>
          </w:p>
          <w:p>
            <w:pPr>
              <w:pStyle w:val="TableParagraph"/>
              <w:ind w:left="22" w:right="26"/>
              <w:rPr>
                <w:sz w:val="12"/>
              </w:rPr>
            </w:pPr>
            <w:r>
              <w:rPr>
                <w:sz w:val="12"/>
              </w:rPr>
              <w:t>ISE</w:t>
            </w:r>
          </w:p>
        </w:tc>
      </w:tr>
      <w:tr>
        <w:trPr>
          <w:trHeight w:val="460" w:hRule="exact"/>
        </w:trPr>
        <w:tc>
          <w:tcPr>
            <w:tcW w:w="1103" w:type="dxa"/>
            <w:vMerge/>
            <w:tcBorders>
              <w:left w:val="single" w:sz="4" w:space="0" w:color="000000"/>
              <w:right w:val="single" w:sz="4" w:space="0" w:color="000000"/>
            </w:tcBorders>
          </w:tcPr>
          <w:p>
            <w:pPr/>
          </w:p>
        </w:tc>
        <w:tc>
          <w:tcPr>
            <w:tcW w:w="1757" w:type="dxa"/>
            <w:vMerge/>
            <w:tcBorders>
              <w:left w:val="single" w:sz="4" w:space="0" w:color="000000"/>
              <w:right w:val="single" w:sz="4" w:space="0" w:color="000000"/>
            </w:tcBorders>
          </w:tcPr>
          <w:p>
            <w:pPr/>
          </w:p>
        </w:tc>
        <w:tc>
          <w:tcPr>
            <w:tcW w:w="2217" w:type="dxa"/>
            <w:vMerge/>
            <w:tcBorders>
              <w:left w:val="single" w:sz="4" w:space="0" w:color="000000"/>
              <w:right w:val="single" w:sz="4" w:space="0" w:color="000000"/>
            </w:tcBorders>
          </w:tcPr>
          <w:p>
            <w:pPr/>
          </w:p>
        </w:tc>
        <w:tc>
          <w:tcPr>
            <w:tcW w:w="1982" w:type="dxa"/>
            <w:tcBorders>
              <w:top w:val="single" w:sz="4" w:space="0" w:color="000000"/>
              <w:left w:val="single" w:sz="4" w:space="0" w:color="000000"/>
              <w:bottom w:val="single" w:sz="4" w:space="0" w:color="000000"/>
              <w:right w:val="single" w:sz="4" w:space="0" w:color="000000"/>
            </w:tcBorders>
          </w:tcPr>
          <w:p>
            <w:pPr>
              <w:pStyle w:val="TableParagraph"/>
              <w:spacing w:line="266" w:lineRule="auto"/>
              <w:ind w:left="19" w:right="11" w:firstLine="1"/>
              <w:jc w:val="both"/>
              <w:rPr>
                <w:sz w:val="12"/>
              </w:rPr>
            </w:pPr>
            <w:r>
              <w:rPr>
                <w:sz w:val="12"/>
              </w:rPr>
              <w:t>Existe una fuerte carga en impuestos a  los  desarrolladores que encarece la vivienda</w:t>
            </w:r>
          </w:p>
        </w:tc>
        <w:tc>
          <w:tcPr>
            <w:tcW w:w="868" w:type="dxa"/>
            <w:tcBorders>
              <w:top w:val="single" w:sz="4" w:space="0" w:color="000000"/>
              <w:left w:val="single" w:sz="4" w:space="0" w:color="000000"/>
              <w:bottom w:val="single" w:sz="4" w:space="0" w:color="000000"/>
              <w:right w:val="single" w:sz="4" w:space="0" w:color="000000"/>
            </w:tcBorders>
          </w:tcPr>
          <w:p>
            <w:pPr>
              <w:pStyle w:val="TableParagraph"/>
              <w:spacing w:before="10"/>
              <w:jc w:val="left"/>
              <w:rPr>
                <w:sz w:val="12"/>
              </w:rPr>
            </w:pPr>
          </w:p>
          <w:p>
            <w:pPr>
              <w:pStyle w:val="TableParagraph"/>
              <w:ind w:left="21" w:right="39"/>
              <w:rPr>
                <w:sz w:val="12"/>
              </w:rPr>
            </w:pPr>
            <w:r>
              <w:rPr>
                <w:sz w:val="12"/>
              </w:rPr>
              <w:t>Parcialmente</w:t>
            </w:r>
          </w:p>
        </w:tc>
        <w:tc>
          <w:tcPr>
            <w:tcW w:w="894" w:type="dxa"/>
            <w:tcBorders>
              <w:top w:val="single" w:sz="4" w:space="0" w:color="000000"/>
              <w:left w:val="single" w:sz="4" w:space="0" w:color="000000"/>
              <w:bottom w:val="single" w:sz="4" w:space="0" w:color="000000"/>
              <w:right w:val="single" w:sz="8" w:space="0" w:color="000000"/>
            </w:tcBorders>
          </w:tcPr>
          <w:p>
            <w:pPr>
              <w:pStyle w:val="TableParagraph"/>
              <w:spacing w:before="10"/>
              <w:jc w:val="left"/>
              <w:rPr>
                <w:sz w:val="12"/>
              </w:rPr>
            </w:pPr>
          </w:p>
          <w:p>
            <w:pPr>
              <w:pStyle w:val="TableParagraph"/>
              <w:ind w:left="22" w:right="26"/>
              <w:rPr>
                <w:sz w:val="12"/>
              </w:rPr>
            </w:pPr>
            <w:r>
              <w:rPr>
                <w:sz w:val="12"/>
              </w:rPr>
              <w:t>ISE</w:t>
            </w:r>
          </w:p>
        </w:tc>
      </w:tr>
      <w:tr>
        <w:trPr>
          <w:trHeight w:val="613" w:hRule="exact"/>
        </w:trPr>
        <w:tc>
          <w:tcPr>
            <w:tcW w:w="1103" w:type="dxa"/>
            <w:vMerge/>
            <w:tcBorders>
              <w:left w:val="single" w:sz="4" w:space="0" w:color="000000"/>
              <w:bottom w:val="single" w:sz="4" w:space="0" w:color="000000"/>
              <w:right w:val="single" w:sz="4" w:space="0" w:color="000000"/>
            </w:tcBorders>
          </w:tcPr>
          <w:p>
            <w:pPr/>
          </w:p>
        </w:tc>
        <w:tc>
          <w:tcPr>
            <w:tcW w:w="1757" w:type="dxa"/>
            <w:vMerge/>
            <w:tcBorders>
              <w:left w:val="single" w:sz="4" w:space="0" w:color="000000"/>
              <w:bottom w:val="single" w:sz="4" w:space="0" w:color="000000"/>
              <w:right w:val="single" w:sz="4" w:space="0" w:color="000000"/>
            </w:tcBorders>
          </w:tcPr>
          <w:p>
            <w:pPr/>
          </w:p>
        </w:tc>
        <w:tc>
          <w:tcPr>
            <w:tcW w:w="2217" w:type="dxa"/>
            <w:vMerge/>
            <w:tcBorders>
              <w:left w:val="single" w:sz="4" w:space="0" w:color="000000"/>
              <w:bottom w:val="single" w:sz="4" w:space="0" w:color="000000"/>
              <w:right w:val="single" w:sz="4" w:space="0" w:color="000000"/>
            </w:tcBorders>
          </w:tcPr>
          <w:p>
            <w:pPr/>
          </w:p>
        </w:tc>
        <w:tc>
          <w:tcPr>
            <w:tcW w:w="1982" w:type="dxa"/>
            <w:tcBorders>
              <w:top w:val="single" w:sz="4" w:space="0" w:color="000000"/>
              <w:left w:val="single" w:sz="4" w:space="0" w:color="000000"/>
              <w:bottom w:val="single" w:sz="4" w:space="0" w:color="000000"/>
              <w:right w:val="single" w:sz="4" w:space="0" w:color="000000"/>
            </w:tcBorders>
          </w:tcPr>
          <w:p>
            <w:pPr>
              <w:pStyle w:val="TableParagraph"/>
              <w:spacing w:line="266" w:lineRule="auto"/>
              <w:ind w:left="19" w:right="18"/>
              <w:jc w:val="both"/>
              <w:rPr>
                <w:sz w:val="12"/>
              </w:rPr>
            </w:pPr>
            <w:r>
              <w:rPr>
                <w:sz w:val="12"/>
              </w:rPr>
              <w:t>El residente asume los costos de impuestos, multas y corrupción que se consideran por el promotor para el desarrollo de vivienda</w:t>
            </w:r>
          </w:p>
        </w:tc>
        <w:tc>
          <w:tcPr>
            <w:tcW w:w="868" w:type="dxa"/>
            <w:tcBorders>
              <w:top w:val="single" w:sz="4" w:space="0" w:color="000000"/>
              <w:left w:val="single" w:sz="4" w:space="0" w:color="000000"/>
              <w:bottom w:val="single" w:sz="4" w:space="0" w:color="000000"/>
              <w:right w:val="single" w:sz="4" w:space="0" w:color="000000"/>
            </w:tcBorders>
          </w:tcPr>
          <w:p>
            <w:pPr>
              <w:pStyle w:val="TableParagraph"/>
              <w:jc w:val="left"/>
              <w:rPr>
                <w:sz w:val="12"/>
              </w:rPr>
            </w:pPr>
          </w:p>
          <w:p>
            <w:pPr>
              <w:pStyle w:val="TableParagraph"/>
              <w:spacing w:before="81"/>
              <w:ind w:left="21" w:right="39"/>
              <w:rPr>
                <w:sz w:val="12"/>
              </w:rPr>
            </w:pPr>
            <w:r>
              <w:rPr>
                <w:sz w:val="12"/>
              </w:rPr>
              <w:t>Parcialmente</w:t>
            </w:r>
          </w:p>
        </w:tc>
        <w:tc>
          <w:tcPr>
            <w:tcW w:w="894" w:type="dxa"/>
            <w:tcBorders>
              <w:top w:val="single" w:sz="4" w:space="0" w:color="000000"/>
              <w:left w:val="single" w:sz="4" w:space="0" w:color="000000"/>
              <w:bottom w:val="single" w:sz="4" w:space="0" w:color="000000"/>
              <w:right w:val="single" w:sz="8" w:space="0" w:color="000000"/>
            </w:tcBorders>
          </w:tcPr>
          <w:p>
            <w:pPr>
              <w:pStyle w:val="TableParagraph"/>
              <w:jc w:val="left"/>
              <w:rPr>
                <w:sz w:val="12"/>
              </w:rPr>
            </w:pPr>
          </w:p>
          <w:p>
            <w:pPr>
              <w:pStyle w:val="TableParagraph"/>
              <w:spacing w:before="81"/>
              <w:ind w:left="22" w:right="26"/>
              <w:rPr>
                <w:sz w:val="12"/>
              </w:rPr>
            </w:pPr>
            <w:r>
              <w:rPr>
                <w:sz w:val="12"/>
              </w:rPr>
              <w:t>ISE</w:t>
            </w:r>
          </w:p>
        </w:tc>
      </w:tr>
    </w:tbl>
    <w:p>
      <w:pPr>
        <w:spacing w:after="0"/>
        <w:rPr>
          <w:sz w:val="12"/>
        </w:rPr>
        <w:sectPr>
          <w:pgSz w:w="12240" w:h="15840"/>
          <w:pgMar w:header="730" w:footer="1066" w:top="1320" w:bottom="1260" w:left="1720" w:right="1180"/>
        </w:sectPr>
      </w:pPr>
    </w:p>
    <w:p>
      <w:pPr>
        <w:pStyle w:val="BodyText"/>
        <w:spacing w:before="9" w:after="1"/>
      </w:pPr>
      <w:r>
        <w:rPr/>
        <w:pict>
          <v:line style="position:absolute;mso-position-horizontal-relative:page;mso-position-vertical-relative:page;z-index:18616" from="93.199997pt,57.080009pt" to="546.799997pt,57.080009pt" stroked="true" strokeweight=".479981pt" strokecolor="#000000">
            <w10:wrap type="none"/>
          </v:line>
        </w:pic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03"/>
        <w:gridCol w:w="1757"/>
        <w:gridCol w:w="2217"/>
        <w:gridCol w:w="1982"/>
        <w:gridCol w:w="868"/>
        <w:gridCol w:w="894"/>
      </w:tblGrid>
      <w:tr>
        <w:trPr>
          <w:trHeight w:val="363" w:hRule="exact"/>
        </w:trPr>
        <w:tc>
          <w:tcPr>
            <w:tcW w:w="8823" w:type="dxa"/>
            <w:gridSpan w:val="6"/>
            <w:tcBorders>
              <w:bottom w:val="nil"/>
            </w:tcBorders>
            <w:shd w:val="clear" w:color="auto" w:fill="000000"/>
          </w:tcPr>
          <w:p>
            <w:pPr>
              <w:pStyle w:val="TableParagraph"/>
              <w:spacing w:before="107"/>
              <w:ind w:left="2876"/>
              <w:jc w:val="left"/>
              <w:rPr>
                <w:b/>
                <w:sz w:val="12"/>
              </w:rPr>
            </w:pPr>
            <w:r>
              <w:rPr>
                <w:b/>
                <w:color w:val="FFFFFF"/>
                <w:sz w:val="12"/>
              </w:rPr>
              <w:t>Análisis de aspectos teóricos y del estudio  realizado</w:t>
            </w:r>
          </w:p>
        </w:tc>
      </w:tr>
      <w:tr>
        <w:trPr>
          <w:trHeight w:val="286" w:hRule="exact"/>
        </w:trPr>
        <w:tc>
          <w:tcPr>
            <w:tcW w:w="1103" w:type="dxa"/>
            <w:tcBorders>
              <w:top w:val="single" w:sz="4" w:space="0" w:color="FFFFFF"/>
              <w:left w:val="single" w:sz="4" w:space="0" w:color="000000"/>
              <w:bottom w:val="single" w:sz="4" w:space="0" w:color="000000"/>
              <w:right w:val="single" w:sz="4" w:space="0" w:color="000000"/>
            </w:tcBorders>
            <w:shd w:val="clear" w:color="auto" w:fill="808080"/>
          </w:tcPr>
          <w:p>
            <w:pPr>
              <w:pStyle w:val="TableParagraph"/>
              <w:spacing w:before="56"/>
              <w:ind w:left="30"/>
              <w:jc w:val="left"/>
              <w:rPr>
                <w:b/>
                <w:sz w:val="12"/>
              </w:rPr>
            </w:pPr>
            <w:r>
              <w:rPr>
                <w:b/>
                <w:color w:val="FFFFFF"/>
                <w:sz w:val="12"/>
              </w:rPr>
              <w:t>Agentes tríadicos</w:t>
            </w:r>
          </w:p>
        </w:tc>
        <w:tc>
          <w:tcPr>
            <w:tcW w:w="1757" w:type="dxa"/>
            <w:tcBorders>
              <w:top w:val="single" w:sz="4" w:space="0" w:color="FFFFFF"/>
              <w:left w:val="single" w:sz="4" w:space="0" w:color="000000"/>
              <w:bottom w:val="single" w:sz="4" w:space="0" w:color="000000"/>
              <w:right w:val="single" w:sz="4" w:space="0" w:color="000000"/>
            </w:tcBorders>
            <w:shd w:val="clear" w:color="auto" w:fill="808080"/>
          </w:tcPr>
          <w:p>
            <w:pPr>
              <w:pStyle w:val="TableParagraph"/>
              <w:spacing w:before="56"/>
              <w:ind w:left="628" w:right="625"/>
              <w:rPr>
                <w:b/>
                <w:sz w:val="12"/>
              </w:rPr>
            </w:pPr>
            <w:r>
              <w:rPr>
                <w:b/>
                <w:color w:val="FFFFFF"/>
                <w:sz w:val="12"/>
              </w:rPr>
              <w:t>Autores</w:t>
            </w:r>
          </w:p>
        </w:tc>
        <w:tc>
          <w:tcPr>
            <w:tcW w:w="2217" w:type="dxa"/>
            <w:tcBorders>
              <w:top w:val="single" w:sz="4" w:space="0" w:color="FFFFFF"/>
              <w:left w:val="single" w:sz="4" w:space="0" w:color="000000"/>
              <w:bottom w:val="single" w:sz="4" w:space="0" w:color="000000"/>
              <w:right w:val="single" w:sz="4" w:space="0" w:color="000000"/>
            </w:tcBorders>
            <w:shd w:val="clear" w:color="auto" w:fill="808080"/>
          </w:tcPr>
          <w:p>
            <w:pPr>
              <w:pStyle w:val="TableParagraph"/>
              <w:spacing w:before="56"/>
              <w:ind w:left="418" w:right="13"/>
              <w:jc w:val="left"/>
              <w:rPr>
                <w:b/>
                <w:sz w:val="12"/>
              </w:rPr>
            </w:pPr>
            <w:r>
              <w:rPr>
                <w:b/>
                <w:color w:val="FFFFFF"/>
                <w:sz w:val="12"/>
              </w:rPr>
              <w:t>Aporte teórico revisado</w:t>
            </w:r>
          </w:p>
        </w:tc>
        <w:tc>
          <w:tcPr>
            <w:tcW w:w="1982" w:type="dxa"/>
            <w:tcBorders>
              <w:top w:val="single" w:sz="4" w:space="0" w:color="FFFFFF"/>
              <w:left w:val="single" w:sz="4" w:space="0" w:color="000000"/>
              <w:bottom w:val="single" w:sz="4" w:space="0" w:color="000000"/>
              <w:right w:val="single" w:sz="4" w:space="0" w:color="000000"/>
            </w:tcBorders>
            <w:shd w:val="clear" w:color="auto" w:fill="808080"/>
          </w:tcPr>
          <w:p>
            <w:pPr>
              <w:pStyle w:val="TableParagraph"/>
              <w:spacing w:before="56"/>
              <w:ind w:left="337" w:right="11"/>
              <w:jc w:val="left"/>
              <w:rPr>
                <w:b/>
                <w:sz w:val="12"/>
              </w:rPr>
            </w:pPr>
            <w:r>
              <w:rPr>
                <w:b/>
                <w:color w:val="FFFFFF"/>
                <w:sz w:val="12"/>
              </w:rPr>
              <w:t>Análisis de resultados</w:t>
            </w:r>
          </w:p>
        </w:tc>
        <w:tc>
          <w:tcPr>
            <w:tcW w:w="868" w:type="dxa"/>
            <w:tcBorders>
              <w:top w:val="single" w:sz="4" w:space="0" w:color="FFFFFF"/>
              <w:left w:val="single" w:sz="4" w:space="0" w:color="000000"/>
              <w:bottom w:val="single" w:sz="4" w:space="0" w:color="000000"/>
              <w:right w:val="single" w:sz="4" w:space="0" w:color="000000"/>
            </w:tcBorders>
            <w:shd w:val="clear" w:color="auto" w:fill="808080"/>
          </w:tcPr>
          <w:p>
            <w:pPr>
              <w:pStyle w:val="TableParagraph"/>
              <w:spacing w:before="56"/>
              <w:ind w:left="39" w:right="39"/>
              <w:rPr>
                <w:b/>
                <w:sz w:val="12"/>
              </w:rPr>
            </w:pPr>
            <w:r>
              <w:rPr>
                <w:b/>
                <w:color w:val="FFFFFF"/>
                <w:sz w:val="12"/>
              </w:rPr>
              <w:t>Es adecuado</w:t>
            </w:r>
          </w:p>
        </w:tc>
        <w:tc>
          <w:tcPr>
            <w:tcW w:w="894" w:type="dxa"/>
            <w:tcBorders>
              <w:top w:val="single" w:sz="4" w:space="0" w:color="FFFFFF"/>
              <w:left w:val="single" w:sz="4" w:space="0" w:color="000000"/>
              <w:bottom w:val="single" w:sz="4" w:space="0" w:color="000000"/>
              <w:right w:val="single" w:sz="8" w:space="0" w:color="000000"/>
            </w:tcBorders>
            <w:shd w:val="clear" w:color="auto" w:fill="808080"/>
          </w:tcPr>
          <w:p>
            <w:pPr>
              <w:pStyle w:val="TableParagraph"/>
              <w:spacing w:before="56"/>
              <w:ind w:left="32" w:right="26"/>
              <w:rPr>
                <w:b/>
                <w:sz w:val="12"/>
              </w:rPr>
            </w:pPr>
            <w:r>
              <w:rPr>
                <w:b/>
                <w:color w:val="FFFFFF"/>
                <w:sz w:val="12"/>
              </w:rPr>
              <w:t>Prueba</w:t>
            </w:r>
          </w:p>
        </w:tc>
      </w:tr>
      <w:tr>
        <w:trPr>
          <w:trHeight w:val="61" w:hRule="exact"/>
        </w:trPr>
        <w:tc>
          <w:tcPr>
            <w:tcW w:w="1103" w:type="dxa"/>
            <w:tcBorders>
              <w:top w:val="single" w:sz="4" w:space="0" w:color="000000"/>
              <w:left w:val="single" w:sz="4" w:space="0" w:color="000000"/>
              <w:bottom w:val="single" w:sz="4" w:space="0" w:color="000000"/>
              <w:right w:val="single" w:sz="4" w:space="0" w:color="000000"/>
            </w:tcBorders>
            <w:shd w:val="clear" w:color="auto" w:fill="808080"/>
          </w:tcPr>
          <w:p>
            <w:pPr/>
          </w:p>
        </w:tc>
        <w:tc>
          <w:tcPr>
            <w:tcW w:w="1757" w:type="dxa"/>
            <w:tcBorders>
              <w:top w:val="single" w:sz="4" w:space="0" w:color="000000"/>
              <w:left w:val="single" w:sz="4" w:space="0" w:color="000000"/>
              <w:bottom w:val="single" w:sz="4" w:space="0" w:color="000000"/>
              <w:right w:val="single" w:sz="4" w:space="0" w:color="000000"/>
            </w:tcBorders>
            <w:shd w:val="clear" w:color="auto" w:fill="808080"/>
          </w:tcPr>
          <w:p>
            <w:pPr/>
          </w:p>
        </w:tc>
        <w:tc>
          <w:tcPr>
            <w:tcW w:w="2217" w:type="dxa"/>
            <w:tcBorders>
              <w:top w:val="single" w:sz="4" w:space="0" w:color="000000"/>
              <w:left w:val="single" w:sz="4" w:space="0" w:color="000000"/>
              <w:bottom w:val="single" w:sz="4" w:space="0" w:color="000000"/>
              <w:right w:val="single" w:sz="4" w:space="0" w:color="000000"/>
            </w:tcBorders>
            <w:shd w:val="clear" w:color="auto" w:fill="808080"/>
          </w:tcPr>
          <w:p>
            <w:pPr/>
          </w:p>
        </w:tc>
        <w:tc>
          <w:tcPr>
            <w:tcW w:w="1982" w:type="dxa"/>
            <w:tcBorders>
              <w:top w:val="single" w:sz="4" w:space="0" w:color="000000"/>
              <w:left w:val="single" w:sz="4" w:space="0" w:color="000000"/>
              <w:bottom w:val="single" w:sz="4" w:space="0" w:color="000000"/>
              <w:right w:val="single" w:sz="4" w:space="0" w:color="000000"/>
            </w:tcBorders>
            <w:shd w:val="clear" w:color="auto" w:fill="808080"/>
          </w:tcPr>
          <w:p>
            <w:pPr/>
          </w:p>
        </w:tc>
        <w:tc>
          <w:tcPr>
            <w:tcW w:w="868" w:type="dxa"/>
            <w:tcBorders>
              <w:top w:val="single" w:sz="4" w:space="0" w:color="000000"/>
              <w:left w:val="single" w:sz="4" w:space="0" w:color="000000"/>
              <w:bottom w:val="single" w:sz="4" w:space="0" w:color="000000"/>
              <w:right w:val="single" w:sz="4" w:space="0" w:color="000000"/>
            </w:tcBorders>
            <w:shd w:val="clear" w:color="auto" w:fill="808080"/>
          </w:tcPr>
          <w:p>
            <w:pPr/>
          </w:p>
        </w:tc>
        <w:tc>
          <w:tcPr>
            <w:tcW w:w="894" w:type="dxa"/>
            <w:tcBorders>
              <w:top w:val="single" w:sz="4" w:space="0" w:color="000000"/>
              <w:left w:val="single" w:sz="4" w:space="0" w:color="000000"/>
              <w:bottom w:val="single" w:sz="4" w:space="0" w:color="000000"/>
              <w:right w:val="single" w:sz="8" w:space="0" w:color="000000"/>
            </w:tcBorders>
            <w:shd w:val="clear" w:color="auto" w:fill="808080"/>
          </w:tcPr>
          <w:p>
            <w:pPr/>
          </w:p>
        </w:tc>
      </w:tr>
      <w:tr>
        <w:trPr>
          <w:trHeight w:val="460" w:hRule="exact"/>
        </w:trPr>
        <w:tc>
          <w:tcPr>
            <w:tcW w:w="1103" w:type="dxa"/>
            <w:vMerge w:val="restart"/>
            <w:tcBorders>
              <w:top w:val="single" w:sz="4" w:space="0" w:color="000000"/>
              <w:left w:val="single" w:sz="4" w:space="0" w:color="000000"/>
              <w:right w:val="single" w:sz="4" w:space="0" w:color="000000"/>
            </w:tcBorders>
          </w:tcPr>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spacing w:before="11"/>
              <w:jc w:val="left"/>
              <w:rPr>
                <w:sz w:val="15"/>
              </w:rPr>
            </w:pPr>
          </w:p>
          <w:p>
            <w:pPr>
              <w:pStyle w:val="TableParagraph"/>
              <w:ind w:left="91"/>
              <w:jc w:val="left"/>
              <w:rPr>
                <w:sz w:val="12"/>
              </w:rPr>
            </w:pPr>
            <w:r>
              <w:rPr>
                <w:sz w:val="12"/>
              </w:rPr>
              <w:t>Iniciativa privada</w:t>
            </w:r>
          </w:p>
        </w:tc>
        <w:tc>
          <w:tcPr>
            <w:tcW w:w="1757" w:type="dxa"/>
            <w:vMerge w:val="restart"/>
            <w:tcBorders>
              <w:top w:val="single" w:sz="4" w:space="0" w:color="000000"/>
              <w:left w:val="single" w:sz="4" w:space="0" w:color="000000"/>
              <w:right w:val="single" w:sz="4" w:space="0" w:color="000000"/>
            </w:tcBorders>
          </w:tcPr>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spacing w:before="10"/>
              <w:jc w:val="left"/>
              <w:rPr>
                <w:sz w:val="16"/>
              </w:rPr>
            </w:pPr>
          </w:p>
          <w:p>
            <w:pPr>
              <w:pStyle w:val="TableParagraph"/>
              <w:ind w:left="132" w:right="46"/>
              <w:jc w:val="left"/>
              <w:rPr>
                <w:sz w:val="12"/>
              </w:rPr>
            </w:pPr>
            <w:r>
              <w:rPr>
                <w:sz w:val="12"/>
              </w:rPr>
              <w:t>Eibenschutz y Goya (2009)</w:t>
            </w:r>
          </w:p>
        </w:tc>
        <w:tc>
          <w:tcPr>
            <w:tcW w:w="2217" w:type="dxa"/>
            <w:tcBorders>
              <w:top w:val="single" w:sz="4" w:space="0" w:color="000000"/>
              <w:left w:val="single" w:sz="4" w:space="0" w:color="000000"/>
              <w:bottom w:val="single" w:sz="4" w:space="0" w:color="000000"/>
              <w:right w:val="single" w:sz="4" w:space="0" w:color="000000"/>
            </w:tcBorders>
          </w:tcPr>
          <w:p>
            <w:pPr>
              <w:pStyle w:val="TableParagraph"/>
              <w:spacing w:line="266" w:lineRule="auto"/>
              <w:ind w:left="21" w:right="9" w:hanging="1"/>
              <w:jc w:val="both"/>
              <w:rPr>
                <w:sz w:val="12"/>
              </w:rPr>
            </w:pPr>
            <w:r>
              <w:rPr>
                <w:sz w:val="12"/>
              </w:rPr>
              <w:t>Las implicaciones de la creciente oferta habitacional en la integración urbana y social.</w:t>
            </w:r>
          </w:p>
        </w:tc>
        <w:tc>
          <w:tcPr>
            <w:tcW w:w="1982" w:type="dxa"/>
            <w:tcBorders>
              <w:top w:val="single" w:sz="4" w:space="0" w:color="000000"/>
              <w:left w:val="single" w:sz="4" w:space="0" w:color="000000"/>
              <w:bottom w:val="single" w:sz="4" w:space="0" w:color="000000"/>
              <w:right w:val="single" w:sz="4" w:space="0" w:color="000000"/>
            </w:tcBorders>
          </w:tcPr>
          <w:p>
            <w:pPr>
              <w:pStyle w:val="TableParagraph"/>
              <w:spacing w:line="266" w:lineRule="auto" w:before="66"/>
              <w:ind w:left="20" w:right="11" w:hanging="1"/>
              <w:jc w:val="left"/>
              <w:rPr>
                <w:sz w:val="12"/>
              </w:rPr>
            </w:pPr>
            <w:r>
              <w:rPr>
                <w:sz w:val="12"/>
              </w:rPr>
              <w:t>No existe integración urbana ni social</w:t>
            </w:r>
          </w:p>
        </w:tc>
        <w:tc>
          <w:tcPr>
            <w:tcW w:w="868" w:type="dxa"/>
            <w:tcBorders>
              <w:top w:val="single" w:sz="4" w:space="0" w:color="000000"/>
              <w:left w:val="single" w:sz="4" w:space="0" w:color="000000"/>
              <w:bottom w:val="single" w:sz="4" w:space="0" w:color="000000"/>
              <w:right w:val="single" w:sz="4" w:space="0" w:color="000000"/>
            </w:tcBorders>
          </w:tcPr>
          <w:p>
            <w:pPr>
              <w:pStyle w:val="TableParagraph"/>
              <w:spacing w:before="10"/>
              <w:jc w:val="left"/>
              <w:rPr>
                <w:sz w:val="12"/>
              </w:rPr>
            </w:pPr>
          </w:p>
          <w:p>
            <w:pPr>
              <w:pStyle w:val="TableParagraph"/>
              <w:ind w:left="39" w:right="33"/>
              <w:rPr>
                <w:sz w:val="12"/>
              </w:rPr>
            </w:pPr>
            <w:r>
              <w:rPr>
                <w:sz w:val="12"/>
              </w:rPr>
              <w:t>Si</w:t>
            </w:r>
          </w:p>
        </w:tc>
        <w:tc>
          <w:tcPr>
            <w:tcW w:w="894" w:type="dxa"/>
            <w:tcBorders>
              <w:top w:val="single" w:sz="4" w:space="0" w:color="000000"/>
              <w:left w:val="single" w:sz="4" w:space="0" w:color="000000"/>
              <w:bottom w:val="single" w:sz="4" w:space="0" w:color="000000"/>
              <w:right w:val="single" w:sz="8" w:space="0" w:color="000000"/>
            </w:tcBorders>
          </w:tcPr>
          <w:p>
            <w:pPr>
              <w:pStyle w:val="TableParagraph"/>
              <w:spacing w:before="10"/>
              <w:jc w:val="left"/>
              <w:rPr>
                <w:sz w:val="12"/>
              </w:rPr>
            </w:pPr>
          </w:p>
          <w:p>
            <w:pPr>
              <w:pStyle w:val="TableParagraph"/>
              <w:ind w:left="33" w:right="26"/>
              <w:rPr>
                <w:sz w:val="12"/>
              </w:rPr>
            </w:pPr>
            <w:r>
              <w:rPr>
                <w:sz w:val="12"/>
              </w:rPr>
              <w:t>ISS, ISA e IST</w:t>
            </w:r>
          </w:p>
        </w:tc>
      </w:tr>
      <w:tr>
        <w:trPr>
          <w:trHeight w:val="767" w:hRule="exact"/>
        </w:trPr>
        <w:tc>
          <w:tcPr>
            <w:tcW w:w="1103" w:type="dxa"/>
            <w:vMerge/>
            <w:tcBorders>
              <w:left w:val="single" w:sz="4" w:space="0" w:color="000000"/>
              <w:right w:val="single" w:sz="4" w:space="0" w:color="000000"/>
            </w:tcBorders>
          </w:tcPr>
          <w:p>
            <w:pPr/>
          </w:p>
        </w:tc>
        <w:tc>
          <w:tcPr>
            <w:tcW w:w="1757" w:type="dxa"/>
            <w:vMerge/>
            <w:tcBorders>
              <w:left w:val="single" w:sz="4" w:space="0" w:color="000000"/>
              <w:right w:val="single" w:sz="4" w:space="0" w:color="000000"/>
            </w:tcBorders>
          </w:tcPr>
          <w:p>
            <w:pPr/>
          </w:p>
        </w:tc>
        <w:tc>
          <w:tcPr>
            <w:tcW w:w="2217" w:type="dxa"/>
            <w:vMerge w:val="restart"/>
            <w:tcBorders>
              <w:top w:val="single" w:sz="4" w:space="0" w:color="000000"/>
              <w:left w:val="single" w:sz="4" w:space="0" w:color="000000"/>
              <w:right w:val="single" w:sz="4" w:space="0" w:color="000000"/>
            </w:tcBorders>
          </w:tcPr>
          <w:p>
            <w:pPr>
              <w:pStyle w:val="TableParagraph"/>
              <w:jc w:val="left"/>
              <w:rPr>
                <w:sz w:val="12"/>
              </w:rPr>
            </w:pPr>
          </w:p>
          <w:p>
            <w:pPr>
              <w:pStyle w:val="TableParagraph"/>
              <w:jc w:val="left"/>
              <w:rPr>
                <w:sz w:val="12"/>
              </w:rPr>
            </w:pPr>
          </w:p>
          <w:p>
            <w:pPr>
              <w:pStyle w:val="TableParagraph"/>
              <w:spacing w:before="6"/>
              <w:jc w:val="left"/>
              <w:rPr>
                <w:sz w:val="15"/>
              </w:rPr>
            </w:pPr>
          </w:p>
          <w:p>
            <w:pPr>
              <w:pStyle w:val="TableParagraph"/>
              <w:spacing w:line="266" w:lineRule="auto"/>
              <w:ind w:left="19" w:right="13"/>
              <w:jc w:val="both"/>
              <w:rPr>
                <w:sz w:val="12"/>
              </w:rPr>
            </w:pPr>
            <w:r>
              <w:rPr>
                <w:sz w:val="12"/>
              </w:rPr>
              <w:t>La expansión territorial ha rebasando la capacidad de los tres órdenes de gobierno para planear y controlar el proceso de urbanización de manera anticipada.</w:t>
            </w:r>
          </w:p>
        </w:tc>
        <w:tc>
          <w:tcPr>
            <w:tcW w:w="1982" w:type="dxa"/>
            <w:tcBorders>
              <w:top w:val="single" w:sz="4" w:space="0" w:color="000000"/>
              <w:left w:val="single" w:sz="4" w:space="0" w:color="000000"/>
              <w:bottom w:val="single" w:sz="4" w:space="0" w:color="000000"/>
              <w:right w:val="single" w:sz="4" w:space="0" w:color="000000"/>
            </w:tcBorders>
          </w:tcPr>
          <w:p>
            <w:pPr>
              <w:pStyle w:val="TableParagraph"/>
              <w:spacing w:before="10"/>
              <w:jc w:val="left"/>
              <w:rPr>
                <w:sz w:val="12"/>
              </w:rPr>
            </w:pPr>
          </w:p>
          <w:p>
            <w:pPr>
              <w:pStyle w:val="TableParagraph"/>
              <w:spacing w:line="266" w:lineRule="auto"/>
              <w:ind w:left="19" w:right="5"/>
              <w:jc w:val="both"/>
              <w:rPr>
                <w:sz w:val="12"/>
              </w:rPr>
            </w:pPr>
            <w:r>
              <w:rPr>
                <w:sz w:val="12"/>
              </w:rPr>
              <w:t>La dispersión y ambigüedad de la normativa federal es una debilidad aún no resuelta</w:t>
            </w:r>
          </w:p>
        </w:tc>
        <w:tc>
          <w:tcPr>
            <w:tcW w:w="868" w:type="dxa"/>
            <w:tcBorders>
              <w:top w:val="single" w:sz="4" w:space="0" w:color="000000"/>
              <w:left w:val="single" w:sz="4" w:space="0" w:color="000000"/>
              <w:bottom w:val="single" w:sz="4" w:space="0" w:color="000000"/>
              <w:right w:val="single" w:sz="4" w:space="0" w:color="000000"/>
            </w:tcBorders>
          </w:tcPr>
          <w:p>
            <w:pPr>
              <w:pStyle w:val="TableParagraph"/>
              <w:jc w:val="left"/>
              <w:rPr>
                <w:sz w:val="12"/>
              </w:rPr>
            </w:pPr>
          </w:p>
          <w:p>
            <w:pPr>
              <w:pStyle w:val="TableParagraph"/>
              <w:spacing w:before="2"/>
              <w:jc w:val="left"/>
              <w:rPr>
                <w:sz w:val="14"/>
              </w:rPr>
            </w:pPr>
          </w:p>
          <w:p>
            <w:pPr>
              <w:pStyle w:val="TableParagraph"/>
              <w:ind w:left="39" w:right="33"/>
              <w:rPr>
                <w:sz w:val="12"/>
              </w:rPr>
            </w:pPr>
            <w:r>
              <w:rPr>
                <w:sz w:val="12"/>
              </w:rPr>
              <w:t>Si</w:t>
            </w:r>
          </w:p>
        </w:tc>
        <w:tc>
          <w:tcPr>
            <w:tcW w:w="894" w:type="dxa"/>
            <w:tcBorders>
              <w:top w:val="single" w:sz="4" w:space="0" w:color="000000"/>
              <w:left w:val="single" w:sz="4" w:space="0" w:color="000000"/>
              <w:bottom w:val="single" w:sz="4" w:space="0" w:color="000000"/>
              <w:right w:val="single" w:sz="8" w:space="0" w:color="000000"/>
            </w:tcBorders>
          </w:tcPr>
          <w:p>
            <w:pPr>
              <w:pStyle w:val="TableParagraph"/>
              <w:jc w:val="left"/>
              <w:rPr>
                <w:sz w:val="12"/>
              </w:rPr>
            </w:pPr>
          </w:p>
          <w:p>
            <w:pPr>
              <w:pStyle w:val="TableParagraph"/>
              <w:spacing w:before="2"/>
              <w:jc w:val="left"/>
              <w:rPr>
                <w:sz w:val="14"/>
              </w:rPr>
            </w:pPr>
          </w:p>
          <w:p>
            <w:pPr>
              <w:pStyle w:val="TableParagraph"/>
              <w:ind w:left="33" w:right="26"/>
              <w:rPr>
                <w:sz w:val="12"/>
              </w:rPr>
            </w:pPr>
            <w:r>
              <w:rPr>
                <w:sz w:val="12"/>
              </w:rPr>
              <w:t>ISA e IST</w:t>
            </w:r>
          </w:p>
        </w:tc>
      </w:tr>
      <w:tr>
        <w:trPr>
          <w:trHeight w:val="460" w:hRule="exact"/>
        </w:trPr>
        <w:tc>
          <w:tcPr>
            <w:tcW w:w="1103" w:type="dxa"/>
            <w:vMerge/>
            <w:tcBorders>
              <w:left w:val="single" w:sz="4" w:space="0" w:color="000000"/>
              <w:right w:val="single" w:sz="4" w:space="0" w:color="000000"/>
            </w:tcBorders>
          </w:tcPr>
          <w:p>
            <w:pPr/>
          </w:p>
        </w:tc>
        <w:tc>
          <w:tcPr>
            <w:tcW w:w="1757" w:type="dxa"/>
            <w:vMerge/>
            <w:tcBorders>
              <w:left w:val="single" w:sz="4" w:space="0" w:color="000000"/>
              <w:right w:val="single" w:sz="4" w:space="0" w:color="000000"/>
            </w:tcBorders>
          </w:tcPr>
          <w:p>
            <w:pPr/>
          </w:p>
        </w:tc>
        <w:tc>
          <w:tcPr>
            <w:tcW w:w="2217" w:type="dxa"/>
            <w:vMerge/>
            <w:tcBorders>
              <w:left w:val="single" w:sz="4" w:space="0" w:color="000000"/>
              <w:right w:val="single" w:sz="4" w:space="0" w:color="000000"/>
            </w:tcBorders>
          </w:tcPr>
          <w:p>
            <w:pPr/>
          </w:p>
        </w:tc>
        <w:tc>
          <w:tcPr>
            <w:tcW w:w="1982" w:type="dxa"/>
            <w:tcBorders>
              <w:top w:val="single" w:sz="4" w:space="0" w:color="000000"/>
              <w:left w:val="single" w:sz="4" w:space="0" w:color="000000"/>
              <w:bottom w:val="single" w:sz="4" w:space="0" w:color="000000"/>
              <w:right w:val="single" w:sz="4" w:space="0" w:color="000000"/>
            </w:tcBorders>
          </w:tcPr>
          <w:p>
            <w:pPr>
              <w:pStyle w:val="TableParagraph"/>
              <w:spacing w:line="266" w:lineRule="auto"/>
              <w:ind w:left="19" w:right="12" w:firstLine="1"/>
              <w:jc w:val="both"/>
              <w:rPr>
                <w:sz w:val="12"/>
              </w:rPr>
            </w:pPr>
            <w:r>
              <w:rPr>
                <w:sz w:val="12"/>
              </w:rPr>
              <w:t>Las relaciones entre Estado e Iniciativa privada resuelve necesidades de particulares</w:t>
            </w:r>
          </w:p>
        </w:tc>
        <w:tc>
          <w:tcPr>
            <w:tcW w:w="868" w:type="dxa"/>
            <w:tcBorders>
              <w:top w:val="single" w:sz="4" w:space="0" w:color="000000"/>
              <w:left w:val="single" w:sz="4" w:space="0" w:color="000000"/>
              <w:bottom w:val="single" w:sz="4" w:space="0" w:color="000000"/>
              <w:right w:val="single" w:sz="4" w:space="0" w:color="000000"/>
            </w:tcBorders>
          </w:tcPr>
          <w:p>
            <w:pPr>
              <w:pStyle w:val="TableParagraph"/>
              <w:spacing w:before="10"/>
              <w:jc w:val="left"/>
              <w:rPr>
                <w:sz w:val="12"/>
              </w:rPr>
            </w:pPr>
          </w:p>
          <w:p>
            <w:pPr>
              <w:pStyle w:val="TableParagraph"/>
              <w:ind w:left="39" w:right="33"/>
              <w:rPr>
                <w:sz w:val="12"/>
              </w:rPr>
            </w:pPr>
            <w:r>
              <w:rPr>
                <w:sz w:val="12"/>
              </w:rPr>
              <w:t>Si</w:t>
            </w:r>
          </w:p>
        </w:tc>
        <w:tc>
          <w:tcPr>
            <w:tcW w:w="894" w:type="dxa"/>
            <w:tcBorders>
              <w:top w:val="single" w:sz="4" w:space="0" w:color="000000"/>
              <w:left w:val="single" w:sz="4" w:space="0" w:color="000000"/>
              <w:bottom w:val="single" w:sz="4" w:space="0" w:color="000000"/>
              <w:right w:val="single" w:sz="8" w:space="0" w:color="000000"/>
            </w:tcBorders>
          </w:tcPr>
          <w:p>
            <w:pPr>
              <w:pStyle w:val="TableParagraph"/>
              <w:spacing w:before="10"/>
              <w:jc w:val="left"/>
              <w:rPr>
                <w:sz w:val="12"/>
              </w:rPr>
            </w:pPr>
          </w:p>
          <w:p>
            <w:pPr>
              <w:pStyle w:val="TableParagraph"/>
              <w:ind w:left="32" w:right="26"/>
              <w:rPr>
                <w:sz w:val="12"/>
              </w:rPr>
            </w:pPr>
            <w:r>
              <w:rPr>
                <w:sz w:val="12"/>
              </w:rPr>
              <w:t>ISCU</w:t>
            </w:r>
          </w:p>
        </w:tc>
      </w:tr>
      <w:tr>
        <w:trPr>
          <w:trHeight w:val="460" w:hRule="exact"/>
        </w:trPr>
        <w:tc>
          <w:tcPr>
            <w:tcW w:w="1103" w:type="dxa"/>
            <w:vMerge/>
            <w:tcBorders>
              <w:left w:val="single" w:sz="4" w:space="0" w:color="000000"/>
              <w:right w:val="single" w:sz="4" w:space="0" w:color="000000"/>
            </w:tcBorders>
          </w:tcPr>
          <w:p>
            <w:pPr/>
          </w:p>
        </w:tc>
        <w:tc>
          <w:tcPr>
            <w:tcW w:w="1757" w:type="dxa"/>
            <w:vMerge/>
            <w:tcBorders>
              <w:left w:val="single" w:sz="4" w:space="0" w:color="000000"/>
              <w:right w:val="single" w:sz="4" w:space="0" w:color="000000"/>
            </w:tcBorders>
          </w:tcPr>
          <w:p>
            <w:pPr/>
          </w:p>
        </w:tc>
        <w:tc>
          <w:tcPr>
            <w:tcW w:w="2217" w:type="dxa"/>
            <w:vMerge/>
            <w:tcBorders>
              <w:left w:val="single" w:sz="4" w:space="0" w:color="000000"/>
              <w:bottom w:val="single" w:sz="4" w:space="0" w:color="000000"/>
              <w:right w:val="single" w:sz="4" w:space="0" w:color="000000"/>
            </w:tcBorders>
          </w:tcPr>
          <w:p>
            <w:pPr/>
          </w:p>
        </w:tc>
        <w:tc>
          <w:tcPr>
            <w:tcW w:w="1982" w:type="dxa"/>
            <w:tcBorders>
              <w:top w:val="single" w:sz="4" w:space="0" w:color="000000"/>
              <w:left w:val="single" w:sz="4" w:space="0" w:color="000000"/>
              <w:bottom w:val="single" w:sz="4" w:space="0" w:color="000000"/>
              <w:right w:val="single" w:sz="4" w:space="0" w:color="000000"/>
            </w:tcBorders>
          </w:tcPr>
          <w:p>
            <w:pPr>
              <w:pStyle w:val="TableParagraph"/>
              <w:spacing w:line="266" w:lineRule="auto"/>
              <w:ind w:left="20" w:right="13"/>
              <w:jc w:val="both"/>
              <w:rPr>
                <w:sz w:val="12"/>
              </w:rPr>
            </w:pPr>
            <w:r>
              <w:rPr>
                <w:sz w:val="12"/>
              </w:rPr>
              <w:t>Los municipios  carecen  de recursos y estructuras para la administración de su territorio</w:t>
            </w:r>
          </w:p>
        </w:tc>
        <w:tc>
          <w:tcPr>
            <w:tcW w:w="868" w:type="dxa"/>
            <w:tcBorders>
              <w:top w:val="single" w:sz="4" w:space="0" w:color="000000"/>
              <w:left w:val="single" w:sz="4" w:space="0" w:color="000000"/>
              <w:bottom w:val="single" w:sz="4" w:space="0" w:color="000000"/>
              <w:right w:val="single" w:sz="4" w:space="0" w:color="000000"/>
            </w:tcBorders>
          </w:tcPr>
          <w:p>
            <w:pPr>
              <w:pStyle w:val="TableParagraph"/>
              <w:spacing w:before="10"/>
              <w:jc w:val="left"/>
              <w:rPr>
                <w:sz w:val="12"/>
              </w:rPr>
            </w:pPr>
          </w:p>
          <w:p>
            <w:pPr>
              <w:pStyle w:val="TableParagraph"/>
              <w:ind w:left="39" w:right="33"/>
              <w:rPr>
                <w:sz w:val="12"/>
              </w:rPr>
            </w:pPr>
            <w:r>
              <w:rPr>
                <w:sz w:val="12"/>
              </w:rPr>
              <w:t>Si</w:t>
            </w:r>
          </w:p>
        </w:tc>
        <w:tc>
          <w:tcPr>
            <w:tcW w:w="894" w:type="dxa"/>
            <w:tcBorders>
              <w:top w:val="single" w:sz="4" w:space="0" w:color="000000"/>
              <w:left w:val="single" w:sz="4" w:space="0" w:color="000000"/>
              <w:bottom w:val="single" w:sz="4" w:space="0" w:color="000000"/>
              <w:right w:val="single" w:sz="8" w:space="0" w:color="000000"/>
            </w:tcBorders>
          </w:tcPr>
          <w:p>
            <w:pPr>
              <w:pStyle w:val="TableParagraph"/>
              <w:spacing w:before="10"/>
              <w:jc w:val="left"/>
              <w:rPr>
                <w:sz w:val="12"/>
              </w:rPr>
            </w:pPr>
          </w:p>
          <w:p>
            <w:pPr>
              <w:pStyle w:val="TableParagraph"/>
              <w:ind w:left="36" w:right="23"/>
              <w:rPr>
                <w:sz w:val="12"/>
              </w:rPr>
            </w:pPr>
            <w:r>
              <w:rPr>
                <w:sz w:val="12"/>
              </w:rPr>
              <w:t>ISE e IST</w:t>
            </w:r>
          </w:p>
        </w:tc>
      </w:tr>
      <w:tr>
        <w:trPr>
          <w:trHeight w:val="1533" w:hRule="exact"/>
        </w:trPr>
        <w:tc>
          <w:tcPr>
            <w:tcW w:w="1103" w:type="dxa"/>
            <w:vMerge/>
            <w:tcBorders>
              <w:left w:val="single" w:sz="4" w:space="0" w:color="000000"/>
              <w:right w:val="single" w:sz="4" w:space="0" w:color="000000"/>
            </w:tcBorders>
          </w:tcPr>
          <w:p>
            <w:pPr/>
          </w:p>
        </w:tc>
        <w:tc>
          <w:tcPr>
            <w:tcW w:w="1757" w:type="dxa"/>
            <w:vMerge/>
            <w:tcBorders>
              <w:left w:val="single" w:sz="4" w:space="0" w:color="000000"/>
              <w:right w:val="single" w:sz="4" w:space="0" w:color="000000"/>
            </w:tcBorders>
          </w:tcPr>
          <w:p>
            <w:pPr/>
          </w:p>
        </w:tc>
        <w:tc>
          <w:tcPr>
            <w:tcW w:w="2217" w:type="dxa"/>
            <w:vMerge w:val="restart"/>
            <w:tcBorders>
              <w:top w:val="single" w:sz="4" w:space="0" w:color="000000"/>
              <w:left w:val="single" w:sz="4" w:space="0" w:color="000000"/>
              <w:right w:val="single" w:sz="4" w:space="0" w:color="000000"/>
            </w:tcBorders>
          </w:tcPr>
          <w:p>
            <w:pPr>
              <w:pStyle w:val="TableParagraph"/>
              <w:jc w:val="left"/>
              <w:rPr>
                <w:sz w:val="12"/>
              </w:rPr>
            </w:pPr>
          </w:p>
          <w:p>
            <w:pPr>
              <w:pStyle w:val="TableParagraph"/>
              <w:jc w:val="left"/>
              <w:rPr>
                <w:sz w:val="12"/>
              </w:rPr>
            </w:pPr>
          </w:p>
          <w:p>
            <w:pPr>
              <w:pStyle w:val="TableParagraph"/>
              <w:jc w:val="left"/>
              <w:rPr>
                <w:sz w:val="12"/>
              </w:rPr>
            </w:pPr>
          </w:p>
          <w:p>
            <w:pPr>
              <w:pStyle w:val="TableParagraph"/>
              <w:spacing w:line="266" w:lineRule="auto" w:before="81"/>
              <w:ind w:left="19" w:right="5" w:firstLine="1"/>
              <w:jc w:val="both"/>
              <w:rPr>
                <w:sz w:val="12"/>
              </w:rPr>
            </w:pPr>
            <w:r>
              <w:rPr>
                <w:sz w:val="12"/>
              </w:rPr>
              <w:t>La configuración, dimensión y características de  la  expansión territorial de las  ciudades  en  un Sistema Urbano Nacional (a partir de la proliferación de grandes desarrollos habitacionales,) denota una gestión conducida para efectos  prácticos  por las empresas promotoras de vivienda y no por las autoridades competentes en esta</w:t>
            </w:r>
            <w:r>
              <w:rPr>
                <w:spacing w:val="14"/>
                <w:sz w:val="12"/>
              </w:rPr>
              <w:t> </w:t>
            </w:r>
            <w:r>
              <w:rPr>
                <w:sz w:val="12"/>
              </w:rPr>
              <w:t>materia.</w:t>
            </w:r>
          </w:p>
        </w:tc>
        <w:tc>
          <w:tcPr>
            <w:tcW w:w="1982" w:type="dxa"/>
            <w:tcBorders>
              <w:top w:val="single" w:sz="4" w:space="0" w:color="000000"/>
              <w:left w:val="single" w:sz="4" w:space="0" w:color="000000"/>
              <w:bottom w:val="single" w:sz="4" w:space="0" w:color="000000"/>
              <w:right w:val="single" w:sz="4" w:space="0" w:color="000000"/>
            </w:tcBorders>
          </w:tcPr>
          <w:p>
            <w:pPr>
              <w:pStyle w:val="TableParagraph"/>
              <w:jc w:val="left"/>
              <w:rPr>
                <w:sz w:val="12"/>
              </w:rPr>
            </w:pPr>
          </w:p>
          <w:p>
            <w:pPr>
              <w:pStyle w:val="TableParagraph"/>
              <w:spacing w:line="266" w:lineRule="auto" w:before="81"/>
              <w:ind w:left="19" w:right="14" w:firstLine="1"/>
              <w:jc w:val="both"/>
              <w:rPr>
                <w:sz w:val="12"/>
              </w:rPr>
            </w:pPr>
            <w:r>
              <w:rPr>
                <w:sz w:val="12"/>
              </w:rPr>
              <w:t>La vivienda en México es un negocio de particulares que ha logrado indexarse incluso en la bolsa mexicana de valores  y  hoy en día cuenta con un índice que refleja el comportamiento del mercado del sector </w:t>
            </w:r>
            <w:r>
              <w:rPr>
                <w:spacing w:val="2"/>
                <w:sz w:val="12"/>
              </w:rPr>
              <w:t> </w:t>
            </w:r>
            <w:r>
              <w:rPr>
                <w:sz w:val="12"/>
              </w:rPr>
              <w:t>habitacional.</w:t>
            </w:r>
          </w:p>
        </w:tc>
        <w:tc>
          <w:tcPr>
            <w:tcW w:w="868" w:type="dxa"/>
            <w:tcBorders>
              <w:top w:val="single" w:sz="4" w:space="0" w:color="000000"/>
              <w:left w:val="single" w:sz="4" w:space="0" w:color="000000"/>
              <w:bottom w:val="single" w:sz="4" w:space="0" w:color="000000"/>
              <w:right w:val="single" w:sz="4" w:space="0" w:color="000000"/>
            </w:tcBorders>
          </w:tcPr>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spacing w:before="1"/>
              <w:jc w:val="left"/>
              <w:rPr>
                <w:sz w:val="11"/>
              </w:rPr>
            </w:pPr>
          </w:p>
          <w:p>
            <w:pPr>
              <w:pStyle w:val="TableParagraph"/>
              <w:ind w:left="39" w:right="33"/>
              <w:rPr>
                <w:sz w:val="12"/>
              </w:rPr>
            </w:pPr>
            <w:r>
              <w:rPr>
                <w:sz w:val="12"/>
              </w:rPr>
              <w:t>Si</w:t>
            </w:r>
          </w:p>
        </w:tc>
        <w:tc>
          <w:tcPr>
            <w:tcW w:w="894" w:type="dxa"/>
            <w:tcBorders>
              <w:top w:val="single" w:sz="4" w:space="0" w:color="000000"/>
              <w:left w:val="single" w:sz="4" w:space="0" w:color="000000"/>
              <w:bottom w:val="single" w:sz="4" w:space="0" w:color="000000"/>
              <w:right w:val="single" w:sz="8" w:space="0" w:color="000000"/>
            </w:tcBorders>
          </w:tcPr>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spacing w:before="1"/>
              <w:jc w:val="left"/>
              <w:rPr>
                <w:sz w:val="11"/>
              </w:rPr>
            </w:pPr>
          </w:p>
          <w:p>
            <w:pPr>
              <w:pStyle w:val="TableParagraph"/>
              <w:ind w:left="36" w:right="23"/>
              <w:rPr>
                <w:sz w:val="12"/>
              </w:rPr>
            </w:pPr>
            <w:r>
              <w:rPr>
                <w:sz w:val="12"/>
              </w:rPr>
              <w:t>ISS, ISE e IST</w:t>
            </w:r>
          </w:p>
        </w:tc>
      </w:tr>
      <w:tr>
        <w:trPr>
          <w:trHeight w:val="1012" w:hRule="exact"/>
        </w:trPr>
        <w:tc>
          <w:tcPr>
            <w:tcW w:w="1103" w:type="dxa"/>
            <w:vMerge/>
            <w:tcBorders>
              <w:left w:val="single" w:sz="4" w:space="0" w:color="000000"/>
              <w:right w:val="single" w:sz="4" w:space="0" w:color="000000"/>
            </w:tcBorders>
          </w:tcPr>
          <w:p>
            <w:pPr/>
          </w:p>
        </w:tc>
        <w:tc>
          <w:tcPr>
            <w:tcW w:w="1757" w:type="dxa"/>
            <w:vMerge/>
            <w:tcBorders>
              <w:left w:val="single" w:sz="4" w:space="0" w:color="000000"/>
              <w:right w:val="single" w:sz="4" w:space="0" w:color="000000"/>
            </w:tcBorders>
          </w:tcPr>
          <w:p>
            <w:pPr/>
          </w:p>
        </w:tc>
        <w:tc>
          <w:tcPr>
            <w:tcW w:w="2217" w:type="dxa"/>
            <w:vMerge/>
            <w:tcBorders>
              <w:left w:val="single" w:sz="4" w:space="0" w:color="000000"/>
              <w:bottom w:val="single" w:sz="4" w:space="0" w:color="000000"/>
              <w:right w:val="single" w:sz="4" w:space="0" w:color="000000"/>
            </w:tcBorders>
          </w:tcPr>
          <w:p>
            <w:pPr/>
          </w:p>
        </w:tc>
        <w:tc>
          <w:tcPr>
            <w:tcW w:w="1982" w:type="dxa"/>
            <w:tcBorders>
              <w:top w:val="single" w:sz="4" w:space="0" w:color="000000"/>
              <w:left w:val="single" w:sz="4" w:space="0" w:color="000000"/>
              <w:bottom w:val="single" w:sz="4" w:space="0" w:color="000000"/>
              <w:right w:val="single" w:sz="4" w:space="0" w:color="000000"/>
            </w:tcBorders>
          </w:tcPr>
          <w:p>
            <w:pPr>
              <w:pStyle w:val="TableParagraph"/>
              <w:spacing w:line="266" w:lineRule="auto" w:before="35"/>
              <w:ind w:left="20" w:right="7"/>
              <w:jc w:val="both"/>
              <w:rPr>
                <w:sz w:val="12"/>
              </w:rPr>
            </w:pPr>
            <w:r>
              <w:rPr>
                <w:sz w:val="12"/>
              </w:rPr>
              <w:t>CONAVI, SEDATU, INFONAVIT, SHF,      PROVIVAC,     CANADEVI,</w:t>
            </w:r>
          </w:p>
          <w:p>
            <w:pPr>
              <w:pStyle w:val="TableParagraph"/>
              <w:spacing w:line="266" w:lineRule="auto"/>
              <w:ind w:left="19" w:right="11"/>
              <w:jc w:val="both"/>
              <w:rPr>
                <w:sz w:val="12"/>
              </w:rPr>
            </w:pPr>
            <w:r>
              <w:rPr>
                <w:sz w:val="12"/>
              </w:rPr>
              <w:t>CMIC y otras más. Son dependencias y organizaciones dirigidas por el Estado  y  la iniciativa</w:t>
            </w:r>
            <w:r>
              <w:rPr>
                <w:spacing w:val="19"/>
                <w:sz w:val="12"/>
              </w:rPr>
              <w:t> </w:t>
            </w:r>
            <w:r>
              <w:rPr>
                <w:sz w:val="12"/>
              </w:rPr>
              <w:t>privada.</w:t>
            </w:r>
          </w:p>
        </w:tc>
        <w:tc>
          <w:tcPr>
            <w:tcW w:w="868" w:type="dxa"/>
            <w:tcBorders>
              <w:top w:val="single" w:sz="4" w:space="0" w:color="000000"/>
              <w:left w:val="single" w:sz="4" w:space="0" w:color="000000"/>
              <w:bottom w:val="single" w:sz="4" w:space="0" w:color="000000"/>
              <w:right w:val="single" w:sz="4" w:space="0" w:color="000000"/>
            </w:tcBorders>
          </w:tcPr>
          <w:p>
            <w:pPr>
              <w:pStyle w:val="TableParagraph"/>
              <w:jc w:val="left"/>
              <w:rPr>
                <w:sz w:val="12"/>
              </w:rPr>
            </w:pPr>
          </w:p>
          <w:p>
            <w:pPr>
              <w:pStyle w:val="TableParagraph"/>
              <w:jc w:val="left"/>
              <w:rPr>
                <w:sz w:val="12"/>
              </w:rPr>
            </w:pPr>
          </w:p>
          <w:p>
            <w:pPr>
              <w:pStyle w:val="TableParagraph"/>
              <w:spacing w:before="10"/>
              <w:jc w:val="left"/>
              <w:rPr>
                <w:sz w:val="12"/>
              </w:rPr>
            </w:pPr>
          </w:p>
          <w:p>
            <w:pPr>
              <w:pStyle w:val="TableParagraph"/>
              <w:ind w:left="39" w:right="33"/>
              <w:rPr>
                <w:sz w:val="12"/>
              </w:rPr>
            </w:pPr>
            <w:r>
              <w:rPr>
                <w:sz w:val="12"/>
              </w:rPr>
              <w:t>Si</w:t>
            </w:r>
          </w:p>
        </w:tc>
        <w:tc>
          <w:tcPr>
            <w:tcW w:w="894" w:type="dxa"/>
            <w:tcBorders>
              <w:top w:val="single" w:sz="4" w:space="0" w:color="000000"/>
              <w:left w:val="single" w:sz="4" w:space="0" w:color="000000"/>
              <w:bottom w:val="single" w:sz="4" w:space="0" w:color="000000"/>
              <w:right w:val="single" w:sz="8" w:space="0" w:color="000000"/>
            </w:tcBorders>
          </w:tcPr>
          <w:p>
            <w:pPr>
              <w:pStyle w:val="TableParagraph"/>
              <w:jc w:val="left"/>
              <w:rPr>
                <w:sz w:val="12"/>
              </w:rPr>
            </w:pPr>
          </w:p>
          <w:p>
            <w:pPr>
              <w:pStyle w:val="TableParagraph"/>
              <w:jc w:val="left"/>
              <w:rPr>
                <w:sz w:val="12"/>
              </w:rPr>
            </w:pPr>
          </w:p>
          <w:p>
            <w:pPr>
              <w:pStyle w:val="TableParagraph"/>
              <w:spacing w:before="10"/>
              <w:jc w:val="left"/>
              <w:rPr>
                <w:sz w:val="12"/>
              </w:rPr>
            </w:pPr>
          </w:p>
          <w:p>
            <w:pPr>
              <w:pStyle w:val="TableParagraph"/>
              <w:ind w:left="32" w:right="26"/>
              <w:rPr>
                <w:sz w:val="12"/>
              </w:rPr>
            </w:pPr>
            <w:r>
              <w:rPr>
                <w:sz w:val="12"/>
              </w:rPr>
              <w:t>ISCU</w:t>
            </w:r>
          </w:p>
        </w:tc>
      </w:tr>
      <w:tr>
        <w:trPr>
          <w:trHeight w:val="562" w:hRule="exact"/>
        </w:trPr>
        <w:tc>
          <w:tcPr>
            <w:tcW w:w="1103" w:type="dxa"/>
            <w:vMerge/>
            <w:tcBorders>
              <w:left w:val="single" w:sz="4" w:space="0" w:color="000000"/>
              <w:right w:val="single" w:sz="4" w:space="0" w:color="000000"/>
            </w:tcBorders>
          </w:tcPr>
          <w:p>
            <w:pPr/>
          </w:p>
        </w:tc>
        <w:tc>
          <w:tcPr>
            <w:tcW w:w="1757" w:type="dxa"/>
            <w:vMerge/>
            <w:tcBorders>
              <w:left w:val="single" w:sz="4" w:space="0" w:color="000000"/>
              <w:bottom w:val="single" w:sz="4" w:space="0" w:color="000000"/>
              <w:right w:val="single" w:sz="4" w:space="0" w:color="000000"/>
            </w:tcBorders>
          </w:tcPr>
          <w:p>
            <w:pPr/>
          </w:p>
        </w:tc>
        <w:tc>
          <w:tcPr>
            <w:tcW w:w="2217" w:type="dxa"/>
            <w:vMerge w:val="restart"/>
            <w:tcBorders>
              <w:top w:val="single" w:sz="4" w:space="0" w:color="000000"/>
              <w:left w:val="single" w:sz="4" w:space="0" w:color="000000"/>
              <w:right w:val="single" w:sz="4" w:space="0" w:color="000000"/>
            </w:tcBorders>
          </w:tcPr>
          <w:p>
            <w:pPr>
              <w:pStyle w:val="TableParagraph"/>
              <w:jc w:val="left"/>
              <w:rPr>
                <w:sz w:val="12"/>
              </w:rPr>
            </w:pPr>
          </w:p>
          <w:p>
            <w:pPr>
              <w:pStyle w:val="TableParagraph"/>
              <w:spacing w:before="7"/>
              <w:jc w:val="left"/>
              <w:rPr>
                <w:sz w:val="10"/>
              </w:rPr>
            </w:pPr>
          </w:p>
          <w:p>
            <w:pPr>
              <w:pStyle w:val="TableParagraph"/>
              <w:spacing w:line="266" w:lineRule="auto"/>
              <w:ind w:left="19" w:right="7" w:firstLine="1"/>
              <w:jc w:val="both"/>
              <w:rPr>
                <w:sz w:val="12"/>
              </w:rPr>
            </w:pPr>
            <w:r>
              <w:rPr>
                <w:sz w:val="12"/>
              </w:rPr>
              <w:t>La calidad de la infraestructura, equipamiento y servicios públicos en algunos conjuntos habitacionales en México son de mediana calidad, esto esta  determinado  por  las autorizaciones de los desarrollos las cuales no respetan los planes ni los instrumentos de planeación.</w:t>
            </w:r>
          </w:p>
        </w:tc>
        <w:tc>
          <w:tcPr>
            <w:tcW w:w="1982" w:type="dxa"/>
            <w:tcBorders>
              <w:top w:val="single" w:sz="4" w:space="0" w:color="000000"/>
              <w:left w:val="single" w:sz="4" w:space="0" w:color="000000"/>
              <w:bottom w:val="single" w:sz="4" w:space="0" w:color="000000"/>
              <w:right w:val="single" w:sz="4" w:space="0" w:color="000000"/>
            </w:tcBorders>
          </w:tcPr>
          <w:p>
            <w:pPr>
              <w:pStyle w:val="TableParagraph"/>
              <w:spacing w:before="2"/>
              <w:jc w:val="left"/>
              <w:rPr>
                <w:sz w:val="10"/>
              </w:rPr>
            </w:pPr>
          </w:p>
          <w:p>
            <w:pPr>
              <w:pStyle w:val="TableParagraph"/>
              <w:spacing w:line="266" w:lineRule="auto"/>
              <w:ind w:left="19" w:right="64" w:firstLine="1"/>
              <w:jc w:val="left"/>
              <w:rPr>
                <w:sz w:val="12"/>
              </w:rPr>
            </w:pPr>
            <w:r>
              <w:rPr>
                <w:sz w:val="12"/>
              </w:rPr>
              <w:t>Inconguencia de la normativa en  los tres niveles de</w:t>
            </w:r>
            <w:r>
              <w:rPr>
                <w:spacing w:val="29"/>
                <w:sz w:val="12"/>
              </w:rPr>
              <w:t> </w:t>
            </w:r>
            <w:r>
              <w:rPr>
                <w:sz w:val="12"/>
              </w:rPr>
              <w:t>gobierno.</w:t>
            </w:r>
          </w:p>
        </w:tc>
        <w:tc>
          <w:tcPr>
            <w:tcW w:w="868"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sz w:val="17"/>
              </w:rPr>
            </w:pPr>
          </w:p>
          <w:p>
            <w:pPr>
              <w:pStyle w:val="TableParagraph"/>
              <w:ind w:left="39" w:right="33"/>
              <w:rPr>
                <w:sz w:val="12"/>
              </w:rPr>
            </w:pPr>
            <w:r>
              <w:rPr>
                <w:sz w:val="12"/>
              </w:rPr>
              <w:t>Si</w:t>
            </w:r>
          </w:p>
        </w:tc>
        <w:tc>
          <w:tcPr>
            <w:tcW w:w="894" w:type="dxa"/>
            <w:tcBorders>
              <w:top w:val="single" w:sz="4" w:space="0" w:color="000000"/>
              <w:left w:val="single" w:sz="4" w:space="0" w:color="000000"/>
              <w:bottom w:val="single" w:sz="4" w:space="0" w:color="000000"/>
              <w:right w:val="single" w:sz="8" w:space="0" w:color="000000"/>
            </w:tcBorders>
          </w:tcPr>
          <w:p>
            <w:pPr>
              <w:pStyle w:val="TableParagraph"/>
              <w:spacing w:before="3"/>
              <w:jc w:val="left"/>
              <w:rPr>
                <w:sz w:val="17"/>
              </w:rPr>
            </w:pPr>
          </w:p>
          <w:p>
            <w:pPr>
              <w:pStyle w:val="TableParagraph"/>
              <w:ind w:left="32" w:right="26"/>
              <w:rPr>
                <w:sz w:val="12"/>
              </w:rPr>
            </w:pPr>
            <w:r>
              <w:rPr>
                <w:sz w:val="12"/>
              </w:rPr>
              <w:t>ISCU</w:t>
            </w:r>
          </w:p>
        </w:tc>
      </w:tr>
      <w:tr>
        <w:trPr>
          <w:trHeight w:val="532" w:hRule="exact"/>
        </w:trPr>
        <w:tc>
          <w:tcPr>
            <w:tcW w:w="1103" w:type="dxa"/>
            <w:vMerge/>
            <w:tcBorders>
              <w:left w:val="single" w:sz="4" w:space="0" w:color="000000"/>
              <w:right w:val="single" w:sz="4" w:space="0" w:color="000000"/>
            </w:tcBorders>
          </w:tcPr>
          <w:p>
            <w:pPr/>
          </w:p>
        </w:tc>
        <w:tc>
          <w:tcPr>
            <w:tcW w:w="1757" w:type="dxa"/>
            <w:tcBorders>
              <w:top w:val="single" w:sz="4" w:space="0" w:color="000000"/>
              <w:left w:val="single" w:sz="4" w:space="0" w:color="000000"/>
              <w:bottom w:val="single" w:sz="4" w:space="0" w:color="000000"/>
              <w:right w:val="single" w:sz="4" w:space="0" w:color="000000"/>
            </w:tcBorders>
          </w:tcPr>
          <w:p>
            <w:pPr/>
          </w:p>
        </w:tc>
        <w:tc>
          <w:tcPr>
            <w:tcW w:w="2217" w:type="dxa"/>
            <w:vMerge/>
            <w:tcBorders>
              <w:left w:val="single" w:sz="4" w:space="0" w:color="000000"/>
              <w:right w:val="single" w:sz="4" w:space="0" w:color="000000"/>
            </w:tcBorders>
          </w:tcPr>
          <w:p>
            <w:pPr/>
          </w:p>
        </w:tc>
        <w:tc>
          <w:tcPr>
            <w:tcW w:w="1982" w:type="dxa"/>
            <w:tcBorders>
              <w:top w:val="single" w:sz="4" w:space="0" w:color="000000"/>
              <w:left w:val="single" w:sz="4" w:space="0" w:color="000000"/>
              <w:bottom w:val="single" w:sz="4" w:space="0" w:color="000000"/>
              <w:right w:val="single" w:sz="4" w:space="0" w:color="000000"/>
            </w:tcBorders>
          </w:tcPr>
          <w:p>
            <w:pPr>
              <w:pStyle w:val="TableParagraph"/>
              <w:spacing w:line="266" w:lineRule="auto" w:before="25"/>
              <w:ind w:left="19" w:right="8"/>
              <w:jc w:val="both"/>
              <w:rPr>
                <w:sz w:val="12"/>
              </w:rPr>
            </w:pPr>
            <w:r>
              <w:rPr>
                <w:sz w:val="12"/>
              </w:rPr>
              <w:t>Falta de recursos para las administraciones municipales y estatales.</w:t>
            </w:r>
          </w:p>
        </w:tc>
        <w:tc>
          <w:tcPr>
            <w:tcW w:w="868" w:type="dxa"/>
            <w:tcBorders>
              <w:top w:val="single" w:sz="4" w:space="0" w:color="000000"/>
              <w:left w:val="single" w:sz="4" w:space="0" w:color="000000"/>
              <w:bottom w:val="single" w:sz="4" w:space="0" w:color="000000"/>
              <w:right w:val="single" w:sz="4" w:space="0" w:color="000000"/>
            </w:tcBorders>
          </w:tcPr>
          <w:p>
            <w:pPr>
              <w:pStyle w:val="TableParagraph"/>
              <w:spacing w:before="6"/>
              <w:jc w:val="left"/>
              <w:rPr>
                <w:sz w:val="15"/>
              </w:rPr>
            </w:pPr>
          </w:p>
          <w:p>
            <w:pPr>
              <w:pStyle w:val="TableParagraph"/>
              <w:ind w:left="39" w:right="33"/>
              <w:rPr>
                <w:sz w:val="12"/>
              </w:rPr>
            </w:pPr>
            <w:r>
              <w:rPr>
                <w:sz w:val="12"/>
              </w:rPr>
              <w:t>Si</w:t>
            </w:r>
          </w:p>
        </w:tc>
        <w:tc>
          <w:tcPr>
            <w:tcW w:w="894" w:type="dxa"/>
            <w:tcBorders>
              <w:top w:val="single" w:sz="4" w:space="0" w:color="000000"/>
              <w:left w:val="single" w:sz="4" w:space="0" w:color="000000"/>
              <w:bottom w:val="single" w:sz="4" w:space="0" w:color="000000"/>
              <w:right w:val="single" w:sz="8" w:space="0" w:color="000000"/>
            </w:tcBorders>
          </w:tcPr>
          <w:p>
            <w:pPr>
              <w:pStyle w:val="TableParagraph"/>
              <w:spacing w:before="6"/>
              <w:jc w:val="left"/>
              <w:rPr>
                <w:sz w:val="15"/>
              </w:rPr>
            </w:pPr>
          </w:p>
          <w:p>
            <w:pPr>
              <w:pStyle w:val="TableParagraph"/>
              <w:ind w:left="32" w:right="26"/>
              <w:rPr>
                <w:sz w:val="12"/>
              </w:rPr>
            </w:pPr>
            <w:r>
              <w:rPr>
                <w:sz w:val="12"/>
              </w:rPr>
              <w:t>ISCU</w:t>
            </w:r>
          </w:p>
        </w:tc>
      </w:tr>
      <w:tr>
        <w:trPr>
          <w:trHeight w:val="664" w:hRule="exact"/>
        </w:trPr>
        <w:tc>
          <w:tcPr>
            <w:tcW w:w="1103" w:type="dxa"/>
            <w:vMerge/>
            <w:tcBorders>
              <w:left w:val="single" w:sz="4" w:space="0" w:color="000000"/>
              <w:right w:val="single" w:sz="4" w:space="0" w:color="000000"/>
            </w:tcBorders>
          </w:tcPr>
          <w:p>
            <w:pPr/>
          </w:p>
        </w:tc>
        <w:tc>
          <w:tcPr>
            <w:tcW w:w="1757" w:type="dxa"/>
            <w:tcBorders>
              <w:top w:val="single" w:sz="4" w:space="0" w:color="000000"/>
              <w:left w:val="single" w:sz="4" w:space="0" w:color="000000"/>
              <w:bottom w:val="single" w:sz="4" w:space="0" w:color="000000"/>
              <w:right w:val="single" w:sz="4" w:space="0" w:color="000000"/>
            </w:tcBorders>
          </w:tcPr>
          <w:p>
            <w:pPr/>
          </w:p>
        </w:tc>
        <w:tc>
          <w:tcPr>
            <w:tcW w:w="2217" w:type="dxa"/>
            <w:vMerge/>
            <w:tcBorders>
              <w:left w:val="single" w:sz="4" w:space="0" w:color="000000"/>
              <w:bottom w:val="single" w:sz="4" w:space="0" w:color="000000"/>
              <w:right w:val="single" w:sz="4" w:space="0" w:color="000000"/>
            </w:tcBorders>
          </w:tcPr>
          <w:p>
            <w:pPr/>
          </w:p>
        </w:tc>
        <w:tc>
          <w:tcPr>
            <w:tcW w:w="1982" w:type="dxa"/>
            <w:tcBorders>
              <w:top w:val="single" w:sz="4" w:space="0" w:color="000000"/>
              <w:left w:val="single" w:sz="4" w:space="0" w:color="000000"/>
              <w:bottom w:val="single" w:sz="4" w:space="0" w:color="000000"/>
              <w:right w:val="single" w:sz="4" w:space="0" w:color="000000"/>
            </w:tcBorders>
          </w:tcPr>
          <w:p>
            <w:pPr>
              <w:pStyle w:val="TableParagraph"/>
              <w:spacing w:line="266" w:lineRule="auto" w:before="15"/>
              <w:ind w:left="19" w:right="4"/>
              <w:jc w:val="both"/>
              <w:rPr>
                <w:sz w:val="12"/>
              </w:rPr>
            </w:pPr>
            <w:r>
              <w:rPr>
                <w:sz w:val="12"/>
              </w:rPr>
              <w:t>Falta de profesionales expertos en los cargos clave de las administraciones relacionadas  con el tema.</w:t>
            </w:r>
          </w:p>
        </w:tc>
        <w:tc>
          <w:tcPr>
            <w:tcW w:w="868" w:type="dxa"/>
            <w:tcBorders>
              <w:top w:val="single" w:sz="4" w:space="0" w:color="000000"/>
              <w:left w:val="single" w:sz="4" w:space="0" w:color="000000"/>
              <w:bottom w:val="single" w:sz="4" w:space="0" w:color="000000"/>
              <w:right w:val="single" w:sz="4" w:space="0" w:color="000000"/>
            </w:tcBorders>
          </w:tcPr>
          <w:p>
            <w:pPr>
              <w:pStyle w:val="TableParagraph"/>
              <w:jc w:val="left"/>
              <w:rPr>
                <w:sz w:val="12"/>
              </w:rPr>
            </w:pPr>
          </w:p>
          <w:p>
            <w:pPr>
              <w:pStyle w:val="TableParagraph"/>
              <w:spacing w:before="8"/>
              <w:jc w:val="left"/>
              <w:rPr>
                <w:sz w:val="9"/>
              </w:rPr>
            </w:pPr>
          </w:p>
          <w:p>
            <w:pPr>
              <w:pStyle w:val="TableParagraph"/>
              <w:spacing w:before="1"/>
              <w:ind w:left="39" w:right="33"/>
              <w:rPr>
                <w:sz w:val="12"/>
              </w:rPr>
            </w:pPr>
            <w:r>
              <w:rPr>
                <w:sz w:val="12"/>
              </w:rPr>
              <w:t>Si</w:t>
            </w:r>
          </w:p>
        </w:tc>
        <w:tc>
          <w:tcPr>
            <w:tcW w:w="894" w:type="dxa"/>
            <w:tcBorders>
              <w:top w:val="single" w:sz="4" w:space="0" w:color="000000"/>
              <w:left w:val="single" w:sz="4" w:space="0" w:color="000000"/>
              <w:bottom w:val="single" w:sz="4" w:space="0" w:color="000000"/>
              <w:right w:val="single" w:sz="8" w:space="0" w:color="000000"/>
            </w:tcBorders>
          </w:tcPr>
          <w:p>
            <w:pPr>
              <w:pStyle w:val="TableParagraph"/>
              <w:jc w:val="left"/>
              <w:rPr>
                <w:sz w:val="12"/>
              </w:rPr>
            </w:pPr>
          </w:p>
          <w:p>
            <w:pPr>
              <w:pStyle w:val="TableParagraph"/>
              <w:spacing w:before="8"/>
              <w:jc w:val="left"/>
              <w:rPr>
                <w:sz w:val="9"/>
              </w:rPr>
            </w:pPr>
          </w:p>
          <w:p>
            <w:pPr>
              <w:pStyle w:val="TableParagraph"/>
              <w:spacing w:before="1"/>
              <w:ind w:left="32" w:right="26"/>
              <w:rPr>
                <w:sz w:val="12"/>
              </w:rPr>
            </w:pPr>
            <w:r>
              <w:rPr>
                <w:sz w:val="12"/>
              </w:rPr>
              <w:t>ISCU</w:t>
            </w:r>
          </w:p>
        </w:tc>
      </w:tr>
      <w:tr>
        <w:trPr>
          <w:trHeight w:val="1533" w:hRule="exact"/>
        </w:trPr>
        <w:tc>
          <w:tcPr>
            <w:tcW w:w="1103" w:type="dxa"/>
            <w:vMerge/>
            <w:tcBorders>
              <w:left w:val="single" w:sz="4" w:space="0" w:color="000000"/>
              <w:bottom w:val="single" w:sz="4" w:space="0" w:color="000000"/>
              <w:right w:val="single" w:sz="4" w:space="0" w:color="000000"/>
            </w:tcBorders>
          </w:tcPr>
          <w:p>
            <w:pPr/>
          </w:p>
        </w:tc>
        <w:tc>
          <w:tcPr>
            <w:tcW w:w="1757" w:type="dxa"/>
            <w:tcBorders>
              <w:top w:val="single" w:sz="4" w:space="0" w:color="000000"/>
              <w:left w:val="single" w:sz="4" w:space="0" w:color="000000"/>
              <w:bottom w:val="single" w:sz="4" w:space="0" w:color="000000"/>
              <w:right w:val="single" w:sz="4" w:space="0" w:color="000000"/>
            </w:tcBorders>
          </w:tcPr>
          <w:p>
            <w:pPr>
              <w:pStyle w:val="TableParagraph"/>
              <w:jc w:val="left"/>
              <w:rPr>
                <w:sz w:val="12"/>
              </w:rPr>
            </w:pPr>
          </w:p>
          <w:p>
            <w:pPr>
              <w:pStyle w:val="TableParagraph"/>
              <w:jc w:val="left"/>
              <w:rPr>
                <w:sz w:val="12"/>
              </w:rPr>
            </w:pPr>
          </w:p>
          <w:p>
            <w:pPr>
              <w:pStyle w:val="TableParagraph"/>
              <w:jc w:val="left"/>
              <w:rPr>
                <w:sz w:val="12"/>
              </w:rPr>
            </w:pPr>
          </w:p>
          <w:p>
            <w:pPr>
              <w:pStyle w:val="TableParagraph"/>
              <w:spacing w:before="10"/>
              <w:jc w:val="left"/>
              <w:rPr>
                <w:sz w:val="16"/>
              </w:rPr>
            </w:pPr>
          </w:p>
          <w:p>
            <w:pPr>
              <w:pStyle w:val="TableParagraph"/>
              <w:spacing w:line="266" w:lineRule="auto"/>
              <w:ind w:left="20" w:right="46"/>
              <w:jc w:val="left"/>
              <w:rPr>
                <w:sz w:val="12"/>
              </w:rPr>
            </w:pPr>
            <w:r>
              <w:rPr>
                <w:sz w:val="12"/>
              </w:rPr>
              <w:t>Castro, Coulomb, León y Puebla (2006)</w:t>
            </w:r>
          </w:p>
        </w:tc>
        <w:tc>
          <w:tcPr>
            <w:tcW w:w="2217" w:type="dxa"/>
            <w:tcBorders>
              <w:top w:val="single" w:sz="4" w:space="0" w:color="000000"/>
              <w:left w:val="single" w:sz="4" w:space="0" w:color="000000"/>
              <w:bottom w:val="single" w:sz="4" w:space="0" w:color="000000"/>
              <w:right w:val="single" w:sz="4" w:space="0" w:color="000000"/>
            </w:tcBorders>
          </w:tcPr>
          <w:p>
            <w:pPr>
              <w:pStyle w:val="TableParagraph"/>
              <w:spacing w:line="266" w:lineRule="auto"/>
              <w:ind w:left="19" w:right="7" w:firstLine="1"/>
              <w:jc w:val="both"/>
              <w:rPr>
                <w:sz w:val="12"/>
              </w:rPr>
            </w:pPr>
            <w:r>
              <w:rPr>
                <w:sz w:val="12"/>
              </w:rPr>
              <w:t>Los grandes desarrolladores privados y el Estado, bajo un contexto de complicidad, participan en el desarrollo de los  programas,  estrategias  y políticas de vivienda en el país, permitiendo observar el  protagonismo de la iniciativa privada en el desarrollo  de vivienda formal y en paralelo, su participación en la configuración del territorio.</w:t>
            </w:r>
          </w:p>
        </w:tc>
        <w:tc>
          <w:tcPr>
            <w:tcW w:w="1982" w:type="dxa"/>
            <w:tcBorders>
              <w:top w:val="single" w:sz="4" w:space="0" w:color="000000"/>
              <w:left w:val="single" w:sz="4" w:space="0" w:color="000000"/>
              <w:bottom w:val="single" w:sz="4" w:space="0" w:color="000000"/>
              <w:right w:val="single" w:sz="4" w:space="0" w:color="000000"/>
            </w:tcBorders>
          </w:tcPr>
          <w:p>
            <w:pPr>
              <w:pStyle w:val="TableParagraph"/>
              <w:jc w:val="left"/>
              <w:rPr>
                <w:sz w:val="12"/>
              </w:rPr>
            </w:pPr>
          </w:p>
          <w:p>
            <w:pPr>
              <w:pStyle w:val="TableParagraph"/>
              <w:tabs>
                <w:tab w:pos="1000" w:val="left" w:leader="none"/>
                <w:tab w:pos="1420" w:val="left" w:leader="none"/>
              </w:tabs>
              <w:spacing w:line="266" w:lineRule="auto" w:before="81"/>
              <w:ind w:left="19" w:right="4" w:firstLine="1"/>
              <w:jc w:val="both"/>
              <w:rPr>
                <w:sz w:val="12"/>
              </w:rPr>
            </w:pPr>
            <w:r>
              <w:rPr>
                <w:sz w:val="12"/>
              </w:rPr>
              <w:t>Los conjuntos urbanos autorizados en el municipio de Calimaya, pertenecen</w:t>
              <w:tab/>
              <w:t>a</w:t>
              <w:tab/>
              <w:t>empresas inmobiliarias  importantes   en México solo existen dos empresas locales que participan en el municipio.</w:t>
            </w:r>
          </w:p>
        </w:tc>
        <w:tc>
          <w:tcPr>
            <w:tcW w:w="868" w:type="dxa"/>
            <w:tcBorders>
              <w:top w:val="single" w:sz="4" w:space="0" w:color="000000"/>
              <w:left w:val="single" w:sz="4" w:space="0" w:color="000000"/>
              <w:bottom w:val="single" w:sz="4" w:space="0" w:color="000000"/>
              <w:right w:val="single" w:sz="4" w:space="0" w:color="000000"/>
            </w:tcBorders>
          </w:tcPr>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spacing w:before="1"/>
              <w:jc w:val="left"/>
              <w:rPr>
                <w:sz w:val="11"/>
              </w:rPr>
            </w:pPr>
          </w:p>
          <w:p>
            <w:pPr>
              <w:pStyle w:val="TableParagraph"/>
              <w:ind w:left="39" w:right="39"/>
              <w:rPr>
                <w:sz w:val="12"/>
              </w:rPr>
            </w:pPr>
            <w:r>
              <w:rPr>
                <w:sz w:val="12"/>
              </w:rPr>
              <w:t>Parcialmente</w:t>
            </w:r>
          </w:p>
        </w:tc>
        <w:tc>
          <w:tcPr>
            <w:tcW w:w="894" w:type="dxa"/>
            <w:tcBorders>
              <w:top w:val="single" w:sz="4" w:space="0" w:color="000000"/>
              <w:left w:val="single" w:sz="4" w:space="0" w:color="000000"/>
              <w:bottom w:val="single" w:sz="4" w:space="0" w:color="000000"/>
              <w:right w:val="single" w:sz="8" w:space="0" w:color="000000"/>
            </w:tcBorders>
          </w:tcPr>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spacing w:before="1"/>
              <w:jc w:val="left"/>
              <w:rPr>
                <w:sz w:val="11"/>
              </w:rPr>
            </w:pPr>
          </w:p>
          <w:p>
            <w:pPr>
              <w:pStyle w:val="TableParagraph"/>
              <w:ind w:left="32" w:right="26"/>
              <w:rPr>
                <w:sz w:val="12"/>
              </w:rPr>
            </w:pPr>
            <w:r>
              <w:rPr>
                <w:sz w:val="12"/>
              </w:rPr>
              <w:t>ISCU</w:t>
            </w:r>
          </w:p>
        </w:tc>
      </w:tr>
      <w:tr>
        <w:trPr>
          <w:trHeight w:val="348" w:hRule="exact"/>
        </w:trPr>
        <w:tc>
          <w:tcPr>
            <w:tcW w:w="1103" w:type="dxa"/>
            <w:vMerge w:val="restart"/>
            <w:tcBorders>
              <w:top w:val="single" w:sz="4" w:space="0" w:color="000000"/>
              <w:left w:val="single" w:sz="4" w:space="0" w:color="000000"/>
              <w:right w:val="single" w:sz="4" w:space="0" w:color="000000"/>
            </w:tcBorders>
          </w:tcPr>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spacing w:before="5"/>
              <w:jc w:val="left"/>
              <w:rPr>
                <w:sz w:val="16"/>
              </w:rPr>
            </w:pPr>
          </w:p>
          <w:p>
            <w:pPr>
              <w:pStyle w:val="TableParagraph"/>
              <w:ind w:left="286"/>
              <w:jc w:val="left"/>
              <w:rPr>
                <w:sz w:val="12"/>
              </w:rPr>
            </w:pPr>
            <w:r>
              <w:rPr>
                <w:sz w:val="12"/>
              </w:rPr>
              <w:t>Sociedad</w:t>
            </w:r>
          </w:p>
        </w:tc>
        <w:tc>
          <w:tcPr>
            <w:tcW w:w="1757" w:type="dxa"/>
            <w:vMerge w:val="restart"/>
            <w:tcBorders>
              <w:top w:val="single" w:sz="4" w:space="0" w:color="000000"/>
              <w:left w:val="single" w:sz="4" w:space="0" w:color="000000"/>
              <w:right w:val="single" w:sz="4" w:space="0" w:color="000000"/>
            </w:tcBorders>
          </w:tcPr>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spacing w:before="5"/>
              <w:jc w:val="left"/>
              <w:rPr>
                <w:sz w:val="16"/>
              </w:rPr>
            </w:pPr>
          </w:p>
          <w:p>
            <w:pPr>
              <w:pStyle w:val="TableParagraph"/>
              <w:ind w:left="20" w:right="46"/>
              <w:jc w:val="left"/>
              <w:rPr>
                <w:sz w:val="12"/>
              </w:rPr>
            </w:pPr>
            <w:r>
              <w:rPr>
                <w:sz w:val="12"/>
              </w:rPr>
              <w:t>Connolly D. (2006)</w:t>
            </w:r>
          </w:p>
        </w:tc>
        <w:tc>
          <w:tcPr>
            <w:tcW w:w="2217" w:type="dxa"/>
            <w:tcBorders>
              <w:top w:val="single" w:sz="4" w:space="0" w:color="000000"/>
              <w:left w:val="single" w:sz="4" w:space="0" w:color="000000"/>
              <w:bottom w:val="single" w:sz="4" w:space="0" w:color="000000"/>
              <w:right w:val="single" w:sz="4" w:space="0" w:color="000000"/>
            </w:tcBorders>
          </w:tcPr>
          <w:p>
            <w:pPr>
              <w:pStyle w:val="TableParagraph"/>
              <w:spacing w:line="266" w:lineRule="auto" w:before="35"/>
              <w:ind w:left="21" w:right="13" w:hanging="1"/>
              <w:jc w:val="left"/>
              <w:rPr>
                <w:sz w:val="12"/>
              </w:rPr>
            </w:pPr>
            <w:r>
              <w:rPr>
                <w:sz w:val="12"/>
              </w:rPr>
              <w:t>La vivienda desde la arista de  la vivienda digna y decorosa.</w:t>
            </w:r>
          </w:p>
        </w:tc>
        <w:tc>
          <w:tcPr>
            <w:tcW w:w="1982" w:type="dxa"/>
            <w:tcBorders>
              <w:top w:val="single" w:sz="4" w:space="0" w:color="000000"/>
              <w:left w:val="single" w:sz="4" w:space="0" w:color="000000"/>
              <w:bottom w:val="single" w:sz="4" w:space="0" w:color="000000"/>
              <w:right w:val="single" w:sz="4" w:space="0" w:color="000000"/>
            </w:tcBorders>
          </w:tcPr>
          <w:p>
            <w:pPr>
              <w:pStyle w:val="TableParagraph"/>
              <w:spacing w:line="266" w:lineRule="auto" w:before="35"/>
              <w:ind w:left="20" w:right="11" w:hanging="1"/>
              <w:jc w:val="left"/>
              <w:rPr>
                <w:sz w:val="12"/>
              </w:rPr>
            </w:pPr>
            <w:r>
              <w:rPr>
                <w:sz w:val="12"/>
              </w:rPr>
              <w:t>La vivienda apenas cumple con la normatividad.</w:t>
            </w:r>
          </w:p>
        </w:tc>
        <w:tc>
          <w:tcPr>
            <w:tcW w:w="868" w:type="dxa"/>
            <w:tcBorders>
              <w:top w:val="single" w:sz="4" w:space="0" w:color="000000"/>
              <w:left w:val="single" w:sz="4" w:space="0" w:color="000000"/>
              <w:bottom w:val="single" w:sz="4" w:space="0" w:color="000000"/>
              <w:right w:val="single" w:sz="4" w:space="0" w:color="000000"/>
            </w:tcBorders>
          </w:tcPr>
          <w:p>
            <w:pPr>
              <w:pStyle w:val="TableParagraph"/>
              <w:spacing w:before="86"/>
              <w:ind w:left="39" w:right="39"/>
              <w:rPr>
                <w:sz w:val="12"/>
              </w:rPr>
            </w:pPr>
            <w:r>
              <w:rPr>
                <w:sz w:val="12"/>
              </w:rPr>
              <w:t>Parcialmente</w:t>
            </w:r>
          </w:p>
        </w:tc>
        <w:tc>
          <w:tcPr>
            <w:tcW w:w="894" w:type="dxa"/>
            <w:tcBorders>
              <w:top w:val="single" w:sz="4" w:space="0" w:color="000000"/>
              <w:left w:val="single" w:sz="4" w:space="0" w:color="000000"/>
              <w:bottom w:val="single" w:sz="4" w:space="0" w:color="000000"/>
              <w:right w:val="single" w:sz="8" w:space="0" w:color="000000"/>
            </w:tcBorders>
          </w:tcPr>
          <w:p>
            <w:pPr>
              <w:pStyle w:val="TableParagraph"/>
              <w:spacing w:before="86"/>
              <w:ind w:left="36" w:right="23"/>
              <w:rPr>
                <w:sz w:val="12"/>
              </w:rPr>
            </w:pPr>
            <w:r>
              <w:rPr>
                <w:sz w:val="12"/>
              </w:rPr>
              <w:t>ISS e IST</w:t>
            </w:r>
          </w:p>
        </w:tc>
      </w:tr>
      <w:tr>
        <w:trPr>
          <w:trHeight w:val="521" w:hRule="exact"/>
        </w:trPr>
        <w:tc>
          <w:tcPr>
            <w:tcW w:w="1103" w:type="dxa"/>
            <w:vMerge/>
            <w:tcBorders>
              <w:left w:val="single" w:sz="4" w:space="0" w:color="000000"/>
              <w:right w:val="single" w:sz="4" w:space="0" w:color="000000"/>
            </w:tcBorders>
          </w:tcPr>
          <w:p>
            <w:pPr/>
          </w:p>
        </w:tc>
        <w:tc>
          <w:tcPr>
            <w:tcW w:w="1757" w:type="dxa"/>
            <w:vMerge/>
            <w:tcBorders>
              <w:left w:val="single" w:sz="4" w:space="0" w:color="000000"/>
              <w:right w:val="single" w:sz="4" w:space="0" w:color="000000"/>
            </w:tcBorders>
          </w:tcPr>
          <w:p>
            <w:pPr/>
          </w:p>
        </w:tc>
        <w:tc>
          <w:tcPr>
            <w:tcW w:w="2217" w:type="dxa"/>
            <w:tcBorders>
              <w:top w:val="single" w:sz="4" w:space="0" w:color="000000"/>
              <w:left w:val="single" w:sz="4" w:space="0" w:color="000000"/>
              <w:bottom w:val="single" w:sz="4" w:space="0" w:color="000000"/>
              <w:right w:val="single" w:sz="4" w:space="0" w:color="000000"/>
            </w:tcBorders>
          </w:tcPr>
          <w:p>
            <w:pPr>
              <w:pStyle w:val="TableParagraph"/>
              <w:spacing w:line="266" w:lineRule="auto" w:before="56"/>
              <w:ind w:left="19" w:right="8" w:firstLine="1"/>
              <w:jc w:val="both"/>
              <w:rPr>
                <w:sz w:val="12"/>
              </w:rPr>
            </w:pPr>
            <w:r>
              <w:rPr>
                <w:sz w:val="12"/>
              </w:rPr>
              <w:t>La clasificación y tipología  que  existe en torno a la definición de la vivienda dentro del marco normativo del </w:t>
            </w:r>
            <w:r>
              <w:rPr>
                <w:spacing w:val="5"/>
                <w:sz w:val="12"/>
              </w:rPr>
              <w:t> </w:t>
            </w:r>
            <w:r>
              <w:rPr>
                <w:sz w:val="12"/>
              </w:rPr>
              <w:t>país.</w:t>
            </w:r>
          </w:p>
        </w:tc>
        <w:tc>
          <w:tcPr>
            <w:tcW w:w="1982" w:type="dxa"/>
            <w:tcBorders>
              <w:top w:val="single" w:sz="4" w:space="0" w:color="000000"/>
              <w:left w:val="single" w:sz="4" w:space="0" w:color="000000"/>
              <w:bottom w:val="single" w:sz="4" w:space="0" w:color="000000"/>
              <w:right w:val="single" w:sz="4" w:space="0" w:color="000000"/>
            </w:tcBorders>
          </w:tcPr>
          <w:p>
            <w:pPr>
              <w:pStyle w:val="TableParagraph"/>
              <w:spacing w:line="266" w:lineRule="auto" w:before="56"/>
              <w:ind w:left="20" w:right="5"/>
              <w:jc w:val="both"/>
              <w:rPr>
                <w:sz w:val="12"/>
              </w:rPr>
            </w:pPr>
            <w:r>
              <w:rPr>
                <w:sz w:val="12"/>
              </w:rPr>
              <w:t>Existen diversas normas  que definen la vivienda según sea el caso</w:t>
            </w:r>
          </w:p>
        </w:tc>
        <w:tc>
          <w:tcPr>
            <w:tcW w:w="868" w:type="dxa"/>
            <w:tcBorders>
              <w:top w:val="single" w:sz="4" w:space="0" w:color="000000"/>
              <w:left w:val="single" w:sz="4" w:space="0" w:color="000000"/>
              <w:bottom w:val="single" w:sz="4" w:space="0" w:color="000000"/>
              <w:right w:val="single" w:sz="4" w:space="0" w:color="000000"/>
            </w:tcBorders>
          </w:tcPr>
          <w:p>
            <w:pPr>
              <w:pStyle w:val="TableParagraph"/>
              <w:spacing w:before="6"/>
              <w:jc w:val="left"/>
              <w:rPr>
                <w:sz w:val="15"/>
              </w:rPr>
            </w:pPr>
          </w:p>
          <w:p>
            <w:pPr>
              <w:pStyle w:val="TableParagraph"/>
              <w:ind w:left="39" w:right="33"/>
              <w:rPr>
                <w:sz w:val="12"/>
              </w:rPr>
            </w:pPr>
            <w:r>
              <w:rPr>
                <w:sz w:val="12"/>
              </w:rPr>
              <w:t>Si</w:t>
            </w:r>
          </w:p>
        </w:tc>
        <w:tc>
          <w:tcPr>
            <w:tcW w:w="894" w:type="dxa"/>
            <w:tcBorders>
              <w:top w:val="single" w:sz="4" w:space="0" w:color="000000"/>
              <w:left w:val="single" w:sz="4" w:space="0" w:color="000000"/>
              <w:bottom w:val="single" w:sz="4" w:space="0" w:color="000000"/>
              <w:right w:val="single" w:sz="8" w:space="0" w:color="000000"/>
            </w:tcBorders>
          </w:tcPr>
          <w:p>
            <w:pPr>
              <w:pStyle w:val="TableParagraph"/>
              <w:spacing w:before="6"/>
              <w:jc w:val="left"/>
              <w:rPr>
                <w:sz w:val="15"/>
              </w:rPr>
            </w:pPr>
          </w:p>
          <w:p>
            <w:pPr>
              <w:pStyle w:val="TableParagraph"/>
              <w:ind w:left="32" w:right="26"/>
              <w:rPr>
                <w:sz w:val="12"/>
              </w:rPr>
            </w:pPr>
            <w:r>
              <w:rPr>
                <w:sz w:val="12"/>
              </w:rPr>
              <w:t>ISCU</w:t>
            </w:r>
          </w:p>
        </w:tc>
      </w:tr>
      <w:tr>
        <w:trPr>
          <w:trHeight w:val="1886" w:hRule="exact"/>
        </w:trPr>
        <w:tc>
          <w:tcPr>
            <w:tcW w:w="1103" w:type="dxa"/>
            <w:vMerge/>
            <w:tcBorders>
              <w:left w:val="single" w:sz="4" w:space="0" w:color="000000"/>
              <w:bottom w:val="single" w:sz="8" w:space="0" w:color="000000"/>
              <w:right w:val="single" w:sz="4" w:space="0" w:color="000000"/>
            </w:tcBorders>
          </w:tcPr>
          <w:p>
            <w:pPr/>
          </w:p>
        </w:tc>
        <w:tc>
          <w:tcPr>
            <w:tcW w:w="1757" w:type="dxa"/>
            <w:vMerge/>
            <w:tcBorders>
              <w:left w:val="single" w:sz="4" w:space="0" w:color="000000"/>
              <w:bottom w:val="single" w:sz="8" w:space="0" w:color="000000"/>
              <w:right w:val="single" w:sz="4" w:space="0" w:color="000000"/>
            </w:tcBorders>
          </w:tcPr>
          <w:p>
            <w:pPr/>
          </w:p>
        </w:tc>
        <w:tc>
          <w:tcPr>
            <w:tcW w:w="2217" w:type="dxa"/>
            <w:tcBorders>
              <w:top w:val="single" w:sz="4" w:space="0" w:color="000000"/>
              <w:left w:val="single" w:sz="4" w:space="0" w:color="000000"/>
              <w:bottom w:val="single" w:sz="8" w:space="0" w:color="000000"/>
              <w:right w:val="single" w:sz="4" w:space="0" w:color="000000"/>
            </w:tcBorders>
          </w:tcPr>
          <w:p>
            <w:pPr>
              <w:pStyle w:val="TableParagraph"/>
              <w:spacing w:line="266" w:lineRule="auto" w:before="15"/>
              <w:ind w:left="19" w:right="7" w:firstLine="1"/>
              <w:jc w:val="both"/>
              <w:rPr>
                <w:sz w:val="12"/>
              </w:rPr>
            </w:pPr>
            <w:r>
              <w:rPr>
                <w:sz w:val="12"/>
              </w:rPr>
              <w:t>La definición de “vivienda digna” o “adecuada”, en realidad  no  refiere  a una vivienda digna, real, sino que hace alusión a esquemas de  índole  capitalista y de apoyo al desarrollo inmobiliario,  buscando  sólo  dar solución a una demanda de vivienda a través de la oferta de vivienda inadecuada a las capacidades económicas y prioridades de las aspiraciones habitacionales de la población</w:t>
            </w:r>
            <w:r>
              <w:rPr>
                <w:spacing w:val="26"/>
                <w:sz w:val="12"/>
              </w:rPr>
              <w:t> </w:t>
            </w:r>
            <w:r>
              <w:rPr>
                <w:sz w:val="12"/>
              </w:rPr>
              <w:t>demandante.</w:t>
            </w:r>
          </w:p>
        </w:tc>
        <w:tc>
          <w:tcPr>
            <w:tcW w:w="1982" w:type="dxa"/>
            <w:tcBorders>
              <w:top w:val="single" w:sz="4" w:space="0" w:color="000000"/>
              <w:left w:val="single" w:sz="4" w:space="0" w:color="000000"/>
              <w:bottom w:val="single" w:sz="8" w:space="0" w:color="000000"/>
              <w:right w:val="single" w:sz="4" w:space="0" w:color="000000"/>
            </w:tcBorders>
          </w:tcPr>
          <w:p>
            <w:pPr>
              <w:pStyle w:val="TableParagraph"/>
              <w:spacing w:before="7"/>
              <w:jc w:val="left"/>
              <w:rPr>
                <w:sz w:val="14"/>
              </w:rPr>
            </w:pPr>
          </w:p>
          <w:p>
            <w:pPr>
              <w:pStyle w:val="TableParagraph"/>
              <w:spacing w:line="266" w:lineRule="auto"/>
              <w:ind w:left="20" w:right="7"/>
              <w:jc w:val="both"/>
              <w:rPr>
                <w:sz w:val="12"/>
              </w:rPr>
            </w:pPr>
            <w:r>
              <w:rPr>
                <w:sz w:val="12"/>
              </w:rPr>
              <w:t>CONAVI, SEDATU, INFONAVIT, SHF,      PROVIVAC,     CANADEVI,</w:t>
            </w:r>
          </w:p>
          <w:p>
            <w:pPr>
              <w:pStyle w:val="TableParagraph"/>
              <w:spacing w:line="266" w:lineRule="auto"/>
              <w:ind w:left="19" w:right="7"/>
              <w:jc w:val="both"/>
              <w:rPr>
                <w:sz w:val="12"/>
              </w:rPr>
            </w:pPr>
            <w:r>
              <w:rPr>
                <w:sz w:val="12"/>
              </w:rPr>
              <w:t>CMIC     y     otras     más. Continuan con la misma escuela y haciendo las cosas del  mismo modo.</w:t>
            </w:r>
          </w:p>
          <w:p>
            <w:pPr>
              <w:pStyle w:val="TableParagraph"/>
              <w:spacing w:line="266" w:lineRule="auto"/>
              <w:ind w:left="20" w:right="10" w:hanging="2"/>
              <w:jc w:val="both"/>
              <w:rPr>
                <w:sz w:val="12"/>
              </w:rPr>
            </w:pPr>
            <w:r>
              <w:rPr>
                <w:sz w:val="12"/>
              </w:rPr>
              <w:t>Se requiere afrontar el paradigma y realizar propuestas frescas relacionadas con la realidad de México.</w:t>
            </w:r>
          </w:p>
        </w:tc>
        <w:tc>
          <w:tcPr>
            <w:tcW w:w="868" w:type="dxa"/>
            <w:tcBorders>
              <w:top w:val="single" w:sz="4" w:space="0" w:color="000000"/>
              <w:left w:val="single" w:sz="4" w:space="0" w:color="000000"/>
              <w:bottom w:val="single" w:sz="8" w:space="0" w:color="000000"/>
              <w:right w:val="single" w:sz="4" w:space="0" w:color="000000"/>
            </w:tcBorders>
          </w:tcPr>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spacing w:before="1"/>
              <w:jc w:val="left"/>
              <w:rPr>
                <w:sz w:val="15"/>
              </w:rPr>
            </w:pPr>
          </w:p>
          <w:p>
            <w:pPr>
              <w:pStyle w:val="TableParagraph"/>
              <w:ind w:left="39" w:right="33"/>
              <w:rPr>
                <w:sz w:val="12"/>
              </w:rPr>
            </w:pPr>
            <w:r>
              <w:rPr>
                <w:sz w:val="12"/>
              </w:rPr>
              <w:t>Si</w:t>
            </w:r>
          </w:p>
        </w:tc>
        <w:tc>
          <w:tcPr>
            <w:tcW w:w="894" w:type="dxa"/>
            <w:tcBorders>
              <w:top w:val="single" w:sz="4" w:space="0" w:color="000000"/>
              <w:left w:val="single" w:sz="4" w:space="0" w:color="000000"/>
              <w:bottom w:val="single" w:sz="8" w:space="0" w:color="000000"/>
              <w:right w:val="single" w:sz="8" w:space="0" w:color="000000"/>
            </w:tcBorders>
          </w:tcPr>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spacing w:before="1"/>
              <w:jc w:val="left"/>
              <w:rPr>
                <w:sz w:val="15"/>
              </w:rPr>
            </w:pPr>
          </w:p>
          <w:p>
            <w:pPr>
              <w:pStyle w:val="TableParagraph"/>
              <w:ind w:left="32" w:right="26"/>
              <w:rPr>
                <w:sz w:val="12"/>
              </w:rPr>
            </w:pPr>
            <w:r>
              <w:rPr>
                <w:sz w:val="12"/>
              </w:rPr>
              <w:t>ISCU</w:t>
            </w:r>
          </w:p>
        </w:tc>
      </w:tr>
    </w:tbl>
    <w:p>
      <w:pPr>
        <w:pStyle w:val="BodyText"/>
        <w:spacing w:before="3"/>
        <w:rPr>
          <w:sz w:val="28"/>
        </w:rPr>
      </w:pPr>
    </w:p>
    <w:p>
      <w:pPr>
        <w:spacing w:before="78"/>
        <w:ind w:left="268" w:right="0" w:firstLine="0"/>
        <w:jc w:val="left"/>
        <w:rPr>
          <w:sz w:val="21"/>
        </w:rPr>
      </w:pP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spacing w:before="1"/>
        <w:rPr>
          <w:sz w:val="18"/>
        </w:rPr>
      </w:pPr>
    </w:p>
    <w:p>
      <w:pPr>
        <w:pStyle w:val="Heading4"/>
        <w:numPr>
          <w:ilvl w:val="1"/>
          <w:numId w:val="23"/>
        </w:numPr>
        <w:tabs>
          <w:tab w:pos="736" w:val="left" w:leader="none"/>
        </w:tabs>
        <w:spacing w:line="240" w:lineRule="auto" w:before="69" w:after="0"/>
        <w:ind w:left="735" w:right="0" w:hanging="467"/>
        <w:jc w:val="both"/>
      </w:pPr>
      <w:r>
        <w:rPr/>
        <w:pict>
          <v:line style="position:absolute;mso-position-horizontal-relative:page;mso-position-vertical-relative:paragraph;z-index:18640" from="93.199997pt,-19.614155pt" to="546.799997pt,-19.614155pt" stroked="true" strokeweight=".479981pt" strokecolor="#000000">
            <w10:wrap type="none"/>
          </v:line>
        </w:pict>
      </w:r>
      <w:r>
        <w:rPr/>
        <w:t>Contribución de la metodología</w:t>
      </w:r>
    </w:p>
    <w:p>
      <w:pPr>
        <w:pStyle w:val="BodyText"/>
        <w:spacing w:before="1"/>
        <w:rPr>
          <w:b/>
          <w:sz w:val="31"/>
        </w:rPr>
      </w:pPr>
    </w:p>
    <w:p>
      <w:pPr>
        <w:pStyle w:val="BodyText"/>
        <w:spacing w:line="360" w:lineRule="auto"/>
        <w:ind w:left="268" w:right="231"/>
        <w:jc w:val="both"/>
      </w:pPr>
      <w:r>
        <w:rPr/>
        <w:t>El estudio e investigación realizado para el desarrollo y aplicación de la metodología propuesta para la evaluación de conjuntos urbanos en el Estado de México, mediante el análisis y obtención de un sistema de indicadores y un índice de sustentabilidad del conjunto urbano permite evaluar tres ejes de la sustentabilidad tradicionalmente estudiados, adaptados para el estudio en materia habitacional, siendo ésta una primer contribución al adoptar un estudio integral en materia de sustentabilidad para el impacto de desarrollos habitacionales en el territorio del Estado de México.</w:t>
      </w:r>
    </w:p>
    <w:p>
      <w:pPr>
        <w:pStyle w:val="BodyText"/>
        <w:spacing w:line="360" w:lineRule="auto" w:before="122"/>
        <w:ind w:left="268" w:right="231"/>
        <w:jc w:val="both"/>
      </w:pPr>
      <w:r>
        <w:rPr/>
        <w:t>Si bien el modelo se aplicó como caso de estudio en el municipio de Calimaya puede ser aplicado en el total de los municipios del Estado de México o bien, en otros Estados de la República Mexicana, ya que los indicadores que se consideran para la integración de los subíndices pueden evaluar desarrollos habitacionales autorizados bajo otro tipo de figuras jurídicas, adaptando generalidades del mismo o actualizando datos a la normatividad vigente que se aplique en el territorio.</w:t>
      </w:r>
    </w:p>
    <w:p>
      <w:pPr>
        <w:pStyle w:val="BodyText"/>
        <w:spacing w:line="360" w:lineRule="auto" w:before="122"/>
        <w:ind w:left="268" w:right="231"/>
        <w:jc w:val="both"/>
      </w:pPr>
      <w:r>
        <w:rPr/>
        <w:t>Otro elemento importante de la metodología desarrollada es el manejo de un índice en el eje territorial, con el que la sustentabilidad es abordada de manera tradicional y trasversal, incorporando aspectos de impacto en el territorio de los desarrollos habitacionales para contar con una evaluación integral que permite ubicar e identificar el desarrollo habitacional en un escenario</w:t>
      </w:r>
      <w:r>
        <w:rPr>
          <w:spacing w:val="-1"/>
        </w:rPr>
        <w:t> </w:t>
      </w:r>
      <w:r>
        <w:rPr/>
        <w:t>sustentable.</w:t>
      </w:r>
    </w:p>
    <w:p>
      <w:pPr>
        <w:pStyle w:val="BodyText"/>
        <w:spacing w:line="360" w:lineRule="auto" w:before="122"/>
        <w:ind w:left="268" w:right="231"/>
        <w:jc w:val="both"/>
      </w:pPr>
      <w:r>
        <w:rPr/>
        <w:t>Como se demostró en el capítulo tres de la investigación, la normatividad que regula la promoción producción y desarrollo de vivienda en el Estado de México, es ambigua en lo que respecta al tema de la sustentabilidad desde una perspectiva integral, reconsiderando que la sustentabilidad no solo refiere a elementos ambientales, sino sociales, económicos y en nuestro caso</w:t>
      </w:r>
      <w:r>
        <w:rPr>
          <w:spacing w:val="-1"/>
        </w:rPr>
        <w:t> </w:t>
      </w:r>
      <w:r>
        <w:rPr/>
        <w:t>territoriales.</w:t>
      </w:r>
    </w:p>
    <w:p>
      <w:pPr>
        <w:pStyle w:val="BodyText"/>
        <w:spacing w:line="360" w:lineRule="auto" w:before="122"/>
        <w:ind w:left="268" w:right="233"/>
        <w:jc w:val="both"/>
      </w:pPr>
      <w:r>
        <w:rPr/>
        <w:t>Por lo anterior, esta metodología constituye una herramienta de análisis para la autorización de conjuntos urbanos de tipo habitacional, así como para la evaluación y control de los conjuntos urbanos ya autorizados que se encuentren municipalizados  o  no,  y  comenzar  con  la  municipalización  de  los     conjuntos</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18664" from="93.199997pt,-19.614155pt" to="546.799997pt,-19.614155pt" stroked="true" strokeweight=".479981pt" strokecolor="#000000">
            <w10:wrap type="none"/>
          </v:line>
        </w:pict>
      </w:r>
      <w:r>
        <w:rPr/>
        <w:t>urbanos ubicados en el municipio de estudio, con el fin de garantizar la sustentabilidad del territorio en el que se ubican.</w:t>
      </w:r>
    </w:p>
    <w:p>
      <w:pPr>
        <w:pStyle w:val="BodyText"/>
        <w:spacing w:line="360" w:lineRule="auto" w:before="122"/>
        <w:ind w:left="268" w:right="231"/>
        <w:jc w:val="both"/>
      </w:pPr>
      <w:r>
        <w:rPr/>
        <w:t>Con la investigación y desarrollo del estudio, así como con los resultados obtenidos, es posible generar la propuesta de modificar o reformar la normatividad y procesos jurídicos que contemplan de manera teórica las leyes en materia de ordenamiento territorial de los asentamientos humanos y el desarrollo urbano.</w:t>
      </w:r>
    </w:p>
    <w:p>
      <w:pPr>
        <w:pStyle w:val="BodyText"/>
        <w:spacing w:line="360" w:lineRule="auto" w:before="122"/>
        <w:ind w:left="268" w:right="232"/>
        <w:jc w:val="both"/>
      </w:pPr>
      <w:r>
        <w:rPr/>
        <w:t>Como ejemplo para considerar adecuaciones y mejoras en el ámbito federal es la metodología con la que se desarrolló la herramienta de polígonos de contención urbana. Por otro lado, unificar las leyes, reglamentos y códigos que existen en el país para la autorización de conjuntos urbanos y/o desarrollos habitacionales.</w:t>
      </w:r>
    </w:p>
    <w:p>
      <w:pPr>
        <w:pStyle w:val="BodyText"/>
        <w:spacing w:line="360" w:lineRule="auto" w:before="122"/>
        <w:ind w:left="268" w:right="231"/>
        <w:jc w:val="both"/>
      </w:pPr>
      <w:r>
        <w:rPr/>
        <w:t>En el Estado de México actualizar y modificar las leyes en relación al  ordenamiento territorial y los asentamientos humanos, en específico el Código Administrativo del Estado de México, con énfasis el Libro Quinto y su Reglamento, así como el Código Financiero del Estado de México. Sin omitir mencionar la normatividad reflejada en el capítulo tres de la</w:t>
      </w:r>
      <w:r>
        <w:rPr>
          <w:spacing w:val="-2"/>
        </w:rPr>
        <w:t> </w:t>
      </w:r>
      <w:r>
        <w:rPr/>
        <w:t>tesis.</w:t>
      </w:r>
    </w:p>
    <w:p>
      <w:pPr>
        <w:pStyle w:val="BodyText"/>
        <w:spacing w:line="360" w:lineRule="auto" w:before="122"/>
        <w:ind w:left="268" w:right="231"/>
        <w:jc w:val="both"/>
      </w:pPr>
      <w:r>
        <w:rPr/>
        <w:t>Al contar con la metodología para el análisis de la sustentabilidad de los conjuntos urbanos es posible mejorar la calidad de vida de los habitantes que residen en cada uno de ellos, mediante la publicación de la información al igual que de los datos obtenidos y con ello contribuir a que el Estado y los desarrolladores inmobiliarios den cumplimiento a las obligaciones y responsabilidades adquiridas.</w:t>
      </w:r>
    </w:p>
    <w:p>
      <w:pPr>
        <w:pStyle w:val="BodyText"/>
        <w:spacing w:line="360" w:lineRule="auto" w:before="122"/>
        <w:ind w:left="268" w:right="231"/>
        <w:jc w:val="both"/>
      </w:pPr>
      <w:r>
        <w:rPr/>
        <w:t>Por otro lado, la metodología brinda la oportunidad de analizar los conjuntos urbanos autorizados en el Estado de México y con ello contar con un instrumento para corregir los errores realizados y garantizar mejores desarrollos habitacionales ya sean bajo la figura de conjunto urbano como lo es en el Estado de México, o en correspondencia con la normatividad vigente en otras entidades federativas de México.</w:t>
      </w:r>
    </w:p>
    <w:p>
      <w:pPr>
        <w:spacing w:after="0" w:line="360" w:lineRule="auto"/>
        <w:jc w:val="both"/>
        <w:sectPr>
          <w:footerReference w:type="default" r:id="rId311"/>
          <w:pgSz w:w="12240" w:h="15840"/>
          <w:pgMar w:footer="1066" w:header="730" w:top="1320" w:bottom="1260" w:left="1720" w:right="1180"/>
        </w:sectPr>
      </w:pPr>
    </w:p>
    <w:p>
      <w:pPr>
        <w:pStyle w:val="BodyText"/>
        <w:rPr>
          <w:sz w:val="20"/>
        </w:rPr>
      </w:pPr>
      <w:r>
        <w:rPr/>
        <w:pict>
          <v:line style="position:absolute;mso-position-horizontal-relative:page;mso-position-vertical-relative:page;z-index:18688" from="93.199997pt,57.080009pt" to="546.799997pt,57.080009pt" stroked="true" strokeweight=".479981pt" strokecolor="#000000">
            <w10:wrap type="none"/>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4"/>
        <w:spacing w:before="198"/>
        <w:ind w:left="1860" w:right="1762"/>
        <w:jc w:val="center"/>
      </w:pPr>
      <w:r>
        <w:rPr/>
        <w:pict>
          <v:group style="position:absolute;margin-left:14pt;margin-top:-196.814148pt;width:584pt;height:423.4pt;mso-position-horizontal-relative:page;mso-position-vertical-relative:paragraph;z-index:-1139320" coordorigin="280,-3936" coordsize="11680,8468">
            <v:shape style="position:absolute;left:362;top:-3936;width:11597;height:8467" type="#_x0000_t75" stroked="false">
              <v:imagedata r:id="rId313" o:title=""/>
            </v:shape>
            <v:shape style="position:absolute;left:280;top:-1353;width:11680;height:3720" type="#_x0000_t75" stroked="false">
              <v:imagedata r:id="rId27" o:title=""/>
            </v:shape>
            <w10:wrap type="none"/>
          </v:group>
        </w:pict>
      </w:r>
      <w:r>
        <w:rPr/>
        <w:t>Conclusiones</w:t>
      </w:r>
    </w:p>
    <w:p>
      <w:pPr>
        <w:spacing w:after="0"/>
        <w:jc w:val="center"/>
        <w:sectPr>
          <w:footerReference w:type="default" r:id="rId312"/>
          <w:pgSz w:w="12240" w:h="15840"/>
          <w:pgMar w:footer="1066" w:header="730" w:top="1320" w:bottom="1260" w:left="180" w:right="180"/>
          <w:pgNumType w:start="231"/>
        </w:sectPr>
      </w:pPr>
    </w:p>
    <w:p>
      <w:pPr>
        <w:pStyle w:val="BodyText"/>
        <w:rPr>
          <w:b/>
          <w:sz w:val="20"/>
        </w:rPr>
      </w:pPr>
    </w:p>
    <w:p>
      <w:pPr>
        <w:pStyle w:val="BodyText"/>
        <w:rPr>
          <w:b/>
          <w:sz w:val="20"/>
        </w:rPr>
      </w:pPr>
    </w:p>
    <w:p>
      <w:pPr>
        <w:spacing w:before="211"/>
        <w:ind w:left="268" w:right="0" w:firstLine="0"/>
        <w:jc w:val="both"/>
        <w:rPr>
          <w:b/>
          <w:sz w:val="24"/>
        </w:rPr>
      </w:pPr>
      <w:r>
        <w:rPr/>
        <w:pict>
          <v:line style="position:absolute;mso-position-horizontal-relative:page;mso-position-vertical-relative:paragraph;z-index:18736" from="93.199997pt,-32.194149pt" to="546.799997pt,-32.194149pt" stroked="true" strokeweight=".479981pt" strokecolor="#000000">
            <w10:wrap type="none"/>
          </v:line>
        </w:pict>
      </w:r>
      <w:r>
        <w:rPr>
          <w:b/>
          <w:sz w:val="24"/>
        </w:rPr>
        <w:t>Conclusiones</w:t>
      </w:r>
    </w:p>
    <w:p>
      <w:pPr>
        <w:pStyle w:val="BodyText"/>
        <w:spacing w:before="9"/>
        <w:rPr>
          <w:b/>
          <w:sz w:val="34"/>
        </w:rPr>
      </w:pPr>
    </w:p>
    <w:p>
      <w:pPr>
        <w:pStyle w:val="BodyText"/>
        <w:spacing w:line="360" w:lineRule="auto" w:before="1"/>
        <w:ind w:left="268" w:right="231"/>
        <w:jc w:val="both"/>
      </w:pPr>
      <w:r>
        <w:rPr/>
        <w:t>La inquietud de realizar un trabajo que permitiera contribuir con un estudio que demostrara las interrogantes de investigación, así como la hipótesis planteada mediante la medición, la evaluación de la sustentabilidad y el impacto en el territorio por el desarrollo de vivienda formal en el Estado de México, dio la pauta para estructurar el objeto y objetivos de estudio que conformaron los capítulos de la tesis. Por lo anterior para integrar las conclusiones se abordan los hallazgos relevantes en los capítulos del presente trabajo.</w:t>
      </w:r>
    </w:p>
    <w:p>
      <w:pPr>
        <w:pStyle w:val="BodyText"/>
        <w:spacing w:line="360" w:lineRule="auto" w:before="122"/>
        <w:ind w:left="268" w:right="231"/>
        <w:jc w:val="both"/>
      </w:pPr>
      <w:r>
        <w:rPr/>
        <w:t>En el capítulo uno se aborda la contextualización de la sustentabilidad del territorio y la relación con el desarrollo de vivienda, se hace referencia de algunos contextos en los que el tema de la vivienda ha sido tratado en relación con el interés de la investigación. De igual modo se estructuró un marco teórico que estableció las directrices esenciales para fundamentar las características de la investigación.</w:t>
      </w:r>
    </w:p>
    <w:p>
      <w:pPr>
        <w:pStyle w:val="BodyText"/>
        <w:spacing w:line="360" w:lineRule="auto" w:before="122"/>
        <w:ind w:left="268" w:right="231"/>
        <w:jc w:val="both"/>
      </w:pPr>
      <w:r>
        <w:rPr/>
        <w:t>Las propuestas realizadas por algunos investigadores en el tema, considerados para los fundamentos teóricos del presente trabajo, coinciden al mencionar que el desarrollo de los proyectos habitacionales que se han promocionado con base en las políticas y programas de vivienda emitidos por el Estado, carecen de una planeación lógica, así como de criterios de sustentabilidad y desarrollo urbano, por el contrario éstos obedecen a principios de mercado de suelo, aspectos económicos, financieros y políticos lo que genera el descuido de  factores  sociales, calidad de vida, culturales, de integración con y en el territorio que permitan potencializar la infraestructura, el equipamiento y la integración social de sus residentes.</w:t>
      </w:r>
    </w:p>
    <w:p>
      <w:pPr>
        <w:pStyle w:val="BodyText"/>
        <w:spacing w:line="360" w:lineRule="auto" w:before="122"/>
        <w:ind w:left="268" w:right="231"/>
        <w:jc w:val="both"/>
      </w:pPr>
      <w:r>
        <w:rPr/>
        <w:t>Las dinámicas de vida de los residentes de los conjuntos habitacionales en su mayoría distan de las formas, costumbres y saberes de los habitantes oriundos de las localidades de los territorios municipales en los que se asientan, aunado a  esto, el diseño urbano, la administración urbana y la política de vivienda contribuyen</w:t>
      </w:r>
      <w:r>
        <w:rPr>
          <w:spacing w:val="21"/>
        </w:rPr>
        <w:t> </w:t>
      </w:r>
      <w:r>
        <w:rPr/>
        <w:t>a</w:t>
      </w:r>
      <w:r>
        <w:rPr>
          <w:spacing w:val="21"/>
        </w:rPr>
        <w:t> </w:t>
      </w:r>
      <w:r>
        <w:rPr/>
        <w:t>la</w:t>
      </w:r>
      <w:r>
        <w:rPr>
          <w:spacing w:val="21"/>
        </w:rPr>
        <w:t> </w:t>
      </w:r>
      <w:r>
        <w:rPr/>
        <w:t>producción</w:t>
      </w:r>
      <w:r>
        <w:rPr>
          <w:spacing w:val="21"/>
        </w:rPr>
        <w:t> </w:t>
      </w:r>
      <w:r>
        <w:rPr/>
        <w:t>de</w:t>
      </w:r>
      <w:r>
        <w:rPr>
          <w:spacing w:val="21"/>
        </w:rPr>
        <w:t> </w:t>
      </w:r>
      <w:r>
        <w:rPr/>
        <w:t>vivienda</w:t>
      </w:r>
      <w:r>
        <w:rPr>
          <w:spacing w:val="21"/>
        </w:rPr>
        <w:t> </w:t>
      </w:r>
      <w:r>
        <w:rPr/>
        <w:t>formal</w:t>
      </w:r>
      <w:r>
        <w:rPr>
          <w:spacing w:val="21"/>
        </w:rPr>
        <w:t> </w:t>
      </w:r>
      <w:r>
        <w:rPr/>
        <w:t>con</w:t>
      </w:r>
      <w:r>
        <w:rPr>
          <w:spacing w:val="21"/>
        </w:rPr>
        <w:t> </w:t>
      </w:r>
      <w:r>
        <w:rPr/>
        <w:t>una</w:t>
      </w:r>
      <w:r>
        <w:rPr>
          <w:spacing w:val="21"/>
        </w:rPr>
        <w:t> </w:t>
      </w:r>
      <w:r>
        <w:rPr/>
        <w:t>perspectiva</w:t>
      </w:r>
      <w:r>
        <w:rPr>
          <w:spacing w:val="21"/>
        </w:rPr>
        <w:t> </w:t>
      </w:r>
      <w:r>
        <w:rPr/>
        <w:t>divergente</w:t>
      </w:r>
      <w:r>
        <w:rPr>
          <w:spacing w:val="21"/>
        </w:rPr>
        <w:t> </w:t>
      </w:r>
      <w:r>
        <w:rPr/>
        <w:t>al</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18760" from="93.199997pt,-19.614155pt" to="546.799997pt,-19.614155pt" stroked="true" strokeweight=".479981pt" strokecolor="#000000">
            <w10:wrap type="none"/>
          </v:line>
        </w:pict>
      </w:r>
      <w:r>
        <w:rPr/>
        <w:t>desarrollo urbano existente, así como a la planeación de los usos del suelo y el ordenamiento territorial sustentable.</w:t>
      </w:r>
    </w:p>
    <w:p>
      <w:pPr>
        <w:pStyle w:val="BodyText"/>
        <w:spacing w:line="360" w:lineRule="auto" w:before="122"/>
        <w:ind w:left="268" w:right="231"/>
        <w:jc w:val="both"/>
      </w:pPr>
      <w:r>
        <w:rPr/>
        <w:t>Entonces si el territorio es el componente espacial, geográfico, político y cultural, apropiado y construido por sus habitantes, éste se construye con base en la cooperación de la colectividad, pero sí esta colectividad es desigual y no se actúa para contribuir con una integración, los fenómenos y problemas sociales escalarán los límites que hoy presentan.</w:t>
      </w:r>
    </w:p>
    <w:p>
      <w:pPr>
        <w:pStyle w:val="BodyText"/>
        <w:spacing w:line="360" w:lineRule="auto" w:before="122"/>
        <w:ind w:left="268" w:right="231"/>
        <w:jc w:val="both"/>
      </w:pPr>
      <w:r>
        <w:rPr/>
        <w:t>Al revisar la bibliografía y los trabajos realizados por otros investigadores y estudiosos del tema se encontró que la vivienda, la sustentabilidad y el territorio, han sido estudiados desde su individualidad, seguramente por la complejidad que representan cada uno de ellos, pero no de forma integral.</w:t>
      </w:r>
    </w:p>
    <w:p>
      <w:pPr>
        <w:pStyle w:val="BodyText"/>
        <w:spacing w:line="360" w:lineRule="auto" w:before="122"/>
        <w:ind w:left="268" w:right="231"/>
        <w:jc w:val="both"/>
      </w:pPr>
      <w:r>
        <w:rPr/>
        <w:t>Contar con diversos trabajos que analizan solo una parte del tema de interés de esta investigación permitió realizar una estructura diferente para conformar un marco teórico que aborda cada una de las dimensiones y variables coincidentes con el objeto de estudio, siendo la intensión retomar parte de sus metodologías y modelos de investigación para construir un modelo propio a la medida de los objetivos que persiguió esta investigación.</w:t>
      </w:r>
    </w:p>
    <w:p>
      <w:pPr>
        <w:pStyle w:val="BodyText"/>
        <w:spacing w:line="360" w:lineRule="auto" w:before="127"/>
        <w:ind w:left="268" w:right="231"/>
        <w:jc w:val="both"/>
      </w:pPr>
      <w:r>
        <w:rPr/>
        <w:t>Las similitudes de los planteamientos iniciales con los trabajos teóricos fueron una inspiración y guía para no repetir el trabajo realizado, pero sí para retomar lo necesario y lograr vincular las variables del estudio que aborda de manera integral la medición, el impacto, el análisis y evaluación de la sustentabilidad del territorio con el desarrollo de vivienda formal, considerando la complejidad que representa  la participación de tres agentes; Estado, iniciativa privada y sociedad, que diversos autores (Pamplona, 2000; López, 2004; Gordillo, 2005; Valenzuela, 2010; Delfin  </w:t>
      </w:r>
      <w:r>
        <w:rPr>
          <w:i/>
        </w:rPr>
        <w:t>et. al</w:t>
      </w:r>
      <w:r>
        <w:rPr/>
        <w:t>, 2011; Mantovaneli y Ciocie, 2011; Wang </w:t>
      </w:r>
      <w:r>
        <w:rPr>
          <w:i/>
        </w:rPr>
        <w:t>et. al</w:t>
      </w:r>
      <w:r>
        <w:rPr/>
        <w:t>, 2014)</w:t>
      </w:r>
      <w:r>
        <w:rPr>
          <w:spacing w:val="-7"/>
        </w:rPr>
        <w:t> </w:t>
      </w:r>
      <w:r>
        <w:rPr/>
        <w:t>mencionan.</w:t>
      </w:r>
    </w:p>
    <w:p>
      <w:pPr>
        <w:pStyle w:val="BodyText"/>
        <w:spacing w:line="360" w:lineRule="auto" w:before="127"/>
        <w:ind w:left="268" w:right="231"/>
        <w:jc w:val="both"/>
      </w:pPr>
      <w:r>
        <w:rPr/>
        <w:t>El capítulo dos es el resultado de una revisión de los trabajos y metodologías para la estructura de un modelo metodológico para medir y evaluar la sustentabilidad del</w:t>
      </w:r>
      <w:r>
        <w:rPr>
          <w:spacing w:val="25"/>
        </w:rPr>
        <w:t> </w:t>
      </w:r>
      <w:r>
        <w:rPr/>
        <w:t>territorio,</w:t>
      </w:r>
      <w:r>
        <w:rPr>
          <w:spacing w:val="25"/>
        </w:rPr>
        <w:t> </w:t>
      </w:r>
      <w:r>
        <w:rPr/>
        <w:t>a</w:t>
      </w:r>
      <w:r>
        <w:rPr>
          <w:spacing w:val="25"/>
        </w:rPr>
        <w:t> </w:t>
      </w:r>
      <w:r>
        <w:rPr/>
        <w:t>través</w:t>
      </w:r>
      <w:r>
        <w:rPr>
          <w:spacing w:val="25"/>
        </w:rPr>
        <w:t> </w:t>
      </w:r>
      <w:r>
        <w:rPr/>
        <w:t>de</w:t>
      </w:r>
      <w:r>
        <w:rPr>
          <w:spacing w:val="25"/>
        </w:rPr>
        <w:t> </w:t>
      </w:r>
      <w:r>
        <w:rPr/>
        <w:t>la</w:t>
      </w:r>
      <w:r>
        <w:rPr>
          <w:spacing w:val="25"/>
        </w:rPr>
        <w:t> </w:t>
      </w:r>
      <w:r>
        <w:rPr/>
        <w:t>construcción</w:t>
      </w:r>
      <w:r>
        <w:rPr>
          <w:spacing w:val="25"/>
        </w:rPr>
        <w:t> </w:t>
      </w:r>
      <w:r>
        <w:rPr/>
        <w:t>y</w:t>
      </w:r>
      <w:r>
        <w:rPr>
          <w:spacing w:val="25"/>
        </w:rPr>
        <w:t> </w:t>
      </w:r>
      <w:r>
        <w:rPr/>
        <w:t>obtención</w:t>
      </w:r>
      <w:r>
        <w:rPr>
          <w:spacing w:val="25"/>
        </w:rPr>
        <w:t> </w:t>
      </w:r>
      <w:r>
        <w:rPr/>
        <w:t>de</w:t>
      </w:r>
      <w:r>
        <w:rPr>
          <w:spacing w:val="25"/>
        </w:rPr>
        <w:t> </w:t>
      </w:r>
      <w:r>
        <w:rPr/>
        <w:t>un</w:t>
      </w:r>
      <w:r>
        <w:rPr>
          <w:spacing w:val="25"/>
        </w:rPr>
        <w:t> </w:t>
      </w:r>
      <w:r>
        <w:rPr/>
        <w:t>sistema</w:t>
      </w:r>
      <w:r>
        <w:rPr>
          <w:spacing w:val="25"/>
        </w:rPr>
        <w:t> </w:t>
      </w:r>
      <w:r>
        <w:rPr/>
        <w:t>de</w:t>
      </w:r>
      <w:r>
        <w:rPr>
          <w:spacing w:val="25"/>
        </w:rPr>
        <w:t> </w:t>
      </w:r>
      <w:r>
        <w:rPr/>
        <w:t>índices</w:t>
      </w:r>
      <w:r>
        <w:rPr>
          <w:spacing w:val="24"/>
        </w:rPr>
        <w:t> </w:t>
      </w:r>
      <w:r>
        <w:rPr/>
        <w:t>e</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18784" from="93.199997pt,-19.614155pt" to="546.799997pt,-19.614155pt" stroked="true" strokeweight=".479981pt" strokecolor="#000000">
            <w10:wrap type="none"/>
          </v:line>
        </w:pict>
      </w:r>
      <w:r>
        <w:rPr/>
        <w:t>indicadores de sustentabilidad que evalúan si ésta existe con el desarrollo de vivienda formal a través de la figura de conjunto urbano en el Estado de México.</w:t>
      </w:r>
    </w:p>
    <w:p>
      <w:pPr>
        <w:pStyle w:val="BodyText"/>
        <w:spacing w:line="360" w:lineRule="auto" w:before="122"/>
        <w:ind w:left="268" w:right="231"/>
        <w:jc w:val="both"/>
      </w:pPr>
      <w:r>
        <w:rPr/>
        <w:t>Diversos autores coinciden con la necesidad de evaluar con la mayor profundidad posible y en particular con indicadores locales, el desarrollo sustentable, y a su  vez se requiere desarrollar indicadores que proporcionen bases sólidas para la toma de decisiones en todos niveles y con ello contribuir a la sustentabilidad del ambiente, territorio y país. (Castro 2002, Villasís 2011, Winogrand 1996, Rueda 1999, Escobar 2004 y Carreño</w:t>
      </w:r>
      <w:r>
        <w:rPr>
          <w:spacing w:val="-4"/>
        </w:rPr>
        <w:t> </w:t>
      </w:r>
      <w:r>
        <w:rPr/>
        <w:t>2014).</w:t>
      </w:r>
    </w:p>
    <w:p>
      <w:pPr>
        <w:pStyle w:val="BodyText"/>
        <w:spacing w:line="360" w:lineRule="auto" w:before="127"/>
        <w:ind w:left="268" w:right="231"/>
        <w:jc w:val="both"/>
      </w:pPr>
      <w:r>
        <w:rPr/>
        <w:t>Existen estudios realizados en materia de índices de sustentabilidad desde diversas áreas de estudio, se han propuesto índices de sustentabilidad en el turismo, la agricultura y en sustentabilidad urbana como los indicadores urbanos según la agenda ONU-HÁBITAT o bien, los diferentes indicadores que se trabajan en los observatorios urbanos.</w:t>
      </w:r>
    </w:p>
    <w:p>
      <w:pPr>
        <w:pStyle w:val="BodyText"/>
        <w:spacing w:line="360" w:lineRule="auto" w:before="127"/>
        <w:ind w:left="268" w:right="231"/>
        <w:jc w:val="both"/>
      </w:pPr>
      <w:r>
        <w:rPr/>
        <w:t>En lo referente al modelo metodológico para el análisis de la sustentabilidad a partir de la producción de vivienda, éste se estructuró en tres etapas. La primera consistió en realizar una selección de indicadores de las metodologías propuestas por los cuatro autores teóricos retomados para el análisis de las variables en las tres dimensiones. De igual modo se revisaron y analizaron datos estadísticos de los indicadores administrativos de la SEDUM, SEDATU, INFONAVIT, SHF, al igual que en leyes y reglamentos en la materia en lo que se refiere al contexto nacional, en la parte internacional se revisaron índices e indicadores que maneja la ONU en el modelo UN-Hábitat, así como datos de la OCDE y la OMS.</w:t>
      </w:r>
    </w:p>
    <w:p>
      <w:pPr>
        <w:pStyle w:val="BodyText"/>
        <w:spacing w:line="360" w:lineRule="auto" w:before="122"/>
        <w:ind w:left="268" w:right="231"/>
        <w:jc w:val="both"/>
      </w:pPr>
      <w:r>
        <w:rPr/>
        <w:t>La segunda etapa se desarrolló con la clasificación de los indicadores en cuatro ejes temáticos; social, ambiental, económico y territorial, considerando la participación del Estado, iniciativa privada y sociedad. Una vez clasificados los  más de 150 indicadores se realizó un ajuste en el que se eliminaron indicadores para contar con sólo 73 indicadores con los que se desarrolló una prueba piloto que consistió en integrar un sistema de indicadores para obtener datos cuantitativos y cualitativos, los resultados obtenidos permitieron observar datos innecesarios,</w:t>
      </w:r>
      <w:r>
        <w:rPr>
          <w:spacing w:val="36"/>
        </w:rPr>
        <w:t> </w:t>
      </w:r>
      <w:r>
        <w:rPr/>
        <w:t>algunos</w:t>
      </w:r>
      <w:r>
        <w:rPr>
          <w:spacing w:val="36"/>
        </w:rPr>
        <w:t> </w:t>
      </w:r>
      <w:r>
        <w:rPr/>
        <w:t>eran</w:t>
      </w:r>
      <w:r>
        <w:rPr>
          <w:spacing w:val="36"/>
        </w:rPr>
        <w:t> </w:t>
      </w:r>
      <w:r>
        <w:rPr/>
        <w:t>repetitivos</w:t>
      </w:r>
      <w:r>
        <w:rPr>
          <w:spacing w:val="36"/>
        </w:rPr>
        <w:t> </w:t>
      </w:r>
      <w:r>
        <w:rPr/>
        <w:t>o</w:t>
      </w:r>
      <w:r>
        <w:rPr>
          <w:spacing w:val="36"/>
        </w:rPr>
        <w:t> </w:t>
      </w:r>
      <w:r>
        <w:rPr/>
        <w:t>nulos,</w:t>
      </w:r>
      <w:r>
        <w:rPr>
          <w:spacing w:val="36"/>
        </w:rPr>
        <w:t> </w:t>
      </w:r>
      <w:r>
        <w:rPr/>
        <w:t>por</w:t>
      </w:r>
      <w:r>
        <w:rPr>
          <w:spacing w:val="36"/>
        </w:rPr>
        <w:t> </w:t>
      </w:r>
      <w:r>
        <w:rPr/>
        <w:t>lo</w:t>
      </w:r>
      <w:r>
        <w:rPr>
          <w:spacing w:val="36"/>
        </w:rPr>
        <w:t> </w:t>
      </w:r>
      <w:r>
        <w:rPr/>
        <w:t>que</w:t>
      </w:r>
      <w:r>
        <w:rPr>
          <w:spacing w:val="36"/>
        </w:rPr>
        <w:t> </w:t>
      </w:r>
      <w:r>
        <w:rPr/>
        <w:t>fue</w:t>
      </w:r>
      <w:r>
        <w:rPr>
          <w:spacing w:val="36"/>
        </w:rPr>
        <w:t> </w:t>
      </w:r>
      <w:r>
        <w:rPr/>
        <w:t>necesario</w:t>
      </w:r>
      <w:r>
        <w:rPr>
          <w:spacing w:val="36"/>
        </w:rPr>
        <w:t> </w:t>
      </w:r>
      <w:r>
        <w:rPr/>
        <w:t>realizar</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18808" from="93.199997pt,-19.614155pt" to="546.799997pt,-19.614155pt" stroked="true" strokeweight=".479981pt" strokecolor="#000000">
            <w10:wrap type="none"/>
          </v:line>
        </w:pict>
      </w:r>
      <w:r>
        <w:rPr/>
        <w:t>una segunda valoración para que finalmente, se obtuvieran 67 indicadores con los que se repitió la prueba piloto y los resultados demostraron datos valiosos y satisfactorios, que permitieron demostrar la hipótesis planteada y la integración teórica.</w:t>
      </w:r>
    </w:p>
    <w:p>
      <w:pPr>
        <w:pStyle w:val="BodyText"/>
        <w:spacing w:line="360" w:lineRule="auto" w:before="127"/>
        <w:ind w:left="268" w:right="231"/>
        <w:jc w:val="both"/>
      </w:pPr>
      <w:r>
        <w:rPr/>
        <w:t>Finalmente, la tercera etapa consistió en una reagrupación y ordenación de indicadores que permitiera medir y evaluar de manera integral los cuatro ejes propuestos con los que se estructuró el sistema de índices para evaluar la sustentabilidad de los conjuntos urbanos.</w:t>
      </w:r>
    </w:p>
    <w:p>
      <w:pPr>
        <w:pStyle w:val="BodyText"/>
        <w:spacing w:line="360" w:lineRule="auto" w:before="127"/>
        <w:ind w:left="268" w:right="231"/>
        <w:jc w:val="both"/>
      </w:pPr>
      <w:r>
        <w:rPr/>
        <w:t>Otro elemento importante de la metodología desarrollada es el manejo de un índice en el eje territorial, con el que la sustentabilidad es abordada de manera tradicional y trasversal incorporando aspectos de impacto en el territorio de los desarrollos habitacionales para contar con una evaluación total que facilita ubicar  e identificar el desarrollo en un escenario sustentable.</w:t>
      </w:r>
    </w:p>
    <w:p>
      <w:pPr>
        <w:pStyle w:val="BodyText"/>
        <w:spacing w:line="360" w:lineRule="auto" w:before="127"/>
        <w:ind w:left="268" w:right="231"/>
        <w:jc w:val="both"/>
      </w:pPr>
      <w:r>
        <w:rPr/>
        <w:t>Con la propuesta del modelo se propuso analizar un caso de estudio en alguno de los municipios que conforman la ZMT en el Estado de México, que contara con diferentes tipos de conjuntos urbanos de tipo habitacional, con proyectos que mostraran las mejores características en la autorización y el desarrollo urbano, así como las existentes físicamente ya construidas, bajos estas y otras premisas mencionadas en capítulo cuatro fue seleccionado el municipio de Calimaya.</w:t>
      </w:r>
    </w:p>
    <w:p>
      <w:pPr>
        <w:pStyle w:val="BodyText"/>
        <w:spacing w:line="360" w:lineRule="auto" w:before="122"/>
        <w:ind w:left="268" w:right="231"/>
        <w:jc w:val="both"/>
      </w:pPr>
      <w:r>
        <w:rPr/>
        <w:t>La construcción del modelo metodológico fue una tarea complicada y ardua, ya que, aunque los aportes metodológicos de los fundamentos teóricos son material invaluable, fue necesario clasificar y valorar indicadores, procesos y técnicas de aplicación y obtención de los datos que se ajustaran a las necesidades específicas del estudio realizado.</w:t>
      </w:r>
    </w:p>
    <w:p>
      <w:pPr>
        <w:pStyle w:val="BodyText"/>
        <w:spacing w:line="360" w:lineRule="auto" w:before="122"/>
        <w:ind w:left="268" w:right="231"/>
        <w:jc w:val="both"/>
      </w:pPr>
      <w:r>
        <w:rPr/>
        <w:t>Los aspectos metodológicos de las investigaciones revisadas abordan las variables del estudio desde una visión particularizada, es decir, si el estudio analiza la vivienda desde su relación con la sociedad, los datos e indicadores solo daban datos en este sentido, por consiguiente, fue necesario retomar solo  aquellos que aportaran un dato relevante con el estudio.</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8832" from="93.199997pt,-19.614155pt" to="546.799997pt,-19.614155pt" stroked="true" strokeweight=".479981pt" strokecolor="#000000">
            <w10:wrap type="none"/>
          </v:line>
        </w:pict>
      </w:r>
      <w:r>
        <w:rPr/>
        <w:t>Para la integración final del modelo metodológico fue necesario estandarizar y homologar los indicadores para la obtención de los resultados que permitirá contar con una visión individual y a la vez integral de cada uno de los cuatro índices de la sustentabilidad propuestos.</w:t>
      </w:r>
    </w:p>
    <w:p>
      <w:pPr>
        <w:pStyle w:val="BodyText"/>
        <w:spacing w:line="360" w:lineRule="auto" w:before="127"/>
        <w:ind w:left="268" w:right="231"/>
        <w:jc w:val="both"/>
      </w:pPr>
      <w:r>
        <w:rPr/>
        <w:t>El proceso de homologación dio como resultado contar con datos de carácter estadístico propuestos a partir de información ya obtenida por otras metodología, esto permitió que existiera un contraste entre lo realizado en el trabajo de campo; sin embargo, se consideraron como punto de referencia para demostrar que los indicadores que se trabajan a nivel internacional y nacional, distan de una realidad local, por lo que esto refuerza la necesidad y la propuesta de construir y aportar indicadores específicos para evaluar el fenómeno local para la toma de decisiones y la aplicación de políticas adecuadas.</w:t>
      </w:r>
    </w:p>
    <w:p>
      <w:pPr>
        <w:pStyle w:val="BodyText"/>
        <w:spacing w:line="360" w:lineRule="auto" w:before="122"/>
        <w:ind w:left="268" w:right="231"/>
        <w:jc w:val="both"/>
      </w:pPr>
      <w:r>
        <w:rPr/>
        <w:t>Los indicadores de áreas verdes consideradas como equipamiento para el desarrollo y calidad de vida de sus habitantes demuestran que la norma que considera ciertos parámetros para la autorización de vivienda en el territorio se encuentra por debajo de los lineamientos que se consideran en otros países  según los índices que establece la ONU y la OMS, la teoría menciona que en México se utiliza lo señalado por la OMS que, a su vez, está por debajo de los estándares de la ONU.</w:t>
      </w:r>
    </w:p>
    <w:p>
      <w:pPr>
        <w:pStyle w:val="BodyText"/>
        <w:spacing w:line="360" w:lineRule="auto" w:before="122"/>
        <w:ind w:left="268" w:right="231"/>
        <w:jc w:val="both"/>
      </w:pPr>
      <w:r>
        <w:rPr/>
        <w:t>El estudio e investigación para el desarrollo y aplicación de la metodología propuesta para la evaluación de conjuntos urbanos en el Estado de México mediante el análisis y obtención de un sistema de indicadores y un índice de sustentabilidad del conjunto urbano permite evaluar cuatro ejes de la sustentabilidad, que va más allá de la manera en que tradicionalmente se aborda  a la sustentabilidad, adaptados para el estudio habitacional, siendo ésta una primera contribución al adoptar un estudio integral en materia de sustentabilidad para el impacto de desarrollos habitacionales en el Estado de México y en especifico en el municipio de Calimaya.</w:t>
      </w:r>
    </w:p>
    <w:p>
      <w:pPr>
        <w:pStyle w:val="BodyText"/>
        <w:spacing w:line="362" w:lineRule="auto" w:before="122"/>
        <w:ind w:left="268" w:right="231"/>
        <w:jc w:val="both"/>
      </w:pPr>
      <w:r>
        <w:rPr/>
        <w:t>La elaboración final del índice de sustentabilidad, como resultado de esta investigación,  tiene  varias  explicaciones  y  puede  ser  confrontado  con      otros</w:t>
      </w:r>
    </w:p>
    <w:p>
      <w:pPr>
        <w:spacing w:after="0" w:line="362"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139176" from="93.199997pt,-19.614155pt" to="546.799997pt,-19.614155pt" stroked="true" strokeweight=".479981pt" strokecolor="#000000">
            <w10:wrap type="none"/>
          </v:line>
        </w:pict>
      </w:r>
      <w:r>
        <w:rPr/>
        <w:t>sistemas de medición de variables urbanas, de sustentabilidad, territoriales y de vivienda. Para efectos de la propuesta de investigación, el modelo cumple con las expectativas sobre las decisiones del uso de indicadores que reflejen mejor la realidad de un sistema, de un sistema de promoción, producción y desarrollo de conjuntos urbanos.</w:t>
      </w:r>
    </w:p>
    <w:p>
      <w:pPr>
        <w:pStyle w:val="BodyText"/>
        <w:spacing w:line="360" w:lineRule="auto" w:before="122"/>
        <w:ind w:left="268" w:right="231"/>
        <w:jc w:val="both"/>
      </w:pPr>
      <w:r>
        <w:rPr/>
        <w:t>La construcción y propuesta del índice de sustentabilidad para conjuntos urbanos constituye una herramienta que debe ser considerada en la Secretaría de Desarrollo Urbano y Metropolitano del Gobierno del Estado de México, ya que con este índice y los cuatro subíndices que lo integran, se podría contar con autorizaciones de conjuntos urbanos sustentables en lo social, ambiental, económico y territorial, ya que en éstos cuatro ejes se miden y evalúan  indicadores interrelacionados entre si para poder evaluar de manera integral si un conjunto urbano es sustentable es las cuatro áreas propuestas y con ello garantizando un impacto favorable en el territorio en el que se desarrollan, por otro lado, se podría avanzar en el análisis y mejora del control urbano en relación a los conjuntos urbanos autorizados que aún cuentan con problemas sociales y administrativos.</w:t>
      </w:r>
    </w:p>
    <w:p>
      <w:pPr>
        <w:pStyle w:val="BodyText"/>
        <w:spacing w:line="360" w:lineRule="auto" w:before="127"/>
        <w:ind w:left="268" w:right="231"/>
        <w:jc w:val="both"/>
      </w:pPr>
      <w:r>
        <w:rPr/>
        <w:t>En este sentido, el capítulo tres de la tesis aborda la investigación realizada que explica y expone el proceso de promoción, producción y desarrollo de vivienda en el Estado de México, analizando las leyes, códigos y reglamentos con los que las dependencias estatales regulan y controlan la autorización de conjuntos urbanos en el territorio.</w:t>
      </w:r>
    </w:p>
    <w:p>
      <w:pPr>
        <w:pStyle w:val="BodyText"/>
        <w:spacing w:line="360" w:lineRule="auto" w:before="122"/>
        <w:ind w:left="268" w:right="231"/>
        <w:jc w:val="both"/>
      </w:pPr>
      <w:r>
        <w:rPr/>
        <w:t>Los hallazgos en el capítulo tres en relación a la normatividad y la sustentabilidad pueden comenzar refiriendo que la sustentabilidad en el proceso de autorización que contempla la administración y operación urbana es un concepto joven, el cual comienza a tomar forma y a definirse en relación a las necesidades y características propias del área. El concepto de sustentabilidad ha sido trabajado por diferentes disciplinas lo que ha permitido enriquecer sus características y sus forma de comprenderse, esto en sí es un avance significativo ya que para los gobiernos debe ser una ventaja, puesto que pueden utilizar la multidisciplinariedad</w:t>
      </w:r>
    </w:p>
    <w:p>
      <w:pPr>
        <w:pStyle w:val="BodyText"/>
        <w:spacing w:before="166"/>
        <w:ind w:right="232"/>
        <w:jc w:val="right"/>
      </w:pPr>
      <w:r>
        <w:rPr/>
        <w:t>237</w:t>
      </w:r>
    </w:p>
    <w:p>
      <w:pPr>
        <w:spacing w:after="0"/>
        <w:jc w:val="right"/>
        <w:sectPr>
          <w:headerReference w:type="default" r:id="rId314"/>
          <w:footerReference w:type="default" r:id="rId315"/>
          <w:pgSz w:w="12240" w:h="15840"/>
          <w:pgMar w:header="730" w:footer="0" w:top="1320" w:bottom="280" w:left="1720" w:right="1180"/>
        </w:sectPr>
      </w:pPr>
    </w:p>
    <w:p>
      <w:pPr>
        <w:pStyle w:val="BodyText"/>
        <w:spacing w:before="1"/>
        <w:rPr>
          <w:sz w:val="18"/>
        </w:rPr>
      </w:pPr>
    </w:p>
    <w:p>
      <w:pPr>
        <w:pStyle w:val="BodyText"/>
        <w:spacing w:line="360" w:lineRule="auto" w:before="69"/>
        <w:ind w:left="268" w:right="233"/>
        <w:jc w:val="both"/>
      </w:pPr>
      <w:r>
        <w:rPr/>
        <w:pict>
          <v:line style="position:absolute;mso-position-horizontal-relative:page;mso-position-vertical-relative:paragraph;z-index:-1139152" from="93.199997pt,-19.614155pt" to="546.799997pt,-19.614155pt" stroked="true" strokeweight=".479981pt" strokecolor="#000000">
            <w10:wrap type="none"/>
          </v:line>
        </w:pict>
      </w:r>
      <w:r>
        <w:rPr/>
        <w:t>de los estudios realizados para generar e implementar cada vez mejores leyes, normas y reglamentos que perfeccionen el actuar de las instituciones y dependencias de gobierno en materia de sustentabilidad.</w:t>
      </w:r>
    </w:p>
    <w:p>
      <w:pPr>
        <w:pStyle w:val="BodyText"/>
        <w:spacing w:line="360" w:lineRule="auto" w:before="122"/>
        <w:ind w:left="268" w:right="231"/>
        <w:jc w:val="both"/>
      </w:pPr>
      <w:r>
        <w:rPr/>
        <w:t>El marco normativo existente en el Estado de México muestra algunos avances en el proceso de incorporación del término de sustentabilidad, quizá como sucede en otros Estados de la República Mexicana, diversas son las normas que ostentan incluir la palabra sustentable, sustentabilidad, sostenible, medio ambiente, desarrollo sustentable y desarrollo urbano sustentable.</w:t>
      </w:r>
    </w:p>
    <w:p>
      <w:pPr>
        <w:pStyle w:val="BodyText"/>
        <w:spacing w:line="360" w:lineRule="auto" w:before="127"/>
        <w:ind w:left="268" w:right="231"/>
        <w:jc w:val="both"/>
      </w:pPr>
      <w:r>
        <w:rPr/>
        <w:t>La importancia de anexar el vocablo de sustentabilidad en la normatividad del Estado de México puede ser relativa ya que en la mayoría de los casos la conceptualización es menuda al ser incorporada en el cuerpo regulador, careciendo de raíces fundadas en descripciones, reglas, principios, procesos, lineamientos, evaluaciones o certificaciones, de inicio en el alcance del propio término, su tendencia y dimensiones, puesto que hablar de sustentabilidad en materia de turismo representa una visión distante de su entendimiento en  el ámbito de la salud o del ordenamiento territorial y de los asentamientos humanos.</w:t>
      </w:r>
    </w:p>
    <w:p>
      <w:pPr>
        <w:pStyle w:val="BodyText"/>
        <w:spacing w:line="360" w:lineRule="auto" w:before="122"/>
        <w:ind w:left="268" w:right="231"/>
        <w:jc w:val="both"/>
      </w:pPr>
      <w:r>
        <w:rPr/>
        <w:t>La normatividad presenta ambigüedad en la conceptualización de la sustentabilidad, el desarrollo sustentable, la sostenibilidad y el medio ambiente; sin embargo, se debe reconocer que existe camino realizado en materia normativa y que si bien aún no es la más adecuada sí debe de continuar mejorando, adicionando, reformando y reestructurando la legislación.</w:t>
      </w:r>
    </w:p>
    <w:p>
      <w:pPr>
        <w:pStyle w:val="BodyText"/>
        <w:spacing w:line="360" w:lineRule="auto" w:before="127"/>
        <w:ind w:left="268" w:right="231"/>
        <w:jc w:val="both"/>
      </w:pPr>
      <w:r>
        <w:rPr/>
        <w:t>Las diferencias en el territorio mexicano son diversas, sin embargo, esto debe de ser un aliciente para conformar y estructurar un código de sustentabilidad para México, el cual no sólo sea un compendio de leyes, normas y reglamentos fragmentados y sin relación entre ellos, sino todo lo contrario, aprovechar el avance que existe en cada estado de la República Mexicana en materia de leyes sobre sustentabilidad, medio ambiente y desarrollo sustentable, pero aún se requiere la tarea titánica de articularlos, analizar sus alcances y salvedades para logar consolidar una propuesta realmente sustentable para el país, ya que con acciones parciales, individuales y difusas será un riesgo hablar de </w:t>
      </w:r>
      <w:r>
        <w:rPr>
          <w:spacing w:val="63"/>
        </w:rPr>
        <w:t> </w:t>
      </w:r>
      <w:r>
        <w:rPr/>
        <w:t>sustentabilidad</w:t>
      </w:r>
    </w:p>
    <w:p>
      <w:pPr>
        <w:pStyle w:val="BodyText"/>
        <w:spacing w:before="46"/>
        <w:ind w:right="232"/>
        <w:jc w:val="right"/>
      </w:pPr>
      <w:r>
        <w:rPr/>
        <w:t>238</w:t>
      </w:r>
    </w:p>
    <w:p>
      <w:pPr>
        <w:spacing w:after="0"/>
        <w:jc w:val="right"/>
        <w:sectPr>
          <w:headerReference w:type="default" r:id="rId316"/>
          <w:footerReference w:type="default" r:id="rId317"/>
          <w:pgSz w:w="12240" w:h="15840"/>
          <w:pgMar w:header="730" w:footer="0" w:top="1320" w:bottom="28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8904" from="93.199997pt,-19.614155pt" to="546.799997pt,-19.614155pt" stroked="true" strokeweight=".479981pt" strokecolor="#000000">
            <w10:wrap type="none"/>
          </v:line>
        </w:pict>
      </w:r>
      <w:r>
        <w:rPr/>
        <w:t>en los próximos años y quizá para entonces sólo se acuñará un nuevo concepto para lo ya conocido.</w:t>
      </w:r>
    </w:p>
    <w:p>
      <w:pPr>
        <w:pStyle w:val="BodyText"/>
        <w:spacing w:line="360" w:lineRule="auto" w:before="122"/>
        <w:ind w:left="268" w:right="231"/>
        <w:jc w:val="both"/>
      </w:pPr>
      <w:r>
        <w:rPr/>
        <w:t>El conocimiento que se genera en los estudios y en la investigación en relación a la sustentabilidad, el desarrollo sustentable y el medio ambiente, no ha sido aprovechado como lo marca la premisa de generar conocimiento para beneficio de la sociedad y esto no es por falta de trabajo académico o de investigación, sino que parece que la separación entre la conciencia de elegir a nuestros gobernantes con cierto nivel de preparación conforme a los puestos que van a desarrollar está distraída por otros actores ajenos al cuidado del territorio que</w:t>
      </w:r>
      <w:r>
        <w:rPr>
          <w:spacing w:val="-2"/>
        </w:rPr>
        <w:t> </w:t>
      </w:r>
      <w:r>
        <w:rPr/>
        <w:t>habitamos.</w:t>
      </w:r>
    </w:p>
    <w:p>
      <w:pPr>
        <w:pStyle w:val="BodyText"/>
        <w:spacing w:line="360" w:lineRule="auto" w:before="122"/>
        <w:ind w:left="268" w:right="231"/>
        <w:jc w:val="both"/>
      </w:pPr>
      <w:r>
        <w:rPr/>
        <w:t>El marco regulador que fundamenta las acciones de las dependencias gubernamentales que participan en la autorización de conjuntos urbanos en el Estado de México considera la sustentabilidad en alguna parte de sus articulados, éstos refieren al concepto desde diferentes perspectivas, en la mayoría de los casos la sustentabilidad es abordada desde el medio ambiente y su conservación, el desarrollo urbano debe ser cuidadoso de los recursos naturales y del entorno natural existente desde la preservación ecológica.</w:t>
      </w:r>
    </w:p>
    <w:p>
      <w:pPr>
        <w:pStyle w:val="BodyText"/>
        <w:spacing w:line="360" w:lineRule="auto" w:before="122"/>
        <w:ind w:left="268" w:right="231"/>
        <w:jc w:val="both"/>
      </w:pPr>
      <w:r>
        <w:rPr/>
        <w:t>Las dependencias en las que recae la responsabilidad de la sustentabilidad tradicionalmente y siendo ya un paradigma a cuestionar, son las Secretarías de Ecología y/o Medio Ambiente y como el propio nombre lo sugiere el enfoque con el que se aborda la sustentabilidad en estas instancias gubernamentales es de igual modo tradicional y hasta cierto punto podemos decir limitado o parcial, puesto como ya se ha expresado en el apartado uno de este documento, la sustentabilidad debe ser abordada desde su misma complejidad y no de manera tradicional.</w:t>
      </w:r>
    </w:p>
    <w:p>
      <w:pPr>
        <w:pStyle w:val="BodyText"/>
        <w:spacing w:line="360" w:lineRule="auto" w:before="122"/>
        <w:ind w:left="268" w:right="231"/>
        <w:jc w:val="both"/>
      </w:pPr>
      <w:r>
        <w:rPr/>
        <w:t>En la revisión realizada de códigos, leyes, reglamentos que regulan la promoción, producción y desarrollo de vivienda formal, a través de la figura de conjunto urbano en el Estado de México, se observa que el Reglamento del Libro Quinto  del Código Administrativo del Estado de México es la norma con mayor peso para la legalización y/o autorización de conjuntos urbanos y en paralelo por la misma naturaleza de las dependencias gubernamentales que participan en la CEDUV, </w:t>
      </w:r>
      <w:r>
        <w:rPr>
          <w:spacing w:val="63"/>
        </w:rPr>
        <w:t> </w:t>
      </w:r>
      <w:r>
        <w:rPr/>
        <w:t>la</w:t>
      </w:r>
    </w:p>
    <w:p>
      <w:pPr>
        <w:spacing w:after="0" w:line="360" w:lineRule="auto"/>
        <w:jc w:val="both"/>
        <w:sectPr>
          <w:footerReference w:type="default" r:id="rId318"/>
          <w:pgSz w:w="12240" w:h="15840"/>
          <w:pgMar w:footer="1066" w:header="730" w:top="1320" w:bottom="1260" w:left="1720" w:right="1180"/>
          <w:pgNumType w:start="23"/>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8928" from="93.199997pt,-19.614155pt" to="546.799997pt,-19.614155pt" stroked="true" strokeweight=".479981pt" strokecolor="#000000">
            <w10:wrap type="none"/>
          </v:line>
        </w:pict>
      </w:r>
      <w:r>
        <w:rPr/>
        <w:t>regulación relacionada con otras instancias también juega un papel importante por lo que se considera necesario que dicha regulación sea actualizada realizando  una integración de la misma.</w:t>
      </w:r>
    </w:p>
    <w:p>
      <w:pPr>
        <w:pStyle w:val="BodyText"/>
        <w:spacing w:line="360" w:lineRule="auto" w:before="122"/>
        <w:ind w:left="268" w:right="231"/>
        <w:jc w:val="both"/>
      </w:pPr>
      <w:r>
        <w:rPr/>
        <w:t>Derivado de la revisión y análisis de la normatividad para la autorización de conjuntos urbanos podemos apreciar que, para el primer semestre del año 2016,  la normatividad existente no considera un proceso que garantice un conjunto urbano habitacional sustentable y los avances que existen en esta materia están relacionados con el medio ambiente y la ecología,</w:t>
      </w:r>
      <w:r>
        <w:rPr>
          <w:spacing w:val="-1"/>
        </w:rPr>
        <w:t> </w:t>
      </w:r>
      <w:r>
        <w:rPr/>
        <w:t>principalmente.</w:t>
      </w:r>
    </w:p>
    <w:p>
      <w:pPr>
        <w:pStyle w:val="BodyText"/>
        <w:spacing w:line="360" w:lineRule="auto" w:before="127"/>
        <w:ind w:left="268" w:right="231"/>
        <w:jc w:val="both"/>
      </w:pPr>
      <w:r>
        <w:rPr/>
        <w:t>Es prioritario definir la conceptualización de la sustentabilidad desde un nuevo enfoque para estar un paso adelante; en este sentido, debe de considerarse  desde la complejidad de los distintos elementos que participan en la promoción, producción y desarrollo de la vivienda a través de la figura de conjunto urbano de tipo habitacional.</w:t>
      </w:r>
    </w:p>
    <w:p>
      <w:pPr>
        <w:pStyle w:val="BodyText"/>
        <w:spacing w:line="360" w:lineRule="auto" w:before="127"/>
        <w:ind w:left="268" w:right="231"/>
        <w:jc w:val="both"/>
      </w:pPr>
      <w:r>
        <w:rPr/>
        <w:t>Sin embargo, para garantizar la sustentabilidad en la autorización de conjuntos urbanos y en otros temas del Estado de México es necesario que los estudios e investigaciones realizadas sean consideradas un elemento prioritario en la agenda legislativa del Estado de México, quien además debe ser visionaria en ir evolucionando en los procesos y demandas que hoy requiere nuestra sociedad.  En la administración 2012 – 2018 del Gobierno del Estado de México aún no se cuenta con una Secretaría de Desarrollo Sustentable que observe temas complejos de la sustentabilidad en el territorio y administración pública, se cuenta con la Secretaría de Medio Ambiente, pero ésta observa temas relacionados con  la ecología y recursos naturales, por lo que una Secretaría en materia de Desarrollo Sustentable debería buscar el desarrollo del Estado de México en los tres ejes analizados en esta investigación, considerando y respetando las funciones de las secretarías existentes para evitar duplicidad de</w:t>
      </w:r>
      <w:r>
        <w:rPr>
          <w:spacing w:val="-1"/>
        </w:rPr>
        <w:t> </w:t>
      </w:r>
      <w:r>
        <w:rPr/>
        <w:t>funciones.</w:t>
      </w:r>
    </w:p>
    <w:p>
      <w:pPr>
        <w:pStyle w:val="BodyText"/>
        <w:spacing w:line="360" w:lineRule="auto" w:before="122"/>
        <w:ind w:left="268" w:right="231"/>
        <w:jc w:val="both"/>
      </w:pPr>
      <w:r>
        <w:rPr/>
        <w:t>Como se mencionó la normatividad que regula la promoción producción y desarrollo de vivienda en el Estado de México, es ambigua en lo que respecta al tema de la sustentabilidad desde una perspectiva integral, reconsiderando que  </w:t>
      </w:r>
      <w:r>
        <w:rPr>
          <w:spacing w:val="66"/>
        </w:rPr>
        <w:t> </w:t>
      </w:r>
      <w:r>
        <w:rPr/>
        <w:t>la</w:t>
      </w:r>
    </w:p>
    <w:p>
      <w:pPr>
        <w:spacing w:after="0" w:line="360" w:lineRule="auto"/>
        <w:jc w:val="both"/>
        <w:sectPr>
          <w:pgSz w:w="12240" w:h="15840"/>
          <w:pgMar w:header="730" w:footer="1066" w:top="1320" w:bottom="1260" w:left="1720" w:right="1180"/>
        </w:sectPr>
      </w:pPr>
    </w:p>
    <w:p>
      <w:pPr>
        <w:pStyle w:val="BodyText"/>
        <w:spacing w:before="1"/>
        <w:rPr>
          <w:sz w:val="18"/>
        </w:rPr>
      </w:pPr>
    </w:p>
    <w:p>
      <w:pPr>
        <w:pStyle w:val="BodyText"/>
        <w:spacing w:line="360" w:lineRule="auto" w:before="69"/>
        <w:ind w:left="268" w:right="232"/>
        <w:jc w:val="both"/>
      </w:pPr>
      <w:r>
        <w:rPr/>
        <w:pict>
          <v:line style="position:absolute;mso-position-horizontal-relative:page;mso-position-vertical-relative:paragraph;z-index:18952" from="93.199997pt,-19.614155pt" to="546.799997pt,-19.614155pt" stroked="true" strokeweight=".479981pt" strokecolor="#000000">
            <w10:wrap type="none"/>
          </v:line>
        </w:pict>
      </w:r>
      <w:r>
        <w:rPr/>
        <w:t>sustentabilidad no solo refiere a elementos ambientales, sino que debe involucrar factores sociales, económicos y en nuestro caso territoriales.</w:t>
      </w:r>
    </w:p>
    <w:p>
      <w:pPr>
        <w:pStyle w:val="BodyText"/>
        <w:spacing w:line="360" w:lineRule="auto" w:before="122"/>
        <w:ind w:left="268" w:right="231"/>
        <w:jc w:val="both"/>
      </w:pPr>
      <w:r>
        <w:rPr/>
        <w:t>Con el análisis de datos cualitativos y cuantitativos obtenidos mediante la aplicación del modelo metodologíco del sistema de indicadores para la obtención del ISCU se demuestra que los conjuntos urbanos autorizados en el municipio de Calimaya, Estado de México, no son sustentables desde la perspectiva tradicional en la conceptualización de la sustentabilidad. Adicionalmente, el impacto generado en el territorio municipal de igual modo no es sustentable, esto de por sí, es preocupante, más aún, es alarmante que la normatividad que regula la promoción, producción y desarrollo de vivienda formal en el Estado de México, carece de elementos para garantizar la sustentabilidad del territorio, la vivienda y sus habitantes.</w:t>
      </w:r>
    </w:p>
    <w:p>
      <w:pPr>
        <w:pStyle w:val="BodyText"/>
        <w:spacing w:line="360" w:lineRule="auto" w:before="122"/>
        <w:ind w:left="268" w:right="231"/>
        <w:jc w:val="both"/>
      </w:pPr>
      <w:r>
        <w:rPr/>
        <w:t>Por lo que la hipótesis de la investigación se demuestra con los resultados que arrojaron el estudio y aplicación del modelo metodológico comprobando que las acciones de promoción, producción y desarrollo habitacional por parte del Estado  y los desarrolladores inmobiliarios a través del conjunto urbano de  tipo habitacional se rigen por criterios financieros y se descuidan los aspectos ambientales, sociales, económicos y territoriales, así como las necesidades reales de sus habitantes, contribuyendo al desarrollo de vivienda inadecuada carente de perspectiva de sustentabilidad.</w:t>
      </w:r>
    </w:p>
    <w:p>
      <w:pPr>
        <w:pStyle w:val="BodyText"/>
        <w:spacing w:line="360" w:lineRule="auto" w:before="122"/>
        <w:ind w:left="268" w:right="231"/>
        <w:jc w:val="both"/>
      </w:pPr>
      <w:r>
        <w:rPr/>
        <w:t>Una reflexión de la investigación es garantizar que un conjunto  urbano habitacional sea autorizado como un conjunto urbano habitacional sustentable para el Estado, la iniciativa privada y la sociedad, esto podría ser a través de regular que los conjuntos urbanos cuenten con una evaluación o certificación mediante un índice de sustentabilidad, el cual esté basado en la evaluación de cuatro índices que contemplen indicadores a evaluar dentro de los elementos ambientales, sociales, económicos y territoriales, como se propone en esta</w:t>
      </w:r>
      <w:r>
        <w:rPr>
          <w:spacing w:val="-3"/>
        </w:rPr>
        <w:t> </w:t>
      </w:r>
      <w:r>
        <w:rPr/>
        <w:t>tesis.</w:t>
      </w:r>
    </w:p>
    <w:p>
      <w:pPr>
        <w:pStyle w:val="BodyText"/>
        <w:spacing w:line="360" w:lineRule="auto" w:before="122"/>
        <w:ind w:left="268" w:right="231"/>
        <w:jc w:val="both"/>
      </w:pPr>
      <w:r>
        <w:rPr/>
        <w:t>Para que los conjuntos urbanos futuros y existentes sean sustentables se requiere además de investigaciones, estudios, herramientas y procesos técnicos en la materia, la participación activa y la acción social de la población ya que en ellos</w:t>
      </w:r>
    </w:p>
    <w:p>
      <w:pPr>
        <w:spacing w:after="0" w:line="360" w:lineRule="auto"/>
        <w:jc w:val="both"/>
        <w:sectPr>
          <w:footerReference w:type="default" r:id="rId319"/>
          <w:pgSz w:w="12240" w:h="15840"/>
          <w:pgMar w:footer="1066" w:header="730" w:top="1320" w:bottom="126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8976" from="93.199997pt,-19.614155pt" to="546.799997pt,-19.614155pt" stroked="true" strokeweight=".479981pt" strokecolor="#000000">
            <w10:wrap type="none"/>
          </v:line>
        </w:pict>
      </w:r>
      <w:r>
        <w:rPr/>
        <w:t>radica la exigencia de mejores viviendas, servicios, equipamiento, desarrollo urbano y conjuntos urbanos, la sociedad civil debe ser el artífice de buscar y hacer valer sus derechos en pro y beneficio de todos. Los especialistas en el tema  deben redoblar esfuerzos por hacer llegar su conocimiento a la conciencia del entorno local, regional y global.</w:t>
      </w:r>
    </w:p>
    <w:p>
      <w:pPr>
        <w:pStyle w:val="BodyText"/>
        <w:spacing w:line="360" w:lineRule="auto" w:before="122"/>
        <w:ind w:left="268" w:right="231"/>
        <w:jc w:val="both"/>
      </w:pPr>
      <w:r>
        <w:rPr/>
        <w:t>Por otro lado, la sociedad debe revisar, verificar y compromerse para garantizar que en la dirección y administración del Estado se encuentren los profesionistas profesionales y expertos en el tema y área del conocimiento en el cual desempeñen un puesto público sin importar su jerarquía organizacional, el que un funcionario público carezca de conocimientos específicos del área que dirigue limita el adecuado funcionamiento de esta.</w:t>
      </w:r>
    </w:p>
    <w:p>
      <w:pPr>
        <w:pStyle w:val="BodyText"/>
        <w:spacing w:line="360" w:lineRule="auto" w:before="122"/>
        <w:ind w:left="268" w:right="231"/>
        <w:jc w:val="both"/>
      </w:pPr>
      <w:r>
        <w:rPr/>
        <w:t>El Estado debe tomar las acciones prioritarias en la actualización de las normas, leyes y reglamentos que regulan la promoción, producción y desarrollo de vivienda formal, es inaceptable que en materia de legislación tenga un desfase en la actualización de los instrumentos jurídicos, como sucedió con el Reglamento del Libro Quinto del Código Administrativo del Estado de México, el cual  recientemente fue públicado (28 de julio de 2016) cinco años después de la actualización del Libro Quinto del Código Administrativo del Estado de México  (1ro. de septiembre de 2011), el no contar con leyes y reglamentos actualizados promueven la toma de desiciones a consideración y criterio de los servidores públicos de la administración en turno y si estos desconocen el tema las consecuencias pudieran ser las que hoy se presentan con la falta de municipalización de conjuntos urbanos a nivel estatal y del propio caso de</w:t>
      </w:r>
      <w:r>
        <w:rPr>
          <w:spacing w:val="-2"/>
        </w:rPr>
        <w:t> </w:t>
      </w:r>
      <w:r>
        <w:rPr/>
        <w:t>estudio.</w:t>
      </w:r>
    </w:p>
    <w:p>
      <w:pPr>
        <w:pStyle w:val="BodyText"/>
        <w:spacing w:line="360" w:lineRule="auto" w:before="122"/>
        <w:ind w:left="268" w:right="231"/>
        <w:jc w:val="both"/>
      </w:pPr>
      <w:r>
        <w:rPr/>
        <w:t>En lo que respecta a la participación de la iniciativa privada esta busca el beneficio económico en sus proyectos habitacionales al adquirir tierra con bajo costo por metro cuadrado y construir viviendas con los aspectos minimos establecidos en la normatividad vigente. Las acciones de importancia relativa para los  desarrolladores inmobiliarios radican en disminuir los tiempos de gestión, tramites y legalizaciónpara la autorización de sus proyectos, de ser posible reducir los impuestos</w:t>
      </w:r>
      <w:r>
        <w:rPr>
          <w:spacing w:val="33"/>
        </w:rPr>
        <w:t> </w:t>
      </w:r>
      <w:r>
        <w:rPr/>
        <w:t>que</w:t>
      </w:r>
      <w:r>
        <w:rPr>
          <w:spacing w:val="33"/>
        </w:rPr>
        <w:t> </w:t>
      </w:r>
      <w:r>
        <w:rPr/>
        <w:t>generan</w:t>
      </w:r>
      <w:r>
        <w:rPr>
          <w:spacing w:val="33"/>
        </w:rPr>
        <w:t> </w:t>
      </w:r>
      <w:r>
        <w:rPr/>
        <w:t>estos,</w:t>
      </w:r>
      <w:r>
        <w:rPr>
          <w:spacing w:val="33"/>
        </w:rPr>
        <w:t> </w:t>
      </w:r>
      <w:r>
        <w:rPr/>
        <w:t>aunque</w:t>
      </w:r>
      <w:r>
        <w:rPr>
          <w:spacing w:val="33"/>
        </w:rPr>
        <w:t> </w:t>
      </w:r>
      <w:r>
        <w:rPr/>
        <w:t>paradójicamente</w:t>
      </w:r>
      <w:r>
        <w:rPr>
          <w:spacing w:val="33"/>
        </w:rPr>
        <w:t> </w:t>
      </w:r>
      <w:r>
        <w:rPr/>
        <w:t>éstos</w:t>
      </w:r>
      <w:r>
        <w:rPr>
          <w:spacing w:val="33"/>
        </w:rPr>
        <w:t> </w:t>
      </w:r>
      <w:r>
        <w:rPr/>
        <w:t>son</w:t>
      </w:r>
      <w:r>
        <w:rPr>
          <w:spacing w:val="33"/>
        </w:rPr>
        <w:t> </w:t>
      </w:r>
      <w:r>
        <w:rPr/>
        <w:t>cobrados</w:t>
      </w:r>
      <w:r>
        <w:rPr>
          <w:spacing w:val="33"/>
        </w:rPr>
        <w:t> </w:t>
      </w:r>
      <w:r>
        <w:rPr/>
        <w:t>con</w:t>
      </w:r>
    </w:p>
    <w:p>
      <w:pPr>
        <w:pStyle w:val="BodyText"/>
        <w:spacing w:before="166"/>
        <w:ind w:right="232"/>
        <w:jc w:val="right"/>
      </w:pPr>
      <w:r>
        <w:rPr/>
        <w:t>242</w:t>
      </w:r>
    </w:p>
    <w:p>
      <w:pPr>
        <w:spacing w:after="0"/>
        <w:jc w:val="right"/>
        <w:sectPr>
          <w:footerReference w:type="default" r:id="rId320"/>
          <w:pgSz w:w="12240" w:h="15840"/>
          <w:pgMar w:footer="0" w:header="730" w:top="1320" w:bottom="28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139032" from="93.199997pt,-19.614155pt" to="546.799997pt,-19.614155pt" stroked="true" strokeweight=".479981pt" strokecolor="#000000">
            <w10:wrap type="none"/>
          </v:line>
        </w:pict>
      </w:r>
      <w:r>
        <w:rPr/>
        <w:t>creces al cliente de la vivienda junto con las obras de urbanización, equipamiento urbano y de servicios, un tema álgido son los costos por el pago de dadivas y servicios especiales que deben de cubrir para agilizar alguno de los trámites requeridos situación que se encuentra bajo otra dimensión no analizada en esta investigación pero que sin duda es una inquietud entre el sector inmobiliario.</w:t>
      </w:r>
    </w:p>
    <w:p>
      <w:pPr>
        <w:pStyle w:val="BodyText"/>
        <w:spacing w:line="360" w:lineRule="auto" w:before="122"/>
        <w:ind w:left="268" w:right="231"/>
        <w:jc w:val="both"/>
      </w:pPr>
      <w:r>
        <w:rPr/>
        <w:t>A medida que el mercado y los consumidores demanden vivienda y conjuntos urbanos realmente sustentables en sus diferentes dimensiones, quizá para ello deberá transcurrir una o dos generaciones, la iniciativa privada tendrá que mejorar sus propuestas y ofertas ante las exigencias de sus consumidores, mientras tanto su postura continuará en el proceso de rentabilidad de un proyecto de inversión.</w:t>
      </w:r>
    </w:p>
    <w:p>
      <w:pPr>
        <w:pStyle w:val="BodyText"/>
        <w:spacing w:line="360" w:lineRule="auto" w:before="122"/>
        <w:ind w:left="268" w:right="231"/>
        <w:jc w:val="both"/>
      </w:pPr>
      <w:r>
        <w:rPr/>
        <w:t>En este punto surgen algunas interrogantes que podrían generar futuras líneas de investigación respecto a los impuestos que causa la promoción, producción y desarrollo de vivienda formal, cuestionamientos como: ¿El Estado genera y obtiene un ingreso por la promoción y desarrollo de vivienda formal?, ¿Los promotores inmobiliarios asumen el coste de los impuestos?, ¿Quién paga finalmente los impuestos por la autorización? y ¿En qué se aplican estos  ingresos?</w:t>
      </w:r>
    </w:p>
    <w:p>
      <w:pPr>
        <w:pStyle w:val="BodyText"/>
        <w:spacing w:line="360" w:lineRule="auto" w:before="127"/>
        <w:ind w:left="268" w:right="231"/>
        <w:jc w:val="both"/>
      </w:pPr>
      <w:r>
        <w:rPr/>
        <w:t>Finalmente, la investigación es una contribución a la conceptualización de la sustentabilidad desde la perspectiva del urbanismo con aportaciones de carácter interdisciplinario, transdisciplinario y multidisciplinario, por lo que de igual modo el urbanismo debe considerar las dimensiones tradicionales con las que se aborda la sustentabilidad en un primer acercamiento, pero sin excepción con miras a considerar un eje territorial para un desarrollo urbano sustentable y por supuesto  la promoción, producción y desarrollo de vivienda sustentable.</w:t>
      </w:r>
    </w:p>
    <w:p>
      <w:pPr>
        <w:pStyle w:val="BodyText"/>
        <w:spacing w:line="360" w:lineRule="auto" w:before="122"/>
        <w:ind w:left="268" w:right="231"/>
        <w:jc w:val="both"/>
      </w:pPr>
      <w:r>
        <w:rPr/>
        <w:t>Como se menciona a lo largo de este trabajo, con las citas de diversos autores, la agregación de indicadores para el análisis, estudio y medición de la  sustentabilidad en el aspecto local es fundamental puesto que estos indicadores  de tercera generación permiten estudios asertivos y más acordes a la realidad de los problemas o fenómenos a estudiar en comparación del uso de indicadores que miden valores y realidades de otras</w:t>
      </w:r>
      <w:r>
        <w:rPr>
          <w:spacing w:val="-3"/>
        </w:rPr>
        <w:t> </w:t>
      </w:r>
      <w:r>
        <w:rPr/>
        <w:t>latitudes.</w:t>
      </w:r>
    </w:p>
    <w:p>
      <w:pPr>
        <w:pStyle w:val="BodyText"/>
        <w:spacing w:before="46"/>
        <w:ind w:right="232"/>
        <w:jc w:val="right"/>
      </w:pPr>
      <w:r>
        <w:rPr/>
        <w:t>243</w:t>
      </w:r>
    </w:p>
    <w:p>
      <w:pPr>
        <w:spacing w:after="0"/>
        <w:jc w:val="right"/>
        <w:sectPr>
          <w:headerReference w:type="default" r:id="rId321"/>
          <w:footerReference w:type="default" r:id="rId322"/>
          <w:pgSz w:w="12240" w:h="15840"/>
          <w:pgMar w:header="730" w:footer="0" w:top="1320" w:bottom="280" w:left="1720" w:right="1180"/>
        </w:sectPr>
      </w:pPr>
    </w:p>
    <w:p>
      <w:pPr>
        <w:pStyle w:val="BodyText"/>
        <w:spacing w:before="1"/>
        <w:rPr>
          <w:sz w:val="18"/>
        </w:rPr>
      </w:pPr>
    </w:p>
    <w:p>
      <w:pPr>
        <w:pStyle w:val="BodyText"/>
        <w:spacing w:line="360" w:lineRule="auto" w:before="69"/>
        <w:ind w:left="268" w:right="231"/>
        <w:jc w:val="both"/>
      </w:pPr>
      <w:r>
        <w:rPr/>
        <w:pict>
          <v:line style="position:absolute;mso-position-horizontal-relative:page;mso-position-vertical-relative:paragraph;z-index:19024" from="93.199997pt,-19.614155pt" to="546.799997pt,-19.614155pt" stroked="true" strokeweight=".479981pt" strokecolor="#000000">
            <w10:wrap type="none"/>
          </v:line>
        </w:pict>
      </w:r>
      <w:r>
        <w:rPr/>
        <w:t>El trabajo de investigación realizado refleja una realidad local, como caso de estudio el municipio de Calimaya el cuarto municipio con mayor porcentaje de suelo incorporado a lo urbano en la ZMT, considerando que el 78% de la  población a nivel nacional se concentra en áreas urbanas según cifras del INEGI, podemos darnos una idea y considerar sí el tipo de ciudades que se han configurado en México propician la sustentabilidad del territorio a través de la promoción, producción y desarrollo de la vivienda que es una de las principales necesidades del ser humano y punto de partida de asentamientos humanos para configurar localidades y ciudades.</w:t>
      </w:r>
    </w:p>
    <w:p>
      <w:pPr>
        <w:pStyle w:val="BodyText"/>
        <w:spacing w:line="360" w:lineRule="auto" w:before="122"/>
        <w:ind w:left="268" w:right="231"/>
        <w:jc w:val="both"/>
      </w:pPr>
      <w:r>
        <w:rPr/>
        <w:t>Este trabajo también aporta al campo del urbanismo un estudio integral desde la perspectiva de la sustentabilidad relacionado con la producción de vivienda formal, la forma de hacer ciudades en las primeras décadas del siglo XXI ya que la mayoría de los conjuntos urbanos analizados cuenta con una población mayor a los 2,500 habitantes, característica importante según el INEGI para considerar una población rural de una urbana.</w:t>
      </w:r>
    </w:p>
    <w:p>
      <w:pPr>
        <w:pStyle w:val="BodyText"/>
        <w:spacing w:line="360" w:lineRule="auto" w:before="122"/>
        <w:ind w:left="268" w:right="231"/>
        <w:jc w:val="both"/>
      </w:pPr>
      <w:r>
        <w:rPr/>
        <w:t>En esta investigación se analiza la integración de los conjuntos urbanos con el territorio desde el enfoque de indicadores para medir y evaluar la sustentabilidad de manera integral, desde la forma en como se promociona mediante el marco regulador y las dependencias que lo ejecutan, despúes el producto que  desarrollan las empresas inmobiliarias, las características en los conjuntos  urbanos que los hacen ser o no sustentables y finalmente la percepción de sus habitantes quienes son los mejores evaluadores en relación a su experiencia y vida dentro de cada conjunto</w:t>
      </w:r>
      <w:r>
        <w:rPr>
          <w:spacing w:val="-1"/>
        </w:rPr>
        <w:t> </w:t>
      </w:r>
      <w:r>
        <w:rPr/>
        <w:t>urbano.</w:t>
      </w:r>
    </w:p>
    <w:p>
      <w:pPr>
        <w:pStyle w:val="BodyText"/>
        <w:spacing w:line="360" w:lineRule="auto" w:before="122"/>
        <w:ind w:left="268" w:right="231"/>
        <w:jc w:val="both"/>
      </w:pPr>
      <w:r>
        <w:rPr/>
        <w:t>Se aprecia que en el municipio de Calimaya, Estado de México los conjuntos urbanos autorizados desde la existencia de la figura jurídica de conjunto urbano 2002 hasta el 2015, no son sustentables y aún existe mucho trabajo por realizar para lograr que los conjuntos urbanos promocionados, autorizados, producidos y en proceso de producción en el territorio del municipio por lo menos cumplan con la normatividad vigente y la sustentabilidad de éstos será responsabilidad de las acciones y decisiones de sus habitantes.</w:t>
      </w:r>
    </w:p>
    <w:p>
      <w:pPr>
        <w:spacing w:after="0" w:line="360" w:lineRule="auto"/>
        <w:jc w:val="both"/>
        <w:sectPr>
          <w:footerReference w:type="default" r:id="rId323"/>
          <w:pgSz w:w="12240" w:h="15840"/>
          <w:pgMar w:footer="1066" w:header="730" w:top="1320" w:bottom="1260" w:left="1720" w:right="1180"/>
          <w:pgNumType w:start="244"/>
        </w:sectPr>
      </w:pPr>
    </w:p>
    <w:p>
      <w:pPr>
        <w:pStyle w:val="BodyText"/>
        <w:rPr>
          <w:sz w:val="20"/>
        </w:rPr>
      </w:pPr>
      <w:r>
        <w:rPr/>
        <w:pict>
          <v:line style="position:absolute;mso-position-horizontal-relative:page;mso-position-vertical-relative:page;z-index:19048" from="93.199997pt,57.080009pt" to="546.799997pt,57.080009pt" stroked="true" strokeweight=".479981pt" strokecolor="#000000">
            <w10:wrap type="none"/>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4"/>
        <w:spacing w:before="211"/>
        <w:ind w:left="34"/>
        <w:jc w:val="center"/>
      </w:pPr>
      <w:r>
        <w:rPr/>
        <w:t>Bibliografía</w:t>
      </w:r>
    </w:p>
    <w:p>
      <w:pPr>
        <w:spacing w:after="0"/>
        <w:jc w:val="center"/>
        <w:sectPr>
          <w:pgSz w:w="12240" w:h="15840"/>
          <w:pgMar w:header="730" w:footer="1066" w:top="1320" w:bottom="1260" w:left="1720" w:right="1180"/>
        </w:sectPr>
      </w:pPr>
    </w:p>
    <w:p>
      <w:pPr>
        <w:pStyle w:val="BodyText"/>
        <w:spacing w:before="1"/>
        <w:rPr>
          <w:b/>
          <w:sz w:val="18"/>
        </w:rPr>
      </w:pPr>
    </w:p>
    <w:p>
      <w:pPr>
        <w:spacing w:before="69"/>
        <w:ind w:left="268" w:right="0" w:firstLine="0"/>
        <w:jc w:val="left"/>
        <w:rPr>
          <w:b/>
          <w:sz w:val="24"/>
        </w:rPr>
      </w:pPr>
      <w:r>
        <w:rPr/>
        <w:pict>
          <v:line style="position:absolute;mso-position-horizontal-relative:page;mso-position-vertical-relative:paragraph;z-index:19072" from="93.199997pt,-19.614155pt" to="546.799997pt,-19.614155pt" stroked="true" strokeweight=".479981pt" strokecolor="#000000">
            <w10:wrap type="none"/>
          </v:line>
        </w:pict>
      </w:r>
      <w:r>
        <w:rPr>
          <w:b/>
          <w:sz w:val="24"/>
        </w:rPr>
        <w:t>Bibliografía</w:t>
      </w:r>
    </w:p>
    <w:p>
      <w:pPr>
        <w:pStyle w:val="BodyText"/>
        <w:rPr>
          <w:b/>
        </w:rPr>
      </w:pPr>
    </w:p>
    <w:p>
      <w:pPr>
        <w:pStyle w:val="ListParagraph"/>
        <w:numPr>
          <w:ilvl w:val="2"/>
          <w:numId w:val="23"/>
        </w:numPr>
        <w:tabs>
          <w:tab w:pos="983" w:val="left" w:leader="none"/>
        </w:tabs>
        <w:spacing w:line="355" w:lineRule="auto" w:before="156" w:after="0"/>
        <w:ind w:left="982" w:right="232" w:hanging="357"/>
        <w:jc w:val="both"/>
        <w:rPr>
          <w:sz w:val="24"/>
        </w:rPr>
      </w:pPr>
      <w:r>
        <w:rPr>
          <w:sz w:val="24"/>
        </w:rPr>
        <w:t>Adams, J. M. (1990). </w:t>
      </w:r>
      <w:r>
        <w:rPr>
          <w:i/>
          <w:sz w:val="24"/>
        </w:rPr>
        <w:t>Green development: enviroment and sustainnability in </w:t>
      </w:r>
      <w:r>
        <w:rPr>
          <w:i/>
          <w:sz w:val="24"/>
        </w:rPr>
        <w:t>the Third World. </w:t>
      </w:r>
      <w:r>
        <w:rPr>
          <w:sz w:val="24"/>
        </w:rPr>
        <w:t>Londres.</w:t>
      </w:r>
      <w:r>
        <w:rPr>
          <w:spacing w:val="-1"/>
          <w:sz w:val="24"/>
        </w:rPr>
        <w:t> </w:t>
      </w:r>
      <w:r>
        <w:rPr>
          <w:sz w:val="24"/>
        </w:rPr>
        <w:t>Routledge.</w:t>
      </w:r>
    </w:p>
    <w:p>
      <w:pPr>
        <w:pStyle w:val="ListParagraph"/>
        <w:numPr>
          <w:ilvl w:val="2"/>
          <w:numId w:val="23"/>
        </w:numPr>
        <w:tabs>
          <w:tab w:pos="983" w:val="left" w:leader="none"/>
        </w:tabs>
        <w:spacing w:line="357" w:lineRule="auto" w:before="126" w:after="0"/>
        <w:ind w:left="982" w:right="231" w:hanging="357"/>
        <w:jc w:val="both"/>
        <w:rPr>
          <w:sz w:val="24"/>
        </w:rPr>
      </w:pPr>
      <w:r>
        <w:rPr>
          <w:sz w:val="24"/>
        </w:rPr>
        <w:t>Ahumada, B., Pelayo, M. y Arano A. (2012). </w:t>
      </w:r>
      <w:r>
        <w:rPr>
          <w:i/>
          <w:sz w:val="24"/>
        </w:rPr>
        <w:t>“Sustentabilidad ambiental, del </w:t>
      </w:r>
      <w:r>
        <w:rPr>
          <w:i/>
          <w:sz w:val="24"/>
        </w:rPr>
        <w:t>concepto a la práctica. Una oportunidad para la implementación de la evaluación ambiental estratégica en México”, </w:t>
      </w:r>
      <w:r>
        <w:rPr>
          <w:sz w:val="24"/>
        </w:rPr>
        <w:t>en Gestión y Política Pública, vol. XXI, núm. 2, pp.</w:t>
      </w:r>
      <w:r>
        <w:rPr>
          <w:spacing w:val="-7"/>
          <w:sz w:val="24"/>
        </w:rPr>
        <w:t> </w:t>
      </w:r>
      <w:r>
        <w:rPr>
          <w:sz w:val="24"/>
        </w:rPr>
        <w:t>291-332.</w:t>
      </w:r>
    </w:p>
    <w:p>
      <w:pPr>
        <w:pStyle w:val="ListParagraph"/>
        <w:numPr>
          <w:ilvl w:val="2"/>
          <w:numId w:val="23"/>
        </w:numPr>
        <w:tabs>
          <w:tab w:pos="983" w:val="left" w:leader="none"/>
        </w:tabs>
        <w:spacing w:line="357" w:lineRule="auto" w:before="123" w:after="0"/>
        <w:ind w:left="982" w:right="233" w:hanging="357"/>
        <w:jc w:val="both"/>
        <w:rPr>
          <w:sz w:val="24"/>
        </w:rPr>
      </w:pPr>
      <w:r>
        <w:rPr>
          <w:sz w:val="24"/>
        </w:rPr>
        <w:t>Alberti, M. y V. Bettini (1996). </w:t>
      </w:r>
      <w:r>
        <w:rPr>
          <w:i/>
          <w:sz w:val="24"/>
        </w:rPr>
        <w:t>Sistemas urbanos e indicadores de </w:t>
      </w:r>
      <w:r>
        <w:rPr>
          <w:i/>
          <w:sz w:val="24"/>
        </w:rPr>
        <w:t>sostenibilidad. </w:t>
      </w:r>
      <w:r>
        <w:rPr>
          <w:sz w:val="24"/>
        </w:rPr>
        <w:t>En Bettini, V. (ed.). Elementi di Ecologia Urbana. Eimaudi. Turín. Traducción al español en la Editorial Trotta (1998):</w:t>
      </w:r>
      <w:r>
        <w:rPr>
          <w:spacing w:val="-1"/>
          <w:sz w:val="24"/>
        </w:rPr>
        <w:t> </w:t>
      </w:r>
      <w:r>
        <w:rPr>
          <w:sz w:val="24"/>
        </w:rPr>
        <w:t>183-213.</w:t>
      </w:r>
    </w:p>
    <w:p>
      <w:pPr>
        <w:pStyle w:val="ListParagraph"/>
        <w:numPr>
          <w:ilvl w:val="2"/>
          <w:numId w:val="23"/>
        </w:numPr>
        <w:tabs>
          <w:tab w:pos="983" w:val="left" w:leader="none"/>
        </w:tabs>
        <w:spacing w:line="355" w:lineRule="auto" w:before="123" w:after="0"/>
        <w:ind w:left="982" w:right="232" w:hanging="357"/>
        <w:jc w:val="both"/>
        <w:rPr>
          <w:sz w:val="24"/>
        </w:rPr>
      </w:pPr>
      <w:r>
        <w:rPr>
          <w:sz w:val="24"/>
        </w:rPr>
        <w:t>Balbo, M.F., Jordán R y Simioni (comp.) (2003) </w:t>
      </w:r>
      <w:r>
        <w:rPr>
          <w:i/>
          <w:sz w:val="24"/>
        </w:rPr>
        <w:t>“La ciudad inclusiva” </w:t>
      </w:r>
      <w:r>
        <w:rPr>
          <w:sz w:val="24"/>
        </w:rPr>
        <w:t>en Cuadernos de la CEPAL, Santiago de Chile.</w:t>
      </w:r>
    </w:p>
    <w:p>
      <w:pPr>
        <w:pStyle w:val="ListParagraph"/>
        <w:numPr>
          <w:ilvl w:val="2"/>
          <w:numId w:val="23"/>
        </w:numPr>
        <w:tabs>
          <w:tab w:pos="989" w:val="left" w:leader="none"/>
        </w:tabs>
        <w:spacing w:line="357" w:lineRule="auto" w:before="126" w:after="0"/>
        <w:ind w:left="988" w:right="231" w:hanging="360"/>
        <w:jc w:val="both"/>
        <w:rPr>
          <w:sz w:val="24"/>
        </w:rPr>
      </w:pPr>
      <w:r>
        <w:rPr>
          <w:sz w:val="24"/>
        </w:rPr>
        <w:t>Ballet, C.; Llop J.M., Editores. (2000). </w:t>
      </w:r>
      <w:r>
        <w:rPr>
          <w:i/>
          <w:sz w:val="24"/>
        </w:rPr>
        <w:t>Ciudades intermedias, urbanización y </w:t>
      </w:r>
      <w:r>
        <w:rPr>
          <w:i/>
          <w:sz w:val="24"/>
        </w:rPr>
        <w:t>sostenibilidad. </w:t>
      </w:r>
      <w:r>
        <w:rPr>
          <w:sz w:val="24"/>
        </w:rPr>
        <w:t>Lleida Millenio ed. En: Líneas de Trabajo del Programa UIACIMES: CEPAL. Serie Medio Ambiente y Desarrollo No. 48.</w:t>
      </w:r>
    </w:p>
    <w:p>
      <w:pPr>
        <w:pStyle w:val="ListParagraph"/>
        <w:numPr>
          <w:ilvl w:val="2"/>
          <w:numId w:val="23"/>
        </w:numPr>
        <w:tabs>
          <w:tab w:pos="983" w:val="left" w:leader="none"/>
        </w:tabs>
        <w:spacing w:line="355" w:lineRule="auto" w:before="123" w:after="0"/>
        <w:ind w:left="982" w:right="231" w:hanging="357"/>
        <w:jc w:val="both"/>
        <w:rPr>
          <w:i/>
          <w:sz w:val="24"/>
        </w:rPr>
      </w:pPr>
      <w:r>
        <w:rPr>
          <w:sz w:val="24"/>
        </w:rPr>
        <w:t>Banco Mundial (2014). </w:t>
      </w:r>
      <w:r>
        <w:rPr>
          <w:i/>
          <w:sz w:val="24"/>
        </w:rPr>
        <w:t>Latinoamérica: la más urbanizada del mundo, pero </w:t>
      </w:r>
      <w:r>
        <w:rPr>
          <w:i/>
          <w:sz w:val="24"/>
        </w:rPr>
        <w:t>no la más planificada.</w:t>
      </w:r>
    </w:p>
    <w:p>
      <w:pPr>
        <w:pStyle w:val="ListParagraph"/>
        <w:numPr>
          <w:ilvl w:val="2"/>
          <w:numId w:val="23"/>
        </w:numPr>
        <w:tabs>
          <w:tab w:pos="983" w:val="left" w:leader="none"/>
        </w:tabs>
        <w:spacing w:line="355" w:lineRule="auto" w:before="126" w:after="0"/>
        <w:ind w:left="982" w:right="231" w:hanging="357"/>
        <w:jc w:val="both"/>
        <w:rPr>
          <w:sz w:val="24"/>
        </w:rPr>
      </w:pPr>
      <w:r>
        <w:rPr>
          <w:sz w:val="24"/>
        </w:rPr>
        <w:t>Barragán, J. I. (1994). Cien años de vivienda en México. Historia de la vivienda</w:t>
      </w:r>
      <w:r>
        <w:rPr>
          <w:spacing w:val="47"/>
          <w:sz w:val="24"/>
        </w:rPr>
        <w:t> </w:t>
      </w:r>
      <w:r>
        <w:rPr>
          <w:sz w:val="24"/>
        </w:rPr>
        <w:t>en</w:t>
      </w:r>
      <w:r>
        <w:rPr>
          <w:spacing w:val="47"/>
          <w:sz w:val="24"/>
        </w:rPr>
        <w:t> </w:t>
      </w:r>
      <w:r>
        <w:rPr>
          <w:sz w:val="24"/>
        </w:rPr>
        <w:t>una</w:t>
      </w:r>
      <w:r>
        <w:rPr>
          <w:spacing w:val="47"/>
          <w:sz w:val="24"/>
        </w:rPr>
        <w:t> </w:t>
      </w:r>
      <w:r>
        <w:rPr>
          <w:sz w:val="24"/>
        </w:rPr>
        <w:t>óptica</w:t>
      </w:r>
      <w:r>
        <w:rPr>
          <w:spacing w:val="47"/>
          <w:sz w:val="24"/>
        </w:rPr>
        <w:t> </w:t>
      </w:r>
      <w:r>
        <w:rPr>
          <w:sz w:val="24"/>
        </w:rPr>
        <w:t>económica</w:t>
      </w:r>
      <w:r>
        <w:rPr>
          <w:spacing w:val="47"/>
          <w:sz w:val="24"/>
        </w:rPr>
        <w:t> </w:t>
      </w:r>
      <w:r>
        <w:rPr>
          <w:sz w:val="24"/>
        </w:rPr>
        <w:t>y</w:t>
      </w:r>
      <w:r>
        <w:rPr>
          <w:spacing w:val="47"/>
          <w:sz w:val="24"/>
        </w:rPr>
        <w:t> </w:t>
      </w:r>
      <w:r>
        <w:rPr>
          <w:sz w:val="24"/>
        </w:rPr>
        <w:t>social.</w:t>
      </w:r>
      <w:r>
        <w:rPr>
          <w:spacing w:val="47"/>
          <w:sz w:val="24"/>
        </w:rPr>
        <w:t> </w:t>
      </w:r>
      <w:r>
        <w:rPr>
          <w:sz w:val="24"/>
        </w:rPr>
        <w:t>URBIS</w:t>
      </w:r>
      <w:r>
        <w:rPr>
          <w:spacing w:val="47"/>
          <w:sz w:val="24"/>
        </w:rPr>
        <w:t> </w:t>
      </w:r>
      <w:r>
        <w:rPr>
          <w:sz w:val="24"/>
        </w:rPr>
        <w:t>Internacional</w:t>
      </w:r>
      <w:r>
        <w:rPr>
          <w:spacing w:val="47"/>
          <w:sz w:val="24"/>
        </w:rPr>
        <w:t> </w:t>
      </w:r>
      <w:r>
        <w:rPr>
          <w:sz w:val="24"/>
        </w:rPr>
        <w:t>S.A.</w:t>
      </w:r>
      <w:r>
        <w:rPr>
          <w:spacing w:val="47"/>
          <w:sz w:val="24"/>
        </w:rPr>
        <w:t> </w:t>
      </w:r>
      <w:r>
        <w:rPr>
          <w:sz w:val="24"/>
        </w:rPr>
        <w:t>de</w:t>
      </w:r>
    </w:p>
    <w:p>
      <w:pPr>
        <w:pStyle w:val="BodyText"/>
        <w:spacing w:before="8"/>
        <w:ind w:left="982"/>
      </w:pPr>
      <w:r>
        <w:rPr/>
        <w:t>C.V. Monterrey, Nuevo León, México.</w:t>
      </w:r>
    </w:p>
    <w:p>
      <w:pPr>
        <w:pStyle w:val="BodyText"/>
        <w:spacing w:before="2"/>
        <w:rPr>
          <w:sz w:val="22"/>
        </w:rPr>
      </w:pPr>
    </w:p>
    <w:p>
      <w:pPr>
        <w:pStyle w:val="ListParagraph"/>
        <w:numPr>
          <w:ilvl w:val="2"/>
          <w:numId w:val="23"/>
        </w:numPr>
        <w:tabs>
          <w:tab w:pos="989" w:val="left" w:leader="none"/>
        </w:tabs>
        <w:spacing w:line="355" w:lineRule="auto" w:before="0" w:after="0"/>
        <w:ind w:left="988" w:right="231" w:hanging="360"/>
        <w:jc w:val="both"/>
        <w:rPr>
          <w:sz w:val="24"/>
        </w:rPr>
      </w:pPr>
      <w:r>
        <w:rPr>
          <w:sz w:val="24"/>
        </w:rPr>
        <w:t>BBVA, Research. (2012). Servicios de Estudios Económicos del Grupo BBVA. </w:t>
      </w:r>
      <w:r>
        <w:rPr>
          <w:i/>
          <w:sz w:val="24"/>
        </w:rPr>
        <w:t>Situación Inmobiliaria, México. Análisis Economico, </w:t>
      </w:r>
      <w:r>
        <w:rPr>
          <w:sz w:val="24"/>
        </w:rPr>
        <w:t>México.</w:t>
      </w:r>
    </w:p>
    <w:p>
      <w:pPr>
        <w:pStyle w:val="ListParagraph"/>
        <w:numPr>
          <w:ilvl w:val="2"/>
          <w:numId w:val="23"/>
        </w:numPr>
        <w:tabs>
          <w:tab w:pos="989" w:val="left" w:leader="none"/>
        </w:tabs>
        <w:spacing w:line="357" w:lineRule="auto" w:before="126" w:after="0"/>
        <w:ind w:left="988" w:right="231" w:hanging="360"/>
        <w:jc w:val="both"/>
        <w:rPr>
          <w:sz w:val="24"/>
        </w:rPr>
      </w:pPr>
      <w:r>
        <w:rPr>
          <w:sz w:val="24"/>
        </w:rPr>
        <w:t>Boisvert, V.; N. Holec y F.D. Vivien (1998). </w:t>
      </w:r>
      <w:r>
        <w:rPr>
          <w:i/>
          <w:sz w:val="24"/>
        </w:rPr>
        <w:t>Economic and Environmental </w:t>
      </w:r>
      <w:r>
        <w:rPr>
          <w:i/>
          <w:sz w:val="24"/>
        </w:rPr>
        <w:t>information for sustainability. </w:t>
      </w:r>
      <w:r>
        <w:rPr>
          <w:sz w:val="24"/>
        </w:rPr>
        <w:t>En Faucheux, S. y M. O´Connor (eds.): Valuation for Sustainable Development. Methods and Policy Indicators. Advances in Ecological Economics series. Edward Elgar Pub. Inc. Cheltenham, UK.:</w:t>
      </w:r>
      <w:r>
        <w:rPr>
          <w:spacing w:val="-1"/>
          <w:sz w:val="24"/>
        </w:rPr>
        <w:t> </w:t>
      </w:r>
      <w:r>
        <w:rPr>
          <w:sz w:val="24"/>
        </w:rPr>
        <w:t>1-18.</w:t>
      </w:r>
    </w:p>
    <w:p>
      <w:pPr>
        <w:spacing w:after="0" w:line="357" w:lineRule="auto"/>
        <w:jc w:val="both"/>
        <w:rPr>
          <w:sz w:val="24"/>
        </w:rPr>
        <w:sectPr>
          <w:pgSz w:w="12240" w:h="15840"/>
          <w:pgMar w:header="730" w:footer="1066" w:top="1320" w:bottom="1260" w:left="1720" w:right="1180"/>
        </w:sectPr>
      </w:pPr>
    </w:p>
    <w:p>
      <w:pPr>
        <w:pStyle w:val="BodyText"/>
        <w:spacing w:before="4"/>
        <w:rPr>
          <w:sz w:val="19"/>
        </w:rPr>
      </w:pPr>
    </w:p>
    <w:p>
      <w:pPr>
        <w:pStyle w:val="ListParagraph"/>
        <w:numPr>
          <w:ilvl w:val="2"/>
          <w:numId w:val="23"/>
        </w:numPr>
        <w:tabs>
          <w:tab w:pos="989" w:val="left" w:leader="none"/>
        </w:tabs>
        <w:spacing w:line="350" w:lineRule="auto" w:before="53" w:after="0"/>
        <w:ind w:left="988" w:right="231" w:hanging="360"/>
        <w:jc w:val="both"/>
        <w:rPr>
          <w:sz w:val="24"/>
        </w:rPr>
      </w:pPr>
      <w:r>
        <w:rPr/>
        <w:pict>
          <v:line style="position:absolute;mso-position-horizontal-relative:page;mso-position-vertical-relative:paragraph;z-index:19096" from="93.199997pt,-20.325533pt" to="546.799997pt,-20.325533pt" stroked="true" strokeweight=".479981pt" strokecolor="#000000">
            <w10:wrap type="none"/>
          </v:line>
        </w:pict>
      </w:r>
      <w:r>
        <w:rPr>
          <w:sz w:val="24"/>
        </w:rPr>
        <w:t>Bossel, H. (1999). </w:t>
      </w:r>
      <w:r>
        <w:rPr>
          <w:i/>
          <w:sz w:val="24"/>
        </w:rPr>
        <w:t>Indicators for sustainable development: Theory, Method, </w:t>
      </w:r>
      <w:r>
        <w:rPr>
          <w:i/>
          <w:sz w:val="24"/>
        </w:rPr>
        <w:t>Application. </w:t>
      </w:r>
      <w:r>
        <w:rPr>
          <w:sz w:val="24"/>
        </w:rPr>
        <w:t>A report to the Balaton Group. IISD.</w:t>
      </w:r>
      <w:r>
        <w:rPr>
          <w:spacing w:val="-1"/>
          <w:sz w:val="24"/>
        </w:rPr>
        <w:t> </w:t>
      </w:r>
      <w:r>
        <w:rPr>
          <w:sz w:val="24"/>
        </w:rPr>
        <w:t>Canada.</w:t>
      </w:r>
    </w:p>
    <w:p>
      <w:pPr>
        <w:pStyle w:val="ListParagraph"/>
        <w:numPr>
          <w:ilvl w:val="2"/>
          <w:numId w:val="23"/>
        </w:numPr>
        <w:tabs>
          <w:tab w:pos="989" w:val="left" w:leader="none"/>
        </w:tabs>
        <w:spacing w:line="357" w:lineRule="auto" w:before="131" w:after="0"/>
        <w:ind w:left="988" w:right="231" w:hanging="360"/>
        <w:jc w:val="both"/>
        <w:rPr>
          <w:sz w:val="24"/>
        </w:rPr>
      </w:pPr>
      <w:r>
        <w:rPr>
          <w:sz w:val="24"/>
        </w:rPr>
        <w:t>Boulanger, J. M. (2004</w:t>
      </w:r>
      <w:r>
        <w:rPr>
          <w:i/>
          <w:sz w:val="24"/>
        </w:rPr>
        <w:t>). Les indicateurs de développement durable: un défi </w:t>
      </w:r>
      <w:r>
        <w:rPr>
          <w:i/>
          <w:sz w:val="24"/>
        </w:rPr>
        <w:t>scientifique, un enjeu démocratique. </w:t>
      </w:r>
      <w:r>
        <w:rPr>
          <w:sz w:val="24"/>
        </w:rPr>
        <w:t>Institut pour un développement  durable. Ecole polytechnique-EDF.</w:t>
      </w:r>
      <w:r>
        <w:rPr>
          <w:spacing w:val="-1"/>
          <w:sz w:val="24"/>
        </w:rPr>
        <w:t> </w:t>
      </w:r>
      <w:r>
        <w:rPr>
          <w:sz w:val="24"/>
        </w:rPr>
        <w:t>Belgique.</w:t>
      </w:r>
    </w:p>
    <w:p>
      <w:pPr>
        <w:pStyle w:val="ListParagraph"/>
        <w:numPr>
          <w:ilvl w:val="2"/>
          <w:numId w:val="23"/>
        </w:numPr>
        <w:tabs>
          <w:tab w:pos="988" w:val="left" w:leader="none"/>
          <w:tab w:pos="989" w:val="left" w:leader="none"/>
        </w:tabs>
        <w:spacing w:line="240" w:lineRule="auto" w:before="128" w:after="0"/>
        <w:ind w:left="988" w:right="0" w:hanging="360"/>
        <w:jc w:val="left"/>
        <w:rPr>
          <w:sz w:val="24"/>
        </w:rPr>
      </w:pPr>
      <w:r>
        <w:rPr>
          <w:sz w:val="24"/>
        </w:rPr>
        <w:t>Boulding, Kenneth (1966). </w:t>
      </w:r>
      <w:r>
        <w:rPr>
          <w:i/>
          <w:sz w:val="24"/>
        </w:rPr>
        <w:t>Economic Analysis. </w:t>
      </w:r>
      <w:r>
        <w:rPr>
          <w:sz w:val="24"/>
        </w:rPr>
        <w:t>New York, Harper.</w:t>
      </w:r>
      <w:r>
        <w:rPr>
          <w:spacing w:val="-3"/>
          <w:sz w:val="24"/>
        </w:rPr>
        <w:t> </w:t>
      </w:r>
      <w:r>
        <w:rPr>
          <w:sz w:val="24"/>
        </w:rPr>
        <w:t>USA.</w:t>
      </w:r>
    </w:p>
    <w:p>
      <w:pPr>
        <w:pStyle w:val="BodyText"/>
        <w:rPr>
          <w:sz w:val="22"/>
        </w:rPr>
      </w:pPr>
    </w:p>
    <w:p>
      <w:pPr>
        <w:pStyle w:val="ListParagraph"/>
        <w:numPr>
          <w:ilvl w:val="2"/>
          <w:numId w:val="23"/>
        </w:numPr>
        <w:tabs>
          <w:tab w:pos="983" w:val="left" w:leader="none"/>
        </w:tabs>
        <w:spacing w:line="355" w:lineRule="auto" w:before="0" w:after="0"/>
        <w:ind w:left="982" w:right="232" w:hanging="357"/>
        <w:jc w:val="both"/>
        <w:rPr>
          <w:sz w:val="24"/>
        </w:rPr>
      </w:pPr>
      <w:r>
        <w:rPr>
          <w:sz w:val="24"/>
        </w:rPr>
        <w:t>Bunge, Mario. (1992). </w:t>
      </w:r>
      <w:r>
        <w:rPr>
          <w:i/>
          <w:sz w:val="24"/>
        </w:rPr>
        <w:t>La investigación científica. </w:t>
      </w:r>
      <w:r>
        <w:rPr>
          <w:sz w:val="24"/>
        </w:rPr>
        <w:t>Segunda edición. Ariel, colección Methodos. Barcelona,</w:t>
      </w:r>
      <w:r>
        <w:rPr>
          <w:spacing w:val="-1"/>
          <w:sz w:val="24"/>
        </w:rPr>
        <w:t> </w:t>
      </w:r>
      <w:r>
        <w:rPr>
          <w:sz w:val="24"/>
        </w:rPr>
        <w:t>España.</w:t>
      </w:r>
    </w:p>
    <w:p>
      <w:pPr>
        <w:pStyle w:val="ListParagraph"/>
        <w:numPr>
          <w:ilvl w:val="2"/>
          <w:numId w:val="23"/>
        </w:numPr>
        <w:tabs>
          <w:tab w:pos="983" w:val="left" w:leader="none"/>
        </w:tabs>
        <w:spacing w:line="357" w:lineRule="auto" w:before="126" w:after="0"/>
        <w:ind w:left="982" w:right="231" w:hanging="357"/>
        <w:jc w:val="both"/>
        <w:rPr>
          <w:sz w:val="24"/>
        </w:rPr>
      </w:pPr>
      <w:r>
        <w:rPr>
          <w:sz w:val="24"/>
        </w:rPr>
        <w:t>Cámara de Diputados del H. Congreso de la Unión, Secretaría General y Secretaría de Servicios Parlamentarios. (2016). </w:t>
      </w:r>
      <w:r>
        <w:rPr>
          <w:i/>
          <w:sz w:val="24"/>
        </w:rPr>
        <w:t>“Constitución Política de los </w:t>
      </w:r>
      <w:r>
        <w:rPr>
          <w:i/>
          <w:sz w:val="24"/>
        </w:rPr>
        <w:t>Estados Unidos Mexicanos”. </w:t>
      </w:r>
      <w:r>
        <w:rPr>
          <w:sz w:val="24"/>
        </w:rPr>
        <w:t>LXIII Legislatura. Leyes Federales de México. Diario Oficial de la Federación 10 de octubre de 2016.</w:t>
      </w:r>
    </w:p>
    <w:p>
      <w:pPr>
        <w:pStyle w:val="ListParagraph"/>
        <w:numPr>
          <w:ilvl w:val="2"/>
          <w:numId w:val="23"/>
        </w:numPr>
        <w:tabs>
          <w:tab w:pos="989" w:val="left" w:leader="none"/>
        </w:tabs>
        <w:spacing w:line="357" w:lineRule="auto" w:before="123" w:after="0"/>
        <w:ind w:left="988" w:right="232" w:hanging="360"/>
        <w:jc w:val="both"/>
        <w:rPr>
          <w:sz w:val="24"/>
        </w:rPr>
      </w:pPr>
      <w:r>
        <w:rPr>
          <w:sz w:val="24"/>
        </w:rPr>
        <w:t>Castro, José; Coulomb, R.; León, P. y Puebla, C. (2006). </w:t>
      </w:r>
      <w:r>
        <w:rPr>
          <w:i/>
          <w:sz w:val="24"/>
        </w:rPr>
        <w:t>Los </w:t>
      </w:r>
      <w:r>
        <w:rPr>
          <w:i/>
          <w:sz w:val="24"/>
        </w:rPr>
        <w:t>desarrolladores privados y la vivienda de interés social. </w:t>
      </w:r>
      <w:r>
        <w:rPr>
          <w:sz w:val="24"/>
        </w:rPr>
        <w:t>En Coulomb, R. y Schteingart, M. Entre el Estado y el Mercado. H. C. D., LIX Legislatura,  UAM Unidad Azcapotzalco y M. A. Porrúa. México.</w:t>
      </w:r>
    </w:p>
    <w:p>
      <w:pPr>
        <w:pStyle w:val="ListParagraph"/>
        <w:numPr>
          <w:ilvl w:val="2"/>
          <w:numId w:val="23"/>
        </w:numPr>
        <w:tabs>
          <w:tab w:pos="989" w:val="left" w:leader="none"/>
        </w:tabs>
        <w:spacing w:line="357" w:lineRule="auto" w:before="128" w:after="0"/>
        <w:ind w:left="988" w:right="231" w:hanging="360"/>
        <w:jc w:val="both"/>
        <w:rPr>
          <w:sz w:val="24"/>
        </w:rPr>
      </w:pPr>
      <w:r>
        <w:rPr>
          <w:sz w:val="24"/>
        </w:rPr>
        <w:t>Castro B., J.M. (2000). </w:t>
      </w:r>
      <w:r>
        <w:rPr>
          <w:i/>
          <w:sz w:val="24"/>
        </w:rPr>
        <w:t>Principales tendencias en la medición de la </w:t>
      </w:r>
      <w:r>
        <w:rPr>
          <w:i/>
          <w:sz w:val="24"/>
        </w:rPr>
        <w:t>sostenibilidad urbana mediante indicadores. </w:t>
      </w:r>
      <w:r>
        <w:rPr>
          <w:sz w:val="24"/>
        </w:rPr>
        <w:t>Instituto de Estadística de Andalucía. Estadística y medio Ambiente. Sevilla,</w:t>
      </w:r>
      <w:r>
        <w:rPr>
          <w:spacing w:val="-1"/>
          <w:sz w:val="24"/>
        </w:rPr>
        <w:t> </w:t>
      </w:r>
      <w:r>
        <w:rPr>
          <w:sz w:val="24"/>
        </w:rPr>
        <w:t>España.</w:t>
      </w:r>
    </w:p>
    <w:p>
      <w:pPr>
        <w:pStyle w:val="ListParagraph"/>
        <w:numPr>
          <w:ilvl w:val="2"/>
          <w:numId w:val="23"/>
        </w:numPr>
        <w:tabs>
          <w:tab w:pos="988" w:val="left" w:leader="none"/>
          <w:tab w:pos="989" w:val="left" w:leader="none"/>
        </w:tabs>
        <w:spacing w:line="240" w:lineRule="auto" w:before="123" w:after="0"/>
        <w:ind w:left="988" w:right="0" w:hanging="360"/>
        <w:jc w:val="left"/>
        <w:rPr>
          <w:i/>
          <w:sz w:val="24"/>
        </w:rPr>
      </w:pPr>
      <w:r>
        <w:rPr>
          <w:sz w:val="24"/>
        </w:rPr>
        <w:t>Castro,  Bonaño,  (2002).  </w:t>
      </w:r>
      <w:r>
        <w:rPr>
          <w:i/>
          <w:sz w:val="24"/>
        </w:rPr>
        <w:t>Indicadores  de  Desarrollo  Sostenible   </w:t>
      </w:r>
      <w:r>
        <w:rPr>
          <w:i/>
          <w:spacing w:val="41"/>
          <w:sz w:val="24"/>
        </w:rPr>
        <w:t> </w:t>
      </w:r>
      <w:r>
        <w:rPr>
          <w:i/>
          <w:sz w:val="24"/>
        </w:rPr>
        <w:t>Urbano.</w:t>
      </w:r>
    </w:p>
    <w:p>
      <w:pPr>
        <w:pStyle w:val="BodyText"/>
        <w:spacing w:before="135"/>
        <w:ind w:left="988"/>
      </w:pPr>
      <w:r>
        <w:rPr/>
        <w:t>Universidad de Málaga. España</w:t>
      </w:r>
    </w:p>
    <w:p>
      <w:pPr>
        <w:pStyle w:val="BodyText"/>
        <w:spacing w:before="6"/>
        <w:rPr>
          <w:sz w:val="22"/>
        </w:rPr>
      </w:pPr>
    </w:p>
    <w:p>
      <w:pPr>
        <w:pStyle w:val="ListParagraph"/>
        <w:numPr>
          <w:ilvl w:val="2"/>
          <w:numId w:val="23"/>
        </w:numPr>
        <w:tabs>
          <w:tab w:pos="989" w:val="left" w:leader="none"/>
        </w:tabs>
        <w:spacing w:line="350" w:lineRule="auto" w:before="1" w:after="0"/>
        <w:ind w:left="988" w:right="233" w:hanging="360"/>
        <w:jc w:val="both"/>
        <w:rPr>
          <w:sz w:val="24"/>
        </w:rPr>
      </w:pPr>
      <w:r>
        <w:rPr>
          <w:sz w:val="24"/>
        </w:rPr>
        <w:t>Carreño, Fermín coord. (2003). </w:t>
      </w:r>
      <w:r>
        <w:rPr>
          <w:i/>
          <w:sz w:val="24"/>
        </w:rPr>
        <w:t>Planeación del territorio y ambiente en </w:t>
      </w:r>
      <w:r>
        <w:rPr>
          <w:i/>
          <w:sz w:val="24"/>
        </w:rPr>
        <w:t>América Latina. </w:t>
      </w:r>
      <w:r>
        <w:rPr>
          <w:sz w:val="24"/>
        </w:rPr>
        <w:t>Tomos I y II. México:</w:t>
      </w:r>
      <w:r>
        <w:rPr>
          <w:spacing w:val="-2"/>
          <w:sz w:val="24"/>
        </w:rPr>
        <w:t> </w:t>
      </w:r>
      <w:r>
        <w:rPr>
          <w:sz w:val="24"/>
        </w:rPr>
        <w:t>UAEM.</w:t>
      </w:r>
    </w:p>
    <w:p>
      <w:pPr>
        <w:pStyle w:val="ListParagraph"/>
        <w:numPr>
          <w:ilvl w:val="2"/>
          <w:numId w:val="23"/>
        </w:numPr>
        <w:tabs>
          <w:tab w:pos="989" w:val="left" w:leader="none"/>
        </w:tabs>
        <w:spacing w:line="357" w:lineRule="auto" w:before="131" w:after="0"/>
        <w:ind w:left="988" w:right="231" w:hanging="360"/>
        <w:jc w:val="both"/>
        <w:rPr>
          <w:sz w:val="24"/>
        </w:rPr>
      </w:pPr>
      <w:r>
        <w:rPr>
          <w:sz w:val="24"/>
        </w:rPr>
        <w:t>Carreño, Fermín. (2009). </w:t>
      </w:r>
      <w:r>
        <w:rPr>
          <w:i/>
          <w:sz w:val="24"/>
        </w:rPr>
        <w:t>La sustentabilidad urbana en la metrópoli de </w:t>
      </w:r>
      <w:r>
        <w:rPr>
          <w:i/>
          <w:sz w:val="24"/>
        </w:rPr>
        <w:t>Toluca. </w:t>
      </w:r>
      <w:r>
        <w:rPr>
          <w:sz w:val="24"/>
        </w:rPr>
        <w:t>Tesis de Doctorado. México. Universidad Nacional Autónoma de México.</w:t>
      </w:r>
    </w:p>
    <w:p>
      <w:pPr>
        <w:spacing w:after="0" w:line="357" w:lineRule="auto"/>
        <w:jc w:val="both"/>
        <w:rPr>
          <w:sz w:val="24"/>
        </w:rPr>
        <w:sectPr>
          <w:pgSz w:w="12240" w:h="15840"/>
          <w:pgMar w:header="730" w:footer="1066" w:top="1320" w:bottom="1260" w:left="1720" w:right="1180"/>
        </w:sectPr>
      </w:pPr>
    </w:p>
    <w:p>
      <w:pPr>
        <w:pStyle w:val="BodyText"/>
        <w:spacing w:before="4"/>
        <w:rPr>
          <w:sz w:val="19"/>
        </w:rPr>
      </w:pPr>
    </w:p>
    <w:p>
      <w:pPr>
        <w:pStyle w:val="ListParagraph"/>
        <w:numPr>
          <w:ilvl w:val="2"/>
          <w:numId w:val="23"/>
        </w:numPr>
        <w:tabs>
          <w:tab w:pos="983" w:val="left" w:leader="none"/>
        </w:tabs>
        <w:spacing w:line="357" w:lineRule="auto" w:before="53" w:after="0"/>
        <w:ind w:left="982" w:right="231" w:hanging="357"/>
        <w:jc w:val="both"/>
        <w:rPr>
          <w:sz w:val="24"/>
        </w:rPr>
      </w:pPr>
      <w:r>
        <w:rPr/>
        <w:pict>
          <v:line style="position:absolute;mso-position-horizontal-relative:page;mso-position-vertical-relative:paragraph;z-index:19120" from="93.199997pt,-20.325533pt" to="546.799997pt,-20.325533pt" stroked="true" strokeweight=".479981pt" strokecolor="#000000">
            <w10:wrap type="none"/>
          </v:line>
        </w:pict>
      </w:r>
      <w:r>
        <w:rPr>
          <w:sz w:val="24"/>
        </w:rPr>
        <w:t>Carreño, Fermín. (2014). </w:t>
      </w:r>
      <w:r>
        <w:rPr>
          <w:i/>
          <w:sz w:val="24"/>
        </w:rPr>
        <w:t>Contribución a la crítica del paradigma </w:t>
      </w:r>
      <w:r>
        <w:rPr>
          <w:i/>
          <w:sz w:val="24"/>
        </w:rPr>
        <w:t>contradictorio de la sustentabilidad urbano-regional en México. </w:t>
      </w:r>
      <w:r>
        <w:rPr>
          <w:sz w:val="24"/>
        </w:rPr>
        <w:t>En Carreño, Fermín e Iglesias, David. Sustentabilidad Urbana: visiones y contradicciones. México: Universidad Autónoma del Estado de</w:t>
      </w:r>
      <w:r>
        <w:rPr>
          <w:spacing w:val="-1"/>
          <w:sz w:val="24"/>
        </w:rPr>
        <w:t> </w:t>
      </w:r>
      <w:r>
        <w:rPr>
          <w:sz w:val="24"/>
        </w:rPr>
        <w:t>México.</w:t>
      </w:r>
    </w:p>
    <w:p>
      <w:pPr>
        <w:pStyle w:val="ListParagraph"/>
        <w:numPr>
          <w:ilvl w:val="2"/>
          <w:numId w:val="23"/>
        </w:numPr>
        <w:tabs>
          <w:tab w:pos="983" w:val="left" w:leader="none"/>
        </w:tabs>
        <w:spacing w:line="357" w:lineRule="auto" w:before="123" w:after="0"/>
        <w:ind w:left="982" w:right="232" w:hanging="357"/>
        <w:jc w:val="both"/>
        <w:rPr>
          <w:sz w:val="24"/>
        </w:rPr>
      </w:pPr>
      <w:r>
        <w:rPr>
          <w:sz w:val="24"/>
        </w:rPr>
        <w:t>Carrillo, Alan y Jiménez, Pedro. (2014). </w:t>
      </w:r>
      <w:r>
        <w:rPr>
          <w:i/>
          <w:sz w:val="24"/>
        </w:rPr>
        <w:t>Sustentabilidad: el enfoque de la </w:t>
      </w:r>
      <w:r>
        <w:rPr>
          <w:i/>
          <w:sz w:val="24"/>
        </w:rPr>
        <w:t>administración urbana. </w:t>
      </w:r>
      <w:r>
        <w:rPr>
          <w:sz w:val="24"/>
        </w:rPr>
        <w:t>En Carreño, F. e Iglesias, D. Sustentabilidad  Urbana: visiones y contradicciones. México: Universidad Autónoma del Estado de México.</w:t>
      </w:r>
    </w:p>
    <w:p>
      <w:pPr>
        <w:pStyle w:val="ListParagraph"/>
        <w:numPr>
          <w:ilvl w:val="2"/>
          <w:numId w:val="23"/>
        </w:numPr>
        <w:tabs>
          <w:tab w:pos="983" w:val="left" w:leader="none"/>
        </w:tabs>
        <w:spacing w:line="357" w:lineRule="auto" w:before="123" w:after="0"/>
        <w:ind w:left="982" w:right="231" w:hanging="357"/>
        <w:jc w:val="both"/>
        <w:rPr>
          <w:sz w:val="24"/>
        </w:rPr>
      </w:pPr>
      <w:r>
        <w:rPr>
          <w:sz w:val="24"/>
        </w:rPr>
        <w:t>Castillo, A. Los perímetros de contención, negociados con vivienderos. Milenio. Guadalajara, Jalisco. México. En </w:t>
      </w:r>
      <w:hyperlink r:id="rId324">
        <w:r>
          <w:rPr>
            <w:sz w:val="24"/>
          </w:rPr>
          <w:t>www.milenio.com/perimetros-</w:t>
        </w:r>
      </w:hyperlink>
      <w:r>
        <w:rPr>
          <w:sz w:val="24"/>
        </w:rPr>
        <w:t> contencion-negociados-vivienderos-Jalisco.</w:t>
      </w:r>
    </w:p>
    <w:p>
      <w:pPr>
        <w:pStyle w:val="ListParagraph"/>
        <w:numPr>
          <w:ilvl w:val="2"/>
          <w:numId w:val="23"/>
        </w:numPr>
        <w:tabs>
          <w:tab w:pos="988" w:val="left" w:leader="none"/>
          <w:tab w:pos="989" w:val="left" w:leader="none"/>
        </w:tabs>
        <w:spacing w:line="240" w:lineRule="auto" w:before="123" w:after="0"/>
        <w:ind w:left="988" w:right="0" w:hanging="360"/>
        <w:jc w:val="left"/>
        <w:rPr>
          <w:sz w:val="24"/>
        </w:rPr>
      </w:pPr>
      <w:r>
        <w:rPr>
          <w:sz w:val="24"/>
        </w:rPr>
        <w:t>Censo de Población y Vivienda 2010 elaborado por el INEGI.</w:t>
      </w:r>
    </w:p>
    <w:p>
      <w:pPr>
        <w:pStyle w:val="BodyText"/>
        <w:spacing w:before="5"/>
        <w:rPr>
          <w:sz w:val="22"/>
        </w:rPr>
      </w:pPr>
    </w:p>
    <w:p>
      <w:pPr>
        <w:pStyle w:val="ListParagraph"/>
        <w:numPr>
          <w:ilvl w:val="2"/>
          <w:numId w:val="23"/>
        </w:numPr>
        <w:tabs>
          <w:tab w:pos="989" w:val="left" w:leader="none"/>
        </w:tabs>
        <w:spacing w:line="357" w:lineRule="auto" w:before="0" w:after="0"/>
        <w:ind w:left="988" w:right="231" w:hanging="360"/>
        <w:jc w:val="both"/>
        <w:rPr>
          <w:sz w:val="24"/>
        </w:rPr>
      </w:pPr>
      <w:r>
        <w:rPr>
          <w:sz w:val="24"/>
        </w:rPr>
        <w:t>CIDOC y SHF. (2014). </w:t>
      </w:r>
      <w:r>
        <w:rPr>
          <w:i/>
          <w:sz w:val="24"/>
        </w:rPr>
        <w:t>Estado actual de la vivienda en México. </w:t>
      </w:r>
      <w:r>
        <w:rPr>
          <w:sz w:val="24"/>
        </w:rPr>
        <w:t>Fundación Centro de Investigación y Documentación de la Casa, A.C. Sociedad Hipotecaria Federal. Ciudad de México.</w:t>
      </w:r>
    </w:p>
    <w:p>
      <w:pPr>
        <w:pStyle w:val="ListParagraph"/>
        <w:numPr>
          <w:ilvl w:val="2"/>
          <w:numId w:val="23"/>
        </w:numPr>
        <w:tabs>
          <w:tab w:pos="989" w:val="left" w:leader="none"/>
        </w:tabs>
        <w:spacing w:line="355" w:lineRule="auto" w:before="123" w:after="0"/>
        <w:ind w:left="988" w:right="232" w:hanging="360"/>
        <w:jc w:val="both"/>
        <w:rPr>
          <w:sz w:val="24"/>
        </w:rPr>
      </w:pPr>
      <w:r>
        <w:rPr>
          <w:sz w:val="24"/>
        </w:rPr>
        <w:t>Coase, Ronald.  (1960). </w:t>
      </w:r>
      <w:r>
        <w:rPr>
          <w:i/>
          <w:sz w:val="24"/>
        </w:rPr>
        <w:t>“The problem of social costs” </w:t>
      </w:r>
      <w:r>
        <w:rPr>
          <w:sz w:val="24"/>
        </w:rPr>
        <w:t>en Journal of Law  and Economics 3,</w:t>
      </w:r>
      <w:r>
        <w:rPr>
          <w:spacing w:val="-1"/>
          <w:sz w:val="24"/>
        </w:rPr>
        <w:t> </w:t>
      </w:r>
      <w:r>
        <w:rPr>
          <w:sz w:val="24"/>
        </w:rPr>
        <w:t>octubre.</w:t>
      </w:r>
    </w:p>
    <w:p>
      <w:pPr>
        <w:pStyle w:val="ListParagraph"/>
        <w:numPr>
          <w:ilvl w:val="2"/>
          <w:numId w:val="23"/>
        </w:numPr>
        <w:tabs>
          <w:tab w:pos="989" w:val="left" w:leader="none"/>
        </w:tabs>
        <w:spacing w:line="357" w:lineRule="auto" w:before="126" w:after="0"/>
        <w:ind w:left="988" w:right="231" w:hanging="360"/>
        <w:jc w:val="both"/>
        <w:rPr>
          <w:sz w:val="24"/>
        </w:rPr>
      </w:pPr>
      <w:r>
        <w:rPr>
          <w:sz w:val="24"/>
        </w:rPr>
        <w:t>Connolly, Pricila. (2006). </w:t>
      </w:r>
      <w:r>
        <w:rPr>
          <w:i/>
          <w:sz w:val="24"/>
        </w:rPr>
        <w:t>La demanda habitacional. </w:t>
      </w:r>
      <w:r>
        <w:rPr>
          <w:sz w:val="24"/>
        </w:rPr>
        <w:t>En Coulomb, René y Schteingart, Martha. Entre el Estado y el Mercado. La vivienda en el México de hoy. H. Cámara de Diputados, LIX Legislatura, Universidad Autónoma Metropolitana Unidad Azcapotzalco y Miguel Ángel Porrúa.</w:t>
      </w:r>
      <w:r>
        <w:rPr>
          <w:spacing w:val="-2"/>
          <w:sz w:val="24"/>
        </w:rPr>
        <w:t> </w:t>
      </w:r>
      <w:r>
        <w:rPr>
          <w:sz w:val="24"/>
        </w:rPr>
        <w:t>México.</w:t>
      </w:r>
    </w:p>
    <w:p>
      <w:pPr>
        <w:pStyle w:val="ListParagraph"/>
        <w:numPr>
          <w:ilvl w:val="2"/>
          <w:numId w:val="23"/>
        </w:numPr>
        <w:tabs>
          <w:tab w:pos="989" w:val="left" w:leader="none"/>
        </w:tabs>
        <w:spacing w:line="357" w:lineRule="auto" w:before="123" w:after="0"/>
        <w:ind w:left="988" w:right="232" w:hanging="360"/>
        <w:jc w:val="both"/>
        <w:rPr>
          <w:sz w:val="24"/>
        </w:rPr>
      </w:pPr>
      <w:r>
        <w:rPr>
          <w:sz w:val="24"/>
        </w:rPr>
        <w:t>Consejo Nacinal de Organismos Estatales de Vivienda, A.C. (2011). </w:t>
      </w:r>
      <w:r>
        <w:rPr>
          <w:i/>
          <w:sz w:val="24"/>
        </w:rPr>
        <w:t>La </w:t>
      </w:r>
      <w:r>
        <w:rPr>
          <w:i/>
          <w:sz w:val="24"/>
        </w:rPr>
        <w:t>situación de la Vivienda en México: </w:t>
      </w:r>
      <w:r>
        <w:rPr>
          <w:sz w:val="24"/>
        </w:rPr>
        <w:t>Sintesis de la Problemática y Propuestas. Estadisticas. Diciembre 2011.</w:t>
      </w:r>
    </w:p>
    <w:p>
      <w:pPr>
        <w:pStyle w:val="ListParagraph"/>
        <w:numPr>
          <w:ilvl w:val="2"/>
          <w:numId w:val="23"/>
        </w:numPr>
        <w:tabs>
          <w:tab w:pos="989" w:val="left" w:leader="none"/>
        </w:tabs>
        <w:spacing w:line="357" w:lineRule="auto" w:before="123" w:after="0"/>
        <w:ind w:left="988" w:right="231" w:hanging="360"/>
        <w:jc w:val="both"/>
        <w:rPr>
          <w:sz w:val="24"/>
        </w:rPr>
      </w:pPr>
      <w:r>
        <w:rPr>
          <w:sz w:val="24"/>
        </w:rPr>
        <w:t>Coulomb, René; Schteingart, Martha. (2006). </w:t>
      </w:r>
      <w:r>
        <w:rPr>
          <w:i/>
          <w:sz w:val="24"/>
        </w:rPr>
        <w:t>Entre el Estado y el Mercado</w:t>
      </w:r>
      <w:r>
        <w:rPr>
          <w:sz w:val="24"/>
        </w:rPr>
        <w:t>. </w:t>
      </w:r>
      <w:r>
        <w:rPr>
          <w:i/>
          <w:sz w:val="24"/>
        </w:rPr>
        <w:t>La vivienda en el México de hoy. </w:t>
      </w:r>
      <w:r>
        <w:rPr>
          <w:sz w:val="24"/>
        </w:rPr>
        <w:t>H. Camara de Diputados, LIX Legislatura, Universidad Autónoma Metropolitana Unidad Azcapotzalco y Miguel Ángel Porrúa. México.</w:t>
      </w:r>
    </w:p>
    <w:p>
      <w:pPr>
        <w:spacing w:after="0" w:line="357" w:lineRule="auto"/>
        <w:jc w:val="both"/>
        <w:rPr>
          <w:sz w:val="24"/>
        </w:rPr>
        <w:sectPr>
          <w:pgSz w:w="12240" w:h="15840"/>
          <w:pgMar w:header="730" w:footer="1066" w:top="1320" w:bottom="1260" w:left="1720" w:right="1180"/>
        </w:sectPr>
      </w:pPr>
    </w:p>
    <w:p>
      <w:pPr>
        <w:pStyle w:val="BodyText"/>
        <w:spacing w:before="4"/>
        <w:rPr>
          <w:sz w:val="19"/>
        </w:rPr>
      </w:pPr>
    </w:p>
    <w:p>
      <w:pPr>
        <w:pStyle w:val="ListParagraph"/>
        <w:numPr>
          <w:ilvl w:val="2"/>
          <w:numId w:val="23"/>
        </w:numPr>
        <w:tabs>
          <w:tab w:pos="989" w:val="left" w:leader="none"/>
        </w:tabs>
        <w:spacing w:line="357" w:lineRule="auto" w:before="53" w:after="0"/>
        <w:ind w:left="988" w:right="231" w:hanging="360"/>
        <w:jc w:val="both"/>
        <w:rPr>
          <w:sz w:val="24"/>
        </w:rPr>
      </w:pPr>
      <w:r>
        <w:rPr/>
        <w:pict>
          <v:line style="position:absolute;mso-position-horizontal-relative:page;mso-position-vertical-relative:paragraph;z-index:19144" from="93.199997pt,-20.325533pt" to="546.799997pt,-20.325533pt" stroked="true" strokeweight=".479981pt" strokecolor="#000000">
            <w10:wrap type="none"/>
          </v:line>
        </w:pict>
      </w:r>
      <w:r>
        <w:rPr>
          <w:sz w:val="24"/>
        </w:rPr>
        <w:t>Cortés, Mara y Winfiel, Fernando. (2006). </w:t>
      </w:r>
      <w:r>
        <w:rPr>
          <w:i/>
          <w:sz w:val="24"/>
        </w:rPr>
        <w:t>La política de vivienda en el </w:t>
      </w:r>
      <w:r>
        <w:rPr>
          <w:i/>
          <w:sz w:val="24"/>
        </w:rPr>
        <w:t>contexto de la pobreza urbana en México: restos y perspectivas de participación social. </w:t>
      </w:r>
      <w:r>
        <w:rPr>
          <w:sz w:val="24"/>
        </w:rPr>
        <w:t>En Revista INVI, vol 21, núm. 58, noviembre 2006, pp. 26-41. Universidad de Chile. Santiago de Chile.</w:t>
      </w:r>
    </w:p>
    <w:p>
      <w:pPr>
        <w:pStyle w:val="ListParagraph"/>
        <w:numPr>
          <w:ilvl w:val="2"/>
          <w:numId w:val="23"/>
        </w:numPr>
        <w:tabs>
          <w:tab w:pos="983" w:val="left" w:leader="none"/>
        </w:tabs>
        <w:spacing w:line="355" w:lineRule="auto" w:before="123" w:after="0"/>
        <w:ind w:left="982" w:right="232" w:hanging="357"/>
        <w:jc w:val="both"/>
        <w:rPr>
          <w:sz w:val="24"/>
        </w:rPr>
      </w:pPr>
      <w:r>
        <w:rPr>
          <w:sz w:val="24"/>
        </w:rPr>
        <w:t>Dales, J.H. (1968). </w:t>
      </w:r>
      <w:r>
        <w:rPr>
          <w:i/>
          <w:sz w:val="24"/>
        </w:rPr>
        <w:t>Pollution, Property and Prices. </w:t>
      </w:r>
      <w:r>
        <w:rPr>
          <w:sz w:val="24"/>
        </w:rPr>
        <w:t>Toronto University Press, Toronto.</w:t>
      </w:r>
    </w:p>
    <w:p>
      <w:pPr>
        <w:pStyle w:val="ListParagraph"/>
        <w:numPr>
          <w:ilvl w:val="2"/>
          <w:numId w:val="23"/>
        </w:numPr>
        <w:tabs>
          <w:tab w:pos="983" w:val="left" w:leader="none"/>
        </w:tabs>
        <w:spacing w:line="357" w:lineRule="auto" w:before="126" w:after="0"/>
        <w:ind w:left="982" w:right="231" w:hanging="357"/>
        <w:jc w:val="both"/>
        <w:rPr>
          <w:sz w:val="24"/>
        </w:rPr>
      </w:pPr>
      <w:r>
        <w:rPr>
          <w:sz w:val="24"/>
        </w:rPr>
        <w:t>Delfín, Yliana; Brunel, Claudia; Bello, Eduardo y Vandame, Remy. (2011). </w:t>
      </w:r>
      <w:r>
        <w:rPr>
          <w:i/>
          <w:sz w:val="24"/>
        </w:rPr>
        <w:t>“Contribución de organizaciones de productores a la sustentabilidad de sus </w:t>
      </w:r>
      <w:r>
        <w:rPr>
          <w:i/>
          <w:sz w:val="24"/>
        </w:rPr>
        <w:t>territorios, Guaya´b (Guatemala) y Maya Vinic (Chiapas)”. </w:t>
      </w:r>
      <w:r>
        <w:rPr>
          <w:sz w:val="24"/>
        </w:rPr>
        <w:t>en Ra Ximhai,  vol. 7, núm. 2, pp.</w:t>
      </w:r>
      <w:r>
        <w:rPr>
          <w:spacing w:val="-6"/>
          <w:sz w:val="24"/>
        </w:rPr>
        <w:t> </w:t>
      </w:r>
      <w:r>
        <w:rPr>
          <w:sz w:val="24"/>
        </w:rPr>
        <w:t>313-330.</w:t>
      </w:r>
    </w:p>
    <w:p>
      <w:pPr>
        <w:pStyle w:val="ListParagraph"/>
        <w:numPr>
          <w:ilvl w:val="2"/>
          <w:numId w:val="23"/>
        </w:numPr>
        <w:tabs>
          <w:tab w:pos="989" w:val="left" w:leader="none"/>
        </w:tabs>
        <w:spacing w:line="357" w:lineRule="auto" w:before="123" w:after="0"/>
        <w:ind w:left="988" w:right="232" w:hanging="360"/>
        <w:jc w:val="both"/>
        <w:rPr>
          <w:sz w:val="24"/>
        </w:rPr>
      </w:pPr>
      <w:r>
        <w:rPr>
          <w:sz w:val="24"/>
        </w:rPr>
        <w:t>Delgado, Ovidio (2009). </w:t>
      </w:r>
      <w:r>
        <w:rPr>
          <w:i/>
          <w:sz w:val="24"/>
        </w:rPr>
        <w:t>“Geografía y Ciencias Sociales”. Una relación </w:t>
      </w:r>
      <w:r>
        <w:rPr>
          <w:i/>
          <w:sz w:val="24"/>
        </w:rPr>
        <w:t>reexaminada. Geografía Humana y Ciencias Sociales. </w:t>
      </w:r>
      <w:r>
        <w:rPr>
          <w:sz w:val="24"/>
        </w:rPr>
        <w:t>Chávez, Martha; González, Octavio y Ventura, Ma. del Carmen (eds.). México. El Colegio de Michoacán.</w:t>
      </w:r>
    </w:p>
    <w:p>
      <w:pPr>
        <w:pStyle w:val="ListParagraph"/>
        <w:numPr>
          <w:ilvl w:val="2"/>
          <w:numId w:val="23"/>
        </w:numPr>
        <w:tabs>
          <w:tab w:pos="989" w:val="left" w:leader="none"/>
        </w:tabs>
        <w:spacing w:line="357" w:lineRule="auto" w:before="123" w:after="0"/>
        <w:ind w:left="988" w:right="232" w:hanging="360"/>
        <w:jc w:val="both"/>
        <w:rPr>
          <w:sz w:val="24"/>
        </w:rPr>
      </w:pPr>
      <w:r>
        <w:rPr>
          <w:sz w:val="24"/>
        </w:rPr>
        <w:t>Eibenschutz, Roberto y Goya, Carlos. (2009). </w:t>
      </w:r>
      <w:r>
        <w:rPr>
          <w:i/>
          <w:sz w:val="24"/>
        </w:rPr>
        <w:t>Estudio de la integración </w:t>
      </w:r>
      <w:r>
        <w:rPr>
          <w:i/>
          <w:sz w:val="24"/>
        </w:rPr>
        <w:t>urbana y social en la expansión reciente de las ciudades en México, 1996- 2006: dimensión, características y soluciones. </w:t>
      </w:r>
      <w:r>
        <w:rPr>
          <w:sz w:val="24"/>
        </w:rPr>
        <w:t>Secretaría de Desarrollo Social y Universidad Autónoma Metropolitana.</w:t>
      </w:r>
      <w:r>
        <w:rPr>
          <w:spacing w:val="-2"/>
          <w:sz w:val="24"/>
        </w:rPr>
        <w:t> </w:t>
      </w:r>
      <w:r>
        <w:rPr>
          <w:sz w:val="24"/>
        </w:rPr>
        <w:t>México.</w:t>
      </w:r>
    </w:p>
    <w:p>
      <w:pPr>
        <w:pStyle w:val="ListParagraph"/>
        <w:numPr>
          <w:ilvl w:val="2"/>
          <w:numId w:val="23"/>
        </w:numPr>
        <w:tabs>
          <w:tab w:pos="988" w:val="left" w:leader="none"/>
          <w:tab w:pos="989" w:val="left" w:leader="none"/>
        </w:tabs>
        <w:spacing w:line="240" w:lineRule="auto" w:before="123" w:after="0"/>
        <w:ind w:left="988" w:right="0" w:hanging="360"/>
        <w:jc w:val="left"/>
        <w:rPr>
          <w:i/>
          <w:sz w:val="24"/>
        </w:rPr>
      </w:pPr>
      <w:r>
        <w:rPr>
          <w:sz w:val="24"/>
        </w:rPr>
        <w:t>Engels, F. (1872). </w:t>
      </w:r>
      <w:r>
        <w:rPr>
          <w:i/>
          <w:sz w:val="24"/>
        </w:rPr>
        <w:t>Contribución al problema de la</w:t>
      </w:r>
      <w:r>
        <w:rPr>
          <w:i/>
          <w:spacing w:val="-1"/>
          <w:sz w:val="24"/>
        </w:rPr>
        <w:t> </w:t>
      </w:r>
      <w:r>
        <w:rPr>
          <w:i/>
          <w:sz w:val="24"/>
        </w:rPr>
        <w:t>vivienda.</w:t>
      </w:r>
    </w:p>
    <w:p>
      <w:pPr>
        <w:pStyle w:val="BodyText"/>
        <w:rPr>
          <w:i/>
          <w:sz w:val="22"/>
        </w:rPr>
      </w:pPr>
    </w:p>
    <w:p>
      <w:pPr>
        <w:pStyle w:val="ListParagraph"/>
        <w:numPr>
          <w:ilvl w:val="2"/>
          <w:numId w:val="23"/>
        </w:numPr>
        <w:tabs>
          <w:tab w:pos="989" w:val="left" w:leader="none"/>
        </w:tabs>
        <w:spacing w:line="355" w:lineRule="auto" w:before="0" w:after="0"/>
        <w:ind w:left="988" w:right="231" w:hanging="360"/>
        <w:jc w:val="both"/>
        <w:rPr>
          <w:i/>
          <w:sz w:val="24"/>
        </w:rPr>
      </w:pPr>
      <w:r>
        <w:rPr>
          <w:sz w:val="24"/>
        </w:rPr>
        <w:t>Ernst &amp; Young. (2011). </w:t>
      </w:r>
      <w:r>
        <w:rPr>
          <w:i/>
          <w:sz w:val="24"/>
        </w:rPr>
        <w:t>Análisis de la Industria: Panorama general de la </w:t>
      </w:r>
      <w:r>
        <w:rPr>
          <w:i/>
          <w:sz w:val="24"/>
        </w:rPr>
        <w:t>industria de la vivienda en</w:t>
      </w:r>
      <w:r>
        <w:rPr>
          <w:i/>
          <w:spacing w:val="1"/>
          <w:sz w:val="24"/>
        </w:rPr>
        <w:t> </w:t>
      </w:r>
      <w:r>
        <w:rPr>
          <w:i/>
          <w:sz w:val="24"/>
        </w:rPr>
        <w:t>México.</w:t>
      </w:r>
    </w:p>
    <w:p>
      <w:pPr>
        <w:pStyle w:val="ListParagraph"/>
        <w:numPr>
          <w:ilvl w:val="2"/>
          <w:numId w:val="23"/>
        </w:numPr>
        <w:tabs>
          <w:tab w:pos="989" w:val="left" w:leader="none"/>
        </w:tabs>
        <w:spacing w:line="357" w:lineRule="auto" w:before="126" w:after="0"/>
        <w:ind w:left="988" w:right="231" w:hanging="360"/>
        <w:jc w:val="both"/>
        <w:rPr>
          <w:sz w:val="24"/>
        </w:rPr>
      </w:pPr>
      <w:r>
        <w:rPr>
          <w:sz w:val="24"/>
        </w:rPr>
        <w:t>Escobar L. y Azqueta D. (2004). </w:t>
      </w:r>
      <w:r>
        <w:rPr>
          <w:i/>
          <w:sz w:val="24"/>
        </w:rPr>
        <w:t>Índice de Calidad Ambiental Urbana: Un </w:t>
      </w:r>
      <w:r>
        <w:rPr>
          <w:i/>
          <w:sz w:val="24"/>
        </w:rPr>
        <w:t>modelo y caso aplicado en la Ciudad de Cali, Colombia. </w:t>
      </w:r>
      <w:r>
        <w:rPr>
          <w:sz w:val="24"/>
        </w:rPr>
        <w:t>Paper. VII Seminario Internacional Medio Ambiente y Desarrollo Sustentable. Colombia.</w:t>
      </w:r>
    </w:p>
    <w:p>
      <w:pPr>
        <w:spacing w:after="0" w:line="357" w:lineRule="auto"/>
        <w:jc w:val="both"/>
        <w:rPr>
          <w:sz w:val="24"/>
        </w:rPr>
        <w:sectPr>
          <w:pgSz w:w="12240" w:h="15840"/>
          <w:pgMar w:header="730" w:footer="1066" w:top="1320" w:bottom="1260" w:left="1720" w:right="1180"/>
        </w:sectPr>
      </w:pPr>
    </w:p>
    <w:p>
      <w:pPr>
        <w:pStyle w:val="BodyText"/>
        <w:spacing w:before="4"/>
        <w:rPr>
          <w:sz w:val="19"/>
        </w:rPr>
      </w:pPr>
    </w:p>
    <w:p>
      <w:pPr>
        <w:pStyle w:val="ListParagraph"/>
        <w:numPr>
          <w:ilvl w:val="2"/>
          <w:numId w:val="23"/>
        </w:numPr>
        <w:tabs>
          <w:tab w:pos="983" w:val="left" w:leader="none"/>
        </w:tabs>
        <w:spacing w:line="357" w:lineRule="auto" w:before="53" w:after="0"/>
        <w:ind w:left="982" w:right="231" w:hanging="357"/>
        <w:jc w:val="both"/>
        <w:rPr>
          <w:sz w:val="24"/>
        </w:rPr>
      </w:pPr>
      <w:r>
        <w:rPr/>
        <w:pict>
          <v:line style="position:absolute;mso-position-horizontal-relative:page;mso-position-vertical-relative:paragraph;z-index:19168" from="93.199997pt,-20.325533pt" to="546.799997pt,-20.325533pt" stroked="true" strokeweight=".479981pt" strokecolor="#000000">
            <w10:wrap type="none"/>
          </v:line>
        </w:pict>
      </w:r>
      <w:r>
        <w:rPr>
          <w:sz w:val="24"/>
        </w:rPr>
        <w:t>Gallopín, G.C. (1997). </w:t>
      </w:r>
      <w:r>
        <w:rPr>
          <w:i/>
          <w:sz w:val="24"/>
        </w:rPr>
        <w:t>Indicators and their use: information for decision </w:t>
      </w:r>
      <w:r>
        <w:rPr>
          <w:i/>
          <w:sz w:val="24"/>
        </w:rPr>
        <w:t>making</w:t>
      </w:r>
      <w:r>
        <w:rPr>
          <w:sz w:val="24"/>
        </w:rPr>
        <w:t>. En Moldan, B. y S. Billhartz (eds.): Sustainability indicators: Report of the project on Indicators of Sustainable Development. SCOPE. Wiley and Sons Ltd. Chichester, UK:</w:t>
      </w:r>
      <w:r>
        <w:rPr>
          <w:spacing w:val="-2"/>
          <w:sz w:val="24"/>
        </w:rPr>
        <w:t> </w:t>
      </w:r>
      <w:r>
        <w:rPr>
          <w:sz w:val="24"/>
        </w:rPr>
        <w:t>13-27.</w:t>
      </w:r>
    </w:p>
    <w:p>
      <w:pPr>
        <w:pStyle w:val="ListParagraph"/>
        <w:numPr>
          <w:ilvl w:val="2"/>
          <w:numId w:val="23"/>
        </w:numPr>
        <w:tabs>
          <w:tab w:pos="983" w:val="left" w:leader="none"/>
        </w:tabs>
        <w:spacing w:line="357" w:lineRule="auto" w:before="123" w:after="0"/>
        <w:ind w:left="982" w:right="231" w:hanging="357"/>
        <w:jc w:val="both"/>
        <w:rPr>
          <w:sz w:val="24"/>
        </w:rPr>
      </w:pPr>
      <w:r>
        <w:rPr>
          <w:sz w:val="24"/>
        </w:rPr>
        <w:t>Gallopín G.C., </w:t>
      </w:r>
      <w:r>
        <w:rPr>
          <w:i/>
          <w:sz w:val="24"/>
        </w:rPr>
        <w:t>et al. </w:t>
      </w:r>
      <w:r>
        <w:rPr>
          <w:sz w:val="24"/>
        </w:rPr>
        <w:t>(1995). </w:t>
      </w:r>
      <w:r>
        <w:rPr>
          <w:i/>
          <w:sz w:val="24"/>
        </w:rPr>
        <w:t>“El Futuro Ecológico de un continente”. Una </w:t>
      </w:r>
      <w:r>
        <w:rPr>
          <w:i/>
          <w:sz w:val="24"/>
        </w:rPr>
        <w:t>visión prospectiva de la América Latina. </w:t>
      </w:r>
      <w:r>
        <w:rPr>
          <w:sz w:val="24"/>
        </w:rPr>
        <w:t>Lecturas 79. Editorial de la Universidad de las Naciones Unidas. Fondo de Cultura Económica. 1ra. Reimp.</w:t>
      </w:r>
      <w:r>
        <w:rPr>
          <w:spacing w:val="-5"/>
          <w:sz w:val="24"/>
        </w:rPr>
        <w:t> </w:t>
      </w:r>
      <w:r>
        <w:rPr>
          <w:sz w:val="24"/>
        </w:rPr>
        <w:t>Méx.</w:t>
      </w:r>
    </w:p>
    <w:p>
      <w:pPr>
        <w:pStyle w:val="ListParagraph"/>
        <w:numPr>
          <w:ilvl w:val="2"/>
          <w:numId w:val="23"/>
        </w:numPr>
        <w:tabs>
          <w:tab w:pos="989" w:val="left" w:leader="none"/>
        </w:tabs>
        <w:spacing w:line="355" w:lineRule="auto" w:before="123" w:after="0"/>
        <w:ind w:left="988" w:right="232" w:hanging="360"/>
        <w:jc w:val="both"/>
        <w:rPr>
          <w:sz w:val="24"/>
        </w:rPr>
      </w:pPr>
      <w:r>
        <w:rPr>
          <w:sz w:val="24"/>
        </w:rPr>
        <w:t>González Arellano, Salomón. (2011). </w:t>
      </w:r>
      <w:r>
        <w:rPr>
          <w:i/>
          <w:sz w:val="24"/>
        </w:rPr>
        <w:t>Ciudad desigual. </w:t>
      </w:r>
      <w:r>
        <w:rPr>
          <w:sz w:val="24"/>
        </w:rPr>
        <w:t>Universidad Autónoma Metropolitana-Cuajimalpa.</w:t>
      </w:r>
      <w:r>
        <w:rPr>
          <w:spacing w:val="-3"/>
          <w:sz w:val="24"/>
        </w:rPr>
        <w:t> </w:t>
      </w:r>
      <w:r>
        <w:rPr>
          <w:sz w:val="24"/>
        </w:rPr>
        <w:t>México.</w:t>
      </w:r>
    </w:p>
    <w:p>
      <w:pPr>
        <w:pStyle w:val="ListParagraph"/>
        <w:numPr>
          <w:ilvl w:val="2"/>
          <w:numId w:val="23"/>
        </w:numPr>
        <w:tabs>
          <w:tab w:pos="989" w:val="left" w:leader="none"/>
        </w:tabs>
        <w:spacing w:line="355" w:lineRule="auto" w:before="126" w:after="0"/>
        <w:ind w:left="988" w:right="231" w:hanging="360"/>
        <w:jc w:val="both"/>
        <w:rPr>
          <w:sz w:val="24"/>
        </w:rPr>
      </w:pPr>
      <w:r>
        <w:rPr>
          <w:sz w:val="24"/>
        </w:rPr>
        <w:t>Gordillo, Fernando. (2005). </w:t>
      </w:r>
      <w:r>
        <w:rPr>
          <w:i/>
          <w:sz w:val="24"/>
        </w:rPr>
        <w:t>“El hábitat: mutaciones en la ciudad y el </w:t>
      </w:r>
      <w:r>
        <w:rPr>
          <w:i/>
          <w:sz w:val="24"/>
        </w:rPr>
        <w:t>territorio”. </w:t>
      </w:r>
      <w:r>
        <w:rPr>
          <w:sz w:val="24"/>
        </w:rPr>
        <w:t>En Tabula Rasa, núm. 3,</w:t>
      </w:r>
      <w:r>
        <w:rPr>
          <w:spacing w:val="-3"/>
          <w:sz w:val="24"/>
        </w:rPr>
        <w:t> </w:t>
      </w:r>
      <w:r>
        <w:rPr>
          <w:sz w:val="24"/>
        </w:rPr>
        <w:t>pp.137-149.</w:t>
      </w:r>
    </w:p>
    <w:p>
      <w:pPr>
        <w:pStyle w:val="ListParagraph"/>
        <w:numPr>
          <w:ilvl w:val="2"/>
          <w:numId w:val="23"/>
        </w:numPr>
        <w:tabs>
          <w:tab w:pos="989" w:val="left" w:leader="none"/>
        </w:tabs>
        <w:spacing w:line="357" w:lineRule="auto" w:before="126" w:after="0"/>
        <w:ind w:left="988" w:right="231" w:hanging="360"/>
        <w:jc w:val="both"/>
        <w:rPr>
          <w:sz w:val="24"/>
        </w:rPr>
      </w:pPr>
      <w:r>
        <w:rPr>
          <w:sz w:val="24"/>
        </w:rPr>
        <w:t>Gobierno del Estado de México. (2016), </w:t>
      </w:r>
      <w:r>
        <w:rPr>
          <w:i/>
          <w:sz w:val="24"/>
        </w:rPr>
        <w:t>“Constitución Política del Estado </w:t>
      </w:r>
      <w:r>
        <w:rPr>
          <w:i/>
          <w:sz w:val="24"/>
        </w:rPr>
        <w:t>Libre y Soberano de México”</w:t>
      </w:r>
      <w:r>
        <w:rPr>
          <w:sz w:val="24"/>
        </w:rPr>
        <w:t>. Dirección de Legalización y del Periódico Oficial, Gaceta del Gobierno. Consejería Jurídica. Estado de</w:t>
      </w:r>
      <w:r>
        <w:rPr>
          <w:spacing w:val="-2"/>
          <w:sz w:val="24"/>
        </w:rPr>
        <w:t> </w:t>
      </w:r>
      <w:r>
        <w:rPr>
          <w:sz w:val="24"/>
        </w:rPr>
        <w:t>México.</w:t>
      </w:r>
    </w:p>
    <w:p>
      <w:pPr>
        <w:pStyle w:val="ListParagraph"/>
        <w:numPr>
          <w:ilvl w:val="2"/>
          <w:numId w:val="23"/>
        </w:numPr>
        <w:tabs>
          <w:tab w:pos="989" w:val="left" w:leader="none"/>
        </w:tabs>
        <w:spacing w:line="357" w:lineRule="auto" w:before="123" w:after="0"/>
        <w:ind w:left="988" w:right="231" w:hanging="360"/>
        <w:jc w:val="both"/>
        <w:rPr>
          <w:sz w:val="24"/>
        </w:rPr>
      </w:pPr>
      <w:r>
        <w:rPr>
          <w:sz w:val="24"/>
        </w:rPr>
        <w:t>Gobierno del Estado de México. (2016), </w:t>
      </w:r>
      <w:r>
        <w:rPr>
          <w:i/>
          <w:sz w:val="24"/>
        </w:rPr>
        <w:t>“Código Administrativo del Estado </w:t>
      </w:r>
      <w:r>
        <w:rPr>
          <w:i/>
          <w:sz w:val="24"/>
        </w:rPr>
        <w:t>de México”</w:t>
      </w:r>
      <w:r>
        <w:rPr>
          <w:sz w:val="24"/>
        </w:rPr>
        <w:t>. Dirección de Legalización y del Periódico Oficial, Gaceta del Gobierno. Consejería Jurídica. Estado de</w:t>
      </w:r>
      <w:r>
        <w:rPr>
          <w:spacing w:val="-1"/>
          <w:sz w:val="24"/>
        </w:rPr>
        <w:t> </w:t>
      </w:r>
      <w:r>
        <w:rPr>
          <w:sz w:val="24"/>
        </w:rPr>
        <w:t>México.</w:t>
      </w:r>
    </w:p>
    <w:p>
      <w:pPr>
        <w:pStyle w:val="ListParagraph"/>
        <w:numPr>
          <w:ilvl w:val="2"/>
          <w:numId w:val="23"/>
        </w:numPr>
        <w:tabs>
          <w:tab w:pos="989" w:val="left" w:leader="none"/>
        </w:tabs>
        <w:spacing w:line="357" w:lineRule="auto" w:before="123" w:after="0"/>
        <w:ind w:left="988" w:right="231" w:hanging="360"/>
        <w:jc w:val="both"/>
        <w:rPr>
          <w:sz w:val="24"/>
        </w:rPr>
      </w:pPr>
      <w:r>
        <w:rPr>
          <w:sz w:val="24"/>
        </w:rPr>
        <w:t>Gobierno del Estado de México. (2016), </w:t>
      </w:r>
      <w:r>
        <w:rPr>
          <w:i/>
          <w:sz w:val="24"/>
        </w:rPr>
        <w:t>“Código Financiero del Estado de </w:t>
      </w:r>
      <w:r>
        <w:rPr>
          <w:i/>
          <w:sz w:val="24"/>
        </w:rPr>
        <w:t>México y Municipios”</w:t>
      </w:r>
      <w:r>
        <w:rPr>
          <w:sz w:val="24"/>
        </w:rPr>
        <w:t>. Dirección de Legalización y del Periódico Oficial, Gaceta del Gobierno. Consejería Jurídica. Estado de</w:t>
      </w:r>
      <w:r>
        <w:rPr>
          <w:spacing w:val="-1"/>
          <w:sz w:val="24"/>
        </w:rPr>
        <w:t> </w:t>
      </w:r>
      <w:r>
        <w:rPr>
          <w:sz w:val="24"/>
        </w:rPr>
        <w:t>México.</w:t>
      </w:r>
    </w:p>
    <w:p>
      <w:pPr>
        <w:pStyle w:val="ListParagraph"/>
        <w:numPr>
          <w:ilvl w:val="2"/>
          <w:numId w:val="23"/>
        </w:numPr>
        <w:tabs>
          <w:tab w:pos="989" w:val="left" w:leader="none"/>
        </w:tabs>
        <w:spacing w:line="357" w:lineRule="auto" w:before="123" w:after="0"/>
        <w:ind w:left="988" w:right="231" w:hanging="360"/>
        <w:jc w:val="both"/>
        <w:rPr>
          <w:sz w:val="24"/>
        </w:rPr>
      </w:pPr>
      <w:r>
        <w:rPr>
          <w:sz w:val="24"/>
        </w:rPr>
        <w:t>Gobierno del Estado de México. (2016), </w:t>
      </w:r>
      <w:r>
        <w:rPr>
          <w:i/>
          <w:sz w:val="24"/>
        </w:rPr>
        <w:t>“Libro 5to. Del Ordenamiento </w:t>
      </w:r>
      <w:r>
        <w:rPr>
          <w:i/>
          <w:sz w:val="24"/>
        </w:rPr>
        <w:t>Territorial de los Asentamientos Humanos y del Desarrollo Urbano de los Centros de Población”</w:t>
      </w:r>
      <w:r>
        <w:rPr>
          <w:sz w:val="24"/>
        </w:rPr>
        <w:t>. En Código Administrativo del Estado de México. Dirección de Legalización y del Periódico Oficial, Gaceta del Gobierno. Consejería Jurídica. Estado de</w:t>
      </w:r>
      <w:r>
        <w:rPr>
          <w:spacing w:val="-1"/>
          <w:sz w:val="24"/>
        </w:rPr>
        <w:t> </w:t>
      </w:r>
      <w:r>
        <w:rPr>
          <w:sz w:val="24"/>
        </w:rPr>
        <w:t>México.</w:t>
      </w:r>
    </w:p>
    <w:p>
      <w:pPr>
        <w:spacing w:after="0" w:line="357" w:lineRule="auto"/>
        <w:jc w:val="both"/>
        <w:rPr>
          <w:sz w:val="24"/>
        </w:rPr>
        <w:sectPr>
          <w:footerReference w:type="default" r:id="rId325"/>
          <w:pgSz w:w="12240" w:h="15840"/>
          <w:pgMar w:footer="1066" w:header="730" w:top="1320" w:bottom="1260" w:left="1720" w:right="1180"/>
        </w:sectPr>
      </w:pPr>
    </w:p>
    <w:p>
      <w:pPr>
        <w:pStyle w:val="BodyText"/>
        <w:spacing w:before="4"/>
        <w:rPr>
          <w:sz w:val="19"/>
        </w:rPr>
      </w:pPr>
    </w:p>
    <w:p>
      <w:pPr>
        <w:pStyle w:val="ListParagraph"/>
        <w:numPr>
          <w:ilvl w:val="2"/>
          <w:numId w:val="23"/>
        </w:numPr>
        <w:tabs>
          <w:tab w:pos="989" w:val="left" w:leader="none"/>
        </w:tabs>
        <w:spacing w:line="357" w:lineRule="auto" w:before="53" w:after="0"/>
        <w:ind w:left="988" w:right="231" w:hanging="360"/>
        <w:jc w:val="both"/>
        <w:rPr>
          <w:sz w:val="24"/>
        </w:rPr>
      </w:pPr>
      <w:r>
        <w:rPr/>
        <w:pict>
          <v:line style="position:absolute;mso-position-horizontal-relative:page;mso-position-vertical-relative:paragraph;z-index:19192" from="93.199997pt,-20.325533pt" to="546.799997pt,-20.325533pt" stroked="true" strokeweight=".479981pt" strokecolor="#000000">
            <w10:wrap type="none"/>
          </v:line>
        </w:pict>
      </w:r>
      <w:r>
        <w:rPr>
          <w:sz w:val="24"/>
        </w:rPr>
        <w:t>Gobierno del Estado de México. (2016), </w:t>
      </w:r>
      <w:r>
        <w:rPr>
          <w:i/>
          <w:sz w:val="24"/>
        </w:rPr>
        <w:t>“Reglamento del Libro 5to. Del </w:t>
      </w:r>
      <w:r>
        <w:rPr>
          <w:i/>
          <w:sz w:val="24"/>
        </w:rPr>
        <w:t>Ordenamiento Territorial de los Asentamientos Humanos y del Desarrollo Urbano de los Centros de Población”</w:t>
      </w:r>
      <w:r>
        <w:rPr>
          <w:sz w:val="24"/>
        </w:rPr>
        <w:t>. Dirección de Legalización y del Periódico Oficial, Gaceta del Gobierno. Consejería Jurídica. Estado de México.</w:t>
      </w:r>
    </w:p>
    <w:p>
      <w:pPr>
        <w:pStyle w:val="ListParagraph"/>
        <w:numPr>
          <w:ilvl w:val="2"/>
          <w:numId w:val="23"/>
        </w:numPr>
        <w:tabs>
          <w:tab w:pos="989" w:val="left" w:leader="none"/>
        </w:tabs>
        <w:spacing w:line="357" w:lineRule="auto" w:before="123" w:after="0"/>
        <w:ind w:left="988" w:right="232" w:hanging="360"/>
        <w:jc w:val="both"/>
        <w:rPr>
          <w:sz w:val="24"/>
        </w:rPr>
      </w:pPr>
      <w:r>
        <w:rPr>
          <w:sz w:val="24"/>
        </w:rPr>
        <w:t>Gobierno del Estado de México. (2016), </w:t>
      </w:r>
      <w:r>
        <w:rPr>
          <w:i/>
          <w:sz w:val="24"/>
        </w:rPr>
        <w:t>“Ley Orgánica Municipal del Estado </w:t>
      </w:r>
      <w:r>
        <w:rPr>
          <w:i/>
          <w:sz w:val="24"/>
        </w:rPr>
        <w:t>de México”</w:t>
      </w:r>
      <w:r>
        <w:rPr>
          <w:sz w:val="24"/>
        </w:rPr>
        <w:t>. Dirección de Legalización y del Periódico Oficial, Gaceta del Gobierno. Consejería Jurídica. Estado de</w:t>
      </w:r>
      <w:r>
        <w:rPr>
          <w:spacing w:val="-1"/>
          <w:sz w:val="24"/>
        </w:rPr>
        <w:t> </w:t>
      </w:r>
      <w:r>
        <w:rPr>
          <w:sz w:val="24"/>
        </w:rPr>
        <w:t>México.</w:t>
      </w:r>
    </w:p>
    <w:p>
      <w:pPr>
        <w:pStyle w:val="ListParagraph"/>
        <w:numPr>
          <w:ilvl w:val="2"/>
          <w:numId w:val="23"/>
        </w:numPr>
        <w:tabs>
          <w:tab w:pos="989" w:val="left" w:leader="none"/>
        </w:tabs>
        <w:spacing w:line="357" w:lineRule="auto" w:before="123" w:after="0"/>
        <w:ind w:left="988" w:right="232" w:hanging="360"/>
        <w:jc w:val="both"/>
        <w:rPr>
          <w:sz w:val="24"/>
        </w:rPr>
      </w:pPr>
      <w:r>
        <w:rPr>
          <w:sz w:val="24"/>
        </w:rPr>
        <w:t>Gutierrez Chaparro, Juan José. (2012). </w:t>
      </w:r>
      <w:r>
        <w:rPr>
          <w:i/>
          <w:sz w:val="24"/>
        </w:rPr>
        <w:t>Planeación, participación y gestión </w:t>
      </w:r>
      <w:r>
        <w:rPr>
          <w:i/>
          <w:sz w:val="24"/>
        </w:rPr>
        <w:t>en los procesos urbanos actuales. </w:t>
      </w:r>
      <w:r>
        <w:rPr>
          <w:sz w:val="24"/>
        </w:rPr>
        <w:t>Universidad Autónoma del Estado de México.</w:t>
      </w:r>
      <w:r>
        <w:rPr>
          <w:spacing w:val="-1"/>
          <w:sz w:val="24"/>
        </w:rPr>
        <w:t> </w:t>
      </w:r>
      <w:r>
        <w:rPr>
          <w:sz w:val="24"/>
        </w:rPr>
        <w:t>México.</w:t>
      </w:r>
    </w:p>
    <w:p>
      <w:pPr>
        <w:pStyle w:val="ListParagraph"/>
        <w:numPr>
          <w:ilvl w:val="2"/>
          <w:numId w:val="23"/>
        </w:numPr>
        <w:tabs>
          <w:tab w:pos="989" w:val="left" w:leader="none"/>
        </w:tabs>
        <w:spacing w:line="357" w:lineRule="auto" w:before="123" w:after="0"/>
        <w:ind w:left="988" w:right="231" w:hanging="360"/>
        <w:jc w:val="both"/>
        <w:rPr>
          <w:sz w:val="24"/>
        </w:rPr>
      </w:pPr>
      <w:r>
        <w:rPr>
          <w:sz w:val="24"/>
        </w:rPr>
        <w:t>Guzmán, Mauricio. (2006). </w:t>
      </w:r>
      <w:r>
        <w:rPr>
          <w:i/>
          <w:sz w:val="24"/>
        </w:rPr>
        <w:t>“Biodiversidad y conocimiento local: del discurso </w:t>
      </w:r>
      <w:r>
        <w:rPr>
          <w:i/>
          <w:sz w:val="24"/>
        </w:rPr>
        <w:t>a la práctica basada en el territotio”. </w:t>
      </w:r>
      <w:r>
        <w:rPr>
          <w:sz w:val="24"/>
        </w:rPr>
        <w:t>en Espiral, vol. XIII, núm. 37, pp. 145- 176.</w:t>
      </w:r>
    </w:p>
    <w:p>
      <w:pPr>
        <w:pStyle w:val="ListParagraph"/>
        <w:numPr>
          <w:ilvl w:val="2"/>
          <w:numId w:val="23"/>
        </w:numPr>
        <w:tabs>
          <w:tab w:pos="989" w:val="left" w:leader="none"/>
        </w:tabs>
        <w:spacing w:line="357" w:lineRule="auto" w:before="123" w:after="0"/>
        <w:ind w:left="988" w:right="231" w:hanging="360"/>
        <w:jc w:val="both"/>
        <w:rPr>
          <w:sz w:val="24"/>
        </w:rPr>
      </w:pPr>
      <w:r>
        <w:rPr>
          <w:sz w:val="24"/>
        </w:rPr>
        <w:t>Hammond, A.; A. Adriaanse; E. Rodenburg; D. Bryant y R. Woodward (1995). </w:t>
      </w:r>
      <w:r>
        <w:rPr>
          <w:i/>
          <w:sz w:val="24"/>
        </w:rPr>
        <w:t>Environmental Indicators: A systematic Approach to measuring and </w:t>
      </w:r>
      <w:r>
        <w:rPr>
          <w:i/>
          <w:sz w:val="24"/>
        </w:rPr>
        <w:t>reporting on environmental Policy Performance in the Context of  Sustainable Development. </w:t>
      </w:r>
      <w:r>
        <w:rPr>
          <w:sz w:val="24"/>
        </w:rPr>
        <w:t>World Resources Institute. Washington,</w:t>
      </w:r>
      <w:r>
        <w:rPr>
          <w:spacing w:val="-2"/>
          <w:sz w:val="24"/>
        </w:rPr>
        <w:t> </w:t>
      </w:r>
      <w:r>
        <w:rPr>
          <w:sz w:val="24"/>
        </w:rPr>
        <w:t>DC.</w:t>
      </w:r>
    </w:p>
    <w:p>
      <w:pPr>
        <w:pStyle w:val="ListParagraph"/>
        <w:numPr>
          <w:ilvl w:val="2"/>
          <w:numId w:val="23"/>
        </w:numPr>
        <w:tabs>
          <w:tab w:pos="989" w:val="left" w:leader="none"/>
        </w:tabs>
        <w:spacing w:line="357" w:lineRule="auto" w:before="123" w:after="0"/>
        <w:ind w:left="988" w:right="232" w:hanging="360"/>
        <w:jc w:val="both"/>
        <w:rPr>
          <w:sz w:val="24"/>
        </w:rPr>
      </w:pPr>
      <w:r>
        <w:rPr>
          <w:sz w:val="24"/>
        </w:rPr>
        <w:t>Hardi, P. y T. Zdan (eds.)(1997). </w:t>
      </w:r>
      <w:r>
        <w:rPr>
          <w:i/>
          <w:sz w:val="24"/>
        </w:rPr>
        <w:t>Assessing Sustainable Development: </w:t>
      </w:r>
      <w:r>
        <w:rPr>
          <w:i/>
          <w:sz w:val="24"/>
        </w:rPr>
        <w:t>Principles in Practice. </w:t>
      </w:r>
      <w:r>
        <w:rPr>
          <w:sz w:val="24"/>
        </w:rPr>
        <w:t>Report of the Conference on Sustainable Development Performance Measurement. Bellagio. Italy 4-8 november  1996. IISD, Winnipeg.</w:t>
      </w:r>
    </w:p>
    <w:p>
      <w:pPr>
        <w:pStyle w:val="ListParagraph"/>
        <w:numPr>
          <w:ilvl w:val="2"/>
          <w:numId w:val="23"/>
        </w:numPr>
        <w:tabs>
          <w:tab w:pos="988" w:val="left" w:leader="none"/>
          <w:tab w:pos="989" w:val="left" w:leader="none"/>
        </w:tabs>
        <w:spacing w:line="240" w:lineRule="auto" w:before="123" w:after="0"/>
        <w:ind w:left="988" w:right="0" w:hanging="360"/>
        <w:jc w:val="left"/>
        <w:rPr>
          <w:sz w:val="24"/>
        </w:rPr>
      </w:pPr>
      <w:r>
        <w:rPr>
          <w:sz w:val="24"/>
        </w:rPr>
        <w:t>Hardin, Garret. (1968</w:t>
      </w:r>
      <w:r>
        <w:rPr>
          <w:i/>
          <w:sz w:val="24"/>
        </w:rPr>
        <w:t>). “The tragedy of the commons”, </w:t>
      </w:r>
      <w:r>
        <w:rPr>
          <w:sz w:val="24"/>
        </w:rPr>
        <w:t>in Science</w:t>
      </w:r>
      <w:r>
        <w:rPr>
          <w:spacing w:val="-4"/>
          <w:sz w:val="24"/>
        </w:rPr>
        <w:t> </w:t>
      </w:r>
      <w:r>
        <w:rPr>
          <w:sz w:val="24"/>
        </w:rPr>
        <w:t>162.</w:t>
      </w:r>
    </w:p>
    <w:p>
      <w:pPr>
        <w:pStyle w:val="BodyText"/>
        <w:spacing w:before="5"/>
        <w:rPr>
          <w:sz w:val="22"/>
        </w:rPr>
      </w:pPr>
    </w:p>
    <w:p>
      <w:pPr>
        <w:pStyle w:val="ListParagraph"/>
        <w:numPr>
          <w:ilvl w:val="2"/>
          <w:numId w:val="23"/>
        </w:numPr>
        <w:tabs>
          <w:tab w:pos="989" w:val="left" w:leader="none"/>
        </w:tabs>
        <w:spacing w:line="357" w:lineRule="auto" w:before="0" w:after="0"/>
        <w:ind w:left="988" w:right="231" w:hanging="360"/>
        <w:jc w:val="both"/>
        <w:rPr>
          <w:sz w:val="24"/>
        </w:rPr>
      </w:pPr>
      <w:r>
        <w:rPr>
          <w:sz w:val="24"/>
        </w:rPr>
        <w:t>Hearnshaw, E., Saunders, C., and Dalziel, P. (2005). </w:t>
      </w:r>
      <w:r>
        <w:rPr>
          <w:i/>
          <w:sz w:val="24"/>
        </w:rPr>
        <w:t>The methodological </w:t>
      </w:r>
      <w:r>
        <w:rPr>
          <w:i/>
          <w:sz w:val="24"/>
        </w:rPr>
        <w:t>foundations of composite indicator construction by the analytic hierarchy process for sustainable development evaluation. </w:t>
      </w:r>
      <w:r>
        <w:rPr>
          <w:sz w:val="24"/>
        </w:rPr>
        <w:t>Lincoln University,</w:t>
      </w:r>
      <w:r>
        <w:rPr>
          <w:spacing w:val="-1"/>
          <w:sz w:val="24"/>
        </w:rPr>
        <w:t> </w:t>
      </w:r>
      <w:r>
        <w:rPr>
          <w:sz w:val="24"/>
        </w:rPr>
        <w:t>USA.</w:t>
      </w:r>
    </w:p>
    <w:p>
      <w:pPr>
        <w:spacing w:after="0" w:line="357" w:lineRule="auto"/>
        <w:jc w:val="both"/>
        <w:rPr>
          <w:sz w:val="24"/>
        </w:rPr>
        <w:sectPr>
          <w:footerReference w:type="default" r:id="rId326"/>
          <w:pgSz w:w="12240" w:h="15840"/>
          <w:pgMar w:footer="1066" w:header="730" w:top="1320" w:bottom="1260" w:left="1720" w:right="1180"/>
          <w:pgNumType w:start="251"/>
        </w:sectPr>
      </w:pPr>
    </w:p>
    <w:p>
      <w:pPr>
        <w:pStyle w:val="BodyText"/>
        <w:spacing w:before="4"/>
        <w:rPr>
          <w:sz w:val="19"/>
        </w:rPr>
      </w:pPr>
    </w:p>
    <w:p>
      <w:pPr>
        <w:pStyle w:val="ListParagraph"/>
        <w:numPr>
          <w:ilvl w:val="2"/>
          <w:numId w:val="23"/>
        </w:numPr>
        <w:tabs>
          <w:tab w:pos="989" w:val="left" w:leader="none"/>
        </w:tabs>
        <w:spacing w:line="355" w:lineRule="auto" w:before="53" w:after="0"/>
        <w:ind w:left="988" w:right="232" w:hanging="360"/>
        <w:jc w:val="both"/>
        <w:rPr>
          <w:sz w:val="24"/>
        </w:rPr>
      </w:pPr>
      <w:r>
        <w:rPr/>
        <w:pict>
          <v:line style="position:absolute;mso-position-horizontal-relative:page;mso-position-vertical-relative:paragraph;z-index:19216" from="93.199997pt,-20.325533pt" to="546.799997pt,-20.325533pt" stroked="true" strokeweight=".479981pt" strokecolor="#000000">
            <w10:wrap type="none"/>
          </v:line>
        </w:pict>
      </w:r>
      <w:r>
        <w:rPr>
          <w:sz w:val="24"/>
        </w:rPr>
        <w:t>Hinterberger, F.; F. Lucks y F. Schmidt-Bleek (1996). </w:t>
      </w:r>
      <w:r>
        <w:rPr>
          <w:i/>
          <w:sz w:val="24"/>
        </w:rPr>
        <w:t>Material flows vs. </w:t>
      </w:r>
      <w:r>
        <w:rPr>
          <w:i/>
          <w:sz w:val="24"/>
        </w:rPr>
        <w:t>"natural capital". What makes an economy sustainable? </w:t>
      </w:r>
      <w:r>
        <w:rPr>
          <w:sz w:val="24"/>
        </w:rPr>
        <w:t>Ecological Economics, 23:</w:t>
      </w:r>
      <w:r>
        <w:rPr>
          <w:spacing w:val="-1"/>
          <w:sz w:val="24"/>
        </w:rPr>
        <w:t> </w:t>
      </w:r>
      <w:r>
        <w:rPr>
          <w:sz w:val="24"/>
        </w:rPr>
        <w:t>1-14.</w:t>
      </w:r>
    </w:p>
    <w:p>
      <w:pPr>
        <w:pStyle w:val="ListParagraph"/>
        <w:numPr>
          <w:ilvl w:val="2"/>
          <w:numId w:val="23"/>
        </w:numPr>
        <w:tabs>
          <w:tab w:pos="989" w:val="left" w:leader="none"/>
        </w:tabs>
        <w:spacing w:line="350" w:lineRule="auto" w:before="131" w:after="0"/>
        <w:ind w:left="988" w:right="232" w:hanging="360"/>
        <w:jc w:val="both"/>
        <w:rPr>
          <w:sz w:val="24"/>
        </w:rPr>
      </w:pPr>
      <w:r>
        <w:rPr>
          <w:sz w:val="24"/>
        </w:rPr>
        <w:t>Hotelling, Harold. (1931). </w:t>
      </w:r>
      <w:r>
        <w:rPr>
          <w:i/>
          <w:sz w:val="24"/>
        </w:rPr>
        <w:t>“The economics of exhaustible resources” </w:t>
      </w:r>
      <w:r>
        <w:rPr>
          <w:sz w:val="24"/>
        </w:rPr>
        <w:t>en Journal of Political Economy 39</w:t>
      </w:r>
    </w:p>
    <w:p>
      <w:pPr>
        <w:pStyle w:val="ListParagraph"/>
        <w:numPr>
          <w:ilvl w:val="2"/>
          <w:numId w:val="23"/>
        </w:numPr>
        <w:tabs>
          <w:tab w:pos="989" w:val="left" w:leader="none"/>
        </w:tabs>
        <w:spacing w:line="350" w:lineRule="auto" w:before="136" w:after="0"/>
        <w:ind w:left="988" w:right="232" w:hanging="360"/>
        <w:jc w:val="both"/>
        <w:rPr>
          <w:sz w:val="24"/>
        </w:rPr>
      </w:pPr>
      <w:r>
        <w:rPr>
          <w:sz w:val="24"/>
        </w:rPr>
        <w:t>Hernández, Sampieri. (2011). </w:t>
      </w:r>
      <w:r>
        <w:rPr>
          <w:i/>
          <w:sz w:val="24"/>
        </w:rPr>
        <w:t>“Metodología de la investigación”. </w:t>
      </w:r>
      <w:r>
        <w:rPr>
          <w:sz w:val="24"/>
        </w:rPr>
        <w:t>McGraw- Hill, México.</w:t>
      </w:r>
    </w:p>
    <w:p>
      <w:pPr>
        <w:pStyle w:val="ListParagraph"/>
        <w:numPr>
          <w:ilvl w:val="2"/>
          <w:numId w:val="23"/>
        </w:numPr>
        <w:tabs>
          <w:tab w:pos="989" w:val="left" w:leader="none"/>
        </w:tabs>
        <w:spacing w:line="357" w:lineRule="auto" w:before="131" w:after="0"/>
        <w:ind w:left="988" w:right="231" w:hanging="360"/>
        <w:jc w:val="both"/>
        <w:rPr>
          <w:sz w:val="24"/>
        </w:rPr>
      </w:pPr>
      <w:r>
        <w:rPr>
          <w:sz w:val="24"/>
        </w:rPr>
        <w:t>Huacuz, R. (2014). </w:t>
      </w:r>
      <w:r>
        <w:rPr>
          <w:i/>
          <w:sz w:val="24"/>
        </w:rPr>
        <w:t>“La regulación ambiental, génesis y desarrollo de un </w:t>
      </w:r>
      <w:r>
        <w:rPr>
          <w:i/>
          <w:sz w:val="24"/>
        </w:rPr>
        <w:t>hecho científico”, </w:t>
      </w:r>
      <w:r>
        <w:rPr>
          <w:sz w:val="24"/>
        </w:rPr>
        <w:t>en Carreño Meléndez, F. e Iglesias Piña, D. Sustentabilidad Urbana: visiones y contradicciones. México: Universidad Autónoma del Estado de México.</w:t>
      </w:r>
    </w:p>
    <w:p>
      <w:pPr>
        <w:pStyle w:val="ListParagraph"/>
        <w:numPr>
          <w:ilvl w:val="2"/>
          <w:numId w:val="23"/>
        </w:numPr>
        <w:tabs>
          <w:tab w:pos="989" w:val="left" w:leader="none"/>
        </w:tabs>
        <w:spacing w:line="357" w:lineRule="auto" w:before="128" w:after="0"/>
        <w:ind w:left="988" w:right="231" w:hanging="360"/>
        <w:jc w:val="both"/>
        <w:rPr>
          <w:sz w:val="24"/>
        </w:rPr>
      </w:pPr>
      <w:r>
        <w:rPr>
          <w:sz w:val="24"/>
        </w:rPr>
        <w:t>INEGI (2004). </w:t>
      </w:r>
      <w:r>
        <w:rPr>
          <w:i/>
          <w:sz w:val="24"/>
        </w:rPr>
        <w:t>Micro, Pequeña y Gran empresa estratificación de los </w:t>
      </w:r>
      <w:r>
        <w:rPr>
          <w:i/>
          <w:sz w:val="24"/>
        </w:rPr>
        <w:t>establecimientos. </w:t>
      </w:r>
      <w:r>
        <w:rPr>
          <w:sz w:val="24"/>
        </w:rPr>
        <w:t>Disponible en </w:t>
      </w:r>
      <w:hyperlink r:id="rId327">
        <w:r>
          <w:rPr>
            <w:sz w:val="24"/>
          </w:rPr>
          <w:t>http://www.inegi.org.mx,</w:t>
        </w:r>
      </w:hyperlink>
      <w:r>
        <w:rPr>
          <w:sz w:val="24"/>
        </w:rPr>
        <w:t> consultado el 15  de marzo de 2010</w:t>
      </w:r>
    </w:p>
    <w:p>
      <w:pPr>
        <w:pStyle w:val="ListParagraph"/>
        <w:numPr>
          <w:ilvl w:val="2"/>
          <w:numId w:val="23"/>
        </w:numPr>
        <w:tabs>
          <w:tab w:pos="988" w:val="left" w:leader="none"/>
          <w:tab w:pos="989" w:val="left" w:leader="none"/>
        </w:tabs>
        <w:spacing w:line="357" w:lineRule="auto" w:before="123" w:after="0"/>
        <w:ind w:left="988" w:right="344" w:hanging="360"/>
        <w:jc w:val="left"/>
        <w:rPr>
          <w:sz w:val="24"/>
        </w:rPr>
      </w:pPr>
      <w:r>
        <w:rPr>
          <w:sz w:val="24"/>
        </w:rPr>
        <w:t>INEGI (2010). </w:t>
      </w:r>
      <w:r>
        <w:rPr>
          <w:i/>
          <w:sz w:val="24"/>
        </w:rPr>
        <w:t>Resumen de los Resultados de los Censos Económicos </w:t>
      </w:r>
      <w:r>
        <w:rPr>
          <w:i/>
          <w:sz w:val="24"/>
        </w:rPr>
        <w:t>2009. </w:t>
      </w:r>
      <w:r>
        <w:rPr>
          <w:sz w:val="24"/>
        </w:rPr>
        <w:t>En </w:t>
      </w:r>
      <w:hyperlink r:id="rId328">
        <w:r>
          <w:rPr>
            <w:sz w:val="24"/>
          </w:rPr>
          <w:t>http://www.inegi.org.mx/est/contenidos/espanol/proyectos/censos/ce2009/p</w:t>
        </w:r>
      </w:hyperlink>
      <w:r>
        <w:rPr>
          <w:sz w:val="24"/>
        </w:rPr>
        <w:t> df/RD09-resumen.pdf</w:t>
      </w:r>
    </w:p>
    <w:p>
      <w:pPr>
        <w:pStyle w:val="ListParagraph"/>
        <w:numPr>
          <w:ilvl w:val="2"/>
          <w:numId w:val="23"/>
        </w:numPr>
        <w:tabs>
          <w:tab w:pos="989" w:val="left" w:leader="none"/>
        </w:tabs>
        <w:spacing w:line="355" w:lineRule="auto" w:before="123" w:after="0"/>
        <w:ind w:left="988" w:right="232" w:hanging="360"/>
        <w:jc w:val="both"/>
        <w:rPr>
          <w:sz w:val="24"/>
        </w:rPr>
      </w:pPr>
      <w:r>
        <w:rPr>
          <w:sz w:val="24"/>
        </w:rPr>
        <w:t>Ingorosso, Chiara. (2011). </w:t>
      </w:r>
      <w:r>
        <w:rPr>
          <w:i/>
          <w:sz w:val="24"/>
        </w:rPr>
        <w:t>Barcelona; Architecture, City and Society, 1975- </w:t>
      </w:r>
      <w:r>
        <w:rPr>
          <w:i/>
          <w:sz w:val="24"/>
        </w:rPr>
        <w:t>2015. </w:t>
      </w:r>
      <w:r>
        <w:rPr>
          <w:sz w:val="24"/>
        </w:rPr>
        <w:t>Skira. Milano,</w:t>
      </w:r>
      <w:r>
        <w:rPr>
          <w:spacing w:val="-2"/>
          <w:sz w:val="24"/>
        </w:rPr>
        <w:t> </w:t>
      </w:r>
      <w:r>
        <w:rPr>
          <w:sz w:val="24"/>
        </w:rPr>
        <w:t>Italia.</w:t>
      </w:r>
    </w:p>
    <w:p>
      <w:pPr>
        <w:pStyle w:val="ListParagraph"/>
        <w:numPr>
          <w:ilvl w:val="2"/>
          <w:numId w:val="23"/>
        </w:numPr>
        <w:tabs>
          <w:tab w:pos="988" w:val="left" w:leader="none"/>
          <w:tab w:pos="989" w:val="left" w:leader="none"/>
        </w:tabs>
        <w:spacing w:line="240" w:lineRule="auto" w:before="126" w:after="0"/>
        <w:ind w:left="988" w:right="0" w:hanging="360"/>
        <w:jc w:val="left"/>
        <w:rPr>
          <w:i/>
          <w:sz w:val="24"/>
        </w:rPr>
      </w:pPr>
      <w:r>
        <w:rPr>
          <w:sz w:val="24"/>
        </w:rPr>
        <w:t>Instituto de Estadística del Estado de México (2004).  </w:t>
      </w:r>
      <w:r>
        <w:rPr>
          <w:i/>
          <w:sz w:val="24"/>
        </w:rPr>
        <w:t>Censo</w:t>
      </w:r>
      <w:r>
        <w:rPr>
          <w:i/>
          <w:spacing w:val="-1"/>
          <w:sz w:val="24"/>
        </w:rPr>
        <w:t> </w:t>
      </w:r>
      <w:r>
        <w:rPr>
          <w:i/>
          <w:sz w:val="24"/>
        </w:rPr>
        <w:t>Económico.</w:t>
      </w:r>
    </w:p>
    <w:p>
      <w:pPr>
        <w:pStyle w:val="BodyText"/>
        <w:spacing w:before="5"/>
        <w:rPr>
          <w:i/>
          <w:sz w:val="22"/>
        </w:rPr>
      </w:pPr>
    </w:p>
    <w:p>
      <w:pPr>
        <w:pStyle w:val="ListParagraph"/>
        <w:numPr>
          <w:ilvl w:val="2"/>
          <w:numId w:val="23"/>
        </w:numPr>
        <w:tabs>
          <w:tab w:pos="988" w:val="left" w:leader="none"/>
          <w:tab w:pos="989" w:val="left" w:leader="none"/>
        </w:tabs>
        <w:spacing w:line="240" w:lineRule="auto" w:before="0" w:after="0"/>
        <w:ind w:left="988" w:right="0" w:hanging="360"/>
        <w:jc w:val="left"/>
        <w:rPr>
          <w:i/>
          <w:sz w:val="24"/>
        </w:rPr>
      </w:pPr>
      <w:r>
        <w:rPr>
          <w:sz w:val="24"/>
        </w:rPr>
        <w:t>Instituto de Estadística del Estado de México (2010).  </w:t>
      </w:r>
      <w:r>
        <w:rPr>
          <w:i/>
          <w:sz w:val="24"/>
        </w:rPr>
        <w:t>Censo</w:t>
      </w:r>
      <w:r>
        <w:rPr>
          <w:i/>
          <w:spacing w:val="-1"/>
          <w:sz w:val="24"/>
        </w:rPr>
        <w:t> </w:t>
      </w:r>
      <w:r>
        <w:rPr>
          <w:i/>
          <w:sz w:val="24"/>
        </w:rPr>
        <w:t>Económico.</w:t>
      </w:r>
    </w:p>
    <w:p>
      <w:pPr>
        <w:pStyle w:val="BodyText"/>
        <w:rPr>
          <w:i/>
          <w:sz w:val="22"/>
        </w:rPr>
      </w:pPr>
    </w:p>
    <w:p>
      <w:pPr>
        <w:pStyle w:val="ListParagraph"/>
        <w:numPr>
          <w:ilvl w:val="2"/>
          <w:numId w:val="23"/>
        </w:numPr>
        <w:tabs>
          <w:tab w:pos="989" w:val="left" w:leader="none"/>
        </w:tabs>
        <w:spacing w:line="357" w:lineRule="auto" w:before="0" w:after="0"/>
        <w:ind w:left="988" w:right="231" w:hanging="360"/>
        <w:jc w:val="both"/>
        <w:rPr>
          <w:sz w:val="24"/>
        </w:rPr>
      </w:pPr>
      <w:r>
        <w:rPr>
          <w:sz w:val="24"/>
        </w:rPr>
        <w:t>Jiménez, Pedro; Calderon, R. y Campos H. (2015). </w:t>
      </w:r>
      <w:r>
        <w:rPr>
          <w:i/>
          <w:sz w:val="24"/>
        </w:rPr>
        <w:t>Desarrollo habitacional </w:t>
      </w:r>
      <w:r>
        <w:rPr>
          <w:i/>
          <w:sz w:val="24"/>
        </w:rPr>
        <w:t>fragmentado y movilidad urbana en la zona metropolitana de Toluca. </w:t>
      </w:r>
      <w:r>
        <w:rPr>
          <w:sz w:val="24"/>
        </w:rPr>
        <w:t>En Pasado, presente y futuro de las regiones en México y su estudio. México. UNAM y AMECIDER.</w:t>
      </w:r>
    </w:p>
    <w:p>
      <w:pPr>
        <w:spacing w:after="0" w:line="357" w:lineRule="auto"/>
        <w:jc w:val="both"/>
        <w:rPr>
          <w:sz w:val="24"/>
        </w:rPr>
        <w:sectPr>
          <w:pgSz w:w="12240" w:h="15840"/>
          <w:pgMar w:header="730" w:footer="1066" w:top="1320" w:bottom="1260" w:left="1720" w:right="1180"/>
        </w:sectPr>
      </w:pPr>
    </w:p>
    <w:p>
      <w:pPr>
        <w:pStyle w:val="BodyText"/>
        <w:spacing w:before="4"/>
        <w:rPr>
          <w:sz w:val="19"/>
        </w:rPr>
      </w:pPr>
    </w:p>
    <w:p>
      <w:pPr>
        <w:pStyle w:val="ListParagraph"/>
        <w:numPr>
          <w:ilvl w:val="2"/>
          <w:numId w:val="23"/>
        </w:numPr>
        <w:tabs>
          <w:tab w:pos="989" w:val="left" w:leader="none"/>
        </w:tabs>
        <w:spacing w:line="355" w:lineRule="auto" w:before="53" w:after="0"/>
        <w:ind w:left="988" w:right="231" w:hanging="360"/>
        <w:jc w:val="both"/>
        <w:rPr>
          <w:sz w:val="24"/>
        </w:rPr>
      </w:pPr>
      <w:r>
        <w:rPr/>
        <w:pict>
          <v:line style="position:absolute;mso-position-horizontal-relative:page;mso-position-vertical-relative:paragraph;z-index:19240" from="93.199997pt,-20.325533pt" to="546.799997pt,-20.325533pt" stroked="true" strokeweight=".479981pt" strokecolor="#000000">
            <w10:wrap type="none"/>
          </v:line>
        </w:pict>
      </w:r>
      <w:r>
        <w:rPr>
          <w:sz w:val="24"/>
        </w:rPr>
        <w:t>Jordan, </w:t>
      </w:r>
      <w:r>
        <w:rPr>
          <w:i/>
          <w:sz w:val="24"/>
        </w:rPr>
        <w:t>et al. </w:t>
      </w:r>
      <w:r>
        <w:rPr>
          <w:sz w:val="24"/>
        </w:rPr>
        <w:t>(2003). </w:t>
      </w:r>
      <w:r>
        <w:rPr>
          <w:i/>
          <w:sz w:val="24"/>
        </w:rPr>
        <w:t>Gestión urbana para el desarrollo sostenible en </w:t>
      </w:r>
      <w:r>
        <w:rPr>
          <w:i/>
          <w:sz w:val="24"/>
        </w:rPr>
        <w:t>América Latina y el Caribe. </w:t>
      </w:r>
      <w:r>
        <w:rPr>
          <w:sz w:val="24"/>
        </w:rPr>
        <w:t>ONU LC/G.2203-P, CEPAL, Oficina de la Cooperación Italiana, Santiago de Chile.</w:t>
      </w:r>
    </w:p>
    <w:p>
      <w:pPr>
        <w:pStyle w:val="ListParagraph"/>
        <w:numPr>
          <w:ilvl w:val="2"/>
          <w:numId w:val="23"/>
        </w:numPr>
        <w:tabs>
          <w:tab w:pos="989" w:val="left" w:leader="none"/>
        </w:tabs>
        <w:spacing w:line="357" w:lineRule="auto" w:before="131" w:after="0"/>
        <w:ind w:left="988" w:right="233" w:hanging="360"/>
        <w:jc w:val="both"/>
        <w:rPr>
          <w:sz w:val="24"/>
        </w:rPr>
      </w:pPr>
      <w:r>
        <w:rPr>
          <w:sz w:val="24"/>
        </w:rPr>
        <w:t>Jordan R. </w:t>
      </w:r>
      <w:r>
        <w:rPr>
          <w:i/>
          <w:sz w:val="24"/>
        </w:rPr>
        <w:t>et al. </w:t>
      </w:r>
      <w:r>
        <w:rPr>
          <w:sz w:val="24"/>
        </w:rPr>
        <w:t>Compiladores (1998). </w:t>
      </w:r>
      <w:r>
        <w:rPr>
          <w:i/>
          <w:sz w:val="24"/>
        </w:rPr>
        <w:t>Ciudades Intermedias de en América </w:t>
      </w:r>
      <w:r>
        <w:rPr>
          <w:i/>
          <w:sz w:val="24"/>
        </w:rPr>
        <w:t>Latina y el Caribe: Propuestas para la Gestión Urbana. </w:t>
      </w:r>
      <w:r>
        <w:rPr>
          <w:sz w:val="24"/>
        </w:rPr>
        <w:t>ONU LC/L1117, CEPAL, Oficina de la Cooperación Italiana, Santiago de Chile.</w:t>
      </w:r>
    </w:p>
    <w:p>
      <w:pPr>
        <w:pStyle w:val="ListParagraph"/>
        <w:numPr>
          <w:ilvl w:val="2"/>
          <w:numId w:val="23"/>
        </w:numPr>
        <w:tabs>
          <w:tab w:pos="989" w:val="left" w:leader="none"/>
        </w:tabs>
        <w:spacing w:line="357" w:lineRule="auto" w:before="123" w:after="0"/>
        <w:ind w:left="988" w:right="231" w:hanging="360"/>
        <w:jc w:val="both"/>
        <w:rPr>
          <w:sz w:val="24"/>
        </w:rPr>
      </w:pPr>
      <w:r>
        <w:rPr>
          <w:sz w:val="24"/>
        </w:rPr>
        <w:t>Kuik, O.J. y A.J. Gilbert (1999). </w:t>
      </w:r>
      <w:r>
        <w:rPr>
          <w:i/>
          <w:sz w:val="24"/>
        </w:rPr>
        <w:t>Indicators of Sustainable Development. </w:t>
      </w:r>
      <w:r>
        <w:rPr>
          <w:sz w:val="24"/>
        </w:rPr>
        <w:t>En Bergh, J.C.J.M. van den (ed.): Handbook of Environmental and Resource Economics. Edward Elgar Pub. Ltd. Cheltenham, UK.:</w:t>
      </w:r>
      <w:r>
        <w:rPr>
          <w:spacing w:val="-2"/>
          <w:sz w:val="24"/>
        </w:rPr>
        <w:t> </w:t>
      </w:r>
      <w:r>
        <w:rPr>
          <w:sz w:val="24"/>
        </w:rPr>
        <w:t>722-730.</w:t>
      </w:r>
    </w:p>
    <w:p>
      <w:pPr>
        <w:pStyle w:val="ListParagraph"/>
        <w:numPr>
          <w:ilvl w:val="2"/>
          <w:numId w:val="23"/>
        </w:numPr>
        <w:tabs>
          <w:tab w:pos="989" w:val="left" w:leader="none"/>
        </w:tabs>
        <w:spacing w:line="357" w:lineRule="auto" w:before="123" w:after="0"/>
        <w:ind w:left="988" w:right="232" w:hanging="360"/>
        <w:jc w:val="both"/>
        <w:rPr>
          <w:sz w:val="24"/>
        </w:rPr>
      </w:pPr>
      <w:r>
        <w:rPr>
          <w:sz w:val="24"/>
        </w:rPr>
        <w:t>Kuik, O.J. &amp; Verbruggen, H. (Eds.), (1991). </w:t>
      </w:r>
      <w:r>
        <w:rPr>
          <w:i/>
          <w:sz w:val="24"/>
        </w:rPr>
        <w:t>In Search of Indicators of </w:t>
      </w:r>
      <w:r>
        <w:rPr>
          <w:i/>
          <w:sz w:val="24"/>
        </w:rPr>
        <w:t>Sustainable Development. </w:t>
      </w:r>
      <w:r>
        <w:rPr>
          <w:sz w:val="24"/>
        </w:rPr>
        <w:t>Dordrecht: Kluwer Academic Publishers. Netherlands.</w:t>
      </w:r>
    </w:p>
    <w:p>
      <w:pPr>
        <w:pStyle w:val="ListParagraph"/>
        <w:numPr>
          <w:ilvl w:val="2"/>
          <w:numId w:val="23"/>
        </w:numPr>
        <w:tabs>
          <w:tab w:pos="989" w:val="left" w:leader="none"/>
        </w:tabs>
        <w:spacing w:line="357" w:lineRule="auto" w:before="123" w:after="0"/>
        <w:ind w:left="988" w:right="232" w:hanging="360"/>
        <w:jc w:val="both"/>
        <w:rPr>
          <w:sz w:val="24"/>
        </w:rPr>
      </w:pPr>
      <w:r>
        <w:rPr>
          <w:sz w:val="24"/>
        </w:rPr>
        <w:t>Lenz, R.; I. G. Malkina-Pykh y Y. Pykh (2000). </w:t>
      </w:r>
      <w:r>
        <w:rPr>
          <w:i/>
          <w:sz w:val="24"/>
        </w:rPr>
        <w:t>Introduction and overview. </w:t>
      </w:r>
      <w:r>
        <w:rPr>
          <w:i/>
          <w:sz w:val="24"/>
        </w:rPr>
        <w:t>Special issue on Environmental Indicators and indices. </w:t>
      </w:r>
      <w:r>
        <w:rPr>
          <w:sz w:val="24"/>
        </w:rPr>
        <w:t>Ecological  Modelling, 130:</w:t>
      </w:r>
      <w:r>
        <w:rPr>
          <w:spacing w:val="-3"/>
          <w:sz w:val="24"/>
        </w:rPr>
        <w:t> </w:t>
      </w:r>
      <w:r>
        <w:rPr>
          <w:sz w:val="24"/>
        </w:rPr>
        <w:t>1-11.</w:t>
      </w:r>
    </w:p>
    <w:p>
      <w:pPr>
        <w:pStyle w:val="ListParagraph"/>
        <w:numPr>
          <w:ilvl w:val="2"/>
          <w:numId w:val="23"/>
        </w:numPr>
        <w:tabs>
          <w:tab w:pos="988" w:val="left" w:leader="none"/>
          <w:tab w:pos="989" w:val="left" w:leader="none"/>
        </w:tabs>
        <w:spacing w:line="240" w:lineRule="auto" w:before="123" w:after="0"/>
        <w:ind w:left="988" w:right="0" w:hanging="360"/>
        <w:jc w:val="left"/>
        <w:rPr>
          <w:i/>
          <w:sz w:val="24"/>
        </w:rPr>
      </w:pPr>
      <w:r>
        <w:rPr>
          <w:sz w:val="24"/>
        </w:rPr>
        <w:t>Link, T. (2006). </w:t>
      </w:r>
      <w:r>
        <w:rPr>
          <w:i/>
          <w:sz w:val="24"/>
        </w:rPr>
        <w:t>La economía y la política en la apropiación de los</w:t>
      </w:r>
      <w:r>
        <w:rPr>
          <w:i/>
          <w:spacing w:val="38"/>
          <w:sz w:val="24"/>
        </w:rPr>
        <w:t> </w:t>
      </w:r>
      <w:r>
        <w:rPr>
          <w:i/>
          <w:sz w:val="24"/>
        </w:rPr>
        <w:t>territorios.</w:t>
      </w:r>
    </w:p>
    <w:p>
      <w:pPr>
        <w:pStyle w:val="BodyText"/>
        <w:spacing w:before="139"/>
        <w:ind w:left="988"/>
      </w:pPr>
      <w:r>
        <w:rPr/>
        <w:t>ALASRU.</w:t>
      </w:r>
    </w:p>
    <w:p>
      <w:pPr>
        <w:pStyle w:val="BodyText"/>
        <w:spacing w:before="2"/>
        <w:rPr>
          <w:sz w:val="22"/>
        </w:rPr>
      </w:pPr>
    </w:p>
    <w:p>
      <w:pPr>
        <w:pStyle w:val="ListParagraph"/>
        <w:numPr>
          <w:ilvl w:val="2"/>
          <w:numId w:val="23"/>
        </w:numPr>
        <w:tabs>
          <w:tab w:pos="989" w:val="left" w:leader="none"/>
        </w:tabs>
        <w:spacing w:line="355" w:lineRule="auto" w:before="0" w:after="0"/>
        <w:ind w:left="988" w:right="232" w:hanging="360"/>
        <w:jc w:val="both"/>
        <w:rPr>
          <w:sz w:val="24"/>
        </w:rPr>
      </w:pPr>
      <w:r>
        <w:rPr>
          <w:sz w:val="24"/>
        </w:rPr>
        <w:t>López, O. (2004). </w:t>
      </w:r>
      <w:r>
        <w:rPr>
          <w:i/>
          <w:sz w:val="24"/>
        </w:rPr>
        <w:t>“La sustentabilidad urbana”, </w:t>
      </w:r>
      <w:r>
        <w:rPr>
          <w:sz w:val="24"/>
        </w:rPr>
        <w:t>en Revista Bitácora Urbano Territorial, vol. 1, núm. 8, pp.</w:t>
      </w:r>
      <w:r>
        <w:rPr>
          <w:spacing w:val="-1"/>
          <w:sz w:val="24"/>
        </w:rPr>
        <w:t> </w:t>
      </w:r>
      <w:r>
        <w:rPr>
          <w:sz w:val="24"/>
        </w:rPr>
        <w:t>8-14.</w:t>
      </w:r>
    </w:p>
    <w:p>
      <w:pPr>
        <w:pStyle w:val="ListParagraph"/>
        <w:numPr>
          <w:ilvl w:val="2"/>
          <w:numId w:val="23"/>
        </w:numPr>
        <w:tabs>
          <w:tab w:pos="989" w:val="left" w:leader="none"/>
        </w:tabs>
        <w:spacing w:line="350" w:lineRule="auto" w:before="126" w:after="0"/>
        <w:ind w:left="988" w:right="232" w:hanging="360"/>
        <w:jc w:val="both"/>
        <w:rPr>
          <w:sz w:val="24"/>
        </w:rPr>
      </w:pPr>
      <w:r>
        <w:rPr>
          <w:sz w:val="24"/>
        </w:rPr>
        <w:t>Macias, H., Téllez, O., Dávila, P. y Casas, A. (2006). </w:t>
      </w:r>
      <w:r>
        <w:rPr>
          <w:i/>
          <w:sz w:val="24"/>
        </w:rPr>
        <w:t>“Los estudios de </w:t>
      </w:r>
      <w:r>
        <w:rPr>
          <w:i/>
          <w:sz w:val="24"/>
        </w:rPr>
        <w:t>sustentabilidad”, </w:t>
      </w:r>
      <w:r>
        <w:rPr>
          <w:sz w:val="24"/>
        </w:rPr>
        <w:t>en Ciencias, núm. 81, pp.</w:t>
      </w:r>
      <w:r>
        <w:rPr>
          <w:spacing w:val="-3"/>
          <w:sz w:val="24"/>
        </w:rPr>
        <w:t> </w:t>
      </w:r>
      <w:r>
        <w:rPr>
          <w:sz w:val="24"/>
        </w:rPr>
        <w:t>20-31.</w:t>
      </w:r>
    </w:p>
    <w:p>
      <w:pPr>
        <w:pStyle w:val="ListParagraph"/>
        <w:numPr>
          <w:ilvl w:val="2"/>
          <w:numId w:val="23"/>
        </w:numPr>
        <w:tabs>
          <w:tab w:pos="989" w:val="left" w:leader="none"/>
        </w:tabs>
        <w:spacing w:line="350" w:lineRule="auto" w:before="136" w:after="0"/>
        <w:ind w:left="988" w:right="231" w:hanging="360"/>
        <w:jc w:val="both"/>
        <w:rPr>
          <w:sz w:val="24"/>
        </w:rPr>
      </w:pPr>
      <w:r>
        <w:rPr>
          <w:sz w:val="24"/>
        </w:rPr>
        <w:t>Maes, F.; Modak A.; Safabakhsh M. y Tuker, H. (2012). Vivienda  sostenible: Una solución para México. Universia</w:t>
      </w:r>
      <w:r>
        <w:rPr>
          <w:spacing w:val="-1"/>
          <w:sz w:val="24"/>
        </w:rPr>
        <w:t> </w:t>
      </w:r>
      <w:r>
        <w:rPr>
          <w:sz w:val="24"/>
        </w:rPr>
        <w:t>Knowledge.</w:t>
      </w:r>
    </w:p>
    <w:p>
      <w:pPr>
        <w:pStyle w:val="ListParagraph"/>
        <w:numPr>
          <w:ilvl w:val="2"/>
          <w:numId w:val="23"/>
        </w:numPr>
        <w:tabs>
          <w:tab w:pos="989" w:val="left" w:leader="none"/>
        </w:tabs>
        <w:spacing w:line="357" w:lineRule="auto" w:before="131" w:after="0"/>
        <w:ind w:left="988" w:right="231" w:hanging="360"/>
        <w:jc w:val="both"/>
        <w:rPr>
          <w:sz w:val="24"/>
        </w:rPr>
      </w:pPr>
      <w:r>
        <w:rPr>
          <w:sz w:val="24"/>
        </w:rPr>
        <w:t>Mantovaneli, O. y Cioce, C. (2011). </w:t>
      </w:r>
      <w:r>
        <w:rPr>
          <w:i/>
          <w:sz w:val="24"/>
        </w:rPr>
        <w:t>“Gobernación para el ecodesarrollo: </w:t>
      </w:r>
      <w:r>
        <w:rPr>
          <w:i/>
          <w:sz w:val="24"/>
        </w:rPr>
        <w:t>sustentabilidad política y administrativa”, </w:t>
      </w:r>
      <w:r>
        <w:rPr>
          <w:sz w:val="24"/>
        </w:rPr>
        <w:t>en Revista Lider, vol. 19, año 13, pp.163-182.</w:t>
      </w:r>
    </w:p>
    <w:p>
      <w:pPr>
        <w:spacing w:after="0" w:line="357" w:lineRule="auto"/>
        <w:jc w:val="both"/>
        <w:rPr>
          <w:sz w:val="24"/>
        </w:rPr>
        <w:sectPr>
          <w:pgSz w:w="12240" w:h="15840"/>
          <w:pgMar w:header="730" w:footer="1066" w:top="1320" w:bottom="1260" w:left="1720" w:right="1180"/>
        </w:sectPr>
      </w:pPr>
    </w:p>
    <w:p>
      <w:pPr>
        <w:pStyle w:val="BodyText"/>
        <w:spacing w:before="4"/>
        <w:rPr>
          <w:sz w:val="19"/>
        </w:rPr>
      </w:pPr>
    </w:p>
    <w:p>
      <w:pPr>
        <w:pStyle w:val="ListParagraph"/>
        <w:numPr>
          <w:ilvl w:val="2"/>
          <w:numId w:val="23"/>
        </w:numPr>
        <w:tabs>
          <w:tab w:pos="989" w:val="left" w:leader="none"/>
        </w:tabs>
        <w:spacing w:line="355" w:lineRule="auto" w:before="53" w:after="0"/>
        <w:ind w:left="988" w:right="232" w:hanging="360"/>
        <w:jc w:val="both"/>
        <w:rPr>
          <w:sz w:val="24"/>
        </w:rPr>
      </w:pPr>
      <w:r>
        <w:rPr/>
        <w:pict>
          <v:line style="position:absolute;mso-position-horizontal-relative:page;mso-position-vertical-relative:paragraph;z-index:19264" from="93.199997pt,-20.325533pt" to="546.799997pt,-20.325533pt" stroked="true" strokeweight=".479981pt" strokecolor="#000000">
            <w10:wrap type="none"/>
          </v:line>
        </w:pict>
      </w:r>
      <w:r>
        <w:rPr>
          <w:sz w:val="24"/>
        </w:rPr>
        <w:t>Martínez, Luciano. (2012). </w:t>
      </w:r>
      <w:r>
        <w:rPr>
          <w:i/>
          <w:sz w:val="24"/>
        </w:rPr>
        <w:t>“Apuntes para pensar el territorio desde una </w:t>
      </w:r>
      <w:r>
        <w:rPr>
          <w:i/>
          <w:sz w:val="24"/>
        </w:rPr>
        <w:t>dimensión social”, </w:t>
      </w:r>
      <w:r>
        <w:rPr>
          <w:sz w:val="24"/>
        </w:rPr>
        <w:t>en Ciencias Socaiais Unisinos, vol. 48, núm. 1, pp. 12- 18.</w:t>
      </w:r>
    </w:p>
    <w:p>
      <w:pPr>
        <w:pStyle w:val="ListParagraph"/>
        <w:numPr>
          <w:ilvl w:val="2"/>
          <w:numId w:val="23"/>
        </w:numPr>
        <w:tabs>
          <w:tab w:pos="989" w:val="left" w:leader="none"/>
        </w:tabs>
        <w:spacing w:line="357" w:lineRule="auto" w:before="131" w:after="0"/>
        <w:ind w:left="988" w:right="233" w:hanging="360"/>
        <w:jc w:val="both"/>
        <w:rPr>
          <w:sz w:val="24"/>
        </w:rPr>
      </w:pPr>
      <w:r>
        <w:rPr>
          <w:sz w:val="24"/>
        </w:rPr>
        <w:t>Maya, E. y Cervantes, Jorge (coord.). (2005). </w:t>
      </w:r>
      <w:r>
        <w:rPr>
          <w:i/>
          <w:sz w:val="24"/>
        </w:rPr>
        <w:t>La producción de vivienda del </w:t>
      </w:r>
      <w:r>
        <w:rPr>
          <w:i/>
          <w:sz w:val="24"/>
        </w:rPr>
        <w:t>sector privado y su problemática en el municipio de Ixtapaluca, Estado de México. El caso de la Unidad Habitacional de San Buenaventura. </w:t>
      </w:r>
      <w:r>
        <w:rPr>
          <w:sz w:val="24"/>
        </w:rPr>
        <w:t>Plaza y Valdés y Facultad de Arquitectura. UNAM.</w:t>
      </w:r>
      <w:r>
        <w:rPr>
          <w:spacing w:val="-1"/>
          <w:sz w:val="24"/>
        </w:rPr>
        <w:t> </w:t>
      </w:r>
      <w:r>
        <w:rPr>
          <w:sz w:val="24"/>
        </w:rPr>
        <w:t>México.</w:t>
      </w:r>
    </w:p>
    <w:p>
      <w:pPr>
        <w:pStyle w:val="ListParagraph"/>
        <w:numPr>
          <w:ilvl w:val="2"/>
          <w:numId w:val="23"/>
        </w:numPr>
        <w:tabs>
          <w:tab w:pos="989" w:val="left" w:leader="none"/>
        </w:tabs>
        <w:spacing w:line="357" w:lineRule="auto" w:before="123" w:after="0"/>
        <w:ind w:left="988" w:right="231" w:hanging="360"/>
        <w:jc w:val="both"/>
        <w:rPr>
          <w:sz w:val="24"/>
        </w:rPr>
      </w:pPr>
      <w:r>
        <w:rPr>
          <w:sz w:val="24"/>
        </w:rPr>
        <w:t>Maya, Esther; Cervantes, J. y Rivas A. (2008). </w:t>
      </w:r>
      <w:r>
        <w:rPr>
          <w:i/>
          <w:sz w:val="24"/>
        </w:rPr>
        <w:t>Crítica a la promoción </w:t>
      </w:r>
      <w:r>
        <w:rPr>
          <w:i/>
          <w:sz w:val="24"/>
        </w:rPr>
        <w:t>privada de grandes conjuntos urbanos habitacionales. </w:t>
      </w:r>
      <w:r>
        <w:rPr>
          <w:sz w:val="24"/>
        </w:rPr>
        <w:t>En Diez años de cambios en el mundo, en la geografía y en las ciencias sociales, 1999- 2008. Actas del X Coloquio Internacional de Geocrítica, Universidad de Barcelona.</w:t>
      </w:r>
      <w:r>
        <w:rPr>
          <w:spacing w:val="-1"/>
          <w:sz w:val="24"/>
        </w:rPr>
        <w:t> </w:t>
      </w:r>
      <w:r>
        <w:rPr>
          <w:sz w:val="24"/>
        </w:rPr>
        <w:t>España.</w:t>
      </w:r>
    </w:p>
    <w:p>
      <w:pPr>
        <w:pStyle w:val="ListParagraph"/>
        <w:numPr>
          <w:ilvl w:val="2"/>
          <w:numId w:val="23"/>
        </w:numPr>
        <w:tabs>
          <w:tab w:pos="989" w:val="left" w:leader="none"/>
        </w:tabs>
        <w:spacing w:line="355" w:lineRule="auto" w:before="128" w:after="0"/>
        <w:ind w:left="988" w:right="231" w:hanging="360"/>
        <w:jc w:val="both"/>
        <w:rPr>
          <w:sz w:val="24"/>
        </w:rPr>
      </w:pPr>
      <w:r>
        <w:rPr>
          <w:sz w:val="24"/>
        </w:rPr>
        <w:t>Maycotte, Elvira. (2010). </w:t>
      </w:r>
      <w:r>
        <w:rPr>
          <w:i/>
          <w:sz w:val="24"/>
        </w:rPr>
        <w:t>Espacios abiertos y calidad de vida en conjuntos </w:t>
      </w:r>
      <w:r>
        <w:rPr>
          <w:i/>
          <w:sz w:val="24"/>
        </w:rPr>
        <w:t>urbanos habitacionales organizados en condominio. </w:t>
      </w:r>
      <w:r>
        <w:rPr>
          <w:sz w:val="24"/>
        </w:rPr>
        <w:t>Infonavit &amp; Redalyc, México.</w:t>
      </w:r>
    </w:p>
    <w:p>
      <w:pPr>
        <w:pStyle w:val="ListParagraph"/>
        <w:numPr>
          <w:ilvl w:val="2"/>
          <w:numId w:val="23"/>
        </w:numPr>
        <w:tabs>
          <w:tab w:pos="989" w:val="left" w:leader="none"/>
        </w:tabs>
        <w:spacing w:line="357" w:lineRule="auto" w:before="131" w:after="0"/>
        <w:ind w:left="988" w:right="231" w:hanging="360"/>
        <w:jc w:val="both"/>
        <w:rPr>
          <w:sz w:val="24"/>
        </w:rPr>
      </w:pPr>
      <w:r>
        <w:rPr>
          <w:sz w:val="24"/>
        </w:rPr>
        <w:t>Méndez, Jesús. (2012). </w:t>
      </w:r>
      <w:r>
        <w:rPr>
          <w:i/>
          <w:sz w:val="24"/>
        </w:rPr>
        <w:t>“Bases conceptuales para comprender la </w:t>
      </w:r>
      <w:r>
        <w:rPr>
          <w:i/>
          <w:sz w:val="24"/>
        </w:rPr>
        <w:t>importancia del territorio en la conformación de la identidad: el caso de San Rafael de Escazú”. </w:t>
      </w:r>
      <w:r>
        <w:rPr>
          <w:sz w:val="24"/>
        </w:rPr>
        <w:t>en Revista de Ciencias Sociales, vol. III, núm. 137, pp. 41-51.</w:t>
      </w:r>
    </w:p>
    <w:p>
      <w:pPr>
        <w:pStyle w:val="ListParagraph"/>
        <w:numPr>
          <w:ilvl w:val="2"/>
          <w:numId w:val="23"/>
        </w:numPr>
        <w:tabs>
          <w:tab w:pos="989" w:val="left" w:leader="none"/>
        </w:tabs>
        <w:spacing w:line="355" w:lineRule="auto" w:before="123" w:after="0"/>
        <w:ind w:left="988" w:right="232" w:hanging="360"/>
        <w:jc w:val="both"/>
        <w:rPr>
          <w:sz w:val="24"/>
        </w:rPr>
      </w:pPr>
      <w:r>
        <w:rPr>
          <w:sz w:val="24"/>
        </w:rPr>
        <w:t>Mishan, E. J., 1969. </w:t>
      </w:r>
      <w:r>
        <w:rPr>
          <w:i/>
          <w:sz w:val="24"/>
        </w:rPr>
        <w:t>Los costos del desarrollo económico. </w:t>
      </w:r>
      <w:r>
        <w:rPr>
          <w:sz w:val="24"/>
        </w:rPr>
        <w:t>Oikos-Tau, Barcelona.</w:t>
      </w:r>
    </w:p>
    <w:p>
      <w:pPr>
        <w:pStyle w:val="ListParagraph"/>
        <w:numPr>
          <w:ilvl w:val="2"/>
          <w:numId w:val="23"/>
        </w:numPr>
        <w:tabs>
          <w:tab w:pos="988" w:val="left" w:leader="none"/>
          <w:tab w:pos="989" w:val="left" w:leader="none"/>
        </w:tabs>
        <w:spacing w:line="240" w:lineRule="auto" w:before="126" w:after="0"/>
        <w:ind w:left="988" w:right="0" w:hanging="360"/>
        <w:jc w:val="left"/>
        <w:rPr>
          <w:i/>
          <w:sz w:val="24"/>
        </w:rPr>
      </w:pPr>
      <w:r>
        <w:rPr>
          <w:sz w:val="24"/>
        </w:rPr>
        <w:t>Montaner,  Josep  Maria,  Muxi,  Zaida.  (2011).  </w:t>
      </w:r>
      <w:r>
        <w:rPr>
          <w:i/>
          <w:sz w:val="24"/>
        </w:rPr>
        <w:t>Arquitectura  y      </w:t>
      </w:r>
      <w:r>
        <w:rPr>
          <w:i/>
          <w:spacing w:val="56"/>
          <w:sz w:val="24"/>
        </w:rPr>
        <w:t> </w:t>
      </w:r>
      <w:r>
        <w:rPr>
          <w:i/>
          <w:sz w:val="24"/>
        </w:rPr>
        <w:t>Política.</w:t>
      </w:r>
    </w:p>
    <w:p>
      <w:pPr>
        <w:pStyle w:val="BodyText"/>
        <w:spacing w:before="135"/>
        <w:ind w:left="988"/>
      </w:pPr>
      <w:r>
        <w:rPr/>
        <w:t>Gustavo Gili. Barcelona, España.</w:t>
      </w:r>
    </w:p>
    <w:p>
      <w:pPr>
        <w:pStyle w:val="BodyText"/>
        <w:spacing w:before="6"/>
        <w:rPr>
          <w:sz w:val="22"/>
        </w:rPr>
      </w:pPr>
    </w:p>
    <w:p>
      <w:pPr>
        <w:pStyle w:val="ListParagraph"/>
        <w:numPr>
          <w:ilvl w:val="2"/>
          <w:numId w:val="23"/>
        </w:numPr>
        <w:tabs>
          <w:tab w:pos="989" w:val="left" w:leader="none"/>
        </w:tabs>
        <w:spacing w:line="357" w:lineRule="auto" w:before="1" w:after="0"/>
        <w:ind w:left="988" w:right="232" w:hanging="360"/>
        <w:jc w:val="both"/>
        <w:rPr>
          <w:sz w:val="24"/>
        </w:rPr>
      </w:pPr>
      <w:r>
        <w:rPr>
          <w:sz w:val="24"/>
        </w:rPr>
        <w:t>Moreno, E. (2014). </w:t>
      </w:r>
      <w:r>
        <w:rPr>
          <w:i/>
          <w:sz w:val="24"/>
        </w:rPr>
        <w:t>“Indicadores para el estudio de la sustentabilidad urbana </w:t>
      </w:r>
      <w:r>
        <w:rPr>
          <w:i/>
          <w:sz w:val="24"/>
        </w:rPr>
        <w:t>en Chimalhuacán, Estado de México”, </w:t>
      </w:r>
      <w:r>
        <w:rPr>
          <w:sz w:val="24"/>
        </w:rPr>
        <w:t>en Estudios Sociales, vol. XXII, núm. 43, pp.</w:t>
      </w:r>
      <w:r>
        <w:rPr>
          <w:spacing w:val="-5"/>
          <w:sz w:val="24"/>
        </w:rPr>
        <w:t> </w:t>
      </w:r>
      <w:r>
        <w:rPr>
          <w:sz w:val="24"/>
        </w:rPr>
        <w:t>161-186.</w:t>
      </w:r>
    </w:p>
    <w:p>
      <w:pPr>
        <w:spacing w:after="0" w:line="357" w:lineRule="auto"/>
        <w:jc w:val="both"/>
        <w:rPr>
          <w:sz w:val="24"/>
        </w:rPr>
        <w:sectPr>
          <w:pgSz w:w="12240" w:h="15840"/>
          <w:pgMar w:header="730" w:footer="1066" w:top="1320" w:bottom="1260" w:left="1720" w:right="1180"/>
        </w:sectPr>
      </w:pPr>
    </w:p>
    <w:p>
      <w:pPr>
        <w:pStyle w:val="BodyText"/>
        <w:spacing w:before="4"/>
        <w:rPr>
          <w:sz w:val="19"/>
        </w:rPr>
      </w:pPr>
    </w:p>
    <w:p>
      <w:pPr>
        <w:pStyle w:val="ListParagraph"/>
        <w:numPr>
          <w:ilvl w:val="2"/>
          <w:numId w:val="23"/>
        </w:numPr>
        <w:tabs>
          <w:tab w:pos="989" w:val="left" w:leader="none"/>
        </w:tabs>
        <w:spacing w:line="355" w:lineRule="auto" w:before="53" w:after="0"/>
        <w:ind w:left="988" w:right="232" w:hanging="360"/>
        <w:jc w:val="both"/>
        <w:rPr>
          <w:sz w:val="24"/>
        </w:rPr>
      </w:pPr>
      <w:r>
        <w:rPr/>
        <w:pict>
          <v:line style="position:absolute;mso-position-horizontal-relative:page;mso-position-vertical-relative:paragraph;z-index:19288" from="93.199997pt,-20.325533pt" to="546.799997pt,-20.325533pt" stroked="true" strokeweight=".479981pt" strokecolor="#000000">
            <w10:wrap type="none"/>
          </v:line>
        </w:pict>
      </w:r>
      <w:r>
        <w:rPr>
          <w:sz w:val="24"/>
        </w:rPr>
        <w:t>Munda, G.; Martínez-Alier, J. &amp; O´Neill, J. (1998). </w:t>
      </w:r>
      <w:r>
        <w:rPr>
          <w:i/>
          <w:sz w:val="24"/>
        </w:rPr>
        <w:t>Weak comparability of </w:t>
      </w:r>
      <w:r>
        <w:rPr>
          <w:i/>
          <w:sz w:val="24"/>
        </w:rPr>
        <w:t>values as a foundatión for ecological economics. </w:t>
      </w:r>
      <w:r>
        <w:rPr>
          <w:sz w:val="24"/>
        </w:rPr>
        <w:t>Ecological Economics, 26, p.</w:t>
      </w:r>
      <w:r>
        <w:rPr>
          <w:spacing w:val="-2"/>
          <w:sz w:val="24"/>
        </w:rPr>
        <w:t> </w:t>
      </w:r>
      <w:r>
        <w:rPr>
          <w:sz w:val="24"/>
        </w:rPr>
        <w:t>277-286.</w:t>
      </w:r>
    </w:p>
    <w:p>
      <w:pPr>
        <w:pStyle w:val="ListParagraph"/>
        <w:numPr>
          <w:ilvl w:val="2"/>
          <w:numId w:val="23"/>
        </w:numPr>
        <w:tabs>
          <w:tab w:pos="983" w:val="left" w:leader="none"/>
        </w:tabs>
        <w:spacing w:line="357" w:lineRule="auto" w:before="131" w:after="0"/>
        <w:ind w:left="982" w:right="231" w:hanging="357"/>
        <w:jc w:val="both"/>
        <w:rPr>
          <w:sz w:val="24"/>
        </w:rPr>
      </w:pPr>
      <w:r>
        <w:rPr>
          <w:sz w:val="24"/>
        </w:rPr>
        <w:t>ONU-Habitat - UNAM. (2012). </w:t>
      </w:r>
      <w:r>
        <w:rPr>
          <w:i/>
          <w:sz w:val="24"/>
        </w:rPr>
        <w:t>Cordinación de Humanidades y Programa </w:t>
      </w:r>
      <w:r>
        <w:rPr>
          <w:i/>
          <w:sz w:val="24"/>
        </w:rPr>
        <w:t>Universitario de Estudios sobre la Ciudad, perfil del sector de la vivienda. </w:t>
      </w:r>
      <w:r>
        <w:rPr>
          <w:sz w:val="24"/>
        </w:rPr>
        <w:t>Digital. México.</w:t>
      </w:r>
    </w:p>
    <w:p>
      <w:pPr>
        <w:pStyle w:val="ListParagraph"/>
        <w:numPr>
          <w:ilvl w:val="2"/>
          <w:numId w:val="23"/>
        </w:numPr>
        <w:tabs>
          <w:tab w:pos="983" w:val="left" w:leader="none"/>
        </w:tabs>
        <w:spacing w:line="357" w:lineRule="auto" w:before="123" w:after="0"/>
        <w:ind w:left="982" w:right="231" w:hanging="357"/>
        <w:jc w:val="both"/>
        <w:rPr>
          <w:sz w:val="24"/>
        </w:rPr>
      </w:pPr>
      <w:r>
        <w:rPr>
          <w:sz w:val="24"/>
        </w:rPr>
        <w:t>Opschoor, H. y L. Reijnders (1991). </w:t>
      </w:r>
      <w:r>
        <w:rPr>
          <w:i/>
          <w:sz w:val="24"/>
        </w:rPr>
        <w:t>Towards sustainable development </w:t>
      </w:r>
      <w:r>
        <w:rPr>
          <w:i/>
          <w:sz w:val="24"/>
        </w:rPr>
        <w:t>indicators. En Kuik, O. y H. Verbruggen (eds.). </w:t>
      </w:r>
      <w:r>
        <w:rPr>
          <w:sz w:val="24"/>
        </w:rPr>
        <w:t>In search of Indicators of Sustainable Development. Kluwer Academic Publishers. Dordrecht, The Netherlands.</w:t>
      </w:r>
    </w:p>
    <w:p>
      <w:pPr>
        <w:pStyle w:val="ListParagraph"/>
        <w:numPr>
          <w:ilvl w:val="2"/>
          <w:numId w:val="23"/>
        </w:numPr>
        <w:tabs>
          <w:tab w:pos="989" w:val="left" w:leader="none"/>
        </w:tabs>
        <w:spacing w:line="355" w:lineRule="auto" w:before="123" w:after="0"/>
        <w:ind w:left="988" w:right="232" w:hanging="360"/>
        <w:jc w:val="both"/>
        <w:rPr>
          <w:sz w:val="24"/>
        </w:rPr>
      </w:pPr>
      <w:r>
        <w:rPr>
          <w:sz w:val="24"/>
        </w:rPr>
        <w:t>Pamplona, F. (2000). </w:t>
      </w:r>
      <w:r>
        <w:rPr>
          <w:i/>
          <w:sz w:val="24"/>
        </w:rPr>
        <w:t>“Sustentabilidad y políticas públicas”, </w:t>
      </w:r>
      <w:r>
        <w:rPr>
          <w:sz w:val="24"/>
        </w:rPr>
        <w:t>en Gaceta Ecológica., núm. 56, pp.</w:t>
      </w:r>
      <w:r>
        <w:rPr>
          <w:spacing w:val="-6"/>
          <w:sz w:val="24"/>
        </w:rPr>
        <w:t> </w:t>
      </w:r>
      <w:r>
        <w:rPr>
          <w:sz w:val="24"/>
        </w:rPr>
        <w:t>46-53.</w:t>
      </w:r>
    </w:p>
    <w:p>
      <w:pPr>
        <w:pStyle w:val="ListParagraph"/>
        <w:numPr>
          <w:ilvl w:val="2"/>
          <w:numId w:val="23"/>
        </w:numPr>
        <w:tabs>
          <w:tab w:pos="989" w:val="left" w:leader="none"/>
        </w:tabs>
        <w:spacing w:line="355" w:lineRule="auto" w:before="126" w:after="0"/>
        <w:ind w:left="988" w:right="232" w:hanging="360"/>
        <w:jc w:val="both"/>
        <w:rPr>
          <w:sz w:val="24"/>
        </w:rPr>
      </w:pPr>
      <w:r>
        <w:rPr>
          <w:sz w:val="24"/>
        </w:rPr>
        <w:t>Pecqueur, B. (2000). </w:t>
      </w:r>
      <w:r>
        <w:rPr>
          <w:i/>
          <w:sz w:val="24"/>
        </w:rPr>
        <w:t>Le développement local. </w:t>
      </w:r>
      <w:r>
        <w:rPr>
          <w:sz w:val="24"/>
        </w:rPr>
        <w:t>Paris, Editions La Découverte Et Syros, 132p.</w:t>
      </w:r>
    </w:p>
    <w:p>
      <w:pPr>
        <w:pStyle w:val="ListParagraph"/>
        <w:numPr>
          <w:ilvl w:val="2"/>
          <w:numId w:val="23"/>
        </w:numPr>
        <w:tabs>
          <w:tab w:pos="989" w:val="left" w:leader="none"/>
        </w:tabs>
        <w:spacing w:line="350" w:lineRule="auto" w:before="126" w:after="0"/>
        <w:ind w:left="988" w:right="231" w:hanging="360"/>
        <w:jc w:val="both"/>
        <w:rPr>
          <w:sz w:val="24"/>
        </w:rPr>
      </w:pPr>
      <w:r>
        <w:rPr>
          <w:sz w:val="24"/>
        </w:rPr>
        <w:t>Pecqueur, B. (2009). </w:t>
      </w:r>
      <w:r>
        <w:rPr>
          <w:i/>
          <w:sz w:val="24"/>
        </w:rPr>
        <w:t>De I´exténuation á la sublimation: la notion de territorie </w:t>
      </w:r>
      <w:r>
        <w:rPr>
          <w:i/>
          <w:sz w:val="24"/>
        </w:rPr>
        <w:t>est-elle encore utile? </w:t>
      </w:r>
      <w:r>
        <w:rPr>
          <w:sz w:val="24"/>
        </w:rPr>
        <w:t>Géographie Économie Sociéte,</w:t>
      </w:r>
      <w:r>
        <w:rPr>
          <w:spacing w:val="-2"/>
          <w:sz w:val="24"/>
        </w:rPr>
        <w:t> </w:t>
      </w:r>
      <w:r>
        <w:rPr>
          <w:sz w:val="24"/>
        </w:rPr>
        <w:t>11:55-62.</w:t>
      </w:r>
    </w:p>
    <w:p>
      <w:pPr>
        <w:pStyle w:val="ListParagraph"/>
        <w:numPr>
          <w:ilvl w:val="2"/>
          <w:numId w:val="23"/>
        </w:numPr>
        <w:tabs>
          <w:tab w:pos="989" w:val="left" w:leader="none"/>
        </w:tabs>
        <w:spacing w:line="357" w:lineRule="auto" w:before="136" w:after="0"/>
        <w:ind w:left="988" w:right="231" w:hanging="360"/>
        <w:jc w:val="both"/>
        <w:rPr>
          <w:sz w:val="24"/>
        </w:rPr>
      </w:pPr>
      <w:r>
        <w:rPr>
          <w:sz w:val="24"/>
        </w:rPr>
        <w:t>Pierri, Naína. Foladori, Guillermo. (2005). </w:t>
      </w:r>
      <w:r>
        <w:rPr>
          <w:i/>
          <w:sz w:val="24"/>
        </w:rPr>
        <w:t>¿Sustentabilidad?. Desacuerdos </w:t>
      </w:r>
      <w:r>
        <w:rPr>
          <w:i/>
          <w:sz w:val="24"/>
        </w:rPr>
        <w:t>sobre el desarrollo sustentable. Historia del concepto de desarrollo sustentable. </w:t>
      </w:r>
      <w:r>
        <w:rPr>
          <w:sz w:val="24"/>
        </w:rPr>
        <w:t>H. Cámara de Diputados. Univesidad Autónoma de Zacatecas y Miguel Ángel Porrúa. México.</w:t>
      </w:r>
    </w:p>
    <w:p>
      <w:pPr>
        <w:pStyle w:val="ListParagraph"/>
        <w:numPr>
          <w:ilvl w:val="2"/>
          <w:numId w:val="23"/>
        </w:numPr>
        <w:tabs>
          <w:tab w:pos="989" w:val="left" w:leader="none"/>
        </w:tabs>
        <w:spacing w:line="357" w:lineRule="auto" w:before="123" w:after="0"/>
        <w:ind w:left="988" w:right="231" w:hanging="360"/>
        <w:jc w:val="both"/>
        <w:rPr>
          <w:sz w:val="24"/>
        </w:rPr>
      </w:pPr>
      <w:r>
        <w:rPr>
          <w:sz w:val="24"/>
        </w:rPr>
        <w:t>Presidencia de la República. (2015). </w:t>
      </w:r>
      <w:r>
        <w:rPr>
          <w:i/>
          <w:sz w:val="24"/>
        </w:rPr>
        <w:t>“Politica Nacional de Vivienda”</w:t>
      </w:r>
      <w:r>
        <w:rPr>
          <w:sz w:val="24"/>
        </w:rPr>
        <w:t>. Secretaría de Desarrollo Agrario, Territorial y Urbano (SEDATU). Ciudad de México.</w:t>
      </w:r>
    </w:p>
    <w:p>
      <w:pPr>
        <w:pStyle w:val="ListParagraph"/>
        <w:numPr>
          <w:ilvl w:val="2"/>
          <w:numId w:val="23"/>
        </w:numPr>
        <w:tabs>
          <w:tab w:pos="989" w:val="left" w:leader="none"/>
        </w:tabs>
        <w:spacing w:line="357" w:lineRule="auto" w:before="123" w:after="0"/>
        <w:ind w:left="988" w:right="231" w:hanging="360"/>
        <w:jc w:val="both"/>
        <w:rPr>
          <w:sz w:val="24"/>
        </w:rPr>
      </w:pPr>
      <w:r>
        <w:rPr>
          <w:sz w:val="24"/>
        </w:rPr>
        <w:t>Puebla, Claudia. (2001). </w:t>
      </w:r>
      <w:r>
        <w:rPr>
          <w:i/>
          <w:sz w:val="24"/>
        </w:rPr>
        <w:t>Del intervencionismo estatal a las estrategias </w:t>
      </w:r>
      <w:r>
        <w:rPr>
          <w:i/>
          <w:sz w:val="24"/>
        </w:rPr>
        <w:t>facilitadoras. Cambios en la política de vivienda en México</w:t>
      </w:r>
      <w:r>
        <w:rPr>
          <w:sz w:val="24"/>
        </w:rPr>
        <w:t>. México: El Colegio de</w:t>
      </w:r>
      <w:r>
        <w:rPr>
          <w:spacing w:val="-8"/>
          <w:sz w:val="24"/>
        </w:rPr>
        <w:t> </w:t>
      </w:r>
      <w:r>
        <w:rPr>
          <w:sz w:val="24"/>
        </w:rPr>
        <w:t>México.</w:t>
      </w:r>
    </w:p>
    <w:p>
      <w:pPr>
        <w:spacing w:after="0" w:line="357" w:lineRule="auto"/>
        <w:jc w:val="both"/>
        <w:rPr>
          <w:sz w:val="24"/>
        </w:rPr>
        <w:sectPr>
          <w:pgSz w:w="12240" w:h="15840"/>
          <w:pgMar w:header="730" w:footer="1066" w:top="1320" w:bottom="1260" w:left="1720" w:right="1180"/>
        </w:sectPr>
      </w:pPr>
    </w:p>
    <w:p>
      <w:pPr>
        <w:pStyle w:val="BodyText"/>
        <w:spacing w:before="4"/>
        <w:rPr>
          <w:sz w:val="19"/>
        </w:rPr>
      </w:pPr>
    </w:p>
    <w:p>
      <w:pPr>
        <w:pStyle w:val="ListParagraph"/>
        <w:numPr>
          <w:ilvl w:val="2"/>
          <w:numId w:val="23"/>
        </w:numPr>
        <w:tabs>
          <w:tab w:pos="989" w:val="left" w:leader="none"/>
        </w:tabs>
        <w:spacing w:line="357" w:lineRule="auto" w:before="53" w:after="0"/>
        <w:ind w:left="988" w:right="231" w:hanging="360"/>
        <w:jc w:val="both"/>
        <w:rPr>
          <w:sz w:val="24"/>
        </w:rPr>
      </w:pPr>
      <w:r>
        <w:rPr/>
        <w:pict>
          <v:line style="position:absolute;mso-position-horizontal-relative:page;mso-position-vertical-relative:paragraph;z-index:19312" from="93.199997pt,-20.325533pt" to="546.799997pt,-20.325533pt" stroked="true" strokeweight=".479981pt" strokecolor="#000000">
            <w10:wrap type="none"/>
          </v:line>
        </w:pict>
      </w:r>
      <w:r>
        <w:rPr>
          <w:sz w:val="24"/>
        </w:rPr>
        <w:t>Puebla, Claudia. (2006). </w:t>
      </w:r>
      <w:r>
        <w:rPr>
          <w:i/>
          <w:sz w:val="24"/>
        </w:rPr>
        <w:t>El Instituto del Fondo Nacional de la Vivienda para </w:t>
      </w:r>
      <w:r>
        <w:rPr>
          <w:i/>
          <w:sz w:val="24"/>
        </w:rPr>
        <w:t>los Trabajadores (Infonavit). </w:t>
      </w:r>
      <w:r>
        <w:rPr>
          <w:sz w:val="24"/>
        </w:rPr>
        <w:t>En En Coulomb, R. y Schteingart, M. Entre el Estado y el Mercado. La vivienda en el México de hoy. H. Cámara de Diputados, LIX Legislatura, Universidad Autónoma Metropolitana Unidad Azcapotzalco y Miguel Ángel Porrúa.</w:t>
      </w:r>
      <w:r>
        <w:rPr>
          <w:spacing w:val="-1"/>
          <w:sz w:val="24"/>
        </w:rPr>
        <w:t> </w:t>
      </w:r>
      <w:r>
        <w:rPr>
          <w:sz w:val="24"/>
        </w:rPr>
        <w:t>México.</w:t>
      </w:r>
    </w:p>
    <w:p>
      <w:pPr>
        <w:pStyle w:val="ListParagraph"/>
        <w:numPr>
          <w:ilvl w:val="2"/>
          <w:numId w:val="23"/>
        </w:numPr>
        <w:tabs>
          <w:tab w:pos="989" w:val="left" w:leader="none"/>
        </w:tabs>
        <w:spacing w:line="355" w:lineRule="auto" w:before="123" w:after="0"/>
        <w:ind w:left="988" w:right="232" w:hanging="360"/>
        <w:jc w:val="both"/>
        <w:rPr>
          <w:sz w:val="24"/>
        </w:rPr>
      </w:pPr>
      <w:r>
        <w:rPr>
          <w:sz w:val="24"/>
        </w:rPr>
        <w:t>Ridker. (1967). </w:t>
      </w:r>
      <w:r>
        <w:rPr>
          <w:i/>
          <w:sz w:val="24"/>
        </w:rPr>
        <w:t>Economic Costs of Air Pollution. </w:t>
      </w:r>
      <w:r>
        <w:rPr>
          <w:sz w:val="24"/>
        </w:rPr>
        <w:t>Studies in Measurement. Praeger, New York.</w:t>
      </w:r>
    </w:p>
    <w:p>
      <w:pPr>
        <w:pStyle w:val="ListParagraph"/>
        <w:numPr>
          <w:ilvl w:val="2"/>
          <w:numId w:val="23"/>
        </w:numPr>
        <w:tabs>
          <w:tab w:pos="983" w:val="left" w:leader="none"/>
        </w:tabs>
        <w:spacing w:line="355" w:lineRule="auto" w:before="126" w:after="0"/>
        <w:ind w:left="982" w:right="232" w:hanging="357"/>
        <w:jc w:val="both"/>
        <w:rPr>
          <w:sz w:val="24"/>
        </w:rPr>
      </w:pPr>
      <w:r>
        <w:rPr>
          <w:sz w:val="24"/>
        </w:rPr>
        <w:t>Rodríguez, H. (2007). </w:t>
      </w:r>
      <w:r>
        <w:rPr>
          <w:i/>
          <w:sz w:val="24"/>
        </w:rPr>
        <w:t>"Una perspectiva ambiental sobre las ciudades </w:t>
      </w:r>
      <w:r>
        <w:rPr>
          <w:i/>
          <w:sz w:val="24"/>
        </w:rPr>
        <w:t>mexicanas", </w:t>
      </w:r>
      <w:r>
        <w:rPr>
          <w:sz w:val="24"/>
        </w:rPr>
        <w:t>(Comp.), Desarrollo urbano y medio ambiente,   </w:t>
      </w:r>
      <w:r>
        <w:rPr>
          <w:spacing w:val="14"/>
          <w:sz w:val="24"/>
        </w:rPr>
        <w:t> </w:t>
      </w:r>
      <w:r>
        <w:rPr>
          <w:sz w:val="24"/>
        </w:rPr>
        <w:t>CIESAS-Golfo</w:t>
      </w:r>
    </w:p>
    <w:p>
      <w:pPr>
        <w:pStyle w:val="BodyText"/>
        <w:spacing w:before="8"/>
        <w:ind w:left="982"/>
      </w:pPr>
      <w:r>
        <w:rPr/>
        <w:t>/Fundación F. Ebert. México, s.f</w:t>
      </w:r>
    </w:p>
    <w:p>
      <w:pPr>
        <w:pStyle w:val="BodyText"/>
        <w:spacing w:before="2"/>
        <w:rPr>
          <w:sz w:val="22"/>
        </w:rPr>
      </w:pPr>
    </w:p>
    <w:p>
      <w:pPr>
        <w:pStyle w:val="ListParagraph"/>
        <w:numPr>
          <w:ilvl w:val="2"/>
          <w:numId w:val="23"/>
        </w:numPr>
        <w:tabs>
          <w:tab w:pos="989" w:val="left" w:leader="none"/>
        </w:tabs>
        <w:spacing w:line="355" w:lineRule="auto" w:before="0" w:after="0"/>
        <w:ind w:left="988" w:right="233" w:hanging="360"/>
        <w:jc w:val="both"/>
        <w:rPr>
          <w:sz w:val="24"/>
        </w:rPr>
      </w:pPr>
      <w:r>
        <w:rPr>
          <w:sz w:val="24"/>
        </w:rPr>
        <w:t>Rodríguez, J. (2008). </w:t>
      </w:r>
      <w:r>
        <w:rPr>
          <w:i/>
          <w:sz w:val="24"/>
        </w:rPr>
        <w:t>“Descentralización, territorio y sustentabilidad </w:t>
      </w:r>
      <w:r>
        <w:rPr>
          <w:i/>
          <w:sz w:val="24"/>
        </w:rPr>
        <w:t>regional”, </w:t>
      </w:r>
      <w:r>
        <w:rPr>
          <w:sz w:val="24"/>
        </w:rPr>
        <w:t>en Urbano., núm. 17, pp.</w:t>
      </w:r>
      <w:r>
        <w:rPr>
          <w:spacing w:val="-3"/>
          <w:sz w:val="24"/>
        </w:rPr>
        <w:t> </w:t>
      </w:r>
      <w:r>
        <w:rPr>
          <w:sz w:val="24"/>
        </w:rPr>
        <w:t>36-40.</w:t>
      </w:r>
    </w:p>
    <w:p>
      <w:pPr>
        <w:pStyle w:val="ListParagraph"/>
        <w:numPr>
          <w:ilvl w:val="2"/>
          <w:numId w:val="23"/>
        </w:numPr>
        <w:tabs>
          <w:tab w:pos="989" w:val="left" w:leader="none"/>
        </w:tabs>
        <w:spacing w:line="357" w:lineRule="auto" w:before="126" w:after="0"/>
        <w:ind w:left="988" w:right="232" w:hanging="360"/>
        <w:jc w:val="both"/>
        <w:rPr>
          <w:sz w:val="24"/>
        </w:rPr>
      </w:pPr>
      <w:r>
        <w:rPr>
          <w:sz w:val="24"/>
        </w:rPr>
        <w:t>Rojas, Miguel; Bran, R; Nelson, Y; Rincón C. (2013) </w:t>
      </w:r>
      <w:r>
        <w:rPr>
          <w:i/>
          <w:sz w:val="24"/>
        </w:rPr>
        <w:t>Modelos de  </w:t>
      </w:r>
      <w:r>
        <w:rPr>
          <w:i/>
          <w:sz w:val="24"/>
        </w:rPr>
        <w:t>financiación de vivienda: Casos: México, Chile y Colombia. </w:t>
      </w:r>
      <w:r>
        <w:rPr>
          <w:sz w:val="24"/>
        </w:rPr>
        <w:t>En Revista Ingenierías, vol 12, núm. 22, enero-junio, 2013, pp. 97-108. Universidad de Medellín.</w:t>
      </w:r>
      <w:r>
        <w:rPr>
          <w:spacing w:val="-3"/>
          <w:sz w:val="24"/>
        </w:rPr>
        <w:t> </w:t>
      </w:r>
      <w:r>
        <w:rPr>
          <w:sz w:val="24"/>
        </w:rPr>
        <w:t>Colombia.</w:t>
      </w:r>
    </w:p>
    <w:p>
      <w:pPr>
        <w:pStyle w:val="ListParagraph"/>
        <w:numPr>
          <w:ilvl w:val="2"/>
          <w:numId w:val="23"/>
        </w:numPr>
        <w:tabs>
          <w:tab w:pos="983" w:val="left" w:leader="none"/>
        </w:tabs>
        <w:spacing w:line="357" w:lineRule="auto" w:before="123" w:after="0"/>
        <w:ind w:left="982" w:right="231" w:hanging="357"/>
        <w:jc w:val="both"/>
        <w:rPr>
          <w:sz w:val="24"/>
        </w:rPr>
      </w:pPr>
      <w:r>
        <w:rPr>
          <w:sz w:val="24"/>
        </w:rPr>
        <w:t>Rueda, Salvador. (1999). </w:t>
      </w:r>
      <w:r>
        <w:rPr>
          <w:i/>
          <w:sz w:val="24"/>
        </w:rPr>
        <w:t>Modelos e indicadores para ciudades más </w:t>
      </w:r>
      <w:r>
        <w:rPr>
          <w:i/>
          <w:sz w:val="24"/>
        </w:rPr>
        <w:t>sostenibles: Taller sobre indicadores de Huella y calidad ambiental urbana. </w:t>
      </w:r>
      <w:r>
        <w:rPr>
          <w:sz w:val="24"/>
        </w:rPr>
        <w:t>Agencia Europea del Medio Ambiente. Fundación Fórum Ambiental. España.</w:t>
      </w:r>
    </w:p>
    <w:p>
      <w:pPr>
        <w:pStyle w:val="ListParagraph"/>
        <w:numPr>
          <w:ilvl w:val="2"/>
          <w:numId w:val="23"/>
        </w:numPr>
        <w:tabs>
          <w:tab w:pos="983" w:val="left" w:leader="none"/>
        </w:tabs>
        <w:spacing w:line="357" w:lineRule="auto" w:before="128" w:after="0"/>
        <w:ind w:left="982" w:right="233" w:hanging="357"/>
        <w:jc w:val="both"/>
        <w:rPr>
          <w:sz w:val="24"/>
        </w:rPr>
      </w:pPr>
      <w:r>
        <w:rPr>
          <w:sz w:val="24"/>
        </w:rPr>
        <w:t>Rutherford, I. (1997). </w:t>
      </w:r>
      <w:r>
        <w:rPr>
          <w:i/>
          <w:sz w:val="24"/>
        </w:rPr>
        <w:t>Use of models to link indicators of sustainable </w:t>
      </w:r>
      <w:r>
        <w:rPr>
          <w:i/>
          <w:sz w:val="24"/>
        </w:rPr>
        <w:t>development. </w:t>
      </w:r>
      <w:r>
        <w:rPr>
          <w:sz w:val="24"/>
        </w:rPr>
        <w:t>En Moldan, B. y Billhartz (Eds.). Sustainable indicators:  Report of the project on indicators of sustainable development. UK. Pp. 54- 58</w:t>
      </w:r>
    </w:p>
    <w:p>
      <w:pPr>
        <w:pStyle w:val="ListParagraph"/>
        <w:numPr>
          <w:ilvl w:val="2"/>
          <w:numId w:val="23"/>
        </w:numPr>
        <w:tabs>
          <w:tab w:pos="989" w:val="left" w:leader="none"/>
        </w:tabs>
        <w:spacing w:line="355" w:lineRule="auto" w:before="123" w:after="0"/>
        <w:ind w:left="988" w:right="232" w:hanging="360"/>
        <w:jc w:val="both"/>
        <w:rPr>
          <w:sz w:val="24"/>
        </w:rPr>
      </w:pPr>
      <w:r>
        <w:rPr>
          <w:sz w:val="24"/>
        </w:rPr>
        <w:t>Sánchez de Madariaga, Inés. (2008). </w:t>
      </w:r>
      <w:r>
        <w:rPr>
          <w:i/>
          <w:sz w:val="24"/>
        </w:rPr>
        <w:t>Esquinas Inteligentes, La ciudad y el </w:t>
      </w:r>
      <w:r>
        <w:rPr>
          <w:i/>
          <w:sz w:val="24"/>
        </w:rPr>
        <w:t>urbanismo moderno. </w:t>
      </w:r>
      <w:r>
        <w:rPr>
          <w:sz w:val="24"/>
        </w:rPr>
        <w:t>Alianza Forma. Madrid,</w:t>
      </w:r>
      <w:r>
        <w:rPr>
          <w:spacing w:val="-2"/>
          <w:sz w:val="24"/>
        </w:rPr>
        <w:t> </w:t>
      </w:r>
      <w:r>
        <w:rPr>
          <w:sz w:val="24"/>
        </w:rPr>
        <w:t>España.</w:t>
      </w:r>
    </w:p>
    <w:p>
      <w:pPr>
        <w:pStyle w:val="ListParagraph"/>
        <w:numPr>
          <w:ilvl w:val="2"/>
          <w:numId w:val="23"/>
        </w:numPr>
        <w:tabs>
          <w:tab w:pos="989" w:val="left" w:leader="none"/>
        </w:tabs>
        <w:spacing w:line="350" w:lineRule="auto" w:before="126" w:after="0"/>
        <w:ind w:left="988" w:right="232" w:hanging="360"/>
        <w:jc w:val="both"/>
        <w:rPr>
          <w:sz w:val="24"/>
        </w:rPr>
      </w:pPr>
      <w:r>
        <w:rPr>
          <w:sz w:val="24"/>
        </w:rPr>
        <w:t>Sánchez Ruiz, Gerardo G. (2008). </w:t>
      </w:r>
      <w:r>
        <w:rPr>
          <w:i/>
          <w:sz w:val="24"/>
        </w:rPr>
        <w:t>Planeación moderna de ciudades. </w:t>
      </w:r>
      <w:r>
        <w:rPr>
          <w:sz w:val="24"/>
        </w:rPr>
        <w:t>Trillas. México.</w:t>
      </w:r>
    </w:p>
    <w:p>
      <w:pPr>
        <w:spacing w:after="0" w:line="350" w:lineRule="auto"/>
        <w:jc w:val="both"/>
        <w:rPr>
          <w:sz w:val="24"/>
        </w:rPr>
        <w:sectPr>
          <w:pgSz w:w="12240" w:h="15840"/>
          <w:pgMar w:header="730" w:footer="1066" w:top="1320" w:bottom="1260" w:left="1720" w:right="1180"/>
        </w:sectPr>
      </w:pPr>
    </w:p>
    <w:p>
      <w:pPr>
        <w:pStyle w:val="BodyText"/>
        <w:spacing w:before="4"/>
        <w:rPr>
          <w:sz w:val="19"/>
        </w:rPr>
      </w:pPr>
    </w:p>
    <w:p>
      <w:pPr>
        <w:pStyle w:val="ListParagraph"/>
        <w:numPr>
          <w:ilvl w:val="2"/>
          <w:numId w:val="23"/>
        </w:numPr>
        <w:tabs>
          <w:tab w:pos="989" w:val="left" w:leader="none"/>
        </w:tabs>
        <w:spacing w:line="350" w:lineRule="auto" w:before="53" w:after="0"/>
        <w:ind w:left="988" w:right="232" w:hanging="360"/>
        <w:jc w:val="both"/>
        <w:rPr>
          <w:sz w:val="24"/>
        </w:rPr>
      </w:pPr>
      <w:r>
        <w:rPr/>
        <w:pict>
          <v:line style="position:absolute;mso-position-horizontal-relative:page;mso-position-vertical-relative:paragraph;z-index:19336" from="93.199997pt,-20.325533pt" to="546.799997pt,-20.325533pt" stroked="true" strokeweight=".479981pt" strokecolor="#000000">
            <w10:wrap type="none"/>
          </v:line>
        </w:pict>
      </w:r>
      <w:r>
        <w:rPr>
          <w:sz w:val="24"/>
        </w:rPr>
        <w:t>Schteingart, Martha y Garza, Gustavo. (1978). </w:t>
      </w:r>
      <w:r>
        <w:rPr>
          <w:i/>
          <w:sz w:val="24"/>
        </w:rPr>
        <w:t>La acción habitacional del </w:t>
      </w:r>
      <w:r>
        <w:rPr>
          <w:i/>
          <w:sz w:val="24"/>
        </w:rPr>
        <w:t>Gobierno en México. </w:t>
      </w:r>
      <w:r>
        <w:rPr>
          <w:sz w:val="24"/>
        </w:rPr>
        <w:t>México, D.F.: El Colegio de México.</w:t>
      </w:r>
    </w:p>
    <w:p>
      <w:pPr>
        <w:pStyle w:val="ListParagraph"/>
        <w:numPr>
          <w:ilvl w:val="2"/>
          <w:numId w:val="23"/>
        </w:numPr>
        <w:tabs>
          <w:tab w:pos="989" w:val="left" w:leader="none"/>
        </w:tabs>
        <w:spacing w:line="355" w:lineRule="auto" w:before="131" w:after="0"/>
        <w:ind w:left="988" w:right="231" w:hanging="360"/>
        <w:jc w:val="both"/>
        <w:rPr>
          <w:sz w:val="24"/>
        </w:rPr>
      </w:pPr>
      <w:r>
        <w:rPr>
          <w:sz w:val="24"/>
        </w:rPr>
        <w:t>Schteingart, Martha. (2001). </w:t>
      </w:r>
      <w:r>
        <w:rPr>
          <w:i/>
          <w:sz w:val="24"/>
        </w:rPr>
        <w:t>Los productores del espacio habitable. Estado, </w:t>
      </w:r>
      <w:r>
        <w:rPr>
          <w:i/>
          <w:sz w:val="24"/>
        </w:rPr>
        <w:t>empresa y sociedad en la Ciudad de México. </w:t>
      </w:r>
      <w:r>
        <w:rPr>
          <w:sz w:val="24"/>
        </w:rPr>
        <w:t>El Colegio de México. México.</w:t>
      </w:r>
    </w:p>
    <w:p>
      <w:pPr>
        <w:pStyle w:val="ListParagraph"/>
        <w:numPr>
          <w:ilvl w:val="2"/>
          <w:numId w:val="23"/>
        </w:numPr>
        <w:tabs>
          <w:tab w:pos="989" w:val="left" w:leader="none"/>
        </w:tabs>
        <w:spacing w:line="357" w:lineRule="auto" w:before="126" w:after="0"/>
        <w:ind w:left="988" w:right="231" w:hanging="360"/>
        <w:jc w:val="both"/>
        <w:rPr>
          <w:sz w:val="24"/>
        </w:rPr>
      </w:pPr>
      <w:r>
        <w:rPr>
          <w:sz w:val="24"/>
        </w:rPr>
        <w:t>Schteingart, Martha y Patiño, L. (2006). </w:t>
      </w:r>
      <w:r>
        <w:rPr>
          <w:i/>
          <w:sz w:val="24"/>
        </w:rPr>
        <w:t>El marco legislativo, programático e </w:t>
      </w:r>
      <w:r>
        <w:rPr>
          <w:i/>
          <w:sz w:val="24"/>
        </w:rPr>
        <w:t>institucional de los programas habitacionales. </w:t>
      </w:r>
      <w:r>
        <w:rPr>
          <w:sz w:val="24"/>
        </w:rPr>
        <w:t>En Coulomb, R. y Schteingart, M. Entre el Estado y el Mercado. La vivienda en el México de hoy. H. Cámara de Diputados, LIX Legislatura, Universidad Autónoma Metropolitana Unidad Azcapotzalco y Miguel Ángel Porrúa. México.</w:t>
      </w:r>
    </w:p>
    <w:p>
      <w:pPr>
        <w:pStyle w:val="ListParagraph"/>
        <w:numPr>
          <w:ilvl w:val="2"/>
          <w:numId w:val="23"/>
        </w:numPr>
        <w:tabs>
          <w:tab w:pos="989" w:val="left" w:leader="none"/>
        </w:tabs>
        <w:spacing w:line="350" w:lineRule="auto" w:before="123" w:after="0"/>
        <w:ind w:left="988" w:right="232" w:hanging="360"/>
        <w:jc w:val="both"/>
        <w:rPr>
          <w:sz w:val="24"/>
        </w:rPr>
      </w:pPr>
      <w:r>
        <w:rPr>
          <w:sz w:val="24"/>
        </w:rPr>
        <w:t>Secretaría de Desarrollo Agrario, Territorial y Urbano. (2013). </w:t>
      </w:r>
      <w:r>
        <w:rPr>
          <w:i/>
          <w:sz w:val="24"/>
        </w:rPr>
        <w:t>Política </w:t>
      </w:r>
      <w:r>
        <w:rPr>
          <w:i/>
          <w:sz w:val="24"/>
        </w:rPr>
        <w:t>Nacional Urbana y de Vivienda.</w:t>
      </w:r>
      <w:r>
        <w:rPr>
          <w:i/>
          <w:spacing w:val="-1"/>
          <w:sz w:val="24"/>
        </w:rPr>
        <w:t> </w:t>
      </w:r>
      <w:r>
        <w:rPr>
          <w:sz w:val="24"/>
        </w:rPr>
        <w:t>México.</w:t>
      </w:r>
    </w:p>
    <w:p>
      <w:pPr>
        <w:pStyle w:val="ListParagraph"/>
        <w:numPr>
          <w:ilvl w:val="2"/>
          <w:numId w:val="23"/>
        </w:numPr>
        <w:tabs>
          <w:tab w:pos="988" w:val="left" w:leader="none"/>
          <w:tab w:pos="989" w:val="left" w:leader="none"/>
        </w:tabs>
        <w:spacing w:line="240" w:lineRule="auto" w:before="136" w:after="0"/>
        <w:ind w:left="988" w:right="0" w:hanging="360"/>
        <w:jc w:val="left"/>
        <w:rPr>
          <w:i/>
          <w:sz w:val="24"/>
        </w:rPr>
      </w:pPr>
      <w:r>
        <w:rPr>
          <w:sz w:val="24"/>
        </w:rPr>
        <w:t>Sheinbaum, C. (2009). </w:t>
      </w:r>
      <w:r>
        <w:rPr>
          <w:i/>
          <w:sz w:val="24"/>
        </w:rPr>
        <w:t>“Política mexicana e indicadores de</w:t>
      </w:r>
      <w:r>
        <w:rPr>
          <w:i/>
          <w:spacing w:val="29"/>
          <w:sz w:val="24"/>
        </w:rPr>
        <w:t> </w:t>
      </w:r>
      <w:r>
        <w:rPr>
          <w:i/>
          <w:sz w:val="24"/>
        </w:rPr>
        <w:t>sustentabilidad”,</w:t>
      </w:r>
    </w:p>
    <w:p>
      <w:pPr>
        <w:pStyle w:val="BodyText"/>
        <w:spacing w:before="135"/>
        <w:ind w:left="988"/>
        <w:rPr>
          <w:rFonts w:ascii="Times New Roman" w:hAnsi="Times New Roman"/>
        </w:rPr>
      </w:pPr>
      <w:r>
        <w:rPr/>
        <w:t>en Problemas del Desarrollo, vol. 40, núm. 158, pp. 113-135</w:t>
      </w:r>
      <w:r>
        <w:rPr>
          <w:rFonts w:ascii="Times New Roman" w:hAnsi="Times New Roman"/>
        </w:rPr>
        <w:t>.</w:t>
      </w:r>
    </w:p>
    <w:p>
      <w:pPr>
        <w:pStyle w:val="BodyText"/>
        <w:spacing w:before="5"/>
        <w:rPr>
          <w:rFonts w:ascii="Times New Roman"/>
          <w:sz w:val="22"/>
        </w:rPr>
      </w:pPr>
    </w:p>
    <w:p>
      <w:pPr>
        <w:pStyle w:val="ListParagraph"/>
        <w:numPr>
          <w:ilvl w:val="2"/>
          <w:numId w:val="23"/>
        </w:numPr>
        <w:tabs>
          <w:tab w:pos="989" w:val="left" w:leader="none"/>
        </w:tabs>
        <w:spacing w:line="357" w:lineRule="auto" w:before="1" w:after="0"/>
        <w:ind w:left="988" w:right="232" w:hanging="360"/>
        <w:jc w:val="both"/>
        <w:rPr>
          <w:sz w:val="24"/>
        </w:rPr>
      </w:pPr>
      <w:r>
        <w:rPr>
          <w:sz w:val="24"/>
        </w:rPr>
        <w:t>Sotelo, José; Tolon, A. y Lastra, X. (2011). </w:t>
      </w:r>
      <w:r>
        <w:rPr>
          <w:i/>
          <w:sz w:val="24"/>
        </w:rPr>
        <w:t>Indicadores por y para el </w:t>
      </w:r>
      <w:r>
        <w:rPr>
          <w:i/>
          <w:sz w:val="24"/>
        </w:rPr>
        <w:t>desarrollo sostenible, un estudio de caso. </w:t>
      </w:r>
      <w:r>
        <w:rPr>
          <w:sz w:val="24"/>
        </w:rPr>
        <w:t>En Estudios Geográficos, Vol. LXXII, 271, pp. 611-654, julio-diciembre 2011. Madrid,</w:t>
      </w:r>
      <w:r>
        <w:rPr>
          <w:spacing w:val="-16"/>
          <w:sz w:val="24"/>
        </w:rPr>
        <w:t> </w:t>
      </w:r>
      <w:r>
        <w:rPr>
          <w:sz w:val="24"/>
        </w:rPr>
        <w:t>España.</w:t>
      </w:r>
    </w:p>
    <w:p>
      <w:pPr>
        <w:pStyle w:val="ListParagraph"/>
        <w:numPr>
          <w:ilvl w:val="2"/>
          <w:numId w:val="23"/>
        </w:numPr>
        <w:tabs>
          <w:tab w:pos="989" w:val="left" w:leader="none"/>
        </w:tabs>
        <w:spacing w:line="357" w:lineRule="auto" w:before="123" w:after="0"/>
        <w:ind w:left="988" w:right="232" w:hanging="360"/>
        <w:jc w:val="both"/>
        <w:rPr>
          <w:sz w:val="24"/>
        </w:rPr>
      </w:pPr>
      <w:r>
        <w:rPr>
          <w:sz w:val="24"/>
        </w:rPr>
        <w:t>Soto, Ernesto; Aboites, Jaime; Ortiz, Etelberto. (coords.). (2003). </w:t>
      </w:r>
      <w:r>
        <w:rPr>
          <w:i/>
          <w:sz w:val="24"/>
        </w:rPr>
        <w:t>Estado </w:t>
      </w:r>
      <w:r>
        <w:rPr>
          <w:i/>
          <w:sz w:val="24"/>
        </w:rPr>
        <w:t>versus Mercado ¿Ruptura o nueva forma de regulación? </w:t>
      </w:r>
      <w:r>
        <w:rPr>
          <w:sz w:val="24"/>
        </w:rPr>
        <w:t>Universidad Autónoma Metropolitana.</w:t>
      </w:r>
      <w:r>
        <w:rPr>
          <w:spacing w:val="-1"/>
          <w:sz w:val="24"/>
        </w:rPr>
        <w:t> </w:t>
      </w:r>
      <w:r>
        <w:rPr>
          <w:sz w:val="24"/>
        </w:rPr>
        <w:t>México.</w:t>
      </w:r>
    </w:p>
    <w:p>
      <w:pPr>
        <w:pStyle w:val="ListParagraph"/>
        <w:numPr>
          <w:ilvl w:val="2"/>
          <w:numId w:val="23"/>
        </w:numPr>
        <w:tabs>
          <w:tab w:pos="989" w:val="left" w:leader="none"/>
        </w:tabs>
        <w:spacing w:line="355" w:lineRule="auto" w:before="123" w:after="0"/>
        <w:ind w:left="988" w:right="232" w:hanging="360"/>
        <w:jc w:val="both"/>
        <w:rPr>
          <w:sz w:val="24"/>
        </w:rPr>
      </w:pPr>
      <w:r>
        <w:rPr>
          <w:sz w:val="24"/>
        </w:rPr>
        <w:t>Tamayo, Mario. (2002). </w:t>
      </w:r>
      <w:r>
        <w:rPr>
          <w:i/>
          <w:sz w:val="24"/>
        </w:rPr>
        <w:t>El proceso de la investigación científica. </w:t>
      </w:r>
      <w:r>
        <w:rPr>
          <w:sz w:val="24"/>
        </w:rPr>
        <w:t>4ª. Edición. Limusa. Noreiga Editores, México.</w:t>
      </w:r>
    </w:p>
    <w:p>
      <w:pPr>
        <w:pStyle w:val="ListParagraph"/>
        <w:numPr>
          <w:ilvl w:val="2"/>
          <w:numId w:val="23"/>
        </w:numPr>
        <w:tabs>
          <w:tab w:pos="989" w:val="left" w:leader="none"/>
        </w:tabs>
        <w:spacing w:line="357" w:lineRule="auto" w:before="126" w:after="0"/>
        <w:ind w:left="988" w:right="233" w:hanging="360"/>
        <w:jc w:val="both"/>
        <w:rPr>
          <w:sz w:val="24"/>
        </w:rPr>
      </w:pPr>
      <w:r>
        <w:rPr>
          <w:sz w:val="24"/>
        </w:rPr>
        <w:t>Tommasino, H., Foladori, G. y Taks, Javier. (2005). </w:t>
      </w:r>
      <w:r>
        <w:rPr>
          <w:i/>
          <w:sz w:val="24"/>
        </w:rPr>
        <w:t>La crisis ambiental </w:t>
      </w:r>
      <w:r>
        <w:rPr>
          <w:i/>
          <w:sz w:val="24"/>
        </w:rPr>
        <w:t>contemporánea. </w:t>
      </w:r>
      <w:r>
        <w:rPr>
          <w:sz w:val="24"/>
        </w:rPr>
        <w:t>En Honorable Cámara de Diputados, LIX Legislatura, Universidad Autónoma de Zacatecas y M. A. Porrúa, Librero-Editor.  </w:t>
      </w:r>
      <w:r>
        <w:rPr>
          <w:spacing w:val="18"/>
          <w:sz w:val="24"/>
        </w:rPr>
        <w:t> </w:t>
      </w:r>
      <w:r>
        <w:rPr>
          <w:sz w:val="24"/>
        </w:rPr>
        <w:t>(Eds.),</w:t>
      </w:r>
    </w:p>
    <w:p>
      <w:pPr>
        <w:pStyle w:val="BodyText"/>
        <w:spacing w:line="360" w:lineRule="auto" w:before="5"/>
        <w:ind w:left="988"/>
      </w:pPr>
      <w:r>
        <w:rPr/>
        <w:t>¿Sustentabilidad? Desacuerdos sobre el desarrollo sustentable. (pp.9-26). México. Foladori/Pierri.</w:t>
      </w:r>
    </w:p>
    <w:p>
      <w:pPr>
        <w:pStyle w:val="ListParagraph"/>
        <w:numPr>
          <w:ilvl w:val="2"/>
          <w:numId w:val="23"/>
        </w:numPr>
        <w:tabs>
          <w:tab w:pos="989" w:val="left" w:leader="none"/>
        </w:tabs>
        <w:spacing w:line="355" w:lineRule="auto" w:before="121" w:after="0"/>
        <w:ind w:left="988" w:right="232" w:hanging="360"/>
        <w:jc w:val="both"/>
        <w:rPr>
          <w:sz w:val="24"/>
        </w:rPr>
      </w:pPr>
      <w:r>
        <w:rPr>
          <w:sz w:val="24"/>
        </w:rPr>
        <w:t>Valenzuela, Alfonso. (2010). </w:t>
      </w:r>
      <w:r>
        <w:rPr>
          <w:i/>
          <w:sz w:val="24"/>
        </w:rPr>
        <w:t>“Desarrollo sustentable del territorio en las </w:t>
      </w:r>
      <w:r>
        <w:rPr>
          <w:i/>
          <w:sz w:val="24"/>
        </w:rPr>
        <w:t>megaciudades”, </w:t>
      </w:r>
      <w:r>
        <w:rPr>
          <w:sz w:val="24"/>
        </w:rPr>
        <w:t>en Cuadernos Geográficos, núm. 47, pp.</w:t>
      </w:r>
      <w:r>
        <w:rPr>
          <w:spacing w:val="-3"/>
          <w:sz w:val="24"/>
        </w:rPr>
        <w:t> </w:t>
      </w:r>
      <w:r>
        <w:rPr>
          <w:sz w:val="24"/>
        </w:rPr>
        <w:t>73-93.</w:t>
      </w:r>
    </w:p>
    <w:p>
      <w:pPr>
        <w:spacing w:after="0" w:line="355" w:lineRule="auto"/>
        <w:jc w:val="both"/>
        <w:rPr>
          <w:sz w:val="24"/>
        </w:rPr>
        <w:sectPr>
          <w:pgSz w:w="12240" w:h="15840"/>
          <w:pgMar w:header="730" w:footer="1066" w:top="1320" w:bottom="1260" w:left="1720" w:right="1180"/>
        </w:sectPr>
      </w:pPr>
    </w:p>
    <w:p>
      <w:pPr>
        <w:pStyle w:val="BodyText"/>
        <w:spacing w:before="4"/>
        <w:rPr>
          <w:sz w:val="19"/>
        </w:rPr>
      </w:pPr>
    </w:p>
    <w:p>
      <w:pPr>
        <w:pStyle w:val="ListParagraph"/>
        <w:numPr>
          <w:ilvl w:val="2"/>
          <w:numId w:val="23"/>
        </w:numPr>
        <w:tabs>
          <w:tab w:pos="989" w:val="left" w:leader="none"/>
        </w:tabs>
        <w:spacing w:line="350" w:lineRule="auto" w:before="53" w:after="0"/>
        <w:ind w:left="988" w:right="231" w:hanging="360"/>
        <w:jc w:val="both"/>
        <w:rPr>
          <w:sz w:val="24"/>
        </w:rPr>
      </w:pPr>
      <w:r>
        <w:rPr/>
        <w:pict>
          <v:line style="position:absolute;mso-position-horizontal-relative:page;mso-position-vertical-relative:paragraph;z-index:19360" from="93.199997pt,-20.325533pt" to="546.799997pt,-20.325533pt" stroked="true" strokeweight=".479981pt" strokecolor="#000000">
            <w10:wrap type="none"/>
          </v:line>
        </w:pict>
      </w:r>
      <w:r>
        <w:rPr>
          <w:sz w:val="24"/>
        </w:rPr>
        <w:t>Vega, E. (2001</w:t>
      </w:r>
      <w:r>
        <w:rPr>
          <w:i/>
          <w:sz w:val="24"/>
        </w:rPr>
        <w:t>). “La sustentabilidad en México: ¿estamos mal pero vamos </w:t>
      </w:r>
      <w:r>
        <w:rPr>
          <w:i/>
          <w:sz w:val="24"/>
        </w:rPr>
        <w:t>bien?, </w:t>
      </w:r>
      <w:r>
        <w:rPr>
          <w:sz w:val="24"/>
        </w:rPr>
        <w:t>en Gaceta Ecológica, núm. 61, pp.</w:t>
      </w:r>
      <w:r>
        <w:rPr>
          <w:spacing w:val="-6"/>
          <w:sz w:val="24"/>
        </w:rPr>
        <w:t> </w:t>
      </w:r>
      <w:r>
        <w:rPr>
          <w:sz w:val="24"/>
        </w:rPr>
        <w:t>30-45.</w:t>
      </w:r>
    </w:p>
    <w:p>
      <w:pPr>
        <w:pStyle w:val="ListParagraph"/>
        <w:numPr>
          <w:ilvl w:val="2"/>
          <w:numId w:val="23"/>
        </w:numPr>
        <w:tabs>
          <w:tab w:pos="989" w:val="left" w:leader="none"/>
        </w:tabs>
        <w:spacing w:line="357" w:lineRule="auto" w:before="131" w:after="0"/>
        <w:ind w:left="988" w:right="231" w:hanging="360"/>
        <w:jc w:val="both"/>
        <w:rPr>
          <w:sz w:val="24"/>
        </w:rPr>
      </w:pPr>
      <w:r>
        <w:rPr>
          <w:sz w:val="24"/>
        </w:rPr>
        <w:t>Vigo, Martha. (2014). </w:t>
      </w:r>
      <w:r>
        <w:rPr>
          <w:i/>
          <w:sz w:val="24"/>
        </w:rPr>
        <w:t>Viabilidad del paradigma de la sustentabilidad urbana. </w:t>
      </w:r>
      <w:r>
        <w:rPr>
          <w:sz w:val="24"/>
        </w:rPr>
        <w:t>En Carreño, F. e Iglesias, D. Sustentabilidad Urbana: visiones y contradicciones. México: Universidad Autónoma del Estado de México.</w:t>
      </w:r>
    </w:p>
    <w:p>
      <w:pPr>
        <w:pStyle w:val="ListParagraph"/>
        <w:numPr>
          <w:ilvl w:val="2"/>
          <w:numId w:val="23"/>
        </w:numPr>
        <w:tabs>
          <w:tab w:pos="989" w:val="left" w:leader="none"/>
        </w:tabs>
        <w:spacing w:line="355" w:lineRule="auto" w:before="128" w:after="0"/>
        <w:ind w:left="988" w:right="231" w:hanging="360"/>
        <w:jc w:val="both"/>
        <w:rPr>
          <w:sz w:val="24"/>
        </w:rPr>
      </w:pPr>
      <w:r>
        <w:rPr>
          <w:sz w:val="24"/>
        </w:rPr>
        <w:t>Villasís, Ricardo. (2011). </w:t>
      </w:r>
      <w:r>
        <w:rPr>
          <w:i/>
          <w:sz w:val="24"/>
        </w:rPr>
        <w:t>Indicadores de sustentabilidad Urbana: El caso de </w:t>
      </w:r>
      <w:r>
        <w:rPr>
          <w:i/>
          <w:sz w:val="24"/>
        </w:rPr>
        <w:t>la zona metropolitana de San Luis Potosí. </w:t>
      </w:r>
      <w:r>
        <w:rPr>
          <w:sz w:val="24"/>
        </w:rPr>
        <w:t>Tesis de Doctorado. México. Universidad Autónoma de San Luis Potosí.</w:t>
      </w:r>
    </w:p>
    <w:p>
      <w:pPr>
        <w:pStyle w:val="ListParagraph"/>
        <w:numPr>
          <w:ilvl w:val="2"/>
          <w:numId w:val="23"/>
        </w:numPr>
        <w:tabs>
          <w:tab w:pos="989" w:val="left" w:leader="none"/>
        </w:tabs>
        <w:spacing w:line="357" w:lineRule="auto" w:before="131" w:after="0"/>
        <w:ind w:left="988" w:right="231" w:hanging="360"/>
        <w:jc w:val="both"/>
        <w:rPr>
          <w:sz w:val="24"/>
        </w:rPr>
      </w:pPr>
      <w:r>
        <w:rPr>
          <w:sz w:val="24"/>
        </w:rPr>
        <w:t>Villasís, Ricardo; Moreno A.; Delgadillo, S. y Martínez, M. (2011). </w:t>
      </w:r>
      <w:r>
        <w:rPr>
          <w:i/>
          <w:sz w:val="24"/>
        </w:rPr>
        <w:t>Estudio  </w:t>
      </w:r>
      <w:r>
        <w:rPr>
          <w:i/>
          <w:sz w:val="24"/>
        </w:rPr>
        <w:t>de para la apreciación cuantitativa del desarrollo urbano de la ciudad de San Luis Potosí. </w:t>
      </w:r>
      <w:r>
        <w:rPr>
          <w:sz w:val="24"/>
        </w:rPr>
        <w:t>Programa de las Naciones Unidas para los Asentamientos Humanos ONU-Hábitat/Sedesol. México. Universidad Autónoma de San Luis Potosí.</w:t>
      </w:r>
    </w:p>
    <w:p>
      <w:pPr>
        <w:pStyle w:val="ListParagraph"/>
        <w:numPr>
          <w:ilvl w:val="2"/>
          <w:numId w:val="23"/>
        </w:numPr>
        <w:tabs>
          <w:tab w:pos="989" w:val="left" w:leader="none"/>
        </w:tabs>
        <w:spacing w:line="357" w:lineRule="auto" w:before="123" w:after="0"/>
        <w:ind w:left="988" w:right="232" w:hanging="360"/>
        <w:jc w:val="both"/>
        <w:rPr>
          <w:sz w:val="24"/>
        </w:rPr>
      </w:pPr>
      <w:r>
        <w:rPr>
          <w:sz w:val="24"/>
        </w:rPr>
        <w:t>Wang, Xiaohu., Van, M. y Lebredo, N. (2014). </w:t>
      </w:r>
      <w:r>
        <w:rPr>
          <w:i/>
          <w:sz w:val="24"/>
        </w:rPr>
        <w:t>“Sustainability leadership in a </w:t>
      </w:r>
      <w:r>
        <w:rPr>
          <w:i/>
          <w:sz w:val="24"/>
        </w:rPr>
        <w:t>local goverment context. The Administrator`s Role in the Process”, </w:t>
      </w:r>
      <w:r>
        <w:rPr>
          <w:sz w:val="24"/>
        </w:rPr>
        <w:t>en Public Performance &amp; Management Review, vol. 37, núm. 3, pp.</w:t>
      </w:r>
      <w:r>
        <w:rPr>
          <w:spacing w:val="-1"/>
          <w:sz w:val="24"/>
        </w:rPr>
        <w:t> </w:t>
      </w:r>
      <w:r>
        <w:rPr>
          <w:sz w:val="24"/>
        </w:rPr>
        <w:t>339-364.</w:t>
      </w:r>
    </w:p>
    <w:p>
      <w:pPr>
        <w:pStyle w:val="ListParagraph"/>
        <w:numPr>
          <w:ilvl w:val="2"/>
          <w:numId w:val="23"/>
        </w:numPr>
        <w:tabs>
          <w:tab w:pos="989" w:val="left" w:leader="none"/>
        </w:tabs>
        <w:spacing w:line="357" w:lineRule="auto" w:before="123" w:after="0"/>
        <w:ind w:left="988" w:right="231" w:hanging="360"/>
        <w:jc w:val="both"/>
        <w:rPr>
          <w:sz w:val="24"/>
        </w:rPr>
      </w:pPr>
      <w:r>
        <w:rPr>
          <w:sz w:val="24"/>
        </w:rPr>
        <w:t>Winograd, M. (1996). </w:t>
      </w:r>
      <w:r>
        <w:rPr>
          <w:i/>
          <w:sz w:val="24"/>
        </w:rPr>
        <w:t>Marco Conceptual para el desarrollo y uso de </w:t>
      </w:r>
      <w:r>
        <w:rPr>
          <w:i/>
          <w:sz w:val="24"/>
        </w:rPr>
        <w:t>indicadores ambientales y de sustentabilidad para toma de decisiones en Latinoamérica y el Caribe. </w:t>
      </w:r>
      <w:r>
        <w:rPr>
          <w:sz w:val="24"/>
        </w:rPr>
        <w:t>En: CIAT-UNEP, Environmental and Sustainable Development, Washington, USA</w:t>
      </w:r>
    </w:p>
    <w:p>
      <w:pPr>
        <w:pStyle w:val="ListParagraph"/>
        <w:numPr>
          <w:ilvl w:val="2"/>
          <w:numId w:val="23"/>
        </w:numPr>
        <w:tabs>
          <w:tab w:pos="989" w:val="left" w:leader="none"/>
        </w:tabs>
        <w:spacing w:line="350" w:lineRule="auto" w:before="128" w:after="0"/>
        <w:ind w:left="988" w:right="232" w:hanging="360"/>
        <w:jc w:val="both"/>
        <w:rPr>
          <w:sz w:val="24"/>
        </w:rPr>
      </w:pPr>
      <w:r>
        <w:rPr>
          <w:sz w:val="24"/>
        </w:rPr>
        <w:t>WCED (World Commission on Environment and Development). (1987). Our Common Future, Oxford, Oxford University Press.</w:t>
      </w:r>
    </w:p>
    <w:p>
      <w:pPr>
        <w:spacing w:after="0" w:line="350" w:lineRule="auto"/>
        <w:jc w:val="both"/>
        <w:rPr>
          <w:sz w:val="24"/>
        </w:rPr>
        <w:sectPr>
          <w:pgSz w:w="12240" w:h="15840"/>
          <w:pgMar w:header="730" w:footer="1066" w:top="1320" w:bottom="1260" w:left="1720" w:right="1180"/>
        </w:sectPr>
      </w:pPr>
    </w:p>
    <w:p>
      <w:pPr>
        <w:pStyle w:val="BodyText"/>
        <w:spacing w:before="1"/>
        <w:rPr>
          <w:sz w:val="18"/>
        </w:rPr>
      </w:pPr>
    </w:p>
    <w:p>
      <w:pPr>
        <w:pStyle w:val="Heading4"/>
        <w:jc w:val="left"/>
      </w:pPr>
      <w:r>
        <w:rPr/>
        <w:pict>
          <v:line style="position:absolute;mso-position-horizontal-relative:page;mso-position-vertical-relative:paragraph;z-index:19384" from="93.199997pt,-19.614155pt" to="546.799997pt,-19.614155pt" stroked="true" strokeweight=".479981pt" strokecolor="#000000">
            <w10:wrap type="none"/>
          </v:line>
        </w:pict>
      </w:r>
      <w:r>
        <w:rPr/>
        <w:t>Páginas Web</w:t>
      </w:r>
    </w:p>
    <w:p>
      <w:pPr>
        <w:pStyle w:val="BodyText"/>
        <w:spacing w:before="2"/>
        <w:rPr>
          <w:b/>
          <w:sz w:val="22"/>
        </w:rPr>
      </w:pPr>
    </w:p>
    <w:p>
      <w:pPr>
        <w:pStyle w:val="ListParagraph"/>
        <w:numPr>
          <w:ilvl w:val="2"/>
          <w:numId w:val="23"/>
        </w:numPr>
        <w:tabs>
          <w:tab w:pos="988" w:val="left" w:leader="none"/>
          <w:tab w:pos="989" w:val="left" w:leader="none"/>
        </w:tabs>
        <w:spacing w:line="240" w:lineRule="auto" w:before="0" w:after="0"/>
        <w:ind w:left="988" w:right="0" w:hanging="360"/>
        <w:jc w:val="left"/>
        <w:rPr>
          <w:sz w:val="24"/>
        </w:rPr>
      </w:pPr>
      <w:hyperlink r:id="rId329">
        <w:r>
          <w:rPr>
            <w:sz w:val="24"/>
          </w:rPr>
          <w:t>http://www.canadevi.com.mx</w:t>
        </w:r>
      </w:hyperlink>
    </w:p>
    <w:p>
      <w:pPr>
        <w:pStyle w:val="ListParagraph"/>
        <w:numPr>
          <w:ilvl w:val="2"/>
          <w:numId w:val="23"/>
        </w:numPr>
        <w:tabs>
          <w:tab w:pos="988" w:val="left" w:leader="none"/>
          <w:tab w:pos="989" w:val="left" w:leader="none"/>
        </w:tabs>
        <w:spacing w:line="240" w:lineRule="auto" w:before="133" w:after="0"/>
        <w:ind w:left="988" w:right="0" w:hanging="360"/>
        <w:jc w:val="left"/>
        <w:rPr>
          <w:sz w:val="24"/>
        </w:rPr>
      </w:pPr>
      <w:hyperlink r:id="rId330">
        <w:r>
          <w:rPr>
            <w:sz w:val="24"/>
          </w:rPr>
          <w:t>http://www.cidoc.com.mx</w:t>
        </w:r>
      </w:hyperlink>
    </w:p>
    <w:p>
      <w:pPr>
        <w:pStyle w:val="ListParagraph"/>
        <w:numPr>
          <w:ilvl w:val="2"/>
          <w:numId w:val="23"/>
        </w:numPr>
        <w:tabs>
          <w:tab w:pos="988" w:val="left" w:leader="none"/>
          <w:tab w:pos="989" w:val="left" w:leader="none"/>
        </w:tabs>
        <w:spacing w:line="240" w:lineRule="auto" w:before="138" w:after="0"/>
        <w:ind w:left="988" w:right="0" w:hanging="360"/>
        <w:jc w:val="left"/>
        <w:rPr>
          <w:sz w:val="24"/>
        </w:rPr>
      </w:pPr>
      <w:hyperlink r:id="rId331">
        <w:r>
          <w:rPr>
            <w:sz w:val="24"/>
          </w:rPr>
          <w:t>http://www.conagua.gob.mx</w:t>
        </w:r>
      </w:hyperlink>
    </w:p>
    <w:p>
      <w:pPr>
        <w:pStyle w:val="ListParagraph"/>
        <w:numPr>
          <w:ilvl w:val="2"/>
          <w:numId w:val="23"/>
        </w:numPr>
        <w:tabs>
          <w:tab w:pos="988" w:val="left" w:leader="none"/>
          <w:tab w:pos="989" w:val="left" w:leader="none"/>
        </w:tabs>
        <w:spacing w:line="240" w:lineRule="auto" w:before="138" w:after="0"/>
        <w:ind w:left="988" w:right="0" w:hanging="360"/>
        <w:jc w:val="left"/>
        <w:rPr>
          <w:sz w:val="24"/>
        </w:rPr>
      </w:pPr>
      <w:hyperlink r:id="rId332">
        <w:r>
          <w:rPr>
            <w:sz w:val="24"/>
          </w:rPr>
          <w:t>http://www.cfe.gob.mx</w:t>
        </w:r>
      </w:hyperlink>
    </w:p>
    <w:p>
      <w:pPr>
        <w:pStyle w:val="ListParagraph"/>
        <w:numPr>
          <w:ilvl w:val="2"/>
          <w:numId w:val="23"/>
        </w:numPr>
        <w:tabs>
          <w:tab w:pos="988" w:val="left" w:leader="none"/>
          <w:tab w:pos="989" w:val="left" w:leader="none"/>
        </w:tabs>
        <w:spacing w:line="240" w:lineRule="auto" w:before="133" w:after="0"/>
        <w:ind w:left="988" w:right="0" w:hanging="360"/>
        <w:jc w:val="left"/>
        <w:rPr>
          <w:sz w:val="24"/>
        </w:rPr>
      </w:pPr>
      <w:hyperlink r:id="rId333">
        <w:r>
          <w:rPr>
            <w:sz w:val="24"/>
          </w:rPr>
          <w:t>http://www.diputados.gob.mx</w:t>
        </w:r>
      </w:hyperlink>
    </w:p>
    <w:p>
      <w:pPr>
        <w:pStyle w:val="ListParagraph"/>
        <w:numPr>
          <w:ilvl w:val="2"/>
          <w:numId w:val="23"/>
        </w:numPr>
        <w:tabs>
          <w:tab w:pos="988" w:val="left" w:leader="none"/>
          <w:tab w:pos="989" w:val="left" w:leader="none"/>
        </w:tabs>
        <w:spacing w:line="240" w:lineRule="auto" w:before="138" w:after="0"/>
        <w:ind w:left="988" w:right="0" w:hanging="360"/>
        <w:jc w:val="left"/>
        <w:rPr>
          <w:sz w:val="24"/>
        </w:rPr>
      </w:pPr>
      <w:hyperlink r:id="rId334">
        <w:r>
          <w:rPr>
            <w:sz w:val="24"/>
          </w:rPr>
          <w:t>http://www.eumed.net</w:t>
        </w:r>
      </w:hyperlink>
    </w:p>
    <w:p>
      <w:pPr>
        <w:pStyle w:val="ListParagraph"/>
        <w:numPr>
          <w:ilvl w:val="2"/>
          <w:numId w:val="23"/>
        </w:numPr>
        <w:tabs>
          <w:tab w:pos="988" w:val="left" w:leader="none"/>
          <w:tab w:pos="989" w:val="left" w:leader="none"/>
        </w:tabs>
        <w:spacing w:line="240" w:lineRule="auto" w:before="133" w:after="0"/>
        <w:ind w:left="988" w:right="0" w:hanging="360"/>
        <w:jc w:val="left"/>
        <w:rPr>
          <w:sz w:val="24"/>
        </w:rPr>
      </w:pPr>
      <w:hyperlink r:id="rId327">
        <w:r>
          <w:rPr>
            <w:sz w:val="24"/>
          </w:rPr>
          <w:t>http://www.inegi.org.mx</w:t>
        </w:r>
      </w:hyperlink>
    </w:p>
    <w:p>
      <w:pPr>
        <w:pStyle w:val="ListParagraph"/>
        <w:numPr>
          <w:ilvl w:val="2"/>
          <w:numId w:val="23"/>
        </w:numPr>
        <w:tabs>
          <w:tab w:pos="988" w:val="left" w:leader="none"/>
          <w:tab w:pos="989" w:val="left" w:leader="none"/>
        </w:tabs>
        <w:spacing w:line="240" w:lineRule="auto" w:before="138" w:after="0"/>
        <w:ind w:left="988" w:right="0" w:hanging="360"/>
        <w:jc w:val="left"/>
        <w:rPr>
          <w:sz w:val="24"/>
        </w:rPr>
      </w:pPr>
      <w:hyperlink r:id="rId335">
        <w:r>
          <w:rPr>
            <w:sz w:val="24"/>
          </w:rPr>
          <w:t>http://www.infonavit.org.mx</w:t>
        </w:r>
      </w:hyperlink>
    </w:p>
    <w:p>
      <w:pPr>
        <w:pStyle w:val="ListParagraph"/>
        <w:numPr>
          <w:ilvl w:val="2"/>
          <w:numId w:val="23"/>
        </w:numPr>
        <w:tabs>
          <w:tab w:pos="988" w:val="left" w:leader="none"/>
          <w:tab w:pos="989" w:val="left" w:leader="none"/>
        </w:tabs>
        <w:spacing w:line="240" w:lineRule="auto" w:before="138" w:after="0"/>
        <w:ind w:left="988" w:right="0" w:hanging="360"/>
        <w:jc w:val="left"/>
        <w:rPr>
          <w:sz w:val="24"/>
        </w:rPr>
      </w:pPr>
      <w:hyperlink r:id="rId336">
        <w:r>
          <w:rPr>
            <w:sz w:val="24"/>
          </w:rPr>
          <w:t>http://www.gob.mx</w:t>
        </w:r>
      </w:hyperlink>
    </w:p>
    <w:p>
      <w:pPr>
        <w:pStyle w:val="ListParagraph"/>
        <w:numPr>
          <w:ilvl w:val="2"/>
          <w:numId w:val="23"/>
        </w:numPr>
        <w:tabs>
          <w:tab w:pos="988" w:val="left" w:leader="none"/>
          <w:tab w:pos="989" w:val="left" w:leader="none"/>
        </w:tabs>
        <w:spacing w:line="240" w:lineRule="auto" w:before="133" w:after="0"/>
        <w:ind w:left="988" w:right="0" w:hanging="360"/>
        <w:jc w:val="left"/>
        <w:rPr>
          <w:sz w:val="24"/>
        </w:rPr>
      </w:pPr>
      <w:hyperlink r:id="rId337">
        <w:r>
          <w:rPr>
            <w:sz w:val="24"/>
          </w:rPr>
          <w:t>http://www.gob.mx/conavi</w:t>
        </w:r>
      </w:hyperlink>
    </w:p>
    <w:p>
      <w:pPr>
        <w:pStyle w:val="ListParagraph"/>
        <w:numPr>
          <w:ilvl w:val="2"/>
          <w:numId w:val="23"/>
        </w:numPr>
        <w:tabs>
          <w:tab w:pos="988" w:val="left" w:leader="none"/>
          <w:tab w:pos="989" w:val="left" w:leader="none"/>
        </w:tabs>
        <w:spacing w:line="240" w:lineRule="auto" w:before="138" w:after="0"/>
        <w:ind w:left="988" w:right="0" w:hanging="360"/>
        <w:jc w:val="left"/>
        <w:rPr>
          <w:sz w:val="24"/>
        </w:rPr>
      </w:pPr>
      <w:hyperlink r:id="rId338">
        <w:r>
          <w:rPr>
            <w:sz w:val="24"/>
          </w:rPr>
          <w:t>http://www.gob.mx/fovissste</w:t>
        </w:r>
      </w:hyperlink>
    </w:p>
    <w:p>
      <w:pPr>
        <w:pStyle w:val="ListParagraph"/>
        <w:numPr>
          <w:ilvl w:val="2"/>
          <w:numId w:val="23"/>
        </w:numPr>
        <w:tabs>
          <w:tab w:pos="988" w:val="left" w:leader="none"/>
          <w:tab w:pos="989" w:val="left" w:leader="none"/>
        </w:tabs>
        <w:spacing w:line="240" w:lineRule="auto" w:before="138" w:after="0"/>
        <w:ind w:left="988" w:right="0" w:hanging="360"/>
        <w:jc w:val="left"/>
        <w:rPr>
          <w:sz w:val="24"/>
        </w:rPr>
      </w:pPr>
      <w:hyperlink r:id="rId339">
        <w:r>
          <w:rPr>
            <w:sz w:val="24"/>
          </w:rPr>
          <w:t>http://www.gob.mx/presidencia</w:t>
        </w:r>
      </w:hyperlink>
    </w:p>
    <w:p>
      <w:pPr>
        <w:pStyle w:val="ListParagraph"/>
        <w:numPr>
          <w:ilvl w:val="2"/>
          <w:numId w:val="23"/>
        </w:numPr>
        <w:tabs>
          <w:tab w:pos="988" w:val="left" w:leader="none"/>
          <w:tab w:pos="989" w:val="left" w:leader="none"/>
        </w:tabs>
        <w:spacing w:line="240" w:lineRule="auto" w:before="133" w:after="0"/>
        <w:ind w:left="988" w:right="0" w:hanging="360"/>
        <w:jc w:val="left"/>
        <w:rPr>
          <w:sz w:val="24"/>
        </w:rPr>
      </w:pPr>
      <w:hyperlink r:id="rId340">
        <w:r>
          <w:rPr>
            <w:sz w:val="24"/>
          </w:rPr>
          <w:t>http://www.gob.mx/sedatu</w:t>
        </w:r>
      </w:hyperlink>
    </w:p>
    <w:p>
      <w:pPr>
        <w:pStyle w:val="ListParagraph"/>
        <w:numPr>
          <w:ilvl w:val="2"/>
          <w:numId w:val="23"/>
        </w:numPr>
        <w:tabs>
          <w:tab w:pos="988" w:val="left" w:leader="none"/>
          <w:tab w:pos="989" w:val="left" w:leader="none"/>
        </w:tabs>
        <w:spacing w:line="240" w:lineRule="auto" w:before="138" w:after="0"/>
        <w:ind w:left="988" w:right="0" w:hanging="360"/>
        <w:jc w:val="left"/>
        <w:rPr>
          <w:sz w:val="24"/>
        </w:rPr>
      </w:pPr>
      <w:hyperlink r:id="rId341">
        <w:r>
          <w:rPr>
            <w:sz w:val="24"/>
          </w:rPr>
          <w:t>http://www.landsat.usgs.gov</w:t>
        </w:r>
      </w:hyperlink>
    </w:p>
    <w:p>
      <w:pPr>
        <w:pStyle w:val="ListParagraph"/>
        <w:numPr>
          <w:ilvl w:val="2"/>
          <w:numId w:val="23"/>
        </w:numPr>
        <w:tabs>
          <w:tab w:pos="988" w:val="left" w:leader="none"/>
          <w:tab w:pos="989" w:val="left" w:leader="none"/>
        </w:tabs>
        <w:spacing w:line="240" w:lineRule="auto" w:before="133" w:after="0"/>
        <w:ind w:left="988" w:right="0" w:hanging="360"/>
        <w:jc w:val="left"/>
        <w:rPr>
          <w:sz w:val="24"/>
        </w:rPr>
      </w:pPr>
      <w:hyperlink r:id="rId342">
        <w:r>
          <w:rPr>
            <w:sz w:val="24"/>
          </w:rPr>
          <w:t>http://www.legislación.edomex.gob.mx</w:t>
        </w:r>
      </w:hyperlink>
    </w:p>
    <w:p>
      <w:pPr>
        <w:pStyle w:val="ListParagraph"/>
        <w:numPr>
          <w:ilvl w:val="2"/>
          <w:numId w:val="23"/>
        </w:numPr>
        <w:tabs>
          <w:tab w:pos="988" w:val="left" w:leader="none"/>
          <w:tab w:pos="989" w:val="left" w:leader="none"/>
        </w:tabs>
        <w:spacing w:line="240" w:lineRule="auto" w:before="138" w:after="0"/>
        <w:ind w:left="988" w:right="0" w:hanging="360"/>
        <w:jc w:val="left"/>
        <w:rPr>
          <w:sz w:val="24"/>
        </w:rPr>
      </w:pPr>
      <w:hyperlink r:id="rId343">
        <w:r>
          <w:rPr>
            <w:sz w:val="24"/>
          </w:rPr>
          <w:t>http://www.oecd.org</w:t>
        </w:r>
      </w:hyperlink>
    </w:p>
    <w:p>
      <w:pPr>
        <w:pStyle w:val="ListParagraph"/>
        <w:numPr>
          <w:ilvl w:val="2"/>
          <w:numId w:val="23"/>
        </w:numPr>
        <w:tabs>
          <w:tab w:pos="988" w:val="left" w:leader="none"/>
          <w:tab w:pos="989" w:val="left" w:leader="none"/>
        </w:tabs>
        <w:spacing w:line="240" w:lineRule="auto" w:before="138" w:after="0"/>
        <w:ind w:left="988" w:right="0" w:hanging="360"/>
        <w:jc w:val="left"/>
        <w:rPr>
          <w:sz w:val="24"/>
        </w:rPr>
      </w:pPr>
      <w:hyperlink r:id="rId344">
        <w:r>
          <w:rPr>
            <w:sz w:val="24"/>
          </w:rPr>
          <w:t>http://www.onuhabitat.org</w:t>
        </w:r>
      </w:hyperlink>
    </w:p>
    <w:p>
      <w:pPr>
        <w:pStyle w:val="ListParagraph"/>
        <w:numPr>
          <w:ilvl w:val="2"/>
          <w:numId w:val="23"/>
        </w:numPr>
        <w:tabs>
          <w:tab w:pos="988" w:val="left" w:leader="none"/>
          <w:tab w:pos="989" w:val="left" w:leader="none"/>
        </w:tabs>
        <w:spacing w:line="240" w:lineRule="auto" w:before="133" w:after="0"/>
        <w:ind w:left="988" w:right="0" w:hanging="360"/>
        <w:jc w:val="left"/>
        <w:rPr>
          <w:sz w:val="24"/>
        </w:rPr>
      </w:pPr>
      <w:hyperlink r:id="rId345">
        <w:r>
          <w:rPr>
            <w:sz w:val="24"/>
          </w:rPr>
          <w:t>http://www.onu.org.mx</w:t>
        </w:r>
      </w:hyperlink>
    </w:p>
    <w:p>
      <w:pPr>
        <w:pStyle w:val="ListParagraph"/>
        <w:numPr>
          <w:ilvl w:val="2"/>
          <w:numId w:val="23"/>
        </w:numPr>
        <w:tabs>
          <w:tab w:pos="988" w:val="left" w:leader="none"/>
          <w:tab w:pos="989" w:val="left" w:leader="none"/>
        </w:tabs>
        <w:spacing w:line="240" w:lineRule="auto" w:before="138" w:after="0"/>
        <w:ind w:left="988" w:right="0" w:hanging="360"/>
        <w:jc w:val="left"/>
        <w:rPr>
          <w:sz w:val="24"/>
        </w:rPr>
      </w:pPr>
      <w:hyperlink r:id="rId346">
        <w:r>
          <w:rPr>
            <w:sz w:val="24"/>
          </w:rPr>
          <w:t>http://www.redalyc.org</w:t>
        </w:r>
      </w:hyperlink>
    </w:p>
    <w:p>
      <w:pPr>
        <w:pStyle w:val="ListParagraph"/>
        <w:numPr>
          <w:ilvl w:val="2"/>
          <w:numId w:val="23"/>
        </w:numPr>
        <w:tabs>
          <w:tab w:pos="988" w:val="left" w:leader="none"/>
          <w:tab w:pos="989" w:val="left" w:leader="none"/>
        </w:tabs>
        <w:spacing w:line="240" w:lineRule="auto" w:before="133" w:after="0"/>
        <w:ind w:left="988" w:right="0" w:hanging="360"/>
        <w:jc w:val="left"/>
        <w:rPr>
          <w:sz w:val="24"/>
        </w:rPr>
      </w:pPr>
      <w:hyperlink r:id="rId347">
        <w:r>
          <w:rPr>
            <w:sz w:val="24"/>
          </w:rPr>
          <w:t>http://www.sedur.edomex.gob.mx</w:t>
        </w:r>
      </w:hyperlink>
    </w:p>
    <w:p>
      <w:pPr>
        <w:pStyle w:val="ListParagraph"/>
        <w:numPr>
          <w:ilvl w:val="2"/>
          <w:numId w:val="23"/>
        </w:numPr>
        <w:tabs>
          <w:tab w:pos="988" w:val="left" w:leader="none"/>
          <w:tab w:pos="989" w:val="left" w:leader="none"/>
        </w:tabs>
        <w:spacing w:line="240" w:lineRule="auto" w:before="138" w:after="0"/>
        <w:ind w:left="988" w:right="0" w:hanging="360"/>
        <w:jc w:val="left"/>
        <w:rPr>
          <w:sz w:val="24"/>
        </w:rPr>
      </w:pPr>
      <w:hyperlink r:id="rId348">
        <w:r>
          <w:rPr>
            <w:sz w:val="24"/>
          </w:rPr>
          <w:t>http://www.semarnat.gob.mx</w:t>
        </w:r>
      </w:hyperlink>
    </w:p>
    <w:p>
      <w:pPr>
        <w:pStyle w:val="ListParagraph"/>
        <w:numPr>
          <w:ilvl w:val="2"/>
          <w:numId w:val="23"/>
        </w:numPr>
        <w:tabs>
          <w:tab w:pos="988" w:val="left" w:leader="none"/>
          <w:tab w:pos="989" w:val="left" w:leader="none"/>
        </w:tabs>
        <w:spacing w:line="240" w:lineRule="auto" w:before="138" w:after="0"/>
        <w:ind w:left="988" w:right="0" w:hanging="360"/>
        <w:jc w:val="left"/>
        <w:rPr>
          <w:sz w:val="24"/>
        </w:rPr>
      </w:pPr>
      <w:hyperlink r:id="rId349">
        <w:r>
          <w:rPr>
            <w:sz w:val="24"/>
          </w:rPr>
          <w:t>http://www.senado.gob.mx</w:t>
        </w:r>
      </w:hyperlink>
    </w:p>
    <w:p>
      <w:pPr>
        <w:pStyle w:val="ListParagraph"/>
        <w:numPr>
          <w:ilvl w:val="2"/>
          <w:numId w:val="23"/>
        </w:numPr>
        <w:tabs>
          <w:tab w:pos="988" w:val="left" w:leader="none"/>
          <w:tab w:pos="989" w:val="left" w:leader="none"/>
        </w:tabs>
        <w:spacing w:line="240" w:lineRule="auto" w:before="133" w:after="0"/>
        <w:ind w:left="988" w:right="0" w:hanging="360"/>
        <w:jc w:val="left"/>
        <w:rPr>
          <w:sz w:val="24"/>
        </w:rPr>
      </w:pPr>
      <w:hyperlink r:id="rId350">
        <w:r>
          <w:rPr>
            <w:sz w:val="24"/>
          </w:rPr>
          <w:t>http://www.scielo.org.mx</w:t>
        </w:r>
      </w:hyperlink>
    </w:p>
    <w:p>
      <w:pPr>
        <w:pStyle w:val="ListParagraph"/>
        <w:numPr>
          <w:ilvl w:val="2"/>
          <w:numId w:val="23"/>
        </w:numPr>
        <w:tabs>
          <w:tab w:pos="988" w:val="left" w:leader="none"/>
          <w:tab w:pos="989" w:val="left" w:leader="none"/>
        </w:tabs>
        <w:spacing w:line="240" w:lineRule="auto" w:before="138" w:after="0"/>
        <w:ind w:left="988" w:right="0" w:hanging="360"/>
        <w:jc w:val="left"/>
        <w:rPr>
          <w:sz w:val="24"/>
        </w:rPr>
      </w:pPr>
      <w:hyperlink r:id="rId351">
        <w:r>
          <w:rPr>
            <w:sz w:val="24"/>
          </w:rPr>
          <w:t>http://www.shf.gob.mx</w:t>
        </w:r>
      </w:hyperlink>
    </w:p>
    <w:p>
      <w:pPr>
        <w:spacing w:after="0" w:line="240" w:lineRule="auto"/>
        <w:jc w:val="left"/>
        <w:rPr>
          <w:sz w:val="24"/>
        </w:rPr>
        <w:sectPr>
          <w:pgSz w:w="12240" w:h="15840"/>
          <w:pgMar w:header="730" w:footer="1066" w:top="1320" w:bottom="1260" w:left="1720" w:right="1180"/>
        </w:sectPr>
      </w:pPr>
    </w:p>
    <w:p>
      <w:pPr>
        <w:pStyle w:val="BodyText"/>
        <w:rPr>
          <w:sz w:val="20"/>
        </w:rPr>
      </w:pPr>
      <w:r>
        <w:rPr/>
        <w:pict>
          <v:line style="position:absolute;mso-position-horizontal-relative:page;mso-position-vertical-relative:page;z-index:19408" from="93.199997pt,57.080009pt" to="546.799997pt,57.080009pt" stroked="true" strokeweight=".479981pt" strokecolor="#000000">
            <w10:wrap type="none"/>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3"/>
        </w:rPr>
      </w:pPr>
    </w:p>
    <w:p>
      <w:pPr>
        <w:pStyle w:val="Heading4"/>
        <w:spacing w:before="70"/>
        <w:ind w:left="34"/>
        <w:jc w:val="center"/>
      </w:pPr>
      <w:r>
        <w:rPr/>
        <w:t>Anexos</w:t>
      </w:r>
    </w:p>
    <w:p>
      <w:pPr>
        <w:spacing w:after="0"/>
        <w:jc w:val="center"/>
        <w:sectPr>
          <w:footerReference w:type="default" r:id="rId352"/>
          <w:pgSz w:w="12240" w:h="15840"/>
          <w:pgMar w:footer="1066" w:header="730" w:top="1320" w:bottom="1260" w:left="1720" w:right="1180"/>
        </w:sectPr>
      </w:pPr>
    </w:p>
    <w:p>
      <w:pPr>
        <w:pStyle w:val="BodyText"/>
        <w:spacing w:before="1"/>
        <w:rPr>
          <w:b/>
          <w:sz w:val="18"/>
        </w:rPr>
      </w:pPr>
    </w:p>
    <w:p>
      <w:pPr>
        <w:pStyle w:val="Heading4"/>
        <w:jc w:val="left"/>
      </w:pPr>
      <w:r>
        <w:rPr/>
        <w:pict>
          <v:line style="position:absolute;mso-position-horizontal-relative:page;mso-position-vertical-relative:paragraph;z-index:19432" from="93.199997pt,-19.614155pt" to="546.799997pt,-19.614155pt" stroked="true" strokeweight=".479981pt" strokecolor="#000000">
            <w10:wrap type="none"/>
          </v:line>
        </w:pict>
      </w:r>
      <w:r>
        <w:rPr/>
        <w:t>Aspectos normativos</w:t>
      </w:r>
    </w:p>
    <w:p>
      <w:pPr>
        <w:pStyle w:val="BodyText"/>
        <w:spacing w:before="5"/>
        <w:rPr>
          <w:b/>
          <w:sz w:val="34"/>
        </w:rPr>
      </w:pPr>
    </w:p>
    <w:p>
      <w:pPr>
        <w:pStyle w:val="BodyText"/>
        <w:ind w:left="268"/>
      </w:pPr>
      <w:r>
        <w:rPr/>
        <w:t>Tabla 38.  Actividades de la CEDUV</w:t>
      </w:r>
    </w:p>
    <w:p>
      <w:pPr>
        <w:pStyle w:val="BodyText"/>
        <w:rPr>
          <w:sz w:val="23"/>
        </w:rPr>
      </w:pPr>
    </w:p>
    <w:p>
      <w:pPr>
        <w:spacing w:before="78"/>
        <w:ind w:left="2528" w:right="0" w:firstLine="0"/>
        <w:jc w:val="left"/>
        <w:rPr>
          <w:sz w:val="21"/>
        </w:rPr>
      </w:pPr>
      <w:r>
        <w:rPr/>
        <w:pict>
          <v:group style="position:absolute;margin-left:106.400002pt;margin-top:-13.131143pt;width:425.3pt;height:415.2pt;mso-position-horizontal-relative:page;mso-position-vertical-relative:paragraph;z-index:-1138576" coordorigin="2128,-263" coordsize="8506,8304">
            <v:rect style="position:absolute;left:2128;top:-263;width:8506;height:922" filled="true" fillcolor="#000000" stroked="false">
              <v:fill type="solid"/>
            </v:rect>
            <v:rect style="position:absolute;left:2128;top:673;width:8506;height:739" filled="true" fillcolor="#f3f3f3" stroked="false">
              <v:fill type="solid"/>
            </v:rect>
            <v:rect style="position:absolute;left:2128;top:1427;width:8506;height:1373" filled="true" fillcolor="#e0e0e0" stroked="false">
              <v:fill type="solid"/>
            </v:rect>
            <v:rect style="position:absolute;left:2128;top:2819;width:8506;height:854" filled="true" fillcolor="#f3f3f3" stroked="false">
              <v:fill type="solid"/>
            </v:rect>
            <v:rect style="position:absolute;left:2128;top:3688;width:8506;height:1109" filled="true" fillcolor="#e0e0e0" stroked="false">
              <v:fill type="solid"/>
            </v:rect>
            <v:rect style="position:absolute;left:2128;top:4811;width:8506;height:826" filled="true" fillcolor="#f3f3f3" stroked="false">
              <v:fill type="solid"/>
            </v:rect>
            <v:rect style="position:absolute;left:2128;top:5651;width:8506;height:696" filled="true" fillcolor="#e0e0e0" stroked="false">
              <v:fill type="solid"/>
            </v:rect>
            <v:rect style="position:absolute;left:2128;top:6361;width:8506;height:974" filled="true" fillcolor="#f3f3f3" stroked="false">
              <v:fill type="solid"/>
            </v:rect>
            <v:rect style="position:absolute;left:2128;top:7350;width:8506;height:691" filled="true" fillcolor="#e0e0e0" stroked="false">
              <v:fill type="solid"/>
            </v:rect>
            <w10:wrap type="none"/>
          </v:group>
        </w:pict>
      </w:r>
      <w:r>
        <w:rPr>
          <w:color w:val="FFFFFF"/>
          <w:w w:val="105"/>
          <w:sz w:val="21"/>
        </w:rPr>
        <w:t>Actividades que corresponden a la CEDUV.</w:t>
      </w:r>
    </w:p>
    <w:p>
      <w:pPr>
        <w:pStyle w:val="BodyText"/>
        <w:rPr>
          <w:sz w:val="20"/>
        </w:rPr>
      </w:pPr>
    </w:p>
    <w:p>
      <w:pPr>
        <w:pStyle w:val="BodyText"/>
        <w:spacing w:before="4"/>
        <w:rPr>
          <w:sz w:val="18"/>
        </w:rPr>
      </w:pPr>
    </w:p>
    <w:p>
      <w:pPr>
        <w:pStyle w:val="ListParagraph"/>
        <w:numPr>
          <w:ilvl w:val="0"/>
          <w:numId w:val="24"/>
        </w:numPr>
        <w:tabs>
          <w:tab w:pos="918" w:val="left" w:leader="none"/>
          <w:tab w:pos="919" w:val="left" w:leader="none"/>
        </w:tabs>
        <w:spacing w:line="254" w:lineRule="auto" w:before="84" w:after="0"/>
        <w:ind w:left="918" w:right="528" w:hanging="400"/>
        <w:jc w:val="left"/>
        <w:rPr>
          <w:sz w:val="17"/>
        </w:rPr>
      </w:pPr>
      <w:r>
        <w:rPr>
          <w:w w:val="105"/>
          <w:sz w:val="17"/>
        </w:rPr>
        <w:t>Coordinar las acciones entre las dependencias y organismos de la administración pública federal, estatal y municipal en materia de desarrollo urbano y</w:t>
      </w:r>
      <w:r>
        <w:rPr>
          <w:spacing w:val="22"/>
          <w:w w:val="105"/>
          <w:sz w:val="17"/>
        </w:rPr>
        <w:t> </w:t>
      </w:r>
      <w:r>
        <w:rPr>
          <w:w w:val="105"/>
          <w:sz w:val="17"/>
        </w:rPr>
        <w:t>vivienda.</w:t>
      </w:r>
    </w:p>
    <w:p>
      <w:pPr>
        <w:pStyle w:val="BodyText"/>
        <w:spacing w:before="1"/>
        <w:rPr>
          <w:sz w:val="23"/>
        </w:rPr>
      </w:pPr>
    </w:p>
    <w:p>
      <w:pPr>
        <w:pStyle w:val="ListParagraph"/>
        <w:numPr>
          <w:ilvl w:val="0"/>
          <w:numId w:val="24"/>
        </w:numPr>
        <w:tabs>
          <w:tab w:pos="918" w:val="left" w:leader="none"/>
          <w:tab w:pos="919" w:val="left" w:leader="none"/>
        </w:tabs>
        <w:spacing w:line="240" w:lineRule="auto" w:before="84" w:after="0"/>
        <w:ind w:left="918" w:right="0" w:hanging="400"/>
        <w:jc w:val="left"/>
        <w:rPr>
          <w:sz w:val="17"/>
        </w:rPr>
      </w:pPr>
      <w:r>
        <w:rPr>
          <w:w w:val="105"/>
          <w:sz w:val="17"/>
        </w:rPr>
        <w:t>Constituirse en foro técnico de análisis y consulta, respecto</w:t>
      </w:r>
      <w:r>
        <w:rPr>
          <w:spacing w:val="20"/>
          <w:w w:val="105"/>
          <w:sz w:val="17"/>
        </w:rPr>
        <w:t> </w:t>
      </w:r>
      <w:r>
        <w:rPr>
          <w:w w:val="105"/>
          <w:sz w:val="17"/>
        </w:rPr>
        <w:t>de:</w:t>
      </w:r>
    </w:p>
    <w:p>
      <w:pPr>
        <w:pStyle w:val="ListParagraph"/>
        <w:numPr>
          <w:ilvl w:val="1"/>
          <w:numId w:val="24"/>
        </w:numPr>
        <w:tabs>
          <w:tab w:pos="1639" w:val="left" w:leader="none"/>
        </w:tabs>
        <w:spacing w:line="240" w:lineRule="auto" w:before="11" w:after="0"/>
        <w:ind w:left="1628" w:right="0" w:hanging="200"/>
        <w:jc w:val="left"/>
        <w:rPr>
          <w:sz w:val="17"/>
        </w:rPr>
      </w:pPr>
      <w:r>
        <w:rPr>
          <w:w w:val="105"/>
          <w:sz w:val="17"/>
        </w:rPr>
        <w:t>Planes de desarrollo urbano que requieran dictamen de</w:t>
      </w:r>
      <w:r>
        <w:rPr>
          <w:spacing w:val="25"/>
          <w:w w:val="105"/>
          <w:sz w:val="17"/>
        </w:rPr>
        <w:t> </w:t>
      </w:r>
      <w:r>
        <w:rPr>
          <w:w w:val="105"/>
          <w:sz w:val="17"/>
        </w:rPr>
        <w:t>congruencia.</w:t>
      </w:r>
    </w:p>
    <w:p>
      <w:pPr>
        <w:pStyle w:val="ListParagraph"/>
        <w:numPr>
          <w:ilvl w:val="1"/>
          <w:numId w:val="24"/>
        </w:numPr>
        <w:tabs>
          <w:tab w:pos="1639" w:val="left" w:leader="none"/>
        </w:tabs>
        <w:spacing w:line="240" w:lineRule="auto" w:before="11" w:after="0"/>
        <w:ind w:left="1638" w:right="0" w:hanging="210"/>
        <w:jc w:val="left"/>
        <w:rPr>
          <w:sz w:val="17"/>
        </w:rPr>
      </w:pPr>
      <w:r>
        <w:rPr>
          <w:w w:val="105"/>
          <w:sz w:val="17"/>
        </w:rPr>
        <w:t>Programas, acciones, inversiones y obras públicas de interés</w:t>
      </w:r>
      <w:r>
        <w:rPr>
          <w:spacing w:val="25"/>
          <w:w w:val="105"/>
          <w:sz w:val="17"/>
        </w:rPr>
        <w:t> </w:t>
      </w:r>
      <w:r>
        <w:rPr>
          <w:w w:val="105"/>
          <w:sz w:val="17"/>
        </w:rPr>
        <w:t>estratégico.</w:t>
      </w:r>
    </w:p>
    <w:p>
      <w:pPr>
        <w:pStyle w:val="ListParagraph"/>
        <w:numPr>
          <w:ilvl w:val="1"/>
          <w:numId w:val="24"/>
        </w:numPr>
        <w:tabs>
          <w:tab w:pos="1629" w:val="left" w:leader="none"/>
        </w:tabs>
        <w:spacing w:line="254" w:lineRule="auto" w:before="11" w:after="0"/>
        <w:ind w:left="1628" w:right="1224" w:hanging="200"/>
        <w:jc w:val="left"/>
        <w:rPr>
          <w:sz w:val="17"/>
        </w:rPr>
      </w:pPr>
      <w:r>
        <w:rPr>
          <w:w w:val="105"/>
          <w:sz w:val="17"/>
        </w:rPr>
        <w:t>Programas y acciones de desregulación, homologación normativa, desgravación, simplificación, mejora y agilización de la gestión</w:t>
      </w:r>
      <w:r>
        <w:rPr>
          <w:spacing w:val="18"/>
          <w:w w:val="105"/>
          <w:sz w:val="17"/>
        </w:rPr>
        <w:t> </w:t>
      </w:r>
      <w:r>
        <w:rPr>
          <w:w w:val="105"/>
          <w:sz w:val="17"/>
        </w:rPr>
        <w:t>urbana.</w:t>
      </w:r>
    </w:p>
    <w:p>
      <w:pPr>
        <w:pStyle w:val="BodyText"/>
        <w:spacing w:before="10"/>
        <w:rPr>
          <w:sz w:val="18"/>
        </w:rPr>
      </w:pPr>
    </w:p>
    <w:p>
      <w:pPr>
        <w:pStyle w:val="ListParagraph"/>
        <w:numPr>
          <w:ilvl w:val="0"/>
          <w:numId w:val="25"/>
        </w:numPr>
        <w:tabs>
          <w:tab w:pos="1239" w:val="left" w:leader="none"/>
        </w:tabs>
        <w:spacing w:line="254" w:lineRule="auto" w:before="85" w:after="0"/>
        <w:ind w:left="1238" w:right="530" w:hanging="360"/>
        <w:jc w:val="both"/>
        <w:rPr>
          <w:sz w:val="17"/>
        </w:rPr>
      </w:pPr>
      <w:r>
        <w:rPr>
          <w:w w:val="105"/>
          <w:sz w:val="17"/>
        </w:rPr>
        <w:t>Integrar las constancias de viabilidad que incluirán las opiniones técnicas o dictámenes que,</w:t>
      </w:r>
      <w:r>
        <w:rPr>
          <w:spacing w:val="49"/>
          <w:w w:val="105"/>
          <w:sz w:val="17"/>
        </w:rPr>
        <w:t> </w:t>
      </w:r>
      <w:r>
        <w:rPr>
          <w:w w:val="105"/>
          <w:sz w:val="17"/>
        </w:rPr>
        <w:t>en el ámbito de su competencia, expidan las instancias gubernamentales integrantes y participantes en la misma, en relación con un predio o proyecto</w:t>
      </w:r>
      <w:r>
        <w:rPr>
          <w:spacing w:val="28"/>
          <w:w w:val="105"/>
          <w:sz w:val="17"/>
        </w:rPr>
        <w:t> </w:t>
      </w:r>
      <w:r>
        <w:rPr>
          <w:w w:val="105"/>
          <w:sz w:val="17"/>
        </w:rPr>
        <w:t>determinado.</w:t>
      </w:r>
    </w:p>
    <w:p>
      <w:pPr>
        <w:pStyle w:val="BodyText"/>
        <w:spacing w:before="4"/>
        <w:rPr>
          <w:sz w:val="16"/>
        </w:rPr>
      </w:pPr>
    </w:p>
    <w:p>
      <w:pPr>
        <w:pStyle w:val="ListParagraph"/>
        <w:numPr>
          <w:ilvl w:val="0"/>
          <w:numId w:val="25"/>
        </w:numPr>
        <w:tabs>
          <w:tab w:pos="1239" w:val="left" w:leader="none"/>
        </w:tabs>
        <w:spacing w:line="254" w:lineRule="auto" w:before="85" w:after="0"/>
        <w:ind w:left="1238" w:right="529" w:hanging="360"/>
        <w:jc w:val="both"/>
        <w:rPr>
          <w:sz w:val="17"/>
        </w:rPr>
      </w:pPr>
      <w:r>
        <w:rPr>
          <w:w w:val="105"/>
          <w:sz w:val="17"/>
        </w:rPr>
        <w:t>A petición de la SEDUR, dar seguimiento a la ejecución de las obras de urbanización, infraestructura y equipamiento urbano de los conjuntos urbanos, subdivisiones y condominios, a efecto de que los integrantes y participantes de la misma, rindan informes respecto del avance físico de las obras que correspondan al ámbito de su</w:t>
      </w:r>
      <w:r>
        <w:rPr>
          <w:spacing w:val="30"/>
          <w:w w:val="105"/>
          <w:sz w:val="17"/>
        </w:rPr>
        <w:t> </w:t>
      </w:r>
      <w:r>
        <w:rPr>
          <w:w w:val="105"/>
          <w:sz w:val="17"/>
        </w:rPr>
        <w:t>competencia.</w:t>
      </w:r>
    </w:p>
    <w:p>
      <w:pPr>
        <w:pStyle w:val="BodyText"/>
        <w:spacing w:before="8"/>
        <w:rPr>
          <w:sz w:val="14"/>
        </w:rPr>
      </w:pPr>
    </w:p>
    <w:p>
      <w:pPr>
        <w:pStyle w:val="ListParagraph"/>
        <w:numPr>
          <w:ilvl w:val="0"/>
          <w:numId w:val="25"/>
        </w:numPr>
        <w:tabs>
          <w:tab w:pos="1239" w:val="left" w:leader="none"/>
        </w:tabs>
        <w:spacing w:line="254" w:lineRule="auto" w:before="85" w:after="0"/>
        <w:ind w:left="1238" w:right="531" w:hanging="360"/>
        <w:jc w:val="both"/>
        <w:rPr>
          <w:sz w:val="17"/>
        </w:rPr>
      </w:pPr>
      <w:r>
        <w:rPr>
          <w:w w:val="105"/>
          <w:sz w:val="17"/>
        </w:rPr>
        <w:t>Proponer a las autoridades competentes la adopción de las medidas necesarias  para  la mejora regulatoria y la desgravación de los procesos de administración y operación urbana y de producción de</w:t>
      </w:r>
      <w:r>
        <w:rPr>
          <w:spacing w:val="10"/>
          <w:w w:val="105"/>
          <w:sz w:val="17"/>
        </w:rPr>
        <w:t> </w:t>
      </w:r>
      <w:r>
        <w:rPr>
          <w:w w:val="105"/>
          <w:sz w:val="17"/>
        </w:rPr>
        <w:t>vivienda.</w:t>
      </w:r>
    </w:p>
    <w:p>
      <w:pPr>
        <w:pStyle w:val="BodyText"/>
        <w:spacing w:before="1"/>
        <w:rPr>
          <w:sz w:val="15"/>
        </w:rPr>
      </w:pPr>
    </w:p>
    <w:p>
      <w:pPr>
        <w:pStyle w:val="ListParagraph"/>
        <w:numPr>
          <w:ilvl w:val="0"/>
          <w:numId w:val="25"/>
        </w:numPr>
        <w:tabs>
          <w:tab w:pos="1238" w:val="left" w:leader="none"/>
          <w:tab w:pos="1239" w:val="left" w:leader="none"/>
        </w:tabs>
        <w:spacing w:line="254" w:lineRule="auto" w:before="85" w:after="0"/>
        <w:ind w:left="1238" w:right="530" w:hanging="360"/>
        <w:jc w:val="left"/>
        <w:rPr>
          <w:sz w:val="17"/>
        </w:rPr>
      </w:pPr>
      <w:r>
        <w:rPr>
          <w:w w:val="105"/>
          <w:sz w:val="17"/>
        </w:rPr>
        <w:t>Promover medidas y mecanismos para simplificar y agilizar los procedimientos de autorización de trámites en la</w:t>
      </w:r>
      <w:r>
        <w:rPr>
          <w:spacing w:val="9"/>
          <w:w w:val="105"/>
          <w:sz w:val="17"/>
        </w:rPr>
        <w:t> </w:t>
      </w:r>
      <w:r>
        <w:rPr>
          <w:w w:val="105"/>
          <w:sz w:val="17"/>
        </w:rPr>
        <w:t>materia.</w:t>
      </w:r>
    </w:p>
    <w:p>
      <w:pPr>
        <w:pStyle w:val="BodyText"/>
        <w:spacing w:before="6"/>
        <w:rPr>
          <w:sz w:val="20"/>
        </w:rPr>
      </w:pPr>
    </w:p>
    <w:p>
      <w:pPr>
        <w:pStyle w:val="ListParagraph"/>
        <w:numPr>
          <w:ilvl w:val="0"/>
          <w:numId w:val="25"/>
        </w:numPr>
        <w:tabs>
          <w:tab w:pos="1239" w:val="left" w:leader="none"/>
        </w:tabs>
        <w:spacing w:line="271" w:lineRule="auto" w:before="85" w:after="0"/>
        <w:ind w:left="1238" w:right="529" w:hanging="360"/>
        <w:jc w:val="both"/>
        <w:rPr>
          <w:sz w:val="17"/>
        </w:rPr>
      </w:pPr>
      <w:r>
        <w:rPr>
          <w:w w:val="105"/>
          <w:sz w:val="17"/>
        </w:rPr>
        <w:t>Proponer programas, acciones y proyectos estratégicos en materia de desarrollo urbano; Proponer ante las instancias correspondientes, proyectos de inversión y financiamiento para   el desarrollo</w:t>
      </w:r>
      <w:r>
        <w:rPr>
          <w:spacing w:val="6"/>
          <w:w w:val="105"/>
          <w:sz w:val="17"/>
        </w:rPr>
        <w:t> </w:t>
      </w:r>
      <w:r>
        <w:rPr>
          <w:w w:val="105"/>
          <w:sz w:val="17"/>
        </w:rPr>
        <w:t>urbano.</w:t>
      </w:r>
    </w:p>
    <w:p>
      <w:pPr>
        <w:pStyle w:val="BodyText"/>
        <w:rPr>
          <w:sz w:val="19"/>
        </w:rPr>
      </w:pPr>
    </w:p>
    <w:p>
      <w:pPr>
        <w:pStyle w:val="ListParagraph"/>
        <w:numPr>
          <w:ilvl w:val="0"/>
          <w:numId w:val="25"/>
        </w:numPr>
        <w:tabs>
          <w:tab w:pos="1238" w:val="left" w:leader="none"/>
          <w:tab w:pos="1239" w:val="left" w:leader="none"/>
        </w:tabs>
        <w:spacing w:line="254" w:lineRule="auto" w:before="84" w:after="0"/>
        <w:ind w:left="1238" w:right="530" w:hanging="360"/>
        <w:jc w:val="left"/>
        <w:rPr>
          <w:sz w:val="17"/>
        </w:rPr>
      </w:pPr>
      <w:r>
        <w:rPr>
          <w:w w:val="105"/>
          <w:sz w:val="17"/>
        </w:rPr>
        <w:t>Promover investigaciones científicas y tecnológicas sobre desarrollo urbano y vivienda, así como formular recomendaciones sobre la normatividad</w:t>
      </w:r>
      <w:r>
        <w:rPr>
          <w:spacing w:val="23"/>
          <w:w w:val="105"/>
          <w:sz w:val="17"/>
        </w:rPr>
        <w:t> </w:t>
      </w:r>
      <w:r>
        <w:rPr>
          <w:w w:val="105"/>
          <w:sz w:val="17"/>
        </w:rPr>
        <w:t>respectiva.</w:t>
      </w:r>
    </w:p>
    <w:p>
      <w:pPr>
        <w:pStyle w:val="BodyText"/>
        <w:spacing w:before="6"/>
        <w:rPr>
          <w:sz w:val="22"/>
        </w:rPr>
      </w:pPr>
    </w:p>
    <w:p>
      <w:pPr>
        <w:spacing w:line="376" w:lineRule="auto" w:before="0"/>
        <w:ind w:left="268" w:right="0" w:firstLine="0"/>
        <w:jc w:val="left"/>
        <w:rPr>
          <w:sz w:val="21"/>
        </w:rPr>
      </w:pPr>
      <w:r>
        <w:rPr>
          <w:w w:val="105"/>
          <w:sz w:val="21"/>
        </w:rPr>
        <w:t>Fuente: Elaboración propia, con base en el reglamento interno de la Comisión Estatal de Desarrollo Urbano y Vivienda, así como al portal de la SEDUM 2015.</w:t>
      </w:r>
    </w:p>
    <w:p>
      <w:pPr>
        <w:spacing w:after="0" w:line="376" w:lineRule="auto"/>
        <w:jc w:val="left"/>
        <w:rPr>
          <w:sz w:val="21"/>
        </w:rPr>
        <w:sectPr>
          <w:footerReference w:type="default" r:id="rId353"/>
          <w:pgSz w:w="12240" w:h="15840"/>
          <w:pgMar w:footer="1066" w:header="730" w:top="1320" w:bottom="1260" w:left="1720" w:right="1180"/>
          <w:pgNumType w:start="261"/>
        </w:sectPr>
      </w:pPr>
    </w:p>
    <w:p>
      <w:pPr>
        <w:pStyle w:val="BodyText"/>
        <w:spacing w:before="1"/>
        <w:rPr>
          <w:sz w:val="18"/>
        </w:rPr>
      </w:pPr>
    </w:p>
    <w:p>
      <w:pPr>
        <w:pStyle w:val="BodyText"/>
        <w:spacing w:before="69" w:after="12"/>
        <w:ind w:left="268"/>
      </w:pPr>
      <w:r>
        <w:rPr/>
        <w:pict>
          <v:line style="position:absolute;mso-position-horizontal-relative:page;mso-position-vertical-relative:paragraph;z-index:19696" from="93.199997pt,-19.614155pt" to="546.799997pt,-19.614155pt" stroked="true" strokeweight=".479981pt" strokecolor="#000000">
            <w10:wrap type="none"/>
          </v:line>
        </w:pict>
      </w:r>
      <w:r>
        <w:rPr/>
        <w:t>Tabla 39.  Obras de urbanización</w:t>
      </w:r>
    </w:p>
    <w:p>
      <w:pPr>
        <w:pStyle w:val="BodyText"/>
        <w:ind w:left="273"/>
        <w:rPr>
          <w:sz w:val="20"/>
        </w:rPr>
      </w:pPr>
      <w:r>
        <w:rPr>
          <w:sz w:val="20"/>
        </w:rPr>
        <w:pict>
          <v:group style="width:439pt;height:98.65pt;mso-position-horizontal-relative:char;mso-position-vertical-relative:line" coordorigin="0,0" coordsize="8780,1973">
            <v:rect style="position:absolute;left:0;top:0;width:8779;height:888" filled="true" fillcolor="#191919" stroked="false">
              <v:fill type="solid"/>
            </v:rect>
            <v:rect style="position:absolute;left:101;top:211;width:8573;height:230" filled="true" fillcolor="#191919" stroked="false">
              <v:fill type="solid"/>
            </v:rect>
            <v:rect style="position:absolute;left:101;top:442;width:8573;height:230" filled="true" fillcolor="#191919" stroked="false">
              <v:fill type="solid"/>
            </v:rect>
            <v:rect style="position:absolute;left:0;top:898;width:8779;height:518" filled="true" fillcolor="#e6e6e6" stroked="false">
              <v:fill type="solid"/>
            </v:rect>
            <v:rect style="position:absolute;left:101;top:950;width:8573;height:206" filled="true" fillcolor="#e6e6e6" stroked="false">
              <v:fill type="solid"/>
            </v:rect>
            <v:rect style="position:absolute;left:101;top:1157;width:8573;height:206" filled="true" fillcolor="#e6e6e6" stroked="false">
              <v:fill type="solid"/>
            </v:rect>
            <v:rect style="position:absolute;left:0;top:1426;width:8779;height:547" filled="true" fillcolor="#f3f3f3" stroked="false">
              <v:fill type="solid"/>
            </v:rect>
            <v:rect style="position:absolute;left:101;top:1493;width:8573;height:206" filled="true" fillcolor="#f3f3f3" stroked="false">
              <v:fill type="solid"/>
            </v:rect>
            <v:rect style="position:absolute;left:101;top:1699;width:8573;height:206" filled="true" fillcolor="#f3f3f3" stroked="false">
              <v:fill type="solid"/>
            </v:rect>
            <v:shape style="position:absolute;left:3353;top:234;width:2068;height:428" type="#_x0000_t202" filled="false" stroked="false">
              <v:textbox inset="0,0,0,0">
                <w:txbxContent>
                  <w:p>
                    <w:pPr>
                      <w:spacing w:line="200" w:lineRule="exact" w:before="0"/>
                      <w:ind w:left="0" w:right="0" w:firstLine="0"/>
                      <w:jc w:val="center"/>
                      <w:rPr>
                        <w:sz w:val="19"/>
                      </w:rPr>
                    </w:pPr>
                    <w:r>
                      <w:rPr>
                        <w:color w:val="FFFFFF"/>
                        <w:w w:val="105"/>
                        <w:sz w:val="19"/>
                      </w:rPr>
                      <w:t>Obras de urbanización.</w:t>
                    </w:r>
                  </w:p>
                  <w:p>
                    <w:pPr>
                      <w:spacing w:line="216" w:lineRule="exact" w:before="12"/>
                      <w:ind w:left="0" w:right="0" w:firstLine="0"/>
                      <w:jc w:val="center"/>
                      <w:rPr>
                        <w:sz w:val="19"/>
                      </w:rPr>
                    </w:pPr>
                    <w:r>
                      <w:rPr>
                        <w:color w:val="FFFFFF"/>
                        <w:w w:val="105"/>
                        <w:sz w:val="19"/>
                      </w:rPr>
                      <w:t>(Art. 58 del RL5to)</w:t>
                    </w:r>
                  </w:p>
                </w:txbxContent>
              </v:textbox>
              <w10:wrap type="none"/>
            </v:shape>
            <v:shape style="position:absolute;left:101;top:974;width:8574;height:927" type="#_x0000_t202" filled="false" stroked="false">
              <v:textbox inset="0,0,0,0">
                <w:txbxContent>
                  <w:p>
                    <w:pPr>
                      <w:numPr>
                        <w:ilvl w:val="0"/>
                        <w:numId w:val="26"/>
                      </w:numPr>
                      <w:tabs>
                        <w:tab w:pos="201" w:val="left" w:leader="none"/>
                      </w:tabs>
                      <w:spacing w:line="180" w:lineRule="exact" w:before="0"/>
                      <w:ind w:left="0" w:right="0" w:firstLine="0"/>
                      <w:jc w:val="left"/>
                      <w:rPr>
                        <w:sz w:val="17"/>
                      </w:rPr>
                    </w:pPr>
                    <w:r>
                      <w:rPr>
                        <w:w w:val="105"/>
                        <w:sz w:val="17"/>
                      </w:rPr>
                      <w:t>Red de distribución de agua potable y los sistemas que se emplearán para el ahorro, reusó y</w:t>
                    </w:r>
                    <w:r>
                      <w:rPr>
                        <w:spacing w:val="38"/>
                        <w:w w:val="105"/>
                        <w:sz w:val="17"/>
                      </w:rPr>
                      <w:t> </w:t>
                    </w:r>
                    <w:r>
                      <w:rPr>
                        <w:w w:val="105"/>
                        <w:sz w:val="17"/>
                      </w:rPr>
                      <w:t>tratamiento</w:t>
                    </w:r>
                  </w:p>
                  <w:p>
                    <w:pPr>
                      <w:spacing w:before="11"/>
                      <w:ind w:left="0" w:right="0" w:firstLine="0"/>
                      <w:jc w:val="left"/>
                      <w:rPr>
                        <w:sz w:val="17"/>
                      </w:rPr>
                    </w:pPr>
                    <w:r>
                      <w:rPr>
                        <w:w w:val="105"/>
                        <w:sz w:val="17"/>
                      </w:rPr>
                      <w:t>del agua.</w:t>
                    </w:r>
                  </w:p>
                  <w:p>
                    <w:pPr>
                      <w:numPr>
                        <w:ilvl w:val="0"/>
                        <w:numId w:val="26"/>
                      </w:numPr>
                      <w:tabs>
                        <w:tab w:pos="207" w:val="left" w:leader="none"/>
                      </w:tabs>
                      <w:spacing w:line="254" w:lineRule="auto" w:before="140"/>
                      <w:ind w:left="0" w:right="0" w:firstLine="0"/>
                      <w:jc w:val="left"/>
                      <w:rPr>
                        <w:sz w:val="17"/>
                      </w:rPr>
                    </w:pPr>
                    <w:r>
                      <w:rPr>
                        <w:w w:val="105"/>
                        <w:sz w:val="17"/>
                      </w:rPr>
                      <w:t>Red separada de drenaje pluvial y sanitario y los sistemas para su manejo y tratamiento, así como para la infiltración del agua pluvial al subsuelo, que sean aprobados por la autoridad competente</w:t>
                    </w:r>
                    <w:r>
                      <w:rPr>
                        <w:spacing w:val="34"/>
                        <w:w w:val="105"/>
                        <w:sz w:val="17"/>
                      </w:rPr>
                      <w:t> </w:t>
                    </w:r>
                    <w:r>
                      <w:rPr>
                        <w:w w:val="105"/>
                        <w:sz w:val="17"/>
                      </w:rPr>
                      <w:t>respectiva.</w:t>
                    </w:r>
                  </w:p>
                </w:txbxContent>
              </v:textbox>
              <w10:wrap type="none"/>
            </v:shape>
          </v:group>
        </w:pict>
      </w:r>
      <w:r>
        <w:rPr>
          <w:sz w:val="20"/>
        </w:rPr>
      </w:r>
    </w:p>
    <w:p>
      <w:pPr>
        <w:tabs>
          <w:tab w:pos="9052" w:val="left" w:leader="none"/>
        </w:tabs>
        <w:spacing w:before="24"/>
        <w:ind w:left="273" w:right="0" w:firstLine="0"/>
        <w:jc w:val="left"/>
        <w:rPr>
          <w:sz w:val="17"/>
        </w:rPr>
      </w:pPr>
      <w:r>
        <w:rPr/>
        <w:pict>
          <v:group style="position:absolute;margin-left:99.68pt;margin-top:13.252878pt;width:439pt;height:21.15pt;mso-position-horizontal-relative:page;mso-position-vertical-relative:paragraph;z-index:19576;mso-wrap-distance-left:0;mso-wrap-distance-right:0" coordorigin="1994,265" coordsize="8780,423">
            <v:rect style="position:absolute;left:1994;top:270;width:8779;height:413" filled="true" fillcolor="#f3f3f3" stroked="false">
              <v:fill type="solid"/>
            </v:rect>
            <v:rect style="position:absolute;left:2094;top:371;width:8573;height:206" filled="true" fillcolor="#f3f3f3" stroked="false">
              <v:fill type="solid"/>
            </v:rect>
            <v:shape style="position:absolute;left:1994;top:265;width:8780;height:423" type="#_x0000_t202" filled="false" stroked="false">
              <v:textbox inset="0,0,0,0">
                <w:txbxContent>
                  <w:p>
                    <w:pPr>
                      <w:spacing w:before="114"/>
                      <w:ind w:left="100" w:right="0" w:firstLine="0"/>
                      <w:jc w:val="left"/>
                      <w:rPr>
                        <w:sz w:val="17"/>
                      </w:rPr>
                    </w:pPr>
                    <w:r>
                      <w:rPr>
                        <w:w w:val="105"/>
                        <w:sz w:val="17"/>
                      </w:rPr>
                      <w:t>4. Red de alumbrado público, debiéndose utilizar sistemas y elementos ahorradores de energía eléctrica.</w:t>
                    </w:r>
                  </w:p>
                </w:txbxContent>
              </v:textbox>
              <w10:wrap type="none"/>
            </v:shape>
            <w10:wrap type="topAndBottom"/>
          </v:group>
        </w:pict>
      </w:r>
      <w:r>
        <w:rPr>
          <w:w w:val="104"/>
          <w:sz w:val="17"/>
          <w:shd w:fill="E6E6E6" w:color="auto" w:val="clear"/>
        </w:rPr>
        <w:t> </w:t>
      </w:r>
      <w:r>
        <w:rPr>
          <w:spacing w:val="4"/>
          <w:sz w:val="17"/>
          <w:shd w:fill="E6E6E6" w:color="auto" w:val="clear"/>
        </w:rPr>
        <w:t> </w:t>
      </w:r>
      <w:r>
        <w:rPr>
          <w:w w:val="105"/>
          <w:sz w:val="17"/>
          <w:shd w:fill="E6E6E6" w:color="auto" w:val="clear"/>
        </w:rPr>
        <w:t>3. Red de distribución de energía</w:t>
      </w:r>
      <w:r>
        <w:rPr>
          <w:spacing w:val="13"/>
          <w:w w:val="105"/>
          <w:sz w:val="17"/>
          <w:shd w:fill="E6E6E6" w:color="auto" w:val="clear"/>
        </w:rPr>
        <w:t> </w:t>
      </w:r>
      <w:r>
        <w:rPr>
          <w:w w:val="105"/>
          <w:sz w:val="17"/>
          <w:shd w:fill="E6E6E6" w:color="auto" w:val="clear"/>
        </w:rPr>
        <w:t>eléctrica.</w:t>
      </w:r>
      <w:r>
        <w:rPr>
          <w:sz w:val="17"/>
          <w:shd w:fill="E6E6E6" w:color="auto" w:val="clear"/>
        </w:rPr>
        <w:tab/>
      </w:r>
    </w:p>
    <w:p>
      <w:pPr>
        <w:tabs>
          <w:tab w:pos="9052" w:val="left" w:leader="none"/>
        </w:tabs>
        <w:spacing w:before="13"/>
        <w:ind w:left="273" w:right="0" w:firstLine="0"/>
        <w:jc w:val="left"/>
        <w:rPr>
          <w:sz w:val="17"/>
        </w:rPr>
      </w:pPr>
      <w:r>
        <w:rPr>
          <w:w w:val="104"/>
          <w:sz w:val="17"/>
          <w:shd w:fill="E6E6E6" w:color="auto" w:val="clear"/>
        </w:rPr>
        <w:t> </w:t>
      </w:r>
      <w:r>
        <w:rPr>
          <w:spacing w:val="4"/>
          <w:sz w:val="17"/>
          <w:shd w:fill="E6E6E6" w:color="auto" w:val="clear"/>
        </w:rPr>
        <w:t> </w:t>
      </w:r>
      <w:r>
        <w:rPr>
          <w:w w:val="105"/>
          <w:sz w:val="17"/>
          <w:shd w:fill="E6E6E6" w:color="auto" w:val="clear"/>
        </w:rPr>
        <w:t>5. Guarniciones y</w:t>
      </w:r>
      <w:r>
        <w:rPr>
          <w:spacing w:val="9"/>
          <w:w w:val="105"/>
          <w:sz w:val="17"/>
          <w:shd w:fill="E6E6E6" w:color="auto" w:val="clear"/>
        </w:rPr>
        <w:t> </w:t>
      </w:r>
      <w:r>
        <w:rPr>
          <w:w w:val="105"/>
          <w:sz w:val="17"/>
          <w:shd w:fill="E6E6E6" w:color="auto" w:val="clear"/>
        </w:rPr>
        <w:t>banquetas.</w:t>
      </w:r>
      <w:r>
        <w:rPr>
          <w:sz w:val="17"/>
          <w:shd w:fill="E6E6E6" w:color="auto" w:val="clear"/>
        </w:rPr>
        <w:tab/>
      </w:r>
    </w:p>
    <w:p>
      <w:pPr>
        <w:tabs>
          <w:tab w:pos="9052" w:val="left" w:leader="none"/>
        </w:tabs>
        <w:spacing w:before="92"/>
        <w:ind w:left="273" w:right="0" w:firstLine="0"/>
        <w:jc w:val="left"/>
        <w:rPr>
          <w:sz w:val="17"/>
        </w:rPr>
      </w:pPr>
      <w:r>
        <w:rPr>
          <w:w w:val="104"/>
          <w:sz w:val="17"/>
          <w:shd w:fill="F3F3F3" w:color="auto" w:val="clear"/>
        </w:rPr>
        <w:t> </w:t>
      </w:r>
      <w:r>
        <w:rPr>
          <w:spacing w:val="4"/>
          <w:sz w:val="17"/>
          <w:shd w:fill="F3F3F3" w:color="auto" w:val="clear"/>
        </w:rPr>
        <w:t> </w:t>
      </w:r>
      <w:r>
        <w:rPr>
          <w:w w:val="105"/>
          <w:sz w:val="17"/>
          <w:shd w:fill="F3F3F3" w:color="auto" w:val="clear"/>
        </w:rPr>
        <w:t>6. Pavimento en arroyo de calles y en su caso, en estacionamientos y</w:t>
      </w:r>
      <w:r>
        <w:rPr>
          <w:spacing w:val="32"/>
          <w:w w:val="105"/>
          <w:sz w:val="17"/>
          <w:shd w:fill="F3F3F3" w:color="auto" w:val="clear"/>
        </w:rPr>
        <w:t> </w:t>
      </w:r>
      <w:r>
        <w:rPr>
          <w:w w:val="105"/>
          <w:sz w:val="17"/>
          <w:shd w:fill="F3F3F3" w:color="auto" w:val="clear"/>
        </w:rPr>
        <w:t>andadores.</w:t>
      </w:r>
      <w:r>
        <w:rPr>
          <w:sz w:val="17"/>
          <w:shd w:fill="F3F3F3" w:color="auto" w:val="clear"/>
        </w:rPr>
        <w:tab/>
      </w:r>
    </w:p>
    <w:p>
      <w:pPr>
        <w:tabs>
          <w:tab w:pos="9052" w:val="left" w:leader="none"/>
        </w:tabs>
        <w:spacing w:before="92"/>
        <w:ind w:left="273" w:right="0" w:firstLine="0"/>
        <w:jc w:val="left"/>
        <w:rPr>
          <w:sz w:val="17"/>
        </w:rPr>
      </w:pPr>
      <w:r>
        <w:rPr>
          <w:w w:val="104"/>
          <w:sz w:val="17"/>
          <w:shd w:fill="E6E6E6" w:color="auto" w:val="clear"/>
        </w:rPr>
        <w:t> </w:t>
      </w:r>
      <w:r>
        <w:rPr>
          <w:spacing w:val="4"/>
          <w:sz w:val="17"/>
          <w:shd w:fill="E6E6E6" w:color="auto" w:val="clear"/>
        </w:rPr>
        <w:t> </w:t>
      </w:r>
      <w:r>
        <w:rPr>
          <w:w w:val="105"/>
          <w:sz w:val="17"/>
          <w:shd w:fill="E6E6E6" w:color="auto" w:val="clear"/>
        </w:rPr>
        <w:t>7. Jardinería y</w:t>
      </w:r>
      <w:r>
        <w:rPr>
          <w:spacing w:val="6"/>
          <w:w w:val="105"/>
          <w:sz w:val="17"/>
          <w:shd w:fill="E6E6E6" w:color="auto" w:val="clear"/>
        </w:rPr>
        <w:t> </w:t>
      </w:r>
      <w:r>
        <w:rPr>
          <w:w w:val="105"/>
          <w:sz w:val="17"/>
          <w:shd w:fill="E6E6E6" w:color="auto" w:val="clear"/>
        </w:rPr>
        <w:t>forestación.</w:t>
      </w:r>
      <w:r>
        <w:rPr>
          <w:sz w:val="17"/>
          <w:shd w:fill="E6E6E6" w:color="auto" w:val="clear"/>
        </w:rPr>
        <w:tab/>
      </w:r>
    </w:p>
    <w:p>
      <w:pPr>
        <w:tabs>
          <w:tab w:pos="9052" w:val="left" w:leader="none"/>
        </w:tabs>
        <w:spacing w:before="83"/>
        <w:ind w:left="273" w:right="0" w:firstLine="0"/>
        <w:jc w:val="left"/>
        <w:rPr>
          <w:sz w:val="17"/>
        </w:rPr>
      </w:pPr>
      <w:r>
        <w:rPr>
          <w:w w:val="104"/>
          <w:sz w:val="17"/>
          <w:shd w:fill="F3F3F3" w:color="auto" w:val="clear"/>
        </w:rPr>
        <w:t> </w:t>
      </w:r>
      <w:r>
        <w:rPr>
          <w:spacing w:val="4"/>
          <w:sz w:val="17"/>
          <w:shd w:fill="F3F3F3" w:color="auto" w:val="clear"/>
        </w:rPr>
        <w:t> </w:t>
      </w:r>
      <w:r>
        <w:rPr>
          <w:w w:val="105"/>
          <w:sz w:val="17"/>
          <w:shd w:fill="F3F3F3" w:color="auto" w:val="clear"/>
        </w:rPr>
        <w:t>8. Sistema de nomenclatura para las vías</w:t>
      </w:r>
      <w:r>
        <w:rPr>
          <w:spacing w:val="18"/>
          <w:w w:val="105"/>
          <w:sz w:val="17"/>
          <w:shd w:fill="F3F3F3" w:color="auto" w:val="clear"/>
        </w:rPr>
        <w:t> </w:t>
      </w:r>
      <w:r>
        <w:rPr>
          <w:w w:val="105"/>
          <w:sz w:val="17"/>
          <w:shd w:fill="F3F3F3" w:color="auto" w:val="clear"/>
        </w:rPr>
        <w:t>públicas.</w:t>
      </w:r>
      <w:r>
        <w:rPr>
          <w:sz w:val="17"/>
          <w:shd w:fill="F3F3F3" w:color="auto" w:val="clear"/>
        </w:rPr>
        <w:tab/>
      </w:r>
    </w:p>
    <w:p>
      <w:pPr>
        <w:tabs>
          <w:tab w:pos="9052" w:val="left" w:leader="none"/>
        </w:tabs>
        <w:spacing w:before="87"/>
        <w:ind w:left="273" w:right="0" w:firstLine="0"/>
        <w:jc w:val="left"/>
        <w:rPr>
          <w:sz w:val="17"/>
        </w:rPr>
      </w:pPr>
      <w:r>
        <w:rPr/>
        <w:pict>
          <v:group style="position:absolute;margin-left:99.68pt;margin-top:16.402905pt;width:439pt;height:204.75pt;mso-position-horizontal-relative:page;mso-position-vertical-relative:paragraph;z-index:19672;mso-wrap-distance-left:0;mso-wrap-distance-right:0" coordorigin="1994,328" coordsize="8780,4095">
            <v:rect style="position:absolute;left:1994;top:333;width:8779;height:552" filled="true" fillcolor="#f3f3f3" stroked="false">
              <v:fill type="solid"/>
            </v:rect>
            <v:rect style="position:absolute;left:2094;top:405;width:8573;height:206" filled="true" fillcolor="#f3f3f3" stroked="false">
              <v:fill type="solid"/>
            </v:rect>
            <v:rect style="position:absolute;left:2094;top:611;width:8573;height:206" filled="true" fillcolor="#f3f3f3" stroked="false">
              <v:fill type="solid"/>
            </v:rect>
            <v:rect style="position:absolute;left:1994;top:899;width:8779;height:1118" filled="true" fillcolor="#e6e6e6" stroked="false">
              <v:fill type="solid"/>
            </v:rect>
            <v:rect style="position:absolute;left:2094;top:1043;width:8573;height:206" filled="true" fillcolor="#e6e6e6" stroked="false">
              <v:fill type="solid"/>
            </v:rect>
            <v:rect style="position:absolute;left:2094;top:1250;width:8573;height:206" filled="true" fillcolor="#e6e6e6" stroked="false">
              <v:fill type="solid"/>
            </v:rect>
            <v:rect style="position:absolute;left:2094;top:1456;width:8573;height:206" filled="true" fillcolor="#e6e6e6" stroked="false">
              <v:fill type="solid"/>
            </v:rect>
            <v:rect style="position:absolute;left:2094;top:1662;width:8573;height:206" filled="true" fillcolor="#e6e6e6" stroked="false">
              <v:fill type="solid"/>
            </v:rect>
            <v:rect style="position:absolute;left:1994;top:2027;width:8779;height:2395" filled="true" fillcolor="#e6e6e6" stroked="false">
              <v:fill type="solid"/>
            </v:rect>
            <v:rect style="position:absolute;left:2094;top:2085;width:8573;height:206" filled="true" fillcolor="#e6e6e6" stroked="false">
              <v:fill type="solid"/>
            </v:rect>
            <v:rect style="position:absolute;left:2094;top:2291;width:8573;height:206" filled="true" fillcolor="#e6e6e6" stroked="false">
              <v:fill type="solid"/>
            </v:rect>
            <v:rect style="position:absolute;left:2094;top:2498;width:8573;height:211" filled="true" fillcolor="#e6e6e6" stroked="false">
              <v:fill type="solid"/>
            </v:rect>
            <v:rect style="position:absolute;left:2094;top:2709;width:8573;height:206" filled="true" fillcolor="#e6e6e6" stroked="false">
              <v:fill type="solid"/>
            </v:rect>
            <v:rect style="position:absolute;left:2094;top:2915;width:8573;height:206" filled="true" fillcolor="#e6e6e6" stroked="false">
              <v:fill type="solid"/>
            </v:rect>
            <v:rect style="position:absolute;left:2094;top:3122;width:8573;height:206" filled="true" fillcolor="#e6e6e6" stroked="false">
              <v:fill type="solid"/>
            </v:rect>
            <v:rect style="position:absolute;left:2094;top:3328;width:8573;height:206" filled="true" fillcolor="#e6e6e6" stroked="false">
              <v:fill type="solid"/>
            </v:rect>
            <v:rect style="position:absolute;left:2094;top:3534;width:8573;height:206" filled="true" fillcolor="#e6e6e6" stroked="false">
              <v:fill type="solid"/>
            </v:rect>
            <v:rect style="position:absolute;left:2094;top:3741;width:8573;height:206" filled="true" fillcolor="#e6e6e6" stroked="false">
              <v:fill type="solid"/>
            </v:rect>
            <v:rect style="position:absolute;left:2094;top:3947;width:8573;height:206" filled="true" fillcolor="#e6e6e6" stroked="false">
              <v:fill type="solid"/>
            </v:rect>
            <v:rect style="position:absolute;left:2094;top:4154;width:8573;height:211" filled="true" fillcolor="#e6e6e6" stroked="false">
              <v:fill type="solid"/>
            </v:rect>
            <v:shape style="position:absolute;left:1994;top:328;width:8780;height:564" type="#_x0000_t202" filled="false" stroked="false">
              <v:textbox inset="0,0,0,0">
                <w:txbxContent>
                  <w:p>
                    <w:pPr>
                      <w:spacing w:line="254" w:lineRule="auto" w:before="85"/>
                      <w:ind w:left="100" w:right="0" w:firstLine="0"/>
                      <w:jc w:val="left"/>
                      <w:rPr>
                        <w:sz w:val="17"/>
                      </w:rPr>
                    </w:pPr>
                    <w:r>
                      <w:rPr>
                        <w:w w:val="105"/>
                        <w:sz w:val="17"/>
                      </w:rPr>
                      <w:t>10. Cuando corresponda, las obras de infraestructura primaria que se requiera para incorporar el conjunto urbano a las áreas urbanas y sus servicios.</w:t>
                    </w:r>
                  </w:p>
                </w:txbxContent>
              </v:textbox>
              <w10:wrap type="none"/>
            </v:shape>
            <v:shape style="position:absolute;left:1994;top:892;width:8780;height:1131" type="#_x0000_t202" filled="false" stroked="false">
              <v:textbox inset="0,0,0,0">
                <w:txbxContent>
                  <w:p>
                    <w:pPr>
                      <w:spacing w:line="254" w:lineRule="auto" w:before="159"/>
                      <w:ind w:left="100" w:right="103" w:firstLine="0"/>
                      <w:jc w:val="both"/>
                      <w:rPr>
                        <w:sz w:val="17"/>
                      </w:rPr>
                    </w:pPr>
                    <w:r>
                      <w:rPr>
                        <w:w w:val="105"/>
                        <w:sz w:val="17"/>
                      </w:rPr>
                      <w:t>11. En su caso el proyecto de las redes de alcantarillado debe prever la planta o sistema de tratamiento de aguas residuales, para su posterior descarga, o bien, cuando esté prevista la  construcción  de  macroplantas o sistemas de tratamiento regional, hacer la aportación económica equivalente a la Comisión del Agua del Estado de México o al respectivo organismo operador municipal, según</w:t>
                    </w:r>
                    <w:r>
                      <w:rPr>
                        <w:spacing w:val="37"/>
                        <w:w w:val="105"/>
                        <w:sz w:val="17"/>
                      </w:rPr>
                      <w:t> </w:t>
                    </w:r>
                    <w:r>
                      <w:rPr>
                        <w:w w:val="105"/>
                        <w:sz w:val="17"/>
                      </w:rPr>
                      <w:t>corresponda.</w:t>
                    </w:r>
                  </w:p>
                </w:txbxContent>
              </v:textbox>
              <w10:wrap type="none"/>
            </v:shape>
            <v:shape style="position:absolute;left:1994;top:2022;width:8780;height:2400" type="#_x0000_t202" filled="false" stroked="false">
              <v:textbox inset="0,0,0,0">
                <w:txbxContent>
                  <w:p>
                    <w:pPr>
                      <w:spacing w:line="254" w:lineRule="auto" w:before="71"/>
                      <w:ind w:left="100" w:right="103" w:firstLine="0"/>
                      <w:jc w:val="both"/>
                      <w:rPr>
                        <w:sz w:val="17"/>
                      </w:rPr>
                    </w:pPr>
                    <w:r>
                      <w:rPr>
                        <w:w w:val="105"/>
                        <w:sz w:val="17"/>
                      </w:rPr>
                      <w:t>12. Las obras de urbanización al interior de los conjuntos urbanos, comprenderán igualmente las instalaciones y obras de infraestructura complementarias para su operación, tales como tanque elevado de agua potable, cárcamo, pozos de absorción y demás que sean necesarias.</w:t>
                    </w:r>
                  </w:p>
                  <w:p>
                    <w:pPr>
                      <w:spacing w:line="254" w:lineRule="auto" w:before="4"/>
                      <w:ind w:left="100" w:right="102" w:firstLine="0"/>
                      <w:jc w:val="both"/>
                      <w:rPr>
                        <w:sz w:val="17"/>
                      </w:rPr>
                    </w:pPr>
                    <w:r>
                      <w:rPr>
                        <w:w w:val="105"/>
                        <w:sz w:val="17"/>
                      </w:rPr>
                      <w:t>Los proyectos de abastecimiento de agua potable, así como de suministro de energía eléctrica, deberán observar las Normas Oficiales Mexicanas (NOM) correspondientes, para garantizar el ahorro en sus consumos.</w:t>
                    </w:r>
                  </w:p>
                  <w:p>
                    <w:pPr>
                      <w:spacing w:line="254" w:lineRule="auto" w:before="0"/>
                      <w:ind w:left="100" w:right="101" w:firstLine="0"/>
                      <w:jc w:val="both"/>
                      <w:rPr>
                        <w:sz w:val="17"/>
                      </w:rPr>
                    </w:pPr>
                    <w:r>
                      <w:rPr>
                        <w:w w:val="105"/>
                        <w:sz w:val="17"/>
                      </w:rPr>
                      <w:t>El riego de parques, jardines y en general de áreas verdes, se deberá de realizar preferentemente con</w:t>
                    </w:r>
                    <w:r>
                      <w:rPr>
                        <w:spacing w:val="49"/>
                        <w:w w:val="105"/>
                        <w:sz w:val="17"/>
                      </w:rPr>
                      <w:t> </w:t>
                    </w:r>
                    <w:r>
                      <w:rPr>
                        <w:w w:val="105"/>
                        <w:sz w:val="17"/>
                      </w:rPr>
                      <w:t>agua no potable, sea que provenga de plantas de tratamiento, suministrada por los sistemas propios de cada desarrollo o de otras</w:t>
                    </w:r>
                    <w:r>
                      <w:rPr>
                        <w:spacing w:val="10"/>
                        <w:w w:val="105"/>
                        <w:sz w:val="17"/>
                      </w:rPr>
                      <w:t> </w:t>
                    </w:r>
                    <w:r>
                      <w:rPr>
                        <w:w w:val="105"/>
                        <w:sz w:val="17"/>
                      </w:rPr>
                      <w:t>fuentes.</w:t>
                    </w:r>
                  </w:p>
                  <w:p>
                    <w:pPr>
                      <w:spacing w:line="254" w:lineRule="auto" w:before="0"/>
                      <w:ind w:left="100" w:right="102" w:firstLine="0"/>
                      <w:jc w:val="both"/>
                      <w:rPr>
                        <w:sz w:val="17"/>
                      </w:rPr>
                    </w:pPr>
                    <w:r>
                      <w:rPr>
                        <w:w w:val="105"/>
                        <w:sz w:val="17"/>
                      </w:rPr>
                      <w:t>Cuando derivado de los estudios de mecánica de suelos se determine que existen las condiciones para</w:t>
                    </w:r>
                    <w:r>
                      <w:rPr>
                        <w:spacing w:val="49"/>
                        <w:w w:val="105"/>
                        <w:sz w:val="17"/>
                      </w:rPr>
                      <w:t> </w:t>
                    </w:r>
                    <w:r>
                      <w:rPr>
                        <w:w w:val="105"/>
                        <w:sz w:val="17"/>
                      </w:rPr>
                      <w:t>ello, se procurará la infiltración al subsuelo de los efluentes provenientes de precipitaciones</w:t>
                    </w:r>
                    <w:r>
                      <w:rPr>
                        <w:spacing w:val="31"/>
                        <w:w w:val="105"/>
                        <w:sz w:val="17"/>
                      </w:rPr>
                      <w:t> </w:t>
                    </w:r>
                    <w:r>
                      <w:rPr>
                        <w:w w:val="105"/>
                        <w:sz w:val="17"/>
                      </w:rPr>
                      <w:t>pluviales.</w:t>
                    </w:r>
                  </w:p>
                </w:txbxContent>
              </v:textbox>
              <w10:wrap type="none"/>
            </v:shape>
            <w10:wrap type="topAndBottom"/>
          </v:group>
        </w:pict>
      </w:r>
      <w:r>
        <w:rPr>
          <w:w w:val="104"/>
          <w:sz w:val="17"/>
          <w:shd w:fill="E6E6E6" w:color="auto" w:val="clear"/>
        </w:rPr>
        <w:t> </w:t>
      </w:r>
      <w:r>
        <w:rPr>
          <w:spacing w:val="4"/>
          <w:sz w:val="17"/>
          <w:shd w:fill="E6E6E6" w:color="auto" w:val="clear"/>
        </w:rPr>
        <w:t> </w:t>
      </w:r>
      <w:r>
        <w:rPr>
          <w:w w:val="105"/>
          <w:sz w:val="17"/>
          <w:shd w:fill="E6E6E6" w:color="auto" w:val="clear"/>
        </w:rPr>
        <w:t>9. Señalamiento</w:t>
      </w:r>
      <w:r>
        <w:rPr>
          <w:spacing w:val="6"/>
          <w:w w:val="105"/>
          <w:sz w:val="17"/>
          <w:shd w:fill="E6E6E6" w:color="auto" w:val="clear"/>
        </w:rPr>
        <w:t> </w:t>
      </w:r>
      <w:r>
        <w:rPr>
          <w:w w:val="105"/>
          <w:sz w:val="17"/>
          <w:shd w:fill="E6E6E6" w:color="auto" w:val="clear"/>
        </w:rPr>
        <w:t>vial.</w:t>
      </w:r>
      <w:r>
        <w:rPr>
          <w:sz w:val="17"/>
          <w:shd w:fill="E6E6E6" w:color="auto" w:val="clear"/>
        </w:rPr>
        <w:tab/>
      </w:r>
    </w:p>
    <w:p>
      <w:pPr>
        <w:spacing w:line="376" w:lineRule="auto" w:before="110"/>
        <w:ind w:left="268" w:right="0" w:firstLine="0"/>
        <w:jc w:val="left"/>
        <w:rPr>
          <w:sz w:val="21"/>
        </w:rPr>
      </w:pPr>
      <w:r>
        <w:rPr>
          <w:w w:val="105"/>
          <w:sz w:val="21"/>
        </w:rPr>
        <w:t>Fuente: Elaboración propia con base en el Reglamento del Libro Quito del Código Administrativo del Estado de México (RL5to).</w:t>
      </w:r>
    </w:p>
    <w:p>
      <w:pPr>
        <w:spacing w:after="0" w:line="376" w:lineRule="auto"/>
        <w:jc w:val="left"/>
        <w:rPr>
          <w:sz w:val="21"/>
        </w:rPr>
        <w:sectPr>
          <w:pgSz w:w="12240" w:h="15840"/>
          <w:pgMar w:header="730" w:footer="1066" w:top="1320" w:bottom="1260" w:left="1720" w:right="1180"/>
        </w:sectPr>
      </w:pPr>
    </w:p>
    <w:p>
      <w:pPr>
        <w:pStyle w:val="BodyText"/>
        <w:spacing w:before="1"/>
        <w:rPr>
          <w:sz w:val="18"/>
        </w:rPr>
      </w:pPr>
    </w:p>
    <w:p>
      <w:pPr>
        <w:pStyle w:val="BodyText"/>
        <w:spacing w:before="69" w:after="12"/>
        <w:ind w:left="268"/>
      </w:pPr>
      <w:r>
        <w:rPr/>
        <w:pict>
          <v:line style="position:absolute;mso-position-horizontal-relative:page;mso-position-vertical-relative:paragraph;z-index:19840" from="93.199997pt,-19.614155pt" to="546.799997pt,-19.614155pt" stroked="true" strokeweight=".479981pt" strokecolor="#000000">
            <w10:wrap type="none"/>
          </v:line>
        </w:pict>
      </w:r>
      <w:r>
        <w:rPr/>
        <w:t>Tabla 40. Autorización inicio de obras</w:t>
      </w:r>
    </w:p>
    <w:p>
      <w:pPr>
        <w:pStyle w:val="BodyText"/>
        <w:ind w:left="273"/>
        <w:rPr>
          <w:sz w:val="20"/>
        </w:rPr>
      </w:pPr>
      <w:r>
        <w:rPr>
          <w:sz w:val="20"/>
        </w:rPr>
        <w:pict>
          <v:group style="width:439pt;height:179.8pt;mso-position-horizontal-relative:char;mso-position-vertical-relative:line" coordorigin="0,0" coordsize="8780,3596">
            <v:rect style="position:absolute;left:0;top:0;width:8779;height:1037" filled="true" fillcolor="#191919" stroked="false">
              <v:fill type="solid"/>
            </v:rect>
            <v:rect style="position:absolute;left:101;top:173;width:8573;height:230" filled="true" fillcolor="#191919" stroked="false">
              <v:fill type="solid"/>
            </v:rect>
            <v:rect style="position:absolute;left:101;top:403;width:8573;height:230" filled="true" fillcolor="#191919" stroked="false">
              <v:fill type="solid"/>
            </v:rect>
            <v:rect style="position:absolute;left:101;top:634;width:8573;height:230" filled="true" fillcolor="#191919" stroked="false">
              <v:fill type="solid"/>
            </v:rect>
            <v:rect style="position:absolute;left:0;top:1046;width:8779;height:523" filled="true" fillcolor="#e6e6e6" stroked="false">
              <v:fill type="solid"/>
            </v:rect>
            <v:rect style="position:absolute;left:101;top:1099;width:8573;height:206" filled="true" fillcolor="#e6e6e6" stroked="false">
              <v:fill type="solid"/>
            </v:rect>
            <v:rect style="position:absolute;left:101;top:1306;width:8573;height:206" filled="true" fillcolor="#e6e6e6" stroked="false">
              <v:fill type="solid"/>
            </v:rect>
            <v:rect style="position:absolute;left:0;top:1579;width:8779;height:883" filled="true" fillcolor="#f3f3f3" stroked="false">
              <v:fill type="solid"/>
            </v:rect>
            <v:rect style="position:absolute;left:101;top:1608;width:8573;height:206" filled="true" fillcolor="#f3f3f3" stroked="false">
              <v:fill type="solid"/>
            </v:rect>
            <v:rect style="position:absolute;left:101;top:1814;width:8573;height:206" filled="true" fillcolor="#f3f3f3" stroked="false">
              <v:fill type="solid"/>
            </v:rect>
            <v:rect style="position:absolute;left:101;top:2021;width:8573;height:206" filled="true" fillcolor="#f3f3f3" stroked="false">
              <v:fill type="solid"/>
            </v:rect>
            <v:rect style="position:absolute;left:101;top:2227;width:8573;height:206" filled="true" fillcolor="#f3f3f3" stroked="false">
              <v:fill type="solid"/>
            </v:rect>
            <v:rect style="position:absolute;left:0;top:2472;width:8779;height:562" filled="true" fillcolor="#e6e6e6" stroked="false">
              <v:fill type="solid"/>
            </v:rect>
            <v:rect style="position:absolute;left:101;top:2544;width:8573;height:211" filled="true" fillcolor="#e6e6e6" stroked="false">
              <v:fill type="solid"/>
            </v:rect>
            <v:rect style="position:absolute;left:101;top:2755;width:8573;height:206" filled="true" fillcolor="#e6e6e6" stroked="false">
              <v:fill type="solid"/>
            </v:rect>
            <v:rect style="position:absolute;left:0;top:3043;width:8779;height:552" filled="true" fillcolor="#f3f3f3" stroked="false">
              <v:fill type="solid"/>
            </v:rect>
            <v:rect style="position:absolute;left:101;top:3110;width:8573;height:211" filled="true" fillcolor="#f3f3f3" stroked="false">
              <v:fill type="solid"/>
            </v:rect>
            <v:rect style="position:absolute;left:101;top:3322;width:8573;height:206" filled="true" fillcolor="#f3f3f3" stroked="false">
              <v:fill type="solid"/>
            </v:rect>
            <v:shape style="position:absolute;left:1474;top:196;width:5828;height:658" type="#_x0000_t202" filled="false" stroked="false">
              <v:textbox inset="0,0,0,0">
                <w:txbxContent>
                  <w:p>
                    <w:pPr>
                      <w:spacing w:line="200" w:lineRule="exact" w:before="0"/>
                      <w:ind w:left="0" w:right="0" w:firstLine="0"/>
                      <w:jc w:val="center"/>
                      <w:rPr>
                        <w:sz w:val="19"/>
                      </w:rPr>
                    </w:pPr>
                    <w:r>
                      <w:rPr>
                        <w:color w:val="FFFFFF"/>
                        <w:w w:val="105"/>
                        <w:sz w:val="19"/>
                      </w:rPr>
                      <w:t>De la autorización del inicio de la ejecución de obras,</w:t>
                    </w:r>
                  </w:p>
                  <w:p>
                    <w:pPr>
                      <w:spacing w:line="252" w:lineRule="auto" w:before="12"/>
                      <w:ind w:left="0" w:right="0" w:firstLine="0"/>
                      <w:jc w:val="center"/>
                      <w:rPr>
                        <w:sz w:val="19"/>
                      </w:rPr>
                    </w:pPr>
                    <w:r>
                      <w:rPr>
                        <w:color w:val="FFFFFF"/>
                        <w:w w:val="105"/>
                        <w:sz w:val="19"/>
                      </w:rPr>
                      <w:t>la enajenación o gravamen de lotes y la promoción del desarrollo. (Art. 66 del RL5to)</w:t>
                    </w:r>
                  </w:p>
                </w:txbxContent>
              </v:textbox>
              <w10:wrap type="none"/>
            </v:shape>
            <v:shape style="position:absolute;left:101;top:1123;width:8575;height:2400" type="#_x0000_t202" filled="false" stroked="false">
              <v:textbox inset="0,0,0,0">
                <w:txbxContent>
                  <w:p>
                    <w:pPr>
                      <w:numPr>
                        <w:ilvl w:val="0"/>
                        <w:numId w:val="27"/>
                      </w:numPr>
                      <w:tabs>
                        <w:tab w:pos="228" w:val="left" w:leader="none"/>
                      </w:tabs>
                      <w:spacing w:line="180" w:lineRule="exact" w:before="0"/>
                      <w:ind w:left="0" w:right="0" w:firstLine="0"/>
                      <w:jc w:val="both"/>
                      <w:rPr>
                        <w:sz w:val="17"/>
                      </w:rPr>
                    </w:pPr>
                    <w:r>
                      <w:rPr>
                        <w:w w:val="105"/>
                        <w:sz w:val="17"/>
                      </w:rPr>
                      <w:t>Comprobantes de  pago  de  los impuestos y  derechos establecidos en  el acuerdo  de  autorización </w:t>
                    </w:r>
                    <w:r>
                      <w:rPr>
                        <w:spacing w:val="19"/>
                        <w:w w:val="105"/>
                        <w:sz w:val="17"/>
                      </w:rPr>
                      <w:t> </w:t>
                    </w:r>
                    <w:r>
                      <w:rPr>
                        <w:w w:val="105"/>
                        <w:sz w:val="17"/>
                      </w:rPr>
                      <w:t>del</w:t>
                    </w:r>
                  </w:p>
                  <w:p>
                    <w:pPr>
                      <w:spacing w:before="11"/>
                      <w:ind w:left="0" w:right="0" w:firstLine="0"/>
                      <w:jc w:val="both"/>
                      <w:rPr>
                        <w:sz w:val="17"/>
                      </w:rPr>
                    </w:pPr>
                    <w:r>
                      <w:rPr>
                        <w:w w:val="105"/>
                        <w:sz w:val="17"/>
                      </w:rPr>
                      <w:t>conjunto urbano.</w:t>
                    </w:r>
                  </w:p>
                  <w:p>
                    <w:pPr>
                      <w:numPr>
                        <w:ilvl w:val="0"/>
                        <w:numId w:val="27"/>
                      </w:numPr>
                      <w:tabs>
                        <w:tab w:pos="223" w:val="left" w:leader="none"/>
                      </w:tabs>
                      <w:spacing w:line="254" w:lineRule="auto" w:before="107"/>
                      <w:ind w:left="0" w:right="0" w:firstLine="0"/>
                      <w:jc w:val="both"/>
                      <w:rPr>
                        <w:sz w:val="17"/>
                      </w:rPr>
                    </w:pPr>
                    <w:r>
                      <w:rPr>
                        <w:w w:val="105"/>
                        <w:sz w:val="17"/>
                      </w:rPr>
                      <w:t>Los proyectos ejecutivos y memoria de cálculo de las obras de equipamiento, vialidad, agua potable, alcantarillado y tratamiento de aguas residuales y, en su caso, los de las obras de infraestructura primaria que se establezcan en el acuerdo de autorización, aprobados por las instancias gubernamentales respectivas o, en su defecto, constancia de que se encuentran en revisión ante dichas</w:t>
                    </w:r>
                    <w:r>
                      <w:rPr>
                        <w:spacing w:val="35"/>
                        <w:w w:val="105"/>
                        <w:sz w:val="17"/>
                      </w:rPr>
                      <w:t> </w:t>
                    </w:r>
                    <w:r>
                      <w:rPr>
                        <w:w w:val="105"/>
                        <w:sz w:val="17"/>
                      </w:rPr>
                      <w:t>instancias.</w:t>
                    </w:r>
                  </w:p>
                  <w:p>
                    <w:pPr>
                      <w:numPr>
                        <w:ilvl w:val="0"/>
                        <w:numId w:val="27"/>
                      </w:numPr>
                      <w:tabs>
                        <w:tab w:pos="204" w:val="left" w:leader="none"/>
                      </w:tabs>
                      <w:spacing w:line="259" w:lineRule="auto" w:before="110"/>
                      <w:ind w:left="0" w:right="1" w:firstLine="0"/>
                      <w:jc w:val="both"/>
                      <w:rPr>
                        <w:sz w:val="17"/>
                      </w:rPr>
                    </w:pPr>
                    <w:r>
                      <w:rPr>
                        <w:w w:val="105"/>
                        <w:sz w:val="17"/>
                      </w:rPr>
                      <w:t>La fianza o garantía hipotecaria para asegurar la ejecución de las obras de urbanización y equipamiento y, en su caso, de infraestructura primaria, así como de cada una de las obligaciones</w:t>
                    </w:r>
                    <w:r>
                      <w:rPr>
                        <w:spacing w:val="33"/>
                        <w:w w:val="105"/>
                        <w:sz w:val="17"/>
                      </w:rPr>
                      <w:t> </w:t>
                    </w:r>
                    <w:r>
                      <w:rPr>
                        <w:w w:val="105"/>
                        <w:sz w:val="17"/>
                      </w:rPr>
                      <w:t>asignadas.</w:t>
                    </w:r>
                  </w:p>
                  <w:p>
                    <w:pPr>
                      <w:numPr>
                        <w:ilvl w:val="0"/>
                        <w:numId w:val="27"/>
                      </w:numPr>
                      <w:tabs>
                        <w:tab w:pos="216" w:val="left" w:leader="none"/>
                      </w:tabs>
                      <w:spacing w:line="259" w:lineRule="auto" w:before="144"/>
                      <w:ind w:left="0" w:right="0" w:firstLine="0"/>
                      <w:jc w:val="both"/>
                      <w:rPr>
                        <w:sz w:val="17"/>
                      </w:rPr>
                    </w:pPr>
                    <w:r>
                      <w:rPr>
                        <w:w w:val="105"/>
                        <w:sz w:val="17"/>
                      </w:rPr>
                      <w:t>La constancia de inscripción en el Registro Público de la Propiedad del acuerdo de autorización y sus planos</w:t>
                    </w:r>
                    <w:r>
                      <w:rPr>
                        <w:spacing w:val="6"/>
                        <w:w w:val="105"/>
                        <w:sz w:val="17"/>
                      </w:rPr>
                      <w:t> </w:t>
                    </w:r>
                    <w:r>
                      <w:rPr>
                        <w:w w:val="105"/>
                        <w:sz w:val="17"/>
                      </w:rPr>
                      <w:t>respectivos.</w:t>
                    </w:r>
                  </w:p>
                </w:txbxContent>
              </v:textbox>
              <w10:wrap type="none"/>
            </v:shape>
          </v:group>
        </w:pict>
      </w:r>
      <w:r>
        <w:rPr>
          <w:sz w:val="20"/>
        </w:rPr>
      </w:r>
    </w:p>
    <w:p>
      <w:pPr>
        <w:tabs>
          <w:tab w:pos="9052" w:val="left" w:leader="none"/>
        </w:tabs>
        <w:spacing w:before="22"/>
        <w:ind w:left="273" w:right="0" w:firstLine="0"/>
        <w:jc w:val="left"/>
        <w:rPr>
          <w:sz w:val="17"/>
        </w:rPr>
      </w:pPr>
      <w:r>
        <w:rPr/>
        <w:pict>
          <v:group style="position:absolute;margin-left:99.68pt;margin-top:12.672904pt;width:439pt;height:38.2pt;mso-position-horizontal-relative:page;mso-position-vertical-relative:paragraph;z-index:19816;mso-wrap-distance-left:0;mso-wrap-distance-right:0" coordorigin="1994,253" coordsize="8780,764">
            <v:rect style="position:absolute;left:1994;top:258;width:8779;height:758" filled="true" fillcolor="#f3f3f3" stroked="false">
              <v:fill type="solid"/>
            </v:rect>
            <v:rect style="position:absolute;left:2094;top:325;width:8573;height:206" filled="true" fillcolor="#f3f3f3" stroked="false">
              <v:fill type="solid"/>
            </v:rect>
            <v:rect style="position:absolute;left:2094;top:532;width:8573;height:211" filled="true" fillcolor="#f3f3f3" stroked="false">
              <v:fill type="solid"/>
            </v:rect>
            <v:rect style="position:absolute;left:2094;top:743;width:8573;height:206" filled="true" fillcolor="#f3f3f3" stroked="false">
              <v:fill type="solid"/>
            </v:rect>
            <v:shape style="position:absolute;left:1994;top:253;width:8780;height:764" type="#_x0000_t202" filled="false" stroked="false">
              <v:textbox inset="0,0,0,0">
                <w:txbxContent>
                  <w:p>
                    <w:pPr>
                      <w:spacing w:line="256" w:lineRule="auto" w:before="80"/>
                      <w:ind w:left="100" w:right="103" w:firstLine="0"/>
                      <w:jc w:val="both"/>
                      <w:rPr>
                        <w:sz w:val="17"/>
                      </w:rPr>
                    </w:pPr>
                    <w:r>
                      <w:rPr>
                        <w:w w:val="105"/>
                        <w:sz w:val="17"/>
                      </w:rPr>
                      <w:t>6. Proyecto de contenido de la publicidad en prensa, radio, televisión o cualquier otro medio, en la que se deberá incluir como mínimo el tipo y fecha de autorización del desarrollo y de su publicación en la Gaceta del Gobierno.</w:t>
                    </w:r>
                  </w:p>
                </w:txbxContent>
              </v:textbox>
              <w10:wrap type="none"/>
            </v:shape>
            <w10:wrap type="topAndBottom"/>
          </v:group>
        </w:pict>
      </w:r>
      <w:r>
        <w:rPr>
          <w:w w:val="104"/>
          <w:sz w:val="17"/>
          <w:shd w:fill="E6E6E6" w:color="auto" w:val="clear"/>
        </w:rPr>
        <w:t> </w:t>
      </w:r>
      <w:r>
        <w:rPr>
          <w:spacing w:val="4"/>
          <w:sz w:val="17"/>
          <w:shd w:fill="E6E6E6" w:color="auto" w:val="clear"/>
        </w:rPr>
        <w:t> </w:t>
      </w:r>
      <w:r>
        <w:rPr>
          <w:w w:val="105"/>
          <w:sz w:val="17"/>
          <w:shd w:fill="E6E6E6" w:color="auto" w:val="clear"/>
        </w:rPr>
        <w:t>5. La identificación del 1er 25% de los lotes a</w:t>
      </w:r>
      <w:r>
        <w:rPr>
          <w:spacing w:val="16"/>
          <w:w w:val="105"/>
          <w:sz w:val="17"/>
          <w:shd w:fill="E6E6E6" w:color="auto" w:val="clear"/>
        </w:rPr>
        <w:t> </w:t>
      </w:r>
      <w:r>
        <w:rPr>
          <w:w w:val="105"/>
          <w:sz w:val="17"/>
          <w:shd w:fill="E6E6E6" w:color="auto" w:val="clear"/>
        </w:rPr>
        <w:t>enajenar.</w:t>
      </w:r>
      <w:r>
        <w:rPr>
          <w:sz w:val="17"/>
          <w:shd w:fill="E6E6E6" w:color="auto" w:val="clear"/>
        </w:rPr>
        <w:tab/>
      </w:r>
    </w:p>
    <w:p>
      <w:pPr>
        <w:spacing w:line="376" w:lineRule="auto" w:before="110"/>
        <w:ind w:left="268" w:right="0" w:firstLine="0"/>
        <w:jc w:val="left"/>
        <w:rPr>
          <w:sz w:val="21"/>
        </w:rPr>
      </w:pPr>
      <w:r>
        <w:rPr>
          <w:w w:val="105"/>
          <w:sz w:val="21"/>
        </w:rPr>
        <w:t>Fuente: Elaboración propia con base en el Reglamento del Libro Quito del Código Administrativo del Estado de México (RL5to).</w:t>
      </w:r>
    </w:p>
    <w:p>
      <w:pPr>
        <w:pStyle w:val="BodyText"/>
        <w:rPr>
          <w:sz w:val="22"/>
        </w:rPr>
      </w:pPr>
    </w:p>
    <w:p>
      <w:pPr>
        <w:pStyle w:val="BodyText"/>
        <w:rPr>
          <w:sz w:val="22"/>
        </w:rPr>
      </w:pPr>
    </w:p>
    <w:p>
      <w:pPr>
        <w:pStyle w:val="BodyText"/>
        <w:spacing w:before="137" w:after="16"/>
        <w:ind w:left="268"/>
      </w:pPr>
      <w:r>
        <w:rPr/>
        <w:t>Tabla 41.  Documentos licencia de construcción</w:t>
      </w:r>
    </w:p>
    <w:tbl>
      <w:tblPr>
        <w:tblCellSpacing w:w="4" w:type="dxa"/>
        <w:tblW w:w="0" w:type="auto"/>
        <w:jc w:val="left"/>
        <w:tblInd w:w="128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797"/>
      </w:tblGrid>
      <w:tr>
        <w:trPr>
          <w:trHeight w:val="845" w:hRule="exact"/>
        </w:trPr>
        <w:tc>
          <w:tcPr>
            <w:tcW w:w="6797" w:type="dxa"/>
            <w:tcBorders>
              <w:left w:val="single" w:sz="4" w:space="0" w:color="FFFFFF"/>
              <w:bottom w:val="nil"/>
            </w:tcBorders>
            <w:shd w:val="clear" w:color="auto" w:fill="191919"/>
          </w:tcPr>
          <w:p>
            <w:pPr>
              <w:pStyle w:val="TableParagraph"/>
              <w:spacing w:before="5"/>
              <w:jc w:val="left"/>
              <w:rPr>
                <w:sz w:val="27"/>
              </w:rPr>
            </w:pPr>
          </w:p>
          <w:p>
            <w:pPr>
              <w:pStyle w:val="TableParagraph"/>
              <w:ind w:left="671"/>
              <w:jc w:val="left"/>
              <w:rPr>
                <w:sz w:val="19"/>
              </w:rPr>
            </w:pPr>
            <w:r>
              <w:rPr>
                <w:color w:val="FFFFFF"/>
                <w:w w:val="105"/>
                <w:sz w:val="19"/>
              </w:rPr>
              <w:t>Documentos básicos para licencia de construcción municipal.</w:t>
            </w:r>
          </w:p>
        </w:tc>
      </w:tr>
      <w:tr>
        <w:trPr>
          <w:trHeight w:val="269" w:hRule="exact"/>
        </w:trPr>
        <w:tc>
          <w:tcPr>
            <w:tcW w:w="6797" w:type="dxa"/>
            <w:tcBorders>
              <w:top w:val="nil"/>
              <w:left w:val="single" w:sz="4" w:space="0" w:color="FFFFFF"/>
              <w:bottom w:val="nil"/>
            </w:tcBorders>
            <w:shd w:val="clear" w:color="auto" w:fill="E6E6E6"/>
          </w:tcPr>
          <w:p>
            <w:pPr>
              <w:pStyle w:val="TableParagraph"/>
              <w:spacing w:before="37"/>
              <w:ind w:left="100"/>
              <w:jc w:val="left"/>
              <w:rPr>
                <w:sz w:val="17"/>
              </w:rPr>
            </w:pPr>
            <w:r>
              <w:rPr>
                <w:w w:val="105"/>
                <w:sz w:val="17"/>
              </w:rPr>
              <w:t>1. Solicitud.</w:t>
            </w:r>
          </w:p>
        </w:tc>
      </w:tr>
      <w:tr>
        <w:trPr>
          <w:trHeight w:val="269" w:hRule="exact"/>
        </w:trPr>
        <w:tc>
          <w:tcPr>
            <w:tcW w:w="6797" w:type="dxa"/>
            <w:tcBorders>
              <w:top w:val="nil"/>
              <w:left w:val="single" w:sz="4" w:space="0" w:color="FFFFFF"/>
              <w:bottom w:val="nil"/>
            </w:tcBorders>
            <w:shd w:val="clear" w:color="auto" w:fill="F3F3F3"/>
          </w:tcPr>
          <w:p>
            <w:pPr>
              <w:pStyle w:val="TableParagraph"/>
              <w:spacing w:before="42"/>
              <w:ind w:left="100"/>
              <w:jc w:val="left"/>
              <w:rPr>
                <w:sz w:val="17"/>
              </w:rPr>
            </w:pPr>
            <w:r>
              <w:rPr>
                <w:w w:val="105"/>
                <w:sz w:val="17"/>
              </w:rPr>
              <w:t>2. Constancia de alineamiento vigente</w:t>
            </w:r>
          </w:p>
        </w:tc>
      </w:tr>
      <w:tr>
        <w:trPr>
          <w:trHeight w:val="264" w:hRule="exact"/>
        </w:trPr>
        <w:tc>
          <w:tcPr>
            <w:tcW w:w="6797" w:type="dxa"/>
            <w:tcBorders>
              <w:top w:val="nil"/>
              <w:left w:val="single" w:sz="4" w:space="0" w:color="FFFFFF"/>
              <w:bottom w:val="nil"/>
            </w:tcBorders>
            <w:shd w:val="clear" w:color="auto" w:fill="E6E6E6"/>
          </w:tcPr>
          <w:p>
            <w:pPr>
              <w:pStyle w:val="TableParagraph"/>
              <w:spacing w:before="37"/>
              <w:ind w:left="100"/>
              <w:jc w:val="left"/>
              <w:rPr>
                <w:sz w:val="17"/>
              </w:rPr>
            </w:pPr>
            <w:r>
              <w:rPr>
                <w:w w:val="105"/>
                <w:sz w:val="17"/>
              </w:rPr>
              <w:t>3. Licencia de uso de suelo vigente.</w:t>
            </w:r>
          </w:p>
        </w:tc>
      </w:tr>
      <w:tr>
        <w:trPr>
          <w:trHeight w:val="278" w:hRule="exact"/>
        </w:trPr>
        <w:tc>
          <w:tcPr>
            <w:tcW w:w="6797" w:type="dxa"/>
            <w:tcBorders>
              <w:top w:val="nil"/>
              <w:left w:val="single" w:sz="4" w:space="0" w:color="FFFFFF"/>
              <w:bottom w:val="nil"/>
            </w:tcBorders>
            <w:shd w:val="clear" w:color="auto" w:fill="F3F3F3"/>
          </w:tcPr>
          <w:p>
            <w:pPr>
              <w:pStyle w:val="TableParagraph"/>
              <w:spacing w:before="42"/>
              <w:ind w:left="100"/>
              <w:jc w:val="left"/>
              <w:rPr>
                <w:sz w:val="17"/>
              </w:rPr>
            </w:pPr>
            <w:r>
              <w:rPr>
                <w:w w:val="105"/>
                <w:sz w:val="17"/>
              </w:rPr>
              <w:t>4. Recibo de pago del impuesto predial actualizado.</w:t>
            </w:r>
          </w:p>
        </w:tc>
      </w:tr>
      <w:tr>
        <w:trPr>
          <w:trHeight w:val="264" w:hRule="exact"/>
        </w:trPr>
        <w:tc>
          <w:tcPr>
            <w:tcW w:w="6797" w:type="dxa"/>
            <w:tcBorders>
              <w:top w:val="nil"/>
              <w:left w:val="single" w:sz="4" w:space="0" w:color="FFFFFF"/>
              <w:bottom w:val="nil"/>
            </w:tcBorders>
            <w:shd w:val="clear" w:color="auto" w:fill="E6E6E6"/>
          </w:tcPr>
          <w:p>
            <w:pPr>
              <w:pStyle w:val="TableParagraph"/>
              <w:spacing w:before="37"/>
              <w:ind w:left="100"/>
              <w:jc w:val="left"/>
              <w:rPr>
                <w:sz w:val="17"/>
              </w:rPr>
            </w:pPr>
            <w:r>
              <w:rPr>
                <w:w w:val="105"/>
                <w:sz w:val="17"/>
              </w:rPr>
              <w:t>5. Documento que acredite la propiedad.</w:t>
            </w:r>
          </w:p>
        </w:tc>
      </w:tr>
      <w:tr>
        <w:trPr>
          <w:trHeight w:val="302" w:hRule="exact"/>
        </w:trPr>
        <w:tc>
          <w:tcPr>
            <w:tcW w:w="6797" w:type="dxa"/>
            <w:tcBorders>
              <w:top w:val="nil"/>
              <w:left w:val="single" w:sz="4" w:space="0" w:color="FFFFFF"/>
              <w:bottom w:val="nil"/>
            </w:tcBorders>
            <w:shd w:val="clear" w:color="auto" w:fill="F3F3F3"/>
          </w:tcPr>
          <w:p>
            <w:pPr>
              <w:pStyle w:val="TableParagraph"/>
              <w:spacing w:before="56"/>
              <w:ind w:left="100"/>
              <w:jc w:val="left"/>
              <w:rPr>
                <w:sz w:val="17"/>
              </w:rPr>
            </w:pPr>
            <w:r>
              <w:rPr>
                <w:w w:val="105"/>
                <w:sz w:val="17"/>
              </w:rPr>
              <w:t>6. Planos arquitectónicos firmados por el Perito responsable de obra.</w:t>
            </w:r>
          </w:p>
        </w:tc>
      </w:tr>
      <w:tr>
        <w:trPr>
          <w:trHeight w:val="298" w:hRule="exact"/>
        </w:trPr>
        <w:tc>
          <w:tcPr>
            <w:tcW w:w="6797" w:type="dxa"/>
            <w:tcBorders>
              <w:top w:val="nil"/>
              <w:left w:val="single" w:sz="4" w:space="0" w:color="FFFFFF"/>
              <w:bottom w:val="nil"/>
            </w:tcBorders>
            <w:shd w:val="clear" w:color="auto" w:fill="E6E6E6"/>
          </w:tcPr>
          <w:p>
            <w:pPr>
              <w:pStyle w:val="TableParagraph"/>
              <w:spacing w:before="51"/>
              <w:ind w:left="100"/>
              <w:jc w:val="left"/>
              <w:rPr>
                <w:sz w:val="17"/>
              </w:rPr>
            </w:pPr>
            <w:r>
              <w:rPr>
                <w:w w:val="105"/>
                <w:sz w:val="17"/>
              </w:rPr>
              <w:t>7. Planos estructurales.</w:t>
            </w:r>
          </w:p>
        </w:tc>
      </w:tr>
      <w:tr>
        <w:trPr>
          <w:trHeight w:val="302" w:hRule="exact"/>
        </w:trPr>
        <w:tc>
          <w:tcPr>
            <w:tcW w:w="6797" w:type="dxa"/>
            <w:tcBorders>
              <w:top w:val="nil"/>
              <w:left w:val="single" w:sz="4" w:space="0" w:color="FFFFFF"/>
              <w:bottom w:val="nil"/>
            </w:tcBorders>
            <w:shd w:val="clear" w:color="auto" w:fill="F3F3F3"/>
          </w:tcPr>
          <w:p>
            <w:pPr>
              <w:pStyle w:val="TableParagraph"/>
              <w:spacing w:before="56"/>
              <w:ind w:left="100"/>
              <w:jc w:val="left"/>
              <w:rPr>
                <w:sz w:val="17"/>
              </w:rPr>
            </w:pPr>
            <w:r>
              <w:rPr>
                <w:w w:val="105"/>
                <w:sz w:val="17"/>
              </w:rPr>
              <w:t>8. Registro, cédula e identificación del Perito responsable de obra.</w:t>
            </w:r>
          </w:p>
        </w:tc>
      </w:tr>
      <w:tr>
        <w:trPr>
          <w:trHeight w:val="293" w:hRule="exact"/>
        </w:trPr>
        <w:tc>
          <w:tcPr>
            <w:tcW w:w="6797" w:type="dxa"/>
            <w:tcBorders>
              <w:top w:val="nil"/>
              <w:left w:val="single" w:sz="4" w:space="0" w:color="FFFFFF"/>
            </w:tcBorders>
            <w:shd w:val="clear" w:color="auto" w:fill="E6E6E6"/>
          </w:tcPr>
          <w:p>
            <w:pPr>
              <w:pStyle w:val="TableParagraph"/>
              <w:spacing w:before="56"/>
              <w:ind w:left="100"/>
              <w:jc w:val="left"/>
              <w:rPr>
                <w:sz w:val="17"/>
              </w:rPr>
            </w:pPr>
            <w:r>
              <w:rPr>
                <w:w w:val="105"/>
                <w:sz w:val="17"/>
              </w:rPr>
              <w:t>9. Libro de bitácora de obra.</w:t>
            </w:r>
          </w:p>
        </w:tc>
      </w:tr>
    </w:tbl>
    <w:p>
      <w:pPr>
        <w:spacing w:before="139"/>
        <w:ind w:left="635" w:right="0" w:firstLine="0"/>
        <w:jc w:val="left"/>
        <w:rPr>
          <w:sz w:val="21"/>
        </w:rPr>
      </w:pPr>
      <w:r>
        <w:rPr>
          <w:w w:val="105"/>
          <w:sz w:val="21"/>
        </w:rPr>
        <w:t>Fuente: Elaboración propia con base en formatos de solicitud municipales.</w:t>
      </w:r>
    </w:p>
    <w:p>
      <w:pPr>
        <w:spacing w:after="0"/>
        <w:jc w:val="left"/>
        <w:rPr>
          <w:sz w:val="21"/>
        </w:rPr>
        <w:sectPr>
          <w:pgSz w:w="12240" w:h="15840"/>
          <w:pgMar w:header="730" w:footer="1066" w:top="1320" w:bottom="1260" w:left="1720" w:right="1180"/>
        </w:sectPr>
      </w:pPr>
    </w:p>
    <w:p>
      <w:pPr>
        <w:pStyle w:val="BodyText"/>
        <w:spacing w:before="1"/>
        <w:rPr>
          <w:sz w:val="18"/>
        </w:rPr>
      </w:pPr>
    </w:p>
    <w:p>
      <w:pPr>
        <w:pStyle w:val="Heading4"/>
        <w:jc w:val="left"/>
      </w:pPr>
      <w:r>
        <w:rPr/>
        <w:pict>
          <v:line style="position:absolute;mso-position-horizontal-relative:page;mso-position-vertical-relative:paragraph;z-index:19864" from="93.199997pt,-19.614155pt" to="546.799997pt,-19.614155pt" stroked="true" strokeweight=".479981pt" strokecolor="#000000">
            <w10:wrap type="none"/>
          </v:line>
        </w:pict>
      </w:r>
      <w:r>
        <w:rPr/>
        <w:t>Caracterización de los conjuntos urbanos.</w:t>
      </w:r>
    </w:p>
    <w:p>
      <w:pPr>
        <w:pStyle w:val="BodyText"/>
        <w:rPr>
          <w:b/>
        </w:rPr>
      </w:pPr>
    </w:p>
    <w:p>
      <w:pPr>
        <w:pStyle w:val="BodyText"/>
        <w:spacing w:before="1"/>
        <w:rPr>
          <w:b/>
          <w:sz w:val="22"/>
        </w:rPr>
      </w:pPr>
    </w:p>
    <w:p>
      <w:pPr>
        <w:pStyle w:val="BodyText"/>
        <w:spacing w:after="26"/>
        <w:ind w:left="268"/>
      </w:pPr>
      <w:r>
        <w:rPr/>
        <w:t>Tabla 42. Datos San Andrés</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41"/>
        <w:gridCol w:w="5082"/>
      </w:tblGrid>
      <w:tr>
        <w:trPr>
          <w:trHeight w:val="650" w:hRule="exact"/>
        </w:trPr>
        <w:tc>
          <w:tcPr>
            <w:tcW w:w="7623" w:type="dxa"/>
            <w:gridSpan w:val="2"/>
            <w:tcBorders>
              <w:left w:val="single" w:sz="8" w:space="0" w:color="000000"/>
              <w:bottom w:val="single" w:sz="8" w:space="0" w:color="BFBFBF"/>
              <w:right w:val="single" w:sz="8" w:space="0" w:color="000000"/>
            </w:tcBorders>
            <w:shd w:val="clear" w:color="auto" w:fill="0D0D0D"/>
          </w:tcPr>
          <w:p>
            <w:pPr>
              <w:pStyle w:val="TableParagraph"/>
              <w:spacing w:before="165"/>
              <w:ind w:left="3102" w:right="3136"/>
              <w:rPr>
                <w:b/>
                <w:sz w:val="24"/>
              </w:rPr>
            </w:pPr>
            <w:r>
              <w:rPr>
                <w:b/>
                <w:color w:val="FFFFFF"/>
                <w:sz w:val="24"/>
              </w:rPr>
              <w:t>San</w:t>
            </w:r>
            <w:r>
              <w:rPr>
                <w:b/>
                <w:color w:val="FFFFFF"/>
                <w:spacing w:val="-9"/>
                <w:sz w:val="24"/>
              </w:rPr>
              <w:t> </w:t>
            </w:r>
            <w:r>
              <w:rPr>
                <w:b/>
                <w:color w:val="FFFFFF"/>
                <w:sz w:val="24"/>
              </w:rPr>
              <w:t>Andrés</w:t>
            </w:r>
          </w:p>
        </w:tc>
      </w:tr>
      <w:tr>
        <w:trPr>
          <w:trHeight w:val="300" w:hRule="exact"/>
        </w:trPr>
        <w:tc>
          <w:tcPr>
            <w:tcW w:w="2541" w:type="dxa"/>
            <w:tcBorders>
              <w:top w:val="single" w:sz="8" w:space="0" w:color="BFBFBF"/>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Empresa</w:t>
            </w:r>
          </w:p>
        </w:tc>
        <w:tc>
          <w:tcPr>
            <w:tcW w:w="5082" w:type="dxa"/>
            <w:tcBorders>
              <w:top w:val="single" w:sz="8" w:space="0" w:color="BFBFBF"/>
              <w:left w:val="single" w:sz="8" w:space="0" w:color="000000"/>
              <w:bottom w:val="single" w:sz="8" w:space="0" w:color="000000"/>
              <w:right w:val="single" w:sz="8" w:space="0" w:color="000000"/>
            </w:tcBorders>
          </w:tcPr>
          <w:p>
            <w:pPr>
              <w:pStyle w:val="TableParagraph"/>
              <w:spacing w:line="274" w:lineRule="exact"/>
              <w:ind w:left="62" w:right="98"/>
              <w:rPr>
                <w:rFonts w:ascii="Calibri"/>
                <w:sz w:val="24"/>
              </w:rPr>
            </w:pPr>
            <w:r>
              <w:rPr>
                <w:rFonts w:ascii="Calibri"/>
                <w:sz w:val="24"/>
              </w:rPr>
              <w:t>Inmobiliaria HEMAJO de Atlacomulco, S.A. de C.V.</w:t>
            </w:r>
          </w:p>
        </w:tc>
      </w:tr>
      <w:tr>
        <w:trPr>
          <w:trHeight w:val="300" w:hRule="exact"/>
        </w:trPr>
        <w:tc>
          <w:tcPr>
            <w:tcW w:w="2541"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Tipo de vivienda</w:t>
            </w:r>
          </w:p>
        </w:tc>
        <w:tc>
          <w:tcPr>
            <w:tcW w:w="5082"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62" w:right="87"/>
              <w:rPr>
                <w:rFonts w:ascii="Calibri"/>
                <w:sz w:val="24"/>
              </w:rPr>
            </w:pPr>
            <w:r>
              <w:rPr>
                <w:rFonts w:ascii="Calibri"/>
                <w:sz w:val="24"/>
              </w:rPr>
              <w:t>Medio</w:t>
            </w:r>
          </w:p>
        </w:tc>
      </w:tr>
      <w:tr>
        <w:trPr>
          <w:trHeight w:val="300" w:hRule="exact"/>
        </w:trPr>
        <w:tc>
          <w:tcPr>
            <w:tcW w:w="2541"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No. de viviendas</w:t>
            </w:r>
          </w:p>
        </w:tc>
        <w:tc>
          <w:tcPr>
            <w:tcW w:w="5082"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62" w:right="75"/>
              <w:rPr>
                <w:rFonts w:ascii="Calibri"/>
                <w:sz w:val="24"/>
              </w:rPr>
            </w:pPr>
            <w:r>
              <w:rPr>
                <w:rFonts w:ascii="Calibri"/>
                <w:sz w:val="24"/>
              </w:rPr>
              <w:t>121</w:t>
            </w:r>
          </w:p>
        </w:tc>
      </w:tr>
      <w:tr>
        <w:trPr>
          <w:trHeight w:val="300" w:hRule="exact"/>
        </w:trPr>
        <w:tc>
          <w:tcPr>
            <w:tcW w:w="2541"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V. Medio</w:t>
            </w:r>
          </w:p>
        </w:tc>
        <w:tc>
          <w:tcPr>
            <w:tcW w:w="5082"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62" w:right="75"/>
              <w:rPr>
                <w:rFonts w:ascii="Calibri"/>
                <w:sz w:val="24"/>
              </w:rPr>
            </w:pPr>
            <w:r>
              <w:rPr>
                <w:rFonts w:ascii="Calibri"/>
                <w:sz w:val="24"/>
              </w:rPr>
              <w:t>121</w:t>
            </w:r>
          </w:p>
        </w:tc>
      </w:tr>
      <w:tr>
        <w:trPr>
          <w:trHeight w:val="300" w:hRule="exact"/>
        </w:trPr>
        <w:tc>
          <w:tcPr>
            <w:tcW w:w="2541"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V. Interés Social</w:t>
            </w:r>
          </w:p>
        </w:tc>
        <w:tc>
          <w:tcPr>
            <w:tcW w:w="5082"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right="16"/>
              <w:rPr>
                <w:rFonts w:ascii="Calibri"/>
                <w:sz w:val="24"/>
              </w:rPr>
            </w:pPr>
            <w:r>
              <w:rPr>
                <w:rFonts w:ascii="Calibri"/>
                <w:w w:val="100"/>
                <w:sz w:val="24"/>
              </w:rPr>
              <w:t>0</w:t>
            </w:r>
          </w:p>
        </w:tc>
      </w:tr>
      <w:tr>
        <w:trPr>
          <w:trHeight w:val="300" w:hRule="exact"/>
        </w:trPr>
        <w:tc>
          <w:tcPr>
            <w:tcW w:w="2541"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V. Residencial</w:t>
            </w:r>
          </w:p>
        </w:tc>
        <w:tc>
          <w:tcPr>
            <w:tcW w:w="5082"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right="16"/>
              <w:rPr>
                <w:rFonts w:ascii="Calibri"/>
                <w:sz w:val="24"/>
              </w:rPr>
            </w:pPr>
            <w:r>
              <w:rPr>
                <w:rFonts w:ascii="Calibri"/>
                <w:w w:val="100"/>
                <w:sz w:val="24"/>
              </w:rPr>
              <w:t>0</w:t>
            </w:r>
          </w:p>
        </w:tc>
      </w:tr>
      <w:tr>
        <w:trPr>
          <w:trHeight w:val="300" w:hRule="exact"/>
        </w:trPr>
        <w:tc>
          <w:tcPr>
            <w:tcW w:w="2541"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Manzanas</w:t>
            </w:r>
          </w:p>
        </w:tc>
        <w:tc>
          <w:tcPr>
            <w:tcW w:w="5082"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right="16"/>
              <w:rPr>
                <w:rFonts w:ascii="Calibri"/>
                <w:sz w:val="24"/>
              </w:rPr>
            </w:pPr>
            <w:r>
              <w:rPr>
                <w:rFonts w:ascii="Calibri"/>
                <w:w w:val="100"/>
                <w:sz w:val="24"/>
              </w:rPr>
              <w:t>4</w:t>
            </w:r>
          </w:p>
        </w:tc>
      </w:tr>
      <w:tr>
        <w:trPr>
          <w:trHeight w:val="300" w:hRule="exact"/>
        </w:trPr>
        <w:tc>
          <w:tcPr>
            <w:tcW w:w="2541"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Lotes</w:t>
            </w:r>
          </w:p>
        </w:tc>
        <w:tc>
          <w:tcPr>
            <w:tcW w:w="5082"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62" w:right="76"/>
              <w:rPr>
                <w:rFonts w:ascii="Calibri"/>
                <w:sz w:val="24"/>
              </w:rPr>
            </w:pPr>
            <w:r>
              <w:rPr>
                <w:rFonts w:ascii="Calibri"/>
                <w:sz w:val="24"/>
              </w:rPr>
              <w:t>53</w:t>
            </w:r>
          </w:p>
        </w:tc>
      </w:tr>
      <w:tr>
        <w:trPr>
          <w:trHeight w:val="300" w:hRule="exact"/>
        </w:trPr>
        <w:tc>
          <w:tcPr>
            <w:tcW w:w="2541"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Superficie CU (m2)</w:t>
            </w:r>
          </w:p>
        </w:tc>
        <w:tc>
          <w:tcPr>
            <w:tcW w:w="5082"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62" w:right="66"/>
              <w:rPr>
                <w:rFonts w:ascii="Calibri"/>
                <w:sz w:val="24"/>
              </w:rPr>
            </w:pPr>
            <w:r>
              <w:rPr>
                <w:rFonts w:ascii="Calibri"/>
                <w:sz w:val="24"/>
              </w:rPr>
              <w:t>25,597.290</w:t>
            </w:r>
          </w:p>
        </w:tc>
      </w:tr>
      <w:tr>
        <w:trPr>
          <w:trHeight w:val="300" w:hRule="exact"/>
        </w:trPr>
        <w:tc>
          <w:tcPr>
            <w:tcW w:w="2541"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Pob. Beneficiada</w:t>
            </w:r>
          </w:p>
        </w:tc>
        <w:tc>
          <w:tcPr>
            <w:tcW w:w="5082"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62" w:right="75"/>
              <w:rPr>
                <w:rFonts w:ascii="Calibri"/>
                <w:sz w:val="24"/>
              </w:rPr>
            </w:pPr>
            <w:r>
              <w:rPr>
                <w:rFonts w:ascii="Calibri"/>
                <w:sz w:val="24"/>
              </w:rPr>
              <w:t>545</w:t>
            </w:r>
          </w:p>
        </w:tc>
      </w:tr>
      <w:tr>
        <w:trPr>
          <w:trHeight w:val="400" w:hRule="exact"/>
        </w:trPr>
        <w:tc>
          <w:tcPr>
            <w:tcW w:w="2541" w:type="dxa"/>
            <w:tcBorders>
              <w:top w:val="single" w:sz="8" w:space="0" w:color="000000"/>
              <w:left w:val="single" w:sz="8" w:space="0" w:color="000000"/>
              <w:bottom w:val="single" w:sz="8" w:space="0" w:color="000000"/>
              <w:right w:val="single" w:sz="8" w:space="0" w:color="000000"/>
            </w:tcBorders>
          </w:tcPr>
          <w:p>
            <w:pPr>
              <w:pStyle w:val="TableParagraph"/>
              <w:spacing w:before="25"/>
              <w:ind w:left="40"/>
              <w:jc w:val="left"/>
              <w:rPr>
                <w:b/>
                <w:sz w:val="24"/>
              </w:rPr>
            </w:pPr>
            <w:r>
              <w:rPr>
                <w:b/>
                <w:sz w:val="24"/>
              </w:rPr>
              <w:t>Fecha de publicación</w:t>
            </w:r>
          </w:p>
        </w:tc>
        <w:tc>
          <w:tcPr>
            <w:tcW w:w="5082" w:type="dxa"/>
            <w:tcBorders>
              <w:top w:val="single" w:sz="8" w:space="0" w:color="000000"/>
              <w:left w:val="single" w:sz="8" w:space="0" w:color="000000"/>
              <w:bottom w:val="single" w:sz="8" w:space="0" w:color="000000"/>
              <w:right w:val="single" w:sz="8" w:space="0" w:color="000000"/>
            </w:tcBorders>
          </w:tcPr>
          <w:p>
            <w:pPr>
              <w:pStyle w:val="TableParagraph"/>
              <w:spacing w:before="21"/>
              <w:ind w:left="62" w:right="84"/>
              <w:rPr>
                <w:rFonts w:ascii="Calibri"/>
                <w:sz w:val="24"/>
              </w:rPr>
            </w:pPr>
            <w:r>
              <w:rPr>
                <w:rFonts w:ascii="Calibri"/>
                <w:sz w:val="24"/>
              </w:rPr>
              <w:t>07/12/07</w:t>
            </w:r>
          </w:p>
        </w:tc>
      </w:tr>
    </w:tbl>
    <w:p>
      <w:pPr>
        <w:spacing w:before="212"/>
        <w:ind w:left="268" w:right="0" w:firstLine="0"/>
        <w:jc w:val="left"/>
        <w:rPr>
          <w:sz w:val="21"/>
        </w:rPr>
      </w:pPr>
      <w:r>
        <w:rPr>
          <w:w w:val="105"/>
          <w:sz w:val="21"/>
        </w:rPr>
        <w:t>Fuente: Elaboración propia con base al estudio realizado.</w:t>
      </w:r>
    </w:p>
    <w:p>
      <w:pPr>
        <w:pStyle w:val="BodyText"/>
        <w:rPr>
          <w:sz w:val="22"/>
        </w:rPr>
      </w:pPr>
    </w:p>
    <w:p>
      <w:pPr>
        <w:pStyle w:val="BodyText"/>
        <w:spacing w:before="10"/>
        <w:rPr>
          <w:sz w:val="30"/>
        </w:rPr>
      </w:pPr>
    </w:p>
    <w:p>
      <w:pPr>
        <w:pStyle w:val="BodyText"/>
        <w:spacing w:before="1" w:after="16"/>
        <w:ind w:left="268"/>
      </w:pPr>
      <w:r>
        <w:rPr/>
        <w:pict>
          <v:group style="position:absolute;margin-left:367.190491pt;margin-top:52.783527pt;width:69.95pt;height:41.1pt;mso-position-horizontal-relative:page;mso-position-vertical-relative:paragraph;z-index:-1138144" coordorigin="7344,1056" coordsize="1399,822">
            <v:line style="position:absolute" from="7349,1061" to="7349,1232" stroked="true" strokeweight=".533pt" strokecolor="#baf9f5"/>
            <v:shape style="position:absolute;left:7355;top:1061;width:1388;height:651" coordorigin="7355,1061" coordsize="1388,651" path="m8742,1061l7355,1061,7355,1221,7355,1232,7355,1392,7355,1552,7355,1712,8742,1712,8742,1552,8742,1392,8742,1232,8742,1221,8742,1061e" filled="true" fillcolor="#baf9f5" stroked="false">
              <v:path arrowok="t"/>
              <v:fill type="solid"/>
            </v:shape>
            <v:line style="position:absolute" from="7349,1221" to="7349,1872" stroked="true" strokeweight=".533pt" strokecolor="#baf9f5"/>
            <v:rect style="position:absolute;left:7355;top:1712;width:1387;height:160" filled="true" fillcolor="#baf9f5" stroked="false">
              <v:fill type="solid"/>
            </v:rect>
            <w10:wrap type="none"/>
          </v:group>
        </w:pict>
      </w:r>
      <w:r>
        <w:rPr/>
        <w:pict>
          <v:group style="position:absolute;margin-left:367.190491pt;margin-top:108.783546pt;width:69.95pt;height:65.1pt;mso-position-horizontal-relative:page;mso-position-vertical-relative:paragraph;z-index:-1138120" coordorigin="7344,2176" coordsize="1399,1302">
            <v:line style="position:absolute" from="7349,2181" to="7349,2352" stroked="true" strokeweight=".533pt" strokecolor="#baf9f5"/>
            <v:rect style="position:absolute;left:7355;top:2181;width:1387;height:171" filled="true" fillcolor="#baf9f5" stroked="false">
              <v:fill type="solid"/>
            </v:rect>
            <v:line style="position:absolute" from="7349,2352" to="7349,2512" stroked="true" strokeweight=".533pt" strokecolor="#baf9f5"/>
            <v:rect style="position:absolute;left:7355;top:2352;width:1387;height:160" filled="true" fillcolor="#baf9f5" stroked="false">
              <v:fill type="solid"/>
            </v:rect>
            <v:line style="position:absolute" from="7349,2512" to="7349,2672" stroked="true" strokeweight=".533pt" strokecolor="#baf9f5"/>
            <v:rect style="position:absolute;left:7355;top:2512;width:1387;height:160" filled="true" fillcolor="#baf9f5" stroked="false">
              <v:fill type="solid"/>
            </v:rect>
            <v:line style="position:absolute" from="7349,2672" to="7349,2832" stroked="true" strokeweight=".533pt" strokecolor="#baf9f5"/>
            <v:rect style="position:absolute;left:7355;top:2672;width:1387;height:160" filled="true" fillcolor="#baf9f5" stroked="false">
              <v:fill type="solid"/>
            </v:rect>
            <v:line style="position:absolute" from="7349,2832" to="7349,2992" stroked="true" strokeweight=".533pt" strokecolor="#baf9f5"/>
            <v:rect style="position:absolute;left:7355;top:2832;width:1387;height:160" filled="true" fillcolor="#baf9f5" stroked="false">
              <v:fill type="solid"/>
            </v:rect>
            <v:line style="position:absolute" from="7349,2992" to="7349,3152" stroked="true" strokeweight=".533pt" strokecolor="#baf9f5"/>
            <v:rect style="position:absolute;left:7355;top:2992;width:1387;height:160" filled="true" fillcolor="#baf9f5" stroked="false">
              <v:fill type="solid"/>
            </v:rect>
            <v:line style="position:absolute" from="7349,3152" to="7349,3312" stroked="true" strokeweight=".533pt" strokecolor="#baf9f5"/>
            <v:rect style="position:absolute;left:7355;top:3152;width:1387;height:160" filled="true" fillcolor="#baf9f5" stroked="false">
              <v:fill type="solid"/>
            </v:rect>
            <v:line style="position:absolute" from="7349,3312" to="7349,3472" stroked="true" strokeweight=".533pt" strokecolor="#baf9f5"/>
            <v:rect style="position:absolute;left:7355;top:3312;width:1387;height:160" filled="true" fillcolor="#baf9f5" stroked="false">
              <v:fill type="solid"/>
            </v:rect>
            <w10:wrap type="none"/>
          </v:group>
        </w:pict>
      </w:r>
      <w:r>
        <w:rPr/>
        <w:pict>
          <v:shape style="position:absolute;margin-left:471.251038pt;margin-top:109.05883pt;width:35.25pt;height:72.55pt;mso-position-horizontal-relative:page;mso-position-vertical-relative:paragraph;z-index:-1138096" coordorigin="9425,2181" coordsize="705,1451" path="m10129,3312l9425,3312,9425,3461,9425,3472,9425,3632,10129,3632,10129,3472,10129,3461,10129,3312m10129,2181l9425,2181,9425,2352,9425,2512,9425,2672,9425,2832,9425,2992,9425,3152,9425,3312,10129,3312,10129,3152,10129,2992,10129,2832,10129,2672,10129,2512,10129,2352,10129,2181e" filled="true" fillcolor="#ffff00" stroked="false">
            <v:path arrowok="t"/>
            <v:fill type="solid"/>
            <w10:wrap type="none"/>
          </v:shape>
        </w:pict>
      </w:r>
      <w:r>
        <w:rPr/>
        <w:t>Tabla 43. ISS San Andrés</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8"/>
        <w:gridCol w:w="2104"/>
        <w:gridCol w:w="2312"/>
        <w:gridCol w:w="1521"/>
        <w:gridCol w:w="868"/>
        <w:gridCol w:w="695"/>
        <w:gridCol w:w="693"/>
      </w:tblGrid>
      <w:tr>
        <w:trPr>
          <w:trHeight w:val="475" w:hRule="exact"/>
        </w:trPr>
        <w:tc>
          <w:tcPr>
            <w:tcW w:w="8820" w:type="dxa"/>
            <w:gridSpan w:val="7"/>
            <w:tcBorders>
              <w:bottom w:val="nil"/>
            </w:tcBorders>
            <w:shd w:val="clear" w:color="auto" w:fill="000000"/>
          </w:tcPr>
          <w:p>
            <w:pPr>
              <w:pStyle w:val="TableParagraph"/>
              <w:spacing w:before="86"/>
              <w:ind w:left="3412" w:right="3405"/>
              <w:rPr>
                <w:b/>
                <w:sz w:val="13"/>
              </w:rPr>
            </w:pPr>
            <w:r>
              <w:rPr>
                <w:b/>
                <w:color w:val="FFFFFF"/>
                <w:sz w:val="13"/>
              </w:rPr>
              <w:t>San Andrés</w:t>
            </w:r>
          </w:p>
          <w:p>
            <w:pPr>
              <w:pStyle w:val="TableParagraph"/>
              <w:spacing w:before="10"/>
              <w:ind w:left="3417" w:right="3405"/>
              <w:rPr>
                <w:b/>
                <w:sz w:val="13"/>
              </w:rPr>
            </w:pPr>
            <w:r>
              <w:rPr>
                <w:b/>
                <w:color w:val="FFFFFF"/>
                <w:sz w:val="13"/>
              </w:rPr>
              <w:t>Índice de sustentabilidad social</w:t>
            </w:r>
          </w:p>
        </w:tc>
      </w:tr>
      <w:tr>
        <w:trPr>
          <w:trHeight w:val="261" w:hRule="exact"/>
        </w:trPr>
        <w:tc>
          <w:tcPr>
            <w:tcW w:w="628" w:type="dxa"/>
            <w:tcBorders>
              <w:top w:val="single" w:sz="4" w:space="0" w:color="FFFFFF"/>
              <w:left w:val="single" w:sz="4" w:space="0" w:color="000000"/>
            </w:tcBorders>
            <w:shd w:val="clear" w:color="auto" w:fill="808080"/>
          </w:tcPr>
          <w:p>
            <w:pPr>
              <w:pStyle w:val="TableParagraph"/>
              <w:spacing w:before="31"/>
              <w:ind w:left="142" w:right="75"/>
              <w:rPr>
                <w:b/>
                <w:sz w:val="12"/>
              </w:rPr>
            </w:pPr>
            <w:r>
              <w:rPr>
                <w:b/>
                <w:color w:val="FFFFFF"/>
                <w:w w:val="105"/>
                <w:sz w:val="12"/>
              </w:rPr>
              <w:t>Índice</w:t>
            </w:r>
          </w:p>
        </w:tc>
        <w:tc>
          <w:tcPr>
            <w:tcW w:w="2104" w:type="dxa"/>
            <w:tcBorders>
              <w:top w:val="single" w:sz="4" w:space="0" w:color="FFFFFF"/>
            </w:tcBorders>
            <w:shd w:val="clear" w:color="auto" w:fill="808080"/>
          </w:tcPr>
          <w:p>
            <w:pPr>
              <w:pStyle w:val="TableParagraph"/>
              <w:spacing w:before="31"/>
              <w:ind w:left="92"/>
              <w:jc w:val="left"/>
              <w:rPr>
                <w:b/>
                <w:sz w:val="12"/>
              </w:rPr>
            </w:pPr>
            <w:r>
              <w:rPr>
                <w:b/>
                <w:color w:val="FFFFFF"/>
                <w:w w:val="105"/>
                <w:sz w:val="12"/>
              </w:rPr>
              <w:t>Subíndice</w:t>
            </w:r>
          </w:p>
        </w:tc>
        <w:tc>
          <w:tcPr>
            <w:tcW w:w="2312" w:type="dxa"/>
            <w:tcBorders>
              <w:top w:val="single" w:sz="4" w:space="0" w:color="FFFFFF"/>
            </w:tcBorders>
            <w:shd w:val="clear" w:color="auto" w:fill="808080"/>
          </w:tcPr>
          <w:p>
            <w:pPr>
              <w:pStyle w:val="TableParagraph"/>
              <w:spacing w:before="31"/>
              <w:ind w:left="123" w:right="798"/>
              <w:jc w:val="left"/>
              <w:rPr>
                <w:b/>
                <w:sz w:val="12"/>
              </w:rPr>
            </w:pPr>
            <w:r>
              <w:rPr>
                <w:b/>
                <w:color w:val="FFFFFF"/>
                <w:w w:val="105"/>
                <w:sz w:val="12"/>
              </w:rPr>
              <w:t>Indicador</w:t>
            </w:r>
          </w:p>
        </w:tc>
        <w:tc>
          <w:tcPr>
            <w:tcW w:w="1521" w:type="dxa"/>
            <w:tcBorders>
              <w:top w:val="single" w:sz="4" w:space="0" w:color="FFFFFF"/>
            </w:tcBorders>
            <w:shd w:val="clear" w:color="auto" w:fill="808080"/>
          </w:tcPr>
          <w:p>
            <w:pPr/>
          </w:p>
        </w:tc>
        <w:tc>
          <w:tcPr>
            <w:tcW w:w="868" w:type="dxa"/>
            <w:tcBorders>
              <w:top w:val="single" w:sz="4" w:space="0" w:color="FFFFFF"/>
            </w:tcBorders>
            <w:shd w:val="clear" w:color="auto" w:fill="808080"/>
          </w:tcPr>
          <w:p>
            <w:pPr>
              <w:pStyle w:val="TableParagraph"/>
              <w:spacing w:before="31"/>
              <w:ind w:left="282" w:right="90"/>
              <w:rPr>
                <w:b/>
                <w:sz w:val="12"/>
              </w:rPr>
            </w:pPr>
            <w:r>
              <w:rPr>
                <w:b/>
                <w:color w:val="FFFFFF"/>
                <w:w w:val="105"/>
                <w:sz w:val="12"/>
              </w:rPr>
              <w:t>Valores</w:t>
            </w:r>
          </w:p>
        </w:tc>
        <w:tc>
          <w:tcPr>
            <w:tcW w:w="695" w:type="dxa"/>
            <w:tcBorders>
              <w:top w:val="single" w:sz="4" w:space="0" w:color="FFFFFF"/>
            </w:tcBorders>
            <w:shd w:val="clear" w:color="auto" w:fill="808080"/>
          </w:tcPr>
          <w:p>
            <w:pPr/>
          </w:p>
        </w:tc>
        <w:tc>
          <w:tcPr>
            <w:tcW w:w="693" w:type="dxa"/>
            <w:tcBorders>
              <w:top w:val="single" w:sz="4" w:space="0" w:color="FFFFFF"/>
              <w:right w:val="single" w:sz="9" w:space="0" w:color="000000"/>
            </w:tcBorders>
            <w:shd w:val="clear" w:color="auto" w:fill="808080"/>
          </w:tcPr>
          <w:p>
            <w:pPr/>
          </w:p>
        </w:tc>
      </w:tr>
      <w:tr>
        <w:trPr>
          <w:trHeight w:val="197" w:hRule="exact"/>
        </w:trPr>
        <w:tc>
          <w:tcPr>
            <w:tcW w:w="628" w:type="dxa"/>
            <w:vMerge w:val="restart"/>
            <w:tcBorders>
              <w:left w:val="single" w:sz="4" w:space="0" w:color="000000"/>
            </w:tcBorders>
          </w:tcPr>
          <w:p>
            <w:pPr/>
          </w:p>
        </w:tc>
        <w:tc>
          <w:tcPr>
            <w:tcW w:w="2104" w:type="dxa"/>
            <w:vMerge w:val="restart"/>
          </w:tcPr>
          <w:p>
            <w:pPr>
              <w:pStyle w:val="TableParagraph"/>
              <w:jc w:val="left"/>
              <w:rPr>
                <w:sz w:val="12"/>
              </w:rPr>
            </w:pPr>
          </w:p>
          <w:p>
            <w:pPr>
              <w:pStyle w:val="TableParagraph"/>
              <w:jc w:val="left"/>
              <w:rPr>
                <w:sz w:val="12"/>
              </w:rPr>
            </w:pPr>
          </w:p>
          <w:p>
            <w:pPr>
              <w:pStyle w:val="TableParagraph"/>
              <w:jc w:val="left"/>
              <w:rPr>
                <w:sz w:val="13"/>
              </w:rPr>
            </w:pPr>
          </w:p>
          <w:p>
            <w:pPr>
              <w:pStyle w:val="TableParagraph"/>
              <w:ind w:left="92"/>
              <w:jc w:val="left"/>
              <w:rPr>
                <w:rFonts w:ascii="Calibri"/>
                <w:sz w:val="13"/>
              </w:rPr>
            </w:pPr>
            <w:r>
              <w:rPr>
                <w:rFonts w:ascii="Calibri"/>
                <w:sz w:val="13"/>
              </w:rPr>
              <w:t>Habitabilidad</w:t>
            </w:r>
          </w:p>
        </w:tc>
        <w:tc>
          <w:tcPr>
            <w:tcW w:w="2312" w:type="dxa"/>
            <w:vMerge w:val="restart"/>
          </w:tcPr>
          <w:p>
            <w:pPr>
              <w:pStyle w:val="TableParagraph"/>
              <w:spacing w:before="6"/>
              <w:jc w:val="left"/>
              <w:rPr>
                <w:sz w:val="16"/>
              </w:rPr>
            </w:pPr>
          </w:p>
          <w:p>
            <w:pPr>
              <w:pStyle w:val="TableParagraph"/>
              <w:spacing w:before="1"/>
              <w:ind w:left="123" w:right="798"/>
              <w:jc w:val="left"/>
              <w:rPr>
                <w:rFonts w:ascii="Calibri" w:hAnsi="Calibri"/>
                <w:sz w:val="13"/>
              </w:rPr>
            </w:pPr>
            <w:r>
              <w:rPr>
                <w:rFonts w:ascii="Calibri" w:hAnsi="Calibri"/>
                <w:sz w:val="13"/>
              </w:rPr>
              <w:t>Espacios habitables Metros de construcción Metros de terreno Hacinamiento</w:t>
            </w:r>
          </w:p>
        </w:tc>
        <w:tc>
          <w:tcPr>
            <w:tcW w:w="1521" w:type="dxa"/>
            <w:vMerge w:val="restart"/>
          </w:tcPr>
          <w:p>
            <w:pPr>
              <w:pStyle w:val="TableParagraph"/>
              <w:spacing w:before="32"/>
              <w:ind w:left="645" w:right="149"/>
              <w:rPr>
                <w:b/>
                <w:sz w:val="13"/>
              </w:rPr>
            </w:pPr>
            <w:r>
              <w:rPr>
                <w:b/>
                <w:sz w:val="13"/>
              </w:rPr>
              <w:t>Evaluación</w:t>
            </w:r>
          </w:p>
          <w:p>
            <w:pPr>
              <w:pStyle w:val="TableParagraph"/>
              <w:spacing w:before="8"/>
              <w:ind w:left="644" w:right="149"/>
              <w:rPr>
                <w:rFonts w:ascii="Calibri"/>
                <w:sz w:val="13"/>
              </w:rPr>
            </w:pPr>
            <w:r>
              <w:rPr>
                <w:rFonts w:ascii="Calibri"/>
                <w:sz w:val="13"/>
              </w:rPr>
              <w:t>0.7</w:t>
            </w:r>
          </w:p>
          <w:p>
            <w:pPr>
              <w:pStyle w:val="TableParagraph"/>
              <w:spacing w:before="1"/>
              <w:ind w:left="504"/>
              <w:rPr>
                <w:rFonts w:ascii="Calibri"/>
                <w:sz w:val="13"/>
              </w:rPr>
            </w:pPr>
            <w:r>
              <w:rPr>
                <w:rFonts w:ascii="Calibri"/>
                <w:w w:val="98"/>
                <w:sz w:val="13"/>
              </w:rPr>
              <w:t>1</w:t>
            </w:r>
          </w:p>
          <w:p>
            <w:pPr>
              <w:pStyle w:val="TableParagraph"/>
              <w:spacing w:before="1"/>
              <w:ind w:left="504"/>
              <w:rPr>
                <w:rFonts w:ascii="Calibri"/>
                <w:sz w:val="13"/>
              </w:rPr>
            </w:pPr>
            <w:r>
              <w:rPr>
                <w:rFonts w:ascii="Calibri"/>
                <w:w w:val="98"/>
                <w:sz w:val="13"/>
              </w:rPr>
              <w:t>1</w:t>
            </w:r>
          </w:p>
          <w:p>
            <w:pPr>
              <w:pStyle w:val="TableParagraph"/>
              <w:spacing w:before="1"/>
              <w:ind w:left="504"/>
              <w:rPr>
                <w:rFonts w:ascii="Calibri"/>
                <w:sz w:val="13"/>
              </w:rPr>
            </w:pPr>
            <w:r>
              <w:rPr>
                <w:rFonts w:ascii="Calibri"/>
                <w:w w:val="98"/>
                <w:sz w:val="13"/>
              </w:rPr>
              <w:t>1</w:t>
            </w:r>
          </w:p>
          <w:p>
            <w:pPr>
              <w:pStyle w:val="TableParagraph"/>
              <w:spacing w:before="1"/>
              <w:ind w:left="642" w:right="149"/>
              <w:rPr>
                <w:rFonts w:ascii="Calibri"/>
                <w:sz w:val="13"/>
              </w:rPr>
            </w:pPr>
            <w:r>
              <w:rPr>
                <w:rFonts w:ascii="Calibri"/>
                <w:sz w:val="13"/>
              </w:rPr>
              <w:t>Subtotal</w:t>
            </w:r>
          </w:p>
        </w:tc>
        <w:tc>
          <w:tcPr>
            <w:tcW w:w="868" w:type="dxa"/>
            <w:vMerge w:val="restart"/>
          </w:tcPr>
          <w:p>
            <w:pPr>
              <w:pStyle w:val="TableParagraph"/>
              <w:tabs>
                <w:tab w:pos="878" w:val="left" w:leader="none"/>
              </w:tabs>
              <w:spacing w:before="32"/>
              <w:ind w:left="174" w:right="-11"/>
              <w:jc w:val="left"/>
              <w:rPr>
                <w:b/>
                <w:sz w:val="13"/>
              </w:rPr>
            </w:pPr>
            <w:r>
              <w:rPr>
                <w:b/>
                <w:w w:val="98"/>
                <w:sz w:val="13"/>
                <w:shd w:fill="F79646" w:color="auto" w:val="clear"/>
              </w:rPr>
              <w:t> </w:t>
            </w:r>
            <w:r>
              <w:rPr>
                <w:b/>
                <w:sz w:val="13"/>
                <w:shd w:fill="F79646" w:color="auto" w:val="clear"/>
              </w:rPr>
              <w:t>    </w:t>
            </w:r>
            <w:r>
              <w:rPr>
                <w:b/>
                <w:spacing w:val="-3"/>
                <w:sz w:val="13"/>
                <w:shd w:fill="F79646" w:color="auto" w:val="clear"/>
              </w:rPr>
              <w:t> </w:t>
            </w:r>
            <w:r>
              <w:rPr>
                <w:b/>
                <w:sz w:val="13"/>
                <w:shd w:fill="F79646" w:color="auto" w:val="clear"/>
              </w:rPr>
              <w:t>Real</w:t>
              <w:tab/>
            </w: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tabs>
                <w:tab w:pos="440" w:val="left" w:leader="none"/>
                <w:tab w:pos="878" w:val="left" w:leader="none"/>
              </w:tabs>
              <w:spacing w:before="96"/>
              <w:ind w:left="174" w:right="-11"/>
              <w:jc w:val="left"/>
              <w:rPr>
                <w:rFonts w:ascii="Calibri"/>
                <w:sz w:val="13"/>
              </w:rPr>
            </w:pPr>
            <w:r>
              <w:rPr>
                <w:rFonts w:ascii="Times New Roman"/>
                <w:w w:val="98"/>
                <w:sz w:val="13"/>
                <w:shd w:fill="F79646" w:color="auto" w:val="clear"/>
              </w:rPr>
              <w:t> </w:t>
            </w:r>
            <w:r>
              <w:rPr>
                <w:rFonts w:ascii="Times New Roman"/>
                <w:sz w:val="13"/>
                <w:shd w:fill="F79646" w:color="auto" w:val="clear"/>
              </w:rPr>
              <w:tab/>
            </w:r>
            <w:r>
              <w:rPr>
                <w:rFonts w:ascii="Calibri"/>
                <w:sz w:val="13"/>
                <w:shd w:fill="F79646" w:color="auto" w:val="clear"/>
              </w:rPr>
              <w:t>3.7</w:t>
              <w:tab/>
            </w:r>
          </w:p>
        </w:tc>
        <w:tc>
          <w:tcPr>
            <w:tcW w:w="695" w:type="dxa"/>
            <w:tcBorders>
              <w:right w:val="single" w:sz="4" w:space="0" w:color="FFFFFF"/>
            </w:tcBorders>
            <w:shd w:val="clear" w:color="auto" w:fill="FFFF00"/>
          </w:tcPr>
          <w:p>
            <w:pPr>
              <w:pStyle w:val="TableParagraph"/>
              <w:spacing w:before="32"/>
              <w:ind w:left="50" w:right="28"/>
              <w:rPr>
                <w:b/>
                <w:sz w:val="13"/>
              </w:rPr>
            </w:pPr>
            <w:r>
              <w:rPr>
                <w:b/>
                <w:sz w:val="13"/>
              </w:rPr>
              <w:t>Deseable</w:t>
            </w:r>
          </w:p>
        </w:tc>
        <w:tc>
          <w:tcPr>
            <w:tcW w:w="693" w:type="dxa"/>
            <w:tcBorders>
              <w:left w:val="single" w:sz="4" w:space="0" w:color="FFFFFF"/>
              <w:right w:val="single" w:sz="9" w:space="0" w:color="000000"/>
            </w:tcBorders>
            <w:shd w:val="clear" w:color="auto" w:fill="67ED4D"/>
          </w:tcPr>
          <w:p>
            <w:pPr>
              <w:pStyle w:val="TableParagraph"/>
              <w:spacing w:before="32"/>
              <w:ind w:left="97" w:right="83"/>
              <w:rPr>
                <w:b/>
                <w:sz w:val="13"/>
              </w:rPr>
            </w:pPr>
            <w:r>
              <w:rPr>
                <w:b/>
                <w:sz w:val="13"/>
              </w:rPr>
              <w:t>Óptimo</w:t>
            </w:r>
          </w:p>
        </w:tc>
      </w:tr>
      <w:tr>
        <w:trPr>
          <w:trHeight w:val="162" w:hRule="exact"/>
        </w:trPr>
        <w:tc>
          <w:tcPr>
            <w:tcW w:w="628" w:type="dxa"/>
            <w:vMerge/>
            <w:tcBorders>
              <w:left w:val="single" w:sz="4" w:space="0" w:color="000000"/>
            </w:tcBorders>
          </w:tcPr>
          <w:p>
            <w:pPr/>
          </w:p>
        </w:tc>
        <w:tc>
          <w:tcPr>
            <w:tcW w:w="2104" w:type="dxa"/>
            <w:vMerge/>
          </w:tcPr>
          <w:p>
            <w:pPr/>
          </w:p>
        </w:tc>
        <w:tc>
          <w:tcPr>
            <w:tcW w:w="2312" w:type="dxa"/>
            <w:vMerge/>
          </w:tcPr>
          <w:p>
            <w:pPr/>
          </w:p>
        </w:tc>
        <w:tc>
          <w:tcPr>
            <w:tcW w:w="1521" w:type="dxa"/>
            <w:vMerge/>
          </w:tcPr>
          <w:p>
            <w:pPr/>
          </w:p>
        </w:tc>
        <w:tc>
          <w:tcPr>
            <w:tcW w:w="868" w:type="dxa"/>
            <w:vMerge/>
          </w:tcPr>
          <w:p>
            <w:pPr/>
          </w:p>
        </w:tc>
        <w:tc>
          <w:tcPr>
            <w:tcW w:w="695" w:type="dxa"/>
            <w:tcBorders>
              <w:right w:val="single" w:sz="4" w:space="0" w:color="FFFFFF"/>
            </w:tcBorders>
            <w:shd w:val="clear" w:color="auto" w:fill="FFFF00"/>
          </w:tcPr>
          <w:p>
            <w:pPr>
              <w:pStyle w:val="TableParagraph"/>
              <w:spacing w:line="153" w:lineRule="exact"/>
              <w:ind w:left="34" w:right="28"/>
              <w:rPr>
                <w:rFonts w:ascii="Calibri"/>
                <w:sz w:val="13"/>
              </w:rPr>
            </w:pPr>
            <w:r>
              <w:rPr>
                <w:rFonts w:ascii="Calibri"/>
                <w:sz w:val="13"/>
              </w:rPr>
              <w:t>0.7</w:t>
            </w:r>
          </w:p>
        </w:tc>
        <w:tc>
          <w:tcPr>
            <w:tcW w:w="693" w:type="dxa"/>
            <w:tcBorders>
              <w:left w:val="single" w:sz="4" w:space="0" w:color="FFFFFF"/>
              <w:right w:val="single" w:sz="9" w:space="0" w:color="000000"/>
            </w:tcBorders>
            <w:shd w:val="clear" w:color="auto" w:fill="67ED4D"/>
          </w:tcPr>
          <w:p>
            <w:pPr>
              <w:pStyle w:val="TableParagraph"/>
              <w:spacing w:line="153" w:lineRule="exact"/>
              <w:ind w:left="15"/>
              <w:rPr>
                <w:rFonts w:ascii="Calibri"/>
                <w:sz w:val="13"/>
              </w:rPr>
            </w:pPr>
            <w:r>
              <w:rPr>
                <w:rFonts w:ascii="Calibri"/>
                <w:w w:val="98"/>
                <w:sz w:val="13"/>
              </w:rPr>
              <w:t>1</w:t>
            </w:r>
          </w:p>
        </w:tc>
      </w:tr>
      <w:tr>
        <w:trPr>
          <w:trHeight w:val="160" w:hRule="exact"/>
        </w:trPr>
        <w:tc>
          <w:tcPr>
            <w:tcW w:w="628" w:type="dxa"/>
            <w:vMerge/>
            <w:tcBorders>
              <w:left w:val="single" w:sz="4" w:space="0" w:color="000000"/>
            </w:tcBorders>
          </w:tcPr>
          <w:p>
            <w:pPr/>
          </w:p>
        </w:tc>
        <w:tc>
          <w:tcPr>
            <w:tcW w:w="2104" w:type="dxa"/>
            <w:vMerge/>
          </w:tcPr>
          <w:p>
            <w:pPr/>
          </w:p>
        </w:tc>
        <w:tc>
          <w:tcPr>
            <w:tcW w:w="2312" w:type="dxa"/>
            <w:vMerge/>
          </w:tcPr>
          <w:p>
            <w:pPr/>
          </w:p>
        </w:tc>
        <w:tc>
          <w:tcPr>
            <w:tcW w:w="1521" w:type="dxa"/>
            <w:vMerge/>
          </w:tcPr>
          <w:p>
            <w:pPr/>
          </w:p>
        </w:tc>
        <w:tc>
          <w:tcPr>
            <w:tcW w:w="868" w:type="dxa"/>
            <w:vMerge/>
          </w:tcPr>
          <w:p>
            <w:pPr/>
          </w:p>
        </w:tc>
        <w:tc>
          <w:tcPr>
            <w:tcW w:w="695" w:type="dxa"/>
            <w:tcBorders>
              <w:right w:val="single" w:sz="4" w:space="0" w:color="FFFFFF"/>
            </w:tcBorders>
            <w:shd w:val="clear" w:color="auto" w:fill="FFFF00"/>
          </w:tcPr>
          <w:p>
            <w:pPr>
              <w:pStyle w:val="TableParagraph"/>
              <w:spacing w:line="151" w:lineRule="exact"/>
              <w:ind w:left="34" w:right="28"/>
              <w:rPr>
                <w:rFonts w:ascii="Calibri"/>
                <w:sz w:val="13"/>
              </w:rPr>
            </w:pPr>
            <w:r>
              <w:rPr>
                <w:rFonts w:ascii="Calibri"/>
                <w:sz w:val="13"/>
              </w:rPr>
              <w:t>0.9</w:t>
            </w:r>
          </w:p>
        </w:tc>
        <w:tc>
          <w:tcPr>
            <w:tcW w:w="693" w:type="dxa"/>
            <w:tcBorders>
              <w:left w:val="single" w:sz="4" w:space="0" w:color="FFFFFF"/>
              <w:right w:val="single" w:sz="9" w:space="0" w:color="000000"/>
            </w:tcBorders>
            <w:shd w:val="clear" w:color="auto" w:fill="67ED4D"/>
          </w:tcPr>
          <w:p>
            <w:pPr>
              <w:pStyle w:val="TableParagraph"/>
              <w:spacing w:line="151" w:lineRule="exact"/>
              <w:ind w:left="15"/>
              <w:rPr>
                <w:rFonts w:ascii="Calibri"/>
                <w:sz w:val="13"/>
              </w:rPr>
            </w:pPr>
            <w:r>
              <w:rPr>
                <w:rFonts w:ascii="Calibri"/>
                <w:w w:val="98"/>
                <w:sz w:val="13"/>
              </w:rPr>
              <w:t>1</w:t>
            </w:r>
          </w:p>
        </w:tc>
      </w:tr>
      <w:tr>
        <w:trPr>
          <w:trHeight w:val="160" w:hRule="exact"/>
        </w:trPr>
        <w:tc>
          <w:tcPr>
            <w:tcW w:w="628" w:type="dxa"/>
            <w:vMerge/>
            <w:tcBorders>
              <w:left w:val="single" w:sz="4" w:space="0" w:color="000000"/>
            </w:tcBorders>
          </w:tcPr>
          <w:p>
            <w:pPr/>
          </w:p>
        </w:tc>
        <w:tc>
          <w:tcPr>
            <w:tcW w:w="2104" w:type="dxa"/>
            <w:vMerge/>
          </w:tcPr>
          <w:p>
            <w:pPr/>
          </w:p>
        </w:tc>
        <w:tc>
          <w:tcPr>
            <w:tcW w:w="2312" w:type="dxa"/>
            <w:vMerge/>
          </w:tcPr>
          <w:p>
            <w:pPr/>
          </w:p>
        </w:tc>
        <w:tc>
          <w:tcPr>
            <w:tcW w:w="1521" w:type="dxa"/>
            <w:vMerge/>
          </w:tcPr>
          <w:p>
            <w:pPr/>
          </w:p>
        </w:tc>
        <w:tc>
          <w:tcPr>
            <w:tcW w:w="868" w:type="dxa"/>
            <w:vMerge/>
          </w:tcPr>
          <w:p>
            <w:pPr/>
          </w:p>
        </w:tc>
        <w:tc>
          <w:tcPr>
            <w:tcW w:w="695" w:type="dxa"/>
            <w:tcBorders>
              <w:right w:val="single" w:sz="4" w:space="0" w:color="FFFFFF"/>
            </w:tcBorders>
            <w:shd w:val="clear" w:color="auto" w:fill="FFFF00"/>
          </w:tcPr>
          <w:p>
            <w:pPr>
              <w:pStyle w:val="TableParagraph"/>
              <w:spacing w:line="151" w:lineRule="exact"/>
              <w:ind w:left="34" w:right="28"/>
              <w:rPr>
                <w:rFonts w:ascii="Calibri"/>
                <w:sz w:val="13"/>
              </w:rPr>
            </w:pPr>
            <w:r>
              <w:rPr>
                <w:rFonts w:ascii="Calibri"/>
                <w:sz w:val="13"/>
              </w:rPr>
              <w:t>0.8</w:t>
            </w:r>
          </w:p>
        </w:tc>
        <w:tc>
          <w:tcPr>
            <w:tcW w:w="693" w:type="dxa"/>
            <w:tcBorders>
              <w:left w:val="single" w:sz="4" w:space="0" w:color="FFFFFF"/>
              <w:right w:val="single" w:sz="9" w:space="0" w:color="000000"/>
            </w:tcBorders>
            <w:shd w:val="clear" w:color="auto" w:fill="67ED4D"/>
          </w:tcPr>
          <w:p>
            <w:pPr>
              <w:pStyle w:val="TableParagraph"/>
              <w:spacing w:line="151" w:lineRule="exact"/>
              <w:ind w:left="15"/>
              <w:rPr>
                <w:rFonts w:ascii="Calibri"/>
                <w:sz w:val="13"/>
              </w:rPr>
            </w:pPr>
            <w:r>
              <w:rPr>
                <w:rFonts w:ascii="Calibri"/>
                <w:w w:val="98"/>
                <w:sz w:val="13"/>
              </w:rPr>
              <w:t>1</w:t>
            </w:r>
          </w:p>
        </w:tc>
      </w:tr>
      <w:tr>
        <w:trPr>
          <w:trHeight w:val="160" w:hRule="exact"/>
        </w:trPr>
        <w:tc>
          <w:tcPr>
            <w:tcW w:w="628" w:type="dxa"/>
            <w:vMerge/>
            <w:tcBorders>
              <w:left w:val="single" w:sz="4" w:space="0" w:color="000000"/>
            </w:tcBorders>
          </w:tcPr>
          <w:p>
            <w:pPr/>
          </w:p>
        </w:tc>
        <w:tc>
          <w:tcPr>
            <w:tcW w:w="2104" w:type="dxa"/>
            <w:vMerge/>
          </w:tcPr>
          <w:p>
            <w:pPr/>
          </w:p>
        </w:tc>
        <w:tc>
          <w:tcPr>
            <w:tcW w:w="2312" w:type="dxa"/>
            <w:vMerge/>
          </w:tcPr>
          <w:p>
            <w:pPr/>
          </w:p>
        </w:tc>
        <w:tc>
          <w:tcPr>
            <w:tcW w:w="1521" w:type="dxa"/>
            <w:vMerge/>
          </w:tcPr>
          <w:p>
            <w:pPr/>
          </w:p>
        </w:tc>
        <w:tc>
          <w:tcPr>
            <w:tcW w:w="868" w:type="dxa"/>
            <w:vMerge/>
          </w:tcPr>
          <w:p>
            <w:pPr/>
          </w:p>
        </w:tc>
        <w:tc>
          <w:tcPr>
            <w:tcW w:w="695" w:type="dxa"/>
            <w:tcBorders>
              <w:right w:val="single" w:sz="4" w:space="0" w:color="FFFFFF"/>
            </w:tcBorders>
            <w:shd w:val="clear" w:color="auto" w:fill="FFFF00"/>
          </w:tcPr>
          <w:p>
            <w:pPr>
              <w:pStyle w:val="TableParagraph"/>
              <w:spacing w:line="151" w:lineRule="exact"/>
              <w:ind w:left="34" w:right="28"/>
              <w:rPr>
                <w:rFonts w:ascii="Calibri"/>
                <w:sz w:val="13"/>
              </w:rPr>
            </w:pPr>
            <w:r>
              <w:rPr>
                <w:rFonts w:ascii="Calibri"/>
                <w:sz w:val="13"/>
              </w:rPr>
              <w:t>0.5</w:t>
            </w:r>
          </w:p>
        </w:tc>
        <w:tc>
          <w:tcPr>
            <w:tcW w:w="693" w:type="dxa"/>
            <w:tcBorders>
              <w:left w:val="single" w:sz="4" w:space="0" w:color="FFFFFF"/>
              <w:right w:val="single" w:sz="9" w:space="0" w:color="000000"/>
            </w:tcBorders>
            <w:shd w:val="clear" w:color="auto" w:fill="67ED4D"/>
          </w:tcPr>
          <w:p>
            <w:pPr>
              <w:pStyle w:val="TableParagraph"/>
              <w:spacing w:line="151" w:lineRule="exact"/>
              <w:ind w:left="15"/>
              <w:rPr>
                <w:rFonts w:ascii="Calibri"/>
                <w:sz w:val="13"/>
              </w:rPr>
            </w:pPr>
            <w:r>
              <w:rPr>
                <w:rFonts w:ascii="Calibri"/>
                <w:w w:val="98"/>
                <w:sz w:val="13"/>
              </w:rPr>
              <w:t>1</w:t>
            </w:r>
          </w:p>
        </w:tc>
      </w:tr>
      <w:tr>
        <w:trPr>
          <w:trHeight w:val="164" w:hRule="exact"/>
        </w:trPr>
        <w:tc>
          <w:tcPr>
            <w:tcW w:w="628" w:type="dxa"/>
            <w:vMerge/>
            <w:tcBorders>
              <w:left w:val="single" w:sz="4" w:space="0" w:color="000000"/>
            </w:tcBorders>
          </w:tcPr>
          <w:p>
            <w:pPr/>
          </w:p>
        </w:tc>
        <w:tc>
          <w:tcPr>
            <w:tcW w:w="2104" w:type="dxa"/>
            <w:vMerge/>
          </w:tcPr>
          <w:p>
            <w:pPr/>
          </w:p>
        </w:tc>
        <w:tc>
          <w:tcPr>
            <w:tcW w:w="2312" w:type="dxa"/>
            <w:vMerge/>
          </w:tcPr>
          <w:p>
            <w:pPr/>
          </w:p>
        </w:tc>
        <w:tc>
          <w:tcPr>
            <w:tcW w:w="1521" w:type="dxa"/>
            <w:vMerge/>
          </w:tcPr>
          <w:p>
            <w:pPr/>
          </w:p>
        </w:tc>
        <w:tc>
          <w:tcPr>
            <w:tcW w:w="868" w:type="dxa"/>
            <w:vMerge/>
          </w:tcPr>
          <w:p>
            <w:pPr/>
          </w:p>
        </w:tc>
        <w:tc>
          <w:tcPr>
            <w:tcW w:w="695" w:type="dxa"/>
            <w:tcBorders>
              <w:right w:val="single" w:sz="4" w:space="0" w:color="FFFFFF"/>
            </w:tcBorders>
            <w:shd w:val="clear" w:color="auto" w:fill="FFFF00"/>
          </w:tcPr>
          <w:p>
            <w:pPr>
              <w:pStyle w:val="TableParagraph"/>
              <w:spacing w:line="151" w:lineRule="exact"/>
              <w:ind w:left="34" w:right="28"/>
              <w:rPr>
                <w:rFonts w:ascii="Calibri"/>
                <w:sz w:val="13"/>
              </w:rPr>
            </w:pPr>
            <w:r>
              <w:rPr>
                <w:rFonts w:ascii="Calibri"/>
                <w:sz w:val="13"/>
              </w:rPr>
              <w:t>2.9</w:t>
            </w:r>
          </w:p>
        </w:tc>
        <w:tc>
          <w:tcPr>
            <w:tcW w:w="693" w:type="dxa"/>
            <w:tcBorders>
              <w:left w:val="single" w:sz="4" w:space="0" w:color="FFFFFF"/>
              <w:right w:val="single" w:sz="9" w:space="0" w:color="000000"/>
            </w:tcBorders>
            <w:shd w:val="clear" w:color="auto" w:fill="67ED4D"/>
          </w:tcPr>
          <w:p>
            <w:pPr>
              <w:pStyle w:val="TableParagraph"/>
              <w:spacing w:line="151" w:lineRule="exact"/>
              <w:ind w:left="15"/>
              <w:rPr>
                <w:rFonts w:ascii="Calibri"/>
                <w:sz w:val="13"/>
              </w:rPr>
            </w:pPr>
            <w:r>
              <w:rPr>
                <w:rFonts w:ascii="Calibri"/>
                <w:w w:val="98"/>
                <w:sz w:val="13"/>
              </w:rPr>
              <w:t>4</w:t>
            </w:r>
          </w:p>
        </w:tc>
      </w:tr>
      <w:tr>
        <w:trPr>
          <w:trHeight w:val="149" w:hRule="exact"/>
        </w:trPr>
        <w:tc>
          <w:tcPr>
            <w:tcW w:w="8820" w:type="dxa"/>
            <w:gridSpan w:val="7"/>
            <w:tcBorders>
              <w:left w:val="single" w:sz="4" w:space="0" w:color="000000"/>
              <w:right w:val="single" w:sz="9" w:space="0" w:color="000000"/>
            </w:tcBorders>
          </w:tcPr>
          <w:p>
            <w:pPr/>
          </w:p>
        </w:tc>
      </w:tr>
      <w:tr>
        <w:trPr>
          <w:trHeight w:val="167" w:hRule="exact"/>
        </w:trPr>
        <w:tc>
          <w:tcPr>
            <w:tcW w:w="628" w:type="dxa"/>
            <w:tcBorders>
              <w:left w:val="single" w:sz="4" w:space="0" w:color="000000"/>
            </w:tcBorders>
          </w:tcPr>
          <w:p>
            <w:pPr/>
          </w:p>
        </w:tc>
        <w:tc>
          <w:tcPr>
            <w:tcW w:w="2104" w:type="dxa"/>
          </w:tcPr>
          <w:p>
            <w:pPr/>
          </w:p>
        </w:tc>
        <w:tc>
          <w:tcPr>
            <w:tcW w:w="2312" w:type="dxa"/>
          </w:tcPr>
          <w:p>
            <w:pPr>
              <w:pStyle w:val="TableParagraph"/>
              <w:spacing w:line="158" w:lineRule="exact"/>
              <w:ind w:left="123" w:right="798"/>
              <w:jc w:val="left"/>
              <w:rPr>
                <w:rFonts w:ascii="Calibri"/>
                <w:sz w:val="13"/>
              </w:rPr>
            </w:pPr>
            <w:r>
              <w:rPr>
                <w:rFonts w:ascii="Calibri"/>
                <w:sz w:val="13"/>
              </w:rPr>
              <w:t>Empleo</w:t>
            </w:r>
          </w:p>
        </w:tc>
        <w:tc>
          <w:tcPr>
            <w:tcW w:w="1521" w:type="dxa"/>
          </w:tcPr>
          <w:p>
            <w:pPr>
              <w:pStyle w:val="TableParagraph"/>
              <w:spacing w:line="158" w:lineRule="exact"/>
              <w:ind w:left="644" w:right="149"/>
              <w:rPr>
                <w:rFonts w:ascii="Calibri"/>
                <w:sz w:val="13"/>
              </w:rPr>
            </w:pPr>
            <w:r>
              <w:rPr>
                <w:rFonts w:ascii="Calibri"/>
                <w:sz w:val="13"/>
              </w:rPr>
              <w:t>0.6</w:t>
            </w:r>
          </w:p>
        </w:tc>
        <w:tc>
          <w:tcPr>
            <w:tcW w:w="868" w:type="dxa"/>
          </w:tcPr>
          <w:p>
            <w:pPr/>
          </w:p>
        </w:tc>
        <w:tc>
          <w:tcPr>
            <w:tcW w:w="695" w:type="dxa"/>
          </w:tcPr>
          <w:p>
            <w:pPr>
              <w:pStyle w:val="TableParagraph"/>
              <w:spacing w:line="158" w:lineRule="exact"/>
              <w:ind w:left="245" w:right="244"/>
              <w:rPr>
                <w:rFonts w:ascii="Calibri"/>
                <w:sz w:val="13"/>
              </w:rPr>
            </w:pPr>
            <w:r>
              <w:rPr>
                <w:rFonts w:ascii="Calibri"/>
                <w:sz w:val="13"/>
              </w:rPr>
              <w:t>0.8</w:t>
            </w:r>
          </w:p>
        </w:tc>
        <w:tc>
          <w:tcPr>
            <w:tcW w:w="693" w:type="dxa"/>
            <w:tcBorders>
              <w:right w:val="single" w:sz="9" w:space="0" w:color="000000"/>
            </w:tcBorders>
            <w:shd w:val="clear" w:color="auto" w:fill="67ED4D"/>
          </w:tcPr>
          <w:p>
            <w:pPr>
              <w:pStyle w:val="TableParagraph"/>
              <w:spacing w:line="158" w:lineRule="exact"/>
              <w:ind w:left="21"/>
              <w:rPr>
                <w:rFonts w:ascii="Calibri"/>
                <w:sz w:val="13"/>
              </w:rPr>
            </w:pPr>
            <w:r>
              <w:rPr>
                <w:rFonts w:ascii="Calibri"/>
                <w:w w:val="98"/>
                <w:sz w:val="13"/>
              </w:rPr>
              <w:t>1</w:t>
            </w:r>
          </w:p>
        </w:tc>
      </w:tr>
      <w:tr>
        <w:trPr>
          <w:trHeight w:val="160" w:hRule="exact"/>
        </w:trPr>
        <w:tc>
          <w:tcPr>
            <w:tcW w:w="628" w:type="dxa"/>
            <w:tcBorders>
              <w:left w:val="single" w:sz="4" w:space="0" w:color="000000"/>
            </w:tcBorders>
          </w:tcPr>
          <w:p>
            <w:pPr/>
          </w:p>
        </w:tc>
        <w:tc>
          <w:tcPr>
            <w:tcW w:w="2104" w:type="dxa"/>
          </w:tcPr>
          <w:p>
            <w:pPr/>
          </w:p>
        </w:tc>
        <w:tc>
          <w:tcPr>
            <w:tcW w:w="2312" w:type="dxa"/>
          </w:tcPr>
          <w:p>
            <w:pPr>
              <w:pStyle w:val="TableParagraph"/>
              <w:spacing w:line="151" w:lineRule="exact"/>
              <w:ind w:left="123" w:right="798"/>
              <w:jc w:val="left"/>
              <w:rPr>
                <w:rFonts w:ascii="Calibri" w:hAnsi="Calibri"/>
                <w:sz w:val="13"/>
              </w:rPr>
            </w:pPr>
            <w:r>
              <w:rPr>
                <w:rFonts w:ascii="Calibri" w:hAnsi="Calibri"/>
                <w:sz w:val="13"/>
              </w:rPr>
              <w:t>Educación</w:t>
            </w:r>
          </w:p>
        </w:tc>
        <w:tc>
          <w:tcPr>
            <w:tcW w:w="1521" w:type="dxa"/>
          </w:tcPr>
          <w:p>
            <w:pPr>
              <w:pStyle w:val="TableParagraph"/>
              <w:spacing w:line="151" w:lineRule="exact"/>
              <w:ind w:left="644" w:right="149"/>
              <w:rPr>
                <w:rFonts w:ascii="Calibri"/>
                <w:sz w:val="13"/>
              </w:rPr>
            </w:pPr>
            <w:r>
              <w:rPr>
                <w:rFonts w:ascii="Calibri"/>
                <w:sz w:val="13"/>
              </w:rPr>
              <w:t>0.7</w:t>
            </w:r>
          </w:p>
        </w:tc>
        <w:tc>
          <w:tcPr>
            <w:tcW w:w="868" w:type="dxa"/>
          </w:tcPr>
          <w:p>
            <w:pPr/>
          </w:p>
        </w:tc>
        <w:tc>
          <w:tcPr>
            <w:tcW w:w="695" w:type="dxa"/>
          </w:tcPr>
          <w:p>
            <w:pPr>
              <w:pStyle w:val="TableParagraph"/>
              <w:spacing w:line="151" w:lineRule="exact"/>
              <w:ind w:left="245" w:right="244"/>
              <w:rPr>
                <w:rFonts w:ascii="Calibri"/>
                <w:sz w:val="13"/>
              </w:rPr>
            </w:pPr>
            <w:r>
              <w:rPr>
                <w:rFonts w:ascii="Calibri"/>
                <w:sz w:val="13"/>
              </w:rPr>
              <w:t>0.7</w:t>
            </w:r>
          </w:p>
        </w:tc>
        <w:tc>
          <w:tcPr>
            <w:tcW w:w="693" w:type="dxa"/>
            <w:tcBorders>
              <w:right w:val="single" w:sz="9" w:space="0" w:color="000000"/>
            </w:tcBorders>
            <w:shd w:val="clear" w:color="auto" w:fill="67ED4D"/>
          </w:tcPr>
          <w:p>
            <w:pPr>
              <w:pStyle w:val="TableParagraph"/>
              <w:spacing w:line="151" w:lineRule="exact"/>
              <w:ind w:left="21"/>
              <w:rPr>
                <w:rFonts w:ascii="Calibri"/>
                <w:sz w:val="13"/>
              </w:rPr>
            </w:pPr>
            <w:r>
              <w:rPr>
                <w:rFonts w:ascii="Calibri"/>
                <w:w w:val="98"/>
                <w:sz w:val="13"/>
              </w:rPr>
              <w:t>1</w:t>
            </w:r>
          </w:p>
        </w:tc>
      </w:tr>
      <w:tr>
        <w:trPr>
          <w:trHeight w:val="160" w:hRule="exact"/>
        </w:trPr>
        <w:tc>
          <w:tcPr>
            <w:tcW w:w="628" w:type="dxa"/>
            <w:tcBorders>
              <w:left w:val="single" w:sz="4" w:space="0" w:color="000000"/>
            </w:tcBorders>
          </w:tcPr>
          <w:p>
            <w:pPr/>
          </w:p>
        </w:tc>
        <w:tc>
          <w:tcPr>
            <w:tcW w:w="2104" w:type="dxa"/>
          </w:tcPr>
          <w:p>
            <w:pPr/>
          </w:p>
        </w:tc>
        <w:tc>
          <w:tcPr>
            <w:tcW w:w="2312" w:type="dxa"/>
          </w:tcPr>
          <w:p>
            <w:pPr>
              <w:pStyle w:val="TableParagraph"/>
              <w:spacing w:line="151" w:lineRule="exact"/>
              <w:ind w:left="123" w:right="798"/>
              <w:jc w:val="left"/>
              <w:rPr>
                <w:rFonts w:ascii="Calibri"/>
                <w:sz w:val="13"/>
              </w:rPr>
            </w:pPr>
            <w:r>
              <w:rPr>
                <w:rFonts w:ascii="Calibri"/>
                <w:sz w:val="13"/>
              </w:rPr>
              <w:t>Salud</w:t>
            </w:r>
          </w:p>
        </w:tc>
        <w:tc>
          <w:tcPr>
            <w:tcW w:w="1521" w:type="dxa"/>
          </w:tcPr>
          <w:p>
            <w:pPr>
              <w:pStyle w:val="TableParagraph"/>
              <w:spacing w:line="151" w:lineRule="exact"/>
              <w:ind w:left="644" w:right="149"/>
              <w:rPr>
                <w:rFonts w:ascii="Calibri"/>
                <w:sz w:val="13"/>
              </w:rPr>
            </w:pPr>
            <w:r>
              <w:rPr>
                <w:rFonts w:ascii="Calibri"/>
                <w:sz w:val="13"/>
              </w:rPr>
              <w:t>0.7</w:t>
            </w:r>
          </w:p>
        </w:tc>
        <w:tc>
          <w:tcPr>
            <w:tcW w:w="868" w:type="dxa"/>
          </w:tcPr>
          <w:p>
            <w:pPr/>
          </w:p>
        </w:tc>
        <w:tc>
          <w:tcPr>
            <w:tcW w:w="695" w:type="dxa"/>
          </w:tcPr>
          <w:p>
            <w:pPr>
              <w:pStyle w:val="TableParagraph"/>
              <w:spacing w:line="151" w:lineRule="exact"/>
              <w:ind w:left="245" w:right="244"/>
              <w:rPr>
                <w:rFonts w:ascii="Calibri"/>
                <w:sz w:val="13"/>
              </w:rPr>
            </w:pPr>
            <w:r>
              <w:rPr>
                <w:rFonts w:ascii="Calibri"/>
                <w:sz w:val="13"/>
              </w:rPr>
              <w:t>0.9</w:t>
            </w:r>
          </w:p>
        </w:tc>
        <w:tc>
          <w:tcPr>
            <w:tcW w:w="693" w:type="dxa"/>
            <w:tcBorders>
              <w:right w:val="single" w:sz="9" w:space="0" w:color="000000"/>
            </w:tcBorders>
            <w:shd w:val="clear" w:color="auto" w:fill="67ED4D"/>
          </w:tcPr>
          <w:p>
            <w:pPr>
              <w:pStyle w:val="TableParagraph"/>
              <w:spacing w:line="151" w:lineRule="exact"/>
              <w:ind w:left="21"/>
              <w:rPr>
                <w:rFonts w:ascii="Calibri"/>
                <w:sz w:val="13"/>
              </w:rPr>
            </w:pPr>
            <w:r>
              <w:rPr>
                <w:rFonts w:ascii="Calibri"/>
                <w:w w:val="98"/>
                <w:sz w:val="13"/>
              </w:rPr>
              <w:t>1</w:t>
            </w:r>
          </w:p>
        </w:tc>
      </w:tr>
      <w:tr>
        <w:trPr>
          <w:trHeight w:val="320" w:hRule="exact"/>
        </w:trPr>
        <w:tc>
          <w:tcPr>
            <w:tcW w:w="628" w:type="dxa"/>
            <w:tcBorders>
              <w:left w:val="single" w:sz="4" w:space="0" w:color="000000"/>
            </w:tcBorders>
          </w:tcPr>
          <w:p>
            <w:pPr/>
          </w:p>
        </w:tc>
        <w:tc>
          <w:tcPr>
            <w:tcW w:w="2104" w:type="dxa"/>
          </w:tcPr>
          <w:p>
            <w:pPr>
              <w:pStyle w:val="TableParagraph"/>
              <w:spacing w:before="66"/>
              <w:ind w:left="92"/>
              <w:jc w:val="left"/>
              <w:rPr>
                <w:rFonts w:ascii="Calibri"/>
                <w:sz w:val="13"/>
              </w:rPr>
            </w:pPr>
            <w:r>
              <w:rPr>
                <w:rFonts w:ascii="Calibri"/>
                <w:sz w:val="13"/>
              </w:rPr>
              <w:t>Oportunidades urbanas</w:t>
            </w:r>
          </w:p>
        </w:tc>
        <w:tc>
          <w:tcPr>
            <w:tcW w:w="2312" w:type="dxa"/>
          </w:tcPr>
          <w:p>
            <w:pPr>
              <w:pStyle w:val="TableParagraph"/>
              <w:spacing w:line="151" w:lineRule="exact"/>
              <w:ind w:left="123" w:right="798"/>
              <w:jc w:val="left"/>
              <w:rPr>
                <w:rFonts w:ascii="Calibri"/>
                <w:sz w:val="13"/>
              </w:rPr>
            </w:pPr>
            <w:r>
              <w:rPr>
                <w:rFonts w:ascii="Calibri"/>
                <w:sz w:val="13"/>
              </w:rPr>
              <w:t>Seguridad</w:t>
            </w:r>
          </w:p>
          <w:p>
            <w:pPr>
              <w:pStyle w:val="TableParagraph"/>
              <w:spacing w:before="1"/>
              <w:ind w:left="123" w:right="798"/>
              <w:jc w:val="left"/>
              <w:rPr>
                <w:rFonts w:ascii="Calibri"/>
                <w:sz w:val="13"/>
              </w:rPr>
            </w:pPr>
            <w:r>
              <w:rPr>
                <w:rFonts w:ascii="Calibri"/>
                <w:sz w:val="13"/>
              </w:rPr>
              <w:t>Abasto</w:t>
            </w:r>
          </w:p>
        </w:tc>
        <w:tc>
          <w:tcPr>
            <w:tcW w:w="1521" w:type="dxa"/>
          </w:tcPr>
          <w:p>
            <w:pPr>
              <w:pStyle w:val="TableParagraph"/>
              <w:spacing w:line="151" w:lineRule="exact"/>
              <w:ind w:left="927"/>
              <w:jc w:val="left"/>
              <w:rPr>
                <w:rFonts w:ascii="Calibri"/>
                <w:sz w:val="13"/>
              </w:rPr>
            </w:pPr>
            <w:r>
              <w:rPr>
                <w:rFonts w:ascii="Calibri"/>
                <w:sz w:val="13"/>
              </w:rPr>
              <w:t>0.9</w:t>
            </w:r>
          </w:p>
          <w:p>
            <w:pPr>
              <w:pStyle w:val="TableParagraph"/>
              <w:spacing w:before="1"/>
              <w:ind w:left="927"/>
              <w:jc w:val="left"/>
              <w:rPr>
                <w:rFonts w:ascii="Calibri"/>
                <w:sz w:val="13"/>
              </w:rPr>
            </w:pPr>
            <w:r>
              <w:rPr>
                <w:rFonts w:ascii="Calibri"/>
                <w:sz w:val="13"/>
              </w:rPr>
              <w:t>0.9</w:t>
            </w:r>
          </w:p>
        </w:tc>
        <w:tc>
          <w:tcPr>
            <w:tcW w:w="868" w:type="dxa"/>
          </w:tcPr>
          <w:p>
            <w:pPr/>
          </w:p>
        </w:tc>
        <w:tc>
          <w:tcPr>
            <w:tcW w:w="695" w:type="dxa"/>
          </w:tcPr>
          <w:p>
            <w:pPr>
              <w:pStyle w:val="TableParagraph"/>
              <w:spacing w:line="151" w:lineRule="exact"/>
              <w:ind w:left="245" w:right="244"/>
              <w:rPr>
                <w:rFonts w:ascii="Calibri"/>
                <w:sz w:val="13"/>
              </w:rPr>
            </w:pPr>
            <w:r>
              <w:rPr>
                <w:rFonts w:ascii="Calibri"/>
                <w:sz w:val="13"/>
              </w:rPr>
              <w:t>0.9</w:t>
            </w:r>
          </w:p>
          <w:p>
            <w:pPr>
              <w:pStyle w:val="TableParagraph"/>
              <w:spacing w:before="1"/>
              <w:ind w:left="245" w:right="244"/>
              <w:rPr>
                <w:rFonts w:ascii="Calibri"/>
                <w:sz w:val="13"/>
              </w:rPr>
            </w:pPr>
            <w:r>
              <w:rPr>
                <w:rFonts w:ascii="Calibri"/>
                <w:sz w:val="13"/>
              </w:rPr>
              <w:t>0.9</w:t>
            </w:r>
          </w:p>
        </w:tc>
        <w:tc>
          <w:tcPr>
            <w:tcW w:w="693" w:type="dxa"/>
            <w:tcBorders>
              <w:right w:val="single" w:sz="9" w:space="0" w:color="000000"/>
            </w:tcBorders>
            <w:shd w:val="clear" w:color="auto" w:fill="67ED4D"/>
          </w:tcPr>
          <w:p>
            <w:pPr>
              <w:pStyle w:val="TableParagraph"/>
              <w:spacing w:line="151" w:lineRule="exact"/>
              <w:ind w:left="21"/>
              <w:rPr>
                <w:rFonts w:ascii="Calibri"/>
                <w:sz w:val="13"/>
              </w:rPr>
            </w:pPr>
            <w:r>
              <w:rPr>
                <w:rFonts w:ascii="Calibri"/>
                <w:w w:val="98"/>
                <w:sz w:val="13"/>
              </w:rPr>
              <w:t>1</w:t>
            </w:r>
          </w:p>
          <w:p>
            <w:pPr>
              <w:pStyle w:val="TableParagraph"/>
              <w:spacing w:before="1"/>
              <w:ind w:left="21"/>
              <w:rPr>
                <w:rFonts w:ascii="Calibri"/>
                <w:sz w:val="13"/>
              </w:rPr>
            </w:pPr>
            <w:r>
              <w:rPr>
                <w:rFonts w:ascii="Calibri"/>
                <w:w w:val="98"/>
                <w:sz w:val="13"/>
              </w:rPr>
              <w:t>1</w:t>
            </w:r>
          </w:p>
        </w:tc>
      </w:tr>
      <w:tr>
        <w:trPr>
          <w:trHeight w:val="160" w:hRule="exact"/>
        </w:trPr>
        <w:tc>
          <w:tcPr>
            <w:tcW w:w="628" w:type="dxa"/>
            <w:tcBorders>
              <w:left w:val="single" w:sz="4" w:space="0" w:color="000000"/>
            </w:tcBorders>
          </w:tcPr>
          <w:p>
            <w:pPr/>
          </w:p>
        </w:tc>
        <w:tc>
          <w:tcPr>
            <w:tcW w:w="2104" w:type="dxa"/>
          </w:tcPr>
          <w:p>
            <w:pPr/>
          </w:p>
        </w:tc>
        <w:tc>
          <w:tcPr>
            <w:tcW w:w="2312" w:type="dxa"/>
          </w:tcPr>
          <w:p>
            <w:pPr>
              <w:pStyle w:val="TableParagraph"/>
              <w:spacing w:line="151" w:lineRule="exact"/>
              <w:ind w:left="123" w:right="798"/>
              <w:jc w:val="left"/>
              <w:rPr>
                <w:rFonts w:ascii="Calibri"/>
                <w:sz w:val="13"/>
              </w:rPr>
            </w:pPr>
            <w:r>
              <w:rPr>
                <w:rFonts w:ascii="Calibri"/>
                <w:sz w:val="13"/>
              </w:rPr>
              <w:t>Transporte</w:t>
            </w:r>
          </w:p>
        </w:tc>
        <w:tc>
          <w:tcPr>
            <w:tcW w:w="1521" w:type="dxa"/>
          </w:tcPr>
          <w:p>
            <w:pPr>
              <w:pStyle w:val="TableParagraph"/>
              <w:spacing w:line="151" w:lineRule="exact"/>
              <w:ind w:left="504"/>
              <w:rPr>
                <w:rFonts w:ascii="Calibri"/>
                <w:sz w:val="13"/>
              </w:rPr>
            </w:pPr>
            <w:r>
              <w:rPr>
                <w:rFonts w:ascii="Calibri"/>
                <w:w w:val="98"/>
                <w:sz w:val="13"/>
              </w:rPr>
              <w:t>1</w:t>
            </w:r>
          </w:p>
        </w:tc>
        <w:tc>
          <w:tcPr>
            <w:tcW w:w="868" w:type="dxa"/>
          </w:tcPr>
          <w:p>
            <w:pPr/>
          </w:p>
        </w:tc>
        <w:tc>
          <w:tcPr>
            <w:tcW w:w="695" w:type="dxa"/>
          </w:tcPr>
          <w:p>
            <w:pPr>
              <w:pStyle w:val="TableParagraph"/>
              <w:spacing w:line="151" w:lineRule="exact"/>
              <w:ind w:left="245" w:right="244"/>
              <w:rPr>
                <w:rFonts w:ascii="Calibri"/>
                <w:sz w:val="13"/>
              </w:rPr>
            </w:pPr>
            <w:r>
              <w:rPr>
                <w:rFonts w:ascii="Calibri"/>
                <w:sz w:val="13"/>
              </w:rPr>
              <w:t>0.6</w:t>
            </w:r>
          </w:p>
        </w:tc>
        <w:tc>
          <w:tcPr>
            <w:tcW w:w="693" w:type="dxa"/>
            <w:tcBorders>
              <w:right w:val="single" w:sz="9" w:space="0" w:color="000000"/>
            </w:tcBorders>
            <w:shd w:val="clear" w:color="auto" w:fill="67ED4D"/>
          </w:tcPr>
          <w:p>
            <w:pPr>
              <w:pStyle w:val="TableParagraph"/>
              <w:spacing w:line="151" w:lineRule="exact"/>
              <w:ind w:left="21"/>
              <w:rPr>
                <w:rFonts w:ascii="Calibri"/>
                <w:sz w:val="13"/>
              </w:rPr>
            </w:pPr>
            <w:r>
              <w:rPr>
                <w:rFonts w:ascii="Calibri"/>
                <w:w w:val="98"/>
                <w:sz w:val="13"/>
              </w:rPr>
              <w:t>1</w:t>
            </w:r>
          </w:p>
        </w:tc>
      </w:tr>
      <w:tr>
        <w:trPr>
          <w:trHeight w:val="160" w:hRule="exact"/>
        </w:trPr>
        <w:tc>
          <w:tcPr>
            <w:tcW w:w="628" w:type="dxa"/>
            <w:tcBorders>
              <w:left w:val="single" w:sz="4" w:space="0" w:color="000000"/>
            </w:tcBorders>
          </w:tcPr>
          <w:p>
            <w:pPr>
              <w:pStyle w:val="TableParagraph"/>
              <w:spacing w:line="151" w:lineRule="exact"/>
              <w:ind w:left="137" w:right="75"/>
              <w:rPr>
                <w:rFonts w:ascii="Calibri"/>
                <w:sz w:val="13"/>
              </w:rPr>
            </w:pPr>
            <w:r>
              <w:rPr>
                <w:rFonts w:ascii="Calibri"/>
                <w:sz w:val="13"/>
              </w:rPr>
              <w:t>Social</w:t>
            </w:r>
          </w:p>
        </w:tc>
        <w:tc>
          <w:tcPr>
            <w:tcW w:w="2104" w:type="dxa"/>
          </w:tcPr>
          <w:p>
            <w:pPr/>
          </w:p>
        </w:tc>
        <w:tc>
          <w:tcPr>
            <w:tcW w:w="2312" w:type="dxa"/>
          </w:tcPr>
          <w:p>
            <w:pPr>
              <w:pStyle w:val="TableParagraph"/>
              <w:spacing w:line="151" w:lineRule="exact"/>
              <w:ind w:left="123" w:right="798"/>
              <w:jc w:val="left"/>
              <w:rPr>
                <w:rFonts w:ascii="Calibri" w:hAnsi="Calibri"/>
                <w:sz w:val="13"/>
              </w:rPr>
            </w:pPr>
            <w:r>
              <w:rPr>
                <w:rFonts w:ascii="Calibri" w:hAnsi="Calibri"/>
                <w:sz w:val="13"/>
              </w:rPr>
              <w:t>Recreación</w:t>
            </w:r>
          </w:p>
        </w:tc>
        <w:tc>
          <w:tcPr>
            <w:tcW w:w="1521" w:type="dxa"/>
          </w:tcPr>
          <w:p>
            <w:pPr>
              <w:pStyle w:val="TableParagraph"/>
              <w:spacing w:line="151" w:lineRule="exact"/>
              <w:ind w:left="504"/>
              <w:rPr>
                <w:rFonts w:ascii="Calibri"/>
                <w:sz w:val="13"/>
              </w:rPr>
            </w:pPr>
            <w:r>
              <w:rPr>
                <w:rFonts w:ascii="Calibri"/>
                <w:w w:val="98"/>
                <w:sz w:val="13"/>
              </w:rPr>
              <w:t>1</w:t>
            </w:r>
          </w:p>
        </w:tc>
        <w:tc>
          <w:tcPr>
            <w:tcW w:w="868" w:type="dxa"/>
          </w:tcPr>
          <w:p>
            <w:pPr/>
          </w:p>
        </w:tc>
        <w:tc>
          <w:tcPr>
            <w:tcW w:w="695" w:type="dxa"/>
          </w:tcPr>
          <w:p>
            <w:pPr>
              <w:pStyle w:val="TableParagraph"/>
              <w:spacing w:line="151" w:lineRule="exact"/>
              <w:ind w:left="245" w:right="244"/>
              <w:rPr>
                <w:rFonts w:ascii="Calibri"/>
                <w:sz w:val="13"/>
              </w:rPr>
            </w:pPr>
            <w:r>
              <w:rPr>
                <w:rFonts w:ascii="Calibri"/>
                <w:sz w:val="13"/>
              </w:rPr>
              <w:t>0.8</w:t>
            </w:r>
          </w:p>
        </w:tc>
        <w:tc>
          <w:tcPr>
            <w:tcW w:w="693" w:type="dxa"/>
            <w:tcBorders>
              <w:right w:val="single" w:sz="9" w:space="0" w:color="000000"/>
            </w:tcBorders>
            <w:shd w:val="clear" w:color="auto" w:fill="67ED4D"/>
          </w:tcPr>
          <w:p>
            <w:pPr>
              <w:pStyle w:val="TableParagraph"/>
              <w:spacing w:line="151" w:lineRule="exact"/>
              <w:ind w:left="21"/>
              <w:rPr>
                <w:rFonts w:ascii="Calibri"/>
                <w:sz w:val="13"/>
              </w:rPr>
            </w:pPr>
            <w:r>
              <w:rPr>
                <w:rFonts w:ascii="Calibri"/>
                <w:w w:val="98"/>
                <w:sz w:val="13"/>
              </w:rPr>
              <w:t>1</w:t>
            </w:r>
          </w:p>
        </w:tc>
      </w:tr>
      <w:tr>
        <w:trPr>
          <w:trHeight w:val="158" w:hRule="exact"/>
        </w:trPr>
        <w:tc>
          <w:tcPr>
            <w:tcW w:w="628" w:type="dxa"/>
            <w:tcBorders>
              <w:left w:val="single" w:sz="4" w:space="0" w:color="000000"/>
            </w:tcBorders>
          </w:tcPr>
          <w:p>
            <w:pPr/>
          </w:p>
        </w:tc>
        <w:tc>
          <w:tcPr>
            <w:tcW w:w="2104" w:type="dxa"/>
          </w:tcPr>
          <w:p>
            <w:pPr/>
          </w:p>
        </w:tc>
        <w:tc>
          <w:tcPr>
            <w:tcW w:w="2312" w:type="dxa"/>
          </w:tcPr>
          <w:p>
            <w:pPr>
              <w:pStyle w:val="TableParagraph"/>
              <w:spacing w:line="151" w:lineRule="exact"/>
              <w:ind w:left="123" w:right="798"/>
              <w:jc w:val="left"/>
              <w:rPr>
                <w:rFonts w:ascii="Calibri"/>
                <w:sz w:val="13"/>
              </w:rPr>
            </w:pPr>
            <w:r>
              <w:rPr>
                <w:rFonts w:ascii="Calibri"/>
                <w:sz w:val="13"/>
              </w:rPr>
              <w:t>Servicios especializados</w:t>
            </w:r>
          </w:p>
        </w:tc>
        <w:tc>
          <w:tcPr>
            <w:tcW w:w="1521" w:type="dxa"/>
          </w:tcPr>
          <w:p>
            <w:pPr>
              <w:pStyle w:val="TableParagraph"/>
              <w:spacing w:line="151" w:lineRule="exact"/>
              <w:ind w:left="644" w:right="149"/>
              <w:rPr>
                <w:rFonts w:ascii="Calibri"/>
                <w:sz w:val="13"/>
              </w:rPr>
            </w:pPr>
            <w:r>
              <w:rPr>
                <w:rFonts w:ascii="Calibri"/>
                <w:sz w:val="13"/>
              </w:rPr>
              <w:t>0.6</w:t>
            </w:r>
          </w:p>
        </w:tc>
        <w:tc>
          <w:tcPr>
            <w:tcW w:w="868" w:type="dxa"/>
          </w:tcPr>
          <w:p>
            <w:pPr/>
          </w:p>
        </w:tc>
        <w:tc>
          <w:tcPr>
            <w:tcW w:w="695" w:type="dxa"/>
          </w:tcPr>
          <w:p>
            <w:pPr>
              <w:pStyle w:val="TableParagraph"/>
              <w:spacing w:line="151" w:lineRule="exact"/>
              <w:ind w:left="245" w:right="244"/>
              <w:rPr>
                <w:rFonts w:ascii="Calibri"/>
                <w:sz w:val="13"/>
              </w:rPr>
            </w:pPr>
            <w:r>
              <w:rPr>
                <w:rFonts w:ascii="Calibri"/>
                <w:sz w:val="13"/>
              </w:rPr>
              <w:t>0.7</w:t>
            </w:r>
          </w:p>
        </w:tc>
        <w:tc>
          <w:tcPr>
            <w:tcW w:w="693" w:type="dxa"/>
            <w:tcBorders>
              <w:right w:val="single" w:sz="9" w:space="0" w:color="000000"/>
            </w:tcBorders>
            <w:shd w:val="clear" w:color="auto" w:fill="67ED4D"/>
          </w:tcPr>
          <w:p>
            <w:pPr>
              <w:pStyle w:val="TableParagraph"/>
              <w:spacing w:line="151" w:lineRule="exact"/>
              <w:ind w:left="21"/>
              <w:rPr>
                <w:rFonts w:ascii="Calibri"/>
                <w:sz w:val="13"/>
              </w:rPr>
            </w:pPr>
            <w:r>
              <w:rPr>
                <w:rFonts w:ascii="Calibri"/>
                <w:w w:val="98"/>
                <w:sz w:val="13"/>
              </w:rPr>
              <w:t>1</w:t>
            </w:r>
          </w:p>
        </w:tc>
      </w:tr>
      <w:tr>
        <w:trPr>
          <w:trHeight w:val="165" w:hRule="exact"/>
        </w:trPr>
        <w:tc>
          <w:tcPr>
            <w:tcW w:w="628" w:type="dxa"/>
            <w:tcBorders>
              <w:left w:val="single" w:sz="4" w:space="0" w:color="000000"/>
            </w:tcBorders>
          </w:tcPr>
          <w:p>
            <w:pPr/>
          </w:p>
        </w:tc>
        <w:tc>
          <w:tcPr>
            <w:tcW w:w="2104" w:type="dxa"/>
          </w:tcPr>
          <w:p>
            <w:pPr/>
          </w:p>
        </w:tc>
        <w:tc>
          <w:tcPr>
            <w:tcW w:w="2312" w:type="dxa"/>
          </w:tcPr>
          <w:p>
            <w:pPr/>
          </w:p>
        </w:tc>
        <w:tc>
          <w:tcPr>
            <w:tcW w:w="1521" w:type="dxa"/>
          </w:tcPr>
          <w:p>
            <w:pPr>
              <w:pStyle w:val="TableParagraph"/>
              <w:spacing w:line="152" w:lineRule="exact"/>
              <w:ind w:left="642" w:right="149"/>
              <w:rPr>
                <w:rFonts w:ascii="Calibri"/>
                <w:sz w:val="13"/>
              </w:rPr>
            </w:pPr>
            <w:r>
              <w:rPr>
                <w:rFonts w:ascii="Calibri"/>
                <w:sz w:val="13"/>
              </w:rPr>
              <w:t>Subtotal</w:t>
            </w:r>
          </w:p>
        </w:tc>
        <w:tc>
          <w:tcPr>
            <w:tcW w:w="868" w:type="dxa"/>
          </w:tcPr>
          <w:p>
            <w:pPr>
              <w:pStyle w:val="TableParagraph"/>
              <w:tabs>
                <w:tab w:pos="440" w:val="left" w:leader="none"/>
                <w:tab w:pos="878" w:val="left" w:leader="none"/>
              </w:tabs>
              <w:spacing w:line="152" w:lineRule="exact"/>
              <w:ind w:left="174" w:right="-11"/>
              <w:rPr>
                <w:rFonts w:ascii="Calibri"/>
                <w:sz w:val="13"/>
              </w:rPr>
            </w:pPr>
            <w:r>
              <w:rPr>
                <w:rFonts w:ascii="Times New Roman"/>
                <w:w w:val="98"/>
                <w:sz w:val="13"/>
                <w:shd w:fill="F79646" w:color="auto" w:val="clear"/>
              </w:rPr>
              <w:t> </w:t>
            </w:r>
            <w:r>
              <w:rPr>
                <w:rFonts w:ascii="Times New Roman"/>
                <w:sz w:val="13"/>
                <w:shd w:fill="F79646" w:color="auto" w:val="clear"/>
              </w:rPr>
              <w:tab/>
            </w:r>
            <w:r>
              <w:rPr>
                <w:rFonts w:ascii="Calibri"/>
                <w:sz w:val="13"/>
                <w:shd w:fill="F79646" w:color="auto" w:val="clear"/>
              </w:rPr>
              <w:t>6.4</w:t>
              <w:tab/>
            </w:r>
          </w:p>
        </w:tc>
        <w:tc>
          <w:tcPr>
            <w:tcW w:w="695" w:type="dxa"/>
          </w:tcPr>
          <w:p>
            <w:pPr>
              <w:pStyle w:val="TableParagraph"/>
              <w:spacing w:line="152" w:lineRule="exact"/>
              <w:ind w:left="245" w:right="244"/>
              <w:rPr>
                <w:rFonts w:ascii="Calibri"/>
                <w:sz w:val="13"/>
              </w:rPr>
            </w:pPr>
            <w:r>
              <w:rPr>
                <w:rFonts w:ascii="Calibri"/>
                <w:sz w:val="13"/>
              </w:rPr>
              <w:t>6.3</w:t>
            </w:r>
          </w:p>
        </w:tc>
        <w:tc>
          <w:tcPr>
            <w:tcW w:w="693" w:type="dxa"/>
            <w:tcBorders>
              <w:right w:val="single" w:sz="9" w:space="0" w:color="000000"/>
            </w:tcBorders>
            <w:shd w:val="clear" w:color="auto" w:fill="67ED4D"/>
          </w:tcPr>
          <w:p>
            <w:pPr>
              <w:pStyle w:val="TableParagraph"/>
              <w:spacing w:line="152" w:lineRule="exact"/>
              <w:ind w:left="21"/>
              <w:rPr>
                <w:rFonts w:ascii="Calibri"/>
                <w:sz w:val="13"/>
              </w:rPr>
            </w:pPr>
            <w:r>
              <w:rPr>
                <w:rFonts w:ascii="Calibri"/>
                <w:w w:val="98"/>
                <w:sz w:val="13"/>
              </w:rPr>
              <w:t>8</w:t>
            </w:r>
          </w:p>
        </w:tc>
      </w:tr>
      <w:tr>
        <w:trPr>
          <w:trHeight w:val="149" w:hRule="exact"/>
        </w:trPr>
        <w:tc>
          <w:tcPr>
            <w:tcW w:w="8820" w:type="dxa"/>
            <w:gridSpan w:val="7"/>
            <w:tcBorders>
              <w:left w:val="single" w:sz="4" w:space="0" w:color="000000"/>
              <w:right w:val="single" w:sz="9" w:space="0" w:color="000000"/>
            </w:tcBorders>
          </w:tcPr>
          <w:p>
            <w:pPr/>
          </w:p>
        </w:tc>
      </w:tr>
      <w:tr>
        <w:trPr>
          <w:trHeight w:val="165" w:hRule="exact"/>
        </w:trPr>
        <w:tc>
          <w:tcPr>
            <w:tcW w:w="628" w:type="dxa"/>
            <w:tcBorders>
              <w:left w:val="single" w:sz="4" w:space="0" w:color="000000"/>
            </w:tcBorders>
          </w:tcPr>
          <w:p>
            <w:pPr/>
          </w:p>
        </w:tc>
        <w:tc>
          <w:tcPr>
            <w:tcW w:w="2104" w:type="dxa"/>
          </w:tcPr>
          <w:p>
            <w:pPr>
              <w:pStyle w:val="TableParagraph"/>
              <w:spacing w:line="158" w:lineRule="exact"/>
              <w:ind w:left="92"/>
              <w:jc w:val="left"/>
              <w:rPr>
                <w:rFonts w:ascii="Calibri" w:hAnsi="Calibri"/>
                <w:sz w:val="13"/>
              </w:rPr>
            </w:pPr>
            <w:r>
              <w:rPr>
                <w:rFonts w:ascii="Calibri" w:hAnsi="Calibri"/>
                <w:sz w:val="13"/>
              </w:rPr>
              <w:t>Organización vecinal</w:t>
            </w:r>
          </w:p>
        </w:tc>
        <w:tc>
          <w:tcPr>
            <w:tcW w:w="2312" w:type="dxa"/>
          </w:tcPr>
          <w:p>
            <w:pPr>
              <w:pStyle w:val="TableParagraph"/>
              <w:spacing w:line="158" w:lineRule="exact"/>
              <w:ind w:left="123" w:right="798"/>
              <w:jc w:val="left"/>
              <w:rPr>
                <w:rFonts w:ascii="Calibri" w:hAnsi="Calibri"/>
                <w:sz w:val="13"/>
              </w:rPr>
            </w:pPr>
            <w:r>
              <w:rPr>
                <w:rFonts w:ascii="Calibri" w:hAnsi="Calibri"/>
                <w:w w:val="95"/>
                <w:sz w:val="13"/>
              </w:rPr>
              <w:t>Administración  ciudadana</w:t>
            </w:r>
          </w:p>
        </w:tc>
        <w:tc>
          <w:tcPr>
            <w:tcW w:w="1521" w:type="dxa"/>
          </w:tcPr>
          <w:p>
            <w:pPr>
              <w:pStyle w:val="TableParagraph"/>
              <w:spacing w:line="158" w:lineRule="exact"/>
              <w:ind w:left="504"/>
              <w:rPr>
                <w:rFonts w:ascii="Calibri"/>
                <w:sz w:val="13"/>
              </w:rPr>
            </w:pPr>
            <w:r>
              <w:rPr>
                <w:rFonts w:ascii="Calibri"/>
                <w:w w:val="98"/>
                <w:sz w:val="13"/>
              </w:rPr>
              <w:t>1</w:t>
            </w:r>
          </w:p>
        </w:tc>
        <w:tc>
          <w:tcPr>
            <w:tcW w:w="868" w:type="dxa"/>
          </w:tcPr>
          <w:p>
            <w:pPr/>
          </w:p>
        </w:tc>
        <w:tc>
          <w:tcPr>
            <w:tcW w:w="695" w:type="dxa"/>
          </w:tcPr>
          <w:p>
            <w:pPr>
              <w:pStyle w:val="TableParagraph"/>
              <w:spacing w:line="158" w:lineRule="exact"/>
              <w:ind w:left="245" w:right="244"/>
              <w:rPr>
                <w:rFonts w:ascii="Calibri"/>
                <w:sz w:val="13"/>
              </w:rPr>
            </w:pPr>
            <w:r>
              <w:rPr>
                <w:rFonts w:ascii="Calibri"/>
                <w:sz w:val="13"/>
              </w:rPr>
              <w:t>0.8</w:t>
            </w:r>
          </w:p>
        </w:tc>
        <w:tc>
          <w:tcPr>
            <w:tcW w:w="693" w:type="dxa"/>
            <w:tcBorders>
              <w:right w:val="single" w:sz="9" w:space="0" w:color="000000"/>
            </w:tcBorders>
            <w:shd w:val="clear" w:color="auto" w:fill="67ED4D"/>
          </w:tcPr>
          <w:p>
            <w:pPr>
              <w:pStyle w:val="TableParagraph"/>
              <w:spacing w:line="158" w:lineRule="exact"/>
              <w:ind w:left="21"/>
              <w:rPr>
                <w:rFonts w:ascii="Calibri"/>
                <w:sz w:val="13"/>
              </w:rPr>
            </w:pPr>
            <w:r>
              <w:rPr>
                <w:rFonts w:ascii="Calibri"/>
                <w:w w:val="98"/>
                <w:sz w:val="13"/>
              </w:rPr>
              <w:t>1</w:t>
            </w:r>
          </w:p>
        </w:tc>
      </w:tr>
      <w:tr>
        <w:trPr>
          <w:trHeight w:val="165" w:hRule="exact"/>
        </w:trPr>
        <w:tc>
          <w:tcPr>
            <w:tcW w:w="628" w:type="dxa"/>
            <w:tcBorders>
              <w:left w:val="single" w:sz="4" w:space="0" w:color="000000"/>
            </w:tcBorders>
          </w:tcPr>
          <w:p>
            <w:pPr/>
          </w:p>
        </w:tc>
        <w:tc>
          <w:tcPr>
            <w:tcW w:w="2104" w:type="dxa"/>
          </w:tcPr>
          <w:p>
            <w:pPr/>
          </w:p>
        </w:tc>
        <w:tc>
          <w:tcPr>
            <w:tcW w:w="2312" w:type="dxa"/>
          </w:tcPr>
          <w:p>
            <w:pPr/>
          </w:p>
        </w:tc>
        <w:tc>
          <w:tcPr>
            <w:tcW w:w="1521" w:type="dxa"/>
          </w:tcPr>
          <w:p>
            <w:pPr>
              <w:pStyle w:val="TableParagraph"/>
              <w:spacing w:line="152" w:lineRule="exact"/>
              <w:ind w:left="642" w:right="149"/>
              <w:rPr>
                <w:rFonts w:ascii="Calibri"/>
                <w:sz w:val="13"/>
              </w:rPr>
            </w:pPr>
            <w:r>
              <w:rPr>
                <w:rFonts w:ascii="Calibri"/>
                <w:sz w:val="13"/>
              </w:rPr>
              <w:t>Subtotal</w:t>
            </w:r>
          </w:p>
        </w:tc>
        <w:tc>
          <w:tcPr>
            <w:tcW w:w="868" w:type="dxa"/>
          </w:tcPr>
          <w:p>
            <w:pPr>
              <w:pStyle w:val="TableParagraph"/>
              <w:tabs>
                <w:tab w:pos="494" w:val="left" w:leader="none"/>
                <w:tab w:pos="878" w:val="left" w:leader="none"/>
              </w:tabs>
              <w:spacing w:line="152" w:lineRule="exact"/>
              <w:ind w:left="174" w:right="-11"/>
              <w:rPr>
                <w:rFonts w:ascii="Calibri"/>
                <w:sz w:val="13"/>
              </w:rPr>
            </w:pPr>
            <w:r>
              <w:rPr>
                <w:rFonts w:ascii="Times New Roman"/>
                <w:w w:val="98"/>
                <w:sz w:val="13"/>
                <w:shd w:fill="F79646" w:color="auto" w:val="clear"/>
              </w:rPr>
              <w:t> </w:t>
            </w:r>
            <w:r>
              <w:rPr>
                <w:rFonts w:ascii="Times New Roman"/>
                <w:sz w:val="13"/>
                <w:shd w:fill="F79646" w:color="auto" w:val="clear"/>
              </w:rPr>
              <w:tab/>
            </w:r>
            <w:r>
              <w:rPr>
                <w:rFonts w:ascii="Calibri"/>
                <w:sz w:val="13"/>
                <w:shd w:fill="F79646" w:color="auto" w:val="clear"/>
              </w:rPr>
              <w:t>1</w:t>
              <w:tab/>
            </w:r>
          </w:p>
        </w:tc>
        <w:tc>
          <w:tcPr>
            <w:tcW w:w="695" w:type="dxa"/>
          </w:tcPr>
          <w:p>
            <w:pPr>
              <w:pStyle w:val="TableParagraph"/>
              <w:spacing w:line="152" w:lineRule="exact"/>
              <w:ind w:left="245" w:right="244"/>
              <w:rPr>
                <w:rFonts w:ascii="Calibri"/>
                <w:sz w:val="13"/>
              </w:rPr>
            </w:pPr>
            <w:r>
              <w:rPr>
                <w:rFonts w:ascii="Calibri"/>
                <w:sz w:val="13"/>
              </w:rPr>
              <w:t>0.8</w:t>
            </w:r>
          </w:p>
        </w:tc>
        <w:tc>
          <w:tcPr>
            <w:tcW w:w="693" w:type="dxa"/>
            <w:tcBorders>
              <w:right w:val="single" w:sz="9" w:space="0" w:color="000000"/>
            </w:tcBorders>
            <w:shd w:val="clear" w:color="auto" w:fill="67ED4D"/>
          </w:tcPr>
          <w:p>
            <w:pPr>
              <w:pStyle w:val="TableParagraph"/>
              <w:spacing w:line="152" w:lineRule="exact"/>
              <w:ind w:left="21"/>
              <w:rPr>
                <w:rFonts w:ascii="Calibri"/>
                <w:sz w:val="13"/>
              </w:rPr>
            </w:pPr>
            <w:r>
              <w:rPr>
                <w:rFonts w:ascii="Calibri"/>
                <w:w w:val="98"/>
                <w:sz w:val="13"/>
              </w:rPr>
              <w:t>1</w:t>
            </w:r>
          </w:p>
        </w:tc>
      </w:tr>
      <w:tr>
        <w:trPr>
          <w:trHeight w:val="149" w:hRule="exact"/>
        </w:trPr>
        <w:tc>
          <w:tcPr>
            <w:tcW w:w="8820" w:type="dxa"/>
            <w:gridSpan w:val="7"/>
            <w:tcBorders>
              <w:left w:val="single" w:sz="4" w:space="0" w:color="000000"/>
              <w:right w:val="single" w:sz="9" w:space="0" w:color="000000"/>
            </w:tcBorders>
          </w:tcPr>
          <w:p>
            <w:pPr/>
          </w:p>
        </w:tc>
      </w:tr>
      <w:tr>
        <w:trPr>
          <w:trHeight w:val="165" w:hRule="exact"/>
        </w:trPr>
        <w:tc>
          <w:tcPr>
            <w:tcW w:w="628" w:type="dxa"/>
            <w:tcBorders>
              <w:left w:val="single" w:sz="4" w:space="0" w:color="000000"/>
            </w:tcBorders>
          </w:tcPr>
          <w:p>
            <w:pPr/>
          </w:p>
        </w:tc>
        <w:tc>
          <w:tcPr>
            <w:tcW w:w="2104" w:type="dxa"/>
          </w:tcPr>
          <w:p>
            <w:pPr>
              <w:pStyle w:val="TableParagraph"/>
              <w:spacing w:line="158" w:lineRule="exact"/>
              <w:ind w:left="92"/>
              <w:jc w:val="left"/>
              <w:rPr>
                <w:rFonts w:ascii="Calibri" w:hAnsi="Calibri"/>
                <w:sz w:val="13"/>
              </w:rPr>
            </w:pPr>
            <w:r>
              <w:rPr>
                <w:rFonts w:ascii="Calibri" w:hAnsi="Calibri"/>
                <w:sz w:val="13"/>
              </w:rPr>
              <w:t>Índice de satisfacción del acreditado</w:t>
            </w:r>
          </w:p>
        </w:tc>
        <w:tc>
          <w:tcPr>
            <w:tcW w:w="2312" w:type="dxa"/>
          </w:tcPr>
          <w:p>
            <w:pPr>
              <w:pStyle w:val="TableParagraph"/>
              <w:spacing w:line="158" w:lineRule="exact"/>
              <w:ind w:left="123" w:right="798"/>
              <w:jc w:val="left"/>
              <w:rPr>
                <w:rFonts w:ascii="Calibri"/>
                <w:sz w:val="13"/>
              </w:rPr>
            </w:pPr>
            <w:r>
              <w:rPr>
                <w:rFonts w:ascii="Calibri"/>
                <w:sz w:val="13"/>
              </w:rPr>
              <w:t>Infonavit</w:t>
            </w:r>
          </w:p>
        </w:tc>
        <w:tc>
          <w:tcPr>
            <w:tcW w:w="1521" w:type="dxa"/>
          </w:tcPr>
          <w:p>
            <w:pPr>
              <w:pStyle w:val="TableParagraph"/>
              <w:spacing w:line="158" w:lineRule="exact"/>
              <w:ind w:left="644" w:right="149"/>
              <w:rPr>
                <w:rFonts w:ascii="Calibri"/>
                <w:sz w:val="13"/>
              </w:rPr>
            </w:pPr>
            <w:r>
              <w:rPr>
                <w:rFonts w:ascii="Calibri"/>
                <w:sz w:val="13"/>
              </w:rPr>
              <w:t>0.7</w:t>
            </w:r>
          </w:p>
        </w:tc>
        <w:tc>
          <w:tcPr>
            <w:tcW w:w="868" w:type="dxa"/>
          </w:tcPr>
          <w:p>
            <w:pPr/>
          </w:p>
        </w:tc>
        <w:tc>
          <w:tcPr>
            <w:tcW w:w="695" w:type="dxa"/>
          </w:tcPr>
          <w:p>
            <w:pPr>
              <w:pStyle w:val="TableParagraph"/>
              <w:spacing w:line="158" w:lineRule="exact"/>
              <w:ind w:left="245" w:right="244"/>
              <w:rPr>
                <w:rFonts w:ascii="Calibri"/>
                <w:sz w:val="13"/>
              </w:rPr>
            </w:pPr>
            <w:r>
              <w:rPr>
                <w:rFonts w:ascii="Calibri"/>
                <w:sz w:val="13"/>
              </w:rPr>
              <w:t>0.7</w:t>
            </w:r>
          </w:p>
        </w:tc>
        <w:tc>
          <w:tcPr>
            <w:tcW w:w="693" w:type="dxa"/>
            <w:tcBorders>
              <w:right w:val="single" w:sz="9" w:space="0" w:color="000000"/>
            </w:tcBorders>
            <w:shd w:val="clear" w:color="auto" w:fill="67ED4D"/>
          </w:tcPr>
          <w:p>
            <w:pPr>
              <w:pStyle w:val="TableParagraph"/>
              <w:spacing w:line="158" w:lineRule="exact"/>
              <w:ind w:left="21"/>
              <w:rPr>
                <w:rFonts w:ascii="Calibri"/>
                <w:sz w:val="13"/>
              </w:rPr>
            </w:pPr>
            <w:r>
              <w:rPr>
                <w:rFonts w:ascii="Calibri"/>
                <w:w w:val="98"/>
                <w:sz w:val="13"/>
              </w:rPr>
              <w:t>1</w:t>
            </w:r>
          </w:p>
        </w:tc>
      </w:tr>
      <w:tr>
        <w:trPr>
          <w:trHeight w:val="165" w:hRule="exact"/>
        </w:trPr>
        <w:tc>
          <w:tcPr>
            <w:tcW w:w="628" w:type="dxa"/>
            <w:tcBorders>
              <w:left w:val="single" w:sz="4" w:space="0" w:color="000000"/>
            </w:tcBorders>
          </w:tcPr>
          <w:p>
            <w:pPr/>
          </w:p>
        </w:tc>
        <w:tc>
          <w:tcPr>
            <w:tcW w:w="2104" w:type="dxa"/>
          </w:tcPr>
          <w:p>
            <w:pPr/>
          </w:p>
        </w:tc>
        <w:tc>
          <w:tcPr>
            <w:tcW w:w="2312" w:type="dxa"/>
          </w:tcPr>
          <w:p>
            <w:pPr/>
          </w:p>
        </w:tc>
        <w:tc>
          <w:tcPr>
            <w:tcW w:w="1521" w:type="dxa"/>
          </w:tcPr>
          <w:p>
            <w:pPr>
              <w:pStyle w:val="TableParagraph"/>
              <w:spacing w:line="152" w:lineRule="exact"/>
              <w:ind w:left="642" w:right="149"/>
              <w:rPr>
                <w:rFonts w:ascii="Calibri"/>
                <w:sz w:val="13"/>
              </w:rPr>
            </w:pPr>
            <w:r>
              <w:rPr>
                <w:rFonts w:ascii="Calibri"/>
                <w:sz w:val="13"/>
              </w:rPr>
              <w:t>Subtotal</w:t>
            </w:r>
          </w:p>
        </w:tc>
        <w:tc>
          <w:tcPr>
            <w:tcW w:w="868" w:type="dxa"/>
          </w:tcPr>
          <w:p>
            <w:pPr>
              <w:pStyle w:val="TableParagraph"/>
              <w:tabs>
                <w:tab w:pos="440" w:val="left" w:leader="none"/>
                <w:tab w:pos="878" w:val="left" w:leader="none"/>
              </w:tabs>
              <w:spacing w:line="152" w:lineRule="exact"/>
              <w:ind w:left="174" w:right="-11"/>
              <w:rPr>
                <w:rFonts w:ascii="Calibri"/>
                <w:sz w:val="13"/>
              </w:rPr>
            </w:pPr>
            <w:r>
              <w:rPr>
                <w:rFonts w:ascii="Times New Roman"/>
                <w:w w:val="98"/>
                <w:sz w:val="13"/>
                <w:shd w:fill="F79646" w:color="auto" w:val="clear"/>
              </w:rPr>
              <w:t> </w:t>
            </w:r>
            <w:r>
              <w:rPr>
                <w:rFonts w:ascii="Times New Roman"/>
                <w:sz w:val="13"/>
                <w:shd w:fill="F79646" w:color="auto" w:val="clear"/>
              </w:rPr>
              <w:tab/>
            </w:r>
            <w:r>
              <w:rPr>
                <w:rFonts w:ascii="Calibri"/>
                <w:sz w:val="13"/>
                <w:shd w:fill="F79646" w:color="auto" w:val="clear"/>
              </w:rPr>
              <w:t>0.7</w:t>
              <w:tab/>
            </w:r>
          </w:p>
        </w:tc>
        <w:tc>
          <w:tcPr>
            <w:tcW w:w="695" w:type="dxa"/>
          </w:tcPr>
          <w:p>
            <w:pPr>
              <w:pStyle w:val="TableParagraph"/>
              <w:spacing w:line="152" w:lineRule="exact"/>
              <w:ind w:left="245" w:right="244"/>
              <w:rPr>
                <w:rFonts w:ascii="Calibri"/>
                <w:sz w:val="13"/>
              </w:rPr>
            </w:pPr>
            <w:r>
              <w:rPr>
                <w:rFonts w:ascii="Calibri"/>
                <w:sz w:val="13"/>
              </w:rPr>
              <w:t>0.7</w:t>
            </w:r>
          </w:p>
        </w:tc>
        <w:tc>
          <w:tcPr>
            <w:tcW w:w="693" w:type="dxa"/>
            <w:tcBorders>
              <w:right w:val="single" w:sz="9" w:space="0" w:color="000000"/>
            </w:tcBorders>
            <w:shd w:val="clear" w:color="auto" w:fill="67ED4D"/>
          </w:tcPr>
          <w:p>
            <w:pPr>
              <w:pStyle w:val="TableParagraph"/>
              <w:spacing w:line="152" w:lineRule="exact"/>
              <w:ind w:left="21"/>
              <w:rPr>
                <w:rFonts w:ascii="Calibri"/>
                <w:sz w:val="13"/>
              </w:rPr>
            </w:pPr>
            <w:r>
              <w:rPr>
                <w:rFonts w:ascii="Calibri"/>
                <w:w w:val="98"/>
                <w:sz w:val="13"/>
              </w:rPr>
              <w:t>1</w:t>
            </w:r>
          </w:p>
        </w:tc>
      </w:tr>
      <w:tr>
        <w:trPr>
          <w:trHeight w:val="149" w:hRule="exact"/>
        </w:trPr>
        <w:tc>
          <w:tcPr>
            <w:tcW w:w="8820" w:type="dxa"/>
            <w:gridSpan w:val="7"/>
            <w:tcBorders>
              <w:left w:val="single" w:sz="4" w:space="0" w:color="000000"/>
              <w:right w:val="single" w:sz="9" w:space="0" w:color="000000"/>
            </w:tcBorders>
          </w:tcPr>
          <w:p>
            <w:pPr/>
          </w:p>
        </w:tc>
      </w:tr>
      <w:tr>
        <w:trPr>
          <w:trHeight w:val="165" w:hRule="exact"/>
        </w:trPr>
        <w:tc>
          <w:tcPr>
            <w:tcW w:w="628" w:type="dxa"/>
            <w:tcBorders>
              <w:left w:val="single" w:sz="4" w:space="0" w:color="000000"/>
            </w:tcBorders>
          </w:tcPr>
          <w:p>
            <w:pPr/>
          </w:p>
        </w:tc>
        <w:tc>
          <w:tcPr>
            <w:tcW w:w="2104" w:type="dxa"/>
          </w:tcPr>
          <w:p>
            <w:pPr>
              <w:pStyle w:val="TableParagraph"/>
              <w:spacing w:line="158" w:lineRule="exact"/>
              <w:ind w:left="92"/>
              <w:jc w:val="left"/>
              <w:rPr>
                <w:rFonts w:ascii="Calibri" w:hAnsi="Calibri"/>
                <w:sz w:val="13"/>
              </w:rPr>
            </w:pPr>
            <w:r>
              <w:rPr>
                <w:rFonts w:ascii="Calibri" w:hAnsi="Calibri"/>
                <w:sz w:val="13"/>
              </w:rPr>
              <w:t>Índice de satisfacción residencial</w:t>
            </w:r>
          </w:p>
        </w:tc>
        <w:tc>
          <w:tcPr>
            <w:tcW w:w="2312" w:type="dxa"/>
          </w:tcPr>
          <w:p>
            <w:pPr>
              <w:pStyle w:val="TableParagraph"/>
              <w:spacing w:line="158" w:lineRule="exact"/>
              <w:ind w:left="123"/>
              <w:jc w:val="left"/>
              <w:rPr>
                <w:rFonts w:ascii="Calibri"/>
                <w:sz w:val="13"/>
              </w:rPr>
            </w:pPr>
            <w:r>
              <w:rPr>
                <w:rFonts w:ascii="Calibri"/>
                <w:sz w:val="13"/>
              </w:rPr>
              <w:t>Sociedad Hipotecaria Federal</w:t>
            </w:r>
          </w:p>
        </w:tc>
        <w:tc>
          <w:tcPr>
            <w:tcW w:w="1521" w:type="dxa"/>
          </w:tcPr>
          <w:p>
            <w:pPr>
              <w:pStyle w:val="TableParagraph"/>
              <w:spacing w:line="158" w:lineRule="exact"/>
              <w:ind w:left="504"/>
              <w:rPr>
                <w:rFonts w:ascii="Calibri"/>
                <w:sz w:val="13"/>
              </w:rPr>
            </w:pPr>
            <w:r>
              <w:rPr>
                <w:rFonts w:ascii="Calibri"/>
                <w:w w:val="98"/>
                <w:sz w:val="13"/>
              </w:rPr>
              <w:t>1</w:t>
            </w:r>
          </w:p>
        </w:tc>
        <w:tc>
          <w:tcPr>
            <w:tcW w:w="868" w:type="dxa"/>
          </w:tcPr>
          <w:p>
            <w:pPr/>
          </w:p>
        </w:tc>
        <w:tc>
          <w:tcPr>
            <w:tcW w:w="695" w:type="dxa"/>
          </w:tcPr>
          <w:p>
            <w:pPr>
              <w:pStyle w:val="TableParagraph"/>
              <w:spacing w:line="158" w:lineRule="exact"/>
              <w:ind w:left="245" w:right="244"/>
              <w:rPr>
                <w:rFonts w:ascii="Calibri"/>
                <w:sz w:val="13"/>
              </w:rPr>
            </w:pPr>
            <w:r>
              <w:rPr>
                <w:rFonts w:ascii="Calibri"/>
                <w:sz w:val="13"/>
              </w:rPr>
              <w:t>0.7</w:t>
            </w:r>
          </w:p>
        </w:tc>
        <w:tc>
          <w:tcPr>
            <w:tcW w:w="693" w:type="dxa"/>
            <w:tcBorders>
              <w:right w:val="single" w:sz="9" w:space="0" w:color="000000"/>
            </w:tcBorders>
            <w:shd w:val="clear" w:color="auto" w:fill="67ED4D"/>
          </w:tcPr>
          <w:p>
            <w:pPr>
              <w:pStyle w:val="TableParagraph"/>
              <w:spacing w:line="158" w:lineRule="exact"/>
              <w:ind w:left="21"/>
              <w:rPr>
                <w:rFonts w:ascii="Calibri"/>
                <w:sz w:val="13"/>
              </w:rPr>
            </w:pPr>
            <w:r>
              <w:rPr>
                <w:rFonts w:ascii="Calibri"/>
                <w:w w:val="98"/>
                <w:sz w:val="13"/>
              </w:rPr>
              <w:t>1</w:t>
            </w:r>
          </w:p>
        </w:tc>
      </w:tr>
      <w:tr>
        <w:trPr>
          <w:trHeight w:val="165" w:hRule="exact"/>
        </w:trPr>
        <w:tc>
          <w:tcPr>
            <w:tcW w:w="628" w:type="dxa"/>
            <w:tcBorders>
              <w:left w:val="single" w:sz="4" w:space="0" w:color="000000"/>
            </w:tcBorders>
          </w:tcPr>
          <w:p>
            <w:pPr/>
          </w:p>
        </w:tc>
        <w:tc>
          <w:tcPr>
            <w:tcW w:w="2104" w:type="dxa"/>
          </w:tcPr>
          <w:p>
            <w:pPr/>
          </w:p>
        </w:tc>
        <w:tc>
          <w:tcPr>
            <w:tcW w:w="2312" w:type="dxa"/>
          </w:tcPr>
          <w:p>
            <w:pPr/>
          </w:p>
        </w:tc>
        <w:tc>
          <w:tcPr>
            <w:tcW w:w="1521" w:type="dxa"/>
          </w:tcPr>
          <w:p>
            <w:pPr>
              <w:pStyle w:val="TableParagraph"/>
              <w:spacing w:line="152" w:lineRule="exact"/>
              <w:ind w:left="642" w:right="149"/>
              <w:rPr>
                <w:rFonts w:ascii="Calibri"/>
                <w:sz w:val="13"/>
              </w:rPr>
            </w:pPr>
            <w:r>
              <w:rPr>
                <w:rFonts w:ascii="Calibri"/>
                <w:sz w:val="13"/>
              </w:rPr>
              <w:t>Subtotal</w:t>
            </w:r>
          </w:p>
        </w:tc>
        <w:tc>
          <w:tcPr>
            <w:tcW w:w="868" w:type="dxa"/>
          </w:tcPr>
          <w:p>
            <w:pPr>
              <w:pStyle w:val="TableParagraph"/>
              <w:tabs>
                <w:tab w:pos="494" w:val="left" w:leader="none"/>
                <w:tab w:pos="878" w:val="left" w:leader="none"/>
              </w:tabs>
              <w:spacing w:line="152" w:lineRule="exact"/>
              <w:ind w:left="174" w:right="-11"/>
              <w:rPr>
                <w:rFonts w:ascii="Calibri"/>
                <w:sz w:val="13"/>
              </w:rPr>
            </w:pPr>
            <w:r>
              <w:rPr>
                <w:rFonts w:ascii="Times New Roman"/>
                <w:w w:val="98"/>
                <w:sz w:val="13"/>
                <w:shd w:fill="F79646" w:color="auto" w:val="clear"/>
              </w:rPr>
              <w:t> </w:t>
            </w:r>
            <w:r>
              <w:rPr>
                <w:rFonts w:ascii="Times New Roman"/>
                <w:sz w:val="13"/>
                <w:shd w:fill="F79646" w:color="auto" w:val="clear"/>
              </w:rPr>
              <w:tab/>
            </w:r>
            <w:r>
              <w:rPr>
                <w:rFonts w:ascii="Calibri"/>
                <w:sz w:val="13"/>
                <w:shd w:fill="F79646" w:color="auto" w:val="clear"/>
              </w:rPr>
              <w:t>1</w:t>
              <w:tab/>
            </w:r>
          </w:p>
        </w:tc>
        <w:tc>
          <w:tcPr>
            <w:tcW w:w="695" w:type="dxa"/>
          </w:tcPr>
          <w:p>
            <w:pPr>
              <w:pStyle w:val="TableParagraph"/>
              <w:spacing w:line="152" w:lineRule="exact"/>
              <w:ind w:left="245" w:right="244"/>
              <w:rPr>
                <w:rFonts w:ascii="Calibri"/>
                <w:sz w:val="13"/>
              </w:rPr>
            </w:pPr>
            <w:r>
              <w:rPr>
                <w:rFonts w:ascii="Calibri"/>
                <w:sz w:val="13"/>
              </w:rPr>
              <w:t>0.7</w:t>
            </w:r>
          </w:p>
        </w:tc>
        <w:tc>
          <w:tcPr>
            <w:tcW w:w="693" w:type="dxa"/>
            <w:tcBorders>
              <w:right w:val="single" w:sz="9" w:space="0" w:color="000000"/>
            </w:tcBorders>
            <w:shd w:val="clear" w:color="auto" w:fill="67ED4D"/>
          </w:tcPr>
          <w:p>
            <w:pPr>
              <w:pStyle w:val="TableParagraph"/>
              <w:spacing w:line="152" w:lineRule="exact"/>
              <w:ind w:left="21"/>
              <w:rPr>
                <w:rFonts w:ascii="Calibri"/>
                <w:sz w:val="13"/>
              </w:rPr>
            </w:pPr>
            <w:r>
              <w:rPr>
                <w:rFonts w:ascii="Calibri"/>
                <w:w w:val="98"/>
                <w:sz w:val="13"/>
              </w:rPr>
              <w:t>1</w:t>
            </w:r>
          </w:p>
        </w:tc>
      </w:tr>
      <w:tr>
        <w:trPr>
          <w:trHeight w:val="480" w:hRule="exact"/>
        </w:trPr>
        <w:tc>
          <w:tcPr>
            <w:tcW w:w="628" w:type="dxa"/>
            <w:tcBorders>
              <w:left w:val="single" w:sz="4" w:space="0" w:color="000000"/>
              <w:bottom w:val="single" w:sz="9" w:space="0" w:color="000000"/>
            </w:tcBorders>
          </w:tcPr>
          <w:p>
            <w:pPr/>
          </w:p>
        </w:tc>
        <w:tc>
          <w:tcPr>
            <w:tcW w:w="2104" w:type="dxa"/>
            <w:tcBorders>
              <w:bottom w:val="single" w:sz="9" w:space="0" w:color="000000"/>
            </w:tcBorders>
          </w:tcPr>
          <w:p>
            <w:pPr/>
          </w:p>
        </w:tc>
        <w:tc>
          <w:tcPr>
            <w:tcW w:w="2312" w:type="dxa"/>
            <w:tcBorders>
              <w:bottom w:val="single" w:sz="9" w:space="0" w:color="000000"/>
            </w:tcBorders>
          </w:tcPr>
          <w:p>
            <w:pPr/>
          </w:p>
        </w:tc>
        <w:tc>
          <w:tcPr>
            <w:tcW w:w="1521" w:type="dxa"/>
            <w:tcBorders>
              <w:bottom w:val="single" w:sz="9" w:space="0" w:color="000000"/>
            </w:tcBorders>
          </w:tcPr>
          <w:p>
            <w:pPr>
              <w:pStyle w:val="TableParagraph"/>
              <w:spacing w:before="10"/>
              <w:jc w:val="left"/>
              <w:rPr>
                <w:sz w:val="12"/>
              </w:rPr>
            </w:pPr>
          </w:p>
          <w:p>
            <w:pPr>
              <w:pStyle w:val="TableParagraph"/>
              <w:ind w:left="645" w:right="142"/>
              <w:rPr>
                <w:rFonts w:ascii="Calibri"/>
                <w:sz w:val="13"/>
              </w:rPr>
            </w:pPr>
            <w:r>
              <w:rPr>
                <w:rFonts w:ascii="Calibri"/>
                <w:sz w:val="13"/>
              </w:rPr>
              <w:t>Total IS</w:t>
            </w:r>
          </w:p>
        </w:tc>
        <w:tc>
          <w:tcPr>
            <w:tcW w:w="868" w:type="dxa"/>
            <w:tcBorders>
              <w:bottom w:val="single" w:sz="9" w:space="0" w:color="000000"/>
            </w:tcBorders>
          </w:tcPr>
          <w:p>
            <w:pPr>
              <w:pStyle w:val="TableParagraph"/>
              <w:spacing w:before="10"/>
              <w:jc w:val="left"/>
              <w:rPr>
                <w:sz w:val="12"/>
              </w:rPr>
            </w:pPr>
          </w:p>
          <w:p>
            <w:pPr>
              <w:pStyle w:val="TableParagraph"/>
              <w:tabs>
                <w:tab w:pos="408" w:val="left" w:leader="none"/>
                <w:tab w:pos="878" w:val="left" w:leader="none"/>
              </w:tabs>
              <w:ind w:left="174" w:right="-11"/>
              <w:rPr>
                <w:rFonts w:ascii="Calibri"/>
                <w:sz w:val="13"/>
              </w:rPr>
            </w:pPr>
            <w:r>
              <w:rPr>
                <w:rFonts w:ascii="Times New Roman"/>
                <w:w w:val="98"/>
                <w:sz w:val="13"/>
                <w:shd w:fill="F79646" w:color="auto" w:val="clear"/>
              </w:rPr>
              <w:t> </w:t>
            </w:r>
            <w:r>
              <w:rPr>
                <w:rFonts w:ascii="Times New Roman"/>
                <w:sz w:val="13"/>
                <w:shd w:fill="F79646" w:color="auto" w:val="clear"/>
              </w:rPr>
              <w:tab/>
            </w:r>
            <w:r>
              <w:rPr>
                <w:rFonts w:ascii="Calibri"/>
                <w:sz w:val="13"/>
                <w:shd w:fill="F79646" w:color="auto" w:val="clear"/>
              </w:rPr>
              <w:t>12.8</w:t>
              <w:tab/>
            </w:r>
          </w:p>
        </w:tc>
        <w:tc>
          <w:tcPr>
            <w:tcW w:w="695" w:type="dxa"/>
            <w:tcBorders>
              <w:bottom w:val="single" w:sz="9" w:space="0" w:color="000000"/>
            </w:tcBorders>
          </w:tcPr>
          <w:p>
            <w:pPr>
              <w:pStyle w:val="TableParagraph"/>
              <w:spacing w:before="10"/>
              <w:jc w:val="left"/>
              <w:rPr>
                <w:sz w:val="12"/>
              </w:rPr>
            </w:pPr>
          </w:p>
          <w:p>
            <w:pPr>
              <w:pStyle w:val="TableParagraph"/>
              <w:tabs>
                <w:tab w:pos="234" w:val="left" w:leader="none"/>
                <w:tab w:pos="704" w:val="left" w:leader="none"/>
              </w:tabs>
              <w:ind w:right="-10"/>
              <w:rPr>
                <w:rFonts w:ascii="Calibri"/>
                <w:sz w:val="13"/>
              </w:rPr>
            </w:pPr>
            <w:r>
              <w:rPr>
                <w:rFonts w:ascii="Times New Roman"/>
                <w:w w:val="98"/>
                <w:sz w:val="13"/>
                <w:shd w:fill="FFFF00" w:color="auto" w:val="clear"/>
              </w:rPr>
              <w:t> </w:t>
            </w:r>
            <w:r>
              <w:rPr>
                <w:rFonts w:ascii="Times New Roman"/>
                <w:sz w:val="13"/>
                <w:shd w:fill="FFFF00" w:color="auto" w:val="clear"/>
              </w:rPr>
              <w:tab/>
            </w:r>
            <w:r>
              <w:rPr>
                <w:rFonts w:ascii="Calibri"/>
                <w:sz w:val="13"/>
                <w:shd w:fill="FFFF00" w:color="auto" w:val="clear"/>
              </w:rPr>
              <w:t>11.4</w:t>
              <w:tab/>
            </w:r>
          </w:p>
        </w:tc>
        <w:tc>
          <w:tcPr>
            <w:tcW w:w="693" w:type="dxa"/>
            <w:tcBorders>
              <w:bottom w:val="single" w:sz="9" w:space="0" w:color="000000"/>
              <w:right w:val="single" w:sz="9" w:space="0" w:color="000000"/>
            </w:tcBorders>
          </w:tcPr>
          <w:p>
            <w:pPr>
              <w:pStyle w:val="TableParagraph"/>
              <w:spacing w:before="10"/>
              <w:jc w:val="left"/>
              <w:rPr>
                <w:sz w:val="12"/>
              </w:rPr>
            </w:pPr>
          </w:p>
          <w:p>
            <w:pPr>
              <w:pStyle w:val="TableParagraph"/>
              <w:ind w:left="266" w:right="244"/>
              <w:rPr>
                <w:rFonts w:ascii="Calibri"/>
                <w:sz w:val="13"/>
              </w:rPr>
            </w:pPr>
            <w:r>
              <w:rPr>
                <w:rFonts w:ascii="Calibri"/>
                <w:sz w:val="13"/>
              </w:rPr>
              <w:t>15</w:t>
            </w:r>
          </w:p>
        </w:tc>
      </w:tr>
    </w:tbl>
    <w:p>
      <w:pPr>
        <w:spacing w:before="130"/>
        <w:ind w:left="268" w:right="0" w:firstLine="0"/>
        <w:jc w:val="left"/>
        <w:rPr>
          <w:sz w:val="21"/>
        </w:rPr>
      </w:pPr>
      <w:r>
        <w:rPr/>
        <w:pict>
          <v:group style="position:absolute;margin-left:367.190491pt;margin-top:-89.373466pt;width:69.95pt;height:9.1pt;mso-position-horizontal-relative:page;mso-position-vertical-relative:paragraph;z-index:-1138072" coordorigin="7344,-1787" coordsize="1399,182">
            <v:line style="position:absolute" from="7349,-1782" to="7349,-1611" stroked="true" strokeweight=".533pt" strokecolor="#baf9f5"/>
            <v:rect style="position:absolute;left:7355;top:-1782;width:1387;height:171" filled="true" fillcolor="#baf9f5" stroked="false">
              <v:fill type="solid"/>
            </v:rect>
            <w10:wrap type="none"/>
          </v:group>
        </w:pict>
      </w:r>
      <w:r>
        <w:rPr/>
        <w:pict>
          <v:group style="position:absolute;margin-left:367.190491pt;margin-top:-65.373466pt;width:69.95pt;height:9.1pt;mso-position-horizontal-relative:page;mso-position-vertical-relative:paragraph;z-index:-1138048" coordorigin="7344,-1307" coordsize="1399,182">
            <v:line style="position:absolute" from="7349,-1302" to="7349,-1131" stroked="true" strokeweight=".533pt" strokecolor="#baf9f5"/>
            <v:rect style="position:absolute;left:7355;top:-1302;width:1387;height:171" filled="true" fillcolor="#baf9f5" stroked="false">
              <v:fill type="solid"/>
            </v:rect>
            <w10:wrap type="none"/>
          </v:group>
        </w:pict>
      </w:r>
      <w:r>
        <w:rPr/>
        <w:pict>
          <v:group style="position:absolute;margin-left:367.190491pt;margin-top:-41.373466pt;width:69.95pt;height:9.1pt;mso-position-horizontal-relative:page;mso-position-vertical-relative:paragraph;z-index:-1138024" coordorigin="7344,-827" coordsize="1399,182">
            <v:line style="position:absolute" from="7349,-822" to="7349,-651" stroked="true" strokeweight=".533pt" strokecolor="#baf9f5"/>
            <v:rect style="position:absolute;left:7355;top:-822;width:1387;height:171" filled="true" fillcolor="#baf9f5" stroked="false">
              <v:fill type="solid"/>
            </v:rect>
            <w10:wrap type="none"/>
          </v:group>
        </w:pict>
      </w:r>
      <w:r>
        <w:rPr/>
        <w:pict>
          <v:shape style="position:absolute;margin-left:471.251038pt;margin-top:-89.098137pt;width:35.25pt;height:16.55pt;mso-position-horizontal-relative:page;mso-position-vertical-relative:paragraph;z-index:-1138000" coordorigin="9425,-1782" coordsize="705,331" path="m10129,-1782l9425,-1782,9425,-1622,9425,-1611,9425,-1451,10129,-1451,10129,-1611,10129,-1622,10129,-1782e" filled="true" fillcolor="#ffff00" stroked="false">
            <v:path arrowok="t"/>
            <v:fill type="solid"/>
            <w10:wrap type="none"/>
          </v:shape>
        </w:pict>
      </w:r>
      <w:r>
        <w:rPr/>
        <w:pict>
          <v:shape style="position:absolute;margin-left:471.251038pt;margin-top:-65.098137pt;width:35.25pt;height:16.55pt;mso-position-horizontal-relative:page;mso-position-vertical-relative:paragraph;z-index:-1137976" coordorigin="9425,-1302" coordsize="705,331" path="m10129,-1302l9425,-1302,9425,-1142,9425,-1131,9425,-971,10129,-971,10129,-1131,10129,-1142,10129,-1302e" filled="true" fillcolor="#ffff00" stroked="false">
            <v:path arrowok="t"/>
            <v:fill type="solid"/>
            <w10:wrap type="none"/>
          </v:shape>
        </w:pict>
      </w:r>
      <w:r>
        <w:rPr/>
        <w:pict>
          <v:shape style="position:absolute;margin-left:471.251038pt;margin-top:-41.098133pt;width:35.25pt;height:16.55pt;mso-position-horizontal-relative:page;mso-position-vertical-relative:paragraph;z-index:-1137952" coordorigin="9425,-822" coordsize="705,331" path="m10129,-822l9425,-822,9425,-662,9425,-651,9425,-491,10129,-491,10129,-651,10129,-662,10129,-822e" filled="true" fillcolor="#ffff00" stroked="false">
            <v:path arrowok="t"/>
            <v:fill type="solid"/>
            <w10:wrap type="none"/>
          </v:shape>
        </w:pict>
      </w:r>
      <w:r>
        <w:rPr/>
        <w:pict>
          <v:rect style="position:absolute;margin-left:505.934998pt;margin-top:-17.098465pt;width:35.217800pt;height:8.533340pt;mso-position-horizontal-relative:page;mso-position-vertical-relative:paragraph;z-index:-1137928" filled="true" fillcolor="#67ed4d"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spacing w:before="1"/>
        <w:rPr>
          <w:sz w:val="18"/>
        </w:rPr>
      </w:pPr>
    </w:p>
    <w:p>
      <w:pPr>
        <w:pStyle w:val="BodyText"/>
        <w:spacing w:before="69"/>
        <w:ind w:left="268"/>
      </w:pPr>
      <w:r>
        <w:rPr/>
        <w:pict>
          <v:line style="position:absolute;mso-position-horizontal-relative:page;mso-position-vertical-relative:paragraph;z-index:20128" from="93.199997pt,-19.614155pt" to="546.799997pt,-19.614155pt" stroked="true" strokeweight=".479981pt" strokecolor="#000000">
            <w10:wrap type="none"/>
          </v:line>
        </w:pict>
      </w:r>
      <w:r>
        <w:rPr/>
        <w:pict>
          <v:group style="position:absolute;margin-left:367.213989pt;margin-top:65.773666pt;width:69.95pt;height:41.15pt;mso-position-horizontal-relative:page;mso-position-vertical-relative:paragraph;z-index:-1137880" coordorigin="7344,1315" coordsize="1399,823">
            <v:line style="position:absolute" from="7350,1321" to="7350,1492" stroked="true" strokeweight=".534pt" strokecolor="#baf9f5"/>
            <v:shape style="position:absolute;left:7355;top:1321;width:1388;height:651" coordorigin="7355,1321" coordsize="1388,651" path="m8743,1812l7355,1812,7355,1972,8743,1972,8743,1812m8743,1321l7355,1321,7355,1481,7355,1492,7355,1652,7355,1812,8743,1812,8743,1652,8743,1492,8743,1481,8743,1321e" filled="true" fillcolor="#baf9f5" stroked="false">
              <v:path arrowok="t"/>
              <v:fill type="solid"/>
            </v:shape>
            <v:line style="position:absolute" from="7350,1481" to="7350,2132" stroked="true" strokeweight=".534pt" strokecolor="#baf9f5"/>
            <v:rect style="position:absolute;left:7355;top:1972;width:1388;height:160" filled="true" fillcolor="#baf9f5" stroked="false">
              <v:fill type="solid"/>
            </v:rect>
            <w10:wrap type="none"/>
          </v:group>
        </w:pict>
      </w:r>
      <w:r>
        <w:rPr/>
        <w:pict>
          <v:shape style="position:absolute;margin-left:471.28302pt;margin-top:66.048805pt;width:35.25pt;height:48.6pt;mso-position-horizontal-relative:page;mso-position-vertical-relative:paragraph;z-index:-1137856" coordorigin="9426,1321" coordsize="705,972" path="m10130,1812l9426,1812,9426,1972,9426,2121,9426,2132,9426,2292,10130,2292,10130,2132,10130,2121,10130,1972,10130,1812m10130,1321l9426,1321,9426,1481,9426,1492,9426,1652,9426,1812,10130,1812,10130,1652,10130,1492,10130,1481,10130,1321e" filled="true" fillcolor="#ffff00" stroked="false">
            <v:path arrowok="t"/>
            <v:fill type="solid"/>
            <w10:wrap type="none"/>
          </v:shape>
        </w:pict>
      </w:r>
      <w:r>
        <w:rPr/>
        <w:pict>
          <v:group style="position:absolute;margin-left:367.213989pt;margin-top:145.809128pt;width:69.95pt;height:57.15pt;mso-position-horizontal-relative:page;mso-position-vertical-relative:paragraph;z-index:-1137832" coordorigin="7344,2916" coordsize="1399,1143">
            <v:line style="position:absolute" from="7350,2922" to="7350,3092" stroked="true" strokeweight=".534pt" strokecolor="#baf9f5"/>
            <v:rect style="position:absolute;left:7355;top:2922;width:1388;height:171" filled="true" fillcolor="#baf9f5" stroked="false">
              <v:fill type="solid"/>
            </v:rect>
            <v:line style="position:absolute" from="7350,3092" to="7350,3252" stroked="true" strokeweight=".534pt" strokecolor="#baf9f5"/>
            <v:rect style="position:absolute;left:7355;top:3092;width:1388;height:160" filled="true" fillcolor="#baf9f5" stroked="false">
              <v:fill type="solid"/>
            </v:rect>
            <v:line style="position:absolute" from="7350,3253" to="7350,3413" stroked="true" strokeweight=".534pt" strokecolor="#baf9f5"/>
            <v:rect style="position:absolute;left:7355;top:3253;width:1388;height:160" filled="true" fillcolor="#baf9f5" stroked="false">
              <v:fill type="solid"/>
            </v:rect>
            <v:line style="position:absolute" from="7350,3413" to="7350,3573" stroked="true" strokeweight=".534pt" strokecolor="#baf9f5"/>
            <v:rect style="position:absolute;left:7355;top:3413;width:1388;height:160" filled="true" fillcolor="#baf9f5" stroked="false">
              <v:fill type="solid"/>
            </v:rect>
            <v:line style="position:absolute" from="7350,3573" to="7350,3733" stroked="true" strokeweight=".534pt" strokecolor="#baf9f5"/>
            <v:rect style="position:absolute;left:7355;top:3573;width:1388;height:160" filled="true" fillcolor="#baf9f5" stroked="false">
              <v:fill type="solid"/>
            </v:rect>
            <v:line style="position:absolute" from="7350,3733" to="7350,3893" stroked="true" strokeweight=".534pt" strokecolor="#baf9f5"/>
            <v:rect style="position:absolute;left:7355;top:3733;width:1388;height:160" filled="true" fillcolor="#baf9f5" stroked="false">
              <v:fill type="solid"/>
            </v:rect>
            <v:line style="position:absolute" from="7350,3893" to="7350,4053" stroked="true" strokeweight=".534pt" strokecolor="#baf9f5"/>
            <v:rect style="position:absolute;left:7355;top:3893;width:1388;height:160" filled="true" fillcolor="#baf9f5" stroked="false">
              <v:fill type="solid"/>
            </v:rect>
            <w10:wrap type="none"/>
          </v:group>
        </w:pict>
      </w:r>
      <w:r>
        <w:rPr/>
        <w:pict>
          <v:shape style="position:absolute;margin-left:471.28302pt;margin-top:122.073807pt;width:35.25pt;height:16.55pt;mso-position-horizontal-relative:page;mso-position-vertical-relative:paragraph;z-index:-1137808" coordorigin="9426,2441" coordsize="705,331" path="m10130,2441l9426,2441,9426,2602,9426,2612,9426,2772,10130,2772,10130,2612,10130,2602,10130,2441e" filled="true" fillcolor="#ffff00" stroked="false">
            <v:path arrowok="t"/>
            <v:fill type="solid"/>
            <w10:wrap type="none"/>
          </v:shape>
        </w:pict>
      </w:r>
      <w:r>
        <w:rPr/>
        <w:pict>
          <v:shape style="position:absolute;margin-left:471.28302pt;margin-top:146.084808pt;width:35.25pt;height:64.6pt;mso-position-horizontal-relative:page;mso-position-vertical-relative:paragraph;z-index:-1137784" coordorigin="9426,2922" coordsize="705,1292" path="m10130,3733l9426,3733,9426,3893,9426,4042,9426,4053,9426,4213,10130,4213,10130,4053,10130,4042,10130,3893,10130,3733m10130,3573l9426,3573,9426,3733,10130,3733,10130,3573m10130,3253l9426,3253,9426,3413,9426,3573,10130,3573,10130,3413,10130,3253m10130,2922l9426,2922,9426,3092,9426,3252,10130,3252,10130,3092,10130,2922e" filled="true" fillcolor="#ffff00" stroked="false">
            <v:path arrowok="t"/>
            <v:fill type="solid"/>
            <w10:wrap type="none"/>
          </v:shape>
        </w:pict>
      </w:r>
      <w:r>
        <w:rPr/>
        <w:t>Tabla 44. ISA San Andrés</w:t>
      </w:r>
    </w:p>
    <w:p>
      <w:pPr>
        <w:pStyle w:val="BodyText"/>
        <w:spacing w:before="6"/>
        <w:rPr>
          <w:sz w:val="11"/>
        </w:rPr>
      </w:pP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9"/>
        <w:gridCol w:w="1828"/>
        <w:gridCol w:w="2280"/>
        <w:gridCol w:w="1788"/>
        <w:gridCol w:w="813"/>
        <w:gridCol w:w="749"/>
        <w:gridCol w:w="694"/>
      </w:tblGrid>
      <w:tr>
        <w:trPr>
          <w:trHeight w:val="528" w:hRule="exact"/>
        </w:trPr>
        <w:tc>
          <w:tcPr>
            <w:tcW w:w="8821" w:type="dxa"/>
            <w:gridSpan w:val="7"/>
            <w:tcBorders>
              <w:bottom w:val="nil"/>
            </w:tcBorders>
            <w:shd w:val="clear" w:color="auto" w:fill="000000"/>
          </w:tcPr>
          <w:p>
            <w:pPr>
              <w:pStyle w:val="TableParagraph"/>
              <w:spacing w:before="86"/>
              <w:ind w:left="3293" w:right="3286"/>
              <w:rPr>
                <w:b/>
                <w:sz w:val="13"/>
              </w:rPr>
            </w:pPr>
            <w:r>
              <w:rPr>
                <w:b/>
                <w:color w:val="FFFFFF"/>
                <w:sz w:val="13"/>
              </w:rPr>
              <w:t>San Andrés</w:t>
            </w:r>
          </w:p>
          <w:p>
            <w:pPr>
              <w:pStyle w:val="TableParagraph"/>
              <w:spacing w:before="10"/>
              <w:ind w:left="3298" w:right="3286"/>
              <w:rPr>
                <w:b/>
                <w:sz w:val="13"/>
              </w:rPr>
            </w:pPr>
            <w:r>
              <w:rPr>
                <w:b/>
                <w:color w:val="FFFFFF"/>
                <w:sz w:val="13"/>
              </w:rPr>
              <w:t>Índice de sustentabilidad ambiental</w:t>
            </w:r>
          </w:p>
        </w:tc>
      </w:tr>
      <w:tr>
        <w:trPr>
          <w:trHeight w:val="165" w:hRule="exact"/>
        </w:trPr>
        <w:tc>
          <w:tcPr>
            <w:tcW w:w="669" w:type="dxa"/>
            <w:tcBorders>
              <w:top w:val="single" w:sz="4" w:space="0" w:color="FFFFFF"/>
              <w:left w:val="single" w:sz="4" w:space="0" w:color="000000"/>
            </w:tcBorders>
            <w:shd w:val="clear" w:color="auto" w:fill="808080"/>
          </w:tcPr>
          <w:p>
            <w:pPr>
              <w:pStyle w:val="TableParagraph"/>
              <w:spacing w:line="140" w:lineRule="exact"/>
              <w:ind w:left="160"/>
              <w:jc w:val="left"/>
              <w:rPr>
                <w:b/>
                <w:sz w:val="13"/>
              </w:rPr>
            </w:pPr>
            <w:r>
              <w:rPr>
                <w:b/>
                <w:color w:val="FFFFFF"/>
                <w:sz w:val="13"/>
              </w:rPr>
              <w:t>Índice</w:t>
            </w:r>
          </w:p>
        </w:tc>
        <w:tc>
          <w:tcPr>
            <w:tcW w:w="1828" w:type="dxa"/>
            <w:tcBorders>
              <w:top w:val="single" w:sz="4" w:space="0" w:color="FFFFFF"/>
            </w:tcBorders>
            <w:shd w:val="clear" w:color="auto" w:fill="808080"/>
          </w:tcPr>
          <w:p>
            <w:pPr>
              <w:pStyle w:val="TableParagraph"/>
              <w:spacing w:line="140" w:lineRule="exact"/>
              <w:ind w:left="51"/>
              <w:jc w:val="left"/>
              <w:rPr>
                <w:b/>
                <w:sz w:val="13"/>
              </w:rPr>
            </w:pPr>
            <w:r>
              <w:rPr>
                <w:b/>
                <w:color w:val="FFFFFF"/>
                <w:sz w:val="13"/>
              </w:rPr>
              <w:t>Subíndice</w:t>
            </w:r>
          </w:p>
        </w:tc>
        <w:tc>
          <w:tcPr>
            <w:tcW w:w="2280" w:type="dxa"/>
            <w:tcBorders>
              <w:top w:val="single" w:sz="4" w:space="0" w:color="FFFFFF"/>
            </w:tcBorders>
            <w:shd w:val="clear" w:color="auto" w:fill="808080"/>
          </w:tcPr>
          <w:p>
            <w:pPr>
              <w:pStyle w:val="TableParagraph"/>
              <w:spacing w:line="140" w:lineRule="exact"/>
              <w:ind w:left="357"/>
              <w:jc w:val="left"/>
              <w:rPr>
                <w:b/>
                <w:sz w:val="13"/>
              </w:rPr>
            </w:pPr>
            <w:r>
              <w:rPr>
                <w:b/>
                <w:color w:val="FFFFFF"/>
                <w:sz w:val="13"/>
              </w:rPr>
              <w:t>Indicador</w:t>
            </w:r>
          </w:p>
        </w:tc>
        <w:tc>
          <w:tcPr>
            <w:tcW w:w="1788" w:type="dxa"/>
            <w:tcBorders>
              <w:top w:val="single" w:sz="4" w:space="0" w:color="FFFFFF"/>
            </w:tcBorders>
            <w:shd w:val="clear" w:color="auto" w:fill="808080"/>
          </w:tcPr>
          <w:p>
            <w:pPr/>
          </w:p>
        </w:tc>
        <w:tc>
          <w:tcPr>
            <w:tcW w:w="813" w:type="dxa"/>
            <w:tcBorders>
              <w:top w:val="single" w:sz="4" w:space="0" w:color="FFFFFF"/>
            </w:tcBorders>
            <w:shd w:val="clear" w:color="auto" w:fill="808080"/>
          </w:tcPr>
          <w:p>
            <w:pPr>
              <w:pStyle w:val="TableParagraph"/>
              <w:spacing w:line="140" w:lineRule="exact"/>
              <w:ind w:left="275" w:right="28"/>
              <w:rPr>
                <w:b/>
                <w:sz w:val="13"/>
              </w:rPr>
            </w:pPr>
            <w:r>
              <w:rPr>
                <w:b/>
                <w:color w:val="FFFFFF"/>
                <w:sz w:val="13"/>
              </w:rPr>
              <w:t>Valores</w:t>
            </w:r>
          </w:p>
        </w:tc>
        <w:tc>
          <w:tcPr>
            <w:tcW w:w="749" w:type="dxa"/>
            <w:tcBorders>
              <w:top w:val="single" w:sz="4" w:space="0" w:color="FFFFFF"/>
            </w:tcBorders>
            <w:shd w:val="clear" w:color="auto" w:fill="808080"/>
          </w:tcPr>
          <w:p>
            <w:pPr/>
          </w:p>
        </w:tc>
        <w:tc>
          <w:tcPr>
            <w:tcW w:w="694" w:type="dxa"/>
            <w:tcBorders>
              <w:top w:val="single" w:sz="4" w:space="0" w:color="FFFFFF"/>
              <w:right w:val="single" w:sz="9" w:space="0" w:color="000000"/>
            </w:tcBorders>
            <w:shd w:val="clear" w:color="auto" w:fill="808080"/>
          </w:tcPr>
          <w:p>
            <w:pPr/>
          </w:p>
        </w:tc>
      </w:tr>
      <w:tr>
        <w:trPr>
          <w:trHeight w:val="149" w:hRule="exact"/>
        </w:trPr>
        <w:tc>
          <w:tcPr>
            <w:tcW w:w="8821" w:type="dxa"/>
            <w:gridSpan w:val="7"/>
            <w:tcBorders>
              <w:left w:val="single" w:sz="4" w:space="0" w:color="000000"/>
              <w:right w:val="single" w:sz="9" w:space="0" w:color="000000"/>
            </w:tcBorders>
          </w:tcPr>
          <w:p>
            <w:pPr/>
          </w:p>
        </w:tc>
      </w:tr>
      <w:tr>
        <w:trPr>
          <w:trHeight w:val="165" w:hRule="exact"/>
        </w:trPr>
        <w:tc>
          <w:tcPr>
            <w:tcW w:w="669" w:type="dxa"/>
            <w:vMerge w:val="restart"/>
            <w:tcBorders>
              <w:left w:val="single" w:sz="4" w:space="0" w:color="000000"/>
            </w:tcBorders>
          </w:tcPr>
          <w:p>
            <w:pPr/>
          </w:p>
        </w:tc>
        <w:tc>
          <w:tcPr>
            <w:tcW w:w="1828" w:type="dxa"/>
          </w:tcPr>
          <w:p>
            <w:pPr/>
          </w:p>
        </w:tc>
        <w:tc>
          <w:tcPr>
            <w:tcW w:w="2280" w:type="dxa"/>
          </w:tcPr>
          <w:p>
            <w:pPr/>
          </w:p>
        </w:tc>
        <w:tc>
          <w:tcPr>
            <w:tcW w:w="1788" w:type="dxa"/>
          </w:tcPr>
          <w:p>
            <w:pPr>
              <w:pStyle w:val="TableParagraph"/>
              <w:ind w:left="912" w:right="149"/>
              <w:rPr>
                <w:b/>
                <w:sz w:val="13"/>
              </w:rPr>
            </w:pPr>
            <w:r>
              <w:rPr>
                <w:b/>
                <w:sz w:val="13"/>
              </w:rPr>
              <w:t>Evaluación</w:t>
            </w:r>
          </w:p>
        </w:tc>
        <w:tc>
          <w:tcPr>
            <w:tcW w:w="813" w:type="dxa"/>
          </w:tcPr>
          <w:p>
            <w:pPr>
              <w:pStyle w:val="TableParagraph"/>
              <w:tabs>
                <w:tab w:pos="878" w:val="left" w:leader="none"/>
              </w:tabs>
              <w:ind w:left="174" w:right="-66"/>
              <w:rPr>
                <w:b/>
                <w:sz w:val="13"/>
              </w:rPr>
            </w:pPr>
            <w:r>
              <w:rPr>
                <w:b/>
                <w:w w:val="98"/>
                <w:sz w:val="13"/>
                <w:shd w:fill="F79646" w:color="auto" w:val="clear"/>
              </w:rPr>
              <w:t> </w:t>
            </w:r>
            <w:r>
              <w:rPr>
                <w:b/>
                <w:sz w:val="13"/>
                <w:shd w:fill="F79646" w:color="auto" w:val="clear"/>
              </w:rPr>
              <w:t>    </w:t>
            </w:r>
            <w:r>
              <w:rPr>
                <w:b/>
                <w:spacing w:val="-3"/>
                <w:sz w:val="13"/>
                <w:shd w:fill="F79646" w:color="auto" w:val="clear"/>
              </w:rPr>
              <w:t> </w:t>
            </w:r>
            <w:r>
              <w:rPr>
                <w:b/>
                <w:sz w:val="13"/>
                <w:shd w:fill="F79646" w:color="auto" w:val="clear"/>
              </w:rPr>
              <w:t>Real</w:t>
              <w:tab/>
            </w:r>
          </w:p>
        </w:tc>
        <w:tc>
          <w:tcPr>
            <w:tcW w:w="749" w:type="dxa"/>
          </w:tcPr>
          <w:p>
            <w:pPr>
              <w:pStyle w:val="TableParagraph"/>
              <w:ind w:left="105" w:right="32"/>
              <w:rPr>
                <w:b/>
                <w:sz w:val="13"/>
              </w:rPr>
            </w:pPr>
            <w:r>
              <w:rPr>
                <w:b/>
                <w:sz w:val="13"/>
              </w:rPr>
              <w:t>Deseable</w:t>
            </w:r>
          </w:p>
        </w:tc>
        <w:tc>
          <w:tcPr>
            <w:tcW w:w="694" w:type="dxa"/>
            <w:tcBorders>
              <w:right w:val="single" w:sz="9" w:space="0" w:color="000000"/>
            </w:tcBorders>
            <w:shd w:val="clear" w:color="auto" w:fill="67ED4D"/>
          </w:tcPr>
          <w:p>
            <w:pPr>
              <w:pStyle w:val="TableParagraph"/>
              <w:ind w:left="104" w:right="83"/>
              <w:rPr>
                <w:b/>
                <w:sz w:val="13"/>
              </w:rPr>
            </w:pPr>
            <w:r>
              <w:rPr>
                <w:b/>
                <w:sz w:val="13"/>
              </w:rPr>
              <w:t>Óptimo</w:t>
            </w:r>
          </w:p>
        </w:tc>
      </w:tr>
      <w:tr>
        <w:trPr>
          <w:trHeight w:val="162" w:hRule="exact"/>
        </w:trPr>
        <w:tc>
          <w:tcPr>
            <w:tcW w:w="669" w:type="dxa"/>
            <w:vMerge/>
            <w:tcBorders>
              <w:left w:val="single" w:sz="4" w:space="0" w:color="000000"/>
            </w:tcBorders>
          </w:tcPr>
          <w:p>
            <w:pPr/>
          </w:p>
        </w:tc>
        <w:tc>
          <w:tcPr>
            <w:tcW w:w="1828" w:type="dxa"/>
          </w:tcPr>
          <w:p>
            <w:pPr>
              <w:pStyle w:val="TableParagraph"/>
              <w:spacing w:line="153" w:lineRule="exact"/>
              <w:ind w:left="51"/>
              <w:jc w:val="left"/>
              <w:rPr>
                <w:rFonts w:ascii="Calibri"/>
                <w:sz w:val="13"/>
              </w:rPr>
            </w:pPr>
            <w:r>
              <w:rPr>
                <w:rFonts w:ascii="Calibri"/>
                <w:sz w:val="13"/>
              </w:rPr>
              <w:t>Autorizaciones</w:t>
            </w:r>
          </w:p>
        </w:tc>
        <w:tc>
          <w:tcPr>
            <w:tcW w:w="2280" w:type="dxa"/>
          </w:tcPr>
          <w:p>
            <w:pPr>
              <w:pStyle w:val="TableParagraph"/>
              <w:spacing w:line="153" w:lineRule="exact"/>
              <w:ind w:left="357"/>
              <w:jc w:val="left"/>
              <w:rPr>
                <w:rFonts w:ascii="Calibri"/>
                <w:sz w:val="13"/>
              </w:rPr>
            </w:pPr>
            <w:r>
              <w:rPr>
                <w:rFonts w:ascii="Calibri"/>
                <w:sz w:val="13"/>
              </w:rPr>
              <w:t>Tipo de la vivienda</w:t>
            </w:r>
          </w:p>
        </w:tc>
        <w:tc>
          <w:tcPr>
            <w:tcW w:w="1788" w:type="dxa"/>
          </w:tcPr>
          <w:p>
            <w:pPr>
              <w:pStyle w:val="TableParagraph"/>
              <w:spacing w:line="153" w:lineRule="exact"/>
              <w:ind w:left="910" w:right="149"/>
              <w:rPr>
                <w:rFonts w:ascii="Calibri"/>
                <w:sz w:val="13"/>
              </w:rPr>
            </w:pPr>
            <w:r>
              <w:rPr>
                <w:rFonts w:ascii="Calibri"/>
                <w:sz w:val="13"/>
              </w:rPr>
              <w:t>0.6</w:t>
            </w:r>
          </w:p>
        </w:tc>
        <w:tc>
          <w:tcPr>
            <w:tcW w:w="813" w:type="dxa"/>
          </w:tcPr>
          <w:p>
            <w:pPr/>
          </w:p>
        </w:tc>
        <w:tc>
          <w:tcPr>
            <w:tcW w:w="749" w:type="dxa"/>
          </w:tcPr>
          <w:p>
            <w:pPr>
              <w:pStyle w:val="TableParagraph"/>
              <w:spacing w:line="153" w:lineRule="exact"/>
              <w:ind w:left="89" w:right="32"/>
              <w:rPr>
                <w:rFonts w:ascii="Calibri"/>
                <w:sz w:val="13"/>
              </w:rPr>
            </w:pPr>
            <w:r>
              <w:rPr>
                <w:rFonts w:ascii="Calibri"/>
                <w:sz w:val="13"/>
              </w:rPr>
              <w:t>0.6</w:t>
            </w:r>
          </w:p>
        </w:tc>
        <w:tc>
          <w:tcPr>
            <w:tcW w:w="694" w:type="dxa"/>
            <w:tcBorders>
              <w:right w:val="single" w:sz="9" w:space="0" w:color="000000"/>
            </w:tcBorders>
            <w:shd w:val="clear" w:color="auto" w:fill="67ED4D"/>
          </w:tcPr>
          <w:p>
            <w:pPr>
              <w:pStyle w:val="TableParagraph"/>
              <w:spacing w:line="153" w:lineRule="exact"/>
              <w:ind w:left="22"/>
              <w:rPr>
                <w:rFonts w:ascii="Calibri"/>
                <w:sz w:val="13"/>
              </w:rPr>
            </w:pPr>
            <w:r>
              <w:rPr>
                <w:rFonts w:ascii="Calibri"/>
                <w:w w:val="98"/>
                <w:sz w:val="13"/>
              </w:rPr>
              <w:t>1</w:t>
            </w:r>
          </w:p>
        </w:tc>
      </w:tr>
      <w:tr>
        <w:trPr>
          <w:trHeight w:val="160" w:hRule="exact"/>
        </w:trPr>
        <w:tc>
          <w:tcPr>
            <w:tcW w:w="669" w:type="dxa"/>
            <w:vMerge/>
            <w:tcBorders>
              <w:left w:val="single" w:sz="4" w:space="0" w:color="000000"/>
            </w:tcBorders>
          </w:tcPr>
          <w:p>
            <w:pPr/>
          </w:p>
        </w:tc>
        <w:tc>
          <w:tcPr>
            <w:tcW w:w="1828" w:type="dxa"/>
          </w:tcPr>
          <w:p>
            <w:pPr/>
          </w:p>
        </w:tc>
        <w:tc>
          <w:tcPr>
            <w:tcW w:w="2280" w:type="dxa"/>
          </w:tcPr>
          <w:p>
            <w:pPr>
              <w:pStyle w:val="TableParagraph"/>
              <w:spacing w:line="151" w:lineRule="exact"/>
              <w:ind w:left="357"/>
              <w:jc w:val="left"/>
              <w:rPr>
                <w:rFonts w:ascii="Calibri" w:hAnsi="Calibri"/>
                <w:sz w:val="13"/>
              </w:rPr>
            </w:pPr>
            <w:r>
              <w:rPr>
                <w:rFonts w:ascii="Calibri" w:hAnsi="Calibri"/>
                <w:sz w:val="13"/>
              </w:rPr>
              <w:t>Metros de construcción</w:t>
            </w:r>
          </w:p>
        </w:tc>
        <w:tc>
          <w:tcPr>
            <w:tcW w:w="1788" w:type="dxa"/>
          </w:tcPr>
          <w:p>
            <w:pPr>
              <w:pStyle w:val="TableParagraph"/>
              <w:spacing w:line="151" w:lineRule="exact"/>
              <w:ind w:left="771"/>
              <w:rPr>
                <w:rFonts w:ascii="Calibri"/>
                <w:sz w:val="13"/>
              </w:rPr>
            </w:pPr>
            <w:r>
              <w:rPr>
                <w:rFonts w:ascii="Calibri"/>
                <w:w w:val="98"/>
                <w:sz w:val="13"/>
              </w:rPr>
              <w:t>1</w:t>
            </w:r>
          </w:p>
        </w:tc>
        <w:tc>
          <w:tcPr>
            <w:tcW w:w="813" w:type="dxa"/>
          </w:tcPr>
          <w:p>
            <w:pPr/>
          </w:p>
        </w:tc>
        <w:tc>
          <w:tcPr>
            <w:tcW w:w="749" w:type="dxa"/>
          </w:tcPr>
          <w:p>
            <w:pPr>
              <w:pStyle w:val="TableParagraph"/>
              <w:spacing w:line="151" w:lineRule="exact"/>
              <w:ind w:left="66"/>
              <w:rPr>
                <w:rFonts w:ascii="Calibri"/>
                <w:sz w:val="13"/>
              </w:rPr>
            </w:pPr>
            <w:r>
              <w:rPr>
                <w:rFonts w:ascii="Calibri"/>
                <w:w w:val="98"/>
                <w:sz w:val="13"/>
              </w:rPr>
              <w:t>1</w:t>
            </w:r>
          </w:p>
        </w:tc>
        <w:tc>
          <w:tcPr>
            <w:tcW w:w="694" w:type="dxa"/>
            <w:tcBorders>
              <w:right w:val="single" w:sz="9" w:space="0" w:color="000000"/>
            </w:tcBorders>
            <w:shd w:val="clear" w:color="auto" w:fill="67ED4D"/>
          </w:tcPr>
          <w:p>
            <w:pPr>
              <w:pStyle w:val="TableParagraph"/>
              <w:spacing w:line="151" w:lineRule="exact"/>
              <w:ind w:left="22"/>
              <w:rPr>
                <w:rFonts w:ascii="Calibri"/>
                <w:sz w:val="13"/>
              </w:rPr>
            </w:pPr>
            <w:r>
              <w:rPr>
                <w:rFonts w:ascii="Calibri"/>
                <w:w w:val="98"/>
                <w:sz w:val="13"/>
              </w:rPr>
              <w:t>1</w:t>
            </w:r>
          </w:p>
        </w:tc>
      </w:tr>
      <w:tr>
        <w:trPr>
          <w:trHeight w:val="160" w:hRule="exact"/>
        </w:trPr>
        <w:tc>
          <w:tcPr>
            <w:tcW w:w="669" w:type="dxa"/>
            <w:vMerge/>
            <w:tcBorders>
              <w:left w:val="single" w:sz="4" w:space="0" w:color="000000"/>
            </w:tcBorders>
          </w:tcPr>
          <w:p>
            <w:pPr/>
          </w:p>
        </w:tc>
        <w:tc>
          <w:tcPr>
            <w:tcW w:w="1828" w:type="dxa"/>
          </w:tcPr>
          <w:p>
            <w:pPr/>
          </w:p>
        </w:tc>
        <w:tc>
          <w:tcPr>
            <w:tcW w:w="2280" w:type="dxa"/>
          </w:tcPr>
          <w:p>
            <w:pPr>
              <w:pStyle w:val="TableParagraph"/>
              <w:spacing w:line="151" w:lineRule="exact"/>
              <w:ind w:left="357"/>
              <w:jc w:val="left"/>
              <w:rPr>
                <w:rFonts w:ascii="Calibri"/>
                <w:sz w:val="13"/>
              </w:rPr>
            </w:pPr>
            <w:r>
              <w:rPr>
                <w:rFonts w:ascii="Calibri"/>
                <w:sz w:val="13"/>
              </w:rPr>
              <w:t>Metros de terreno</w:t>
            </w:r>
          </w:p>
        </w:tc>
        <w:tc>
          <w:tcPr>
            <w:tcW w:w="1788" w:type="dxa"/>
          </w:tcPr>
          <w:p>
            <w:pPr>
              <w:pStyle w:val="TableParagraph"/>
              <w:spacing w:line="151" w:lineRule="exact"/>
              <w:ind w:left="771"/>
              <w:rPr>
                <w:rFonts w:ascii="Calibri"/>
                <w:sz w:val="13"/>
              </w:rPr>
            </w:pPr>
            <w:r>
              <w:rPr>
                <w:rFonts w:ascii="Calibri"/>
                <w:w w:val="98"/>
                <w:sz w:val="13"/>
              </w:rPr>
              <w:t>1</w:t>
            </w:r>
          </w:p>
        </w:tc>
        <w:tc>
          <w:tcPr>
            <w:tcW w:w="813" w:type="dxa"/>
          </w:tcPr>
          <w:p>
            <w:pPr/>
          </w:p>
        </w:tc>
        <w:tc>
          <w:tcPr>
            <w:tcW w:w="749" w:type="dxa"/>
          </w:tcPr>
          <w:p>
            <w:pPr>
              <w:pStyle w:val="TableParagraph"/>
              <w:spacing w:line="151" w:lineRule="exact"/>
              <w:ind w:left="66"/>
              <w:rPr>
                <w:rFonts w:ascii="Calibri"/>
                <w:sz w:val="13"/>
              </w:rPr>
            </w:pPr>
            <w:r>
              <w:rPr>
                <w:rFonts w:ascii="Calibri"/>
                <w:w w:val="98"/>
                <w:sz w:val="13"/>
              </w:rPr>
              <w:t>1</w:t>
            </w:r>
          </w:p>
        </w:tc>
        <w:tc>
          <w:tcPr>
            <w:tcW w:w="694" w:type="dxa"/>
            <w:tcBorders>
              <w:right w:val="single" w:sz="9" w:space="0" w:color="000000"/>
            </w:tcBorders>
            <w:shd w:val="clear" w:color="auto" w:fill="67ED4D"/>
          </w:tcPr>
          <w:p>
            <w:pPr>
              <w:pStyle w:val="TableParagraph"/>
              <w:spacing w:line="151" w:lineRule="exact"/>
              <w:ind w:left="22"/>
              <w:rPr>
                <w:rFonts w:ascii="Calibri"/>
                <w:sz w:val="13"/>
              </w:rPr>
            </w:pPr>
            <w:r>
              <w:rPr>
                <w:rFonts w:ascii="Calibri"/>
                <w:w w:val="98"/>
                <w:sz w:val="13"/>
              </w:rPr>
              <w:t>1</w:t>
            </w:r>
          </w:p>
        </w:tc>
      </w:tr>
      <w:tr>
        <w:trPr>
          <w:trHeight w:val="160" w:hRule="exact"/>
        </w:trPr>
        <w:tc>
          <w:tcPr>
            <w:tcW w:w="669" w:type="dxa"/>
            <w:vMerge/>
            <w:tcBorders>
              <w:left w:val="single" w:sz="4" w:space="0" w:color="000000"/>
            </w:tcBorders>
          </w:tcPr>
          <w:p>
            <w:pPr/>
          </w:p>
        </w:tc>
        <w:tc>
          <w:tcPr>
            <w:tcW w:w="1828" w:type="dxa"/>
          </w:tcPr>
          <w:p>
            <w:pPr/>
          </w:p>
        </w:tc>
        <w:tc>
          <w:tcPr>
            <w:tcW w:w="2280" w:type="dxa"/>
          </w:tcPr>
          <w:p>
            <w:pPr>
              <w:pStyle w:val="TableParagraph"/>
              <w:spacing w:line="151" w:lineRule="exact"/>
              <w:ind w:left="357"/>
              <w:jc w:val="left"/>
              <w:rPr>
                <w:rFonts w:ascii="Calibri"/>
                <w:sz w:val="13"/>
              </w:rPr>
            </w:pPr>
            <w:r>
              <w:rPr>
                <w:rFonts w:ascii="Calibri"/>
                <w:sz w:val="13"/>
              </w:rPr>
              <w:t>Plan ambiental</w:t>
            </w:r>
          </w:p>
        </w:tc>
        <w:tc>
          <w:tcPr>
            <w:tcW w:w="1788" w:type="dxa"/>
          </w:tcPr>
          <w:p>
            <w:pPr>
              <w:pStyle w:val="TableParagraph"/>
              <w:spacing w:line="151" w:lineRule="exact"/>
              <w:ind w:left="771"/>
              <w:rPr>
                <w:rFonts w:ascii="Calibri"/>
                <w:sz w:val="13"/>
              </w:rPr>
            </w:pPr>
            <w:r>
              <w:rPr>
                <w:rFonts w:ascii="Calibri"/>
                <w:w w:val="98"/>
                <w:sz w:val="13"/>
              </w:rPr>
              <w:t>0</w:t>
            </w:r>
          </w:p>
        </w:tc>
        <w:tc>
          <w:tcPr>
            <w:tcW w:w="813" w:type="dxa"/>
          </w:tcPr>
          <w:p>
            <w:pPr/>
          </w:p>
        </w:tc>
        <w:tc>
          <w:tcPr>
            <w:tcW w:w="749" w:type="dxa"/>
          </w:tcPr>
          <w:p>
            <w:pPr>
              <w:pStyle w:val="TableParagraph"/>
              <w:spacing w:line="151" w:lineRule="exact"/>
              <w:ind w:left="66"/>
              <w:rPr>
                <w:rFonts w:ascii="Calibri"/>
                <w:sz w:val="13"/>
              </w:rPr>
            </w:pPr>
            <w:r>
              <w:rPr>
                <w:rFonts w:ascii="Calibri"/>
                <w:w w:val="98"/>
                <w:sz w:val="13"/>
              </w:rPr>
              <w:t>1</w:t>
            </w:r>
          </w:p>
        </w:tc>
        <w:tc>
          <w:tcPr>
            <w:tcW w:w="694" w:type="dxa"/>
            <w:tcBorders>
              <w:right w:val="single" w:sz="9" w:space="0" w:color="000000"/>
            </w:tcBorders>
            <w:shd w:val="clear" w:color="auto" w:fill="67ED4D"/>
          </w:tcPr>
          <w:p>
            <w:pPr>
              <w:pStyle w:val="TableParagraph"/>
              <w:spacing w:line="151" w:lineRule="exact"/>
              <w:ind w:left="22"/>
              <w:rPr>
                <w:rFonts w:ascii="Calibri"/>
                <w:sz w:val="13"/>
              </w:rPr>
            </w:pPr>
            <w:r>
              <w:rPr>
                <w:rFonts w:ascii="Calibri"/>
                <w:w w:val="98"/>
                <w:sz w:val="13"/>
              </w:rPr>
              <w:t>1</w:t>
            </w:r>
          </w:p>
        </w:tc>
      </w:tr>
      <w:tr>
        <w:trPr>
          <w:trHeight w:val="164" w:hRule="exact"/>
        </w:trPr>
        <w:tc>
          <w:tcPr>
            <w:tcW w:w="669" w:type="dxa"/>
            <w:vMerge/>
            <w:tcBorders>
              <w:left w:val="single" w:sz="4" w:space="0" w:color="000000"/>
            </w:tcBorders>
          </w:tcPr>
          <w:p>
            <w:pPr/>
          </w:p>
        </w:tc>
        <w:tc>
          <w:tcPr>
            <w:tcW w:w="1828" w:type="dxa"/>
          </w:tcPr>
          <w:p>
            <w:pPr/>
          </w:p>
        </w:tc>
        <w:tc>
          <w:tcPr>
            <w:tcW w:w="2280" w:type="dxa"/>
          </w:tcPr>
          <w:p>
            <w:pPr/>
          </w:p>
        </w:tc>
        <w:tc>
          <w:tcPr>
            <w:tcW w:w="1788" w:type="dxa"/>
          </w:tcPr>
          <w:p>
            <w:pPr>
              <w:pStyle w:val="TableParagraph"/>
              <w:spacing w:line="152" w:lineRule="exact"/>
              <w:ind w:left="908" w:right="149"/>
              <w:rPr>
                <w:rFonts w:ascii="Calibri"/>
                <w:sz w:val="13"/>
              </w:rPr>
            </w:pPr>
            <w:r>
              <w:rPr>
                <w:rFonts w:ascii="Calibri"/>
                <w:sz w:val="13"/>
              </w:rPr>
              <w:t>Subtotal</w:t>
            </w:r>
          </w:p>
        </w:tc>
        <w:tc>
          <w:tcPr>
            <w:tcW w:w="813" w:type="dxa"/>
          </w:tcPr>
          <w:p>
            <w:pPr>
              <w:pStyle w:val="TableParagraph"/>
              <w:tabs>
                <w:tab w:pos="440" w:val="left" w:leader="none"/>
                <w:tab w:pos="878" w:val="left" w:leader="none"/>
              </w:tabs>
              <w:spacing w:line="152" w:lineRule="exact"/>
              <w:ind w:left="174" w:right="-66"/>
              <w:rPr>
                <w:rFonts w:ascii="Calibri"/>
                <w:sz w:val="13"/>
              </w:rPr>
            </w:pPr>
            <w:r>
              <w:rPr>
                <w:rFonts w:ascii="Times New Roman"/>
                <w:w w:val="98"/>
                <w:sz w:val="13"/>
                <w:shd w:fill="F79646" w:color="auto" w:val="clear"/>
              </w:rPr>
              <w:t> </w:t>
            </w:r>
            <w:r>
              <w:rPr>
                <w:rFonts w:ascii="Times New Roman"/>
                <w:sz w:val="13"/>
                <w:shd w:fill="F79646" w:color="auto" w:val="clear"/>
              </w:rPr>
              <w:tab/>
            </w:r>
            <w:r>
              <w:rPr>
                <w:rFonts w:ascii="Calibri"/>
                <w:sz w:val="13"/>
                <w:shd w:fill="F79646" w:color="auto" w:val="clear"/>
              </w:rPr>
              <w:t>2.6</w:t>
              <w:tab/>
            </w:r>
          </w:p>
        </w:tc>
        <w:tc>
          <w:tcPr>
            <w:tcW w:w="749" w:type="dxa"/>
          </w:tcPr>
          <w:p>
            <w:pPr>
              <w:pStyle w:val="TableParagraph"/>
              <w:spacing w:line="152" w:lineRule="exact"/>
              <w:ind w:left="89" w:right="32"/>
              <w:rPr>
                <w:rFonts w:ascii="Calibri"/>
                <w:sz w:val="13"/>
              </w:rPr>
            </w:pPr>
            <w:r>
              <w:rPr>
                <w:rFonts w:ascii="Calibri"/>
                <w:sz w:val="13"/>
              </w:rPr>
              <w:t>3.6</w:t>
            </w:r>
          </w:p>
        </w:tc>
        <w:tc>
          <w:tcPr>
            <w:tcW w:w="694" w:type="dxa"/>
            <w:tcBorders>
              <w:right w:val="single" w:sz="9" w:space="0" w:color="000000"/>
            </w:tcBorders>
            <w:shd w:val="clear" w:color="auto" w:fill="67ED4D"/>
          </w:tcPr>
          <w:p>
            <w:pPr>
              <w:pStyle w:val="TableParagraph"/>
              <w:spacing w:line="151" w:lineRule="exact"/>
              <w:ind w:left="22"/>
              <w:rPr>
                <w:rFonts w:ascii="Calibri"/>
                <w:sz w:val="13"/>
              </w:rPr>
            </w:pPr>
            <w:r>
              <w:rPr>
                <w:rFonts w:ascii="Calibri"/>
                <w:w w:val="98"/>
                <w:sz w:val="13"/>
              </w:rPr>
              <w:t>4</w:t>
            </w:r>
          </w:p>
        </w:tc>
      </w:tr>
      <w:tr>
        <w:trPr>
          <w:trHeight w:val="149" w:hRule="exact"/>
        </w:trPr>
        <w:tc>
          <w:tcPr>
            <w:tcW w:w="8821" w:type="dxa"/>
            <w:gridSpan w:val="7"/>
            <w:tcBorders>
              <w:left w:val="single" w:sz="4" w:space="0" w:color="000000"/>
              <w:right w:val="single" w:sz="9" w:space="0" w:color="000000"/>
            </w:tcBorders>
          </w:tcPr>
          <w:p>
            <w:pPr/>
          </w:p>
        </w:tc>
      </w:tr>
      <w:tr>
        <w:trPr>
          <w:trHeight w:val="165" w:hRule="exact"/>
        </w:trPr>
        <w:tc>
          <w:tcPr>
            <w:tcW w:w="669" w:type="dxa"/>
            <w:tcBorders>
              <w:left w:val="single" w:sz="4" w:space="0" w:color="000000"/>
            </w:tcBorders>
          </w:tcPr>
          <w:p>
            <w:pPr/>
          </w:p>
        </w:tc>
        <w:tc>
          <w:tcPr>
            <w:tcW w:w="1828" w:type="dxa"/>
          </w:tcPr>
          <w:p>
            <w:pPr>
              <w:pStyle w:val="TableParagraph"/>
              <w:spacing w:line="158" w:lineRule="exact"/>
              <w:ind w:left="51"/>
              <w:jc w:val="left"/>
              <w:rPr>
                <w:rFonts w:ascii="Calibri"/>
                <w:sz w:val="13"/>
              </w:rPr>
            </w:pPr>
            <w:r>
              <w:rPr>
                <w:rFonts w:ascii="Calibri"/>
                <w:sz w:val="13"/>
              </w:rPr>
              <w:t>Agua</w:t>
            </w:r>
          </w:p>
        </w:tc>
        <w:tc>
          <w:tcPr>
            <w:tcW w:w="2280" w:type="dxa"/>
          </w:tcPr>
          <w:p>
            <w:pPr>
              <w:pStyle w:val="TableParagraph"/>
              <w:spacing w:line="158" w:lineRule="exact"/>
              <w:ind w:left="357"/>
              <w:jc w:val="left"/>
              <w:rPr>
                <w:rFonts w:ascii="Calibri"/>
                <w:sz w:val="13"/>
              </w:rPr>
            </w:pPr>
            <w:r>
              <w:rPr>
                <w:rFonts w:ascii="Calibri"/>
                <w:sz w:val="13"/>
              </w:rPr>
              <w:t>Tipo de abastecimiento</w:t>
            </w:r>
          </w:p>
        </w:tc>
        <w:tc>
          <w:tcPr>
            <w:tcW w:w="1788" w:type="dxa"/>
          </w:tcPr>
          <w:p>
            <w:pPr>
              <w:pStyle w:val="TableParagraph"/>
              <w:tabs>
                <w:tab w:pos="1247" w:val="left" w:leader="none"/>
                <w:tab w:pos="1973" w:val="left" w:leader="none"/>
              </w:tabs>
              <w:spacing w:line="158" w:lineRule="exact"/>
              <w:ind w:left="575" w:right="-185"/>
              <w:rPr>
                <w:rFonts w:ascii="Calibri"/>
                <w:sz w:val="13"/>
              </w:rPr>
            </w:pPr>
            <w:r>
              <w:rPr>
                <w:rFonts w:ascii="Times New Roman"/>
                <w:w w:val="98"/>
                <w:sz w:val="13"/>
                <w:shd w:fill="BAF9F5" w:color="auto" w:val="clear"/>
              </w:rPr>
              <w:t> </w:t>
            </w:r>
            <w:r>
              <w:rPr>
                <w:rFonts w:ascii="Times New Roman"/>
                <w:sz w:val="13"/>
                <w:shd w:fill="BAF9F5" w:color="auto" w:val="clear"/>
              </w:rPr>
              <w:tab/>
            </w:r>
            <w:r>
              <w:rPr>
                <w:rFonts w:ascii="Calibri"/>
                <w:sz w:val="13"/>
                <w:shd w:fill="BAF9F5" w:color="auto" w:val="clear"/>
              </w:rPr>
              <w:t>1</w:t>
              <w:tab/>
            </w:r>
          </w:p>
        </w:tc>
        <w:tc>
          <w:tcPr>
            <w:tcW w:w="813" w:type="dxa"/>
          </w:tcPr>
          <w:p>
            <w:pPr/>
          </w:p>
        </w:tc>
        <w:tc>
          <w:tcPr>
            <w:tcW w:w="749" w:type="dxa"/>
          </w:tcPr>
          <w:p>
            <w:pPr>
              <w:pStyle w:val="TableParagraph"/>
              <w:spacing w:line="158" w:lineRule="exact"/>
              <w:ind w:left="89" w:right="32"/>
              <w:rPr>
                <w:rFonts w:ascii="Calibri"/>
                <w:sz w:val="13"/>
              </w:rPr>
            </w:pPr>
            <w:r>
              <w:rPr>
                <w:rFonts w:ascii="Calibri"/>
                <w:sz w:val="13"/>
              </w:rPr>
              <w:t>0.7</w:t>
            </w:r>
          </w:p>
        </w:tc>
        <w:tc>
          <w:tcPr>
            <w:tcW w:w="694" w:type="dxa"/>
            <w:tcBorders>
              <w:right w:val="single" w:sz="9" w:space="0" w:color="000000"/>
            </w:tcBorders>
            <w:shd w:val="clear" w:color="auto" w:fill="67ED4D"/>
          </w:tcPr>
          <w:p>
            <w:pPr>
              <w:pStyle w:val="TableParagraph"/>
              <w:spacing w:line="158" w:lineRule="exact"/>
              <w:ind w:left="22"/>
              <w:rPr>
                <w:rFonts w:ascii="Calibri"/>
                <w:sz w:val="13"/>
              </w:rPr>
            </w:pPr>
            <w:r>
              <w:rPr>
                <w:rFonts w:ascii="Calibri"/>
                <w:w w:val="98"/>
                <w:sz w:val="13"/>
              </w:rPr>
              <w:t>1</w:t>
            </w:r>
          </w:p>
        </w:tc>
      </w:tr>
      <w:tr>
        <w:trPr>
          <w:trHeight w:val="166" w:hRule="exact"/>
        </w:trPr>
        <w:tc>
          <w:tcPr>
            <w:tcW w:w="669" w:type="dxa"/>
            <w:tcBorders>
              <w:left w:val="single" w:sz="4" w:space="0" w:color="000000"/>
            </w:tcBorders>
          </w:tcPr>
          <w:p>
            <w:pPr/>
          </w:p>
        </w:tc>
        <w:tc>
          <w:tcPr>
            <w:tcW w:w="1828" w:type="dxa"/>
          </w:tcPr>
          <w:p>
            <w:pPr/>
          </w:p>
        </w:tc>
        <w:tc>
          <w:tcPr>
            <w:tcW w:w="2280" w:type="dxa"/>
          </w:tcPr>
          <w:p>
            <w:pPr/>
          </w:p>
        </w:tc>
        <w:tc>
          <w:tcPr>
            <w:tcW w:w="1788" w:type="dxa"/>
          </w:tcPr>
          <w:p>
            <w:pPr>
              <w:pStyle w:val="TableParagraph"/>
              <w:spacing w:line="152" w:lineRule="exact"/>
              <w:ind w:left="908" w:right="149"/>
              <w:rPr>
                <w:rFonts w:ascii="Calibri"/>
                <w:sz w:val="13"/>
              </w:rPr>
            </w:pPr>
            <w:r>
              <w:rPr>
                <w:rFonts w:ascii="Calibri"/>
                <w:sz w:val="13"/>
              </w:rPr>
              <w:t>Subtotal</w:t>
            </w:r>
          </w:p>
        </w:tc>
        <w:tc>
          <w:tcPr>
            <w:tcW w:w="813" w:type="dxa"/>
          </w:tcPr>
          <w:p>
            <w:pPr>
              <w:pStyle w:val="TableParagraph"/>
              <w:tabs>
                <w:tab w:pos="494" w:val="left" w:leader="none"/>
                <w:tab w:pos="878" w:val="left" w:leader="none"/>
              </w:tabs>
              <w:spacing w:line="152" w:lineRule="exact"/>
              <w:ind w:left="174" w:right="-66"/>
              <w:rPr>
                <w:rFonts w:ascii="Calibri"/>
                <w:sz w:val="13"/>
              </w:rPr>
            </w:pPr>
            <w:r>
              <w:rPr>
                <w:rFonts w:ascii="Times New Roman"/>
                <w:w w:val="98"/>
                <w:sz w:val="13"/>
                <w:shd w:fill="F79646" w:color="auto" w:val="clear"/>
              </w:rPr>
              <w:t> </w:t>
            </w:r>
            <w:r>
              <w:rPr>
                <w:rFonts w:ascii="Times New Roman"/>
                <w:sz w:val="13"/>
                <w:shd w:fill="F79646" w:color="auto" w:val="clear"/>
              </w:rPr>
              <w:tab/>
            </w:r>
            <w:r>
              <w:rPr>
                <w:rFonts w:ascii="Calibri"/>
                <w:sz w:val="13"/>
                <w:shd w:fill="F79646" w:color="auto" w:val="clear"/>
              </w:rPr>
              <w:t>1</w:t>
              <w:tab/>
            </w:r>
          </w:p>
        </w:tc>
        <w:tc>
          <w:tcPr>
            <w:tcW w:w="749" w:type="dxa"/>
          </w:tcPr>
          <w:p>
            <w:pPr>
              <w:pStyle w:val="TableParagraph"/>
              <w:spacing w:line="152" w:lineRule="exact"/>
              <w:ind w:left="89" w:right="32"/>
              <w:rPr>
                <w:rFonts w:ascii="Calibri"/>
                <w:sz w:val="13"/>
              </w:rPr>
            </w:pPr>
            <w:r>
              <w:rPr>
                <w:rFonts w:ascii="Calibri"/>
                <w:sz w:val="13"/>
              </w:rPr>
              <w:t>0.7</w:t>
            </w:r>
          </w:p>
        </w:tc>
        <w:tc>
          <w:tcPr>
            <w:tcW w:w="694" w:type="dxa"/>
            <w:tcBorders>
              <w:right w:val="single" w:sz="9" w:space="0" w:color="000000"/>
            </w:tcBorders>
            <w:shd w:val="clear" w:color="auto" w:fill="67ED4D"/>
          </w:tcPr>
          <w:p>
            <w:pPr>
              <w:pStyle w:val="TableParagraph"/>
              <w:spacing w:line="152" w:lineRule="exact"/>
              <w:ind w:left="22"/>
              <w:rPr>
                <w:rFonts w:ascii="Calibri"/>
                <w:sz w:val="13"/>
              </w:rPr>
            </w:pPr>
            <w:r>
              <w:rPr>
                <w:rFonts w:ascii="Calibri"/>
                <w:w w:val="98"/>
                <w:sz w:val="13"/>
              </w:rPr>
              <w:t>1</w:t>
            </w:r>
          </w:p>
        </w:tc>
      </w:tr>
      <w:tr>
        <w:trPr>
          <w:trHeight w:val="149" w:hRule="exact"/>
        </w:trPr>
        <w:tc>
          <w:tcPr>
            <w:tcW w:w="8821" w:type="dxa"/>
            <w:gridSpan w:val="7"/>
            <w:tcBorders>
              <w:left w:val="single" w:sz="4" w:space="0" w:color="000000"/>
              <w:right w:val="single" w:sz="9" w:space="0" w:color="000000"/>
            </w:tcBorders>
          </w:tcPr>
          <w:p>
            <w:pPr/>
          </w:p>
        </w:tc>
      </w:tr>
      <w:tr>
        <w:trPr>
          <w:trHeight w:val="167" w:hRule="exact"/>
        </w:trPr>
        <w:tc>
          <w:tcPr>
            <w:tcW w:w="669" w:type="dxa"/>
            <w:tcBorders>
              <w:left w:val="single" w:sz="4" w:space="0" w:color="000000"/>
            </w:tcBorders>
          </w:tcPr>
          <w:p>
            <w:pPr/>
          </w:p>
        </w:tc>
        <w:tc>
          <w:tcPr>
            <w:tcW w:w="1828" w:type="dxa"/>
          </w:tcPr>
          <w:p>
            <w:pPr>
              <w:pStyle w:val="TableParagraph"/>
              <w:spacing w:line="158" w:lineRule="exact"/>
              <w:ind w:left="51"/>
              <w:jc w:val="left"/>
              <w:rPr>
                <w:rFonts w:ascii="Calibri"/>
                <w:sz w:val="13"/>
              </w:rPr>
            </w:pPr>
            <w:r>
              <w:rPr>
                <w:rFonts w:ascii="Calibri"/>
                <w:sz w:val="13"/>
              </w:rPr>
              <w:t>Infraestructura</w:t>
            </w:r>
          </w:p>
        </w:tc>
        <w:tc>
          <w:tcPr>
            <w:tcW w:w="2280" w:type="dxa"/>
          </w:tcPr>
          <w:p>
            <w:pPr>
              <w:pStyle w:val="TableParagraph"/>
              <w:spacing w:line="158" w:lineRule="exact"/>
              <w:ind w:left="357"/>
              <w:jc w:val="left"/>
              <w:rPr>
                <w:rFonts w:ascii="Calibri"/>
                <w:sz w:val="13"/>
              </w:rPr>
            </w:pPr>
            <w:r>
              <w:rPr>
                <w:rFonts w:ascii="Calibri"/>
                <w:sz w:val="13"/>
              </w:rPr>
              <w:t>Agua potable</w:t>
            </w:r>
          </w:p>
        </w:tc>
        <w:tc>
          <w:tcPr>
            <w:tcW w:w="1788" w:type="dxa"/>
          </w:tcPr>
          <w:p>
            <w:pPr>
              <w:pStyle w:val="TableParagraph"/>
              <w:spacing w:line="158" w:lineRule="exact"/>
              <w:ind w:left="771"/>
              <w:rPr>
                <w:rFonts w:ascii="Calibri"/>
                <w:sz w:val="13"/>
              </w:rPr>
            </w:pPr>
            <w:r>
              <w:rPr>
                <w:rFonts w:ascii="Calibri"/>
                <w:w w:val="98"/>
                <w:sz w:val="13"/>
              </w:rPr>
              <w:t>0</w:t>
            </w:r>
          </w:p>
        </w:tc>
        <w:tc>
          <w:tcPr>
            <w:tcW w:w="813" w:type="dxa"/>
          </w:tcPr>
          <w:p>
            <w:pPr/>
          </w:p>
        </w:tc>
        <w:tc>
          <w:tcPr>
            <w:tcW w:w="749" w:type="dxa"/>
          </w:tcPr>
          <w:p>
            <w:pPr>
              <w:pStyle w:val="TableParagraph"/>
              <w:spacing w:line="158" w:lineRule="exact"/>
              <w:ind w:left="89" w:right="32"/>
              <w:rPr>
                <w:rFonts w:ascii="Calibri"/>
                <w:sz w:val="13"/>
              </w:rPr>
            </w:pPr>
            <w:r>
              <w:rPr>
                <w:rFonts w:ascii="Calibri"/>
                <w:sz w:val="13"/>
              </w:rPr>
              <w:t>0.5</w:t>
            </w:r>
          </w:p>
        </w:tc>
        <w:tc>
          <w:tcPr>
            <w:tcW w:w="694" w:type="dxa"/>
            <w:tcBorders>
              <w:right w:val="single" w:sz="9" w:space="0" w:color="000000"/>
            </w:tcBorders>
            <w:shd w:val="clear" w:color="auto" w:fill="67ED4D"/>
          </w:tcPr>
          <w:p>
            <w:pPr>
              <w:pStyle w:val="TableParagraph"/>
              <w:spacing w:line="158" w:lineRule="exact"/>
              <w:ind w:left="22"/>
              <w:rPr>
                <w:rFonts w:ascii="Calibri"/>
                <w:sz w:val="13"/>
              </w:rPr>
            </w:pPr>
            <w:r>
              <w:rPr>
                <w:rFonts w:ascii="Calibri"/>
                <w:w w:val="98"/>
                <w:sz w:val="13"/>
              </w:rPr>
              <w:t>1</w:t>
            </w:r>
          </w:p>
        </w:tc>
      </w:tr>
      <w:tr>
        <w:trPr>
          <w:trHeight w:val="160" w:hRule="exact"/>
        </w:trPr>
        <w:tc>
          <w:tcPr>
            <w:tcW w:w="669" w:type="dxa"/>
            <w:tcBorders>
              <w:left w:val="single" w:sz="4" w:space="0" w:color="000000"/>
            </w:tcBorders>
          </w:tcPr>
          <w:p>
            <w:pPr/>
          </w:p>
        </w:tc>
        <w:tc>
          <w:tcPr>
            <w:tcW w:w="1828" w:type="dxa"/>
          </w:tcPr>
          <w:p>
            <w:pPr/>
          </w:p>
        </w:tc>
        <w:tc>
          <w:tcPr>
            <w:tcW w:w="2280" w:type="dxa"/>
          </w:tcPr>
          <w:p>
            <w:pPr>
              <w:pStyle w:val="TableParagraph"/>
              <w:spacing w:line="151" w:lineRule="exact"/>
              <w:ind w:left="357"/>
              <w:jc w:val="left"/>
              <w:rPr>
                <w:rFonts w:ascii="Calibri" w:hAnsi="Calibri"/>
                <w:sz w:val="13"/>
              </w:rPr>
            </w:pPr>
            <w:r>
              <w:rPr>
                <w:rFonts w:ascii="Calibri" w:hAnsi="Calibri"/>
                <w:sz w:val="13"/>
              </w:rPr>
              <w:t>Energía eléctrica</w:t>
            </w:r>
          </w:p>
        </w:tc>
        <w:tc>
          <w:tcPr>
            <w:tcW w:w="1788" w:type="dxa"/>
          </w:tcPr>
          <w:p>
            <w:pPr>
              <w:pStyle w:val="TableParagraph"/>
              <w:spacing w:line="151" w:lineRule="exact"/>
              <w:ind w:left="910" w:right="149"/>
              <w:rPr>
                <w:rFonts w:ascii="Calibri"/>
                <w:sz w:val="13"/>
              </w:rPr>
            </w:pPr>
            <w:r>
              <w:rPr>
                <w:rFonts w:ascii="Calibri"/>
                <w:sz w:val="13"/>
              </w:rPr>
              <w:t>0.5</w:t>
            </w:r>
          </w:p>
        </w:tc>
        <w:tc>
          <w:tcPr>
            <w:tcW w:w="813" w:type="dxa"/>
          </w:tcPr>
          <w:p>
            <w:pPr/>
          </w:p>
        </w:tc>
        <w:tc>
          <w:tcPr>
            <w:tcW w:w="749" w:type="dxa"/>
          </w:tcPr>
          <w:p>
            <w:pPr>
              <w:pStyle w:val="TableParagraph"/>
              <w:spacing w:line="151" w:lineRule="exact"/>
              <w:ind w:left="89" w:right="32"/>
              <w:rPr>
                <w:rFonts w:ascii="Calibri"/>
                <w:sz w:val="13"/>
              </w:rPr>
            </w:pPr>
            <w:r>
              <w:rPr>
                <w:rFonts w:ascii="Calibri"/>
                <w:sz w:val="13"/>
              </w:rPr>
              <w:t>0.5</w:t>
            </w:r>
          </w:p>
        </w:tc>
        <w:tc>
          <w:tcPr>
            <w:tcW w:w="694" w:type="dxa"/>
            <w:tcBorders>
              <w:right w:val="single" w:sz="9" w:space="0" w:color="000000"/>
            </w:tcBorders>
            <w:shd w:val="clear" w:color="auto" w:fill="67ED4D"/>
          </w:tcPr>
          <w:p>
            <w:pPr>
              <w:pStyle w:val="TableParagraph"/>
              <w:spacing w:line="151" w:lineRule="exact"/>
              <w:ind w:left="22"/>
              <w:rPr>
                <w:rFonts w:ascii="Calibri"/>
                <w:sz w:val="13"/>
              </w:rPr>
            </w:pPr>
            <w:r>
              <w:rPr>
                <w:rFonts w:ascii="Calibri"/>
                <w:w w:val="98"/>
                <w:sz w:val="13"/>
              </w:rPr>
              <w:t>1</w:t>
            </w:r>
          </w:p>
        </w:tc>
      </w:tr>
      <w:tr>
        <w:trPr>
          <w:trHeight w:val="160" w:hRule="exact"/>
        </w:trPr>
        <w:tc>
          <w:tcPr>
            <w:tcW w:w="669" w:type="dxa"/>
            <w:tcBorders>
              <w:left w:val="single" w:sz="4" w:space="0" w:color="000000"/>
            </w:tcBorders>
          </w:tcPr>
          <w:p>
            <w:pPr/>
          </w:p>
        </w:tc>
        <w:tc>
          <w:tcPr>
            <w:tcW w:w="1828" w:type="dxa"/>
          </w:tcPr>
          <w:p>
            <w:pPr/>
          </w:p>
        </w:tc>
        <w:tc>
          <w:tcPr>
            <w:tcW w:w="2280" w:type="dxa"/>
          </w:tcPr>
          <w:p>
            <w:pPr>
              <w:pStyle w:val="TableParagraph"/>
              <w:spacing w:line="151" w:lineRule="exact"/>
              <w:ind w:left="357"/>
              <w:jc w:val="left"/>
              <w:rPr>
                <w:rFonts w:ascii="Calibri"/>
                <w:sz w:val="13"/>
              </w:rPr>
            </w:pPr>
            <w:r>
              <w:rPr>
                <w:rFonts w:ascii="Calibri"/>
                <w:sz w:val="13"/>
              </w:rPr>
              <w:t>Drenaje sanitario</w:t>
            </w:r>
          </w:p>
        </w:tc>
        <w:tc>
          <w:tcPr>
            <w:tcW w:w="1788" w:type="dxa"/>
          </w:tcPr>
          <w:p>
            <w:pPr>
              <w:pStyle w:val="TableParagraph"/>
              <w:spacing w:line="151" w:lineRule="exact"/>
              <w:ind w:left="771"/>
              <w:rPr>
                <w:rFonts w:ascii="Calibri"/>
                <w:sz w:val="13"/>
              </w:rPr>
            </w:pPr>
            <w:r>
              <w:rPr>
                <w:rFonts w:ascii="Calibri"/>
                <w:w w:val="98"/>
                <w:sz w:val="13"/>
              </w:rPr>
              <w:t>0</w:t>
            </w:r>
          </w:p>
        </w:tc>
        <w:tc>
          <w:tcPr>
            <w:tcW w:w="813" w:type="dxa"/>
          </w:tcPr>
          <w:p>
            <w:pPr/>
          </w:p>
        </w:tc>
        <w:tc>
          <w:tcPr>
            <w:tcW w:w="749" w:type="dxa"/>
          </w:tcPr>
          <w:p>
            <w:pPr>
              <w:pStyle w:val="TableParagraph"/>
              <w:spacing w:line="151" w:lineRule="exact"/>
              <w:ind w:left="89" w:right="32"/>
              <w:rPr>
                <w:rFonts w:ascii="Calibri"/>
                <w:sz w:val="13"/>
              </w:rPr>
            </w:pPr>
            <w:r>
              <w:rPr>
                <w:rFonts w:ascii="Calibri"/>
                <w:sz w:val="13"/>
              </w:rPr>
              <w:t>0.5</w:t>
            </w:r>
          </w:p>
        </w:tc>
        <w:tc>
          <w:tcPr>
            <w:tcW w:w="694" w:type="dxa"/>
            <w:tcBorders>
              <w:right w:val="single" w:sz="9" w:space="0" w:color="000000"/>
            </w:tcBorders>
            <w:shd w:val="clear" w:color="auto" w:fill="67ED4D"/>
          </w:tcPr>
          <w:p>
            <w:pPr>
              <w:pStyle w:val="TableParagraph"/>
              <w:spacing w:line="151" w:lineRule="exact"/>
              <w:ind w:left="22"/>
              <w:rPr>
                <w:rFonts w:ascii="Calibri"/>
                <w:sz w:val="13"/>
              </w:rPr>
            </w:pPr>
            <w:r>
              <w:rPr>
                <w:rFonts w:ascii="Calibri"/>
                <w:w w:val="98"/>
                <w:sz w:val="13"/>
              </w:rPr>
              <w:t>1</w:t>
            </w:r>
          </w:p>
        </w:tc>
      </w:tr>
      <w:tr>
        <w:trPr>
          <w:trHeight w:val="160" w:hRule="exact"/>
        </w:trPr>
        <w:tc>
          <w:tcPr>
            <w:tcW w:w="669" w:type="dxa"/>
            <w:tcBorders>
              <w:left w:val="single" w:sz="4" w:space="0" w:color="000000"/>
            </w:tcBorders>
          </w:tcPr>
          <w:p>
            <w:pPr/>
          </w:p>
        </w:tc>
        <w:tc>
          <w:tcPr>
            <w:tcW w:w="1828" w:type="dxa"/>
          </w:tcPr>
          <w:p>
            <w:pPr/>
          </w:p>
        </w:tc>
        <w:tc>
          <w:tcPr>
            <w:tcW w:w="2280" w:type="dxa"/>
          </w:tcPr>
          <w:p>
            <w:pPr>
              <w:pStyle w:val="TableParagraph"/>
              <w:spacing w:line="151" w:lineRule="exact"/>
              <w:ind w:left="357"/>
              <w:jc w:val="left"/>
              <w:rPr>
                <w:rFonts w:ascii="Calibri"/>
                <w:sz w:val="13"/>
              </w:rPr>
            </w:pPr>
            <w:r>
              <w:rPr>
                <w:rFonts w:ascii="Calibri"/>
                <w:sz w:val="13"/>
              </w:rPr>
              <w:t>Drenaje pluvial</w:t>
            </w:r>
          </w:p>
        </w:tc>
        <w:tc>
          <w:tcPr>
            <w:tcW w:w="1788" w:type="dxa"/>
          </w:tcPr>
          <w:p>
            <w:pPr>
              <w:pStyle w:val="TableParagraph"/>
              <w:spacing w:line="151" w:lineRule="exact"/>
              <w:ind w:left="771"/>
              <w:rPr>
                <w:rFonts w:ascii="Calibri"/>
                <w:sz w:val="13"/>
              </w:rPr>
            </w:pPr>
            <w:r>
              <w:rPr>
                <w:rFonts w:ascii="Calibri"/>
                <w:w w:val="98"/>
                <w:sz w:val="13"/>
              </w:rPr>
              <w:t>0</w:t>
            </w:r>
          </w:p>
        </w:tc>
        <w:tc>
          <w:tcPr>
            <w:tcW w:w="813" w:type="dxa"/>
          </w:tcPr>
          <w:p>
            <w:pPr/>
          </w:p>
        </w:tc>
        <w:tc>
          <w:tcPr>
            <w:tcW w:w="749" w:type="dxa"/>
          </w:tcPr>
          <w:p>
            <w:pPr>
              <w:pStyle w:val="TableParagraph"/>
              <w:spacing w:line="151" w:lineRule="exact"/>
              <w:ind w:left="89" w:right="32"/>
              <w:rPr>
                <w:rFonts w:ascii="Calibri"/>
                <w:sz w:val="13"/>
              </w:rPr>
            </w:pPr>
            <w:r>
              <w:rPr>
                <w:rFonts w:ascii="Calibri"/>
                <w:sz w:val="13"/>
              </w:rPr>
              <w:t>0.5</w:t>
            </w:r>
          </w:p>
        </w:tc>
        <w:tc>
          <w:tcPr>
            <w:tcW w:w="694" w:type="dxa"/>
            <w:tcBorders>
              <w:right w:val="single" w:sz="9" w:space="0" w:color="000000"/>
            </w:tcBorders>
            <w:shd w:val="clear" w:color="auto" w:fill="67ED4D"/>
          </w:tcPr>
          <w:p>
            <w:pPr>
              <w:pStyle w:val="TableParagraph"/>
              <w:spacing w:line="151" w:lineRule="exact"/>
              <w:ind w:left="22"/>
              <w:rPr>
                <w:rFonts w:ascii="Calibri"/>
                <w:sz w:val="13"/>
              </w:rPr>
            </w:pPr>
            <w:r>
              <w:rPr>
                <w:rFonts w:ascii="Calibri"/>
                <w:w w:val="98"/>
                <w:sz w:val="13"/>
              </w:rPr>
              <w:t>1</w:t>
            </w:r>
          </w:p>
        </w:tc>
      </w:tr>
      <w:tr>
        <w:trPr>
          <w:trHeight w:val="160" w:hRule="exact"/>
        </w:trPr>
        <w:tc>
          <w:tcPr>
            <w:tcW w:w="669" w:type="dxa"/>
            <w:tcBorders>
              <w:left w:val="single" w:sz="4" w:space="0" w:color="000000"/>
            </w:tcBorders>
          </w:tcPr>
          <w:p>
            <w:pPr/>
          </w:p>
        </w:tc>
        <w:tc>
          <w:tcPr>
            <w:tcW w:w="1828" w:type="dxa"/>
          </w:tcPr>
          <w:p>
            <w:pPr/>
          </w:p>
        </w:tc>
        <w:tc>
          <w:tcPr>
            <w:tcW w:w="2280" w:type="dxa"/>
          </w:tcPr>
          <w:p>
            <w:pPr>
              <w:pStyle w:val="TableParagraph"/>
              <w:spacing w:line="151" w:lineRule="exact"/>
              <w:ind w:left="357"/>
              <w:jc w:val="left"/>
              <w:rPr>
                <w:rFonts w:ascii="Calibri"/>
                <w:sz w:val="13"/>
              </w:rPr>
            </w:pPr>
            <w:r>
              <w:rPr>
                <w:rFonts w:ascii="Calibri"/>
                <w:sz w:val="13"/>
              </w:rPr>
              <w:t>Guarniciones y banquetas</w:t>
            </w:r>
          </w:p>
        </w:tc>
        <w:tc>
          <w:tcPr>
            <w:tcW w:w="1788" w:type="dxa"/>
          </w:tcPr>
          <w:p>
            <w:pPr>
              <w:pStyle w:val="TableParagraph"/>
              <w:spacing w:line="151" w:lineRule="exact"/>
              <w:ind w:left="910" w:right="149"/>
              <w:rPr>
                <w:rFonts w:ascii="Calibri"/>
                <w:sz w:val="13"/>
              </w:rPr>
            </w:pPr>
            <w:r>
              <w:rPr>
                <w:rFonts w:ascii="Calibri"/>
                <w:sz w:val="13"/>
              </w:rPr>
              <w:t>0.5</w:t>
            </w:r>
          </w:p>
        </w:tc>
        <w:tc>
          <w:tcPr>
            <w:tcW w:w="813" w:type="dxa"/>
          </w:tcPr>
          <w:p>
            <w:pPr/>
          </w:p>
        </w:tc>
        <w:tc>
          <w:tcPr>
            <w:tcW w:w="749" w:type="dxa"/>
          </w:tcPr>
          <w:p>
            <w:pPr>
              <w:pStyle w:val="TableParagraph"/>
              <w:spacing w:line="151" w:lineRule="exact"/>
              <w:ind w:left="89" w:right="32"/>
              <w:rPr>
                <w:rFonts w:ascii="Calibri"/>
                <w:sz w:val="13"/>
              </w:rPr>
            </w:pPr>
            <w:r>
              <w:rPr>
                <w:rFonts w:ascii="Calibri"/>
                <w:sz w:val="13"/>
              </w:rPr>
              <w:t>0.5</w:t>
            </w:r>
          </w:p>
        </w:tc>
        <w:tc>
          <w:tcPr>
            <w:tcW w:w="694" w:type="dxa"/>
            <w:tcBorders>
              <w:right w:val="single" w:sz="9" w:space="0" w:color="000000"/>
            </w:tcBorders>
            <w:shd w:val="clear" w:color="auto" w:fill="67ED4D"/>
          </w:tcPr>
          <w:p>
            <w:pPr>
              <w:pStyle w:val="TableParagraph"/>
              <w:spacing w:line="151" w:lineRule="exact"/>
              <w:ind w:left="22"/>
              <w:rPr>
                <w:rFonts w:ascii="Calibri"/>
                <w:sz w:val="13"/>
              </w:rPr>
            </w:pPr>
            <w:r>
              <w:rPr>
                <w:rFonts w:ascii="Calibri"/>
                <w:w w:val="98"/>
                <w:sz w:val="13"/>
              </w:rPr>
              <w:t>1</w:t>
            </w:r>
          </w:p>
        </w:tc>
      </w:tr>
      <w:tr>
        <w:trPr>
          <w:trHeight w:val="160" w:hRule="exact"/>
        </w:trPr>
        <w:tc>
          <w:tcPr>
            <w:tcW w:w="669" w:type="dxa"/>
            <w:tcBorders>
              <w:left w:val="single" w:sz="4" w:space="0" w:color="000000"/>
            </w:tcBorders>
          </w:tcPr>
          <w:p>
            <w:pPr/>
          </w:p>
        </w:tc>
        <w:tc>
          <w:tcPr>
            <w:tcW w:w="1828" w:type="dxa"/>
          </w:tcPr>
          <w:p>
            <w:pPr/>
          </w:p>
        </w:tc>
        <w:tc>
          <w:tcPr>
            <w:tcW w:w="2280" w:type="dxa"/>
          </w:tcPr>
          <w:p>
            <w:pPr>
              <w:pStyle w:val="TableParagraph"/>
              <w:spacing w:line="151" w:lineRule="exact"/>
              <w:ind w:left="357"/>
              <w:jc w:val="left"/>
              <w:rPr>
                <w:rFonts w:ascii="Calibri"/>
                <w:sz w:val="13"/>
              </w:rPr>
            </w:pPr>
            <w:r>
              <w:rPr>
                <w:rFonts w:ascii="Calibri"/>
                <w:sz w:val="13"/>
              </w:rPr>
              <w:t>Vialidades y calles</w:t>
            </w:r>
          </w:p>
        </w:tc>
        <w:tc>
          <w:tcPr>
            <w:tcW w:w="1788" w:type="dxa"/>
          </w:tcPr>
          <w:p>
            <w:pPr>
              <w:pStyle w:val="TableParagraph"/>
              <w:spacing w:line="151" w:lineRule="exact"/>
              <w:ind w:left="910" w:right="149"/>
              <w:rPr>
                <w:rFonts w:ascii="Calibri"/>
                <w:sz w:val="13"/>
              </w:rPr>
            </w:pPr>
            <w:r>
              <w:rPr>
                <w:rFonts w:ascii="Calibri"/>
                <w:sz w:val="13"/>
              </w:rPr>
              <w:t>0.5</w:t>
            </w:r>
          </w:p>
        </w:tc>
        <w:tc>
          <w:tcPr>
            <w:tcW w:w="813" w:type="dxa"/>
          </w:tcPr>
          <w:p>
            <w:pPr/>
          </w:p>
        </w:tc>
        <w:tc>
          <w:tcPr>
            <w:tcW w:w="749" w:type="dxa"/>
          </w:tcPr>
          <w:p>
            <w:pPr>
              <w:pStyle w:val="TableParagraph"/>
              <w:spacing w:line="151" w:lineRule="exact"/>
              <w:ind w:left="89" w:right="32"/>
              <w:rPr>
                <w:rFonts w:ascii="Calibri"/>
                <w:sz w:val="13"/>
              </w:rPr>
            </w:pPr>
            <w:r>
              <w:rPr>
                <w:rFonts w:ascii="Calibri"/>
                <w:sz w:val="13"/>
              </w:rPr>
              <w:t>0.5</w:t>
            </w:r>
          </w:p>
        </w:tc>
        <w:tc>
          <w:tcPr>
            <w:tcW w:w="694" w:type="dxa"/>
            <w:tcBorders>
              <w:right w:val="single" w:sz="9" w:space="0" w:color="000000"/>
            </w:tcBorders>
            <w:shd w:val="clear" w:color="auto" w:fill="67ED4D"/>
          </w:tcPr>
          <w:p>
            <w:pPr>
              <w:pStyle w:val="TableParagraph"/>
              <w:spacing w:line="151" w:lineRule="exact"/>
              <w:ind w:left="22"/>
              <w:rPr>
                <w:rFonts w:ascii="Calibri"/>
                <w:sz w:val="13"/>
              </w:rPr>
            </w:pPr>
            <w:r>
              <w:rPr>
                <w:rFonts w:ascii="Calibri"/>
                <w:w w:val="98"/>
                <w:sz w:val="13"/>
              </w:rPr>
              <w:t>1</w:t>
            </w:r>
          </w:p>
        </w:tc>
      </w:tr>
      <w:tr>
        <w:trPr>
          <w:trHeight w:val="159" w:hRule="exact"/>
        </w:trPr>
        <w:tc>
          <w:tcPr>
            <w:tcW w:w="669" w:type="dxa"/>
            <w:tcBorders>
              <w:left w:val="single" w:sz="4" w:space="0" w:color="000000"/>
            </w:tcBorders>
          </w:tcPr>
          <w:p>
            <w:pPr/>
          </w:p>
        </w:tc>
        <w:tc>
          <w:tcPr>
            <w:tcW w:w="1828" w:type="dxa"/>
          </w:tcPr>
          <w:p>
            <w:pPr/>
          </w:p>
        </w:tc>
        <w:tc>
          <w:tcPr>
            <w:tcW w:w="2280" w:type="dxa"/>
          </w:tcPr>
          <w:p>
            <w:pPr>
              <w:pStyle w:val="TableParagraph"/>
              <w:spacing w:line="151" w:lineRule="exact"/>
              <w:ind w:left="357"/>
              <w:jc w:val="left"/>
              <w:rPr>
                <w:rFonts w:ascii="Calibri" w:hAnsi="Calibri"/>
                <w:sz w:val="13"/>
              </w:rPr>
            </w:pPr>
            <w:r>
              <w:rPr>
                <w:rFonts w:ascii="Calibri" w:hAnsi="Calibri"/>
                <w:sz w:val="13"/>
              </w:rPr>
              <w:t>Señalización</w:t>
            </w:r>
          </w:p>
        </w:tc>
        <w:tc>
          <w:tcPr>
            <w:tcW w:w="1788" w:type="dxa"/>
          </w:tcPr>
          <w:p>
            <w:pPr>
              <w:pStyle w:val="TableParagraph"/>
              <w:spacing w:line="151" w:lineRule="exact"/>
              <w:ind w:left="910" w:right="149"/>
              <w:rPr>
                <w:rFonts w:ascii="Calibri"/>
                <w:sz w:val="13"/>
              </w:rPr>
            </w:pPr>
            <w:r>
              <w:rPr>
                <w:rFonts w:ascii="Calibri"/>
                <w:sz w:val="13"/>
              </w:rPr>
              <w:t>0.5</w:t>
            </w:r>
          </w:p>
        </w:tc>
        <w:tc>
          <w:tcPr>
            <w:tcW w:w="813" w:type="dxa"/>
          </w:tcPr>
          <w:p>
            <w:pPr/>
          </w:p>
        </w:tc>
        <w:tc>
          <w:tcPr>
            <w:tcW w:w="749" w:type="dxa"/>
          </w:tcPr>
          <w:p>
            <w:pPr>
              <w:pStyle w:val="TableParagraph"/>
              <w:spacing w:line="151" w:lineRule="exact"/>
              <w:ind w:left="89" w:right="32"/>
              <w:rPr>
                <w:rFonts w:ascii="Calibri"/>
                <w:sz w:val="13"/>
              </w:rPr>
            </w:pPr>
            <w:r>
              <w:rPr>
                <w:rFonts w:ascii="Calibri"/>
                <w:sz w:val="13"/>
              </w:rPr>
              <w:t>0.5</w:t>
            </w:r>
          </w:p>
        </w:tc>
        <w:tc>
          <w:tcPr>
            <w:tcW w:w="694" w:type="dxa"/>
            <w:tcBorders>
              <w:right w:val="single" w:sz="9" w:space="0" w:color="000000"/>
            </w:tcBorders>
            <w:shd w:val="clear" w:color="auto" w:fill="67ED4D"/>
          </w:tcPr>
          <w:p>
            <w:pPr>
              <w:pStyle w:val="TableParagraph"/>
              <w:spacing w:line="151" w:lineRule="exact"/>
              <w:ind w:left="22"/>
              <w:rPr>
                <w:rFonts w:ascii="Calibri"/>
                <w:sz w:val="13"/>
              </w:rPr>
            </w:pPr>
            <w:r>
              <w:rPr>
                <w:rFonts w:ascii="Calibri"/>
                <w:w w:val="98"/>
                <w:sz w:val="13"/>
              </w:rPr>
              <w:t>1</w:t>
            </w:r>
          </w:p>
        </w:tc>
      </w:tr>
      <w:tr>
        <w:trPr>
          <w:trHeight w:val="165" w:hRule="exact"/>
        </w:trPr>
        <w:tc>
          <w:tcPr>
            <w:tcW w:w="669" w:type="dxa"/>
            <w:tcBorders>
              <w:left w:val="single" w:sz="4" w:space="0" w:color="000000"/>
            </w:tcBorders>
          </w:tcPr>
          <w:p>
            <w:pPr/>
          </w:p>
        </w:tc>
        <w:tc>
          <w:tcPr>
            <w:tcW w:w="1828" w:type="dxa"/>
          </w:tcPr>
          <w:p>
            <w:pPr/>
          </w:p>
        </w:tc>
        <w:tc>
          <w:tcPr>
            <w:tcW w:w="2280" w:type="dxa"/>
          </w:tcPr>
          <w:p>
            <w:pPr/>
          </w:p>
        </w:tc>
        <w:tc>
          <w:tcPr>
            <w:tcW w:w="1788" w:type="dxa"/>
          </w:tcPr>
          <w:p>
            <w:pPr>
              <w:pStyle w:val="TableParagraph"/>
              <w:spacing w:line="152" w:lineRule="exact"/>
              <w:ind w:left="908" w:right="149"/>
              <w:rPr>
                <w:rFonts w:ascii="Calibri"/>
                <w:sz w:val="13"/>
              </w:rPr>
            </w:pPr>
            <w:r>
              <w:rPr>
                <w:rFonts w:ascii="Calibri"/>
                <w:sz w:val="13"/>
              </w:rPr>
              <w:t>Subtotal</w:t>
            </w:r>
          </w:p>
        </w:tc>
        <w:tc>
          <w:tcPr>
            <w:tcW w:w="813" w:type="dxa"/>
          </w:tcPr>
          <w:p>
            <w:pPr>
              <w:pStyle w:val="TableParagraph"/>
              <w:tabs>
                <w:tab w:pos="494" w:val="left" w:leader="none"/>
                <w:tab w:pos="878" w:val="left" w:leader="none"/>
              </w:tabs>
              <w:spacing w:line="152" w:lineRule="exact"/>
              <w:ind w:left="174" w:right="-66"/>
              <w:rPr>
                <w:rFonts w:ascii="Calibri"/>
                <w:sz w:val="13"/>
              </w:rPr>
            </w:pPr>
            <w:r>
              <w:rPr>
                <w:rFonts w:ascii="Times New Roman"/>
                <w:w w:val="98"/>
                <w:sz w:val="13"/>
                <w:shd w:fill="F79646" w:color="auto" w:val="clear"/>
              </w:rPr>
              <w:t> </w:t>
            </w:r>
            <w:r>
              <w:rPr>
                <w:rFonts w:ascii="Times New Roman"/>
                <w:sz w:val="13"/>
                <w:shd w:fill="F79646" w:color="auto" w:val="clear"/>
              </w:rPr>
              <w:tab/>
            </w:r>
            <w:r>
              <w:rPr>
                <w:rFonts w:ascii="Calibri"/>
                <w:sz w:val="13"/>
                <w:shd w:fill="F79646" w:color="auto" w:val="clear"/>
              </w:rPr>
              <w:t>2</w:t>
              <w:tab/>
            </w:r>
          </w:p>
        </w:tc>
        <w:tc>
          <w:tcPr>
            <w:tcW w:w="749" w:type="dxa"/>
          </w:tcPr>
          <w:p>
            <w:pPr>
              <w:pStyle w:val="TableParagraph"/>
              <w:spacing w:line="152" w:lineRule="exact"/>
              <w:ind w:left="89" w:right="32"/>
              <w:rPr>
                <w:rFonts w:ascii="Calibri"/>
                <w:sz w:val="13"/>
              </w:rPr>
            </w:pPr>
            <w:r>
              <w:rPr>
                <w:rFonts w:ascii="Calibri"/>
                <w:sz w:val="13"/>
              </w:rPr>
              <w:t>3.5</w:t>
            </w:r>
          </w:p>
        </w:tc>
        <w:tc>
          <w:tcPr>
            <w:tcW w:w="694" w:type="dxa"/>
            <w:tcBorders>
              <w:right w:val="single" w:sz="9" w:space="0" w:color="000000"/>
            </w:tcBorders>
            <w:shd w:val="clear" w:color="auto" w:fill="67ED4D"/>
          </w:tcPr>
          <w:p>
            <w:pPr>
              <w:pStyle w:val="TableParagraph"/>
              <w:spacing w:line="152" w:lineRule="exact"/>
              <w:ind w:left="22"/>
              <w:rPr>
                <w:rFonts w:ascii="Calibri"/>
                <w:sz w:val="13"/>
              </w:rPr>
            </w:pPr>
            <w:r>
              <w:rPr>
                <w:rFonts w:ascii="Calibri"/>
                <w:w w:val="98"/>
                <w:sz w:val="13"/>
              </w:rPr>
              <w:t>7</w:t>
            </w:r>
          </w:p>
        </w:tc>
      </w:tr>
      <w:tr>
        <w:trPr>
          <w:trHeight w:val="149" w:hRule="exact"/>
        </w:trPr>
        <w:tc>
          <w:tcPr>
            <w:tcW w:w="8821" w:type="dxa"/>
            <w:gridSpan w:val="7"/>
            <w:tcBorders>
              <w:left w:val="single" w:sz="4" w:space="0" w:color="000000"/>
              <w:right w:val="single" w:sz="9" w:space="0" w:color="000000"/>
            </w:tcBorders>
          </w:tcPr>
          <w:p>
            <w:pPr/>
          </w:p>
        </w:tc>
      </w:tr>
      <w:tr>
        <w:trPr>
          <w:trHeight w:val="167" w:hRule="exact"/>
        </w:trPr>
        <w:tc>
          <w:tcPr>
            <w:tcW w:w="669" w:type="dxa"/>
            <w:vMerge w:val="restart"/>
            <w:tcBorders>
              <w:left w:val="single" w:sz="4" w:space="0" w:color="000000"/>
            </w:tcBorders>
          </w:tcPr>
          <w:p>
            <w:pPr>
              <w:pStyle w:val="TableParagraph"/>
              <w:spacing w:before="73"/>
              <w:ind w:left="74"/>
              <w:jc w:val="left"/>
              <w:rPr>
                <w:rFonts w:ascii="Calibri"/>
                <w:sz w:val="13"/>
              </w:rPr>
            </w:pPr>
            <w:r>
              <w:rPr>
                <w:rFonts w:ascii="Calibri"/>
                <w:sz w:val="13"/>
              </w:rPr>
              <w:t>Ambiental</w:t>
            </w:r>
          </w:p>
        </w:tc>
        <w:tc>
          <w:tcPr>
            <w:tcW w:w="1828" w:type="dxa"/>
            <w:vMerge w:val="restart"/>
          </w:tcPr>
          <w:p>
            <w:pPr>
              <w:pStyle w:val="TableParagraph"/>
              <w:spacing w:line="158" w:lineRule="exact"/>
              <w:ind w:left="51"/>
              <w:jc w:val="left"/>
              <w:rPr>
                <w:rFonts w:ascii="Calibri" w:hAnsi="Calibri"/>
                <w:sz w:val="13"/>
              </w:rPr>
            </w:pPr>
            <w:r>
              <w:rPr>
                <w:rFonts w:ascii="Calibri" w:hAnsi="Calibri"/>
                <w:sz w:val="13"/>
              </w:rPr>
              <w:t>Áreas verdes</w:t>
            </w:r>
          </w:p>
        </w:tc>
        <w:tc>
          <w:tcPr>
            <w:tcW w:w="2280" w:type="dxa"/>
            <w:vMerge w:val="restart"/>
          </w:tcPr>
          <w:p>
            <w:pPr>
              <w:pStyle w:val="TableParagraph"/>
              <w:ind w:left="357" w:right="1098"/>
              <w:jc w:val="left"/>
              <w:rPr>
                <w:rFonts w:ascii="Calibri" w:hAnsi="Calibri"/>
                <w:sz w:val="13"/>
              </w:rPr>
            </w:pPr>
            <w:r>
              <w:rPr>
                <w:rFonts w:ascii="Calibri" w:hAnsi="Calibri"/>
                <w:sz w:val="13"/>
              </w:rPr>
              <w:t>Superficie Índice OMS</w:t>
            </w:r>
          </w:p>
        </w:tc>
        <w:tc>
          <w:tcPr>
            <w:tcW w:w="1788" w:type="dxa"/>
            <w:vMerge w:val="restart"/>
          </w:tcPr>
          <w:p>
            <w:pPr>
              <w:pStyle w:val="TableParagraph"/>
              <w:spacing w:line="158" w:lineRule="exact"/>
              <w:ind w:right="473"/>
              <w:jc w:val="right"/>
              <w:rPr>
                <w:rFonts w:ascii="Calibri"/>
                <w:sz w:val="13"/>
              </w:rPr>
            </w:pPr>
            <w:r>
              <w:rPr>
                <w:rFonts w:ascii="Calibri"/>
                <w:w w:val="98"/>
                <w:sz w:val="13"/>
              </w:rPr>
              <w:t>1</w:t>
            </w:r>
          </w:p>
          <w:p>
            <w:pPr>
              <w:pStyle w:val="TableParagraph"/>
              <w:spacing w:before="1"/>
              <w:ind w:right="430"/>
              <w:jc w:val="right"/>
              <w:rPr>
                <w:rFonts w:ascii="Calibri"/>
                <w:sz w:val="13"/>
              </w:rPr>
            </w:pPr>
            <w:r>
              <w:rPr>
                <w:rFonts w:ascii="Calibri"/>
                <w:w w:val="95"/>
                <w:sz w:val="13"/>
              </w:rPr>
              <w:t>0.5</w:t>
            </w:r>
          </w:p>
        </w:tc>
        <w:tc>
          <w:tcPr>
            <w:tcW w:w="813" w:type="dxa"/>
            <w:vMerge w:val="restart"/>
          </w:tcPr>
          <w:p>
            <w:pPr/>
          </w:p>
        </w:tc>
        <w:tc>
          <w:tcPr>
            <w:tcW w:w="749" w:type="dxa"/>
            <w:vMerge w:val="restart"/>
          </w:tcPr>
          <w:p>
            <w:pPr>
              <w:pStyle w:val="TableParagraph"/>
              <w:spacing w:line="158" w:lineRule="exact"/>
              <w:ind w:left="66"/>
              <w:rPr>
                <w:rFonts w:ascii="Calibri"/>
                <w:sz w:val="13"/>
              </w:rPr>
            </w:pPr>
            <w:r>
              <w:rPr>
                <w:rFonts w:ascii="Calibri"/>
                <w:w w:val="98"/>
                <w:sz w:val="13"/>
              </w:rPr>
              <w:t>1</w:t>
            </w:r>
          </w:p>
          <w:p>
            <w:pPr>
              <w:pStyle w:val="TableParagraph"/>
              <w:spacing w:before="1"/>
              <w:ind w:left="89" w:right="32"/>
              <w:rPr>
                <w:rFonts w:ascii="Calibri"/>
                <w:sz w:val="13"/>
              </w:rPr>
            </w:pPr>
            <w:r>
              <w:rPr>
                <w:rFonts w:ascii="Calibri"/>
                <w:sz w:val="13"/>
              </w:rPr>
              <w:t>0.8</w:t>
            </w:r>
          </w:p>
        </w:tc>
        <w:tc>
          <w:tcPr>
            <w:tcW w:w="694" w:type="dxa"/>
            <w:tcBorders>
              <w:right w:val="single" w:sz="9" w:space="0" w:color="000000"/>
            </w:tcBorders>
            <w:shd w:val="clear" w:color="auto" w:fill="67ED4D"/>
          </w:tcPr>
          <w:p>
            <w:pPr>
              <w:pStyle w:val="TableParagraph"/>
              <w:spacing w:line="158" w:lineRule="exact"/>
              <w:ind w:left="22"/>
              <w:rPr>
                <w:rFonts w:ascii="Calibri"/>
                <w:sz w:val="13"/>
              </w:rPr>
            </w:pPr>
            <w:r>
              <w:rPr>
                <w:rFonts w:ascii="Calibri"/>
                <w:w w:val="98"/>
                <w:sz w:val="13"/>
              </w:rPr>
              <w:t>1</w:t>
            </w:r>
          </w:p>
        </w:tc>
      </w:tr>
      <w:tr>
        <w:trPr>
          <w:trHeight w:val="160" w:hRule="exact"/>
        </w:trPr>
        <w:tc>
          <w:tcPr>
            <w:tcW w:w="669" w:type="dxa"/>
            <w:vMerge/>
            <w:tcBorders>
              <w:left w:val="single" w:sz="4" w:space="0" w:color="000000"/>
            </w:tcBorders>
          </w:tcPr>
          <w:p>
            <w:pPr/>
          </w:p>
        </w:tc>
        <w:tc>
          <w:tcPr>
            <w:tcW w:w="1828" w:type="dxa"/>
            <w:vMerge/>
          </w:tcPr>
          <w:p>
            <w:pPr/>
          </w:p>
        </w:tc>
        <w:tc>
          <w:tcPr>
            <w:tcW w:w="2280" w:type="dxa"/>
            <w:vMerge/>
          </w:tcPr>
          <w:p>
            <w:pPr/>
          </w:p>
        </w:tc>
        <w:tc>
          <w:tcPr>
            <w:tcW w:w="1788" w:type="dxa"/>
            <w:vMerge/>
          </w:tcPr>
          <w:p>
            <w:pPr/>
          </w:p>
        </w:tc>
        <w:tc>
          <w:tcPr>
            <w:tcW w:w="813" w:type="dxa"/>
            <w:vMerge/>
          </w:tcPr>
          <w:p>
            <w:pPr/>
          </w:p>
        </w:tc>
        <w:tc>
          <w:tcPr>
            <w:tcW w:w="749" w:type="dxa"/>
            <w:vMerge/>
          </w:tcPr>
          <w:p>
            <w:pPr/>
          </w:p>
        </w:tc>
        <w:tc>
          <w:tcPr>
            <w:tcW w:w="694" w:type="dxa"/>
            <w:tcBorders>
              <w:right w:val="single" w:sz="9" w:space="0" w:color="000000"/>
            </w:tcBorders>
            <w:shd w:val="clear" w:color="auto" w:fill="67ED4D"/>
          </w:tcPr>
          <w:p>
            <w:pPr>
              <w:pStyle w:val="TableParagraph"/>
              <w:spacing w:line="151" w:lineRule="exact"/>
              <w:ind w:left="22"/>
              <w:rPr>
                <w:rFonts w:ascii="Calibri"/>
                <w:sz w:val="13"/>
              </w:rPr>
            </w:pPr>
            <w:r>
              <w:rPr>
                <w:rFonts w:ascii="Calibri"/>
                <w:w w:val="98"/>
                <w:sz w:val="13"/>
              </w:rPr>
              <w:t>1</w:t>
            </w:r>
          </w:p>
        </w:tc>
      </w:tr>
      <w:tr>
        <w:trPr>
          <w:trHeight w:val="160" w:hRule="exact"/>
        </w:trPr>
        <w:tc>
          <w:tcPr>
            <w:tcW w:w="669" w:type="dxa"/>
            <w:tcBorders>
              <w:left w:val="single" w:sz="4" w:space="0" w:color="000000"/>
            </w:tcBorders>
          </w:tcPr>
          <w:p>
            <w:pPr/>
          </w:p>
        </w:tc>
        <w:tc>
          <w:tcPr>
            <w:tcW w:w="1828" w:type="dxa"/>
          </w:tcPr>
          <w:p>
            <w:pPr/>
          </w:p>
        </w:tc>
        <w:tc>
          <w:tcPr>
            <w:tcW w:w="2280" w:type="dxa"/>
          </w:tcPr>
          <w:p>
            <w:pPr>
              <w:pStyle w:val="TableParagraph"/>
              <w:spacing w:line="151" w:lineRule="exact"/>
              <w:ind w:left="357"/>
              <w:jc w:val="left"/>
              <w:rPr>
                <w:rFonts w:ascii="Calibri" w:hAnsi="Calibri"/>
                <w:sz w:val="13"/>
              </w:rPr>
            </w:pPr>
            <w:r>
              <w:rPr>
                <w:rFonts w:ascii="Calibri" w:hAnsi="Calibri"/>
                <w:sz w:val="13"/>
              </w:rPr>
              <w:t>Índice ONU</w:t>
            </w:r>
          </w:p>
        </w:tc>
        <w:tc>
          <w:tcPr>
            <w:tcW w:w="1788" w:type="dxa"/>
          </w:tcPr>
          <w:p>
            <w:pPr>
              <w:pStyle w:val="TableParagraph"/>
              <w:spacing w:line="151" w:lineRule="exact"/>
              <w:ind w:left="910" w:right="149"/>
              <w:rPr>
                <w:rFonts w:ascii="Calibri"/>
                <w:sz w:val="13"/>
              </w:rPr>
            </w:pPr>
            <w:r>
              <w:rPr>
                <w:rFonts w:ascii="Calibri"/>
                <w:sz w:val="13"/>
              </w:rPr>
              <w:t>0.5</w:t>
            </w:r>
          </w:p>
        </w:tc>
        <w:tc>
          <w:tcPr>
            <w:tcW w:w="813" w:type="dxa"/>
          </w:tcPr>
          <w:p>
            <w:pPr/>
          </w:p>
        </w:tc>
        <w:tc>
          <w:tcPr>
            <w:tcW w:w="749" w:type="dxa"/>
          </w:tcPr>
          <w:p>
            <w:pPr>
              <w:pStyle w:val="TableParagraph"/>
              <w:spacing w:line="151" w:lineRule="exact"/>
              <w:ind w:left="89" w:right="32"/>
              <w:rPr>
                <w:rFonts w:ascii="Calibri"/>
                <w:sz w:val="13"/>
              </w:rPr>
            </w:pPr>
            <w:r>
              <w:rPr>
                <w:rFonts w:ascii="Calibri"/>
                <w:sz w:val="13"/>
              </w:rPr>
              <w:t>0.8</w:t>
            </w:r>
          </w:p>
        </w:tc>
        <w:tc>
          <w:tcPr>
            <w:tcW w:w="694" w:type="dxa"/>
            <w:tcBorders>
              <w:right w:val="single" w:sz="9" w:space="0" w:color="000000"/>
            </w:tcBorders>
            <w:shd w:val="clear" w:color="auto" w:fill="67ED4D"/>
          </w:tcPr>
          <w:p>
            <w:pPr>
              <w:pStyle w:val="TableParagraph"/>
              <w:spacing w:line="151" w:lineRule="exact"/>
              <w:ind w:left="22"/>
              <w:rPr>
                <w:rFonts w:ascii="Calibri"/>
                <w:sz w:val="13"/>
              </w:rPr>
            </w:pPr>
            <w:r>
              <w:rPr>
                <w:rFonts w:ascii="Calibri"/>
                <w:w w:val="98"/>
                <w:sz w:val="13"/>
              </w:rPr>
              <w:t>1</w:t>
            </w:r>
          </w:p>
        </w:tc>
      </w:tr>
      <w:tr>
        <w:trPr>
          <w:trHeight w:val="164" w:hRule="exact"/>
        </w:trPr>
        <w:tc>
          <w:tcPr>
            <w:tcW w:w="669" w:type="dxa"/>
            <w:tcBorders>
              <w:left w:val="single" w:sz="4" w:space="0" w:color="000000"/>
            </w:tcBorders>
          </w:tcPr>
          <w:p>
            <w:pPr/>
          </w:p>
        </w:tc>
        <w:tc>
          <w:tcPr>
            <w:tcW w:w="1828" w:type="dxa"/>
          </w:tcPr>
          <w:p>
            <w:pPr/>
          </w:p>
        </w:tc>
        <w:tc>
          <w:tcPr>
            <w:tcW w:w="2280" w:type="dxa"/>
          </w:tcPr>
          <w:p>
            <w:pPr/>
          </w:p>
        </w:tc>
        <w:tc>
          <w:tcPr>
            <w:tcW w:w="1788" w:type="dxa"/>
          </w:tcPr>
          <w:p>
            <w:pPr>
              <w:pStyle w:val="TableParagraph"/>
              <w:spacing w:line="152" w:lineRule="exact"/>
              <w:ind w:left="908" w:right="149"/>
              <w:rPr>
                <w:rFonts w:ascii="Calibri"/>
                <w:sz w:val="13"/>
              </w:rPr>
            </w:pPr>
            <w:r>
              <w:rPr>
                <w:rFonts w:ascii="Calibri"/>
                <w:sz w:val="13"/>
              </w:rPr>
              <w:t>Subtotal</w:t>
            </w:r>
          </w:p>
        </w:tc>
        <w:tc>
          <w:tcPr>
            <w:tcW w:w="813" w:type="dxa"/>
          </w:tcPr>
          <w:p>
            <w:pPr>
              <w:pStyle w:val="TableParagraph"/>
              <w:tabs>
                <w:tab w:pos="494" w:val="left" w:leader="none"/>
                <w:tab w:pos="878" w:val="left" w:leader="none"/>
              </w:tabs>
              <w:spacing w:line="152" w:lineRule="exact"/>
              <w:ind w:left="174" w:right="-66"/>
              <w:rPr>
                <w:rFonts w:ascii="Calibri"/>
                <w:sz w:val="13"/>
              </w:rPr>
            </w:pPr>
            <w:r>
              <w:rPr>
                <w:rFonts w:ascii="Times New Roman"/>
                <w:w w:val="98"/>
                <w:sz w:val="13"/>
                <w:shd w:fill="F79646" w:color="auto" w:val="clear"/>
              </w:rPr>
              <w:t> </w:t>
            </w:r>
            <w:r>
              <w:rPr>
                <w:rFonts w:ascii="Times New Roman"/>
                <w:sz w:val="13"/>
                <w:shd w:fill="F79646" w:color="auto" w:val="clear"/>
              </w:rPr>
              <w:tab/>
            </w:r>
            <w:r>
              <w:rPr>
                <w:rFonts w:ascii="Calibri"/>
                <w:sz w:val="13"/>
                <w:shd w:fill="F79646" w:color="auto" w:val="clear"/>
              </w:rPr>
              <w:t>2</w:t>
              <w:tab/>
            </w:r>
          </w:p>
        </w:tc>
        <w:tc>
          <w:tcPr>
            <w:tcW w:w="749" w:type="dxa"/>
          </w:tcPr>
          <w:p>
            <w:pPr>
              <w:pStyle w:val="TableParagraph"/>
              <w:spacing w:line="152" w:lineRule="exact"/>
              <w:ind w:left="89" w:right="32"/>
              <w:rPr>
                <w:rFonts w:ascii="Calibri"/>
                <w:sz w:val="13"/>
              </w:rPr>
            </w:pPr>
            <w:r>
              <w:rPr>
                <w:rFonts w:ascii="Calibri"/>
                <w:sz w:val="13"/>
              </w:rPr>
              <w:t>2.6</w:t>
            </w:r>
          </w:p>
        </w:tc>
        <w:tc>
          <w:tcPr>
            <w:tcW w:w="694" w:type="dxa"/>
            <w:tcBorders>
              <w:right w:val="single" w:sz="9" w:space="0" w:color="000000"/>
            </w:tcBorders>
            <w:shd w:val="clear" w:color="auto" w:fill="67ED4D"/>
          </w:tcPr>
          <w:p>
            <w:pPr>
              <w:pStyle w:val="TableParagraph"/>
              <w:spacing w:line="151" w:lineRule="exact"/>
              <w:ind w:left="22"/>
              <w:rPr>
                <w:rFonts w:ascii="Calibri"/>
                <w:sz w:val="13"/>
              </w:rPr>
            </w:pPr>
            <w:r>
              <w:rPr>
                <w:rFonts w:ascii="Calibri"/>
                <w:w w:val="98"/>
                <w:sz w:val="13"/>
              </w:rPr>
              <w:t>3</w:t>
            </w:r>
          </w:p>
        </w:tc>
      </w:tr>
      <w:tr>
        <w:trPr>
          <w:trHeight w:val="149" w:hRule="exact"/>
        </w:trPr>
        <w:tc>
          <w:tcPr>
            <w:tcW w:w="8821" w:type="dxa"/>
            <w:gridSpan w:val="7"/>
            <w:tcBorders>
              <w:left w:val="single" w:sz="4" w:space="0" w:color="000000"/>
              <w:right w:val="single" w:sz="9" w:space="0" w:color="000000"/>
            </w:tcBorders>
          </w:tcPr>
          <w:p>
            <w:pPr/>
          </w:p>
        </w:tc>
      </w:tr>
      <w:tr>
        <w:trPr>
          <w:trHeight w:val="167" w:hRule="exact"/>
        </w:trPr>
        <w:tc>
          <w:tcPr>
            <w:tcW w:w="669" w:type="dxa"/>
            <w:vMerge w:val="restart"/>
            <w:tcBorders>
              <w:left w:val="single" w:sz="4" w:space="0" w:color="000000"/>
            </w:tcBorders>
          </w:tcPr>
          <w:p>
            <w:pPr/>
          </w:p>
        </w:tc>
        <w:tc>
          <w:tcPr>
            <w:tcW w:w="1828" w:type="dxa"/>
          </w:tcPr>
          <w:p>
            <w:pPr>
              <w:pStyle w:val="TableParagraph"/>
              <w:spacing w:line="158" w:lineRule="exact"/>
              <w:ind w:left="51"/>
              <w:jc w:val="left"/>
              <w:rPr>
                <w:rFonts w:ascii="Calibri"/>
                <w:sz w:val="13"/>
              </w:rPr>
            </w:pPr>
            <w:r>
              <w:rPr>
                <w:rFonts w:ascii="Calibri"/>
                <w:sz w:val="13"/>
              </w:rPr>
              <w:t>Manejo de residuos solidos</w:t>
            </w:r>
          </w:p>
        </w:tc>
        <w:tc>
          <w:tcPr>
            <w:tcW w:w="2280" w:type="dxa"/>
          </w:tcPr>
          <w:p>
            <w:pPr>
              <w:pStyle w:val="TableParagraph"/>
              <w:spacing w:line="158" w:lineRule="exact"/>
              <w:ind w:left="357"/>
              <w:jc w:val="left"/>
              <w:rPr>
                <w:rFonts w:ascii="Calibri" w:hAnsi="Calibri"/>
                <w:sz w:val="13"/>
              </w:rPr>
            </w:pPr>
            <w:r>
              <w:rPr>
                <w:rFonts w:ascii="Calibri" w:hAnsi="Calibri"/>
                <w:sz w:val="13"/>
              </w:rPr>
              <w:t>Separación</w:t>
            </w:r>
          </w:p>
        </w:tc>
        <w:tc>
          <w:tcPr>
            <w:tcW w:w="1788" w:type="dxa"/>
          </w:tcPr>
          <w:p>
            <w:pPr>
              <w:pStyle w:val="TableParagraph"/>
              <w:spacing w:line="158" w:lineRule="exact"/>
              <w:ind w:left="771"/>
              <w:rPr>
                <w:rFonts w:ascii="Calibri"/>
                <w:sz w:val="13"/>
              </w:rPr>
            </w:pPr>
            <w:r>
              <w:rPr>
                <w:rFonts w:ascii="Calibri"/>
                <w:w w:val="98"/>
                <w:sz w:val="13"/>
              </w:rPr>
              <w:t>0</w:t>
            </w:r>
          </w:p>
        </w:tc>
        <w:tc>
          <w:tcPr>
            <w:tcW w:w="813" w:type="dxa"/>
          </w:tcPr>
          <w:p>
            <w:pPr/>
          </w:p>
        </w:tc>
        <w:tc>
          <w:tcPr>
            <w:tcW w:w="749" w:type="dxa"/>
          </w:tcPr>
          <w:p>
            <w:pPr>
              <w:pStyle w:val="TableParagraph"/>
              <w:spacing w:line="158" w:lineRule="exact"/>
              <w:ind w:left="66"/>
              <w:rPr>
                <w:rFonts w:ascii="Calibri"/>
                <w:sz w:val="13"/>
              </w:rPr>
            </w:pPr>
            <w:r>
              <w:rPr>
                <w:rFonts w:ascii="Calibri"/>
                <w:w w:val="98"/>
                <w:sz w:val="13"/>
              </w:rPr>
              <w:t>1</w:t>
            </w:r>
          </w:p>
        </w:tc>
        <w:tc>
          <w:tcPr>
            <w:tcW w:w="694" w:type="dxa"/>
            <w:tcBorders>
              <w:right w:val="single" w:sz="9" w:space="0" w:color="000000"/>
            </w:tcBorders>
            <w:shd w:val="clear" w:color="auto" w:fill="67ED4D"/>
          </w:tcPr>
          <w:p>
            <w:pPr>
              <w:pStyle w:val="TableParagraph"/>
              <w:spacing w:line="158" w:lineRule="exact"/>
              <w:ind w:left="22"/>
              <w:rPr>
                <w:rFonts w:ascii="Calibri"/>
                <w:sz w:val="13"/>
              </w:rPr>
            </w:pPr>
            <w:r>
              <w:rPr>
                <w:rFonts w:ascii="Calibri"/>
                <w:w w:val="98"/>
                <w:sz w:val="13"/>
              </w:rPr>
              <w:t>1</w:t>
            </w:r>
          </w:p>
        </w:tc>
      </w:tr>
      <w:tr>
        <w:trPr>
          <w:trHeight w:val="160" w:hRule="exact"/>
        </w:trPr>
        <w:tc>
          <w:tcPr>
            <w:tcW w:w="669" w:type="dxa"/>
            <w:vMerge/>
            <w:tcBorders>
              <w:left w:val="single" w:sz="4" w:space="0" w:color="000000"/>
            </w:tcBorders>
          </w:tcPr>
          <w:p>
            <w:pPr/>
          </w:p>
        </w:tc>
        <w:tc>
          <w:tcPr>
            <w:tcW w:w="1828" w:type="dxa"/>
          </w:tcPr>
          <w:p>
            <w:pPr/>
          </w:p>
        </w:tc>
        <w:tc>
          <w:tcPr>
            <w:tcW w:w="2280" w:type="dxa"/>
          </w:tcPr>
          <w:p>
            <w:pPr>
              <w:pStyle w:val="TableParagraph"/>
              <w:spacing w:line="151" w:lineRule="exact"/>
              <w:ind w:left="357"/>
              <w:jc w:val="left"/>
              <w:rPr>
                <w:rFonts w:ascii="Calibri" w:hAnsi="Calibri"/>
                <w:sz w:val="13"/>
              </w:rPr>
            </w:pPr>
            <w:r>
              <w:rPr>
                <w:rFonts w:ascii="Calibri" w:hAnsi="Calibri"/>
                <w:sz w:val="13"/>
              </w:rPr>
              <w:t>Recolección</w:t>
            </w:r>
          </w:p>
        </w:tc>
        <w:tc>
          <w:tcPr>
            <w:tcW w:w="1788" w:type="dxa"/>
          </w:tcPr>
          <w:p>
            <w:pPr>
              <w:pStyle w:val="TableParagraph"/>
              <w:spacing w:line="151" w:lineRule="exact"/>
              <w:ind w:left="771"/>
              <w:rPr>
                <w:rFonts w:ascii="Calibri"/>
                <w:sz w:val="13"/>
              </w:rPr>
            </w:pPr>
            <w:r>
              <w:rPr>
                <w:rFonts w:ascii="Calibri"/>
                <w:w w:val="98"/>
                <w:sz w:val="13"/>
              </w:rPr>
              <w:t>1</w:t>
            </w:r>
          </w:p>
        </w:tc>
        <w:tc>
          <w:tcPr>
            <w:tcW w:w="813" w:type="dxa"/>
          </w:tcPr>
          <w:p>
            <w:pPr/>
          </w:p>
        </w:tc>
        <w:tc>
          <w:tcPr>
            <w:tcW w:w="749" w:type="dxa"/>
          </w:tcPr>
          <w:p>
            <w:pPr>
              <w:pStyle w:val="TableParagraph"/>
              <w:spacing w:line="151" w:lineRule="exact"/>
              <w:ind w:left="66"/>
              <w:rPr>
                <w:rFonts w:ascii="Calibri"/>
                <w:sz w:val="13"/>
              </w:rPr>
            </w:pPr>
            <w:r>
              <w:rPr>
                <w:rFonts w:ascii="Calibri"/>
                <w:w w:val="98"/>
                <w:sz w:val="13"/>
              </w:rPr>
              <w:t>1</w:t>
            </w:r>
          </w:p>
        </w:tc>
        <w:tc>
          <w:tcPr>
            <w:tcW w:w="694" w:type="dxa"/>
            <w:tcBorders>
              <w:right w:val="single" w:sz="9" w:space="0" w:color="000000"/>
            </w:tcBorders>
            <w:shd w:val="clear" w:color="auto" w:fill="67ED4D"/>
          </w:tcPr>
          <w:p>
            <w:pPr>
              <w:pStyle w:val="TableParagraph"/>
              <w:spacing w:line="151" w:lineRule="exact"/>
              <w:ind w:left="22"/>
              <w:rPr>
                <w:rFonts w:ascii="Calibri"/>
                <w:sz w:val="13"/>
              </w:rPr>
            </w:pPr>
            <w:r>
              <w:rPr>
                <w:rFonts w:ascii="Calibri"/>
                <w:w w:val="98"/>
                <w:sz w:val="13"/>
              </w:rPr>
              <w:t>1</w:t>
            </w:r>
          </w:p>
        </w:tc>
      </w:tr>
      <w:tr>
        <w:trPr>
          <w:trHeight w:val="160" w:hRule="exact"/>
        </w:trPr>
        <w:tc>
          <w:tcPr>
            <w:tcW w:w="669" w:type="dxa"/>
            <w:vMerge/>
            <w:tcBorders>
              <w:left w:val="single" w:sz="4" w:space="0" w:color="000000"/>
            </w:tcBorders>
          </w:tcPr>
          <w:p>
            <w:pPr/>
          </w:p>
        </w:tc>
        <w:tc>
          <w:tcPr>
            <w:tcW w:w="1828" w:type="dxa"/>
          </w:tcPr>
          <w:p>
            <w:pPr/>
          </w:p>
        </w:tc>
        <w:tc>
          <w:tcPr>
            <w:tcW w:w="2280" w:type="dxa"/>
          </w:tcPr>
          <w:p>
            <w:pPr>
              <w:pStyle w:val="TableParagraph"/>
              <w:spacing w:line="151" w:lineRule="exact"/>
              <w:ind w:left="357"/>
              <w:jc w:val="left"/>
              <w:rPr>
                <w:rFonts w:ascii="Calibri" w:hAnsi="Calibri"/>
                <w:sz w:val="13"/>
              </w:rPr>
            </w:pPr>
            <w:r>
              <w:rPr>
                <w:rFonts w:ascii="Calibri" w:hAnsi="Calibri"/>
                <w:sz w:val="13"/>
              </w:rPr>
              <w:t>Disposición</w:t>
            </w:r>
          </w:p>
        </w:tc>
        <w:tc>
          <w:tcPr>
            <w:tcW w:w="1788" w:type="dxa"/>
          </w:tcPr>
          <w:p>
            <w:pPr>
              <w:pStyle w:val="TableParagraph"/>
              <w:spacing w:line="151" w:lineRule="exact"/>
              <w:ind w:left="910" w:right="149"/>
              <w:rPr>
                <w:rFonts w:ascii="Calibri"/>
                <w:sz w:val="13"/>
              </w:rPr>
            </w:pPr>
            <w:r>
              <w:rPr>
                <w:rFonts w:ascii="Calibri"/>
                <w:sz w:val="13"/>
              </w:rPr>
              <w:t>0.5</w:t>
            </w:r>
          </w:p>
        </w:tc>
        <w:tc>
          <w:tcPr>
            <w:tcW w:w="813" w:type="dxa"/>
          </w:tcPr>
          <w:p>
            <w:pPr/>
          </w:p>
        </w:tc>
        <w:tc>
          <w:tcPr>
            <w:tcW w:w="749" w:type="dxa"/>
          </w:tcPr>
          <w:p>
            <w:pPr>
              <w:pStyle w:val="TableParagraph"/>
              <w:spacing w:line="151" w:lineRule="exact"/>
              <w:ind w:left="89" w:right="32"/>
              <w:rPr>
                <w:rFonts w:ascii="Calibri"/>
                <w:sz w:val="13"/>
              </w:rPr>
            </w:pPr>
            <w:r>
              <w:rPr>
                <w:rFonts w:ascii="Calibri"/>
                <w:sz w:val="13"/>
              </w:rPr>
              <w:t>0.8</w:t>
            </w:r>
          </w:p>
        </w:tc>
        <w:tc>
          <w:tcPr>
            <w:tcW w:w="694" w:type="dxa"/>
            <w:tcBorders>
              <w:right w:val="single" w:sz="9" w:space="0" w:color="000000"/>
            </w:tcBorders>
            <w:shd w:val="clear" w:color="auto" w:fill="67ED4D"/>
          </w:tcPr>
          <w:p>
            <w:pPr>
              <w:pStyle w:val="TableParagraph"/>
              <w:spacing w:line="151" w:lineRule="exact"/>
              <w:ind w:left="22"/>
              <w:rPr>
                <w:rFonts w:ascii="Calibri"/>
                <w:sz w:val="13"/>
              </w:rPr>
            </w:pPr>
            <w:r>
              <w:rPr>
                <w:rFonts w:ascii="Calibri"/>
                <w:w w:val="98"/>
                <w:sz w:val="13"/>
              </w:rPr>
              <w:t>1</w:t>
            </w:r>
          </w:p>
        </w:tc>
      </w:tr>
      <w:tr>
        <w:trPr>
          <w:trHeight w:val="164" w:hRule="exact"/>
        </w:trPr>
        <w:tc>
          <w:tcPr>
            <w:tcW w:w="669" w:type="dxa"/>
            <w:vMerge/>
            <w:tcBorders>
              <w:left w:val="single" w:sz="4" w:space="0" w:color="000000"/>
            </w:tcBorders>
          </w:tcPr>
          <w:p>
            <w:pPr/>
          </w:p>
        </w:tc>
        <w:tc>
          <w:tcPr>
            <w:tcW w:w="1828" w:type="dxa"/>
          </w:tcPr>
          <w:p>
            <w:pPr/>
          </w:p>
        </w:tc>
        <w:tc>
          <w:tcPr>
            <w:tcW w:w="2280" w:type="dxa"/>
          </w:tcPr>
          <w:p>
            <w:pPr/>
          </w:p>
        </w:tc>
        <w:tc>
          <w:tcPr>
            <w:tcW w:w="1788" w:type="dxa"/>
          </w:tcPr>
          <w:p>
            <w:pPr>
              <w:pStyle w:val="TableParagraph"/>
              <w:spacing w:line="152" w:lineRule="exact"/>
              <w:ind w:left="908" w:right="149"/>
              <w:rPr>
                <w:rFonts w:ascii="Calibri"/>
                <w:sz w:val="13"/>
              </w:rPr>
            </w:pPr>
            <w:r>
              <w:rPr>
                <w:rFonts w:ascii="Calibri"/>
                <w:sz w:val="13"/>
              </w:rPr>
              <w:t>Subtotal</w:t>
            </w:r>
          </w:p>
        </w:tc>
        <w:tc>
          <w:tcPr>
            <w:tcW w:w="813" w:type="dxa"/>
          </w:tcPr>
          <w:p>
            <w:pPr>
              <w:pStyle w:val="TableParagraph"/>
              <w:tabs>
                <w:tab w:pos="440" w:val="left" w:leader="none"/>
                <w:tab w:pos="878" w:val="left" w:leader="none"/>
              </w:tabs>
              <w:spacing w:line="152" w:lineRule="exact"/>
              <w:ind w:left="174" w:right="-66"/>
              <w:rPr>
                <w:rFonts w:ascii="Calibri"/>
                <w:sz w:val="13"/>
              </w:rPr>
            </w:pPr>
            <w:r>
              <w:rPr>
                <w:rFonts w:ascii="Times New Roman"/>
                <w:w w:val="98"/>
                <w:sz w:val="13"/>
                <w:shd w:fill="F79646" w:color="auto" w:val="clear"/>
              </w:rPr>
              <w:t> </w:t>
            </w:r>
            <w:r>
              <w:rPr>
                <w:rFonts w:ascii="Times New Roman"/>
                <w:sz w:val="13"/>
                <w:shd w:fill="F79646" w:color="auto" w:val="clear"/>
              </w:rPr>
              <w:tab/>
            </w:r>
            <w:r>
              <w:rPr>
                <w:rFonts w:ascii="Calibri"/>
                <w:sz w:val="13"/>
                <w:shd w:fill="F79646" w:color="auto" w:val="clear"/>
              </w:rPr>
              <w:t>1.5</w:t>
              <w:tab/>
            </w:r>
          </w:p>
        </w:tc>
        <w:tc>
          <w:tcPr>
            <w:tcW w:w="749" w:type="dxa"/>
          </w:tcPr>
          <w:p>
            <w:pPr>
              <w:pStyle w:val="TableParagraph"/>
              <w:spacing w:line="152" w:lineRule="exact"/>
              <w:ind w:left="89" w:right="32"/>
              <w:rPr>
                <w:rFonts w:ascii="Calibri"/>
                <w:sz w:val="13"/>
              </w:rPr>
            </w:pPr>
            <w:r>
              <w:rPr>
                <w:rFonts w:ascii="Calibri"/>
                <w:sz w:val="13"/>
              </w:rPr>
              <w:t>2.8</w:t>
            </w:r>
          </w:p>
        </w:tc>
        <w:tc>
          <w:tcPr>
            <w:tcW w:w="694" w:type="dxa"/>
            <w:tcBorders>
              <w:right w:val="single" w:sz="9" w:space="0" w:color="000000"/>
            </w:tcBorders>
            <w:shd w:val="clear" w:color="auto" w:fill="67ED4D"/>
          </w:tcPr>
          <w:p>
            <w:pPr>
              <w:pStyle w:val="TableParagraph"/>
              <w:spacing w:line="151" w:lineRule="exact"/>
              <w:ind w:left="22"/>
              <w:rPr>
                <w:rFonts w:ascii="Calibri"/>
                <w:sz w:val="13"/>
              </w:rPr>
            </w:pPr>
            <w:r>
              <w:rPr>
                <w:rFonts w:ascii="Calibri"/>
                <w:w w:val="98"/>
                <w:sz w:val="13"/>
              </w:rPr>
              <w:t>3</w:t>
            </w:r>
          </w:p>
        </w:tc>
      </w:tr>
      <w:tr>
        <w:trPr>
          <w:trHeight w:val="149" w:hRule="exact"/>
        </w:trPr>
        <w:tc>
          <w:tcPr>
            <w:tcW w:w="8821" w:type="dxa"/>
            <w:gridSpan w:val="7"/>
            <w:tcBorders>
              <w:left w:val="single" w:sz="4" w:space="0" w:color="000000"/>
              <w:right w:val="single" w:sz="9" w:space="0" w:color="000000"/>
            </w:tcBorders>
          </w:tcPr>
          <w:p>
            <w:pPr/>
          </w:p>
        </w:tc>
      </w:tr>
      <w:tr>
        <w:trPr>
          <w:trHeight w:val="167" w:hRule="exact"/>
        </w:trPr>
        <w:tc>
          <w:tcPr>
            <w:tcW w:w="669" w:type="dxa"/>
            <w:vMerge w:val="restart"/>
            <w:tcBorders>
              <w:left w:val="single" w:sz="4" w:space="0" w:color="000000"/>
            </w:tcBorders>
          </w:tcPr>
          <w:p>
            <w:pPr/>
          </w:p>
        </w:tc>
        <w:tc>
          <w:tcPr>
            <w:tcW w:w="1828" w:type="dxa"/>
          </w:tcPr>
          <w:p>
            <w:pPr>
              <w:pStyle w:val="TableParagraph"/>
              <w:spacing w:line="158" w:lineRule="exact"/>
              <w:ind w:left="51"/>
              <w:jc w:val="left"/>
              <w:rPr>
                <w:rFonts w:ascii="Calibri" w:hAnsi="Calibri"/>
                <w:sz w:val="13"/>
              </w:rPr>
            </w:pPr>
            <w:r>
              <w:rPr>
                <w:rFonts w:ascii="Calibri" w:hAnsi="Calibri"/>
                <w:sz w:val="13"/>
              </w:rPr>
              <w:t>Ecotegnologías</w:t>
            </w:r>
          </w:p>
        </w:tc>
        <w:tc>
          <w:tcPr>
            <w:tcW w:w="2280" w:type="dxa"/>
          </w:tcPr>
          <w:p>
            <w:pPr>
              <w:pStyle w:val="TableParagraph"/>
              <w:spacing w:line="158" w:lineRule="exact"/>
              <w:ind w:left="357"/>
              <w:jc w:val="left"/>
              <w:rPr>
                <w:rFonts w:ascii="Calibri"/>
                <w:sz w:val="13"/>
              </w:rPr>
            </w:pPr>
            <w:r>
              <w:rPr>
                <w:rFonts w:ascii="Calibri"/>
                <w:sz w:val="13"/>
              </w:rPr>
              <w:t>Vivienda</w:t>
            </w:r>
          </w:p>
        </w:tc>
        <w:tc>
          <w:tcPr>
            <w:tcW w:w="1788" w:type="dxa"/>
          </w:tcPr>
          <w:p>
            <w:pPr>
              <w:pStyle w:val="TableParagraph"/>
              <w:spacing w:line="158" w:lineRule="exact"/>
              <w:ind w:left="910" w:right="149"/>
              <w:rPr>
                <w:rFonts w:ascii="Calibri"/>
                <w:sz w:val="13"/>
              </w:rPr>
            </w:pPr>
            <w:r>
              <w:rPr>
                <w:rFonts w:ascii="Calibri"/>
                <w:sz w:val="13"/>
              </w:rPr>
              <w:t>0.2</w:t>
            </w:r>
          </w:p>
        </w:tc>
        <w:tc>
          <w:tcPr>
            <w:tcW w:w="813" w:type="dxa"/>
          </w:tcPr>
          <w:p>
            <w:pPr/>
          </w:p>
        </w:tc>
        <w:tc>
          <w:tcPr>
            <w:tcW w:w="749" w:type="dxa"/>
          </w:tcPr>
          <w:p>
            <w:pPr>
              <w:pStyle w:val="TableParagraph"/>
              <w:spacing w:line="158" w:lineRule="exact"/>
              <w:ind w:left="89" w:right="32"/>
              <w:rPr>
                <w:rFonts w:ascii="Calibri"/>
                <w:sz w:val="13"/>
              </w:rPr>
            </w:pPr>
            <w:r>
              <w:rPr>
                <w:rFonts w:ascii="Calibri"/>
                <w:sz w:val="13"/>
              </w:rPr>
              <w:t>0.6</w:t>
            </w:r>
          </w:p>
        </w:tc>
        <w:tc>
          <w:tcPr>
            <w:tcW w:w="694" w:type="dxa"/>
            <w:tcBorders>
              <w:right w:val="single" w:sz="9" w:space="0" w:color="000000"/>
            </w:tcBorders>
            <w:shd w:val="clear" w:color="auto" w:fill="67ED4D"/>
          </w:tcPr>
          <w:p>
            <w:pPr>
              <w:pStyle w:val="TableParagraph"/>
              <w:spacing w:line="158" w:lineRule="exact"/>
              <w:ind w:left="22"/>
              <w:rPr>
                <w:rFonts w:ascii="Calibri"/>
                <w:sz w:val="13"/>
              </w:rPr>
            </w:pPr>
            <w:r>
              <w:rPr>
                <w:rFonts w:ascii="Calibri"/>
                <w:w w:val="98"/>
                <w:sz w:val="13"/>
              </w:rPr>
              <w:t>1</w:t>
            </w:r>
          </w:p>
        </w:tc>
      </w:tr>
      <w:tr>
        <w:trPr>
          <w:trHeight w:val="160" w:hRule="exact"/>
        </w:trPr>
        <w:tc>
          <w:tcPr>
            <w:tcW w:w="669" w:type="dxa"/>
            <w:vMerge/>
            <w:tcBorders>
              <w:left w:val="single" w:sz="4" w:space="0" w:color="000000"/>
            </w:tcBorders>
          </w:tcPr>
          <w:p>
            <w:pPr/>
          </w:p>
        </w:tc>
        <w:tc>
          <w:tcPr>
            <w:tcW w:w="1828" w:type="dxa"/>
          </w:tcPr>
          <w:p>
            <w:pPr/>
          </w:p>
        </w:tc>
        <w:tc>
          <w:tcPr>
            <w:tcW w:w="2280" w:type="dxa"/>
          </w:tcPr>
          <w:p>
            <w:pPr>
              <w:pStyle w:val="TableParagraph"/>
              <w:spacing w:line="151" w:lineRule="exact"/>
              <w:ind w:left="357"/>
              <w:jc w:val="left"/>
              <w:rPr>
                <w:rFonts w:ascii="Calibri" w:hAnsi="Calibri"/>
                <w:sz w:val="13"/>
              </w:rPr>
            </w:pPr>
            <w:r>
              <w:rPr>
                <w:rFonts w:ascii="Calibri" w:hAnsi="Calibri"/>
                <w:sz w:val="13"/>
              </w:rPr>
              <w:t>Urbanización</w:t>
            </w:r>
          </w:p>
        </w:tc>
        <w:tc>
          <w:tcPr>
            <w:tcW w:w="1788" w:type="dxa"/>
          </w:tcPr>
          <w:p>
            <w:pPr>
              <w:pStyle w:val="TableParagraph"/>
              <w:spacing w:line="151" w:lineRule="exact"/>
              <w:ind w:left="771"/>
              <w:rPr>
                <w:rFonts w:ascii="Calibri"/>
                <w:sz w:val="13"/>
              </w:rPr>
            </w:pPr>
            <w:r>
              <w:rPr>
                <w:rFonts w:ascii="Calibri"/>
                <w:w w:val="98"/>
                <w:sz w:val="13"/>
              </w:rPr>
              <w:t>0</w:t>
            </w:r>
          </w:p>
        </w:tc>
        <w:tc>
          <w:tcPr>
            <w:tcW w:w="813" w:type="dxa"/>
          </w:tcPr>
          <w:p>
            <w:pPr/>
          </w:p>
        </w:tc>
        <w:tc>
          <w:tcPr>
            <w:tcW w:w="749" w:type="dxa"/>
          </w:tcPr>
          <w:p>
            <w:pPr>
              <w:pStyle w:val="TableParagraph"/>
              <w:spacing w:line="151" w:lineRule="exact"/>
              <w:ind w:left="89" w:right="32"/>
              <w:rPr>
                <w:rFonts w:ascii="Calibri"/>
                <w:sz w:val="13"/>
              </w:rPr>
            </w:pPr>
            <w:r>
              <w:rPr>
                <w:rFonts w:ascii="Calibri"/>
                <w:sz w:val="13"/>
              </w:rPr>
              <w:t>0.5</w:t>
            </w:r>
          </w:p>
        </w:tc>
        <w:tc>
          <w:tcPr>
            <w:tcW w:w="694" w:type="dxa"/>
            <w:tcBorders>
              <w:right w:val="single" w:sz="9" w:space="0" w:color="000000"/>
            </w:tcBorders>
            <w:shd w:val="clear" w:color="auto" w:fill="67ED4D"/>
          </w:tcPr>
          <w:p>
            <w:pPr>
              <w:pStyle w:val="TableParagraph"/>
              <w:spacing w:line="151" w:lineRule="exact"/>
              <w:ind w:left="22"/>
              <w:rPr>
                <w:rFonts w:ascii="Calibri"/>
                <w:sz w:val="13"/>
              </w:rPr>
            </w:pPr>
            <w:r>
              <w:rPr>
                <w:rFonts w:ascii="Calibri"/>
                <w:w w:val="98"/>
                <w:sz w:val="13"/>
              </w:rPr>
              <w:t>1</w:t>
            </w:r>
          </w:p>
        </w:tc>
      </w:tr>
      <w:tr>
        <w:trPr>
          <w:trHeight w:val="160" w:hRule="exact"/>
        </w:trPr>
        <w:tc>
          <w:tcPr>
            <w:tcW w:w="669" w:type="dxa"/>
            <w:vMerge/>
            <w:tcBorders>
              <w:left w:val="single" w:sz="4" w:space="0" w:color="000000"/>
            </w:tcBorders>
          </w:tcPr>
          <w:p>
            <w:pPr/>
          </w:p>
        </w:tc>
        <w:tc>
          <w:tcPr>
            <w:tcW w:w="1828" w:type="dxa"/>
          </w:tcPr>
          <w:p>
            <w:pPr/>
          </w:p>
        </w:tc>
        <w:tc>
          <w:tcPr>
            <w:tcW w:w="2280" w:type="dxa"/>
          </w:tcPr>
          <w:p>
            <w:pPr>
              <w:pStyle w:val="TableParagraph"/>
              <w:spacing w:line="151" w:lineRule="exact"/>
              <w:ind w:left="357"/>
              <w:jc w:val="left"/>
              <w:rPr>
                <w:rFonts w:ascii="Calibri"/>
                <w:sz w:val="13"/>
              </w:rPr>
            </w:pPr>
            <w:r>
              <w:rPr>
                <w:rFonts w:ascii="Calibri"/>
                <w:sz w:val="13"/>
              </w:rPr>
              <w:t>Equipamiento</w:t>
            </w:r>
          </w:p>
        </w:tc>
        <w:tc>
          <w:tcPr>
            <w:tcW w:w="1788" w:type="dxa"/>
          </w:tcPr>
          <w:p>
            <w:pPr>
              <w:pStyle w:val="TableParagraph"/>
              <w:spacing w:line="151" w:lineRule="exact"/>
              <w:ind w:left="771"/>
              <w:rPr>
                <w:rFonts w:ascii="Calibri"/>
                <w:sz w:val="13"/>
              </w:rPr>
            </w:pPr>
            <w:r>
              <w:rPr>
                <w:rFonts w:ascii="Calibri"/>
                <w:w w:val="98"/>
                <w:sz w:val="13"/>
              </w:rPr>
              <w:t>0</w:t>
            </w:r>
          </w:p>
        </w:tc>
        <w:tc>
          <w:tcPr>
            <w:tcW w:w="813" w:type="dxa"/>
          </w:tcPr>
          <w:p>
            <w:pPr/>
          </w:p>
        </w:tc>
        <w:tc>
          <w:tcPr>
            <w:tcW w:w="749" w:type="dxa"/>
          </w:tcPr>
          <w:p>
            <w:pPr>
              <w:pStyle w:val="TableParagraph"/>
              <w:spacing w:line="151" w:lineRule="exact"/>
              <w:ind w:left="66"/>
              <w:rPr>
                <w:rFonts w:ascii="Calibri"/>
                <w:sz w:val="13"/>
              </w:rPr>
            </w:pPr>
            <w:r>
              <w:rPr>
                <w:rFonts w:ascii="Calibri"/>
                <w:w w:val="98"/>
                <w:sz w:val="13"/>
              </w:rPr>
              <w:t>1</w:t>
            </w:r>
          </w:p>
        </w:tc>
        <w:tc>
          <w:tcPr>
            <w:tcW w:w="694" w:type="dxa"/>
            <w:tcBorders>
              <w:right w:val="single" w:sz="9" w:space="0" w:color="000000"/>
            </w:tcBorders>
            <w:shd w:val="clear" w:color="auto" w:fill="67ED4D"/>
          </w:tcPr>
          <w:p>
            <w:pPr>
              <w:pStyle w:val="TableParagraph"/>
              <w:spacing w:line="151" w:lineRule="exact"/>
              <w:ind w:left="22"/>
              <w:rPr>
                <w:rFonts w:ascii="Calibri"/>
                <w:sz w:val="13"/>
              </w:rPr>
            </w:pPr>
            <w:r>
              <w:rPr>
                <w:rFonts w:ascii="Calibri"/>
                <w:w w:val="98"/>
                <w:sz w:val="13"/>
              </w:rPr>
              <w:t>1</w:t>
            </w:r>
          </w:p>
        </w:tc>
      </w:tr>
      <w:tr>
        <w:trPr>
          <w:trHeight w:val="160" w:hRule="exact"/>
        </w:trPr>
        <w:tc>
          <w:tcPr>
            <w:tcW w:w="669" w:type="dxa"/>
            <w:vMerge/>
            <w:tcBorders>
              <w:left w:val="single" w:sz="4" w:space="0" w:color="000000"/>
            </w:tcBorders>
          </w:tcPr>
          <w:p>
            <w:pPr/>
          </w:p>
        </w:tc>
        <w:tc>
          <w:tcPr>
            <w:tcW w:w="1828" w:type="dxa"/>
          </w:tcPr>
          <w:p>
            <w:pPr/>
          </w:p>
        </w:tc>
        <w:tc>
          <w:tcPr>
            <w:tcW w:w="2280" w:type="dxa"/>
          </w:tcPr>
          <w:p>
            <w:pPr>
              <w:pStyle w:val="TableParagraph"/>
              <w:spacing w:line="151" w:lineRule="exact"/>
              <w:ind w:left="357"/>
              <w:jc w:val="left"/>
              <w:rPr>
                <w:rFonts w:ascii="Calibri"/>
                <w:sz w:val="13"/>
              </w:rPr>
            </w:pPr>
            <w:r>
              <w:rPr>
                <w:rFonts w:ascii="Calibri"/>
                <w:sz w:val="13"/>
              </w:rPr>
              <w:t>Mobiliario</w:t>
            </w:r>
          </w:p>
        </w:tc>
        <w:tc>
          <w:tcPr>
            <w:tcW w:w="1788" w:type="dxa"/>
          </w:tcPr>
          <w:p>
            <w:pPr>
              <w:pStyle w:val="TableParagraph"/>
              <w:spacing w:line="151" w:lineRule="exact"/>
              <w:ind w:left="771"/>
              <w:rPr>
                <w:rFonts w:ascii="Calibri"/>
                <w:sz w:val="13"/>
              </w:rPr>
            </w:pPr>
            <w:r>
              <w:rPr>
                <w:rFonts w:ascii="Calibri"/>
                <w:w w:val="98"/>
                <w:sz w:val="13"/>
              </w:rPr>
              <w:t>0</w:t>
            </w:r>
          </w:p>
        </w:tc>
        <w:tc>
          <w:tcPr>
            <w:tcW w:w="813" w:type="dxa"/>
          </w:tcPr>
          <w:p>
            <w:pPr/>
          </w:p>
        </w:tc>
        <w:tc>
          <w:tcPr>
            <w:tcW w:w="749" w:type="dxa"/>
          </w:tcPr>
          <w:p>
            <w:pPr>
              <w:pStyle w:val="TableParagraph"/>
              <w:spacing w:line="151" w:lineRule="exact"/>
              <w:ind w:left="66"/>
              <w:rPr>
                <w:rFonts w:ascii="Calibri"/>
                <w:sz w:val="13"/>
              </w:rPr>
            </w:pPr>
            <w:r>
              <w:rPr>
                <w:rFonts w:ascii="Calibri"/>
                <w:w w:val="98"/>
                <w:sz w:val="13"/>
              </w:rPr>
              <w:t>1</w:t>
            </w:r>
          </w:p>
        </w:tc>
        <w:tc>
          <w:tcPr>
            <w:tcW w:w="694" w:type="dxa"/>
            <w:tcBorders>
              <w:right w:val="single" w:sz="9" w:space="0" w:color="000000"/>
            </w:tcBorders>
            <w:shd w:val="clear" w:color="auto" w:fill="67ED4D"/>
          </w:tcPr>
          <w:p>
            <w:pPr>
              <w:pStyle w:val="TableParagraph"/>
              <w:spacing w:line="151" w:lineRule="exact"/>
              <w:ind w:left="22"/>
              <w:rPr>
                <w:rFonts w:ascii="Calibri"/>
                <w:sz w:val="13"/>
              </w:rPr>
            </w:pPr>
            <w:r>
              <w:rPr>
                <w:rFonts w:ascii="Calibri"/>
                <w:w w:val="98"/>
                <w:sz w:val="13"/>
              </w:rPr>
              <w:t>1</w:t>
            </w:r>
          </w:p>
        </w:tc>
      </w:tr>
      <w:tr>
        <w:trPr>
          <w:trHeight w:val="164" w:hRule="exact"/>
        </w:trPr>
        <w:tc>
          <w:tcPr>
            <w:tcW w:w="669" w:type="dxa"/>
            <w:vMerge/>
            <w:tcBorders>
              <w:left w:val="single" w:sz="4" w:space="0" w:color="000000"/>
            </w:tcBorders>
          </w:tcPr>
          <w:p>
            <w:pPr/>
          </w:p>
        </w:tc>
        <w:tc>
          <w:tcPr>
            <w:tcW w:w="1828" w:type="dxa"/>
          </w:tcPr>
          <w:p>
            <w:pPr/>
          </w:p>
        </w:tc>
        <w:tc>
          <w:tcPr>
            <w:tcW w:w="2280" w:type="dxa"/>
          </w:tcPr>
          <w:p>
            <w:pPr/>
          </w:p>
        </w:tc>
        <w:tc>
          <w:tcPr>
            <w:tcW w:w="1788" w:type="dxa"/>
          </w:tcPr>
          <w:p>
            <w:pPr>
              <w:pStyle w:val="TableParagraph"/>
              <w:spacing w:line="152" w:lineRule="exact"/>
              <w:ind w:left="908" w:right="149"/>
              <w:rPr>
                <w:rFonts w:ascii="Calibri"/>
                <w:sz w:val="13"/>
              </w:rPr>
            </w:pPr>
            <w:r>
              <w:rPr>
                <w:rFonts w:ascii="Calibri"/>
                <w:sz w:val="13"/>
              </w:rPr>
              <w:t>Subtotal</w:t>
            </w:r>
          </w:p>
        </w:tc>
        <w:tc>
          <w:tcPr>
            <w:tcW w:w="813" w:type="dxa"/>
          </w:tcPr>
          <w:p>
            <w:pPr>
              <w:pStyle w:val="TableParagraph"/>
              <w:tabs>
                <w:tab w:pos="440" w:val="left" w:leader="none"/>
                <w:tab w:pos="878" w:val="left" w:leader="none"/>
              </w:tabs>
              <w:spacing w:line="152" w:lineRule="exact"/>
              <w:ind w:left="174" w:right="-66"/>
              <w:rPr>
                <w:rFonts w:ascii="Calibri"/>
                <w:sz w:val="13"/>
              </w:rPr>
            </w:pPr>
            <w:r>
              <w:rPr>
                <w:rFonts w:ascii="Times New Roman"/>
                <w:w w:val="98"/>
                <w:sz w:val="13"/>
                <w:shd w:fill="F79646" w:color="auto" w:val="clear"/>
              </w:rPr>
              <w:t> </w:t>
            </w:r>
            <w:r>
              <w:rPr>
                <w:rFonts w:ascii="Times New Roman"/>
                <w:sz w:val="13"/>
                <w:shd w:fill="F79646" w:color="auto" w:val="clear"/>
              </w:rPr>
              <w:tab/>
            </w:r>
            <w:r>
              <w:rPr>
                <w:rFonts w:ascii="Calibri"/>
                <w:sz w:val="13"/>
                <w:shd w:fill="F79646" w:color="auto" w:val="clear"/>
              </w:rPr>
              <w:t>0.2</w:t>
              <w:tab/>
            </w:r>
          </w:p>
        </w:tc>
        <w:tc>
          <w:tcPr>
            <w:tcW w:w="749" w:type="dxa"/>
          </w:tcPr>
          <w:p>
            <w:pPr>
              <w:pStyle w:val="TableParagraph"/>
              <w:spacing w:line="152" w:lineRule="exact"/>
              <w:ind w:left="89" w:right="32"/>
              <w:rPr>
                <w:rFonts w:ascii="Calibri"/>
                <w:sz w:val="13"/>
              </w:rPr>
            </w:pPr>
            <w:r>
              <w:rPr>
                <w:rFonts w:ascii="Calibri"/>
                <w:sz w:val="13"/>
              </w:rPr>
              <w:t>3.1</w:t>
            </w:r>
          </w:p>
        </w:tc>
        <w:tc>
          <w:tcPr>
            <w:tcW w:w="694" w:type="dxa"/>
            <w:tcBorders>
              <w:right w:val="single" w:sz="9" w:space="0" w:color="000000"/>
            </w:tcBorders>
            <w:shd w:val="clear" w:color="auto" w:fill="67ED4D"/>
          </w:tcPr>
          <w:p>
            <w:pPr>
              <w:pStyle w:val="TableParagraph"/>
              <w:spacing w:line="151" w:lineRule="exact"/>
              <w:ind w:left="22"/>
              <w:rPr>
                <w:rFonts w:ascii="Calibri"/>
                <w:sz w:val="13"/>
              </w:rPr>
            </w:pPr>
            <w:r>
              <w:rPr>
                <w:rFonts w:ascii="Calibri"/>
                <w:w w:val="98"/>
                <w:sz w:val="13"/>
              </w:rPr>
              <w:t>4</w:t>
            </w:r>
          </w:p>
        </w:tc>
      </w:tr>
      <w:tr>
        <w:trPr>
          <w:trHeight w:val="149" w:hRule="exact"/>
        </w:trPr>
        <w:tc>
          <w:tcPr>
            <w:tcW w:w="8821" w:type="dxa"/>
            <w:gridSpan w:val="7"/>
            <w:tcBorders>
              <w:left w:val="single" w:sz="4" w:space="0" w:color="000000"/>
              <w:right w:val="single" w:sz="9" w:space="0" w:color="000000"/>
            </w:tcBorders>
          </w:tcPr>
          <w:p>
            <w:pPr/>
          </w:p>
        </w:tc>
      </w:tr>
      <w:tr>
        <w:trPr>
          <w:trHeight w:val="167" w:hRule="exact"/>
        </w:trPr>
        <w:tc>
          <w:tcPr>
            <w:tcW w:w="669" w:type="dxa"/>
            <w:tcBorders>
              <w:left w:val="single" w:sz="4" w:space="0" w:color="000000"/>
            </w:tcBorders>
          </w:tcPr>
          <w:p>
            <w:pPr/>
          </w:p>
        </w:tc>
        <w:tc>
          <w:tcPr>
            <w:tcW w:w="1828" w:type="dxa"/>
          </w:tcPr>
          <w:p>
            <w:pPr>
              <w:pStyle w:val="TableParagraph"/>
              <w:spacing w:line="158" w:lineRule="exact"/>
              <w:ind w:left="51"/>
              <w:jc w:val="left"/>
              <w:rPr>
                <w:rFonts w:ascii="Calibri" w:hAnsi="Calibri"/>
                <w:sz w:val="13"/>
              </w:rPr>
            </w:pPr>
            <w:r>
              <w:rPr>
                <w:rFonts w:ascii="Calibri" w:hAnsi="Calibri"/>
                <w:sz w:val="13"/>
              </w:rPr>
              <w:t>Educación ambiental</w:t>
            </w:r>
          </w:p>
        </w:tc>
        <w:tc>
          <w:tcPr>
            <w:tcW w:w="2280" w:type="dxa"/>
          </w:tcPr>
          <w:p>
            <w:pPr>
              <w:pStyle w:val="TableParagraph"/>
              <w:spacing w:line="158" w:lineRule="exact"/>
              <w:ind w:left="357"/>
              <w:jc w:val="left"/>
              <w:rPr>
                <w:rFonts w:ascii="Calibri"/>
                <w:sz w:val="13"/>
              </w:rPr>
            </w:pPr>
            <w:r>
              <w:rPr>
                <w:rFonts w:ascii="Calibri"/>
                <w:sz w:val="13"/>
              </w:rPr>
              <w:t>Planes</w:t>
            </w:r>
          </w:p>
        </w:tc>
        <w:tc>
          <w:tcPr>
            <w:tcW w:w="1788" w:type="dxa"/>
          </w:tcPr>
          <w:p>
            <w:pPr>
              <w:pStyle w:val="TableParagraph"/>
              <w:spacing w:line="158" w:lineRule="exact"/>
              <w:ind w:left="771"/>
              <w:rPr>
                <w:rFonts w:ascii="Calibri"/>
                <w:sz w:val="13"/>
              </w:rPr>
            </w:pPr>
            <w:r>
              <w:rPr>
                <w:rFonts w:ascii="Calibri"/>
                <w:w w:val="98"/>
                <w:sz w:val="13"/>
              </w:rPr>
              <w:t>0</w:t>
            </w:r>
          </w:p>
        </w:tc>
        <w:tc>
          <w:tcPr>
            <w:tcW w:w="813" w:type="dxa"/>
          </w:tcPr>
          <w:p>
            <w:pPr/>
          </w:p>
        </w:tc>
        <w:tc>
          <w:tcPr>
            <w:tcW w:w="749" w:type="dxa"/>
          </w:tcPr>
          <w:p>
            <w:pPr>
              <w:pStyle w:val="TableParagraph"/>
              <w:spacing w:line="158" w:lineRule="exact"/>
              <w:ind w:left="66"/>
              <w:rPr>
                <w:rFonts w:ascii="Calibri"/>
                <w:sz w:val="13"/>
              </w:rPr>
            </w:pPr>
            <w:r>
              <w:rPr>
                <w:rFonts w:ascii="Calibri"/>
                <w:w w:val="98"/>
                <w:sz w:val="13"/>
              </w:rPr>
              <w:t>1</w:t>
            </w:r>
          </w:p>
        </w:tc>
        <w:tc>
          <w:tcPr>
            <w:tcW w:w="694" w:type="dxa"/>
            <w:tcBorders>
              <w:right w:val="single" w:sz="9" w:space="0" w:color="000000"/>
            </w:tcBorders>
            <w:shd w:val="clear" w:color="auto" w:fill="67ED4D"/>
          </w:tcPr>
          <w:p>
            <w:pPr>
              <w:pStyle w:val="TableParagraph"/>
              <w:spacing w:line="158" w:lineRule="exact"/>
              <w:ind w:left="22"/>
              <w:rPr>
                <w:rFonts w:ascii="Calibri"/>
                <w:sz w:val="13"/>
              </w:rPr>
            </w:pPr>
            <w:r>
              <w:rPr>
                <w:rFonts w:ascii="Calibri"/>
                <w:w w:val="98"/>
                <w:sz w:val="13"/>
              </w:rPr>
              <w:t>1</w:t>
            </w:r>
          </w:p>
        </w:tc>
      </w:tr>
      <w:tr>
        <w:trPr>
          <w:trHeight w:val="158" w:hRule="exact"/>
        </w:trPr>
        <w:tc>
          <w:tcPr>
            <w:tcW w:w="669" w:type="dxa"/>
            <w:tcBorders>
              <w:left w:val="single" w:sz="4" w:space="0" w:color="000000"/>
            </w:tcBorders>
          </w:tcPr>
          <w:p>
            <w:pPr/>
          </w:p>
        </w:tc>
        <w:tc>
          <w:tcPr>
            <w:tcW w:w="1828" w:type="dxa"/>
          </w:tcPr>
          <w:p>
            <w:pPr/>
          </w:p>
        </w:tc>
        <w:tc>
          <w:tcPr>
            <w:tcW w:w="2280" w:type="dxa"/>
          </w:tcPr>
          <w:p>
            <w:pPr>
              <w:pStyle w:val="TableParagraph"/>
              <w:spacing w:line="151" w:lineRule="exact"/>
              <w:ind w:left="357"/>
              <w:jc w:val="left"/>
              <w:rPr>
                <w:rFonts w:ascii="Calibri"/>
                <w:sz w:val="13"/>
              </w:rPr>
            </w:pPr>
            <w:r>
              <w:rPr>
                <w:rFonts w:ascii="Calibri"/>
                <w:sz w:val="13"/>
              </w:rPr>
              <w:t>Programas</w:t>
            </w:r>
          </w:p>
        </w:tc>
        <w:tc>
          <w:tcPr>
            <w:tcW w:w="1788" w:type="dxa"/>
          </w:tcPr>
          <w:p>
            <w:pPr>
              <w:pStyle w:val="TableParagraph"/>
              <w:spacing w:line="151" w:lineRule="exact"/>
              <w:ind w:left="771"/>
              <w:rPr>
                <w:rFonts w:ascii="Calibri"/>
                <w:sz w:val="13"/>
              </w:rPr>
            </w:pPr>
            <w:r>
              <w:rPr>
                <w:rFonts w:ascii="Calibri"/>
                <w:w w:val="98"/>
                <w:sz w:val="13"/>
              </w:rPr>
              <w:t>0</w:t>
            </w:r>
          </w:p>
        </w:tc>
        <w:tc>
          <w:tcPr>
            <w:tcW w:w="813" w:type="dxa"/>
          </w:tcPr>
          <w:p>
            <w:pPr/>
          </w:p>
        </w:tc>
        <w:tc>
          <w:tcPr>
            <w:tcW w:w="749" w:type="dxa"/>
          </w:tcPr>
          <w:p>
            <w:pPr>
              <w:pStyle w:val="TableParagraph"/>
              <w:spacing w:line="151" w:lineRule="exact"/>
              <w:ind w:left="66"/>
              <w:rPr>
                <w:rFonts w:ascii="Calibri"/>
                <w:sz w:val="13"/>
              </w:rPr>
            </w:pPr>
            <w:r>
              <w:rPr>
                <w:rFonts w:ascii="Calibri"/>
                <w:w w:val="98"/>
                <w:sz w:val="13"/>
              </w:rPr>
              <w:t>1</w:t>
            </w:r>
          </w:p>
        </w:tc>
        <w:tc>
          <w:tcPr>
            <w:tcW w:w="694" w:type="dxa"/>
            <w:tcBorders>
              <w:right w:val="single" w:sz="9" w:space="0" w:color="000000"/>
            </w:tcBorders>
            <w:shd w:val="clear" w:color="auto" w:fill="67ED4D"/>
          </w:tcPr>
          <w:p>
            <w:pPr>
              <w:pStyle w:val="TableParagraph"/>
              <w:spacing w:line="151" w:lineRule="exact"/>
              <w:ind w:left="22"/>
              <w:rPr>
                <w:rFonts w:ascii="Calibri"/>
                <w:sz w:val="13"/>
              </w:rPr>
            </w:pPr>
            <w:r>
              <w:rPr>
                <w:rFonts w:ascii="Calibri"/>
                <w:w w:val="98"/>
                <w:sz w:val="13"/>
              </w:rPr>
              <w:t>1</w:t>
            </w:r>
          </w:p>
        </w:tc>
      </w:tr>
      <w:tr>
        <w:trPr>
          <w:trHeight w:val="166" w:hRule="exact"/>
        </w:trPr>
        <w:tc>
          <w:tcPr>
            <w:tcW w:w="669" w:type="dxa"/>
            <w:tcBorders>
              <w:left w:val="single" w:sz="4" w:space="0" w:color="000000"/>
            </w:tcBorders>
          </w:tcPr>
          <w:p>
            <w:pPr/>
          </w:p>
        </w:tc>
        <w:tc>
          <w:tcPr>
            <w:tcW w:w="1828" w:type="dxa"/>
          </w:tcPr>
          <w:p>
            <w:pPr/>
          </w:p>
        </w:tc>
        <w:tc>
          <w:tcPr>
            <w:tcW w:w="2280" w:type="dxa"/>
          </w:tcPr>
          <w:p>
            <w:pPr/>
          </w:p>
        </w:tc>
        <w:tc>
          <w:tcPr>
            <w:tcW w:w="1788" w:type="dxa"/>
          </w:tcPr>
          <w:p>
            <w:pPr>
              <w:pStyle w:val="TableParagraph"/>
              <w:spacing w:line="152" w:lineRule="exact"/>
              <w:ind w:left="908" w:right="149"/>
              <w:rPr>
                <w:rFonts w:ascii="Calibri"/>
                <w:sz w:val="13"/>
              </w:rPr>
            </w:pPr>
            <w:r>
              <w:rPr>
                <w:rFonts w:ascii="Calibri"/>
                <w:sz w:val="13"/>
              </w:rPr>
              <w:t>Subtotal</w:t>
            </w:r>
          </w:p>
        </w:tc>
        <w:tc>
          <w:tcPr>
            <w:tcW w:w="813" w:type="dxa"/>
          </w:tcPr>
          <w:p>
            <w:pPr>
              <w:pStyle w:val="TableParagraph"/>
              <w:tabs>
                <w:tab w:pos="494" w:val="left" w:leader="none"/>
                <w:tab w:pos="878" w:val="left" w:leader="none"/>
              </w:tabs>
              <w:spacing w:line="152" w:lineRule="exact"/>
              <w:ind w:left="174" w:right="-66"/>
              <w:rPr>
                <w:rFonts w:ascii="Calibri"/>
                <w:sz w:val="13"/>
              </w:rPr>
            </w:pPr>
            <w:r>
              <w:rPr>
                <w:rFonts w:ascii="Times New Roman"/>
                <w:w w:val="98"/>
                <w:sz w:val="13"/>
                <w:shd w:fill="F79646" w:color="auto" w:val="clear"/>
              </w:rPr>
              <w:t> </w:t>
            </w:r>
            <w:r>
              <w:rPr>
                <w:rFonts w:ascii="Times New Roman"/>
                <w:sz w:val="13"/>
                <w:shd w:fill="F79646" w:color="auto" w:val="clear"/>
              </w:rPr>
              <w:tab/>
            </w:r>
            <w:r>
              <w:rPr>
                <w:rFonts w:ascii="Calibri"/>
                <w:sz w:val="13"/>
                <w:shd w:fill="F79646" w:color="auto" w:val="clear"/>
              </w:rPr>
              <w:t>0</w:t>
              <w:tab/>
            </w:r>
          </w:p>
        </w:tc>
        <w:tc>
          <w:tcPr>
            <w:tcW w:w="749" w:type="dxa"/>
          </w:tcPr>
          <w:p>
            <w:pPr>
              <w:pStyle w:val="TableParagraph"/>
              <w:spacing w:line="152" w:lineRule="exact"/>
              <w:ind w:left="66"/>
              <w:rPr>
                <w:rFonts w:ascii="Calibri"/>
                <w:sz w:val="13"/>
              </w:rPr>
            </w:pPr>
            <w:r>
              <w:rPr>
                <w:rFonts w:ascii="Calibri"/>
                <w:w w:val="98"/>
                <w:sz w:val="13"/>
              </w:rPr>
              <w:t>2</w:t>
            </w:r>
          </w:p>
        </w:tc>
        <w:tc>
          <w:tcPr>
            <w:tcW w:w="694" w:type="dxa"/>
            <w:tcBorders>
              <w:right w:val="single" w:sz="9" w:space="0" w:color="000000"/>
            </w:tcBorders>
            <w:shd w:val="clear" w:color="auto" w:fill="67ED4D"/>
          </w:tcPr>
          <w:p>
            <w:pPr>
              <w:pStyle w:val="TableParagraph"/>
              <w:spacing w:line="152" w:lineRule="exact"/>
              <w:ind w:left="22"/>
              <w:rPr>
                <w:rFonts w:ascii="Calibri"/>
                <w:sz w:val="13"/>
              </w:rPr>
            </w:pPr>
            <w:r>
              <w:rPr>
                <w:rFonts w:ascii="Calibri"/>
                <w:w w:val="98"/>
                <w:sz w:val="13"/>
              </w:rPr>
              <w:t>2</w:t>
            </w:r>
          </w:p>
        </w:tc>
      </w:tr>
      <w:tr>
        <w:trPr>
          <w:trHeight w:val="480" w:hRule="exact"/>
        </w:trPr>
        <w:tc>
          <w:tcPr>
            <w:tcW w:w="669" w:type="dxa"/>
            <w:tcBorders>
              <w:left w:val="single" w:sz="4" w:space="0" w:color="000000"/>
              <w:bottom w:val="single" w:sz="9" w:space="0" w:color="000000"/>
            </w:tcBorders>
          </w:tcPr>
          <w:p>
            <w:pPr/>
          </w:p>
        </w:tc>
        <w:tc>
          <w:tcPr>
            <w:tcW w:w="1828" w:type="dxa"/>
            <w:tcBorders>
              <w:bottom w:val="single" w:sz="9" w:space="0" w:color="000000"/>
            </w:tcBorders>
          </w:tcPr>
          <w:p>
            <w:pPr/>
          </w:p>
        </w:tc>
        <w:tc>
          <w:tcPr>
            <w:tcW w:w="2280" w:type="dxa"/>
            <w:tcBorders>
              <w:bottom w:val="single" w:sz="9" w:space="0" w:color="000000"/>
            </w:tcBorders>
          </w:tcPr>
          <w:p>
            <w:pPr/>
          </w:p>
        </w:tc>
        <w:tc>
          <w:tcPr>
            <w:tcW w:w="1788" w:type="dxa"/>
            <w:tcBorders>
              <w:bottom w:val="single" w:sz="9" w:space="0" w:color="000000"/>
            </w:tcBorders>
          </w:tcPr>
          <w:p>
            <w:pPr>
              <w:pStyle w:val="TableParagraph"/>
              <w:spacing w:before="10"/>
              <w:jc w:val="left"/>
              <w:rPr>
                <w:sz w:val="12"/>
              </w:rPr>
            </w:pPr>
          </w:p>
          <w:p>
            <w:pPr>
              <w:pStyle w:val="TableParagraph"/>
              <w:ind w:left="912" w:right="149"/>
              <w:rPr>
                <w:rFonts w:ascii="Calibri"/>
                <w:sz w:val="13"/>
              </w:rPr>
            </w:pPr>
            <w:r>
              <w:rPr>
                <w:rFonts w:ascii="Calibri"/>
                <w:sz w:val="13"/>
              </w:rPr>
              <w:t>Total IA</w:t>
            </w:r>
          </w:p>
        </w:tc>
        <w:tc>
          <w:tcPr>
            <w:tcW w:w="813" w:type="dxa"/>
            <w:tcBorders>
              <w:bottom w:val="single" w:sz="9" w:space="0" w:color="000000"/>
            </w:tcBorders>
          </w:tcPr>
          <w:p>
            <w:pPr>
              <w:pStyle w:val="TableParagraph"/>
              <w:spacing w:before="10"/>
              <w:jc w:val="left"/>
              <w:rPr>
                <w:sz w:val="12"/>
              </w:rPr>
            </w:pPr>
          </w:p>
          <w:p>
            <w:pPr>
              <w:pStyle w:val="TableParagraph"/>
              <w:tabs>
                <w:tab w:pos="440" w:val="left" w:leader="none"/>
                <w:tab w:pos="878" w:val="left" w:leader="none"/>
              </w:tabs>
              <w:ind w:left="174" w:right="-66"/>
              <w:rPr>
                <w:rFonts w:ascii="Calibri"/>
                <w:sz w:val="13"/>
              </w:rPr>
            </w:pPr>
            <w:r>
              <w:rPr>
                <w:rFonts w:ascii="Times New Roman"/>
                <w:w w:val="98"/>
                <w:sz w:val="13"/>
                <w:shd w:fill="F79646" w:color="auto" w:val="clear"/>
              </w:rPr>
              <w:t> </w:t>
            </w:r>
            <w:r>
              <w:rPr>
                <w:rFonts w:ascii="Times New Roman"/>
                <w:sz w:val="13"/>
                <w:shd w:fill="F79646" w:color="auto" w:val="clear"/>
              </w:rPr>
              <w:tab/>
            </w:r>
            <w:r>
              <w:rPr>
                <w:rFonts w:ascii="Calibri"/>
                <w:sz w:val="13"/>
                <w:shd w:fill="F79646" w:color="auto" w:val="clear"/>
              </w:rPr>
              <w:t>9.3</w:t>
              <w:tab/>
            </w:r>
          </w:p>
        </w:tc>
        <w:tc>
          <w:tcPr>
            <w:tcW w:w="749" w:type="dxa"/>
            <w:tcBorders>
              <w:bottom w:val="single" w:sz="9" w:space="0" w:color="000000"/>
            </w:tcBorders>
          </w:tcPr>
          <w:p>
            <w:pPr>
              <w:pStyle w:val="TableParagraph"/>
              <w:spacing w:before="10"/>
              <w:jc w:val="left"/>
              <w:rPr>
                <w:sz w:val="12"/>
              </w:rPr>
            </w:pPr>
          </w:p>
          <w:p>
            <w:pPr>
              <w:pStyle w:val="TableParagraph"/>
              <w:tabs>
                <w:tab w:pos="289" w:val="left" w:leader="none"/>
                <w:tab w:pos="759" w:val="left" w:leader="none"/>
              </w:tabs>
              <w:ind w:left="55" w:right="-11"/>
              <w:rPr>
                <w:rFonts w:ascii="Calibri"/>
                <w:sz w:val="13"/>
              </w:rPr>
            </w:pPr>
            <w:r>
              <w:rPr>
                <w:rFonts w:ascii="Times New Roman"/>
                <w:w w:val="98"/>
                <w:sz w:val="13"/>
                <w:shd w:fill="FFFF00" w:color="auto" w:val="clear"/>
              </w:rPr>
              <w:t> </w:t>
            </w:r>
            <w:r>
              <w:rPr>
                <w:rFonts w:ascii="Times New Roman"/>
                <w:sz w:val="13"/>
                <w:shd w:fill="FFFF00" w:color="auto" w:val="clear"/>
              </w:rPr>
              <w:tab/>
            </w:r>
            <w:r>
              <w:rPr>
                <w:rFonts w:ascii="Calibri"/>
                <w:sz w:val="13"/>
                <w:shd w:fill="FFFF00" w:color="auto" w:val="clear"/>
              </w:rPr>
              <w:t>18.3</w:t>
              <w:tab/>
            </w:r>
          </w:p>
        </w:tc>
        <w:tc>
          <w:tcPr>
            <w:tcW w:w="694" w:type="dxa"/>
            <w:tcBorders>
              <w:bottom w:val="single" w:sz="9" w:space="0" w:color="000000"/>
              <w:right w:val="single" w:sz="9" w:space="0" w:color="000000"/>
            </w:tcBorders>
          </w:tcPr>
          <w:p>
            <w:pPr>
              <w:pStyle w:val="TableParagraph"/>
              <w:spacing w:before="10"/>
              <w:jc w:val="left"/>
              <w:rPr>
                <w:sz w:val="12"/>
              </w:rPr>
            </w:pPr>
          </w:p>
          <w:p>
            <w:pPr>
              <w:pStyle w:val="TableParagraph"/>
              <w:ind w:left="104" w:right="81"/>
              <w:rPr>
                <w:rFonts w:ascii="Calibri"/>
                <w:sz w:val="13"/>
              </w:rPr>
            </w:pPr>
            <w:r>
              <w:rPr>
                <w:rFonts w:ascii="Calibri"/>
                <w:sz w:val="13"/>
              </w:rPr>
              <w:t>24</w:t>
            </w:r>
          </w:p>
        </w:tc>
      </w:tr>
    </w:tbl>
    <w:p>
      <w:pPr>
        <w:spacing w:before="11"/>
        <w:ind w:left="268" w:right="0" w:firstLine="0"/>
        <w:jc w:val="left"/>
        <w:rPr>
          <w:sz w:val="21"/>
        </w:rPr>
      </w:pPr>
      <w:r>
        <w:rPr/>
        <w:pict>
          <v:group style="position:absolute;margin-left:367.213989pt;margin-top:-177.424805pt;width:69.95pt;height:25.1pt;mso-position-horizontal-relative:page;mso-position-vertical-relative:paragraph;z-index:-1137760" coordorigin="7344,-3548" coordsize="1399,502">
            <v:line style="position:absolute" from="7350,-3543" to="7350,-3372" stroked="true" strokeweight=".534pt" strokecolor="#baf9f5"/>
            <v:rect style="position:absolute;left:7355;top:-3543;width:1388;height:171" filled="true" fillcolor="#baf9f5" stroked="false">
              <v:fill type="solid"/>
            </v:rect>
            <v:line style="position:absolute" from="7350,-3372" to="7350,-3212" stroked="true" strokeweight=".534pt" strokecolor="#baf9f5"/>
            <v:rect style="position:absolute;left:7355;top:-3372;width:1388;height:160" filled="true" fillcolor="#baf9f5" stroked="false">
              <v:fill type="solid"/>
            </v:rect>
            <v:line style="position:absolute" from="7350,-3212" to="7350,-3052" stroked="true" strokeweight=".534pt" strokecolor="#baf9f5"/>
            <v:rect style="position:absolute;left:7355;top:-3212;width:1388;height:160" filled="true" fillcolor="#baf9f5" stroked="false">
              <v:fill type="solid"/>
            </v:rect>
            <w10:wrap type="none"/>
          </v:group>
        </w:pict>
      </w:r>
      <w:r>
        <w:rPr/>
        <w:pict>
          <v:shape style="position:absolute;margin-left:471.28302pt;margin-top:-177.149139pt;width:35.25pt;height:32.5500pt;mso-position-horizontal-relative:page;mso-position-vertical-relative:paragraph;z-index:-1137736" coordorigin="9426,-3543" coordsize="705,651" path="m10130,-3372l9426,-3372,9426,-3212,9426,-3063,9426,-3052,9426,-2892,10130,-2892,10130,-3052,10130,-3063,10130,-3212,10130,-3372m10130,-3543l9426,-3543,9426,-3372,10130,-3372,10130,-3543e" filled="true" fillcolor="#ffff00" stroked="false">
            <v:path arrowok="t"/>
            <v:fill type="solid"/>
            <w10:wrap type="none"/>
          </v:shape>
        </w:pict>
      </w:r>
      <w:r>
        <w:rPr/>
        <w:pict>
          <v:group style="position:absolute;margin-left:367.213989pt;margin-top:-137.406906pt;width:69.95pt;height:25.1pt;mso-position-horizontal-relative:page;mso-position-vertical-relative:paragraph;z-index:-1137712" coordorigin="7344,-2748" coordsize="1399,502">
            <v:line style="position:absolute" from="7350,-2743" to="7350,-2572" stroked="true" strokeweight=".534pt" strokecolor="#baf9f5"/>
            <v:rect style="position:absolute;left:7355;top:-2743;width:1388;height:171" filled="true" fillcolor="#baf9f5" stroked="false">
              <v:fill type="solid"/>
            </v:rect>
            <v:line style="position:absolute" from="7350,-2572" to="7350,-2412" stroked="true" strokeweight=".534pt" strokecolor="#baf9f5"/>
            <v:rect style="position:absolute;left:7355;top:-2572;width:1388;height:160" filled="true" fillcolor="#baf9f5" stroked="false">
              <v:fill type="solid"/>
            </v:rect>
            <v:line style="position:absolute" from="7350,-2412" to="7350,-2252" stroked="true" strokeweight=".534pt" strokecolor="#baf9f5"/>
            <v:rect style="position:absolute;left:7355;top:-2412;width:1388;height:160" filled="true" fillcolor="#baf9f5" stroked="false">
              <v:fill type="solid"/>
            </v:rect>
            <w10:wrap type="none"/>
          </v:group>
        </w:pict>
      </w:r>
      <w:r>
        <w:rPr/>
        <w:pict>
          <v:shape style="position:absolute;margin-left:471.28302pt;margin-top:-137.131134pt;width:35.25pt;height:32.5500pt;mso-position-horizontal-relative:page;mso-position-vertical-relative:paragraph;z-index:-1137688" coordorigin="9426,-2743" coordsize="705,651" path="m10130,-2572l9426,-2572,9426,-2412,9426,-2262,9426,-2252,9426,-2092,10130,-2092,10130,-2252,10130,-2262,10130,-2412,10130,-2572m10130,-2743l9426,-2743,9426,-2572,10130,-2572,10130,-2743e" filled="true" fillcolor="#ffff00" stroked="false">
            <v:path arrowok="t"/>
            <v:fill type="solid"/>
            <w10:wrap type="none"/>
          </v:shape>
        </w:pict>
      </w:r>
      <w:r>
        <w:rPr/>
        <w:pict>
          <v:group style="position:absolute;margin-left:367.213989pt;margin-top:-97.388809pt;width:69.95pt;height:33.1pt;mso-position-horizontal-relative:page;mso-position-vertical-relative:paragraph;z-index:-1137664" coordorigin="7344,-1948" coordsize="1399,662">
            <v:line style="position:absolute" from="7350,-1942" to="7350,-1772" stroked="true" strokeweight=".534pt" strokecolor="#baf9f5"/>
            <v:rect style="position:absolute;left:7355;top:-1942;width:1388;height:171" filled="true" fillcolor="#baf9f5" stroked="false">
              <v:fill type="solid"/>
            </v:rect>
            <v:line style="position:absolute" from="7350,-1772" to="7350,-1611" stroked="true" strokeweight=".534pt" strokecolor="#baf9f5"/>
            <v:rect style="position:absolute;left:7355;top:-1772;width:1388;height:160" filled="true" fillcolor="#baf9f5" stroked="false">
              <v:fill type="solid"/>
            </v:rect>
            <v:line style="position:absolute" from="7350,-1611" to="7350,-1451" stroked="true" strokeweight=".534pt" strokecolor="#baf9f5"/>
            <v:rect style="position:absolute;left:7355;top:-1611;width:1388;height:160" filled="true" fillcolor="#baf9f5" stroked="false">
              <v:fill type="solid"/>
            </v:rect>
            <v:line style="position:absolute" from="7350,-1451" to="7350,-1291" stroked="true" strokeweight=".534pt" strokecolor="#baf9f5"/>
            <v:rect style="position:absolute;left:7355;top:-1451;width:1388;height:160" filled="true" fillcolor="#baf9f5" stroked="false">
              <v:fill type="solid"/>
            </v:rect>
            <w10:wrap type="none"/>
          </v:group>
        </w:pict>
      </w:r>
      <w:r>
        <w:rPr/>
        <w:pict>
          <v:shape style="position:absolute;margin-left:471.28302pt;margin-top:-97.113129pt;width:35.25pt;height:40.550pt;mso-position-horizontal-relative:page;mso-position-vertical-relative:paragraph;z-index:-1137640" coordorigin="9426,-1942" coordsize="705,811" path="m10130,-1451l9426,-1451,9426,-1302,9426,-1291,9426,-1131,10130,-1131,10130,-1291,10130,-1302,10130,-1451m10130,-1772l9426,-1772,9426,-1611,9426,-1451,10130,-1451,10130,-1611,10130,-1772m10130,-1942l9426,-1942,9426,-1772,10130,-1772,10130,-1942e" filled="true" fillcolor="#ffff00" stroked="false">
            <v:path arrowok="t"/>
            <v:fill type="solid"/>
            <w10:wrap type="none"/>
          </v:shape>
        </w:pict>
      </w:r>
      <w:r>
        <w:rPr/>
        <w:pict>
          <v:group style="position:absolute;margin-left:367.213989pt;margin-top:-49.367908pt;width:69.95pt;height:17.1pt;mso-position-horizontal-relative:page;mso-position-vertical-relative:paragraph;z-index:-1137616" coordorigin="7344,-987" coordsize="1399,342">
            <v:line style="position:absolute" from="7350,-982" to="7350,-811" stroked="true" strokeweight=".534pt" strokecolor="#baf9f5"/>
            <v:rect style="position:absolute;left:7355;top:-982;width:1388;height:171" filled="true" fillcolor="#baf9f5" stroked="false">
              <v:fill type="solid"/>
            </v:rect>
            <v:line style="position:absolute" from="7350,-811" to="7350,-651" stroked="true" strokeweight=".534pt" strokecolor="#baf9f5"/>
            <v:rect style="position:absolute;left:7355;top:-811;width:1388;height:160" filled="true" fillcolor="#baf9f5" stroked="false">
              <v:fill type="solid"/>
            </v:rect>
            <w10:wrap type="none"/>
          </v:group>
        </w:pict>
      </w:r>
      <w:r>
        <w:rPr/>
        <w:pict>
          <v:shape style="position:absolute;margin-left:471.28302pt;margin-top:-49.092125pt;width:35.25pt;height:24.55pt;mso-position-horizontal-relative:page;mso-position-vertical-relative:paragraph;z-index:-1137592" coordorigin="9426,-982" coordsize="705,491" path="m10130,-982l9426,-982,9426,-811,9426,-662,9426,-651,9426,-491,10130,-491,10130,-651,10130,-662,10130,-811,10130,-982e" filled="true" fillcolor="#ffff00" stroked="false">
            <v:path arrowok="t"/>
            <v:fill type="solid"/>
            <w10:wrap type="none"/>
          </v:shape>
        </w:pict>
      </w:r>
      <w:r>
        <w:rPr/>
        <w:pict>
          <v:rect style="position:absolute;margin-left:505.970001pt;margin-top:-17.078249pt;width:35.220800pt;height:8.537140pt;mso-position-horizontal-relative:page;mso-position-vertical-relative:paragraph;z-index:-1137568" filled="true" fillcolor="#67ed4d"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rPr>
          <w:sz w:val="20"/>
        </w:rPr>
      </w:pPr>
    </w:p>
    <w:p>
      <w:pPr>
        <w:pStyle w:val="BodyText"/>
        <w:rPr>
          <w:sz w:val="20"/>
        </w:rPr>
      </w:pPr>
    </w:p>
    <w:p>
      <w:pPr>
        <w:pStyle w:val="BodyText"/>
        <w:spacing w:before="211"/>
        <w:ind w:left="268"/>
      </w:pPr>
      <w:r>
        <w:rPr/>
        <w:pict>
          <v:line style="position:absolute;mso-position-horizontal-relative:page;mso-position-vertical-relative:paragraph;z-index:20488" from="93.199997pt,-32.194149pt" to="546.799997pt,-32.194149pt" stroked="true" strokeweight=".479981pt" strokecolor="#000000">
            <w10:wrap type="none"/>
          </v:line>
        </w:pict>
      </w:r>
      <w:r>
        <w:rPr/>
        <w:pict>
          <v:group style="position:absolute;margin-left:355.827515pt;margin-top:70.191444pt;width:67pt;height:16.1500pt;mso-position-horizontal-relative:page;mso-position-vertical-relative:paragraph;z-index:-1137520" coordorigin="7117,1404" coordsize="1340,323">
            <v:line style="position:absolute" from="7122,1409" to="7122,1573" stroked="true" strokeweight=".511pt" strokecolor="#baf9f5"/>
            <v:shape style="position:absolute;left:7127;top:1409;width:1329;height:318" coordorigin="7127,1409" coordsize="1329,318" path="m8456,1409l7127,1409,7127,1563,7127,1573,7127,1726,8456,1726,8456,1573,8456,1563,8456,1409e" filled="true" fillcolor="#baf9f5" stroked="false">
              <v:path arrowok="t"/>
              <v:fill type="solid"/>
            </v:shape>
            <w10:wrap type="none"/>
          </v:group>
        </w:pict>
      </w:r>
      <w:r>
        <w:rPr/>
        <w:pict>
          <v:group style="position:absolute;margin-left:455.48999pt;margin-top:70.466446pt;width:66.95pt;height:15.9pt;mso-position-horizontal-relative:page;mso-position-vertical-relative:paragraph;z-index:-1137496" coordorigin="9110,1409" coordsize="1339,318">
            <v:rect style="position:absolute;left:9774;top:1409;width:675;height:164" filled="true" fillcolor="#67ed4d" stroked="false">
              <v:fill type="solid"/>
            </v:rect>
            <v:rect style="position:absolute;left:9110;top:1563;width:1339;height:164" filled="true" fillcolor="#baf9f5" stroked="false">
              <v:fill type="solid"/>
            </v:rect>
            <w10:wrap type="none"/>
          </v:group>
        </w:pict>
      </w:r>
      <w:r>
        <w:rPr/>
        <w:pict>
          <v:rect style="position:absolute;margin-left:356.358002pt;margin-top:101.146385pt;width:66.428700pt;height:8.18146pt;mso-position-horizontal-relative:page;mso-position-vertical-relative:paragraph;z-index:-1137472" filled="true" fillcolor="#baf9f5" stroked="false">
            <v:fill type="solid"/>
            <w10:wrap type="none"/>
          </v:rect>
        </w:pict>
      </w:r>
      <w:r>
        <w:rPr/>
        <w:pict>
          <v:rect style="position:absolute;margin-left:455.48999pt;margin-top:101.146385pt;width:66.9397pt;height:8.18146pt;mso-position-horizontal-relative:page;mso-position-vertical-relative:paragraph;z-index:-1137448" filled="true" fillcolor="#baf9f5" stroked="false">
            <v:fill type="solid"/>
            <w10:wrap type="none"/>
          </v:rect>
        </w:pict>
      </w:r>
      <w:r>
        <w:rPr/>
        <w:pict>
          <v:shape style="position:absolute;margin-left:356.358002pt;margin-top:124.156815pt;width:66.45pt;height:23.55pt;mso-position-horizontal-relative:page;mso-position-vertical-relative:paragraph;z-index:-1137424" coordorigin="7127,2483" coordsize="1329,471" path="m8456,2800l7127,2800,7127,2954,8456,2954,8456,2800m8456,2483l7127,2483,7127,2647,7127,2800,8456,2800,8456,2647,8456,2483e" filled="true" fillcolor="#baf9f5" stroked="false">
            <v:path arrowok="t"/>
            <v:fill type="solid"/>
            <w10:wrap type="none"/>
          </v:shape>
        </w:pict>
      </w:r>
      <w:r>
        <w:rPr/>
        <w:pict>
          <v:shape style="position:absolute;margin-left:455.490021pt;margin-top:124.156815pt;width:66.95pt;height:23.55pt;mso-position-horizontal-relative:page;mso-position-vertical-relative:paragraph;z-index:-1137400" coordorigin="9110,2483" coordsize="1339,471" path="m10449,2800l9110,2800,9110,2954,10449,2954,10449,2800m10449,2483l9110,2483,9110,2647,9110,2800,10449,2800,10449,2647,10449,2483e" filled="true" fillcolor="#baf9f5" stroked="false">
            <v:path arrowok="t"/>
            <v:fill type="solid"/>
            <w10:wrap type="none"/>
          </v:shape>
        </w:pict>
      </w:r>
      <w:r>
        <w:rPr/>
        <w:t>Tabla 45. ISE San Andrés</w:t>
      </w:r>
    </w:p>
    <w:p>
      <w:pPr>
        <w:pStyle w:val="BodyText"/>
        <w:spacing w:before="8"/>
        <w:rPr>
          <w:sz w:val="11"/>
        </w:rPr>
      </w:pP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47"/>
        <w:gridCol w:w="1728"/>
        <w:gridCol w:w="2348"/>
        <w:gridCol w:w="1564"/>
        <w:gridCol w:w="778"/>
        <w:gridCol w:w="717"/>
        <w:gridCol w:w="664"/>
      </w:tblGrid>
      <w:tr>
        <w:trPr>
          <w:trHeight w:val="506" w:hRule="exact"/>
        </w:trPr>
        <w:tc>
          <w:tcPr>
            <w:tcW w:w="8447" w:type="dxa"/>
            <w:gridSpan w:val="7"/>
            <w:tcBorders>
              <w:bottom w:val="nil"/>
            </w:tcBorders>
            <w:shd w:val="clear" w:color="auto" w:fill="000000"/>
          </w:tcPr>
          <w:p>
            <w:pPr>
              <w:pStyle w:val="TableParagraph"/>
              <w:spacing w:before="87"/>
              <w:ind w:left="3139" w:right="3132"/>
              <w:rPr>
                <w:b/>
                <w:sz w:val="12"/>
              </w:rPr>
            </w:pPr>
            <w:r>
              <w:rPr>
                <w:b/>
                <w:color w:val="FFFFFF"/>
                <w:sz w:val="12"/>
              </w:rPr>
              <w:t>San Andrés</w:t>
            </w:r>
          </w:p>
          <w:p>
            <w:pPr>
              <w:pStyle w:val="TableParagraph"/>
              <w:spacing w:before="15"/>
              <w:ind w:left="3139" w:right="3140"/>
              <w:rPr>
                <w:b/>
                <w:sz w:val="12"/>
              </w:rPr>
            </w:pPr>
            <w:r>
              <w:rPr>
                <w:b/>
                <w:color w:val="FFFFFF"/>
                <w:sz w:val="12"/>
              </w:rPr>
              <w:t>Índice de sustentabilidad  económica</w:t>
            </w:r>
          </w:p>
        </w:tc>
      </w:tr>
      <w:tr>
        <w:trPr>
          <w:trHeight w:val="210" w:hRule="exact"/>
        </w:trPr>
        <w:tc>
          <w:tcPr>
            <w:tcW w:w="647" w:type="dxa"/>
            <w:tcBorders>
              <w:top w:val="single" w:sz="4" w:space="0" w:color="FFFFFF"/>
              <w:left w:val="single" w:sz="4" w:space="0" w:color="000000"/>
            </w:tcBorders>
            <w:shd w:val="clear" w:color="auto" w:fill="808080"/>
          </w:tcPr>
          <w:p>
            <w:pPr>
              <w:pStyle w:val="TableParagraph"/>
              <w:spacing w:before="15"/>
              <w:ind w:left="36" w:right="17"/>
              <w:rPr>
                <w:b/>
                <w:sz w:val="12"/>
              </w:rPr>
            </w:pPr>
            <w:r>
              <w:rPr>
                <w:b/>
                <w:color w:val="FFFFFF"/>
                <w:sz w:val="12"/>
              </w:rPr>
              <w:t>Índice</w:t>
            </w:r>
          </w:p>
        </w:tc>
        <w:tc>
          <w:tcPr>
            <w:tcW w:w="1728" w:type="dxa"/>
            <w:tcBorders>
              <w:top w:val="single" w:sz="4" w:space="0" w:color="FFFFFF"/>
            </w:tcBorders>
            <w:shd w:val="clear" w:color="auto" w:fill="808080"/>
          </w:tcPr>
          <w:p>
            <w:pPr>
              <w:pStyle w:val="TableParagraph"/>
              <w:spacing w:before="15"/>
              <w:ind w:left="42"/>
              <w:jc w:val="left"/>
              <w:rPr>
                <w:b/>
                <w:sz w:val="12"/>
              </w:rPr>
            </w:pPr>
            <w:r>
              <w:rPr>
                <w:b/>
                <w:color w:val="FFFFFF"/>
                <w:sz w:val="12"/>
              </w:rPr>
              <w:t>Subíndice</w:t>
            </w:r>
          </w:p>
        </w:tc>
        <w:tc>
          <w:tcPr>
            <w:tcW w:w="2348" w:type="dxa"/>
            <w:tcBorders>
              <w:top w:val="single" w:sz="4" w:space="0" w:color="FFFFFF"/>
            </w:tcBorders>
            <w:shd w:val="clear" w:color="auto" w:fill="808080"/>
          </w:tcPr>
          <w:p>
            <w:pPr>
              <w:pStyle w:val="TableParagraph"/>
              <w:spacing w:before="15"/>
              <w:ind w:left="358" w:right="724"/>
              <w:jc w:val="left"/>
              <w:rPr>
                <w:b/>
                <w:sz w:val="12"/>
              </w:rPr>
            </w:pPr>
            <w:r>
              <w:rPr>
                <w:b/>
                <w:color w:val="FFFFFF"/>
                <w:sz w:val="12"/>
              </w:rPr>
              <w:t>Indicador</w:t>
            </w:r>
          </w:p>
        </w:tc>
        <w:tc>
          <w:tcPr>
            <w:tcW w:w="1564" w:type="dxa"/>
            <w:tcBorders>
              <w:top w:val="single" w:sz="4" w:space="0" w:color="FFFFFF"/>
            </w:tcBorders>
            <w:shd w:val="clear" w:color="auto" w:fill="808080"/>
          </w:tcPr>
          <w:p>
            <w:pPr/>
          </w:p>
        </w:tc>
        <w:tc>
          <w:tcPr>
            <w:tcW w:w="778" w:type="dxa"/>
            <w:tcBorders>
              <w:top w:val="single" w:sz="4" w:space="0" w:color="FFFFFF"/>
            </w:tcBorders>
            <w:shd w:val="clear" w:color="auto" w:fill="808080"/>
          </w:tcPr>
          <w:p>
            <w:pPr>
              <w:pStyle w:val="TableParagraph"/>
              <w:spacing w:before="15"/>
              <w:ind w:right="50"/>
              <w:jc w:val="right"/>
              <w:rPr>
                <w:b/>
                <w:sz w:val="12"/>
              </w:rPr>
            </w:pPr>
            <w:r>
              <w:rPr>
                <w:b/>
                <w:color w:val="FFFFFF"/>
                <w:sz w:val="12"/>
              </w:rPr>
              <w:t>Valores</w:t>
            </w:r>
          </w:p>
        </w:tc>
        <w:tc>
          <w:tcPr>
            <w:tcW w:w="1381" w:type="dxa"/>
            <w:gridSpan w:val="2"/>
            <w:tcBorders>
              <w:top w:val="single" w:sz="4" w:space="0" w:color="FFFFFF"/>
              <w:right w:val="single" w:sz="8" w:space="0" w:color="000000"/>
            </w:tcBorders>
            <w:shd w:val="clear" w:color="auto" w:fill="808080"/>
          </w:tcPr>
          <w:p>
            <w:pPr/>
          </w:p>
        </w:tc>
      </w:tr>
      <w:tr>
        <w:trPr>
          <w:trHeight w:val="378" w:hRule="exact"/>
        </w:trPr>
        <w:tc>
          <w:tcPr>
            <w:tcW w:w="647" w:type="dxa"/>
            <w:tcBorders>
              <w:left w:val="single" w:sz="4" w:space="0" w:color="000000"/>
            </w:tcBorders>
          </w:tcPr>
          <w:p>
            <w:pPr/>
          </w:p>
        </w:tc>
        <w:tc>
          <w:tcPr>
            <w:tcW w:w="1728" w:type="dxa"/>
          </w:tcPr>
          <w:p>
            <w:pPr>
              <w:pStyle w:val="TableParagraph"/>
              <w:jc w:val="left"/>
              <w:rPr>
                <w:sz w:val="12"/>
              </w:rPr>
            </w:pPr>
          </w:p>
          <w:p>
            <w:pPr>
              <w:pStyle w:val="TableParagraph"/>
              <w:spacing w:before="90"/>
              <w:ind w:left="42"/>
              <w:jc w:val="left"/>
              <w:rPr>
                <w:rFonts w:ascii="Calibri" w:hAnsi="Calibri"/>
                <w:sz w:val="12"/>
              </w:rPr>
            </w:pPr>
            <w:r>
              <w:rPr>
                <w:rFonts w:ascii="Calibri" w:hAnsi="Calibri"/>
                <w:sz w:val="12"/>
              </w:rPr>
              <w:t>Situación de la vivienda</w:t>
            </w:r>
          </w:p>
        </w:tc>
        <w:tc>
          <w:tcPr>
            <w:tcW w:w="2348" w:type="dxa"/>
          </w:tcPr>
          <w:p>
            <w:pPr>
              <w:pStyle w:val="TableParagraph"/>
              <w:jc w:val="left"/>
              <w:rPr>
                <w:sz w:val="12"/>
              </w:rPr>
            </w:pPr>
          </w:p>
          <w:p>
            <w:pPr>
              <w:pStyle w:val="TableParagraph"/>
              <w:spacing w:before="90"/>
              <w:ind w:left="358" w:right="724"/>
              <w:jc w:val="left"/>
              <w:rPr>
                <w:rFonts w:ascii="Calibri"/>
                <w:sz w:val="12"/>
              </w:rPr>
            </w:pPr>
            <w:r>
              <w:rPr>
                <w:rFonts w:ascii="Calibri"/>
                <w:sz w:val="12"/>
              </w:rPr>
              <w:t>Precio</w:t>
            </w:r>
          </w:p>
        </w:tc>
        <w:tc>
          <w:tcPr>
            <w:tcW w:w="1564" w:type="dxa"/>
          </w:tcPr>
          <w:p>
            <w:pPr>
              <w:pStyle w:val="TableParagraph"/>
              <w:spacing w:before="76"/>
              <w:ind w:left="736" w:right="154"/>
              <w:rPr>
                <w:b/>
                <w:sz w:val="12"/>
              </w:rPr>
            </w:pPr>
            <w:r>
              <w:rPr>
                <w:b/>
                <w:sz w:val="12"/>
              </w:rPr>
              <w:t>Evaluación</w:t>
            </w:r>
          </w:p>
          <w:p>
            <w:pPr>
              <w:pStyle w:val="TableParagraph"/>
              <w:spacing w:before="13"/>
              <w:ind w:right="453"/>
              <w:jc w:val="right"/>
              <w:rPr>
                <w:rFonts w:ascii="Calibri"/>
                <w:sz w:val="12"/>
              </w:rPr>
            </w:pPr>
            <w:r>
              <w:rPr>
                <w:rFonts w:ascii="Calibri"/>
                <w:w w:val="102"/>
                <w:sz w:val="12"/>
              </w:rPr>
              <w:t>0</w:t>
            </w:r>
          </w:p>
        </w:tc>
        <w:tc>
          <w:tcPr>
            <w:tcW w:w="778" w:type="dxa"/>
          </w:tcPr>
          <w:p>
            <w:pPr>
              <w:pStyle w:val="TableParagraph"/>
              <w:tabs>
                <w:tab w:pos="674" w:val="left" w:leader="none"/>
              </w:tabs>
              <w:spacing w:before="76"/>
              <w:ind w:right="-63"/>
              <w:jc w:val="right"/>
              <w:rPr>
                <w:b/>
                <w:sz w:val="12"/>
              </w:rPr>
            </w:pPr>
            <w:r>
              <w:rPr>
                <w:b/>
                <w:w w:val="102"/>
                <w:sz w:val="12"/>
                <w:shd w:fill="F79646" w:color="auto" w:val="clear"/>
              </w:rPr>
              <w:t> </w:t>
            </w:r>
            <w:r>
              <w:rPr>
                <w:b/>
                <w:sz w:val="12"/>
                <w:shd w:fill="F79646" w:color="auto" w:val="clear"/>
              </w:rPr>
              <w:t>    </w:t>
            </w:r>
            <w:r>
              <w:rPr>
                <w:b/>
                <w:spacing w:val="3"/>
                <w:sz w:val="12"/>
                <w:shd w:fill="F79646" w:color="auto" w:val="clear"/>
              </w:rPr>
              <w:t> </w:t>
            </w:r>
            <w:r>
              <w:rPr>
                <w:b/>
                <w:spacing w:val="-1"/>
                <w:sz w:val="12"/>
                <w:shd w:fill="F79646" w:color="auto" w:val="clear"/>
              </w:rPr>
              <w:t>Real</w:t>
              <w:tab/>
            </w:r>
          </w:p>
        </w:tc>
        <w:tc>
          <w:tcPr>
            <w:tcW w:w="717" w:type="dxa"/>
          </w:tcPr>
          <w:p>
            <w:pPr>
              <w:pStyle w:val="TableParagraph"/>
              <w:spacing w:before="76"/>
              <w:ind w:left="52" w:right="-11"/>
              <w:rPr>
                <w:b/>
                <w:sz w:val="12"/>
              </w:rPr>
            </w:pPr>
            <w:r>
              <w:rPr>
                <w:b/>
                <w:w w:val="102"/>
                <w:sz w:val="12"/>
                <w:shd w:fill="FFFF00" w:color="auto" w:val="clear"/>
              </w:rPr>
              <w:t> </w:t>
            </w:r>
            <w:r>
              <w:rPr>
                <w:b/>
                <w:spacing w:val="4"/>
                <w:sz w:val="12"/>
                <w:shd w:fill="FFFF00" w:color="auto" w:val="clear"/>
              </w:rPr>
              <w:t> </w:t>
            </w:r>
            <w:r>
              <w:rPr>
                <w:b/>
                <w:sz w:val="12"/>
                <w:shd w:fill="FFFF00" w:color="auto" w:val="clear"/>
              </w:rPr>
              <w:t>Deseable</w:t>
            </w:r>
            <w:r>
              <w:rPr>
                <w:b/>
                <w:spacing w:val="-3"/>
                <w:sz w:val="12"/>
                <w:shd w:fill="FFFF00" w:color="auto" w:val="clear"/>
              </w:rPr>
              <w:t> </w:t>
            </w:r>
          </w:p>
          <w:p>
            <w:pPr>
              <w:pStyle w:val="TableParagraph"/>
              <w:spacing w:before="13"/>
              <w:ind w:left="289" w:right="235"/>
              <w:rPr>
                <w:rFonts w:ascii="Calibri"/>
                <w:sz w:val="12"/>
              </w:rPr>
            </w:pPr>
            <w:r>
              <w:rPr>
                <w:rFonts w:ascii="Calibri"/>
                <w:sz w:val="12"/>
              </w:rPr>
              <w:t>0.5</w:t>
            </w:r>
          </w:p>
        </w:tc>
        <w:tc>
          <w:tcPr>
            <w:tcW w:w="664" w:type="dxa"/>
            <w:tcBorders>
              <w:right w:val="single" w:sz="8" w:space="0" w:color="000000"/>
            </w:tcBorders>
          </w:tcPr>
          <w:p>
            <w:pPr>
              <w:pStyle w:val="TableParagraph"/>
              <w:spacing w:before="76"/>
              <w:ind w:left="107" w:right="87"/>
              <w:rPr>
                <w:b/>
                <w:sz w:val="12"/>
              </w:rPr>
            </w:pPr>
            <w:r>
              <w:rPr>
                <w:b/>
                <w:sz w:val="12"/>
              </w:rPr>
              <w:t>Óptimo</w:t>
            </w:r>
          </w:p>
          <w:p>
            <w:pPr>
              <w:pStyle w:val="TableParagraph"/>
              <w:spacing w:before="13"/>
              <w:ind w:left="21"/>
              <w:rPr>
                <w:rFonts w:ascii="Calibri"/>
                <w:sz w:val="12"/>
              </w:rPr>
            </w:pPr>
            <w:r>
              <w:rPr>
                <w:rFonts w:ascii="Calibri"/>
                <w:w w:val="102"/>
                <w:sz w:val="12"/>
              </w:rPr>
              <w:t>1</w:t>
            </w:r>
          </w:p>
        </w:tc>
      </w:tr>
      <w:tr>
        <w:trPr>
          <w:trHeight w:val="164" w:hRule="exact"/>
        </w:trPr>
        <w:tc>
          <w:tcPr>
            <w:tcW w:w="647" w:type="dxa"/>
            <w:tcBorders>
              <w:left w:val="single" w:sz="4" w:space="0" w:color="000000"/>
            </w:tcBorders>
          </w:tcPr>
          <w:p>
            <w:pPr/>
          </w:p>
        </w:tc>
        <w:tc>
          <w:tcPr>
            <w:tcW w:w="1728" w:type="dxa"/>
          </w:tcPr>
          <w:p>
            <w:pPr/>
          </w:p>
        </w:tc>
        <w:tc>
          <w:tcPr>
            <w:tcW w:w="2348" w:type="dxa"/>
          </w:tcPr>
          <w:p>
            <w:pPr/>
          </w:p>
        </w:tc>
        <w:tc>
          <w:tcPr>
            <w:tcW w:w="1564" w:type="dxa"/>
          </w:tcPr>
          <w:p>
            <w:pPr>
              <w:pStyle w:val="TableParagraph"/>
              <w:spacing w:before="3"/>
              <w:ind w:left="732" w:right="154"/>
              <w:rPr>
                <w:rFonts w:ascii="Calibri"/>
                <w:sz w:val="12"/>
              </w:rPr>
            </w:pPr>
            <w:r>
              <w:rPr>
                <w:rFonts w:ascii="Calibri"/>
                <w:sz w:val="12"/>
              </w:rPr>
              <w:t>Subtotal</w:t>
            </w:r>
          </w:p>
        </w:tc>
        <w:tc>
          <w:tcPr>
            <w:tcW w:w="778" w:type="dxa"/>
          </w:tcPr>
          <w:p>
            <w:pPr>
              <w:pStyle w:val="TableParagraph"/>
              <w:tabs>
                <w:tab w:pos="306" w:val="left" w:leader="none"/>
                <w:tab w:pos="674" w:val="left" w:leader="none"/>
              </w:tabs>
              <w:spacing w:before="3"/>
              <w:ind w:right="-63"/>
              <w:jc w:val="right"/>
              <w:rPr>
                <w:rFonts w:ascii="Calibri"/>
                <w:sz w:val="12"/>
              </w:rPr>
            </w:pPr>
            <w:r>
              <w:rPr>
                <w:rFonts w:ascii="Times New Roman"/>
                <w:w w:val="102"/>
                <w:sz w:val="12"/>
                <w:shd w:fill="F79646" w:color="auto" w:val="clear"/>
              </w:rPr>
              <w:t> </w:t>
            </w:r>
            <w:r>
              <w:rPr>
                <w:rFonts w:ascii="Times New Roman"/>
                <w:sz w:val="12"/>
                <w:shd w:fill="F79646" w:color="auto" w:val="clear"/>
              </w:rPr>
              <w:tab/>
            </w:r>
            <w:r>
              <w:rPr>
                <w:rFonts w:ascii="Calibri"/>
                <w:spacing w:val="-1"/>
                <w:sz w:val="12"/>
                <w:shd w:fill="F79646" w:color="auto" w:val="clear"/>
              </w:rPr>
              <w:t>0</w:t>
              <w:tab/>
            </w:r>
          </w:p>
        </w:tc>
        <w:tc>
          <w:tcPr>
            <w:tcW w:w="717" w:type="dxa"/>
          </w:tcPr>
          <w:p>
            <w:pPr>
              <w:pStyle w:val="TableParagraph"/>
              <w:tabs>
                <w:tab w:pos="308" w:val="left" w:leader="none"/>
                <w:tab w:pos="727" w:val="left" w:leader="none"/>
              </w:tabs>
              <w:spacing w:before="3"/>
              <w:ind w:left="52" w:right="-11"/>
              <w:rPr>
                <w:rFonts w:ascii="Calibri"/>
                <w:sz w:val="12"/>
              </w:rPr>
            </w:pPr>
            <w:r>
              <w:rPr>
                <w:rFonts w:ascii="Times New Roman"/>
                <w:w w:val="102"/>
                <w:sz w:val="12"/>
                <w:shd w:fill="FFFF00" w:color="auto" w:val="clear"/>
              </w:rPr>
              <w:t> </w:t>
            </w:r>
            <w:r>
              <w:rPr>
                <w:rFonts w:ascii="Times New Roman"/>
                <w:sz w:val="12"/>
                <w:shd w:fill="FFFF00" w:color="auto" w:val="clear"/>
              </w:rPr>
              <w:tab/>
            </w:r>
            <w:r>
              <w:rPr>
                <w:rFonts w:ascii="Calibri"/>
                <w:sz w:val="12"/>
                <w:shd w:fill="FFFF00" w:color="auto" w:val="clear"/>
              </w:rPr>
              <w:t>0.5</w:t>
              <w:tab/>
            </w:r>
          </w:p>
        </w:tc>
        <w:tc>
          <w:tcPr>
            <w:tcW w:w="664" w:type="dxa"/>
            <w:tcBorders>
              <w:right w:val="single" w:sz="8" w:space="0" w:color="000000"/>
            </w:tcBorders>
            <w:shd w:val="clear" w:color="auto" w:fill="67ED4D"/>
          </w:tcPr>
          <w:p>
            <w:pPr>
              <w:pStyle w:val="TableParagraph"/>
              <w:spacing w:before="3"/>
              <w:ind w:right="283"/>
              <w:jc w:val="right"/>
              <w:rPr>
                <w:rFonts w:ascii="Calibri"/>
                <w:sz w:val="12"/>
              </w:rPr>
            </w:pPr>
            <w:r>
              <w:rPr>
                <w:rFonts w:ascii="Calibri"/>
                <w:w w:val="102"/>
                <w:sz w:val="12"/>
              </w:rPr>
              <w:t>1</w:t>
            </w:r>
          </w:p>
        </w:tc>
      </w:tr>
      <w:tr>
        <w:trPr>
          <w:trHeight w:val="297" w:hRule="exact"/>
        </w:trPr>
        <w:tc>
          <w:tcPr>
            <w:tcW w:w="647" w:type="dxa"/>
            <w:tcBorders>
              <w:left w:val="single" w:sz="4" w:space="0" w:color="000000"/>
            </w:tcBorders>
          </w:tcPr>
          <w:p>
            <w:pPr/>
          </w:p>
        </w:tc>
        <w:tc>
          <w:tcPr>
            <w:tcW w:w="1728" w:type="dxa"/>
          </w:tcPr>
          <w:p>
            <w:pPr>
              <w:pStyle w:val="TableParagraph"/>
              <w:spacing w:before="8"/>
              <w:jc w:val="left"/>
              <w:rPr>
                <w:sz w:val="12"/>
              </w:rPr>
            </w:pPr>
          </w:p>
          <w:p>
            <w:pPr>
              <w:pStyle w:val="TableParagraph"/>
              <w:ind w:left="42"/>
              <w:jc w:val="left"/>
              <w:rPr>
                <w:rFonts w:ascii="Calibri"/>
                <w:sz w:val="12"/>
              </w:rPr>
            </w:pPr>
            <w:r>
              <w:rPr>
                <w:rFonts w:ascii="Calibri"/>
                <w:sz w:val="12"/>
              </w:rPr>
              <w:t>INEX</w:t>
            </w:r>
          </w:p>
        </w:tc>
        <w:tc>
          <w:tcPr>
            <w:tcW w:w="2348" w:type="dxa"/>
          </w:tcPr>
          <w:p>
            <w:pPr>
              <w:pStyle w:val="TableParagraph"/>
              <w:spacing w:before="8"/>
              <w:jc w:val="left"/>
              <w:rPr>
                <w:sz w:val="12"/>
              </w:rPr>
            </w:pPr>
          </w:p>
          <w:p>
            <w:pPr>
              <w:pStyle w:val="TableParagraph"/>
              <w:ind w:left="358" w:right="724"/>
              <w:jc w:val="left"/>
              <w:rPr>
                <w:rFonts w:ascii="Calibri"/>
                <w:sz w:val="12"/>
              </w:rPr>
            </w:pPr>
            <w:r>
              <w:rPr>
                <w:rFonts w:ascii="Calibri"/>
                <w:sz w:val="12"/>
              </w:rPr>
              <w:t>Infonavit</w:t>
            </w:r>
          </w:p>
        </w:tc>
        <w:tc>
          <w:tcPr>
            <w:tcW w:w="1564" w:type="dxa"/>
          </w:tcPr>
          <w:p>
            <w:pPr>
              <w:pStyle w:val="TableParagraph"/>
              <w:spacing w:before="8"/>
              <w:jc w:val="left"/>
              <w:rPr>
                <w:sz w:val="12"/>
              </w:rPr>
            </w:pPr>
          </w:p>
          <w:p>
            <w:pPr>
              <w:pStyle w:val="TableParagraph"/>
              <w:ind w:left="590"/>
              <w:rPr>
                <w:rFonts w:ascii="Calibri"/>
                <w:sz w:val="12"/>
              </w:rPr>
            </w:pPr>
            <w:r>
              <w:rPr>
                <w:rFonts w:ascii="Calibri"/>
                <w:w w:val="102"/>
                <w:sz w:val="12"/>
              </w:rPr>
              <w:t>0</w:t>
            </w:r>
          </w:p>
        </w:tc>
        <w:tc>
          <w:tcPr>
            <w:tcW w:w="778" w:type="dxa"/>
          </w:tcPr>
          <w:p>
            <w:pPr/>
          </w:p>
        </w:tc>
        <w:tc>
          <w:tcPr>
            <w:tcW w:w="717" w:type="dxa"/>
          </w:tcPr>
          <w:p>
            <w:pPr>
              <w:pStyle w:val="TableParagraph"/>
              <w:spacing w:before="8"/>
              <w:jc w:val="left"/>
              <w:rPr>
                <w:sz w:val="12"/>
              </w:rPr>
            </w:pPr>
          </w:p>
          <w:p>
            <w:pPr>
              <w:pStyle w:val="TableParagraph"/>
              <w:ind w:left="289" w:right="235"/>
              <w:rPr>
                <w:rFonts w:ascii="Calibri"/>
                <w:sz w:val="12"/>
              </w:rPr>
            </w:pPr>
            <w:r>
              <w:rPr>
                <w:rFonts w:ascii="Calibri"/>
                <w:sz w:val="12"/>
              </w:rPr>
              <w:t>0.7</w:t>
            </w:r>
          </w:p>
        </w:tc>
        <w:tc>
          <w:tcPr>
            <w:tcW w:w="664" w:type="dxa"/>
            <w:tcBorders>
              <w:right w:val="single" w:sz="8" w:space="0" w:color="000000"/>
            </w:tcBorders>
          </w:tcPr>
          <w:p>
            <w:pPr>
              <w:pStyle w:val="TableParagraph"/>
              <w:spacing w:before="8"/>
              <w:jc w:val="left"/>
              <w:rPr>
                <w:sz w:val="12"/>
              </w:rPr>
            </w:pPr>
          </w:p>
          <w:p>
            <w:pPr>
              <w:pStyle w:val="TableParagraph"/>
              <w:ind w:right="283"/>
              <w:jc w:val="right"/>
              <w:rPr>
                <w:rFonts w:ascii="Calibri"/>
                <w:sz w:val="12"/>
              </w:rPr>
            </w:pPr>
            <w:r>
              <w:rPr>
                <w:rFonts w:ascii="Calibri"/>
                <w:w w:val="102"/>
                <w:sz w:val="12"/>
              </w:rPr>
              <w:t>1</w:t>
            </w:r>
          </w:p>
        </w:tc>
      </w:tr>
      <w:tr>
        <w:trPr>
          <w:trHeight w:val="164" w:hRule="exact"/>
        </w:trPr>
        <w:tc>
          <w:tcPr>
            <w:tcW w:w="647" w:type="dxa"/>
            <w:tcBorders>
              <w:left w:val="single" w:sz="4" w:space="0" w:color="000000"/>
            </w:tcBorders>
          </w:tcPr>
          <w:p>
            <w:pPr/>
          </w:p>
        </w:tc>
        <w:tc>
          <w:tcPr>
            <w:tcW w:w="1728" w:type="dxa"/>
          </w:tcPr>
          <w:p>
            <w:pPr/>
          </w:p>
        </w:tc>
        <w:tc>
          <w:tcPr>
            <w:tcW w:w="2348" w:type="dxa"/>
          </w:tcPr>
          <w:p>
            <w:pPr/>
          </w:p>
        </w:tc>
        <w:tc>
          <w:tcPr>
            <w:tcW w:w="1564" w:type="dxa"/>
          </w:tcPr>
          <w:p>
            <w:pPr>
              <w:pStyle w:val="TableParagraph"/>
              <w:spacing w:before="3"/>
              <w:ind w:left="732" w:right="154"/>
              <w:rPr>
                <w:rFonts w:ascii="Calibri"/>
                <w:sz w:val="12"/>
              </w:rPr>
            </w:pPr>
            <w:r>
              <w:rPr>
                <w:rFonts w:ascii="Calibri"/>
                <w:sz w:val="12"/>
              </w:rPr>
              <w:t>Subtotal</w:t>
            </w:r>
          </w:p>
        </w:tc>
        <w:tc>
          <w:tcPr>
            <w:tcW w:w="778" w:type="dxa"/>
          </w:tcPr>
          <w:p>
            <w:pPr>
              <w:pStyle w:val="TableParagraph"/>
              <w:tabs>
                <w:tab w:pos="306" w:val="left" w:leader="none"/>
                <w:tab w:pos="674" w:val="left" w:leader="none"/>
              </w:tabs>
              <w:spacing w:before="3"/>
              <w:ind w:right="-63"/>
              <w:jc w:val="right"/>
              <w:rPr>
                <w:rFonts w:ascii="Calibri"/>
                <w:sz w:val="12"/>
              </w:rPr>
            </w:pPr>
            <w:r>
              <w:rPr>
                <w:rFonts w:ascii="Times New Roman"/>
                <w:w w:val="102"/>
                <w:sz w:val="12"/>
                <w:shd w:fill="F79646" w:color="auto" w:val="clear"/>
              </w:rPr>
              <w:t> </w:t>
            </w:r>
            <w:r>
              <w:rPr>
                <w:rFonts w:ascii="Times New Roman"/>
                <w:sz w:val="12"/>
                <w:shd w:fill="F79646" w:color="auto" w:val="clear"/>
              </w:rPr>
              <w:tab/>
            </w:r>
            <w:r>
              <w:rPr>
                <w:rFonts w:ascii="Calibri"/>
                <w:sz w:val="12"/>
                <w:shd w:fill="F79646" w:color="auto" w:val="clear"/>
              </w:rPr>
              <w:t>0</w:t>
              <w:tab/>
            </w:r>
          </w:p>
        </w:tc>
        <w:tc>
          <w:tcPr>
            <w:tcW w:w="717" w:type="dxa"/>
          </w:tcPr>
          <w:p>
            <w:pPr>
              <w:pStyle w:val="TableParagraph"/>
              <w:tabs>
                <w:tab w:pos="308" w:val="left" w:leader="none"/>
                <w:tab w:pos="727" w:val="left" w:leader="none"/>
              </w:tabs>
              <w:spacing w:before="3"/>
              <w:ind w:left="52" w:right="-11"/>
              <w:rPr>
                <w:rFonts w:ascii="Calibri"/>
                <w:sz w:val="12"/>
              </w:rPr>
            </w:pPr>
            <w:r>
              <w:rPr>
                <w:rFonts w:ascii="Times New Roman"/>
                <w:w w:val="102"/>
                <w:sz w:val="12"/>
                <w:shd w:fill="FFFF00" w:color="auto" w:val="clear"/>
              </w:rPr>
              <w:t> </w:t>
            </w:r>
            <w:r>
              <w:rPr>
                <w:rFonts w:ascii="Times New Roman"/>
                <w:sz w:val="12"/>
                <w:shd w:fill="FFFF00" w:color="auto" w:val="clear"/>
              </w:rPr>
              <w:tab/>
            </w:r>
            <w:r>
              <w:rPr>
                <w:rFonts w:ascii="Calibri"/>
                <w:sz w:val="12"/>
                <w:shd w:fill="FFFF00" w:color="auto" w:val="clear"/>
              </w:rPr>
              <w:t>0.7</w:t>
              <w:tab/>
            </w:r>
          </w:p>
        </w:tc>
        <w:tc>
          <w:tcPr>
            <w:tcW w:w="664" w:type="dxa"/>
            <w:tcBorders>
              <w:right w:val="single" w:sz="8" w:space="0" w:color="000000"/>
            </w:tcBorders>
            <w:shd w:val="clear" w:color="auto" w:fill="67ED4D"/>
          </w:tcPr>
          <w:p>
            <w:pPr>
              <w:pStyle w:val="TableParagraph"/>
              <w:spacing w:before="3"/>
              <w:ind w:right="283"/>
              <w:jc w:val="right"/>
              <w:rPr>
                <w:rFonts w:ascii="Calibri"/>
                <w:sz w:val="12"/>
              </w:rPr>
            </w:pPr>
            <w:r>
              <w:rPr>
                <w:rFonts w:ascii="Calibri"/>
                <w:w w:val="102"/>
                <w:sz w:val="12"/>
              </w:rPr>
              <w:t>1</w:t>
            </w:r>
          </w:p>
        </w:tc>
      </w:tr>
      <w:tr>
        <w:trPr>
          <w:trHeight w:val="603" w:hRule="exact"/>
        </w:trPr>
        <w:tc>
          <w:tcPr>
            <w:tcW w:w="647" w:type="dxa"/>
            <w:tcBorders>
              <w:left w:val="single" w:sz="4" w:space="0" w:color="000000"/>
            </w:tcBorders>
          </w:tcPr>
          <w:p>
            <w:pPr/>
          </w:p>
        </w:tc>
        <w:tc>
          <w:tcPr>
            <w:tcW w:w="1728" w:type="dxa"/>
          </w:tcPr>
          <w:p>
            <w:pPr>
              <w:pStyle w:val="TableParagraph"/>
              <w:jc w:val="left"/>
              <w:rPr>
                <w:sz w:val="12"/>
              </w:rPr>
            </w:pPr>
          </w:p>
          <w:p>
            <w:pPr>
              <w:pStyle w:val="TableParagraph"/>
              <w:jc w:val="left"/>
              <w:rPr>
                <w:sz w:val="14"/>
              </w:rPr>
            </w:pPr>
          </w:p>
          <w:p>
            <w:pPr>
              <w:pStyle w:val="TableParagraph"/>
              <w:spacing w:before="1"/>
              <w:ind w:left="42"/>
              <w:jc w:val="left"/>
              <w:rPr>
                <w:rFonts w:ascii="Calibri" w:hAnsi="Calibri"/>
                <w:sz w:val="12"/>
              </w:rPr>
            </w:pPr>
            <w:r>
              <w:rPr>
                <w:rFonts w:ascii="Calibri" w:hAnsi="Calibri"/>
                <w:sz w:val="12"/>
              </w:rPr>
              <w:t>Ingresos por autorización</w:t>
            </w:r>
          </w:p>
        </w:tc>
        <w:tc>
          <w:tcPr>
            <w:tcW w:w="2348" w:type="dxa"/>
          </w:tcPr>
          <w:p>
            <w:pPr>
              <w:pStyle w:val="TableParagraph"/>
              <w:spacing w:before="8"/>
              <w:jc w:val="left"/>
              <w:rPr>
                <w:sz w:val="12"/>
              </w:rPr>
            </w:pPr>
          </w:p>
          <w:p>
            <w:pPr>
              <w:pStyle w:val="TableParagraph"/>
              <w:spacing w:line="252" w:lineRule="auto"/>
              <w:ind w:left="358" w:right="724"/>
              <w:jc w:val="left"/>
              <w:rPr>
                <w:rFonts w:ascii="Calibri"/>
                <w:sz w:val="12"/>
              </w:rPr>
            </w:pPr>
            <w:r>
              <w:rPr>
                <w:rFonts w:ascii="Calibri"/>
                <w:sz w:val="12"/>
              </w:rPr>
              <w:t>Ingresos al Estado Ingresos al Municipio Ingresos al Desarrollador</w:t>
            </w:r>
          </w:p>
        </w:tc>
        <w:tc>
          <w:tcPr>
            <w:tcW w:w="1564" w:type="dxa"/>
          </w:tcPr>
          <w:p>
            <w:pPr>
              <w:pStyle w:val="TableParagraph"/>
              <w:spacing w:before="8"/>
              <w:jc w:val="left"/>
              <w:rPr>
                <w:sz w:val="12"/>
              </w:rPr>
            </w:pPr>
          </w:p>
          <w:p>
            <w:pPr>
              <w:pStyle w:val="TableParagraph"/>
              <w:ind w:right="453"/>
              <w:jc w:val="right"/>
              <w:rPr>
                <w:rFonts w:ascii="Calibri"/>
                <w:sz w:val="12"/>
              </w:rPr>
            </w:pPr>
            <w:r>
              <w:rPr>
                <w:rFonts w:ascii="Calibri"/>
                <w:w w:val="102"/>
                <w:sz w:val="12"/>
              </w:rPr>
              <w:t>1</w:t>
            </w:r>
          </w:p>
          <w:p>
            <w:pPr>
              <w:pStyle w:val="TableParagraph"/>
              <w:spacing w:before="7"/>
              <w:ind w:right="411"/>
              <w:jc w:val="right"/>
              <w:rPr>
                <w:rFonts w:ascii="Calibri"/>
                <w:sz w:val="12"/>
              </w:rPr>
            </w:pPr>
            <w:r>
              <w:rPr>
                <w:rFonts w:ascii="Calibri"/>
                <w:sz w:val="12"/>
              </w:rPr>
              <w:t>0.9</w:t>
            </w:r>
          </w:p>
          <w:p>
            <w:pPr>
              <w:pStyle w:val="TableParagraph"/>
              <w:spacing w:before="7"/>
              <w:ind w:right="411"/>
              <w:jc w:val="right"/>
              <w:rPr>
                <w:rFonts w:ascii="Calibri"/>
                <w:sz w:val="12"/>
              </w:rPr>
            </w:pPr>
            <w:r>
              <w:rPr>
                <w:rFonts w:ascii="Calibri"/>
                <w:sz w:val="12"/>
              </w:rPr>
              <w:t>0.6</w:t>
            </w:r>
          </w:p>
        </w:tc>
        <w:tc>
          <w:tcPr>
            <w:tcW w:w="778" w:type="dxa"/>
          </w:tcPr>
          <w:p>
            <w:pPr/>
          </w:p>
        </w:tc>
        <w:tc>
          <w:tcPr>
            <w:tcW w:w="717" w:type="dxa"/>
          </w:tcPr>
          <w:p>
            <w:pPr>
              <w:pStyle w:val="TableParagraph"/>
              <w:spacing w:before="8"/>
              <w:jc w:val="left"/>
              <w:rPr>
                <w:sz w:val="12"/>
              </w:rPr>
            </w:pPr>
          </w:p>
          <w:p>
            <w:pPr>
              <w:pStyle w:val="TableParagraph"/>
              <w:ind w:left="289" w:right="235"/>
              <w:rPr>
                <w:rFonts w:ascii="Calibri"/>
                <w:sz w:val="12"/>
              </w:rPr>
            </w:pPr>
            <w:r>
              <w:rPr>
                <w:rFonts w:ascii="Calibri"/>
                <w:sz w:val="12"/>
              </w:rPr>
              <w:t>0.9</w:t>
            </w:r>
          </w:p>
          <w:p>
            <w:pPr>
              <w:pStyle w:val="TableParagraph"/>
              <w:spacing w:before="7"/>
              <w:ind w:left="289" w:right="235"/>
              <w:rPr>
                <w:rFonts w:ascii="Calibri"/>
                <w:sz w:val="12"/>
              </w:rPr>
            </w:pPr>
            <w:r>
              <w:rPr>
                <w:rFonts w:ascii="Calibri"/>
                <w:sz w:val="12"/>
              </w:rPr>
              <w:t>0.9</w:t>
            </w:r>
          </w:p>
          <w:p>
            <w:pPr>
              <w:pStyle w:val="TableParagraph"/>
              <w:spacing w:before="7"/>
              <w:ind w:left="63"/>
              <w:rPr>
                <w:rFonts w:ascii="Calibri"/>
                <w:sz w:val="12"/>
              </w:rPr>
            </w:pPr>
            <w:r>
              <w:rPr>
                <w:rFonts w:ascii="Calibri"/>
                <w:w w:val="102"/>
                <w:sz w:val="12"/>
              </w:rPr>
              <w:t>1</w:t>
            </w:r>
          </w:p>
        </w:tc>
        <w:tc>
          <w:tcPr>
            <w:tcW w:w="664" w:type="dxa"/>
            <w:tcBorders>
              <w:right w:val="single" w:sz="8" w:space="0" w:color="000000"/>
            </w:tcBorders>
          </w:tcPr>
          <w:p>
            <w:pPr>
              <w:pStyle w:val="TableParagraph"/>
              <w:spacing w:before="8"/>
              <w:jc w:val="left"/>
              <w:rPr>
                <w:sz w:val="12"/>
              </w:rPr>
            </w:pPr>
          </w:p>
          <w:p>
            <w:pPr>
              <w:pStyle w:val="TableParagraph"/>
              <w:ind w:left="21"/>
              <w:rPr>
                <w:rFonts w:ascii="Calibri"/>
                <w:sz w:val="12"/>
              </w:rPr>
            </w:pPr>
            <w:r>
              <w:rPr>
                <w:rFonts w:ascii="Calibri"/>
                <w:w w:val="102"/>
                <w:sz w:val="12"/>
              </w:rPr>
              <w:t>1</w:t>
            </w:r>
          </w:p>
          <w:p>
            <w:pPr>
              <w:pStyle w:val="TableParagraph"/>
              <w:spacing w:before="7"/>
              <w:ind w:left="21"/>
              <w:rPr>
                <w:rFonts w:ascii="Calibri"/>
                <w:sz w:val="12"/>
              </w:rPr>
            </w:pPr>
            <w:r>
              <w:rPr>
                <w:rFonts w:ascii="Calibri"/>
                <w:w w:val="102"/>
                <w:sz w:val="12"/>
              </w:rPr>
              <w:t>1</w:t>
            </w:r>
          </w:p>
          <w:p>
            <w:pPr>
              <w:pStyle w:val="TableParagraph"/>
              <w:spacing w:before="7"/>
              <w:ind w:left="21"/>
              <w:rPr>
                <w:rFonts w:ascii="Calibri"/>
                <w:sz w:val="12"/>
              </w:rPr>
            </w:pPr>
            <w:r>
              <w:rPr>
                <w:rFonts w:ascii="Calibri"/>
                <w:w w:val="102"/>
                <w:sz w:val="12"/>
              </w:rPr>
              <w:t>1</w:t>
            </w:r>
          </w:p>
        </w:tc>
      </w:tr>
      <w:tr>
        <w:trPr>
          <w:trHeight w:val="164" w:hRule="exact"/>
        </w:trPr>
        <w:tc>
          <w:tcPr>
            <w:tcW w:w="647" w:type="dxa"/>
            <w:tcBorders>
              <w:left w:val="single" w:sz="4" w:space="0" w:color="000000"/>
            </w:tcBorders>
          </w:tcPr>
          <w:p>
            <w:pPr/>
          </w:p>
        </w:tc>
        <w:tc>
          <w:tcPr>
            <w:tcW w:w="1728" w:type="dxa"/>
          </w:tcPr>
          <w:p>
            <w:pPr/>
          </w:p>
        </w:tc>
        <w:tc>
          <w:tcPr>
            <w:tcW w:w="2348" w:type="dxa"/>
          </w:tcPr>
          <w:p>
            <w:pPr/>
          </w:p>
        </w:tc>
        <w:tc>
          <w:tcPr>
            <w:tcW w:w="1564" w:type="dxa"/>
          </w:tcPr>
          <w:p>
            <w:pPr>
              <w:pStyle w:val="TableParagraph"/>
              <w:spacing w:before="3"/>
              <w:ind w:left="732" w:right="154"/>
              <w:rPr>
                <w:rFonts w:ascii="Calibri"/>
                <w:sz w:val="12"/>
              </w:rPr>
            </w:pPr>
            <w:r>
              <w:rPr>
                <w:rFonts w:ascii="Calibri"/>
                <w:sz w:val="12"/>
              </w:rPr>
              <w:t>Subtotal</w:t>
            </w:r>
          </w:p>
        </w:tc>
        <w:tc>
          <w:tcPr>
            <w:tcW w:w="778" w:type="dxa"/>
          </w:tcPr>
          <w:p>
            <w:pPr>
              <w:pStyle w:val="TableParagraph"/>
              <w:tabs>
                <w:tab w:pos="255" w:val="left" w:leader="none"/>
                <w:tab w:pos="674" w:val="left" w:leader="none"/>
              </w:tabs>
              <w:spacing w:before="3"/>
              <w:ind w:right="-63"/>
              <w:jc w:val="right"/>
              <w:rPr>
                <w:rFonts w:ascii="Calibri"/>
                <w:sz w:val="12"/>
              </w:rPr>
            </w:pPr>
            <w:r>
              <w:rPr>
                <w:rFonts w:ascii="Times New Roman"/>
                <w:w w:val="102"/>
                <w:sz w:val="12"/>
                <w:shd w:fill="F79646" w:color="auto" w:val="clear"/>
              </w:rPr>
              <w:t> </w:t>
            </w:r>
            <w:r>
              <w:rPr>
                <w:rFonts w:ascii="Times New Roman"/>
                <w:sz w:val="12"/>
                <w:shd w:fill="F79646" w:color="auto" w:val="clear"/>
              </w:rPr>
              <w:tab/>
            </w:r>
            <w:r>
              <w:rPr>
                <w:rFonts w:ascii="Calibri"/>
                <w:sz w:val="12"/>
                <w:shd w:fill="F79646" w:color="auto" w:val="clear"/>
              </w:rPr>
              <w:t>2.5</w:t>
              <w:tab/>
            </w:r>
          </w:p>
        </w:tc>
        <w:tc>
          <w:tcPr>
            <w:tcW w:w="717" w:type="dxa"/>
          </w:tcPr>
          <w:p>
            <w:pPr>
              <w:pStyle w:val="TableParagraph"/>
              <w:tabs>
                <w:tab w:pos="308" w:val="left" w:leader="none"/>
                <w:tab w:pos="727" w:val="left" w:leader="none"/>
              </w:tabs>
              <w:spacing w:before="3"/>
              <w:ind w:left="52" w:right="-11"/>
              <w:rPr>
                <w:rFonts w:ascii="Calibri"/>
                <w:sz w:val="12"/>
              </w:rPr>
            </w:pPr>
            <w:r>
              <w:rPr>
                <w:rFonts w:ascii="Times New Roman"/>
                <w:w w:val="102"/>
                <w:sz w:val="12"/>
                <w:shd w:fill="FFFF00" w:color="auto" w:val="clear"/>
              </w:rPr>
              <w:t> </w:t>
            </w:r>
            <w:r>
              <w:rPr>
                <w:rFonts w:ascii="Times New Roman"/>
                <w:sz w:val="12"/>
                <w:shd w:fill="FFFF00" w:color="auto" w:val="clear"/>
              </w:rPr>
              <w:tab/>
            </w:r>
            <w:r>
              <w:rPr>
                <w:rFonts w:ascii="Calibri"/>
                <w:sz w:val="12"/>
                <w:shd w:fill="FFFF00" w:color="auto" w:val="clear"/>
              </w:rPr>
              <w:t>2.8</w:t>
              <w:tab/>
            </w:r>
          </w:p>
        </w:tc>
        <w:tc>
          <w:tcPr>
            <w:tcW w:w="664" w:type="dxa"/>
            <w:tcBorders>
              <w:right w:val="single" w:sz="8" w:space="0" w:color="000000"/>
            </w:tcBorders>
            <w:shd w:val="clear" w:color="auto" w:fill="67ED4D"/>
          </w:tcPr>
          <w:p>
            <w:pPr>
              <w:pStyle w:val="TableParagraph"/>
              <w:spacing w:before="3"/>
              <w:ind w:right="283"/>
              <w:jc w:val="right"/>
              <w:rPr>
                <w:rFonts w:ascii="Calibri"/>
                <w:sz w:val="12"/>
              </w:rPr>
            </w:pPr>
            <w:r>
              <w:rPr>
                <w:rFonts w:ascii="Calibri"/>
                <w:w w:val="102"/>
                <w:sz w:val="12"/>
              </w:rPr>
              <w:t>3</w:t>
            </w:r>
          </w:p>
        </w:tc>
      </w:tr>
      <w:tr>
        <w:trPr>
          <w:trHeight w:val="910" w:hRule="exact"/>
        </w:trPr>
        <w:tc>
          <w:tcPr>
            <w:tcW w:w="647" w:type="dxa"/>
            <w:tcBorders>
              <w:left w:val="single" w:sz="4" w:space="0" w:color="000000"/>
            </w:tcBorders>
          </w:tcPr>
          <w:p>
            <w:pPr>
              <w:pStyle w:val="TableParagraph"/>
              <w:spacing w:line="140" w:lineRule="exact"/>
              <w:ind w:left="36" w:right="28"/>
              <w:rPr>
                <w:rFonts w:ascii="Calibri" w:hAnsi="Calibri"/>
                <w:sz w:val="12"/>
              </w:rPr>
            </w:pPr>
            <w:r>
              <w:rPr>
                <w:rFonts w:ascii="Calibri" w:hAnsi="Calibri"/>
                <w:sz w:val="12"/>
              </w:rPr>
              <w:t>Económico</w:t>
            </w:r>
          </w:p>
        </w:tc>
        <w:tc>
          <w:tcPr>
            <w:tcW w:w="1728" w:type="dxa"/>
          </w:tcPr>
          <w:p>
            <w:pPr>
              <w:pStyle w:val="TableParagraph"/>
              <w:jc w:val="left"/>
              <w:rPr>
                <w:sz w:val="12"/>
              </w:rPr>
            </w:pPr>
          </w:p>
          <w:p>
            <w:pPr>
              <w:pStyle w:val="TableParagraph"/>
              <w:jc w:val="left"/>
              <w:rPr>
                <w:sz w:val="12"/>
              </w:rPr>
            </w:pPr>
          </w:p>
          <w:p>
            <w:pPr>
              <w:pStyle w:val="TableParagraph"/>
              <w:spacing w:before="4"/>
              <w:jc w:val="left"/>
              <w:rPr>
                <w:sz w:val="15"/>
              </w:rPr>
            </w:pPr>
          </w:p>
          <w:p>
            <w:pPr>
              <w:pStyle w:val="TableParagraph"/>
              <w:spacing w:before="1"/>
              <w:ind w:left="42"/>
              <w:jc w:val="left"/>
              <w:rPr>
                <w:rFonts w:ascii="Calibri"/>
                <w:sz w:val="12"/>
              </w:rPr>
            </w:pPr>
            <w:r>
              <w:rPr>
                <w:rFonts w:ascii="Calibri"/>
                <w:sz w:val="12"/>
              </w:rPr>
              <w:t>Gastos de habitabilidad</w:t>
            </w:r>
          </w:p>
        </w:tc>
        <w:tc>
          <w:tcPr>
            <w:tcW w:w="2348" w:type="dxa"/>
          </w:tcPr>
          <w:p>
            <w:pPr>
              <w:pStyle w:val="TableParagraph"/>
              <w:spacing w:before="8"/>
              <w:jc w:val="left"/>
              <w:rPr>
                <w:sz w:val="12"/>
              </w:rPr>
            </w:pPr>
          </w:p>
          <w:p>
            <w:pPr>
              <w:pStyle w:val="TableParagraph"/>
              <w:spacing w:line="252" w:lineRule="auto"/>
              <w:ind w:left="358" w:right="1280"/>
              <w:jc w:val="left"/>
              <w:rPr>
                <w:rFonts w:ascii="Calibri" w:hAnsi="Calibri"/>
                <w:sz w:val="12"/>
              </w:rPr>
            </w:pPr>
            <w:r>
              <w:rPr>
                <w:rFonts w:ascii="Calibri" w:hAnsi="Calibri"/>
                <w:sz w:val="12"/>
              </w:rPr>
              <w:t>Pago de CFE Pago de agua Pago predial Comunicación Comunidad</w:t>
            </w:r>
          </w:p>
        </w:tc>
        <w:tc>
          <w:tcPr>
            <w:tcW w:w="1564" w:type="dxa"/>
          </w:tcPr>
          <w:p>
            <w:pPr>
              <w:pStyle w:val="TableParagraph"/>
              <w:spacing w:before="8"/>
              <w:jc w:val="left"/>
              <w:rPr>
                <w:sz w:val="12"/>
              </w:rPr>
            </w:pPr>
          </w:p>
          <w:p>
            <w:pPr>
              <w:pStyle w:val="TableParagraph"/>
              <w:ind w:right="411"/>
              <w:jc w:val="right"/>
              <w:rPr>
                <w:rFonts w:ascii="Calibri"/>
                <w:sz w:val="12"/>
              </w:rPr>
            </w:pPr>
            <w:r>
              <w:rPr>
                <w:rFonts w:ascii="Calibri"/>
                <w:sz w:val="12"/>
              </w:rPr>
              <w:t>0.7</w:t>
            </w:r>
          </w:p>
          <w:p>
            <w:pPr>
              <w:pStyle w:val="TableParagraph"/>
              <w:spacing w:before="7"/>
              <w:ind w:right="453"/>
              <w:jc w:val="right"/>
              <w:rPr>
                <w:rFonts w:ascii="Calibri"/>
                <w:sz w:val="12"/>
              </w:rPr>
            </w:pPr>
            <w:r>
              <w:rPr>
                <w:rFonts w:ascii="Calibri"/>
                <w:w w:val="102"/>
                <w:sz w:val="12"/>
              </w:rPr>
              <w:t>0</w:t>
            </w:r>
          </w:p>
          <w:p>
            <w:pPr>
              <w:pStyle w:val="TableParagraph"/>
              <w:spacing w:before="7"/>
              <w:ind w:right="453"/>
              <w:jc w:val="right"/>
              <w:rPr>
                <w:rFonts w:ascii="Calibri"/>
                <w:sz w:val="12"/>
              </w:rPr>
            </w:pPr>
            <w:r>
              <w:rPr>
                <w:rFonts w:ascii="Calibri"/>
                <w:w w:val="102"/>
                <w:sz w:val="12"/>
              </w:rPr>
              <w:t>0</w:t>
            </w:r>
          </w:p>
          <w:p>
            <w:pPr>
              <w:pStyle w:val="TableParagraph"/>
              <w:spacing w:before="7"/>
              <w:ind w:right="411"/>
              <w:jc w:val="right"/>
              <w:rPr>
                <w:rFonts w:ascii="Calibri"/>
                <w:sz w:val="12"/>
              </w:rPr>
            </w:pPr>
            <w:r>
              <w:rPr>
                <w:rFonts w:ascii="Calibri"/>
                <w:sz w:val="12"/>
              </w:rPr>
              <w:t>0.7</w:t>
            </w:r>
          </w:p>
          <w:p>
            <w:pPr>
              <w:pStyle w:val="TableParagraph"/>
              <w:spacing w:before="7"/>
              <w:ind w:right="411"/>
              <w:jc w:val="right"/>
              <w:rPr>
                <w:rFonts w:ascii="Calibri"/>
                <w:sz w:val="12"/>
              </w:rPr>
            </w:pPr>
            <w:r>
              <w:rPr>
                <w:rFonts w:ascii="Calibri"/>
                <w:sz w:val="12"/>
              </w:rPr>
              <w:t>0.2</w:t>
            </w:r>
          </w:p>
        </w:tc>
        <w:tc>
          <w:tcPr>
            <w:tcW w:w="778" w:type="dxa"/>
          </w:tcPr>
          <w:p>
            <w:pPr/>
          </w:p>
        </w:tc>
        <w:tc>
          <w:tcPr>
            <w:tcW w:w="717" w:type="dxa"/>
          </w:tcPr>
          <w:p>
            <w:pPr>
              <w:pStyle w:val="TableParagraph"/>
              <w:spacing w:before="8"/>
              <w:jc w:val="left"/>
              <w:rPr>
                <w:sz w:val="12"/>
              </w:rPr>
            </w:pPr>
          </w:p>
          <w:p>
            <w:pPr>
              <w:pStyle w:val="TableParagraph"/>
              <w:ind w:left="289" w:right="235"/>
              <w:rPr>
                <w:rFonts w:ascii="Calibri"/>
                <w:sz w:val="12"/>
              </w:rPr>
            </w:pPr>
            <w:r>
              <w:rPr>
                <w:rFonts w:ascii="Calibri"/>
                <w:sz w:val="12"/>
              </w:rPr>
              <w:t>0.7</w:t>
            </w:r>
          </w:p>
          <w:p>
            <w:pPr>
              <w:pStyle w:val="TableParagraph"/>
              <w:spacing w:before="7"/>
              <w:ind w:left="289" w:right="235"/>
              <w:rPr>
                <w:rFonts w:ascii="Calibri"/>
                <w:sz w:val="12"/>
              </w:rPr>
            </w:pPr>
            <w:r>
              <w:rPr>
                <w:rFonts w:ascii="Calibri"/>
                <w:sz w:val="12"/>
              </w:rPr>
              <w:t>0.7</w:t>
            </w:r>
          </w:p>
          <w:p>
            <w:pPr>
              <w:pStyle w:val="TableParagraph"/>
              <w:spacing w:before="7"/>
              <w:ind w:left="289" w:right="235"/>
              <w:rPr>
                <w:rFonts w:ascii="Calibri"/>
                <w:sz w:val="12"/>
              </w:rPr>
            </w:pPr>
            <w:r>
              <w:rPr>
                <w:rFonts w:ascii="Calibri"/>
                <w:sz w:val="12"/>
              </w:rPr>
              <w:t>0.7</w:t>
            </w:r>
          </w:p>
          <w:p>
            <w:pPr>
              <w:pStyle w:val="TableParagraph"/>
              <w:spacing w:before="7"/>
              <w:ind w:left="289" w:right="235"/>
              <w:rPr>
                <w:rFonts w:ascii="Calibri"/>
                <w:sz w:val="12"/>
              </w:rPr>
            </w:pPr>
            <w:r>
              <w:rPr>
                <w:rFonts w:ascii="Calibri"/>
                <w:sz w:val="12"/>
              </w:rPr>
              <w:t>0.7</w:t>
            </w:r>
          </w:p>
          <w:p>
            <w:pPr>
              <w:pStyle w:val="TableParagraph"/>
              <w:spacing w:before="7"/>
              <w:ind w:left="289" w:right="235"/>
              <w:rPr>
                <w:rFonts w:ascii="Calibri"/>
                <w:sz w:val="12"/>
              </w:rPr>
            </w:pPr>
            <w:r>
              <w:rPr>
                <w:rFonts w:ascii="Calibri"/>
                <w:sz w:val="12"/>
              </w:rPr>
              <w:t>0.7</w:t>
            </w:r>
          </w:p>
        </w:tc>
        <w:tc>
          <w:tcPr>
            <w:tcW w:w="664" w:type="dxa"/>
            <w:tcBorders>
              <w:right w:val="single" w:sz="8" w:space="0" w:color="000000"/>
            </w:tcBorders>
          </w:tcPr>
          <w:p>
            <w:pPr>
              <w:pStyle w:val="TableParagraph"/>
              <w:spacing w:before="8"/>
              <w:jc w:val="left"/>
              <w:rPr>
                <w:sz w:val="12"/>
              </w:rPr>
            </w:pPr>
          </w:p>
          <w:p>
            <w:pPr>
              <w:pStyle w:val="TableParagraph"/>
              <w:ind w:left="21"/>
              <w:rPr>
                <w:rFonts w:ascii="Calibri"/>
                <w:sz w:val="12"/>
              </w:rPr>
            </w:pPr>
            <w:r>
              <w:rPr>
                <w:rFonts w:ascii="Calibri"/>
                <w:w w:val="102"/>
                <w:sz w:val="12"/>
              </w:rPr>
              <w:t>1</w:t>
            </w:r>
          </w:p>
          <w:p>
            <w:pPr>
              <w:pStyle w:val="TableParagraph"/>
              <w:spacing w:before="7"/>
              <w:ind w:left="21"/>
              <w:rPr>
                <w:rFonts w:ascii="Calibri"/>
                <w:sz w:val="12"/>
              </w:rPr>
            </w:pPr>
            <w:r>
              <w:rPr>
                <w:rFonts w:ascii="Calibri"/>
                <w:w w:val="102"/>
                <w:sz w:val="12"/>
              </w:rPr>
              <w:t>1</w:t>
            </w:r>
          </w:p>
          <w:p>
            <w:pPr>
              <w:pStyle w:val="TableParagraph"/>
              <w:spacing w:before="7"/>
              <w:ind w:left="21"/>
              <w:rPr>
                <w:rFonts w:ascii="Calibri"/>
                <w:sz w:val="12"/>
              </w:rPr>
            </w:pPr>
            <w:r>
              <w:rPr>
                <w:rFonts w:ascii="Calibri"/>
                <w:w w:val="102"/>
                <w:sz w:val="12"/>
              </w:rPr>
              <w:t>1</w:t>
            </w:r>
          </w:p>
          <w:p>
            <w:pPr>
              <w:pStyle w:val="TableParagraph"/>
              <w:spacing w:before="7"/>
              <w:ind w:left="21"/>
              <w:rPr>
                <w:rFonts w:ascii="Calibri"/>
                <w:sz w:val="12"/>
              </w:rPr>
            </w:pPr>
            <w:r>
              <w:rPr>
                <w:rFonts w:ascii="Calibri"/>
                <w:w w:val="102"/>
                <w:sz w:val="12"/>
              </w:rPr>
              <w:t>1</w:t>
            </w:r>
          </w:p>
          <w:p>
            <w:pPr>
              <w:pStyle w:val="TableParagraph"/>
              <w:spacing w:before="7"/>
              <w:ind w:left="21"/>
              <w:rPr>
                <w:rFonts w:ascii="Calibri"/>
                <w:sz w:val="12"/>
              </w:rPr>
            </w:pPr>
            <w:r>
              <w:rPr>
                <w:rFonts w:ascii="Calibri"/>
                <w:w w:val="102"/>
                <w:sz w:val="12"/>
              </w:rPr>
              <w:t>1</w:t>
            </w:r>
          </w:p>
        </w:tc>
      </w:tr>
      <w:tr>
        <w:trPr>
          <w:trHeight w:val="164" w:hRule="exact"/>
        </w:trPr>
        <w:tc>
          <w:tcPr>
            <w:tcW w:w="647" w:type="dxa"/>
            <w:tcBorders>
              <w:left w:val="single" w:sz="4" w:space="0" w:color="000000"/>
            </w:tcBorders>
          </w:tcPr>
          <w:p>
            <w:pPr/>
          </w:p>
        </w:tc>
        <w:tc>
          <w:tcPr>
            <w:tcW w:w="1728" w:type="dxa"/>
          </w:tcPr>
          <w:p>
            <w:pPr/>
          </w:p>
        </w:tc>
        <w:tc>
          <w:tcPr>
            <w:tcW w:w="2348" w:type="dxa"/>
          </w:tcPr>
          <w:p>
            <w:pPr/>
          </w:p>
        </w:tc>
        <w:tc>
          <w:tcPr>
            <w:tcW w:w="1564" w:type="dxa"/>
          </w:tcPr>
          <w:p>
            <w:pPr>
              <w:pStyle w:val="TableParagraph"/>
              <w:spacing w:before="3"/>
              <w:ind w:left="732" w:right="154"/>
              <w:rPr>
                <w:rFonts w:ascii="Calibri"/>
                <w:sz w:val="12"/>
              </w:rPr>
            </w:pPr>
            <w:r>
              <w:rPr>
                <w:rFonts w:ascii="Calibri"/>
                <w:sz w:val="12"/>
              </w:rPr>
              <w:t>Subtotal</w:t>
            </w:r>
          </w:p>
        </w:tc>
        <w:tc>
          <w:tcPr>
            <w:tcW w:w="778" w:type="dxa"/>
          </w:tcPr>
          <w:p>
            <w:pPr>
              <w:pStyle w:val="TableParagraph"/>
              <w:tabs>
                <w:tab w:pos="255" w:val="left" w:leader="none"/>
                <w:tab w:pos="674" w:val="left" w:leader="none"/>
              </w:tabs>
              <w:spacing w:before="3"/>
              <w:ind w:right="-63"/>
              <w:jc w:val="right"/>
              <w:rPr>
                <w:rFonts w:ascii="Calibri"/>
                <w:sz w:val="12"/>
              </w:rPr>
            </w:pPr>
            <w:r>
              <w:rPr>
                <w:rFonts w:ascii="Times New Roman"/>
                <w:w w:val="102"/>
                <w:sz w:val="12"/>
                <w:shd w:fill="F79646" w:color="auto" w:val="clear"/>
              </w:rPr>
              <w:t> </w:t>
            </w:r>
            <w:r>
              <w:rPr>
                <w:rFonts w:ascii="Times New Roman"/>
                <w:sz w:val="12"/>
                <w:shd w:fill="F79646" w:color="auto" w:val="clear"/>
              </w:rPr>
              <w:tab/>
            </w:r>
            <w:r>
              <w:rPr>
                <w:rFonts w:ascii="Calibri"/>
                <w:sz w:val="12"/>
                <w:shd w:fill="F79646" w:color="auto" w:val="clear"/>
              </w:rPr>
              <w:t>1.6</w:t>
              <w:tab/>
            </w:r>
          </w:p>
        </w:tc>
        <w:tc>
          <w:tcPr>
            <w:tcW w:w="717" w:type="dxa"/>
          </w:tcPr>
          <w:p>
            <w:pPr>
              <w:pStyle w:val="TableParagraph"/>
              <w:tabs>
                <w:tab w:pos="308" w:val="left" w:leader="none"/>
                <w:tab w:pos="727" w:val="left" w:leader="none"/>
              </w:tabs>
              <w:spacing w:before="3"/>
              <w:ind w:left="52" w:right="-11"/>
              <w:rPr>
                <w:rFonts w:ascii="Calibri"/>
                <w:sz w:val="12"/>
              </w:rPr>
            </w:pPr>
            <w:r>
              <w:rPr>
                <w:rFonts w:ascii="Times New Roman"/>
                <w:w w:val="102"/>
                <w:sz w:val="12"/>
                <w:shd w:fill="FFFF00" w:color="auto" w:val="clear"/>
              </w:rPr>
              <w:t> </w:t>
            </w:r>
            <w:r>
              <w:rPr>
                <w:rFonts w:ascii="Times New Roman"/>
                <w:sz w:val="12"/>
                <w:shd w:fill="FFFF00" w:color="auto" w:val="clear"/>
              </w:rPr>
              <w:tab/>
            </w:r>
            <w:r>
              <w:rPr>
                <w:rFonts w:ascii="Calibri"/>
                <w:sz w:val="12"/>
                <w:shd w:fill="FFFF00" w:color="auto" w:val="clear"/>
              </w:rPr>
              <w:t>4.2</w:t>
              <w:tab/>
            </w:r>
          </w:p>
        </w:tc>
        <w:tc>
          <w:tcPr>
            <w:tcW w:w="664" w:type="dxa"/>
            <w:tcBorders>
              <w:right w:val="single" w:sz="8" w:space="0" w:color="000000"/>
            </w:tcBorders>
            <w:shd w:val="clear" w:color="auto" w:fill="67ED4D"/>
          </w:tcPr>
          <w:p>
            <w:pPr>
              <w:pStyle w:val="TableParagraph"/>
              <w:spacing w:before="3"/>
              <w:ind w:right="283"/>
              <w:jc w:val="right"/>
              <w:rPr>
                <w:rFonts w:ascii="Calibri"/>
                <w:sz w:val="12"/>
              </w:rPr>
            </w:pPr>
            <w:r>
              <w:rPr>
                <w:rFonts w:ascii="Calibri"/>
                <w:w w:val="102"/>
                <w:sz w:val="12"/>
              </w:rPr>
              <w:t>5</w:t>
            </w:r>
          </w:p>
        </w:tc>
      </w:tr>
      <w:tr>
        <w:trPr>
          <w:trHeight w:val="297" w:hRule="exact"/>
        </w:trPr>
        <w:tc>
          <w:tcPr>
            <w:tcW w:w="647" w:type="dxa"/>
            <w:tcBorders>
              <w:left w:val="single" w:sz="4" w:space="0" w:color="000000"/>
            </w:tcBorders>
          </w:tcPr>
          <w:p>
            <w:pPr/>
          </w:p>
        </w:tc>
        <w:tc>
          <w:tcPr>
            <w:tcW w:w="1728" w:type="dxa"/>
          </w:tcPr>
          <w:p>
            <w:pPr>
              <w:pStyle w:val="TableParagraph"/>
              <w:spacing w:before="8"/>
              <w:jc w:val="left"/>
              <w:rPr>
                <w:sz w:val="12"/>
              </w:rPr>
            </w:pPr>
          </w:p>
          <w:p>
            <w:pPr>
              <w:pStyle w:val="TableParagraph"/>
              <w:ind w:left="42"/>
              <w:jc w:val="left"/>
              <w:rPr>
                <w:rFonts w:ascii="Calibri" w:hAnsi="Calibri"/>
                <w:sz w:val="12"/>
              </w:rPr>
            </w:pPr>
            <w:r>
              <w:rPr>
                <w:rFonts w:ascii="Calibri" w:hAnsi="Calibri"/>
                <w:sz w:val="12"/>
              </w:rPr>
              <w:t>Índice para una vida mejor</w:t>
            </w:r>
          </w:p>
        </w:tc>
        <w:tc>
          <w:tcPr>
            <w:tcW w:w="2348" w:type="dxa"/>
          </w:tcPr>
          <w:p>
            <w:pPr>
              <w:pStyle w:val="TableParagraph"/>
              <w:spacing w:before="8"/>
              <w:jc w:val="left"/>
              <w:rPr>
                <w:sz w:val="12"/>
              </w:rPr>
            </w:pPr>
          </w:p>
          <w:p>
            <w:pPr>
              <w:pStyle w:val="TableParagraph"/>
              <w:ind w:left="358" w:right="724"/>
              <w:jc w:val="left"/>
              <w:rPr>
                <w:rFonts w:ascii="Calibri"/>
                <w:sz w:val="12"/>
              </w:rPr>
            </w:pPr>
            <w:r>
              <w:rPr>
                <w:rFonts w:ascii="Calibri"/>
                <w:sz w:val="12"/>
              </w:rPr>
              <w:t>Gasto en vivienda</w:t>
            </w:r>
          </w:p>
        </w:tc>
        <w:tc>
          <w:tcPr>
            <w:tcW w:w="1564" w:type="dxa"/>
          </w:tcPr>
          <w:p>
            <w:pPr>
              <w:pStyle w:val="TableParagraph"/>
              <w:spacing w:before="8"/>
              <w:jc w:val="left"/>
              <w:rPr>
                <w:sz w:val="12"/>
              </w:rPr>
            </w:pPr>
          </w:p>
          <w:p>
            <w:pPr>
              <w:pStyle w:val="TableParagraph"/>
              <w:ind w:left="735" w:right="154"/>
              <w:rPr>
                <w:rFonts w:ascii="Calibri"/>
                <w:sz w:val="12"/>
              </w:rPr>
            </w:pPr>
            <w:r>
              <w:rPr>
                <w:rFonts w:ascii="Calibri"/>
                <w:sz w:val="12"/>
              </w:rPr>
              <w:t>0.6</w:t>
            </w:r>
          </w:p>
        </w:tc>
        <w:tc>
          <w:tcPr>
            <w:tcW w:w="778" w:type="dxa"/>
          </w:tcPr>
          <w:p>
            <w:pPr/>
          </w:p>
        </w:tc>
        <w:tc>
          <w:tcPr>
            <w:tcW w:w="717" w:type="dxa"/>
          </w:tcPr>
          <w:p>
            <w:pPr>
              <w:pStyle w:val="TableParagraph"/>
              <w:spacing w:before="8"/>
              <w:jc w:val="left"/>
              <w:rPr>
                <w:sz w:val="12"/>
              </w:rPr>
            </w:pPr>
          </w:p>
          <w:p>
            <w:pPr>
              <w:pStyle w:val="TableParagraph"/>
              <w:ind w:left="289" w:right="235"/>
              <w:rPr>
                <w:rFonts w:ascii="Calibri"/>
                <w:sz w:val="12"/>
              </w:rPr>
            </w:pPr>
            <w:r>
              <w:rPr>
                <w:rFonts w:ascii="Calibri"/>
                <w:sz w:val="12"/>
              </w:rPr>
              <w:t>0.8</w:t>
            </w:r>
          </w:p>
        </w:tc>
        <w:tc>
          <w:tcPr>
            <w:tcW w:w="664" w:type="dxa"/>
            <w:tcBorders>
              <w:right w:val="single" w:sz="8" w:space="0" w:color="000000"/>
            </w:tcBorders>
          </w:tcPr>
          <w:p>
            <w:pPr>
              <w:pStyle w:val="TableParagraph"/>
              <w:spacing w:before="8"/>
              <w:jc w:val="left"/>
              <w:rPr>
                <w:sz w:val="12"/>
              </w:rPr>
            </w:pPr>
          </w:p>
          <w:p>
            <w:pPr>
              <w:pStyle w:val="TableParagraph"/>
              <w:ind w:right="283"/>
              <w:jc w:val="right"/>
              <w:rPr>
                <w:rFonts w:ascii="Calibri"/>
                <w:sz w:val="12"/>
              </w:rPr>
            </w:pPr>
            <w:r>
              <w:rPr>
                <w:rFonts w:ascii="Calibri"/>
                <w:w w:val="102"/>
                <w:sz w:val="12"/>
              </w:rPr>
              <w:t>1</w:t>
            </w:r>
          </w:p>
        </w:tc>
      </w:tr>
      <w:tr>
        <w:trPr>
          <w:trHeight w:val="164" w:hRule="exact"/>
        </w:trPr>
        <w:tc>
          <w:tcPr>
            <w:tcW w:w="647" w:type="dxa"/>
            <w:tcBorders>
              <w:left w:val="single" w:sz="4" w:space="0" w:color="000000"/>
            </w:tcBorders>
          </w:tcPr>
          <w:p>
            <w:pPr/>
          </w:p>
        </w:tc>
        <w:tc>
          <w:tcPr>
            <w:tcW w:w="1728" w:type="dxa"/>
          </w:tcPr>
          <w:p>
            <w:pPr/>
          </w:p>
        </w:tc>
        <w:tc>
          <w:tcPr>
            <w:tcW w:w="2348" w:type="dxa"/>
          </w:tcPr>
          <w:p>
            <w:pPr/>
          </w:p>
        </w:tc>
        <w:tc>
          <w:tcPr>
            <w:tcW w:w="1564" w:type="dxa"/>
          </w:tcPr>
          <w:p>
            <w:pPr>
              <w:pStyle w:val="TableParagraph"/>
              <w:spacing w:before="3"/>
              <w:ind w:left="732" w:right="154"/>
              <w:rPr>
                <w:rFonts w:ascii="Calibri"/>
                <w:sz w:val="12"/>
              </w:rPr>
            </w:pPr>
            <w:r>
              <w:rPr>
                <w:rFonts w:ascii="Calibri"/>
                <w:sz w:val="12"/>
              </w:rPr>
              <w:t>Subtotal</w:t>
            </w:r>
          </w:p>
        </w:tc>
        <w:tc>
          <w:tcPr>
            <w:tcW w:w="778" w:type="dxa"/>
          </w:tcPr>
          <w:p>
            <w:pPr>
              <w:pStyle w:val="TableParagraph"/>
              <w:tabs>
                <w:tab w:pos="255" w:val="left" w:leader="none"/>
                <w:tab w:pos="674" w:val="left" w:leader="none"/>
              </w:tabs>
              <w:spacing w:before="3"/>
              <w:ind w:right="-63"/>
              <w:jc w:val="right"/>
              <w:rPr>
                <w:rFonts w:ascii="Calibri"/>
                <w:sz w:val="12"/>
              </w:rPr>
            </w:pPr>
            <w:r>
              <w:rPr>
                <w:rFonts w:ascii="Times New Roman"/>
                <w:w w:val="102"/>
                <w:sz w:val="12"/>
                <w:shd w:fill="F79646" w:color="auto" w:val="clear"/>
              </w:rPr>
              <w:t> </w:t>
            </w:r>
            <w:r>
              <w:rPr>
                <w:rFonts w:ascii="Times New Roman"/>
                <w:sz w:val="12"/>
                <w:shd w:fill="F79646" w:color="auto" w:val="clear"/>
              </w:rPr>
              <w:tab/>
            </w:r>
            <w:r>
              <w:rPr>
                <w:rFonts w:ascii="Calibri"/>
                <w:sz w:val="12"/>
                <w:shd w:fill="F79646" w:color="auto" w:val="clear"/>
              </w:rPr>
              <w:t>0.6</w:t>
              <w:tab/>
            </w:r>
          </w:p>
        </w:tc>
        <w:tc>
          <w:tcPr>
            <w:tcW w:w="717" w:type="dxa"/>
          </w:tcPr>
          <w:p>
            <w:pPr>
              <w:pStyle w:val="TableParagraph"/>
              <w:tabs>
                <w:tab w:pos="308" w:val="left" w:leader="none"/>
                <w:tab w:pos="727" w:val="left" w:leader="none"/>
              </w:tabs>
              <w:spacing w:before="3"/>
              <w:ind w:left="52" w:right="-11"/>
              <w:rPr>
                <w:rFonts w:ascii="Calibri"/>
                <w:sz w:val="12"/>
              </w:rPr>
            </w:pPr>
            <w:r>
              <w:rPr>
                <w:rFonts w:ascii="Times New Roman"/>
                <w:w w:val="102"/>
                <w:sz w:val="12"/>
                <w:shd w:fill="FFFF00" w:color="auto" w:val="clear"/>
              </w:rPr>
              <w:t> </w:t>
            </w:r>
            <w:r>
              <w:rPr>
                <w:rFonts w:ascii="Times New Roman"/>
                <w:sz w:val="12"/>
                <w:shd w:fill="FFFF00" w:color="auto" w:val="clear"/>
              </w:rPr>
              <w:tab/>
            </w:r>
            <w:r>
              <w:rPr>
                <w:rFonts w:ascii="Calibri"/>
                <w:sz w:val="12"/>
                <w:shd w:fill="FFFF00" w:color="auto" w:val="clear"/>
              </w:rPr>
              <w:t>0.8</w:t>
              <w:tab/>
            </w:r>
          </w:p>
        </w:tc>
        <w:tc>
          <w:tcPr>
            <w:tcW w:w="664" w:type="dxa"/>
            <w:tcBorders>
              <w:right w:val="single" w:sz="8" w:space="0" w:color="000000"/>
            </w:tcBorders>
            <w:shd w:val="clear" w:color="auto" w:fill="67ED4D"/>
          </w:tcPr>
          <w:p>
            <w:pPr>
              <w:pStyle w:val="TableParagraph"/>
              <w:spacing w:before="3"/>
              <w:ind w:right="283"/>
              <w:jc w:val="right"/>
              <w:rPr>
                <w:rFonts w:ascii="Calibri"/>
                <w:sz w:val="12"/>
              </w:rPr>
            </w:pPr>
            <w:r>
              <w:rPr>
                <w:rFonts w:ascii="Calibri"/>
                <w:w w:val="102"/>
                <w:sz w:val="12"/>
              </w:rPr>
              <w:t>1</w:t>
            </w:r>
          </w:p>
        </w:tc>
      </w:tr>
      <w:tr>
        <w:trPr>
          <w:trHeight w:val="143" w:hRule="exact"/>
        </w:trPr>
        <w:tc>
          <w:tcPr>
            <w:tcW w:w="8447" w:type="dxa"/>
            <w:gridSpan w:val="7"/>
            <w:tcBorders>
              <w:left w:val="single" w:sz="4" w:space="0" w:color="000000"/>
              <w:right w:val="single" w:sz="8" w:space="0" w:color="000000"/>
            </w:tcBorders>
          </w:tcPr>
          <w:p>
            <w:pPr/>
          </w:p>
        </w:tc>
      </w:tr>
      <w:tr>
        <w:trPr>
          <w:trHeight w:val="164" w:hRule="exact"/>
        </w:trPr>
        <w:tc>
          <w:tcPr>
            <w:tcW w:w="647" w:type="dxa"/>
            <w:tcBorders>
              <w:left w:val="single" w:sz="4" w:space="0" w:color="000000"/>
            </w:tcBorders>
          </w:tcPr>
          <w:p>
            <w:pPr/>
          </w:p>
        </w:tc>
        <w:tc>
          <w:tcPr>
            <w:tcW w:w="1728" w:type="dxa"/>
          </w:tcPr>
          <w:p>
            <w:pPr/>
          </w:p>
        </w:tc>
        <w:tc>
          <w:tcPr>
            <w:tcW w:w="2348" w:type="dxa"/>
          </w:tcPr>
          <w:p>
            <w:pPr/>
          </w:p>
        </w:tc>
        <w:tc>
          <w:tcPr>
            <w:tcW w:w="1564" w:type="dxa"/>
          </w:tcPr>
          <w:p>
            <w:pPr>
              <w:pStyle w:val="TableParagraph"/>
              <w:spacing w:before="3"/>
              <w:ind w:left="725" w:right="154"/>
              <w:rPr>
                <w:rFonts w:ascii="Calibri"/>
                <w:sz w:val="12"/>
              </w:rPr>
            </w:pPr>
            <w:r>
              <w:rPr>
                <w:rFonts w:ascii="Calibri"/>
                <w:sz w:val="12"/>
              </w:rPr>
              <w:t>Total IE</w:t>
            </w:r>
          </w:p>
        </w:tc>
        <w:tc>
          <w:tcPr>
            <w:tcW w:w="778" w:type="dxa"/>
          </w:tcPr>
          <w:p>
            <w:pPr>
              <w:pStyle w:val="TableParagraph"/>
              <w:tabs>
                <w:tab w:pos="255" w:val="left" w:leader="none"/>
                <w:tab w:pos="674" w:val="left" w:leader="none"/>
              </w:tabs>
              <w:spacing w:before="3"/>
              <w:ind w:right="-63"/>
              <w:jc w:val="right"/>
              <w:rPr>
                <w:rFonts w:ascii="Calibri"/>
                <w:sz w:val="12"/>
              </w:rPr>
            </w:pPr>
            <w:r>
              <w:rPr>
                <w:rFonts w:ascii="Times New Roman"/>
                <w:w w:val="102"/>
                <w:sz w:val="12"/>
                <w:shd w:fill="F79646" w:color="auto" w:val="clear"/>
              </w:rPr>
              <w:t> </w:t>
            </w:r>
            <w:r>
              <w:rPr>
                <w:rFonts w:ascii="Times New Roman"/>
                <w:sz w:val="12"/>
                <w:shd w:fill="F79646" w:color="auto" w:val="clear"/>
              </w:rPr>
              <w:tab/>
            </w:r>
            <w:r>
              <w:rPr>
                <w:rFonts w:ascii="Calibri"/>
                <w:sz w:val="12"/>
                <w:shd w:fill="F79646" w:color="auto" w:val="clear"/>
              </w:rPr>
              <w:t>4.7</w:t>
              <w:tab/>
            </w:r>
          </w:p>
        </w:tc>
        <w:tc>
          <w:tcPr>
            <w:tcW w:w="717" w:type="dxa"/>
          </w:tcPr>
          <w:p>
            <w:pPr>
              <w:pStyle w:val="TableParagraph"/>
              <w:spacing w:before="3"/>
              <w:ind w:left="63"/>
              <w:rPr>
                <w:rFonts w:ascii="Calibri"/>
                <w:sz w:val="12"/>
              </w:rPr>
            </w:pPr>
            <w:r>
              <w:rPr>
                <w:rFonts w:ascii="Calibri"/>
                <w:w w:val="102"/>
                <w:sz w:val="12"/>
              </w:rPr>
              <w:t>9</w:t>
            </w:r>
          </w:p>
        </w:tc>
        <w:tc>
          <w:tcPr>
            <w:tcW w:w="664" w:type="dxa"/>
            <w:tcBorders>
              <w:right w:val="single" w:sz="8" w:space="0" w:color="000000"/>
            </w:tcBorders>
            <w:shd w:val="clear" w:color="auto" w:fill="67ED4D"/>
          </w:tcPr>
          <w:p>
            <w:pPr>
              <w:pStyle w:val="TableParagraph"/>
              <w:spacing w:before="3"/>
              <w:ind w:right="251"/>
              <w:jc w:val="right"/>
              <w:rPr>
                <w:rFonts w:ascii="Calibri"/>
                <w:sz w:val="12"/>
              </w:rPr>
            </w:pPr>
            <w:r>
              <w:rPr>
                <w:rFonts w:ascii="Calibri"/>
                <w:sz w:val="12"/>
              </w:rPr>
              <w:t>11</w:t>
            </w:r>
          </w:p>
        </w:tc>
      </w:tr>
      <w:tr>
        <w:trPr>
          <w:trHeight w:val="153" w:hRule="exact"/>
        </w:trPr>
        <w:tc>
          <w:tcPr>
            <w:tcW w:w="8447" w:type="dxa"/>
            <w:gridSpan w:val="7"/>
            <w:tcBorders>
              <w:left w:val="single" w:sz="4" w:space="0" w:color="000000"/>
              <w:bottom w:val="single" w:sz="8" w:space="0" w:color="000000"/>
              <w:right w:val="single" w:sz="8" w:space="0" w:color="000000"/>
            </w:tcBorders>
          </w:tcPr>
          <w:p>
            <w:pPr/>
          </w:p>
        </w:tc>
      </w:tr>
    </w:tbl>
    <w:p>
      <w:pPr>
        <w:spacing w:before="9"/>
        <w:ind w:left="268" w:right="0" w:firstLine="0"/>
        <w:jc w:val="left"/>
        <w:rPr>
          <w:sz w:val="21"/>
        </w:rPr>
      </w:pPr>
      <w:r>
        <w:rPr/>
        <w:pict>
          <v:group style="position:absolute;margin-left:355.827515pt;margin-top:-93.35463pt;width:67pt;height:39.15pt;mso-position-horizontal-relative:page;mso-position-vertical-relative:paragraph;z-index:-1137376" coordorigin="7117,-1867" coordsize="1340,783">
            <v:line style="position:absolute" from="7122,-1862" to="7122,-1698" stroked="true" strokeweight=".511pt" strokecolor="#baf9f5"/>
            <v:rect style="position:absolute;left:7127;top:-1862;width:1329;height:164" filled="true" fillcolor="#baf9f5" stroked="false">
              <v:fill type="solid"/>
            </v:rect>
            <v:line style="position:absolute" from="7122,-1698" to="7122,-1545" stroked="true" strokeweight=".511pt" strokecolor="#baf9f5"/>
            <v:rect style="position:absolute;left:7127;top:-1698;width:1329;height:153" filled="true" fillcolor="#baf9f5" stroked="false">
              <v:fill type="solid"/>
            </v:rect>
            <v:line style="position:absolute" from="7122,-1545" to="7122,-1391" stroked="true" strokeweight=".511pt" strokecolor="#baf9f5"/>
            <v:rect style="position:absolute;left:7127;top:-1545;width:1329;height:153" filled="true" fillcolor="#baf9f5" stroked="false">
              <v:fill type="solid"/>
            </v:rect>
            <v:line style="position:absolute" from="7122,-1391" to="7122,-1238" stroked="true" strokeweight=".511pt" strokecolor="#baf9f5"/>
            <v:shape style="position:absolute;left:7127;top:-1391;width:1329;height:307" coordorigin="7127,-1391" coordsize="1329,307" path="m8456,-1391l7127,-1391,7127,-1238,7127,-1084,8456,-1084,8456,-1238,8456,-1391e" filled="true" fillcolor="#baf9f5" stroked="false">
              <v:path arrowok="t"/>
              <v:fill type="solid"/>
            </v:shape>
            <w10:wrap type="none"/>
          </v:group>
        </w:pict>
      </w:r>
      <w:r>
        <w:rPr/>
        <w:pict>
          <v:shape style="position:absolute;margin-left:455.490021pt;margin-top:-93.079155pt;width:66.95pt;height:38.9pt;mso-position-horizontal-relative:page;mso-position-vertical-relative:paragraph;z-index:-1137352" coordorigin="9110,-1862" coordsize="1339,778" path="m10449,-1862l9110,-1862,9110,-1698,9110,-1545,9110,-1391,9110,-1238,9110,-1084,10449,-1084,10449,-1238,10449,-1391,10449,-1545,10449,-1698,10449,-1862e" filled="true" fillcolor="#baf9f5" stroked="false">
            <v:path arrowok="t"/>
            <v:fill type="solid"/>
            <w10:wrap type="none"/>
          </v:shape>
        </w:pict>
      </w:r>
      <w:r>
        <w:rPr/>
        <w:pict>
          <v:rect style="position:absolute;margin-left:356.358002pt;margin-top:-39.389557pt;width:66.428700pt;height:8.181430pt;mso-position-horizontal-relative:page;mso-position-vertical-relative:paragraph;z-index:-1137328" filled="true" fillcolor="#baf9f5" stroked="false">
            <v:fill type="solid"/>
            <w10:wrap type="none"/>
          </v:rect>
        </w:pict>
      </w:r>
      <w:r>
        <w:rPr/>
        <w:pict>
          <v:rect style="position:absolute;margin-left:455.48999pt;margin-top:-39.389557pt;width:66.9397pt;height:8.181430pt;mso-position-horizontal-relative:page;mso-position-vertical-relative:paragraph;z-index:-1137304" filled="true" fillcolor="#baf9f5" stroked="false">
            <v:fill type="solid"/>
            <w10:wrap type="none"/>
          </v:rect>
        </w:pict>
      </w:r>
      <w:r>
        <w:rPr/>
        <w:pict>
          <v:rect style="position:absolute;margin-left:455.48999pt;margin-top:-16.378557pt;width:33.7253pt;height:8.181430pt;mso-position-horizontal-relative:page;mso-position-vertical-relative:paragraph;z-index:-1137280" filled="true" fillcolor="#ffff00" stroked="false">
            <v:fill type="solid"/>
            <w10:wrap type="none"/>
          </v:rect>
        </w:pict>
      </w:r>
      <w:r>
        <w:rPr>
          <w:w w:val="105"/>
          <w:sz w:val="21"/>
        </w:rPr>
        <w:t>Fuente: Elaboración propia con base al estudio realizado.</w:t>
      </w:r>
    </w:p>
    <w:p>
      <w:pPr>
        <w:pStyle w:val="BodyText"/>
        <w:rPr>
          <w:sz w:val="22"/>
        </w:rPr>
      </w:pPr>
    </w:p>
    <w:p>
      <w:pPr>
        <w:pStyle w:val="BodyText"/>
        <w:spacing w:before="10"/>
        <w:rPr>
          <w:sz w:val="30"/>
        </w:rPr>
      </w:pPr>
    </w:p>
    <w:p>
      <w:pPr>
        <w:pStyle w:val="BodyText"/>
        <w:spacing w:before="1" w:after="17"/>
        <w:ind w:left="268"/>
      </w:pPr>
      <w:r>
        <w:rPr/>
        <w:pict>
          <v:group style="position:absolute;margin-left:355.817505pt;margin-top:50.467754pt;width:67pt;height:23.8pt;mso-position-horizontal-relative:page;mso-position-vertical-relative:paragraph;z-index:-1137256" coordorigin="7116,1009" coordsize="1340,476">
            <v:shape style="position:absolute;left:7127;top:1009;width:1329;height:318" coordorigin="7127,1009" coordsize="1329,318" path="m8455,1009l7127,1009,7127,1163,7127,1173,7127,1326,8455,1326,8455,1173,8455,1163,8455,1009e" filled="true" fillcolor="#baf9f5" stroked="false">
              <v:path arrowok="t"/>
              <v:fill type="solid"/>
            </v:shape>
            <v:line style="position:absolute" from="7122,1163" to="7122,1480" stroked="true" strokeweight=".511pt" strokecolor="#baf9f5"/>
            <v:rect style="position:absolute;left:7127;top:1326;width:1329;height:153" filled="true" fillcolor="#baf9f5" stroked="false">
              <v:fill type="solid"/>
            </v:rect>
            <w10:wrap type="none"/>
          </v:group>
        </w:pict>
      </w:r>
      <w:r>
        <w:rPr/>
        <w:pict>
          <v:rect style="position:absolute;margin-left:488.688995pt;margin-top:50.467754pt;width:33.7241pt;height:8.18112pt;mso-position-horizontal-relative:page;mso-position-vertical-relative:paragraph;z-index:-1137232" filled="true" fillcolor="#67ed4d" stroked="false">
            <v:fill type="solid"/>
            <w10:wrap type="none"/>
          </v:rect>
        </w:pict>
      </w:r>
      <w:r>
        <w:rPr/>
        <w:pict>
          <v:group style="position:absolute;margin-left:355.817505pt;margin-top:88.54187pt;width:67pt;height:16.1500pt;mso-position-horizontal-relative:page;mso-position-vertical-relative:paragraph;z-index:-1137208" coordorigin="7116,1771" coordsize="1340,323">
            <v:line style="position:absolute" from="7122,1776" to="7122,1940" stroked="true" strokeweight=".511pt" strokecolor="#baf9f5"/>
            <v:shape style="position:absolute;left:7127;top:1776;width:1329;height:318" coordorigin="7127,1776" coordsize="1329,318" path="m8455,1776l7127,1776,7127,1940,7127,2093,8455,2093,8455,1940,8455,1776e" filled="true" fillcolor="#baf9f5" stroked="false">
              <v:path arrowok="t"/>
              <v:fill type="solid"/>
            </v:shape>
            <w10:wrap type="none"/>
          </v:group>
        </w:pict>
      </w:r>
      <w:r>
        <w:rPr/>
        <w:pict>
          <v:shape style="position:absolute;margin-left:455.476013pt;margin-top:88.816856pt;width:66.95pt;height:15.9pt;mso-position-horizontal-relative:page;mso-position-vertical-relative:paragraph;z-index:-1137184" coordorigin="9110,1776" coordsize="1339,318" path="m10448,1776l9110,1776,9110,1940,9110,2093,10448,2093,10448,1940,10448,1776e" filled="true" fillcolor="#baf9f5" stroked="false">
            <v:path arrowok="t"/>
            <v:fill type="solid"/>
            <w10:wrap type="none"/>
          </v:shape>
        </w:pict>
      </w:r>
      <w:r>
        <w:rPr/>
        <w:pict>
          <v:group style="position:absolute;margin-left:355.817505pt;margin-top:119.22097pt;width:67pt;height:16.4pt;mso-position-horizontal-relative:page;mso-position-vertical-relative:paragraph;z-index:-1137160" coordorigin="7116,2384" coordsize="1340,328">
            <v:line style="position:absolute" from="7122,2390" to="7122,2554" stroked="true" strokeweight=".511pt" strokecolor="#baf9f5"/>
            <v:rect style="position:absolute;left:7127;top:2390;width:1329;height:164" filled="true" fillcolor="#baf9f5" stroked="false">
              <v:fill type="solid"/>
            </v:rect>
            <v:line style="position:absolute" from="7122,2554" to="7122,2707" stroked="true" strokeweight=".511pt" strokecolor="#baf9f5"/>
            <v:rect style="position:absolute;left:7127;top:2554;width:1329;height:153" filled="true" fillcolor="#baf9f5" stroked="false">
              <v:fill type="solid"/>
            </v:rect>
            <w10:wrap type="none"/>
          </v:group>
        </w:pict>
      </w:r>
      <w:r>
        <w:rPr/>
        <w:pict>
          <v:group style="position:absolute;margin-left:355.817505pt;margin-top:149.899872pt;width:67pt;height:16.1500pt;mso-position-horizontal-relative:page;mso-position-vertical-relative:paragraph;z-index:-1137136" coordorigin="7116,2998" coordsize="1340,323">
            <v:line style="position:absolute" from="7122,3003" to="7122,3167" stroked="true" strokeweight=".511pt" strokecolor="#baf9f5"/>
            <v:shape style="position:absolute;left:7127;top:3003;width:1329;height:318" coordorigin="7127,3003" coordsize="1329,318" path="m8455,3167l7127,3167,7127,3321,8455,3321,8455,3167m8455,3003l7127,3003,7127,3167,8455,3167,8455,3003e" filled="true" fillcolor="#baf9f5" stroked="false">
              <v:path arrowok="t"/>
              <v:fill type="solid"/>
            </v:shape>
            <w10:wrap type="none"/>
          </v:group>
        </w:pict>
      </w:r>
      <w:r>
        <w:rPr/>
        <w:pict>
          <v:shape style="position:absolute;margin-left:455.476013pt;margin-top:150.174866pt;width:66.95pt;height:15.9pt;mso-position-horizontal-relative:page;mso-position-vertical-relative:paragraph;z-index:-1137112" coordorigin="9110,3003" coordsize="1339,318" path="m10448,3167l9110,3167,9110,3321,10448,3321,10448,3167m10448,3003l9110,3003,9110,3167,10448,3167,10448,3003e" filled="true" fillcolor="#baf9f5" stroked="false">
            <v:path arrowok="t"/>
            <v:fill type="solid"/>
            <w10:wrap type="none"/>
          </v:shape>
        </w:pict>
      </w:r>
      <w:r>
        <w:rPr/>
        <w:t>Tabla 46. IST San Andrés</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31"/>
        <w:gridCol w:w="1780"/>
        <w:gridCol w:w="2458"/>
        <w:gridCol w:w="1418"/>
        <w:gridCol w:w="831"/>
        <w:gridCol w:w="666"/>
        <w:gridCol w:w="663"/>
      </w:tblGrid>
      <w:tr>
        <w:trPr>
          <w:trHeight w:val="486" w:hRule="exact"/>
        </w:trPr>
        <w:tc>
          <w:tcPr>
            <w:tcW w:w="8446" w:type="dxa"/>
            <w:gridSpan w:val="7"/>
            <w:tcBorders>
              <w:bottom w:val="nil"/>
            </w:tcBorders>
            <w:shd w:val="clear" w:color="auto" w:fill="000000"/>
          </w:tcPr>
          <w:p>
            <w:pPr>
              <w:pStyle w:val="TableParagraph"/>
              <w:spacing w:before="97"/>
              <w:ind w:left="3184" w:right="3177"/>
              <w:rPr>
                <w:b/>
                <w:sz w:val="12"/>
              </w:rPr>
            </w:pPr>
            <w:r>
              <w:rPr>
                <w:b/>
                <w:color w:val="FFFFFF"/>
                <w:sz w:val="12"/>
              </w:rPr>
              <w:t>San Andrés</w:t>
            </w:r>
          </w:p>
          <w:p>
            <w:pPr>
              <w:pStyle w:val="TableParagraph"/>
              <w:spacing w:before="15"/>
              <w:ind w:left="3184" w:right="3186"/>
              <w:rPr>
                <w:b/>
                <w:sz w:val="12"/>
              </w:rPr>
            </w:pPr>
            <w:r>
              <w:rPr>
                <w:b/>
                <w:color w:val="FFFFFF"/>
                <w:sz w:val="12"/>
              </w:rPr>
              <w:t>Índice de sustentabilidad </w:t>
            </w:r>
            <w:r>
              <w:rPr>
                <w:b/>
                <w:color w:val="FFFFFF"/>
                <w:spacing w:val="8"/>
                <w:sz w:val="12"/>
              </w:rPr>
              <w:t> </w:t>
            </w:r>
            <w:r>
              <w:rPr>
                <w:b/>
                <w:color w:val="FFFFFF"/>
                <w:sz w:val="12"/>
              </w:rPr>
              <w:t>territorial</w:t>
            </w:r>
          </w:p>
        </w:tc>
      </w:tr>
      <w:tr>
        <w:trPr>
          <w:trHeight w:val="159" w:hRule="exact"/>
        </w:trPr>
        <w:tc>
          <w:tcPr>
            <w:tcW w:w="631" w:type="dxa"/>
            <w:tcBorders>
              <w:top w:val="single" w:sz="4" w:space="0" w:color="FFFFFF"/>
              <w:left w:val="single" w:sz="4" w:space="0" w:color="000000"/>
            </w:tcBorders>
            <w:shd w:val="clear" w:color="auto" w:fill="808080"/>
          </w:tcPr>
          <w:p>
            <w:pPr>
              <w:pStyle w:val="TableParagraph"/>
              <w:spacing w:line="133" w:lineRule="exact"/>
              <w:ind w:left="76" w:right="42"/>
              <w:rPr>
                <w:b/>
                <w:sz w:val="12"/>
              </w:rPr>
            </w:pPr>
            <w:r>
              <w:rPr>
                <w:b/>
                <w:color w:val="FFFFFF"/>
                <w:sz w:val="12"/>
              </w:rPr>
              <w:t>Índice</w:t>
            </w:r>
          </w:p>
        </w:tc>
        <w:tc>
          <w:tcPr>
            <w:tcW w:w="1780" w:type="dxa"/>
            <w:tcBorders>
              <w:top w:val="single" w:sz="4" w:space="0" w:color="FFFFFF"/>
            </w:tcBorders>
            <w:shd w:val="clear" w:color="auto" w:fill="808080"/>
          </w:tcPr>
          <w:p>
            <w:pPr>
              <w:pStyle w:val="TableParagraph"/>
              <w:spacing w:line="133" w:lineRule="exact"/>
              <w:ind w:left="58"/>
              <w:jc w:val="left"/>
              <w:rPr>
                <w:b/>
                <w:sz w:val="12"/>
              </w:rPr>
            </w:pPr>
            <w:r>
              <w:rPr>
                <w:b/>
                <w:color w:val="FFFFFF"/>
                <w:sz w:val="12"/>
              </w:rPr>
              <w:t>Subíndice</w:t>
            </w:r>
          </w:p>
        </w:tc>
        <w:tc>
          <w:tcPr>
            <w:tcW w:w="2458" w:type="dxa"/>
            <w:tcBorders>
              <w:top w:val="single" w:sz="4" w:space="0" w:color="FFFFFF"/>
            </w:tcBorders>
            <w:shd w:val="clear" w:color="auto" w:fill="808080"/>
          </w:tcPr>
          <w:p>
            <w:pPr>
              <w:pStyle w:val="TableParagraph"/>
              <w:spacing w:line="133" w:lineRule="exact"/>
              <w:ind w:left="322" w:right="635"/>
              <w:jc w:val="left"/>
              <w:rPr>
                <w:b/>
                <w:sz w:val="12"/>
              </w:rPr>
            </w:pPr>
            <w:r>
              <w:rPr>
                <w:b/>
                <w:color w:val="FFFFFF"/>
                <w:sz w:val="12"/>
              </w:rPr>
              <w:t>Indicador</w:t>
            </w:r>
          </w:p>
        </w:tc>
        <w:tc>
          <w:tcPr>
            <w:tcW w:w="1418" w:type="dxa"/>
            <w:tcBorders>
              <w:top w:val="single" w:sz="4" w:space="0" w:color="FFFFFF"/>
            </w:tcBorders>
            <w:shd w:val="clear" w:color="auto" w:fill="808080"/>
          </w:tcPr>
          <w:p>
            <w:pPr/>
          </w:p>
        </w:tc>
        <w:tc>
          <w:tcPr>
            <w:tcW w:w="831" w:type="dxa"/>
            <w:tcBorders>
              <w:top w:val="single" w:sz="4" w:space="0" w:color="FFFFFF"/>
            </w:tcBorders>
            <w:shd w:val="clear" w:color="auto" w:fill="808080"/>
          </w:tcPr>
          <w:p>
            <w:pPr>
              <w:pStyle w:val="TableParagraph"/>
              <w:spacing w:line="133" w:lineRule="exact"/>
              <w:ind w:left="270" w:right="86"/>
              <w:rPr>
                <w:b/>
                <w:sz w:val="12"/>
              </w:rPr>
            </w:pPr>
            <w:r>
              <w:rPr>
                <w:b/>
                <w:color w:val="FFFFFF"/>
                <w:sz w:val="12"/>
              </w:rPr>
              <w:t>Valores</w:t>
            </w:r>
          </w:p>
        </w:tc>
        <w:tc>
          <w:tcPr>
            <w:tcW w:w="1329" w:type="dxa"/>
            <w:gridSpan w:val="2"/>
            <w:tcBorders>
              <w:top w:val="single" w:sz="4" w:space="0" w:color="FFFFFF"/>
              <w:right w:val="single" w:sz="8" w:space="0" w:color="000000"/>
            </w:tcBorders>
            <w:shd w:val="clear" w:color="auto" w:fill="808080"/>
          </w:tcPr>
          <w:p>
            <w:pPr/>
          </w:p>
        </w:tc>
      </w:tr>
      <w:tr>
        <w:trPr>
          <w:trHeight w:val="225" w:hRule="exact"/>
        </w:trPr>
        <w:tc>
          <w:tcPr>
            <w:tcW w:w="631" w:type="dxa"/>
            <w:tcBorders>
              <w:left w:val="single" w:sz="4" w:space="0" w:color="000000"/>
            </w:tcBorders>
          </w:tcPr>
          <w:p>
            <w:pPr/>
          </w:p>
        </w:tc>
        <w:tc>
          <w:tcPr>
            <w:tcW w:w="1780" w:type="dxa"/>
          </w:tcPr>
          <w:p>
            <w:pPr/>
          </w:p>
        </w:tc>
        <w:tc>
          <w:tcPr>
            <w:tcW w:w="2458" w:type="dxa"/>
          </w:tcPr>
          <w:p>
            <w:pPr/>
          </w:p>
        </w:tc>
        <w:tc>
          <w:tcPr>
            <w:tcW w:w="1418" w:type="dxa"/>
          </w:tcPr>
          <w:p>
            <w:pPr>
              <w:pStyle w:val="TableParagraph"/>
              <w:spacing w:before="76"/>
              <w:ind w:right="164"/>
              <w:jc w:val="right"/>
              <w:rPr>
                <w:b/>
                <w:sz w:val="12"/>
              </w:rPr>
            </w:pPr>
            <w:r>
              <w:rPr>
                <w:b/>
                <w:sz w:val="12"/>
              </w:rPr>
              <w:t>Evaluación</w:t>
            </w:r>
          </w:p>
        </w:tc>
        <w:tc>
          <w:tcPr>
            <w:tcW w:w="831" w:type="dxa"/>
          </w:tcPr>
          <w:p>
            <w:pPr>
              <w:pStyle w:val="TableParagraph"/>
              <w:tabs>
                <w:tab w:pos="841" w:val="left" w:leader="none"/>
              </w:tabs>
              <w:spacing w:before="76"/>
              <w:ind w:left="166" w:right="-11"/>
              <w:rPr>
                <w:b/>
                <w:sz w:val="12"/>
              </w:rPr>
            </w:pPr>
            <w:r>
              <w:rPr>
                <w:b/>
                <w:w w:val="102"/>
                <w:sz w:val="12"/>
                <w:shd w:fill="F79646" w:color="auto" w:val="clear"/>
              </w:rPr>
              <w:t> </w:t>
            </w:r>
            <w:r>
              <w:rPr>
                <w:b/>
                <w:sz w:val="12"/>
                <w:shd w:fill="F79646" w:color="auto" w:val="clear"/>
              </w:rPr>
              <w:t>    </w:t>
            </w:r>
            <w:r>
              <w:rPr>
                <w:b/>
                <w:spacing w:val="3"/>
                <w:sz w:val="12"/>
                <w:shd w:fill="F79646" w:color="auto" w:val="clear"/>
              </w:rPr>
              <w:t> </w:t>
            </w:r>
            <w:r>
              <w:rPr>
                <w:b/>
                <w:sz w:val="12"/>
                <w:shd w:fill="F79646" w:color="auto" w:val="clear"/>
              </w:rPr>
              <w:t>Real</w:t>
              <w:tab/>
            </w:r>
          </w:p>
        </w:tc>
        <w:tc>
          <w:tcPr>
            <w:tcW w:w="1329" w:type="dxa"/>
            <w:gridSpan w:val="2"/>
            <w:tcBorders>
              <w:right w:val="single" w:sz="8" w:space="0" w:color="000000"/>
            </w:tcBorders>
          </w:tcPr>
          <w:p>
            <w:pPr>
              <w:pStyle w:val="TableParagraph"/>
              <w:spacing w:before="76"/>
              <w:jc w:val="left"/>
              <w:rPr>
                <w:b/>
                <w:sz w:val="12"/>
              </w:rPr>
            </w:pPr>
            <w:r>
              <w:rPr>
                <w:b/>
                <w:w w:val="102"/>
                <w:sz w:val="12"/>
                <w:shd w:fill="FFFF00" w:color="auto" w:val="clear"/>
              </w:rPr>
              <w:t> </w:t>
            </w:r>
            <w:r>
              <w:rPr>
                <w:b/>
                <w:sz w:val="12"/>
                <w:shd w:fill="FFFF00" w:color="auto" w:val="clear"/>
              </w:rPr>
              <w:t> Deseable     </w:t>
            </w:r>
            <w:r>
              <w:rPr>
                <w:b/>
                <w:sz w:val="12"/>
              </w:rPr>
              <w:t>Óptimo</w:t>
            </w:r>
          </w:p>
        </w:tc>
      </w:tr>
      <w:tr>
        <w:trPr>
          <w:trHeight w:val="160" w:hRule="exact"/>
        </w:trPr>
        <w:tc>
          <w:tcPr>
            <w:tcW w:w="631" w:type="dxa"/>
            <w:vMerge w:val="restart"/>
            <w:tcBorders>
              <w:left w:val="single" w:sz="4" w:space="0" w:color="000000"/>
            </w:tcBorders>
          </w:tcPr>
          <w:p>
            <w:pPr/>
          </w:p>
        </w:tc>
        <w:tc>
          <w:tcPr>
            <w:tcW w:w="1780" w:type="dxa"/>
            <w:vMerge w:val="restart"/>
          </w:tcPr>
          <w:p>
            <w:pPr>
              <w:pStyle w:val="TableParagraph"/>
              <w:spacing w:before="75"/>
              <w:ind w:left="58"/>
              <w:jc w:val="left"/>
              <w:rPr>
                <w:rFonts w:ascii="Calibri"/>
                <w:sz w:val="12"/>
              </w:rPr>
            </w:pPr>
            <w:r>
              <w:rPr>
                <w:rFonts w:ascii="Calibri"/>
                <w:sz w:val="12"/>
              </w:rPr>
              <w:t>Uso de suelo</w:t>
            </w:r>
          </w:p>
        </w:tc>
        <w:tc>
          <w:tcPr>
            <w:tcW w:w="2458" w:type="dxa"/>
            <w:vMerge w:val="restart"/>
          </w:tcPr>
          <w:p>
            <w:pPr>
              <w:pStyle w:val="TableParagraph"/>
              <w:spacing w:line="252" w:lineRule="auto" w:before="3"/>
              <w:ind w:left="322" w:right="635"/>
              <w:jc w:val="left"/>
              <w:rPr>
                <w:rFonts w:ascii="Calibri" w:hAnsi="Calibri"/>
                <w:sz w:val="12"/>
              </w:rPr>
            </w:pPr>
            <w:r>
              <w:rPr>
                <w:rFonts w:ascii="Calibri" w:hAnsi="Calibri"/>
                <w:sz w:val="12"/>
              </w:rPr>
              <w:t>Clasificación del suelo Densidad de población</w:t>
            </w:r>
          </w:p>
        </w:tc>
        <w:tc>
          <w:tcPr>
            <w:tcW w:w="1418" w:type="dxa"/>
            <w:vMerge w:val="restart"/>
          </w:tcPr>
          <w:p>
            <w:pPr>
              <w:pStyle w:val="TableParagraph"/>
              <w:spacing w:before="3"/>
              <w:ind w:left="848"/>
              <w:jc w:val="left"/>
              <w:rPr>
                <w:rFonts w:ascii="Calibri"/>
                <w:sz w:val="12"/>
              </w:rPr>
            </w:pPr>
            <w:r>
              <w:rPr>
                <w:rFonts w:ascii="Calibri"/>
                <w:sz w:val="12"/>
              </w:rPr>
              <w:t>0.5</w:t>
            </w:r>
          </w:p>
          <w:p>
            <w:pPr>
              <w:pStyle w:val="TableParagraph"/>
              <w:spacing w:before="7"/>
              <w:ind w:left="848"/>
              <w:jc w:val="left"/>
              <w:rPr>
                <w:rFonts w:ascii="Calibri"/>
                <w:sz w:val="12"/>
              </w:rPr>
            </w:pPr>
            <w:r>
              <w:rPr>
                <w:rFonts w:ascii="Calibri"/>
                <w:sz w:val="12"/>
              </w:rPr>
              <w:t>0.5</w:t>
            </w:r>
          </w:p>
        </w:tc>
        <w:tc>
          <w:tcPr>
            <w:tcW w:w="831" w:type="dxa"/>
            <w:vMerge w:val="restart"/>
          </w:tcPr>
          <w:p>
            <w:pPr/>
          </w:p>
        </w:tc>
        <w:tc>
          <w:tcPr>
            <w:tcW w:w="1329" w:type="dxa"/>
            <w:gridSpan w:val="2"/>
            <w:tcBorders>
              <w:right w:val="single" w:sz="8" w:space="0" w:color="000000"/>
            </w:tcBorders>
            <w:shd w:val="clear" w:color="auto" w:fill="BAF9F5"/>
          </w:tcPr>
          <w:p>
            <w:pPr>
              <w:pStyle w:val="TableParagraph"/>
              <w:tabs>
                <w:tab w:pos="970" w:val="left" w:leader="none"/>
              </w:tabs>
              <w:spacing w:before="3"/>
              <w:ind w:left="255"/>
              <w:jc w:val="left"/>
              <w:rPr>
                <w:rFonts w:ascii="Calibri"/>
                <w:sz w:val="12"/>
              </w:rPr>
            </w:pPr>
            <w:r>
              <w:rPr>
                <w:rFonts w:ascii="Calibri"/>
                <w:sz w:val="12"/>
              </w:rPr>
              <w:t>0.5</w:t>
              <w:tab/>
              <w:t>1</w:t>
            </w:r>
          </w:p>
        </w:tc>
      </w:tr>
      <w:tr>
        <w:trPr>
          <w:trHeight w:val="152" w:hRule="exact"/>
        </w:trPr>
        <w:tc>
          <w:tcPr>
            <w:tcW w:w="631" w:type="dxa"/>
            <w:vMerge/>
            <w:tcBorders>
              <w:left w:val="single" w:sz="4" w:space="0" w:color="000000"/>
            </w:tcBorders>
          </w:tcPr>
          <w:p>
            <w:pPr/>
          </w:p>
        </w:tc>
        <w:tc>
          <w:tcPr>
            <w:tcW w:w="1780" w:type="dxa"/>
            <w:vMerge/>
          </w:tcPr>
          <w:p>
            <w:pPr/>
          </w:p>
        </w:tc>
        <w:tc>
          <w:tcPr>
            <w:tcW w:w="2458" w:type="dxa"/>
            <w:vMerge/>
          </w:tcPr>
          <w:p>
            <w:pPr/>
          </w:p>
        </w:tc>
        <w:tc>
          <w:tcPr>
            <w:tcW w:w="1418" w:type="dxa"/>
            <w:vMerge/>
          </w:tcPr>
          <w:p>
            <w:pPr/>
          </w:p>
        </w:tc>
        <w:tc>
          <w:tcPr>
            <w:tcW w:w="831" w:type="dxa"/>
            <w:vMerge/>
          </w:tcPr>
          <w:p>
            <w:pPr/>
          </w:p>
        </w:tc>
        <w:tc>
          <w:tcPr>
            <w:tcW w:w="1329" w:type="dxa"/>
            <w:gridSpan w:val="2"/>
            <w:tcBorders>
              <w:bottom w:val="single" w:sz="4" w:space="0" w:color="FFFFFF"/>
              <w:right w:val="single" w:sz="8" w:space="0" w:color="000000"/>
            </w:tcBorders>
            <w:shd w:val="clear" w:color="auto" w:fill="BAF9F5"/>
          </w:tcPr>
          <w:p>
            <w:pPr>
              <w:pStyle w:val="TableParagraph"/>
              <w:tabs>
                <w:tab w:pos="970" w:val="left" w:leader="none"/>
              </w:tabs>
              <w:spacing w:line="143" w:lineRule="exact"/>
              <w:ind w:left="255"/>
              <w:jc w:val="left"/>
              <w:rPr>
                <w:rFonts w:ascii="Calibri"/>
                <w:sz w:val="12"/>
              </w:rPr>
            </w:pPr>
            <w:r>
              <w:rPr>
                <w:rFonts w:ascii="Calibri"/>
                <w:sz w:val="12"/>
              </w:rPr>
              <w:t>0.5</w:t>
              <w:tab/>
              <w:t>1</w:t>
            </w:r>
          </w:p>
        </w:tc>
      </w:tr>
      <w:tr>
        <w:trPr>
          <w:trHeight w:val="159" w:hRule="exact"/>
        </w:trPr>
        <w:tc>
          <w:tcPr>
            <w:tcW w:w="631" w:type="dxa"/>
            <w:vMerge/>
            <w:tcBorders>
              <w:left w:val="single" w:sz="4" w:space="0" w:color="000000"/>
            </w:tcBorders>
          </w:tcPr>
          <w:p>
            <w:pPr/>
          </w:p>
        </w:tc>
        <w:tc>
          <w:tcPr>
            <w:tcW w:w="1780" w:type="dxa"/>
          </w:tcPr>
          <w:p>
            <w:pPr/>
          </w:p>
        </w:tc>
        <w:tc>
          <w:tcPr>
            <w:tcW w:w="2458" w:type="dxa"/>
          </w:tcPr>
          <w:p>
            <w:pPr/>
          </w:p>
        </w:tc>
        <w:tc>
          <w:tcPr>
            <w:tcW w:w="1418" w:type="dxa"/>
          </w:tcPr>
          <w:p>
            <w:pPr>
              <w:pStyle w:val="TableParagraph"/>
              <w:spacing w:line="145" w:lineRule="exact"/>
              <w:ind w:right="280"/>
              <w:jc w:val="right"/>
              <w:rPr>
                <w:rFonts w:ascii="Calibri"/>
                <w:sz w:val="12"/>
              </w:rPr>
            </w:pPr>
            <w:r>
              <w:rPr>
                <w:rFonts w:ascii="Calibri"/>
                <w:sz w:val="12"/>
              </w:rPr>
              <w:t>Subtotal</w:t>
            </w:r>
          </w:p>
        </w:tc>
        <w:tc>
          <w:tcPr>
            <w:tcW w:w="831" w:type="dxa"/>
          </w:tcPr>
          <w:p>
            <w:pPr>
              <w:pStyle w:val="TableParagraph"/>
              <w:tabs>
                <w:tab w:pos="473" w:val="left" w:leader="none"/>
                <w:tab w:pos="841" w:val="left" w:leader="none"/>
              </w:tabs>
              <w:spacing w:line="145" w:lineRule="exact"/>
              <w:ind w:left="166" w:right="-11"/>
              <w:rPr>
                <w:rFonts w:ascii="Calibri"/>
                <w:sz w:val="12"/>
              </w:rPr>
            </w:pPr>
            <w:r>
              <w:rPr>
                <w:rFonts w:ascii="Times New Roman"/>
                <w:w w:val="102"/>
                <w:sz w:val="12"/>
                <w:shd w:fill="F79646" w:color="auto" w:val="clear"/>
              </w:rPr>
              <w:t> </w:t>
            </w:r>
            <w:r>
              <w:rPr>
                <w:rFonts w:ascii="Times New Roman"/>
                <w:sz w:val="12"/>
                <w:shd w:fill="F79646" w:color="auto" w:val="clear"/>
              </w:rPr>
              <w:tab/>
            </w:r>
            <w:r>
              <w:rPr>
                <w:rFonts w:ascii="Calibri"/>
                <w:sz w:val="12"/>
                <w:shd w:fill="F79646" w:color="auto" w:val="clear"/>
              </w:rPr>
              <w:t>1</w:t>
              <w:tab/>
            </w:r>
          </w:p>
        </w:tc>
        <w:tc>
          <w:tcPr>
            <w:tcW w:w="666" w:type="dxa"/>
            <w:tcBorders>
              <w:top w:val="single" w:sz="4" w:space="0" w:color="FFFFFF"/>
              <w:right w:val="single" w:sz="4" w:space="0" w:color="FFFFFF"/>
            </w:tcBorders>
            <w:shd w:val="clear" w:color="auto" w:fill="FFFF00"/>
          </w:tcPr>
          <w:p>
            <w:pPr>
              <w:pStyle w:val="TableParagraph"/>
              <w:spacing w:line="140" w:lineRule="exact"/>
              <w:ind w:left="14"/>
              <w:rPr>
                <w:rFonts w:ascii="Calibri"/>
                <w:sz w:val="12"/>
              </w:rPr>
            </w:pPr>
            <w:r>
              <w:rPr>
                <w:rFonts w:ascii="Calibri"/>
                <w:w w:val="102"/>
                <w:sz w:val="12"/>
              </w:rPr>
              <w:t>1</w:t>
            </w:r>
          </w:p>
        </w:tc>
        <w:tc>
          <w:tcPr>
            <w:tcW w:w="663" w:type="dxa"/>
            <w:tcBorders>
              <w:top w:val="single" w:sz="4" w:space="0" w:color="FFFFFF"/>
              <w:left w:val="single" w:sz="4" w:space="0" w:color="FFFFFF"/>
              <w:right w:val="single" w:sz="8" w:space="0" w:color="000000"/>
            </w:tcBorders>
            <w:shd w:val="clear" w:color="auto" w:fill="67ED4D"/>
          </w:tcPr>
          <w:p>
            <w:pPr>
              <w:pStyle w:val="TableParagraph"/>
              <w:spacing w:line="140" w:lineRule="exact"/>
              <w:ind w:right="283"/>
              <w:jc w:val="right"/>
              <w:rPr>
                <w:rFonts w:ascii="Calibri"/>
                <w:sz w:val="12"/>
              </w:rPr>
            </w:pPr>
            <w:r>
              <w:rPr>
                <w:rFonts w:ascii="Calibri"/>
                <w:w w:val="102"/>
                <w:sz w:val="12"/>
              </w:rPr>
              <w:t>2</w:t>
            </w:r>
          </w:p>
        </w:tc>
      </w:tr>
      <w:tr>
        <w:trPr>
          <w:trHeight w:val="450" w:hRule="exact"/>
        </w:trPr>
        <w:tc>
          <w:tcPr>
            <w:tcW w:w="631" w:type="dxa"/>
            <w:tcBorders>
              <w:left w:val="single" w:sz="4" w:space="0" w:color="000000"/>
            </w:tcBorders>
          </w:tcPr>
          <w:p>
            <w:pPr/>
          </w:p>
        </w:tc>
        <w:tc>
          <w:tcPr>
            <w:tcW w:w="1780" w:type="dxa"/>
          </w:tcPr>
          <w:p>
            <w:pPr>
              <w:pStyle w:val="TableParagraph"/>
              <w:jc w:val="left"/>
              <w:rPr>
                <w:sz w:val="12"/>
              </w:rPr>
            </w:pPr>
          </w:p>
          <w:p>
            <w:pPr>
              <w:pStyle w:val="TableParagraph"/>
              <w:spacing w:before="80"/>
              <w:ind w:left="58"/>
              <w:jc w:val="left"/>
              <w:rPr>
                <w:rFonts w:ascii="Calibri"/>
                <w:sz w:val="12"/>
              </w:rPr>
            </w:pPr>
            <w:r>
              <w:rPr>
                <w:rFonts w:ascii="Calibri"/>
                <w:sz w:val="12"/>
              </w:rPr>
              <w:t>Vivienda</w:t>
            </w:r>
          </w:p>
        </w:tc>
        <w:tc>
          <w:tcPr>
            <w:tcW w:w="2458" w:type="dxa"/>
          </w:tcPr>
          <w:p>
            <w:pPr>
              <w:pStyle w:val="TableParagraph"/>
              <w:spacing w:before="8"/>
              <w:jc w:val="left"/>
              <w:rPr>
                <w:sz w:val="12"/>
              </w:rPr>
            </w:pPr>
          </w:p>
          <w:p>
            <w:pPr>
              <w:pStyle w:val="TableParagraph"/>
              <w:spacing w:line="252" w:lineRule="auto"/>
              <w:ind w:left="322" w:right="1538"/>
              <w:jc w:val="left"/>
              <w:rPr>
                <w:rFonts w:ascii="Calibri"/>
                <w:sz w:val="12"/>
              </w:rPr>
            </w:pPr>
            <w:r>
              <w:rPr>
                <w:rFonts w:ascii="Calibri"/>
                <w:sz w:val="12"/>
              </w:rPr>
              <w:t>Autorizadas Tipo</w:t>
            </w:r>
          </w:p>
        </w:tc>
        <w:tc>
          <w:tcPr>
            <w:tcW w:w="1418" w:type="dxa"/>
          </w:tcPr>
          <w:p>
            <w:pPr>
              <w:pStyle w:val="TableParagraph"/>
              <w:spacing w:before="8"/>
              <w:jc w:val="left"/>
              <w:rPr>
                <w:sz w:val="12"/>
              </w:rPr>
            </w:pPr>
          </w:p>
          <w:p>
            <w:pPr>
              <w:pStyle w:val="TableParagraph"/>
              <w:ind w:left="899"/>
              <w:jc w:val="left"/>
              <w:rPr>
                <w:rFonts w:ascii="Calibri"/>
                <w:sz w:val="12"/>
              </w:rPr>
            </w:pPr>
            <w:r>
              <w:rPr>
                <w:rFonts w:ascii="Calibri"/>
                <w:w w:val="102"/>
                <w:sz w:val="12"/>
              </w:rPr>
              <w:t>1</w:t>
            </w:r>
          </w:p>
          <w:p>
            <w:pPr>
              <w:pStyle w:val="TableParagraph"/>
              <w:spacing w:before="7"/>
              <w:ind w:left="848"/>
              <w:jc w:val="left"/>
              <w:rPr>
                <w:rFonts w:ascii="Calibri"/>
                <w:sz w:val="12"/>
              </w:rPr>
            </w:pPr>
            <w:r>
              <w:rPr>
                <w:rFonts w:ascii="Calibri"/>
                <w:sz w:val="12"/>
              </w:rPr>
              <w:t>0.5</w:t>
            </w:r>
          </w:p>
        </w:tc>
        <w:tc>
          <w:tcPr>
            <w:tcW w:w="831" w:type="dxa"/>
          </w:tcPr>
          <w:p>
            <w:pPr/>
          </w:p>
        </w:tc>
        <w:tc>
          <w:tcPr>
            <w:tcW w:w="1329" w:type="dxa"/>
            <w:gridSpan w:val="2"/>
            <w:tcBorders>
              <w:right w:val="single" w:sz="8" w:space="0" w:color="000000"/>
            </w:tcBorders>
          </w:tcPr>
          <w:p>
            <w:pPr>
              <w:pStyle w:val="TableParagraph"/>
              <w:spacing w:before="8"/>
              <w:jc w:val="left"/>
              <w:rPr>
                <w:sz w:val="12"/>
              </w:rPr>
            </w:pPr>
          </w:p>
          <w:p>
            <w:pPr>
              <w:pStyle w:val="TableParagraph"/>
              <w:tabs>
                <w:tab w:pos="970" w:val="left" w:leader="none"/>
              </w:tabs>
              <w:ind w:left="306"/>
              <w:jc w:val="left"/>
              <w:rPr>
                <w:rFonts w:ascii="Calibri"/>
                <w:sz w:val="12"/>
              </w:rPr>
            </w:pPr>
            <w:r>
              <w:rPr>
                <w:rFonts w:ascii="Calibri"/>
                <w:sz w:val="12"/>
              </w:rPr>
              <w:t>1</w:t>
              <w:tab/>
              <w:t>1</w:t>
            </w:r>
          </w:p>
          <w:p>
            <w:pPr>
              <w:pStyle w:val="TableParagraph"/>
              <w:tabs>
                <w:tab w:pos="970" w:val="left" w:leader="none"/>
              </w:tabs>
              <w:spacing w:before="7"/>
              <w:ind w:left="255"/>
              <w:jc w:val="left"/>
              <w:rPr>
                <w:rFonts w:ascii="Calibri"/>
                <w:sz w:val="12"/>
              </w:rPr>
            </w:pPr>
            <w:r>
              <w:rPr>
                <w:rFonts w:ascii="Calibri"/>
                <w:sz w:val="12"/>
              </w:rPr>
              <w:t>0.5</w:t>
              <w:tab/>
              <w:t>1</w:t>
            </w:r>
          </w:p>
        </w:tc>
      </w:tr>
      <w:tr>
        <w:trPr>
          <w:trHeight w:val="164" w:hRule="exact"/>
        </w:trPr>
        <w:tc>
          <w:tcPr>
            <w:tcW w:w="631" w:type="dxa"/>
            <w:tcBorders>
              <w:left w:val="single" w:sz="4" w:space="0" w:color="000000"/>
            </w:tcBorders>
          </w:tcPr>
          <w:p>
            <w:pPr/>
          </w:p>
        </w:tc>
        <w:tc>
          <w:tcPr>
            <w:tcW w:w="1780" w:type="dxa"/>
          </w:tcPr>
          <w:p>
            <w:pPr/>
          </w:p>
        </w:tc>
        <w:tc>
          <w:tcPr>
            <w:tcW w:w="2458" w:type="dxa"/>
          </w:tcPr>
          <w:p>
            <w:pPr/>
          </w:p>
        </w:tc>
        <w:tc>
          <w:tcPr>
            <w:tcW w:w="1418" w:type="dxa"/>
          </w:tcPr>
          <w:p>
            <w:pPr>
              <w:pStyle w:val="TableParagraph"/>
              <w:spacing w:before="3"/>
              <w:ind w:right="280"/>
              <w:jc w:val="right"/>
              <w:rPr>
                <w:rFonts w:ascii="Calibri"/>
                <w:sz w:val="12"/>
              </w:rPr>
            </w:pPr>
            <w:r>
              <w:rPr>
                <w:rFonts w:ascii="Calibri"/>
                <w:sz w:val="12"/>
              </w:rPr>
              <w:t>Subtotal</w:t>
            </w:r>
          </w:p>
        </w:tc>
        <w:tc>
          <w:tcPr>
            <w:tcW w:w="831" w:type="dxa"/>
          </w:tcPr>
          <w:p>
            <w:pPr>
              <w:pStyle w:val="TableParagraph"/>
              <w:tabs>
                <w:tab w:pos="422" w:val="left" w:leader="none"/>
                <w:tab w:pos="841" w:val="left" w:leader="none"/>
              </w:tabs>
              <w:spacing w:before="3"/>
              <w:ind w:left="166" w:right="-11"/>
              <w:rPr>
                <w:rFonts w:ascii="Calibri"/>
                <w:sz w:val="12"/>
              </w:rPr>
            </w:pPr>
            <w:r>
              <w:rPr>
                <w:rFonts w:ascii="Times New Roman"/>
                <w:w w:val="102"/>
                <w:sz w:val="12"/>
                <w:shd w:fill="F79646" w:color="auto" w:val="clear"/>
              </w:rPr>
              <w:t> </w:t>
            </w:r>
            <w:r>
              <w:rPr>
                <w:rFonts w:ascii="Times New Roman"/>
                <w:sz w:val="12"/>
                <w:shd w:fill="F79646" w:color="auto" w:val="clear"/>
              </w:rPr>
              <w:tab/>
            </w:r>
            <w:r>
              <w:rPr>
                <w:rFonts w:ascii="Calibri"/>
                <w:sz w:val="12"/>
                <w:shd w:fill="F79646" w:color="auto" w:val="clear"/>
              </w:rPr>
              <w:t>1.5</w:t>
              <w:tab/>
            </w:r>
          </w:p>
        </w:tc>
        <w:tc>
          <w:tcPr>
            <w:tcW w:w="666" w:type="dxa"/>
          </w:tcPr>
          <w:p>
            <w:pPr>
              <w:pStyle w:val="TableParagraph"/>
              <w:tabs>
                <w:tab w:pos="255" w:val="left" w:leader="none"/>
                <w:tab w:pos="674" w:val="left" w:leader="none"/>
              </w:tabs>
              <w:spacing w:before="3"/>
              <w:ind w:left="-1" w:right="-9"/>
              <w:rPr>
                <w:rFonts w:ascii="Calibri"/>
                <w:sz w:val="12"/>
              </w:rPr>
            </w:pPr>
            <w:r>
              <w:rPr>
                <w:rFonts w:ascii="Times New Roman"/>
                <w:w w:val="102"/>
                <w:sz w:val="12"/>
                <w:shd w:fill="FFFF00" w:color="auto" w:val="clear"/>
              </w:rPr>
              <w:t> </w:t>
            </w:r>
            <w:r>
              <w:rPr>
                <w:rFonts w:ascii="Times New Roman"/>
                <w:sz w:val="12"/>
                <w:shd w:fill="FFFF00" w:color="auto" w:val="clear"/>
              </w:rPr>
              <w:tab/>
            </w:r>
            <w:r>
              <w:rPr>
                <w:rFonts w:ascii="Calibri"/>
                <w:sz w:val="12"/>
                <w:shd w:fill="FFFF00" w:color="auto" w:val="clear"/>
              </w:rPr>
              <w:t>1.5</w:t>
              <w:tab/>
            </w:r>
          </w:p>
        </w:tc>
        <w:tc>
          <w:tcPr>
            <w:tcW w:w="663" w:type="dxa"/>
            <w:tcBorders>
              <w:right w:val="single" w:sz="8" w:space="0" w:color="000000"/>
            </w:tcBorders>
            <w:shd w:val="clear" w:color="auto" w:fill="67ED4D"/>
          </w:tcPr>
          <w:p>
            <w:pPr>
              <w:pStyle w:val="TableParagraph"/>
              <w:spacing w:before="3"/>
              <w:ind w:right="283"/>
              <w:jc w:val="right"/>
              <w:rPr>
                <w:rFonts w:ascii="Calibri"/>
                <w:sz w:val="12"/>
              </w:rPr>
            </w:pPr>
            <w:r>
              <w:rPr>
                <w:rFonts w:ascii="Calibri"/>
                <w:w w:val="102"/>
                <w:sz w:val="12"/>
              </w:rPr>
              <w:t>2</w:t>
            </w:r>
          </w:p>
        </w:tc>
      </w:tr>
      <w:tr>
        <w:trPr>
          <w:trHeight w:val="143" w:hRule="exact"/>
        </w:trPr>
        <w:tc>
          <w:tcPr>
            <w:tcW w:w="8446" w:type="dxa"/>
            <w:gridSpan w:val="7"/>
            <w:tcBorders>
              <w:left w:val="single" w:sz="4" w:space="0" w:color="000000"/>
              <w:right w:val="single" w:sz="8" w:space="0" w:color="000000"/>
            </w:tcBorders>
          </w:tcPr>
          <w:p>
            <w:pPr/>
          </w:p>
        </w:tc>
      </w:tr>
      <w:tr>
        <w:trPr>
          <w:trHeight w:val="160" w:hRule="exact"/>
        </w:trPr>
        <w:tc>
          <w:tcPr>
            <w:tcW w:w="631" w:type="dxa"/>
            <w:vMerge w:val="restart"/>
            <w:tcBorders>
              <w:left w:val="single" w:sz="4" w:space="0" w:color="000000"/>
            </w:tcBorders>
          </w:tcPr>
          <w:p>
            <w:pPr/>
          </w:p>
        </w:tc>
        <w:tc>
          <w:tcPr>
            <w:tcW w:w="1780" w:type="dxa"/>
            <w:vMerge w:val="restart"/>
          </w:tcPr>
          <w:p>
            <w:pPr>
              <w:pStyle w:val="TableParagraph"/>
              <w:spacing w:before="75"/>
              <w:ind w:left="58"/>
              <w:jc w:val="left"/>
              <w:rPr>
                <w:rFonts w:ascii="Calibri" w:hAnsi="Calibri"/>
                <w:sz w:val="12"/>
              </w:rPr>
            </w:pPr>
            <w:r>
              <w:rPr>
                <w:rFonts w:ascii="Calibri" w:hAnsi="Calibri"/>
                <w:sz w:val="12"/>
              </w:rPr>
              <w:t>Municipalización</w:t>
            </w:r>
          </w:p>
        </w:tc>
        <w:tc>
          <w:tcPr>
            <w:tcW w:w="2458" w:type="dxa"/>
            <w:vMerge w:val="restart"/>
          </w:tcPr>
          <w:p>
            <w:pPr>
              <w:pStyle w:val="TableParagraph"/>
              <w:spacing w:line="252" w:lineRule="auto" w:before="3"/>
              <w:ind w:left="322" w:right="1791"/>
              <w:jc w:val="left"/>
              <w:rPr>
                <w:rFonts w:ascii="Calibri"/>
                <w:sz w:val="12"/>
              </w:rPr>
            </w:pPr>
            <w:r>
              <w:rPr>
                <w:rFonts w:ascii="Calibri"/>
                <w:sz w:val="12"/>
              </w:rPr>
              <w:t>Parcial Total</w:t>
            </w:r>
          </w:p>
        </w:tc>
        <w:tc>
          <w:tcPr>
            <w:tcW w:w="1418" w:type="dxa"/>
            <w:vMerge w:val="restart"/>
          </w:tcPr>
          <w:p>
            <w:pPr>
              <w:pStyle w:val="TableParagraph"/>
              <w:spacing w:before="3"/>
              <w:ind w:left="848"/>
              <w:jc w:val="left"/>
              <w:rPr>
                <w:rFonts w:ascii="Calibri"/>
                <w:sz w:val="12"/>
              </w:rPr>
            </w:pPr>
            <w:r>
              <w:rPr>
                <w:rFonts w:ascii="Calibri"/>
                <w:sz w:val="12"/>
              </w:rPr>
              <w:t>0.5</w:t>
            </w:r>
          </w:p>
          <w:p>
            <w:pPr>
              <w:pStyle w:val="TableParagraph"/>
              <w:spacing w:before="7"/>
              <w:ind w:left="899"/>
              <w:jc w:val="left"/>
              <w:rPr>
                <w:rFonts w:ascii="Calibri"/>
                <w:sz w:val="12"/>
              </w:rPr>
            </w:pPr>
            <w:r>
              <w:rPr>
                <w:rFonts w:ascii="Calibri"/>
                <w:w w:val="102"/>
                <w:sz w:val="12"/>
              </w:rPr>
              <w:t>0</w:t>
            </w:r>
          </w:p>
        </w:tc>
        <w:tc>
          <w:tcPr>
            <w:tcW w:w="831" w:type="dxa"/>
            <w:vMerge w:val="restart"/>
          </w:tcPr>
          <w:p>
            <w:pPr/>
          </w:p>
        </w:tc>
        <w:tc>
          <w:tcPr>
            <w:tcW w:w="1329" w:type="dxa"/>
            <w:gridSpan w:val="2"/>
            <w:tcBorders>
              <w:right w:val="single" w:sz="8" w:space="0" w:color="000000"/>
            </w:tcBorders>
            <w:shd w:val="clear" w:color="auto" w:fill="BAF9F5"/>
          </w:tcPr>
          <w:p>
            <w:pPr>
              <w:pStyle w:val="TableParagraph"/>
              <w:tabs>
                <w:tab w:pos="970" w:val="left" w:leader="none"/>
              </w:tabs>
              <w:spacing w:before="3"/>
              <w:ind w:left="255"/>
              <w:jc w:val="left"/>
              <w:rPr>
                <w:rFonts w:ascii="Calibri"/>
                <w:sz w:val="12"/>
              </w:rPr>
            </w:pPr>
            <w:r>
              <w:rPr>
                <w:rFonts w:ascii="Calibri"/>
                <w:sz w:val="12"/>
              </w:rPr>
              <w:t>0.5</w:t>
              <w:tab/>
              <w:t>1</w:t>
            </w:r>
          </w:p>
        </w:tc>
      </w:tr>
      <w:tr>
        <w:trPr>
          <w:trHeight w:val="152" w:hRule="exact"/>
        </w:trPr>
        <w:tc>
          <w:tcPr>
            <w:tcW w:w="631" w:type="dxa"/>
            <w:vMerge/>
            <w:tcBorders>
              <w:left w:val="single" w:sz="4" w:space="0" w:color="000000"/>
            </w:tcBorders>
          </w:tcPr>
          <w:p>
            <w:pPr/>
          </w:p>
        </w:tc>
        <w:tc>
          <w:tcPr>
            <w:tcW w:w="1780" w:type="dxa"/>
            <w:vMerge/>
          </w:tcPr>
          <w:p>
            <w:pPr/>
          </w:p>
        </w:tc>
        <w:tc>
          <w:tcPr>
            <w:tcW w:w="2458" w:type="dxa"/>
            <w:vMerge/>
          </w:tcPr>
          <w:p>
            <w:pPr/>
          </w:p>
        </w:tc>
        <w:tc>
          <w:tcPr>
            <w:tcW w:w="1418" w:type="dxa"/>
            <w:vMerge/>
          </w:tcPr>
          <w:p>
            <w:pPr/>
          </w:p>
        </w:tc>
        <w:tc>
          <w:tcPr>
            <w:tcW w:w="831" w:type="dxa"/>
            <w:vMerge/>
          </w:tcPr>
          <w:p>
            <w:pPr/>
          </w:p>
        </w:tc>
        <w:tc>
          <w:tcPr>
            <w:tcW w:w="1329" w:type="dxa"/>
            <w:gridSpan w:val="2"/>
            <w:tcBorders>
              <w:bottom w:val="single" w:sz="4" w:space="0" w:color="FFFFFF"/>
              <w:right w:val="single" w:sz="8" w:space="0" w:color="000000"/>
            </w:tcBorders>
            <w:shd w:val="clear" w:color="auto" w:fill="BAF9F5"/>
          </w:tcPr>
          <w:p>
            <w:pPr>
              <w:pStyle w:val="TableParagraph"/>
              <w:tabs>
                <w:tab w:pos="970" w:val="left" w:leader="none"/>
              </w:tabs>
              <w:spacing w:line="143" w:lineRule="exact"/>
              <w:ind w:left="255"/>
              <w:jc w:val="left"/>
              <w:rPr>
                <w:rFonts w:ascii="Calibri"/>
                <w:sz w:val="12"/>
              </w:rPr>
            </w:pPr>
            <w:r>
              <w:rPr>
                <w:rFonts w:ascii="Calibri"/>
                <w:sz w:val="12"/>
              </w:rPr>
              <w:t>0.5</w:t>
              <w:tab/>
              <w:t>1</w:t>
            </w:r>
          </w:p>
        </w:tc>
      </w:tr>
      <w:tr>
        <w:trPr>
          <w:trHeight w:val="159" w:hRule="exact"/>
        </w:trPr>
        <w:tc>
          <w:tcPr>
            <w:tcW w:w="631" w:type="dxa"/>
            <w:vMerge/>
            <w:tcBorders>
              <w:left w:val="single" w:sz="4" w:space="0" w:color="000000"/>
            </w:tcBorders>
          </w:tcPr>
          <w:p>
            <w:pPr/>
          </w:p>
        </w:tc>
        <w:tc>
          <w:tcPr>
            <w:tcW w:w="1780" w:type="dxa"/>
          </w:tcPr>
          <w:p>
            <w:pPr/>
          </w:p>
        </w:tc>
        <w:tc>
          <w:tcPr>
            <w:tcW w:w="2458" w:type="dxa"/>
          </w:tcPr>
          <w:p>
            <w:pPr/>
          </w:p>
        </w:tc>
        <w:tc>
          <w:tcPr>
            <w:tcW w:w="1418" w:type="dxa"/>
          </w:tcPr>
          <w:p>
            <w:pPr>
              <w:pStyle w:val="TableParagraph"/>
              <w:spacing w:line="145" w:lineRule="exact"/>
              <w:ind w:right="280"/>
              <w:jc w:val="right"/>
              <w:rPr>
                <w:rFonts w:ascii="Calibri"/>
                <w:sz w:val="12"/>
              </w:rPr>
            </w:pPr>
            <w:r>
              <w:rPr>
                <w:rFonts w:ascii="Calibri"/>
                <w:sz w:val="12"/>
              </w:rPr>
              <w:t>Subtotal</w:t>
            </w:r>
          </w:p>
        </w:tc>
        <w:tc>
          <w:tcPr>
            <w:tcW w:w="831" w:type="dxa"/>
          </w:tcPr>
          <w:p>
            <w:pPr>
              <w:pStyle w:val="TableParagraph"/>
              <w:tabs>
                <w:tab w:pos="422" w:val="left" w:leader="none"/>
                <w:tab w:pos="841" w:val="left" w:leader="none"/>
              </w:tabs>
              <w:spacing w:line="145" w:lineRule="exact"/>
              <w:ind w:left="166" w:right="-11"/>
              <w:rPr>
                <w:rFonts w:ascii="Calibri"/>
                <w:sz w:val="12"/>
              </w:rPr>
            </w:pPr>
            <w:r>
              <w:rPr>
                <w:rFonts w:ascii="Times New Roman"/>
                <w:w w:val="102"/>
                <w:sz w:val="12"/>
                <w:shd w:fill="F79646" w:color="auto" w:val="clear"/>
              </w:rPr>
              <w:t> </w:t>
            </w:r>
            <w:r>
              <w:rPr>
                <w:rFonts w:ascii="Times New Roman"/>
                <w:sz w:val="12"/>
                <w:shd w:fill="F79646" w:color="auto" w:val="clear"/>
              </w:rPr>
              <w:tab/>
            </w:r>
            <w:r>
              <w:rPr>
                <w:rFonts w:ascii="Calibri"/>
                <w:sz w:val="12"/>
                <w:shd w:fill="F79646" w:color="auto" w:val="clear"/>
              </w:rPr>
              <w:t>0.5</w:t>
              <w:tab/>
            </w:r>
          </w:p>
        </w:tc>
        <w:tc>
          <w:tcPr>
            <w:tcW w:w="666" w:type="dxa"/>
            <w:tcBorders>
              <w:top w:val="single" w:sz="4" w:space="0" w:color="FFFFFF"/>
              <w:right w:val="single" w:sz="4" w:space="0" w:color="FFFFFF"/>
            </w:tcBorders>
            <w:shd w:val="clear" w:color="auto" w:fill="FFFF00"/>
          </w:tcPr>
          <w:p>
            <w:pPr>
              <w:pStyle w:val="TableParagraph"/>
              <w:spacing w:line="140" w:lineRule="exact"/>
              <w:ind w:left="14"/>
              <w:rPr>
                <w:rFonts w:ascii="Calibri"/>
                <w:sz w:val="12"/>
              </w:rPr>
            </w:pPr>
            <w:r>
              <w:rPr>
                <w:rFonts w:ascii="Calibri"/>
                <w:w w:val="102"/>
                <w:sz w:val="12"/>
              </w:rPr>
              <w:t>1</w:t>
            </w:r>
          </w:p>
        </w:tc>
        <w:tc>
          <w:tcPr>
            <w:tcW w:w="663" w:type="dxa"/>
            <w:tcBorders>
              <w:top w:val="single" w:sz="4" w:space="0" w:color="FFFFFF"/>
              <w:left w:val="single" w:sz="4" w:space="0" w:color="FFFFFF"/>
              <w:right w:val="single" w:sz="8" w:space="0" w:color="000000"/>
            </w:tcBorders>
            <w:shd w:val="clear" w:color="auto" w:fill="67ED4D"/>
          </w:tcPr>
          <w:p>
            <w:pPr>
              <w:pStyle w:val="TableParagraph"/>
              <w:spacing w:line="140" w:lineRule="exact"/>
              <w:ind w:right="283"/>
              <w:jc w:val="right"/>
              <w:rPr>
                <w:rFonts w:ascii="Calibri"/>
                <w:sz w:val="12"/>
              </w:rPr>
            </w:pPr>
            <w:r>
              <w:rPr>
                <w:rFonts w:ascii="Calibri"/>
                <w:w w:val="102"/>
                <w:sz w:val="12"/>
              </w:rPr>
              <w:t>2</w:t>
            </w:r>
          </w:p>
        </w:tc>
      </w:tr>
      <w:tr>
        <w:trPr>
          <w:trHeight w:val="450" w:hRule="exact"/>
        </w:trPr>
        <w:tc>
          <w:tcPr>
            <w:tcW w:w="631" w:type="dxa"/>
            <w:tcBorders>
              <w:left w:val="single" w:sz="4" w:space="0" w:color="000000"/>
            </w:tcBorders>
          </w:tcPr>
          <w:p>
            <w:pPr/>
          </w:p>
        </w:tc>
        <w:tc>
          <w:tcPr>
            <w:tcW w:w="1780" w:type="dxa"/>
          </w:tcPr>
          <w:p>
            <w:pPr>
              <w:pStyle w:val="TableParagraph"/>
              <w:jc w:val="left"/>
              <w:rPr>
                <w:sz w:val="12"/>
              </w:rPr>
            </w:pPr>
          </w:p>
          <w:p>
            <w:pPr>
              <w:pStyle w:val="TableParagraph"/>
              <w:spacing w:before="80"/>
              <w:ind w:left="58"/>
              <w:jc w:val="left"/>
              <w:rPr>
                <w:rFonts w:ascii="Calibri"/>
                <w:sz w:val="12"/>
              </w:rPr>
            </w:pPr>
            <w:r>
              <w:rPr>
                <w:rFonts w:ascii="Calibri"/>
                <w:sz w:val="12"/>
              </w:rPr>
              <w:t>Infraestrutura utilizada</w:t>
            </w:r>
          </w:p>
        </w:tc>
        <w:tc>
          <w:tcPr>
            <w:tcW w:w="2458" w:type="dxa"/>
          </w:tcPr>
          <w:p>
            <w:pPr>
              <w:pStyle w:val="TableParagraph"/>
              <w:spacing w:before="8"/>
              <w:jc w:val="left"/>
              <w:rPr>
                <w:sz w:val="12"/>
              </w:rPr>
            </w:pPr>
          </w:p>
          <w:p>
            <w:pPr>
              <w:pStyle w:val="TableParagraph"/>
              <w:spacing w:line="252" w:lineRule="auto"/>
              <w:ind w:left="322" w:right="1617"/>
              <w:jc w:val="left"/>
              <w:rPr>
                <w:rFonts w:ascii="Calibri"/>
                <w:sz w:val="12"/>
              </w:rPr>
            </w:pPr>
            <w:r>
              <w:rPr>
                <w:rFonts w:ascii="Calibri"/>
                <w:sz w:val="12"/>
              </w:rPr>
              <w:t>Vialidades Redes</w:t>
            </w:r>
          </w:p>
        </w:tc>
        <w:tc>
          <w:tcPr>
            <w:tcW w:w="1418" w:type="dxa"/>
          </w:tcPr>
          <w:p>
            <w:pPr>
              <w:pStyle w:val="TableParagraph"/>
              <w:spacing w:before="8"/>
              <w:jc w:val="left"/>
              <w:rPr>
                <w:sz w:val="12"/>
              </w:rPr>
            </w:pPr>
          </w:p>
          <w:p>
            <w:pPr>
              <w:pStyle w:val="TableParagraph"/>
              <w:ind w:left="817"/>
              <w:jc w:val="left"/>
              <w:rPr>
                <w:rFonts w:ascii="Calibri"/>
                <w:sz w:val="12"/>
              </w:rPr>
            </w:pPr>
            <w:r>
              <w:rPr>
                <w:rFonts w:ascii="Calibri"/>
                <w:sz w:val="12"/>
              </w:rPr>
              <w:t>0.25</w:t>
            </w:r>
          </w:p>
          <w:p>
            <w:pPr>
              <w:pStyle w:val="TableParagraph"/>
              <w:spacing w:before="7"/>
              <w:ind w:left="899"/>
              <w:jc w:val="left"/>
              <w:rPr>
                <w:rFonts w:ascii="Calibri"/>
                <w:sz w:val="12"/>
              </w:rPr>
            </w:pPr>
            <w:r>
              <w:rPr>
                <w:rFonts w:ascii="Calibri"/>
                <w:w w:val="102"/>
                <w:sz w:val="12"/>
              </w:rPr>
              <w:t>1</w:t>
            </w:r>
          </w:p>
        </w:tc>
        <w:tc>
          <w:tcPr>
            <w:tcW w:w="831" w:type="dxa"/>
          </w:tcPr>
          <w:p>
            <w:pPr/>
          </w:p>
        </w:tc>
        <w:tc>
          <w:tcPr>
            <w:tcW w:w="1329" w:type="dxa"/>
            <w:gridSpan w:val="2"/>
            <w:tcBorders>
              <w:right w:val="single" w:sz="8" w:space="0" w:color="000000"/>
            </w:tcBorders>
          </w:tcPr>
          <w:p>
            <w:pPr>
              <w:pStyle w:val="TableParagraph"/>
              <w:spacing w:before="8"/>
              <w:jc w:val="left"/>
              <w:rPr>
                <w:sz w:val="12"/>
              </w:rPr>
            </w:pPr>
          </w:p>
          <w:p>
            <w:pPr>
              <w:pStyle w:val="TableParagraph"/>
              <w:tabs>
                <w:tab w:pos="970" w:val="left" w:leader="none"/>
              </w:tabs>
              <w:ind w:left="224"/>
              <w:jc w:val="left"/>
              <w:rPr>
                <w:rFonts w:ascii="Calibri"/>
                <w:sz w:val="12"/>
              </w:rPr>
            </w:pPr>
            <w:r>
              <w:rPr>
                <w:rFonts w:ascii="Calibri"/>
                <w:sz w:val="12"/>
              </w:rPr>
              <w:t>0.75</w:t>
              <w:tab/>
              <w:t>1</w:t>
            </w:r>
          </w:p>
          <w:p>
            <w:pPr>
              <w:pStyle w:val="TableParagraph"/>
              <w:tabs>
                <w:tab w:pos="970" w:val="left" w:leader="none"/>
              </w:tabs>
              <w:spacing w:before="7"/>
              <w:ind w:left="255"/>
              <w:jc w:val="left"/>
              <w:rPr>
                <w:rFonts w:ascii="Calibri"/>
                <w:sz w:val="12"/>
              </w:rPr>
            </w:pPr>
            <w:r>
              <w:rPr>
                <w:rFonts w:ascii="Calibri"/>
                <w:sz w:val="12"/>
              </w:rPr>
              <w:t>0.8</w:t>
              <w:tab/>
              <w:t>1</w:t>
            </w:r>
          </w:p>
        </w:tc>
      </w:tr>
      <w:tr>
        <w:trPr>
          <w:trHeight w:val="164" w:hRule="exact"/>
        </w:trPr>
        <w:tc>
          <w:tcPr>
            <w:tcW w:w="631" w:type="dxa"/>
            <w:tcBorders>
              <w:left w:val="single" w:sz="4" w:space="0" w:color="000000"/>
            </w:tcBorders>
          </w:tcPr>
          <w:p>
            <w:pPr/>
          </w:p>
        </w:tc>
        <w:tc>
          <w:tcPr>
            <w:tcW w:w="1780" w:type="dxa"/>
          </w:tcPr>
          <w:p>
            <w:pPr/>
          </w:p>
        </w:tc>
        <w:tc>
          <w:tcPr>
            <w:tcW w:w="2458" w:type="dxa"/>
          </w:tcPr>
          <w:p>
            <w:pPr/>
          </w:p>
        </w:tc>
        <w:tc>
          <w:tcPr>
            <w:tcW w:w="1418" w:type="dxa"/>
          </w:tcPr>
          <w:p>
            <w:pPr>
              <w:pStyle w:val="TableParagraph"/>
              <w:spacing w:before="3"/>
              <w:ind w:right="280"/>
              <w:jc w:val="right"/>
              <w:rPr>
                <w:rFonts w:ascii="Calibri"/>
                <w:sz w:val="12"/>
              </w:rPr>
            </w:pPr>
            <w:r>
              <w:rPr>
                <w:rFonts w:ascii="Calibri"/>
                <w:sz w:val="12"/>
              </w:rPr>
              <w:t>Subtotal</w:t>
            </w:r>
          </w:p>
        </w:tc>
        <w:tc>
          <w:tcPr>
            <w:tcW w:w="831" w:type="dxa"/>
          </w:tcPr>
          <w:p>
            <w:pPr>
              <w:pStyle w:val="TableParagraph"/>
              <w:tabs>
                <w:tab w:pos="841" w:val="left" w:leader="none"/>
              </w:tabs>
              <w:spacing w:before="3"/>
              <w:ind w:left="166" w:right="-11"/>
              <w:rPr>
                <w:rFonts w:ascii="Calibri"/>
                <w:sz w:val="12"/>
              </w:rPr>
            </w:pPr>
            <w:r>
              <w:rPr>
                <w:rFonts w:ascii="Times New Roman"/>
                <w:w w:val="102"/>
                <w:sz w:val="12"/>
                <w:shd w:fill="F79646" w:color="auto" w:val="clear"/>
              </w:rPr>
              <w:t> </w:t>
            </w:r>
            <w:r>
              <w:rPr>
                <w:rFonts w:ascii="Times New Roman"/>
                <w:sz w:val="12"/>
                <w:shd w:fill="F79646" w:color="auto" w:val="clear"/>
              </w:rPr>
              <w:t>     </w:t>
            </w:r>
            <w:r>
              <w:rPr>
                <w:rFonts w:ascii="Times New Roman"/>
                <w:spacing w:val="14"/>
                <w:sz w:val="12"/>
                <w:shd w:fill="F79646" w:color="auto" w:val="clear"/>
              </w:rPr>
              <w:t> </w:t>
            </w:r>
            <w:r>
              <w:rPr>
                <w:rFonts w:ascii="Calibri"/>
                <w:sz w:val="12"/>
                <w:shd w:fill="F79646" w:color="auto" w:val="clear"/>
              </w:rPr>
              <w:t>1.25</w:t>
              <w:tab/>
            </w:r>
          </w:p>
        </w:tc>
        <w:tc>
          <w:tcPr>
            <w:tcW w:w="666" w:type="dxa"/>
          </w:tcPr>
          <w:p>
            <w:pPr>
              <w:pStyle w:val="TableParagraph"/>
              <w:tabs>
                <w:tab w:pos="674" w:val="left" w:leader="none"/>
              </w:tabs>
              <w:spacing w:before="3"/>
              <w:ind w:right="-9"/>
              <w:rPr>
                <w:rFonts w:ascii="Calibri"/>
                <w:sz w:val="12"/>
              </w:rPr>
            </w:pPr>
            <w:r>
              <w:rPr>
                <w:rFonts w:ascii="Times New Roman"/>
                <w:w w:val="102"/>
                <w:sz w:val="12"/>
                <w:shd w:fill="FFFF00" w:color="auto" w:val="clear"/>
              </w:rPr>
              <w:t> </w:t>
            </w:r>
            <w:r>
              <w:rPr>
                <w:rFonts w:ascii="Times New Roman"/>
                <w:sz w:val="12"/>
                <w:shd w:fill="FFFF00" w:color="auto" w:val="clear"/>
              </w:rPr>
              <w:t>     </w:t>
            </w:r>
            <w:r>
              <w:rPr>
                <w:rFonts w:ascii="Times New Roman"/>
                <w:spacing w:val="14"/>
                <w:sz w:val="12"/>
                <w:shd w:fill="FFFF00" w:color="auto" w:val="clear"/>
              </w:rPr>
              <w:t> </w:t>
            </w:r>
            <w:r>
              <w:rPr>
                <w:rFonts w:ascii="Calibri"/>
                <w:sz w:val="12"/>
                <w:shd w:fill="FFFF00" w:color="auto" w:val="clear"/>
              </w:rPr>
              <w:t>1.55</w:t>
              <w:tab/>
            </w:r>
          </w:p>
        </w:tc>
        <w:tc>
          <w:tcPr>
            <w:tcW w:w="663" w:type="dxa"/>
            <w:tcBorders>
              <w:right w:val="single" w:sz="8" w:space="0" w:color="000000"/>
            </w:tcBorders>
            <w:shd w:val="clear" w:color="auto" w:fill="67ED4D"/>
          </w:tcPr>
          <w:p>
            <w:pPr>
              <w:pStyle w:val="TableParagraph"/>
              <w:spacing w:before="3"/>
              <w:ind w:right="283"/>
              <w:jc w:val="right"/>
              <w:rPr>
                <w:rFonts w:ascii="Calibri"/>
                <w:sz w:val="12"/>
              </w:rPr>
            </w:pPr>
            <w:r>
              <w:rPr>
                <w:rFonts w:ascii="Calibri"/>
                <w:w w:val="102"/>
                <w:sz w:val="12"/>
              </w:rPr>
              <w:t>2</w:t>
            </w:r>
          </w:p>
        </w:tc>
      </w:tr>
      <w:tr>
        <w:trPr>
          <w:trHeight w:val="150" w:hRule="exact"/>
        </w:trPr>
        <w:tc>
          <w:tcPr>
            <w:tcW w:w="631" w:type="dxa"/>
            <w:tcBorders>
              <w:left w:val="single" w:sz="4" w:space="0" w:color="000000"/>
            </w:tcBorders>
          </w:tcPr>
          <w:p>
            <w:pPr>
              <w:pStyle w:val="TableParagraph"/>
              <w:spacing w:line="140" w:lineRule="exact"/>
              <w:ind w:left="76" w:right="43"/>
              <w:rPr>
                <w:rFonts w:ascii="Calibri"/>
                <w:sz w:val="12"/>
              </w:rPr>
            </w:pPr>
            <w:r>
              <w:rPr>
                <w:rFonts w:ascii="Calibri"/>
                <w:sz w:val="12"/>
              </w:rPr>
              <w:t>Territorio</w:t>
            </w:r>
          </w:p>
        </w:tc>
        <w:tc>
          <w:tcPr>
            <w:tcW w:w="1780" w:type="dxa"/>
          </w:tcPr>
          <w:p>
            <w:pPr/>
          </w:p>
        </w:tc>
        <w:tc>
          <w:tcPr>
            <w:tcW w:w="2458" w:type="dxa"/>
          </w:tcPr>
          <w:p>
            <w:pPr/>
          </w:p>
        </w:tc>
        <w:tc>
          <w:tcPr>
            <w:tcW w:w="1418" w:type="dxa"/>
          </w:tcPr>
          <w:p>
            <w:pPr/>
          </w:p>
        </w:tc>
        <w:tc>
          <w:tcPr>
            <w:tcW w:w="831" w:type="dxa"/>
            <w:vMerge w:val="restart"/>
          </w:tcPr>
          <w:p>
            <w:pPr/>
          </w:p>
        </w:tc>
        <w:tc>
          <w:tcPr>
            <w:tcW w:w="1329" w:type="dxa"/>
            <w:gridSpan w:val="2"/>
            <w:tcBorders>
              <w:right w:val="single" w:sz="8" w:space="0" w:color="000000"/>
            </w:tcBorders>
          </w:tcPr>
          <w:p>
            <w:pPr/>
          </w:p>
        </w:tc>
      </w:tr>
      <w:tr>
        <w:trPr>
          <w:trHeight w:val="300" w:hRule="exact"/>
        </w:trPr>
        <w:tc>
          <w:tcPr>
            <w:tcW w:w="631" w:type="dxa"/>
            <w:tcBorders>
              <w:left w:val="single" w:sz="4" w:space="0" w:color="000000"/>
            </w:tcBorders>
          </w:tcPr>
          <w:p>
            <w:pPr/>
          </w:p>
        </w:tc>
        <w:tc>
          <w:tcPr>
            <w:tcW w:w="1780" w:type="dxa"/>
          </w:tcPr>
          <w:p>
            <w:pPr>
              <w:pStyle w:val="TableParagraph"/>
              <w:spacing w:before="68"/>
              <w:ind w:left="58"/>
              <w:jc w:val="left"/>
              <w:rPr>
                <w:rFonts w:ascii="Calibri"/>
                <w:sz w:val="12"/>
              </w:rPr>
            </w:pPr>
            <w:r>
              <w:rPr>
                <w:rFonts w:ascii="Calibri"/>
                <w:sz w:val="12"/>
              </w:rPr>
              <w:t>Infraestructura  desarrollada</w:t>
            </w:r>
          </w:p>
        </w:tc>
        <w:tc>
          <w:tcPr>
            <w:tcW w:w="2458" w:type="dxa"/>
          </w:tcPr>
          <w:p>
            <w:pPr>
              <w:pStyle w:val="TableParagraph"/>
              <w:spacing w:line="252" w:lineRule="auto"/>
              <w:ind w:left="322" w:right="1617"/>
              <w:jc w:val="left"/>
              <w:rPr>
                <w:rFonts w:ascii="Calibri"/>
                <w:sz w:val="12"/>
              </w:rPr>
            </w:pPr>
            <w:r>
              <w:rPr>
                <w:rFonts w:ascii="Calibri"/>
                <w:sz w:val="12"/>
              </w:rPr>
              <w:t>Vialidades Redes</w:t>
            </w:r>
          </w:p>
        </w:tc>
        <w:tc>
          <w:tcPr>
            <w:tcW w:w="1418" w:type="dxa"/>
          </w:tcPr>
          <w:p>
            <w:pPr>
              <w:pStyle w:val="TableParagraph"/>
              <w:spacing w:line="143" w:lineRule="exact"/>
              <w:ind w:left="817"/>
              <w:jc w:val="left"/>
              <w:rPr>
                <w:rFonts w:ascii="Calibri"/>
                <w:sz w:val="12"/>
              </w:rPr>
            </w:pPr>
            <w:r>
              <w:rPr>
                <w:rFonts w:ascii="Calibri"/>
                <w:sz w:val="12"/>
              </w:rPr>
              <w:t>0.25</w:t>
            </w:r>
          </w:p>
          <w:p>
            <w:pPr>
              <w:pStyle w:val="TableParagraph"/>
              <w:spacing w:before="7"/>
              <w:ind w:left="817"/>
              <w:jc w:val="left"/>
              <w:rPr>
                <w:rFonts w:ascii="Calibri"/>
                <w:sz w:val="12"/>
              </w:rPr>
            </w:pPr>
            <w:r>
              <w:rPr>
                <w:rFonts w:ascii="Calibri"/>
                <w:sz w:val="12"/>
              </w:rPr>
              <w:t>0.66</w:t>
            </w:r>
          </w:p>
        </w:tc>
        <w:tc>
          <w:tcPr>
            <w:tcW w:w="831" w:type="dxa"/>
            <w:vMerge/>
          </w:tcPr>
          <w:p>
            <w:pPr/>
          </w:p>
        </w:tc>
        <w:tc>
          <w:tcPr>
            <w:tcW w:w="1329" w:type="dxa"/>
            <w:gridSpan w:val="2"/>
            <w:tcBorders>
              <w:right w:val="single" w:sz="8" w:space="0" w:color="000000"/>
            </w:tcBorders>
          </w:tcPr>
          <w:p>
            <w:pPr>
              <w:pStyle w:val="TableParagraph"/>
              <w:tabs>
                <w:tab w:pos="970" w:val="left" w:leader="none"/>
              </w:tabs>
              <w:spacing w:line="143" w:lineRule="exact"/>
              <w:ind w:left="224"/>
              <w:jc w:val="left"/>
              <w:rPr>
                <w:rFonts w:ascii="Calibri"/>
                <w:sz w:val="12"/>
              </w:rPr>
            </w:pPr>
            <w:r>
              <w:rPr>
                <w:rFonts w:ascii="Calibri"/>
                <w:sz w:val="12"/>
              </w:rPr>
              <w:t>0.75</w:t>
              <w:tab/>
              <w:t>1</w:t>
            </w:r>
          </w:p>
          <w:p>
            <w:pPr>
              <w:pStyle w:val="TableParagraph"/>
              <w:tabs>
                <w:tab w:pos="970" w:val="left" w:leader="none"/>
              </w:tabs>
              <w:spacing w:before="7"/>
              <w:ind w:left="224"/>
              <w:jc w:val="left"/>
              <w:rPr>
                <w:rFonts w:ascii="Calibri"/>
                <w:sz w:val="12"/>
              </w:rPr>
            </w:pPr>
            <w:r>
              <w:rPr>
                <w:rFonts w:ascii="Calibri"/>
                <w:sz w:val="12"/>
              </w:rPr>
              <w:t>0.66</w:t>
              <w:tab/>
              <w:t>1</w:t>
            </w:r>
          </w:p>
        </w:tc>
      </w:tr>
      <w:tr>
        <w:trPr>
          <w:trHeight w:val="164" w:hRule="exact"/>
        </w:trPr>
        <w:tc>
          <w:tcPr>
            <w:tcW w:w="631" w:type="dxa"/>
            <w:tcBorders>
              <w:left w:val="single" w:sz="4" w:space="0" w:color="000000"/>
            </w:tcBorders>
          </w:tcPr>
          <w:p>
            <w:pPr/>
          </w:p>
        </w:tc>
        <w:tc>
          <w:tcPr>
            <w:tcW w:w="1780" w:type="dxa"/>
          </w:tcPr>
          <w:p>
            <w:pPr/>
          </w:p>
        </w:tc>
        <w:tc>
          <w:tcPr>
            <w:tcW w:w="2458" w:type="dxa"/>
          </w:tcPr>
          <w:p>
            <w:pPr/>
          </w:p>
        </w:tc>
        <w:tc>
          <w:tcPr>
            <w:tcW w:w="1418" w:type="dxa"/>
          </w:tcPr>
          <w:p>
            <w:pPr>
              <w:pStyle w:val="TableParagraph"/>
              <w:spacing w:before="3"/>
              <w:ind w:right="280"/>
              <w:jc w:val="right"/>
              <w:rPr>
                <w:rFonts w:ascii="Calibri"/>
                <w:sz w:val="12"/>
              </w:rPr>
            </w:pPr>
            <w:r>
              <w:rPr>
                <w:rFonts w:ascii="Calibri"/>
                <w:sz w:val="12"/>
              </w:rPr>
              <w:t>Subtotal</w:t>
            </w:r>
          </w:p>
        </w:tc>
        <w:tc>
          <w:tcPr>
            <w:tcW w:w="831" w:type="dxa"/>
          </w:tcPr>
          <w:p>
            <w:pPr>
              <w:pStyle w:val="TableParagraph"/>
              <w:tabs>
                <w:tab w:pos="841" w:val="left" w:leader="none"/>
              </w:tabs>
              <w:spacing w:before="3"/>
              <w:ind w:left="166" w:right="-11"/>
              <w:rPr>
                <w:rFonts w:ascii="Calibri"/>
                <w:sz w:val="12"/>
              </w:rPr>
            </w:pPr>
            <w:r>
              <w:rPr>
                <w:rFonts w:ascii="Times New Roman"/>
                <w:w w:val="102"/>
                <w:sz w:val="12"/>
                <w:shd w:fill="F79646" w:color="auto" w:val="clear"/>
              </w:rPr>
              <w:t> </w:t>
            </w:r>
            <w:r>
              <w:rPr>
                <w:rFonts w:ascii="Times New Roman"/>
                <w:sz w:val="12"/>
                <w:shd w:fill="F79646" w:color="auto" w:val="clear"/>
              </w:rPr>
              <w:t>     </w:t>
            </w:r>
            <w:r>
              <w:rPr>
                <w:rFonts w:ascii="Times New Roman"/>
                <w:spacing w:val="14"/>
                <w:sz w:val="12"/>
                <w:shd w:fill="F79646" w:color="auto" w:val="clear"/>
              </w:rPr>
              <w:t> </w:t>
            </w:r>
            <w:r>
              <w:rPr>
                <w:rFonts w:ascii="Calibri"/>
                <w:sz w:val="12"/>
                <w:shd w:fill="F79646" w:color="auto" w:val="clear"/>
              </w:rPr>
              <w:t>0.91</w:t>
              <w:tab/>
            </w:r>
          </w:p>
        </w:tc>
        <w:tc>
          <w:tcPr>
            <w:tcW w:w="666" w:type="dxa"/>
          </w:tcPr>
          <w:p>
            <w:pPr>
              <w:pStyle w:val="TableParagraph"/>
              <w:tabs>
                <w:tab w:pos="674" w:val="left" w:leader="none"/>
              </w:tabs>
              <w:spacing w:before="3"/>
              <w:ind w:right="-9"/>
              <w:rPr>
                <w:rFonts w:ascii="Calibri"/>
                <w:sz w:val="12"/>
              </w:rPr>
            </w:pPr>
            <w:r>
              <w:rPr>
                <w:rFonts w:ascii="Times New Roman"/>
                <w:w w:val="102"/>
                <w:sz w:val="12"/>
                <w:shd w:fill="FFFF00" w:color="auto" w:val="clear"/>
              </w:rPr>
              <w:t> </w:t>
            </w:r>
            <w:r>
              <w:rPr>
                <w:rFonts w:ascii="Times New Roman"/>
                <w:sz w:val="12"/>
                <w:shd w:fill="FFFF00" w:color="auto" w:val="clear"/>
              </w:rPr>
              <w:t>     </w:t>
            </w:r>
            <w:r>
              <w:rPr>
                <w:rFonts w:ascii="Times New Roman"/>
                <w:spacing w:val="14"/>
                <w:sz w:val="12"/>
                <w:shd w:fill="FFFF00" w:color="auto" w:val="clear"/>
              </w:rPr>
              <w:t> </w:t>
            </w:r>
            <w:r>
              <w:rPr>
                <w:rFonts w:ascii="Calibri"/>
                <w:sz w:val="12"/>
                <w:shd w:fill="FFFF00" w:color="auto" w:val="clear"/>
              </w:rPr>
              <w:t>1.41</w:t>
              <w:tab/>
            </w:r>
          </w:p>
        </w:tc>
        <w:tc>
          <w:tcPr>
            <w:tcW w:w="663" w:type="dxa"/>
            <w:tcBorders>
              <w:right w:val="single" w:sz="8" w:space="0" w:color="000000"/>
            </w:tcBorders>
            <w:shd w:val="clear" w:color="auto" w:fill="67ED4D"/>
          </w:tcPr>
          <w:p>
            <w:pPr>
              <w:pStyle w:val="TableParagraph"/>
              <w:spacing w:before="3"/>
              <w:ind w:right="283"/>
              <w:jc w:val="right"/>
              <w:rPr>
                <w:rFonts w:ascii="Calibri"/>
                <w:sz w:val="12"/>
              </w:rPr>
            </w:pPr>
            <w:r>
              <w:rPr>
                <w:rFonts w:ascii="Calibri"/>
                <w:w w:val="102"/>
                <w:sz w:val="12"/>
              </w:rPr>
              <w:t>2</w:t>
            </w:r>
          </w:p>
        </w:tc>
      </w:tr>
      <w:tr>
        <w:trPr>
          <w:trHeight w:val="450" w:hRule="exact"/>
        </w:trPr>
        <w:tc>
          <w:tcPr>
            <w:tcW w:w="631" w:type="dxa"/>
            <w:tcBorders>
              <w:left w:val="single" w:sz="4" w:space="0" w:color="000000"/>
            </w:tcBorders>
          </w:tcPr>
          <w:p>
            <w:pPr/>
          </w:p>
        </w:tc>
        <w:tc>
          <w:tcPr>
            <w:tcW w:w="1780" w:type="dxa"/>
          </w:tcPr>
          <w:p>
            <w:pPr>
              <w:pStyle w:val="TableParagraph"/>
              <w:jc w:val="left"/>
              <w:rPr>
                <w:sz w:val="12"/>
              </w:rPr>
            </w:pPr>
          </w:p>
          <w:p>
            <w:pPr>
              <w:pStyle w:val="TableParagraph"/>
              <w:spacing w:before="80"/>
              <w:ind w:left="58"/>
              <w:jc w:val="left"/>
              <w:rPr>
                <w:rFonts w:ascii="Calibri"/>
                <w:sz w:val="12"/>
              </w:rPr>
            </w:pPr>
            <w:r>
              <w:rPr>
                <w:rFonts w:ascii="Calibri"/>
                <w:sz w:val="12"/>
              </w:rPr>
              <w:t>Equipamiento  desarrollado</w:t>
            </w:r>
          </w:p>
        </w:tc>
        <w:tc>
          <w:tcPr>
            <w:tcW w:w="2458" w:type="dxa"/>
          </w:tcPr>
          <w:p>
            <w:pPr>
              <w:pStyle w:val="TableParagraph"/>
              <w:spacing w:before="8"/>
              <w:jc w:val="left"/>
              <w:rPr>
                <w:sz w:val="12"/>
              </w:rPr>
            </w:pPr>
          </w:p>
          <w:p>
            <w:pPr>
              <w:pStyle w:val="TableParagraph"/>
              <w:spacing w:line="252" w:lineRule="auto"/>
              <w:ind w:left="322" w:right="1633"/>
              <w:jc w:val="left"/>
              <w:rPr>
                <w:rFonts w:ascii="Calibri"/>
                <w:sz w:val="12"/>
              </w:rPr>
            </w:pPr>
            <w:r>
              <w:rPr>
                <w:rFonts w:ascii="Calibri"/>
                <w:sz w:val="12"/>
              </w:rPr>
              <w:t>Municipal Estatal</w:t>
            </w:r>
          </w:p>
        </w:tc>
        <w:tc>
          <w:tcPr>
            <w:tcW w:w="1418" w:type="dxa"/>
          </w:tcPr>
          <w:p>
            <w:pPr>
              <w:pStyle w:val="TableParagraph"/>
              <w:spacing w:before="8"/>
              <w:jc w:val="left"/>
              <w:rPr>
                <w:sz w:val="12"/>
              </w:rPr>
            </w:pPr>
          </w:p>
          <w:p>
            <w:pPr>
              <w:pStyle w:val="TableParagraph"/>
              <w:ind w:left="848"/>
              <w:jc w:val="left"/>
              <w:rPr>
                <w:rFonts w:ascii="Calibri"/>
                <w:sz w:val="12"/>
              </w:rPr>
            </w:pPr>
            <w:r>
              <w:rPr>
                <w:rFonts w:ascii="Calibri"/>
                <w:sz w:val="12"/>
              </w:rPr>
              <w:t>0.6</w:t>
            </w:r>
          </w:p>
          <w:p>
            <w:pPr>
              <w:pStyle w:val="TableParagraph"/>
              <w:spacing w:before="7"/>
              <w:ind w:left="848"/>
              <w:jc w:val="left"/>
              <w:rPr>
                <w:rFonts w:ascii="Calibri"/>
                <w:sz w:val="12"/>
              </w:rPr>
            </w:pPr>
            <w:r>
              <w:rPr>
                <w:rFonts w:ascii="Calibri"/>
                <w:sz w:val="12"/>
              </w:rPr>
              <w:t>0.2</w:t>
            </w:r>
          </w:p>
        </w:tc>
        <w:tc>
          <w:tcPr>
            <w:tcW w:w="831" w:type="dxa"/>
          </w:tcPr>
          <w:p>
            <w:pPr/>
          </w:p>
        </w:tc>
        <w:tc>
          <w:tcPr>
            <w:tcW w:w="1329" w:type="dxa"/>
            <w:gridSpan w:val="2"/>
            <w:tcBorders>
              <w:right w:val="single" w:sz="8" w:space="0" w:color="000000"/>
            </w:tcBorders>
          </w:tcPr>
          <w:p>
            <w:pPr>
              <w:pStyle w:val="TableParagraph"/>
              <w:spacing w:before="8"/>
              <w:jc w:val="left"/>
              <w:rPr>
                <w:sz w:val="12"/>
              </w:rPr>
            </w:pPr>
          </w:p>
          <w:p>
            <w:pPr>
              <w:pStyle w:val="TableParagraph"/>
              <w:tabs>
                <w:tab w:pos="970" w:val="left" w:leader="none"/>
              </w:tabs>
              <w:ind w:left="255"/>
              <w:jc w:val="left"/>
              <w:rPr>
                <w:rFonts w:ascii="Calibri"/>
                <w:sz w:val="12"/>
              </w:rPr>
            </w:pPr>
            <w:r>
              <w:rPr>
                <w:rFonts w:ascii="Calibri"/>
                <w:sz w:val="12"/>
              </w:rPr>
              <w:t>0.8</w:t>
              <w:tab/>
              <w:t>1</w:t>
            </w:r>
          </w:p>
          <w:p>
            <w:pPr>
              <w:pStyle w:val="TableParagraph"/>
              <w:tabs>
                <w:tab w:pos="970" w:val="left" w:leader="none"/>
              </w:tabs>
              <w:spacing w:before="7"/>
              <w:ind w:left="255"/>
              <w:jc w:val="left"/>
              <w:rPr>
                <w:rFonts w:ascii="Calibri"/>
                <w:sz w:val="12"/>
              </w:rPr>
            </w:pPr>
            <w:r>
              <w:rPr>
                <w:rFonts w:ascii="Calibri"/>
                <w:sz w:val="12"/>
              </w:rPr>
              <w:t>0.6</w:t>
              <w:tab/>
              <w:t>1</w:t>
            </w:r>
          </w:p>
        </w:tc>
      </w:tr>
      <w:tr>
        <w:trPr>
          <w:trHeight w:val="164" w:hRule="exact"/>
        </w:trPr>
        <w:tc>
          <w:tcPr>
            <w:tcW w:w="631" w:type="dxa"/>
            <w:tcBorders>
              <w:left w:val="single" w:sz="4" w:space="0" w:color="000000"/>
            </w:tcBorders>
          </w:tcPr>
          <w:p>
            <w:pPr/>
          </w:p>
        </w:tc>
        <w:tc>
          <w:tcPr>
            <w:tcW w:w="1780" w:type="dxa"/>
          </w:tcPr>
          <w:p>
            <w:pPr/>
          </w:p>
        </w:tc>
        <w:tc>
          <w:tcPr>
            <w:tcW w:w="2458" w:type="dxa"/>
          </w:tcPr>
          <w:p>
            <w:pPr/>
          </w:p>
        </w:tc>
        <w:tc>
          <w:tcPr>
            <w:tcW w:w="1418" w:type="dxa"/>
          </w:tcPr>
          <w:p>
            <w:pPr>
              <w:pStyle w:val="TableParagraph"/>
              <w:spacing w:before="3"/>
              <w:ind w:right="280"/>
              <w:jc w:val="right"/>
              <w:rPr>
                <w:rFonts w:ascii="Calibri"/>
                <w:sz w:val="12"/>
              </w:rPr>
            </w:pPr>
            <w:r>
              <w:rPr>
                <w:rFonts w:ascii="Calibri"/>
                <w:sz w:val="12"/>
              </w:rPr>
              <w:t>Subtotal</w:t>
            </w:r>
          </w:p>
        </w:tc>
        <w:tc>
          <w:tcPr>
            <w:tcW w:w="831" w:type="dxa"/>
          </w:tcPr>
          <w:p>
            <w:pPr>
              <w:pStyle w:val="TableParagraph"/>
              <w:tabs>
                <w:tab w:pos="422" w:val="left" w:leader="none"/>
                <w:tab w:pos="841" w:val="left" w:leader="none"/>
              </w:tabs>
              <w:spacing w:before="3"/>
              <w:ind w:left="166" w:right="-11"/>
              <w:rPr>
                <w:rFonts w:ascii="Calibri"/>
                <w:sz w:val="12"/>
              </w:rPr>
            </w:pPr>
            <w:r>
              <w:rPr>
                <w:rFonts w:ascii="Times New Roman"/>
                <w:w w:val="102"/>
                <w:sz w:val="12"/>
                <w:shd w:fill="F79646" w:color="auto" w:val="clear"/>
              </w:rPr>
              <w:t> </w:t>
            </w:r>
            <w:r>
              <w:rPr>
                <w:rFonts w:ascii="Times New Roman"/>
                <w:sz w:val="12"/>
                <w:shd w:fill="F79646" w:color="auto" w:val="clear"/>
              </w:rPr>
              <w:tab/>
            </w:r>
            <w:r>
              <w:rPr>
                <w:rFonts w:ascii="Calibri"/>
                <w:sz w:val="12"/>
                <w:shd w:fill="F79646" w:color="auto" w:val="clear"/>
              </w:rPr>
              <w:t>0.8</w:t>
              <w:tab/>
            </w:r>
          </w:p>
        </w:tc>
        <w:tc>
          <w:tcPr>
            <w:tcW w:w="666" w:type="dxa"/>
          </w:tcPr>
          <w:p>
            <w:pPr>
              <w:pStyle w:val="TableParagraph"/>
              <w:tabs>
                <w:tab w:pos="255" w:val="left" w:leader="none"/>
                <w:tab w:pos="674" w:val="left" w:leader="none"/>
              </w:tabs>
              <w:spacing w:before="3"/>
              <w:ind w:left="-1" w:right="-9"/>
              <w:rPr>
                <w:rFonts w:ascii="Calibri"/>
                <w:sz w:val="12"/>
              </w:rPr>
            </w:pPr>
            <w:r>
              <w:rPr>
                <w:rFonts w:ascii="Times New Roman"/>
                <w:w w:val="102"/>
                <w:sz w:val="12"/>
                <w:shd w:fill="FFFF00" w:color="auto" w:val="clear"/>
              </w:rPr>
              <w:t> </w:t>
            </w:r>
            <w:r>
              <w:rPr>
                <w:rFonts w:ascii="Times New Roman"/>
                <w:sz w:val="12"/>
                <w:shd w:fill="FFFF00" w:color="auto" w:val="clear"/>
              </w:rPr>
              <w:tab/>
            </w:r>
            <w:r>
              <w:rPr>
                <w:rFonts w:ascii="Calibri"/>
                <w:sz w:val="12"/>
                <w:shd w:fill="FFFF00" w:color="auto" w:val="clear"/>
              </w:rPr>
              <w:t>1.4</w:t>
              <w:tab/>
            </w:r>
          </w:p>
        </w:tc>
        <w:tc>
          <w:tcPr>
            <w:tcW w:w="663" w:type="dxa"/>
            <w:tcBorders>
              <w:right w:val="single" w:sz="8" w:space="0" w:color="000000"/>
            </w:tcBorders>
            <w:shd w:val="clear" w:color="auto" w:fill="67ED4D"/>
          </w:tcPr>
          <w:p>
            <w:pPr>
              <w:pStyle w:val="TableParagraph"/>
              <w:spacing w:before="3"/>
              <w:ind w:right="283"/>
              <w:jc w:val="right"/>
              <w:rPr>
                <w:rFonts w:ascii="Calibri"/>
                <w:sz w:val="12"/>
              </w:rPr>
            </w:pPr>
            <w:r>
              <w:rPr>
                <w:rFonts w:ascii="Calibri"/>
                <w:w w:val="102"/>
                <w:sz w:val="12"/>
              </w:rPr>
              <w:t>2</w:t>
            </w:r>
          </w:p>
        </w:tc>
      </w:tr>
      <w:tr>
        <w:trPr>
          <w:trHeight w:val="303" w:hRule="exact"/>
        </w:trPr>
        <w:tc>
          <w:tcPr>
            <w:tcW w:w="631" w:type="dxa"/>
            <w:vMerge w:val="restart"/>
            <w:tcBorders>
              <w:left w:val="single" w:sz="4" w:space="0" w:color="000000"/>
            </w:tcBorders>
          </w:tcPr>
          <w:p>
            <w:pPr/>
          </w:p>
        </w:tc>
        <w:tc>
          <w:tcPr>
            <w:tcW w:w="1780" w:type="dxa"/>
          </w:tcPr>
          <w:p>
            <w:pPr/>
          </w:p>
        </w:tc>
        <w:tc>
          <w:tcPr>
            <w:tcW w:w="2458" w:type="dxa"/>
          </w:tcPr>
          <w:p>
            <w:pPr>
              <w:pStyle w:val="TableParagraph"/>
              <w:spacing w:before="8"/>
              <w:jc w:val="left"/>
              <w:rPr>
                <w:sz w:val="12"/>
              </w:rPr>
            </w:pPr>
          </w:p>
          <w:p>
            <w:pPr>
              <w:pStyle w:val="TableParagraph"/>
              <w:ind w:left="322"/>
              <w:jc w:val="left"/>
              <w:rPr>
                <w:rFonts w:ascii="Calibri" w:hAnsi="Calibri"/>
                <w:sz w:val="12"/>
              </w:rPr>
            </w:pPr>
            <w:r>
              <w:rPr>
                <w:rFonts w:ascii="Calibri" w:hAnsi="Calibri"/>
                <w:sz w:val="12"/>
              </w:rPr>
              <w:t>Ubicación del conjunto  urbano</w:t>
            </w:r>
          </w:p>
        </w:tc>
        <w:tc>
          <w:tcPr>
            <w:tcW w:w="1418" w:type="dxa"/>
          </w:tcPr>
          <w:p>
            <w:pPr>
              <w:pStyle w:val="TableParagraph"/>
              <w:spacing w:before="8"/>
              <w:jc w:val="left"/>
              <w:rPr>
                <w:sz w:val="12"/>
              </w:rPr>
            </w:pPr>
          </w:p>
          <w:p>
            <w:pPr>
              <w:pStyle w:val="TableParagraph"/>
              <w:ind w:left="848"/>
              <w:jc w:val="left"/>
              <w:rPr>
                <w:rFonts w:ascii="Calibri"/>
                <w:sz w:val="12"/>
              </w:rPr>
            </w:pPr>
            <w:r>
              <w:rPr>
                <w:rFonts w:ascii="Calibri"/>
                <w:sz w:val="12"/>
              </w:rPr>
              <w:t>0.4</w:t>
            </w:r>
          </w:p>
        </w:tc>
        <w:tc>
          <w:tcPr>
            <w:tcW w:w="831" w:type="dxa"/>
            <w:vMerge w:val="restart"/>
          </w:tcPr>
          <w:p>
            <w:pPr/>
          </w:p>
        </w:tc>
        <w:tc>
          <w:tcPr>
            <w:tcW w:w="1329" w:type="dxa"/>
            <w:gridSpan w:val="2"/>
            <w:tcBorders>
              <w:right w:val="single" w:sz="8" w:space="0" w:color="000000"/>
            </w:tcBorders>
          </w:tcPr>
          <w:p>
            <w:pPr>
              <w:pStyle w:val="TableParagraph"/>
              <w:spacing w:before="8"/>
              <w:jc w:val="left"/>
              <w:rPr>
                <w:sz w:val="12"/>
              </w:rPr>
            </w:pPr>
          </w:p>
          <w:p>
            <w:pPr>
              <w:pStyle w:val="TableParagraph"/>
              <w:tabs>
                <w:tab w:pos="970" w:val="left" w:leader="none"/>
              </w:tabs>
              <w:ind w:left="255"/>
              <w:jc w:val="left"/>
              <w:rPr>
                <w:rFonts w:ascii="Calibri"/>
                <w:sz w:val="12"/>
              </w:rPr>
            </w:pPr>
            <w:r>
              <w:rPr>
                <w:rFonts w:ascii="Calibri"/>
                <w:sz w:val="12"/>
              </w:rPr>
              <w:t>0.8</w:t>
              <w:tab/>
              <w:t>1</w:t>
            </w:r>
          </w:p>
        </w:tc>
      </w:tr>
      <w:tr>
        <w:trPr>
          <w:trHeight w:val="153" w:hRule="exact"/>
        </w:trPr>
        <w:tc>
          <w:tcPr>
            <w:tcW w:w="631" w:type="dxa"/>
            <w:vMerge/>
            <w:tcBorders>
              <w:left w:val="single" w:sz="4" w:space="0" w:color="000000"/>
            </w:tcBorders>
          </w:tcPr>
          <w:p>
            <w:pPr/>
          </w:p>
        </w:tc>
        <w:tc>
          <w:tcPr>
            <w:tcW w:w="1780" w:type="dxa"/>
          </w:tcPr>
          <w:p>
            <w:pPr/>
          </w:p>
        </w:tc>
        <w:tc>
          <w:tcPr>
            <w:tcW w:w="2458" w:type="dxa"/>
          </w:tcPr>
          <w:p>
            <w:pPr>
              <w:pStyle w:val="TableParagraph"/>
              <w:spacing w:line="143" w:lineRule="exact"/>
              <w:ind w:left="322" w:right="635"/>
              <w:jc w:val="left"/>
              <w:rPr>
                <w:rFonts w:ascii="Calibri"/>
                <w:sz w:val="12"/>
              </w:rPr>
            </w:pPr>
            <w:r>
              <w:rPr>
                <w:rFonts w:ascii="Calibri"/>
                <w:sz w:val="12"/>
              </w:rPr>
              <w:t>Abierto</w:t>
            </w:r>
          </w:p>
        </w:tc>
        <w:tc>
          <w:tcPr>
            <w:tcW w:w="1418" w:type="dxa"/>
          </w:tcPr>
          <w:p>
            <w:pPr>
              <w:pStyle w:val="TableParagraph"/>
              <w:spacing w:line="143" w:lineRule="exact"/>
              <w:ind w:left="848"/>
              <w:jc w:val="left"/>
              <w:rPr>
                <w:rFonts w:ascii="Calibri"/>
                <w:sz w:val="12"/>
              </w:rPr>
            </w:pPr>
            <w:r>
              <w:rPr>
                <w:rFonts w:ascii="Calibri"/>
                <w:sz w:val="12"/>
              </w:rPr>
              <w:t>0.5</w:t>
            </w:r>
          </w:p>
        </w:tc>
        <w:tc>
          <w:tcPr>
            <w:tcW w:w="831" w:type="dxa"/>
            <w:vMerge/>
          </w:tcPr>
          <w:p>
            <w:pPr/>
          </w:p>
        </w:tc>
        <w:tc>
          <w:tcPr>
            <w:tcW w:w="1329" w:type="dxa"/>
            <w:gridSpan w:val="2"/>
            <w:tcBorders>
              <w:right w:val="single" w:sz="8" w:space="0" w:color="000000"/>
            </w:tcBorders>
          </w:tcPr>
          <w:p>
            <w:pPr>
              <w:pStyle w:val="TableParagraph"/>
              <w:tabs>
                <w:tab w:pos="970" w:val="left" w:leader="none"/>
              </w:tabs>
              <w:spacing w:line="143" w:lineRule="exact"/>
              <w:ind w:left="306"/>
              <w:jc w:val="left"/>
              <w:rPr>
                <w:rFonts w:ascii="Calibri"/>
                <w:sz w:val="12"/>
              </w:rPr>
            </w:pPr>
            <w:r>
              <w:rPr>
                <w:rFonts w:ascii="Calibri"/>
                <w:sz w:val="12"/>
              </w:rPr>
              <w:t>1</w:t>
              <w:tab/>
              <w:t>1</w:t>
            </w:r>
          </w:p>
        </w:tc>
      </w:tr>
      <w:tr>
        <w:trPr>
          <w:trHeight w:val="153" w:hRule="exact"/>
        </w:trPr>
        <w:tc>
          <w:tcPr>
            <w:tcW w:w="631" w:type="dxa"/>
            <w:vMerge/>
            <w:tcBorders>
              <w:left w:val="single" w:sz="4" w:space="0" w:color="000000"/>
            </w:tcBorders>
          </w:tcPr>
          <w:p>
            <w:pPr/>
          </w:p>
        </w:tc>
        <w:tc>
          <w:tcPr>
            <w:tcW w:w="1780" w:type="dxa"/>
          </w:tcPr>
          <w:p>
            <w:pPr>
              <w:pStyle w:val="TableParagraph"/>
              <w:spacing w:line="143" w:lineRule="exact"/>
              <w:ind w:left="58"/>
              <w:jc w:val="left"/>
              <w:rPr>
                <w:rFonts w:ascii="Calibri" w:hAnsi="Calibri"/>
                <w:sz w:val="12"/>
              </w:rPr>
            </w:pPr>
            <w:r>
              <w:rPr>
                <w:rFonts w:ascii="Calibri" w:hAnsi="Calibri"/>
                <w:sz w:val="12"/>
              </w:rPr>
              <w:t>Integración al territorio</w:t>
            </w:r>
          </w:p>
        </w:tc>
        <w:tc>
          <w:tcPr>
            <w:tcW w:w="2458" w:type="dxa"/>
          </w:tcPr>
          <w:p>
            <w:pPr>
              <w:pStyle w:val="TableParagraph"/>
              <w:spacing w:line="143" w:lineRule="exact"/>
              <w:ind w:left="322" w:right="635"/>
              <w:jc w:val="left"/>
              <w:rPr>
                <w:rFonts w:ascii="Calibri" w:hAnsi="Calibri"/>
                <w:sz w:val="12"/>
              </w:rPr>
            </w:pPr>
            <w:r>
              <w:rPr>
                <w:rFonts w:ascii="Calibri" w:hAnsi="Calibri"/>
                <w:sz w:val="12"/>
              </w:rPr>
              <w:t>Integración social</w:t>
            </w:r>
          </w:p>
        </w:tc>
        <w:tc>
          <w:tcPr>
            <w:tcW w:w="1418" w:type="dxa"/>
          </w:tcPr>
          <w:p>
            <w:pPr>
              <w:pStyle w:val="TableParagraph"/>
              <w:spacing w:line="143" w:lineRule="exact"/>
              <w:ind w:left="899"/>
              <w:jc w:val="left"/>
              <w:rPr>
                <w:rFonts w:ascii="Calibri"/>
                <w:sz w:val="12"/>
              </w:rPr>
            </w:pPr>
            <w:r>
              <w:rPr>
                <w:rFonts w:ascii="Calibri"/>
                <w:w w:val="102"/>
                <w:sz w:val="12"/>
              </w:rPr>
              <w:t>0</w:t>
            </w:r>
          </w:p>
        </w:tc>
        <w:tc>
          <w:tcPr>
            <w:tcW w:w="831" w:type="dxa"/>
            <w:vMerge/>
          </w:tcPr>
          <w:p>
            <w:pPr/>
          </w:p>
        </w:tc>
        <w:tc>
          <w:tcPr>
            <w:tcW w:w="1329" w:type="dxa"/>
            <w:gridSpan w:val="2"/>
            <w:tcBorders>
              <w:right w:val="single" w:sz="8" w:space="0" w:color="000000"/>
            </w:tcBorders>
          </w:tcPr>
          <w:p>
            <w:pPr>
              <w:pStyle w:val="TableParagraph"/>
              <w:tabs>
                <w:tab w:pos="970" w:val="left" w:leader="none"/>
              </w:tabs>
              <w:spacing w:line="143" w:lineRule="exact"/>
              <w:ind w:left="306"/>
              <w:jc w:val="left"/>
              <w:rPr>
                <w:rFonts w:ascii="Calibri"/>
                <w:sz w:val="12"/>
              </w:rPr>
            </w:pPr>
            <w:r>
              <w:rPr>
                <w:rFonts w:ascii="Calibri"/>
                <w:sz w:val="12"/>
              </w:rPr>
              <w:t>1</w:t>
              <w:tab/>
              <w:t>1</w:t>
            </w:r>
          </w:p>
        </w:tc>
      </w:tr>
      <w:tr>
        <w:trPr>
          <w:trHeight w:val="153" w:hRule="exact"/>
        </w:trPr>
        <w:tc>
          <w:tcPr>
            <w:tcW w:w="631" w:type="dxa"/>
            <w:vMerge/>
            <w:tcBorders>
              <w:left w:val="single" w:sz="4" w:space="0" w:color="000000"/>
            </w:tcBorders>
          </w:tcPr>
          <w:p>
            <w:pPr/>
          </w:p>
        </w:tc>
        <w:tc>
          <w:tcPr>
            <w:tcW w:w="1780" w:type="dxa"/>
          </w:tcPr>
          <w:p>
            <w:pPr/>
          </w:p>
        </w:tc>
        <w:tc>
          <w:tcPr>
            <w:tcW w:w="2458" w:type="dxa"/>
          </w:tcPr>
          <w:p>
            <w:pPr>
              <w:pStyle w:val="TableParagraph"/>
              <w:spacing w:line="143" w:lineRule="exact"/>
              <w:ind w:left="322" w:right="635"/>
              <w:jc w:val="left"/>
              <w:rPr>
                <w:rFonts w:ascii="Calibri" w:hAnsi="Calibri"/>
                <w:sz w:val="12"/>
              </w:rPr>
            </w:pPr>
            <w:r>
              <w:rPr>
                <w:rFonts w:ascii="Calibri" w:hAnsi="Calibri"/>
                <w:sz w:val="12"/>
              </w:rPr>
              <w:t>Protección civil</w:t>
            </w:r>
          </w:p>
        </w:tc>
        <w:tc>
          <w:tcPr>
            <w:tcW w:w="1418" w:type="dxa"/>
          </w:tcPr>
          <w:p>
            <w:pPr>
              <w:pStyle w:val="TableParagraph"/>
              <w:spacing w:line="143" w:lineRule="exact"/>
              <w:ind w:left="899"/>
              <w:jc w:val="left"/>
              <w:rPr>
                <w:rFonts w:ascii="Calibri"/>
                <w:sz w:val="12"/>
              </w:rPr>
            </w:pPr>
            <w:r>
              <w:rPr>
                <w:rFonts w:ascii="Calibri"/>
                <w:w w:val="102"/>
                <w:sz w:val="12"/>
              </w:rPr>
              <w:t>0</w:t>
            </w:r>
          </w:p>
        </w:tc>
        <w:tc>
          <w:tcPr>
            <w:tcW w:w="831" w:type="dxa"/>
            <w:vMerge/>
          </w:tcPr>
          <w:p>
            <w:pPr/>
          </w:p>
        </w:tc>
        <w:tc>
          <w:tcPr>
            <w:tcW w:w="1329" w:type="dxa"/>
            <w:gridSpan w:val="2"/>
            <w:tcBorders>
              <w:right w:val="single" w:sz="8" w:space="0" w:color="000000"/>
            </w:tcBorders>
          </w:tcPr>
          <w:p>
            <w:pPr>
              <w:pStyle w:val="TableParagraph"/>
              <w:tabs>
                <w:tab w:pos="970" w:val="left" w:leader="none"/>
              </w:tabs>
              <w:spacing w:line="143" w:lineRule="exact"/>
              <w:ind w:left="306"/>
              <w:jc w:val="left"/>
              <w:rPr>
                <w:rFonts w:ascii="Calibri"/>
                <w:sz w:val="12"/>
              </w:rPr>
            </w:pPr>
            <w:r>
              <w:rPr>
                <w:rFonts w:ascii="Calibri"/>
                <w:sz w:val="12"/>
              </w:rPr>
              <w:t>1</w:t>
              <w:tab/>
              <w:t>1</w:t>
            </w:r>
          </w:p>
        </w:tc>
      </w:tr>
      <w:tr>
        <w:trPr>
          <w:trHeight w:val="147" w:hRule="exact"/>
        </w:trPr>
        <w:tc>
          <w:tcPr>
            <w:tcW w:w="631" w:type="dxa"/>
            <w:vMerge/>
            <w:tcBorders>
              <w:left w:val="single" w:sz="4" w:space="0" w:color="000000"/>
            </w:tcBorders>
          </w:tcPr>
          <w:p>
            <w:pPr/>
          </w:p>
        </w:tc>
        <w:tc>
          <w:tcPr>
            <w:tcW w:w="1780" w:type="dxa"/>
          </w:tcPr>
          <w:p>
            <w:pPr/>
          </w:p>
        </w:tc>
        <w:tc>
          <w:tcPr>
            <w:tcW w:w="2458" w:type="dxa"/>
          </w:tcPr>
          <w:p>
            <w:pPr>
              <w:pStyle w:val="TableParagraph"/>
              <w:spacing w:line="143" w:lineRule="exact"/>
              <w:ind w:left="322" w:right="635"/>
              <w:jc w:val="left"/>
              <w:rPr>
                <w:rFonts w:ascii="Calibri"/>
                <w:sz w:val="12"/>
              </w:rPr>
            </w:pPr>
            <w:r>
              <w:rPr>
                <w:rFonts w:ascii="Calibri"/>
                <w:sz w:val="12"/>
              </w:rPr>
              <w:t>Seguridad</w:t>
            </w:r>
          </w:p>
        </w:tc>
        <w:tc>
          <w:tcPr>
            <w:tcW w:w="1418" w:type="dxa"/>
          </w:tcPr>
          <w:p>
            <w:pPr>
              <w:pStyle w:val="TableParagraph"/>
              <w:spacing w:line="143" w:lineRule="exact"/>
              <w:ind w:left="848"/>
              <w:jc w:val="left"/>
              <w:rPr>
                <w:rFonts w:ascii="Calibri"/>
                <w:sz w:val="12"/>
              </w:rPr>
            </w:pPr>
            <w:r>
              <w:rPr>
                <w:rFonts w:ascii="Calibri"/>
                <w:sz w:val="12"/>
              </w:rPr>
              <w:t>0.5</w:t>
            </w:r>
          </w:p>
        </w:tc>
        <w:tc>
          <w:tcPr>
            <w:tcW w:w="831" w:type="dxa"/>
            <w:vMerge/>
          </w:tcPr>
          <w:p>
            <w:pPr/>
          </w:p>
        </w:tc>
        <w:tc>
          <w:tcPr>
            <w:tcW w:w="1329" w:type="dxa"/>
            <w:gridSpan w:val="2"/>
            <w:tcBorders>
              <w:right w:val="single" w:sz="8" w:space="0" w:color="000000"/>
            </w:tcBorders>
          </w:tcPr>
          <w:p>
            <w:pPr>
              <w:pStyle w:val="TableParagraph"/>
              <w:tabs>
                <w:tab w:pos="970" w:val="left" w:leader="none"/>
              </w:tabs>
              <w:spacing w:line="143" w:lineRule="exact"/>
              <w:ind w:left="306"/>
              <w:jc w:val="left"/>
              <w:rPr>
                <w:rFonts w:ascii="Calibri"/>
                <w:sz w:val="12"/>
              </w:rPr>
            </w:pPr>
            <w:r>
              <w:rPr>
                <w:rFonts w:ascii="Calibri"/>
                <w:sz w:val="12"/>
              </w:rPr>
              <w:t>1</w:t>
              <w:tab/>
              <w:t>1</w:t>
            </w:r>
          </w:p>
        </w:tc>
      </w:tr>
      <w:tr>
        <w:trPr>
          <w:trHeight w:val="164" w:hRule="exact"/>
        </w:trPr>
        <w:tc>
          <w:tcPr>
            <w:tcW w:w="631" w:type="dxa"/>
            <w:tcBorders>
              <w:left w:val="single" w:sz="4" w:space="0" w:color="000000"/>
            </w:tcBorders>
          </w:tcPr>
          <w:p>
            <w:pPr/>
          </w:p>
        </w:tc>
        <w:tc>
          <w:tcPr>
            <w:tcW w:w="1780" w:type="dxa"/>
          </w:tcPr>
          <w:p>
            <w:pPr/>
          </w:p>
        </w:tc>
        <w:tc>
          <w:tcPr>
            <w:tcW w:w="2458" w:type="dxa"/>
          </w:tcPr>
          <w:p>
            <w:pPr/>
          </w:p>
        </w:tc>
        <w:tc>
          <w:tcPr>
            <w:tcW w:w="1418" w:type="dxa"/>
          </w:tcPr>
          <w:p>
            <w:pPr>
              <w:pStyle w:val="TableParagraph"/>
              <w:spacing w:before="3"/>
              <w:ind w:right="280"/>
              <w:jc w:val="right"/>
              <w:rPr>
                <w:rFonts w:ascii="Calibri"/>
                <w:sz w:val="12"/>
              </w:rPr>
            </w:pPr>
            <w:r>
              <w:rPr>
                <w:rFonts w:ascii="Calibri"/>
                <w:sz w:val="12"/>
              </w:rPr>
              <w:t>Subtotal</w:t>
            </w:r>
          </w:p>
        </w:tc>
        <w:tc>
          <w:tcPr>
            <w:tcW w:w="831" w:type="dxa"/>
          </w:tcPr>
          <w:p>
            <w:pPr>
              <w:pStyle w:val="TableParagraph"/>
              <w:tabs>
                <w:tab w:pos="422" w:val="left" w:leader="none"/>
                <w:tab w:pos="841" w:val="left" w:leader="none"/>
              </w:tabs>
              <w:spacing w:before="3"/>
              <w:ind w:left="166" w:right="-11"/>
              <w:rPr>
                <w:rFonts w:ascii="Calibri"/>
                <w:sz w:val="12"/>
              </w:rPr>
            </w:pPr>
            <w:r>
              <w:rPr>
                <w:rFonts w:ascii="Times New Roman"/>
                <w:w w:val="102"/>
                <w:sz w:val="12"/>
                <w:shd w:fill="F79646" w:color="auto" w:val="clear"/>
              </w:rPr>
              <w:t> </w:t>
            </w:r>
            <w:r>
              <w:rPr>
                <w:rFonts w:ascii="Times New Roman"/>
                <w:sz w:val="12"/>
                <w:shd w:fill="F79646" w:color="auto" w:val="clear"/>
              </w:rPr>
              <w:tab/>
            </w:r>
            <w:r>
              <w:rPr>
                <w:rFonts w:ascii="Calibri"/>
                <w:sz w:val="12"/>
                <w:shd w:fill="F79646" w:color="auto" w:val="clear"/>
              </w:rPr>
              <w:t>1.4</w:t>
              <w:tab/>
            </w:r>
          </w:p>
        </w:tc>
        <w:tc>
          <w:tcPr>
            <w:tcW w:w="666" w:type="dxa"/>
          </w:tcPr>
          <w:p>
            <w:pPr>
              <w:pStyle w:val="TableParagraph"/>
              <w:tabs>
                <w:tab w:pos="255" w:val="left" w:leader="none"/>
                <w:tab w:pos="674" w:val="left" w:leader="none"/>
              </w:tabs>
              <w:spacing w:before="3"/>
              <w:ind w:left="-1" w:right="-9"/>
              <w:rPr>
                <w:rFonts w:ascii="Calibri"/>
                <w:sz w:val="12"/>
              </w:rPr>
            </w:pPr>
            <w:r>
              <w:rPr>
                <w:rFonts w:ascii="Times New Roman"/>
                <w:w w:val="102"/>
                <w:sz w:val="12"/>
                <w:shd w:fill="FFFF00" w:color="auto" w:val="clear"/>
              </w:rPr>
              <w:t> </w:t>
            </w:r>
            <w:r>
              <w:rPr>
                <w:rFonts w:ascii="Times New Roman"/>
                <w:sz w:val="12"/>
                <w:shd w:fill="FFFF00" w:color="auto" w:val="clear"/>
              </w:rPr>
              <w:tab/>
            </w:r>
            <w:r>
              <w:rPr>
                <w:rFonts w:ascii="Calibri"/>
                <w:sz w:val="12"/>
                <w:shd w:fill="FFFF00" w:color="auto" w:val="clear"/>
              </w:rPr>
              <w:t>4.8</w:t>
              <w:tab/>
            </w:r>
          </w:p>
        </w:tc>
        <w:tc>
          <w:tcPr>
            <w:tcW w:w="663" w:type="dxa"/>
            <w:tcBorders>
              <w:right w:val="single" w:sz="8" w:space="0" w:color="000000"/>
            </w:tcBorders>
            <w:shd w:val="clear" w:color="auto" w:fill="67ED4D"/>
          </w:tcPr>
          <w:p>
            <w:pPr>
              <w:pStyle w:val="TableParagraph"/>
              <w:spacing w:before="3"/>
              <w:ind w:right="283"/>
              <w:jc w:val="right"/>
              <w:rPr>
                <w:rFonts w:ascii="Calibri"/>
                <w:sz w:val="12"/>
              </w:rPr>
            </w:pPr>
            <w:r>
              <w:rPr>
                <w:rFonts w:ascii="Calibri"/>
                <w:w w:val="102"/>
                <w:sz w:val="12"/>
              </w:rPr>
              <w:t>5</w:t>
            </w:r>
          </w:p>
        </w:tc>
      </w:tr>
      <w:tr>
        <w:trPr>
          <w:trHeight w:val="460" w:hRule="exact"/>
        </w:trPr>
        <w:tc>
          <w:tcPr>
            <w:tcW w:w="631" w:type="dxa"/>
            <w:tcBorders>
              <w:left w:val="single" w:sz="4" w:space="0" w:color="000000"/>
              <w:bottom w:val="single" w:sz="8" w:space="0" w:color="000000"/>
            </w:tcBorders>
          </w:tcPr>
          <w:p>
            <w:pPr/>
          </w:p>
        </w:tc>
        <w:tc>
          <w:tcPr>
            <w:tcW w:w="1780" w:type="dxa"/>
            <w:tcBorders>
              <w:bottom w:val="single" w:sz="8" w:space="0" w:color="000000"/>
            </w:tcBorders>
          </w:tcPr>
          <w:p>
            <w:pPr/>
          </w:p>
        </w:tc>
        <w:tc>
          <w:tcPr>
            <w:tcW w:w="2458" w:type="dxa"/>
            <w:tcBorders>
              <w:bottom w:val="single" w:sz="8" w:space="0" w:color="000000"/>
            </w:tcBorders>
          </w:tcPr>
          <w:p>
            <w:pPr/>
          </w:p>
        </w:tc>
        <w:tc>
          <w:tcPr>
            <w:tcW w:w="1418" w:type="dxa"/>
            <w:tcBorders>
              <w:bottom w:val="single" w:sz="8" w:space="0" w:color="000000"/>
            </w:tcBorders>
          </w:tcPr>
          <w:p>
            <w:pPr>
              <w:pStyle w:val="TableParagraph"/>
              <w:spacing w:before="8"/>
              <w:jc w:val="left"/>
              <w:rPr>
                <w:sz w:val="12"/>
              </w:rPr>
            </w:pPr>
          </w:p>
          <w:p>
            <w:pPr>
              <w:pStyle w:val="TableParagraph"/>
              <w:ind w:right="308"/>
              <w:jc w:val="right"/>
              <w:rPr>
                <w:rFonts w:ascii="Calibri"/>
                <w:sz w:val="12"/>
              </w:rPr>
            </w:pPr>
            <w:r>
              <w:rPr>
                <w:rFonts w:ascii="Calibri"/>
                <w:sz w:val="12"/>
              </w:rPr>
              <w:t>Total IT</w:t>
            </w:r>
          </w:p>
        </w:tc>
        <w:tc>
          <w:tcPr>
            <w:tcW w:w="831" w:type="dxa"/>
            <w:tcBorders>
              <w:bottom w:val="single" w:sz="8" w:space="0" w:color="000000"/>
            </w:tcBorders>
          </w:tcPr>
          <w:p>
            <w:pPr>
              <w:pStyle w:val="TableParagraph"/>
              <w:spacing w:before="8"/>
              <w:jc w:val="left"/>
              <w:rPr>
                <w:sz w:val="12"/>
              </w:rPr>
            </w:pPr>
          </w:p>
          <w:p>
            <w:pPr>
              <w:pStyle w:val="TableParagraph"/>
              <w:tabs>
                <w:tab w:pos="841" w:val="left" w:leader="none"/>
              </w:tabs>
              <w:ind w:left="166" w:right="-11"/>
              <w:rPr>
                <w:rFonts w:ascii="Calibri"/>
                <w:sz w:val="12"/>
              </w:rPr>
            </w:pPr>
            <w:r>
              <w:rPr>
                <w:rFonts w:ascii="Times New Roman"/>
                <w:w w:val="102"/>
                <w:sz w:val="12"/>
                <w:shd w:fill="F79646" w:color="auto" w:val="clear"/>
              </w:rPr>
              <w:t> </w:t>
            </w:r>
            <w:r>
              <w:rPr>
                <w:rFonts w:ascii="Times New Roman"/>
                <w:sz w:val="12"/>
                <w:shd w:fill="F79646" w:color="auto" w:val="clear"/>
              </w:rPr>
              <w:t>     </w:t>
            </w:r>
            <w:r>
              <w:rPr>
                <w:rFonts w:ascii="Times New Roman"/>
                <w:spacing w:val="14"/>
                <w:sz w:val="12"/>
                <w:shd w:fill="F79646" w:color="auto" w:val="clear"/>
              </w:rPr>
              <w:t> </w:t>
            </w:r>
            <w:r>
              <w:rPr>
                <w:rFonts w:ascii="Calibri"/>
                <w:sz w:val="12"/>
                <w:shd w:fill="F79646" w:color="auto" w:val="clear"/>
              </w:rPr>
              <w:t>7.36</w:t>
              <w:tab/>
            </w:r>
          </w:p>
        </w:tc>
        <w:tc>
          <w:tcPr>
            <w:tcW w:w="1329" w:type="dxa"/>
            <w:gridSpan w:val="2"/>
            <w:tcBorders>
              <w:bottom w:val="single" w:sz="8" w:space="0" w:color="000000"/>
              <w:right w:val="single" w:sz="8" w:space="0" w:color="000000"/>
            </w:tcBorders>
          </w:tcPr>
          <w:p>
            <w:pPr>
              <w:pStyle w:val="TableParagraph"/>
              <w:spacing w:before="8"/>
              <w:jc w:val="left"/>
              <w:rPr>
                <w:sz w:val="12"/>
              </w:rPr>
            </w:pPr>
          </w:p>
          <w:p>
            <w:pPr>
              <w:pStyle w:val="TableParagraph"/>
              <w:tabs>
                <w:tab w:pos="674" w:val="left" w:leader="none"/>
                <w:tab w:pos="940" w:val="left" w:leader="none"/>
              </w:tabs>
              <w:jc w:val="left"/>
              <w:rPr>
                <w:rFonts w:ascii="Calibri"/>
                <w:sz w:val="12"/>
              </w:rPr>
            </w:pPr>
            <w:r>
              <w:rPr>
                <w:rFonts w:ascii="Times New Roman"/>
                <w:w w:val="102"/>
                <w:sz w:val="12"/>
                <w:shd w:fill="FFFF00" w:color="auto" w:val="clear"/>
              </w:rPr>
              <w:t> </w:t>
            </w:r>
            <w:r>
              <w:rPr>
                <w:rFonts w:ascii="Times New Roman"/>
                <w:sz w:val="12"/>
                <w:shd w:fill="FFFF00" w:color="auto" w:val="clear"/>
              </w:rPr>
              <w:t>    </w:t>
            </w:r>
            <w:r>
              <w:rPr>
                <w:rFonts w:ascii="Times New Roman"/>
                <w:spacing w:val="13"/>
                <w:sz w:val="12"/>
                <w:shd w:fill="FFFF00" w:color="auto" w:val="clear"/>
              </w:rPr>
              <w:t> </w:t>
            </w:r>
            <w:r>
              <w:rPr>
                <w:rFonts w:ascii="Calibri"/>
                <w:sz w:val="12"/>
                <w:shd w:fill="FFFF00" w:color="auto" w:val="clear"/>
              </w:rPr>
              <w:t>12.66</w:t>
              <w:tab/>
            </w:r>
            <w:r>
              <w:rPr>
                <w:rFonts w:ascii="Calibri"/>
                <w:sz w:val="12"/>
              </w:rPr>
              <w:tab/>
              <w:t>17</w:t>
            </w:r>
          </w:p>
        </w:tc>
      </w:tr>
    </w:tbl>
    <w:p>
      <w:pPr>
        <w:spacing w:before="129"/>
        <w:ind w:left="268" w:right="0" w:firstLine="0"/>
        <w:jc w:val="left"/>
        <w:rPr>
          <w:sz w:val="21"/>
        </w:rPr>
      </w:pPr>
      <w:r>
        <w:rPr/>
        <w:pict>
          <v:group style="position:absolute;margin-left:355.817505pt;margin-top:-131.708023pt;width:67pt;height:16.1500pt;mso-position-horizontal-relative:page;mso-position-vertical-relative:paragraph;z-index:-1137088" coordorigin="7116,-2634" coordsize="1340,323">
            <v:line style="position:absolute" from="7122,-2629" to="7122,-2465" stroked="true" strokeweight=".511pt" strokecolor="#baf9f5"/>
            <v:shape style="position:absolute;left:7127;top:-2629;width:1329;height:317" coordorigin="7127,-2629" coordsize="1329,317" path="m8455,-2629l7127,-2629,7127,-2465,7127,-2312,8455,-2312,8455,-2465,8455,-2629e" filled="true" fillcolor="#baf9f5" stroked="false">
              <v:path arrowok="t"/>
              <v:fill type="solid"/>
            </v:shape>
            <w10:wrap type="none"/>
          </v:group>
        </w:pict>
      </w:r>
      <w:r>
        <w:rPr/>
        <w:pict>
          <v:shape style="position:absolute;margin-left:455.476013pt;margin-top:-131.432129pt;width:66.95pt;height:15.85pt;mso-position-horizontal-relative:page;mso-position-vertical-relative:paragraph;z-index:-1137064" coordorigin="9110,-2629" coordsize="1339,317" path="m10448,-2629l9110,-2629,9110,-2465,9110,-2312,10448,-2312,10448,-2465,10448,-2629e" filled="true" fillcolor="#baf9f5" stroked="false">
            <v:path arrowok="t"/>
            <v:fill type="solid"/>
            <w10:wrap type="none"/>
          </v:shape>
        </w:pict>
      </w:r>
      <w:r>
        <w:rPr/>
        <w:pict>
          <v:group style="position:absolute;margin-left:355.817505pt;margin-top:-101.029022pt;width:67pt;height:16.1500pt;mso-position-horizontal-relative:page;mso-position-vertical-relative:paragraph;z-index:-1137040" coordorigin="7116,-2021" coordsize="1340,323">
            <v:line style="position:absolute" from="7122,-2015" to="7122,-1851" stroked="true" strokeweight=".511pt" strokecolor="#baf9f5"/>
            <v:shape style="position:absolute;left:7127;top:-2015;width:1329;height:317" coordorigin="7127,-2015" coordsize="1329,317" path="m8455,-2015l7127,-2015,7127,-1851,7127,-1698,8455,-1698,8455,-1851,8455,-2015e" filled="true" fillcolor="#baf9f5" stroked="false">
              <v:path arrowok="t"/>
              <v:fill type="solid"/>
            </v:shape>
            <w10:wrap type="none"/>
          </v:group>
        </w:pict>
      </w:r>
      <w:r>
        <w:rPr/>
        <w:pict>
          <v:shape style="position:absolute;margin-left:455.476013pt;margin-top:-100.753136pt;width:66.95pt;height:15.85pt;mso-position-horizontal-relative:page;mso-position-vertical-relative:paragraph;z-index:-1137016" coordorigin="9110,-2015" coordsize="1339,317" path="m10448,-2015l9110,-2015,9110,-1851,9110,-1698,10448,-1698,10448,-1851,10448,-2015e" filled="true" fillcolor="#baf9f5" stroked="false">
            <v:path arrowok="t"/>
            <v:fill type="solid"/>
            <w10:wrap type="none"/>
          </v:shape>
        </w:pict>
      </w:r>
      <w:r>
        <w:rPr/>
        <w:pict>
          <v:group style="position:absolute;margin-left:355.817505pt;margin-top:-70.349022pt;width:67pt;height:39.15pt;mso-position-horizontal-relative:page;mso-position-vertical-relative:paragraph;z-index:-1136992" coordorigin="7116,-1407" coordsize="1340,783">
            <v:line style="position:absolute" from="7122,-1401" to="7122,-1238" stroked="true" strokeweight=".511pt" strokecolor="#baf9f5"/>
            <v:rect style="position:absolute;left:7127;top:-1401;width:1329;height:164" filled="true" fillcolor="#baf9f5" stroked="false">
              <v:fill type="solid"/>
            </v:rect>
            <v:line style="position:absolute" from="7122,-1238" to="7122,-1084" stroked="true" strokeweight=".511pt" strokecolor="#baf9f5"/>
            <v:rect style="position:absolute;left:7127;top:-1238;width:1329;height:153" filled="true" fillcolor="#baf9f5" stroked="false">
              <v:fill type="solid"/>
            </v:rect>
            <v:line style="position:absolute" from="7122,-1084" to="7122,-931" stroked="true" strokeweight=".511pt" strokecolor="#baf9f5"/>
            <v:rect style="position:absolute;left:7127;top:-1084;width:1329;height:153" filled="true" fillcolor="#baf9f5" stroked="false">
              <v:fill type="solid"/>
            </v:rect>
            <v:line style="position:absolute" from="7122,-931" to="7122,-778" stroked="true" strokeweight=".511pt" strokecolor="#baf9f5"/>
            <v:shape style="position:absolute;left:7127;top:-931;width:1329;height:307" coordorigin="7127,-931" coordsize="1329,307" path="m8455,-778l7127,-778,7127,-624,8455,-624,8455,-778m8455,-931l7127,-931,7127,-778,8455,-778,8455,-931e" filled="true" fillcolor="#baf9f5" stroked="false">
              <v:path arrowok="t"/>
              <v:fill type="solid"/>
            </v:shape>
            <w10:wrap type="none"/>
          </v:group>
        </w:pict>
      </w:r>
      <w:r>
        <w:rPr/>
        <w:pict>
          <v:shape style="position:absolute;margin-left:455.476013pt;margin-top:-70.073128pt;width:66.95pt;height:38.9pt;mso-position-horizontal-relative:page;mso-position-vertical-relative:paragraph;z-index:-1136968" coordorigin="9110,-1401" coordsize="1339,778" path="m10448,-778l9110,-778,9110,-624,10448,-624,10448,-778m10448,-1084l9110,-1084,9110,-931,9110,-778,10448,-778,10448,-931,10448,-1084m10448,-1238l9110,-1238,9110,-1084,10448,-1084,10448,-1238m10448,-1401l9110,-1401,9110,-1238,10448,-1238,10448,-1401e" filled="true" fillcolor="#baf9f5" stroked="false">
            <v:path arrowok="t"/>
            <v:fill type="solid"/>
            <w10:wrap type="none"/>
          </v:shape>
        </w:pict>
      </w:r>
      <w:r>
        <w:rPr/>
        <w:pict>
          <v:rect style="position:absolute;margin-left:488.688995pt;margin-top:-16.385254pt;width:33.7241pt;height:8.18113pt;mso-position-horizontal-relative:page;mso-position-vertical-relative:paragraph;z-index:-1136944" filled="true" fillcolor="#67ed4d"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rPr>
          <w:sz w:val="20"/>
        </w:rPr>
      </w:pPr>
    </w:p>
    <w:p>
      <w:pPr>
        <w:pStyle w:val="BodyText"/>
        <w:rPr>
          <w:sz w:val="20"/>
        </w:rPr>
      </w:pPr>
    </w:p>
    <w:p>
      <w:pPr>
        <w:pStyle w:val="BodyText"/>
        <w:spacing w:before="211" w:after="25"/>
        <w:ind w:left="268"/>
      </w:pPr>
      <w:r>
        <w:rPr/>
        <w:pict>
          <v:line style="position:absolute;mso-position-horizontal-relative:page;mso-position-vertical-relative:paragraph;z-index:21112" from="93.199997pt,-32.194149pt" to="546.799997pt,-32.194149pt" stroked="true" strokeweight=".479981pt" strokecolor="#000000">
            <w10:wrap type="none"/>
          </v:line>
        </w:pict>
      </w:r>
      <w:r>
        <w:rPr/>
        <w:t>Tabla 47. Datos Villas del Campo II</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38"/>
        <w:gridCol w:w="4457"/>
      </w:tblGrid>
      <w:tr>
        <w:trPr>
          <w:trHeight w:val="650" w:hRule="exact"/>
        </w:trPr>
        <w:tc>
          <w:tcPr>
            <w:tcW w:w="6995" w:type="dxa"/>
            <w:gridSpan w:val="2"/>
            <w:tcBorders>
              <w:left w:val="single" w:sz="8" w:space="0" w:color="000000"/>
              <w:bottom w:val="single" w:sz="8" w:space="0" w:color="BFBFBF"/>
              <w:right w:val="single" w:sz="8" w:space="0" w:color="000000"/>
            </w:tcBorders>
            <w:shd w:val="clear" w:color="auto" w:fill="0D0D0D"/>
          </w:tcPr>
          <w:p>
            <w:pPr>
              <w:pStyle w:val="TableParagraph"/>
              <w:spacing w:before="165"/>
              <w:ind w:left="2396" w:right="2417"/>
              <w:rPr>
                <w:b/>
                <w:sz w:val="24"/>
              </w:rPr>
            </w:pPr>
            <w:r>
              <w:rPr>
                <w:b/>
                <w:color w:val="FFFFFF"/>
                <w:sz w:val="24"/>
              </w:rPr>
              <w:t>Villas del Campo II</w:t>
            </w:r>
          </w:p>
        </w:tc>
      </w:tr>
      <w:tr>
        <w:trPr>
          <w:trHeight w:val="300" w:hRule="exact"/>
        </w:trPr>
        <w:tc>
          <w:tcPr>
            <w:tcW w:w="2538" w:type="dxa"/>
            <w:tcBorders>
              <w:top w:val="single" w:sz="8" w:space="0" w:color="BFBFBF"/>
              <w:left w:val="single" w:sz="8" w:space="0" w:color="000000"/>
              <w:bottom w:val="single" w:sz="8" w:space="0" w:color="000000"/>
              <w:right w:val="single" w:sz="8" w:space="0" w:color="000000"/>
            </w:tcBorders>
          </w:tcPr>
          <w:p>
            <w:pPr>
              <w:pStyle w:val="TableParagraph"/>
              <w:spacing w:line="261" w:lineRule="exact"/>
              <w:ind w:left="39"/>
              <w:jc w:val="left"/>
              <w:rPr>
                <w:b/>
                <w:sz w:val="24"/>
              </w:rPr>
            </w:pPr>
            <w:r>
              <w:rPr>
                <w:b/>
                <w:sz w:val="24"/>
              </w:rPr>
              <w:t>Empresa</w:t>
            </w:r>
          </w:p>
        </w:tc>
        <w:tc>
          <w:tcPr>
            <w:tcW w:w="4457" w:type="dxa"/>
            <w:tcBorders>
              <w:top w:val="single" w:sz="8" w:space="0" w:color="BFBFBF"/>
              <w:left w:val="single" w:sz="8" w:space="0" w:color="000000"/>
              <w:bottom w:val="single" w:sz="8" w:space="0" w:color="000000"/>
              <w:right w:val="single" w:sz="8" w:space="0" w:color="000000"/>
            </w:tcBorders>
          </w:tcPr>
          <w:p>
            <w:pPr>
              <w:pStyle w:val="TableParagraph"/>
              <w:spacing w:line="274" w:lineRule="exact"/>
              <w:ind w:left="739" w:right="745"/>
              <w:rPr>
                <w:rFonts w:ascii="Calibri"/>
                <w:sz w:val="24"/>
              </w:rPr>
            </w:pPr>
            <w:r>
              <w:rPr>
                <w:rFonts w:ascii="Calibri"/>
                <w:sz w:val="24"/>
              </w:rPr>
              <w:t>GEO Edificaciones S.A. de C.V.</w:t>
            </w:r>
          </w:p>
        </w:tc>
      </w:tr>
      <w:tr>
        <w:trPr>
          <w:trHeight w:val="300" w:hRule="exact"/>
        </w:trPr>
        <w:tc>
          <w:tcPr>
            <w:tcW w:w="2538"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39"/>
              <w:jc w:val="left"/>
              <w:rPr>
                <w:b/>
                <w:sz w:val="24"/>
              </w:rPr>
            </w:pPr>
            <w:r>
              <w:rPr>
                <w:b/>
                <w:sz w:val="24"/>
              </w:rPr>
              <w:t>Tipo de vivienda</w:t>
            </w:r>
          </w:p>
        </w:tc>
        <w:tc>
          <w:tcPr>
            <w:tcW w:w="4457"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739" w:right="744"/>
              <w:rPr>
                <w:rFonts w:ascii="Calibri"/>
                <w:sz w:val="24"/>
              </w:rPr>
            </w:pPr>
            <w:r>
              <w:rPr>
                <w:rFonts w:ascii="Calibri"/>
                <w:sz w:val="24"/>
              </w:rPr>
              <w:t>Medio</w:t>
            </w:r>
          </w:p>
        </w:tc>
      </w:tr>
      <w:tr>
        <w:trPr>
          <w:trHeight w:val="300" w:hRule="exact"/>
        </w:trPr>
        <w:tc>
          <w:tcPr>
            <w:tcW w:w="2538"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39"/>
              <w:jc w:val="left"/>
              <w:rPr>
                <w:b/>
                <w:sz w:val="24"/>
              </w:rPr>
            </w:pPr>
            <w:r>
              <w:rPr>
                <w:b/>
                <w:sz w:val="24"/>
              </w:rPr>
              <w:t>No. de viviendas</w:t>
            </w:r>
          </w:p>
        </w:tc>
        <w:tc>
          <w:tcPr>
            <w:tcW w:w="4457"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734" w:right="745"/>
              <w:rPr>
                <w:rFonts w:ascii="Calibri"/>
                <w:sz w:val="24"/>
              </w:rPr>
            </w:pPr>
            <w:r>
              <w:rPr>
                <w:rFonts w:ascii="Calibri"/>
                <w:sz w:val="24"/>
              </w:rPr>
              <w:t>1,892</w:t>
            </w:r>
          </w:p>
        </w:tc>
      </w:tr>
      <w:tr>
        <w:trPr>
          <w:trHeight w:val="300" w:hRule="exact"/>
        </w:trPr>
        <w:tc>
          <w:tcPr>
            <w:tcW w:w="2538"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39"/>
              <w:jc w:val="left"/>
              <w:rPr>
                <w:b/>
                <w:sz w:val="24"/>
              </w:rPr>
            </w:pPr>
            <w:r>
              <w:rPr>
                <w:b/>
                <w:sz w:val="24"/>
              </w:rPr>
              <w:t>V. Medio</w:t>
            </w:r>
          </w:p>
        </w:tc>
        <w:tc>
          <w:tcPr>
            <w:tcW w:w="4457"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734" w:right="745"/>
              <w:rPr>
                <w:rFonts w:ascii="Calibri"/>
                <w:sz w:val="24"/>
              </w:rPr>
            </w:pPr>
            <w:r>
              <w:rPr>
                <w:rFonts w:ascii="Calibri"/>
                <w:sz w:val="24"/>
              </w:rPr>
              <w:t>1,892</w:t>
            </w:r>
          </w:p>
        </w:tc>
      </w:tr>
      <w:tr>
        <w:trPr>
          <w:trHeight w:val="300" w:hRule="exact"/>
        </w:trPr>
        <w:tc>
          <w:tcPr>
            <w:tcW w:w="2538"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39"/>
              <w:jc w:val="left"/>
              <w:rPr>
                <w:b/>
                <w:sz w:val="24"/>
              </w:rPr>
            </w:pPr>
            <w:r>
              <w:rPr>
                <w:b/>
                <w:sz w:val="24"/>
              </w:rPr>
              <w:t>V. Interés Social</w:t>
            </w:r>
          </w:p>
        </w:tc>
        <w:tc>
          <w:tcPr>
            <w:tcW w:w="4457"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1"/>
              <w:rPr>
                <w:rFonts w:ascii="Calibri"/>
                <w:sz w:val="24"/>
              </w:rPr>
            </w:pPr>
            <w:r>
              <w:rPr>
                <w:rFonts w:ascii="Calibri"/>
                <w:w w:val="99"/>
                <w:sz w:val="24"/>
              </w:rPr>
              <w:t>0</w:t>
            </w:r>
          </w:p>
        </w:tc>
      </w:tr>
      <w:tr>
        <w:trPr>
          <w:trHeight w:val="300" w:hRule="exact"/>
        </w:trPr>
        <w:tc>
          <w:tcPr>
            <w:tcW w:w="2538"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39"/>
              <w:jc w:val="left"/>
              <w:rPr>
                <w:b/>
                <w:sz w:val="24"/>
              </w:rPr>
            </w:pPr>
            <w:r>
              <w:rPr>
                <w:b/>
                <w:sz w:val="24"/>
              </w:rPr>
              <w:t>V. Residencial</w:t>
            </w:r>
          </w:p>
        </w:tc>
        <w:tc>
          <w:tcPr>
            <w:tcW w:w="4457"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1"/>
              <w:rPr>
                <w:rFonts w:ascii="Calibri"/>
                <w:sz w:val="24"/>
              </w:rPr>
            </w:pPr>
            <w:r>
              <w:rPr>
                <w:rFonts w:ascii="Calibri"/>
                <w:w w:val="99"/>
                <w:sz w:val="24"/>
              </w:rPr>
              <w:t>0</w:t>
            </w:r>
          </w:p>
        </w:tc>
      </w:tr>
      <w:tr>
        <w:trPr>
          <w:trHeight w:val="300" w:hRule="exact"/>
        </w:trPr>
        <w:tc>
          <w:tcPr>
            <w:tcW w:w="2538"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39"/>
              <w:jc w:val="left"/>
              <w:rPr>
                <w:b/>
                <w:sz w:val="24"/>
              </w:rPr>
            </w:pPr>
            <w:r>
              <w:rPr>
                <w:b/>
                <w:sz w:val="24"/>
              </w:rPr>
              <w:t>Manzanas</w:t>
            </w:r>
          </w:p>
        </w:tc>
        <w:tc>
          <w:tcPr>
            <w:tcW w:w="4457"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739" w:right="736"/>
              <w:rPr>
                <w:rFonts w:ascii="Calibri"/>
                <w:sz w:val="24"/>
              </w:rPr>
            </w:pPr>
            <w:r>
              <w:rPr>
                <w:rFonts w:ascii="Calibri"/>
                <w:sz w:val="24"/>
              </w:rPr>
              <w:t>26</w:t>
            </w:r>
          </w:p>
        </w:tc>
      </w:tr>
      <w:tr>
        <w:trPr>
          <w:trHeight w:val="300" w:hRule="exact"/>
        </w:trPr>
        <w:tc>
          <w:tcPr>
            <w:tcW w:w="2538"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39"/>
              <w:jc w:val="left"/>
              <w:rPr>
                <w:b/>
                <w:sz w:val="24"/>
              </w:rPr>
            </w:pPr>
            <w:r>
              <w:rPr>
                <w:b/>
                <w:sz w:val="24"/>
              </w:rPr>
              <w:t>Lotes</w:t>
            </w:r>
          </w:p>
        </w:tc>
        <w:tc>
          <w:tcPr>
            <w:tcW w:w="4457"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712" w:right="745"/>
              <w:rPr>
                <w:rFonts w:ascii="Calibri"/>
                <w:sz w:val="24"/>
              </w:rPr>
            </w:pPr>
            <w:r>
              <w:rPr>
                <w:rFonts w:ascii="Calibri"/>
                <w:sz w:val="24"/>
              </w:rPr>
              <w:t>857</w:t>
            </w:r>
          </w:p>
        </w:tc>
      </w:tr>
      <w:tr>
        <w:trPr>
          <w:trHeight w:val="300" w:hRule="exact"/>
        </w:trPr>
        <w:tc>
          <w:tcPr>
            <w:tcW w:w="2538"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39"/>
              <w:jc w:val="left"/>
              <w:rPr>
                <w:b/>
                <w:sz w:val="24"/>
              </w:rPr>
            </w:pPr>
            <w:r>
              <w:rPr>
                <w:b/>
                <w:sz w:val="24"/>
              </w:rPr>
              <w:t>Superficie CU (m2)</w:t>
            </w:r>
          </w:p>
        </w:tc>
        <w:tc>
          <w:tcPr>
            <w:tcW w:w="4457"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723" w:right="745"/>
              <w:rPr>
                <w:rFonts w:ascii="Calibri"/>
                <w:sz w:val="24"/>
              </w:rPr>
            </w:pPr>
            <w:r>
              <w:rPr>
                <w:rFonts w:ascii="Calibri"/>
                <w:sz w:val="24"/>
              </w:rPr>
              <w:t>621,981.880</w:t>
            </w:r>
          </w:p>
        </w:tc>
      </w:tr>
      <w:tr>
        <w:trPr>
          <w:trHeight w:val="300" w:hRule="exact"/>
        </w:trPr>
        <w:tc>
          <w:tcPr>
            <w:tcW w:w="2538"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39"/>
              <w:jc w:val="left"/>
              <w:rPr>
                <w:b/>
                <w:sz w:val="24"/>
              </w:rPr>
            </w:pPr>
            <w:r>
              <w:rPr>
                <w:b/>
                <w:sz w:val="24"/>
              </w:rPr>
              <w:t>Pob. Beneficiada</w:t>
            </w:r>
          </w:p>
        </w:tc>
        <w:tc>
          <w:tcPr>
            <w:tcW w:w="4457"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734" w:right="745"/>
              <w:rPr>
                <w:rFonts w:ascii="Calibri"/>
                <w:sz w:val="24"/>
              </w:rPr>
            </w:pPr>
            <w:r>
              <w:rPr>
                <w:rFonts w:ascii="Calibri"/>
                <w:sz w:val="24"/>
              </w:rPr>
              <w:t>8,514</w:t>
            </w:r>
          </w:p>
        </w:tc>
      </w:tr>
      <w:tr>
        <w:trPr>
          <w:trHeight w:val="400" w:hRule="exact"/>
        </w:trPr>
        <w:tc>
          <w:tcPr>
            <w:tcW w:w="2538" w:type="dxa"/>
            <w:tcBorders>
              <w:top w:val="single" w:sz="8" w:space="0" w:color="000000"/>
              <w:left w:val="single" w:sz="8" w:space="0" w:color="000000"/>
              <w:bottom w:val="single" w:sz="8" w:space="0" w:color="000000"/>
              <w:right w:val="single" w:sz="8" w:space="0" w:color="000000"/>
            </w:tcBorders>
          </w:tcPr>
          <w:p>
            <w:pPr>
              <w:pStyle w:val="TableParagraph"/>
              <w:spacing w:before="25"/>
              <w:ind w:left="39"/>
              <w:jc w:val="left"/>
              <w:rPr>
                <w:b/>
                <w:sz w:val="24"/>
              </w:rPr>
            </w:pPr>
            <w:r>
              <w:rPr>
                <w:b/>
                <w:sz w:val="24"/>
              </w:rPr>
              <w:t>Fecha de publicación</w:t>
            </w:r>
          </w:p>
        </w:tc>
        <w:tc>
          <w:tcPr>
            <w:tcW w:w="4457" w:type="dxa"/>
            <w:tcBorders>
              <w:top w:val="single" w:sz="8" w:space="0" w:color="000000"/>
              <w:left w:val="single" w:sz="8" w:space="0" w:color="000000"/>
              <w:bottom w:val="single" w:sz="8" w:space="0" w:color="000000"/>
              <w:right w:val="single" w:sz="8" w:space="0" w:color="000000"/>
            </w:tcBorders>
          </w:tcPr>
          <w:p>
            <w:pPr>
              <w:pStyle w:val="TableParagraph"/>
              <w:spacing w:before="21"/>
              <w:ind w:left="739" w:right="741"/>
              <w:rPr>
                <w:rFonts w:ascii="Calibri"/>
                <w:sz w:val="24"/>
              </w:rPr>
            </w:pPr>
            <w:r>
              <w:rPr>
                <w:rFonts w:ascii="Calibri"/>
                <w:sz w:val="24"/>
              </w:rPr>
              <w:t>28/08/09</w:t>
            </w:r>
          </w:p>
        </w:tc>
      </w:tr>
    </w:tbl>
    <w:p>
      <w:pPr>
        <w:spacing w:before="213"/>
        <w:ind w:left="268" w:right="0" w:firstLine="0"/>
        <w:jc w:val="left"/>
        <w:rPr>
          <w:sz w:val="21"/>
        </w:rPr>
      </w:pPr>
      <w:r>
        <w:rPr>
          <w:w w:val="105"/>
          <w:sz w:val="21"/>
        </w:rPr>
        <w:t>Fuente: Elaboración propia con base al estudio realizado.</w:t>
      </w:r>
    </w:p>
    <w:p>
      <w:pPr>
        <w:pStyle w:val="BodyText"/>
        <w:rPr>
          <w:sz w:val="22"/>
        </w:rPr>
      </w:pPr>
    </w:p>
    <w:p>
      <w:pPr>
        <w:pStyle w:val="BodyText"/>
        <w:spacing w:before="10"/>
        <w:rPr>
          <w:sz w:val="30"/>
        </w:rPr>
      </w:pPr>
    </w:p>
    <w:p>
      <w:pPr>
        <w:pStyle w:val="BodyText"/>
        <w:spacing w:before="1" w:after="15"/>
        <w:ind w:left="268"/>
      </w:pPr>
      <w:r>
        <w:rPr/>
        <w:pict>
          <v:group style="position:absolute;margin-left:366.894501pt;margin-top:46.821899pt;width:.550pt;height:41.05pt;mso-position-horizontal-relative:page;mso-position-vertical-relative:paragraph;z-index:-1136896" coordorigin="7338,936" coordsize="11,821">
            <v:line style="position:absolute" from="7343,942" to="7343,1112" stroked="true" strokeweight=".533pt" strokecolor="#baf9f5"/>
            <v:line style="position:absolute" from="7343,1102" to="7343,1752" stroked="true" strokeweight=".533pt" strokecolor="#baf9f5"/>
            <w10:wrap type="none"/>
          </v:group>
        </w:pict>
      </w:r>
      <w:r>
        <w:rPr/>
        <w:pict>
          <v:group style="position:absolute;margin-left:366.894501pt;margin-top:102.760658pt;width:76.25pt;height:65.05pt;mso-position-horizontal-relative:page;mso-position-vertical-relative:paragraph;z-index:-1136872" coordorigin="7338,2055" coordsize="1525,1301">
            <v:line style="position:absolute" from="7343,2061" to="7343,2231" stroked="true" strokeweight=".533pt" strokecolor="#baf9f5"/>
            <v:rect style="position:absolute;left:7349;top:2061;width:1514;height:170" filled="true" fillcolor="#baf9f5" stroked="false">
              <v:fill type="solid"/>
            </v:rect>
            <v:line style="position:absolute" from="7343,2231" to="7343,2391" stroked="true" strokeweight=".533pt" strokecolor="#baf9f5"/>
            <v:rect style="position:absolute;left:7349;top:2231;width:1514;height:160" filled="true" fillcolor="#baf9f5" stroked="false">
              <v:fill type="solid"/>
            </v:rect>
            <v:line style="position:absolute" from="7343,2391" to="7343,2551" stroked="true" strokeweight=".533pt" strokecolor="#baf9f5"/>
            <v:rect style="position:absolute;left:7349;top:2391;width:1514;height:160" filled="true" fillcolor="#baf9f5" stroked="false">
              <v:fill type="solid"/>
            </v:rect>
            <v:line style="position:absolute" from="7343,2551" to="7343,2711" stroked="true" strokeweight=".533pt" strokecolor="#baf9f5"/>
            <v:rect style="position:absolute;left:7349;top:2551;width:1514;height:160" filled="true" fillcolor="#baf9f5" stroked="false">
              <v:fill type="solid"/>
            </v:rect>
            <v:line style="position:absolute" from="7343,2711" to="7343,2870" stroked="true" strokeweight=".533pt" strokecolor="#baf9f5"/>
            <v:rect style="position:absolute;left:7349;top:2711;width:1514;height:160" filled="true" fillcolor="#baf9f5" stroked="false">
              <v:fill type="solid"/>
            </v:rect>
            <v:line style="position:absolute" from="7343,2870" to="7343,3030" stroked="true" strokeweight=".533pt" strokecolor="#baf9f5"/>
            <v:rect style="position:absolute;left:7349;top:2870;width:1514;height:160" filled="true" fillcolor="#baf9f5" stroked="false">
              <v:fill type="solid"/>
            </v:rect>
            <v:line style="position:absolute" from="7343,3030" to="7343,3190" stroked="true" strokeweight=".533pt" strokecolor="#baf9f5"/>
            <v:rect style="position:absolute;left:7349;top:3030;width:1514;height:160" filled="true" fillcolor="#baf9f5" stroked="false">
              <v:fill type="solid"/>
            </v:rect>
            <v:line style="position:absolute" from="7343,3190" to="7343,3350" stroked="true" strokeweight=".533pt" strokecolor="#baf9f5"/>
            <v:rect style="position:absolute;left:7349;top:3190;width:1514;height:160" filled="true" fillcolor="#baf9f5" stroked="false">
              <v:fill type="solid"/>
            </v:rect>
            <w10:wrap type="none"/>
          </v:group>
        </w:pict>
      </w:r>
      <w:r>
        <w:rPr/>
        <w:pict>
          <v:shape style="position:absolute;margin-left:469.242035pt;margin-top:103.035843pt;width:35.2pt;height:72.5pt;mso-position-horizontal-relative:page;mso-position-vertical-relative:paragraph;z-index:-1136848" coordorigin="9385,2061" coordsize="704,1450" path="m10088,2551l9385,2551,9385,2711,9385,2870,9385,3030,9385,3190,9385,3339,9385,3350,9385,3510,10088,3510,10088,3350,10088,3339,10088,3190,10088,3030,10088,2870,10088,2711,10088,2551m10088,2061l9385,2061,9385,2231,9385,2391,9385,2551,10088,2551,10088,2391,10088,2231,10088,2061e" filled="true" fillcolor="#ffff00" stroked="false">
            <v:path arrowok="t"/>
            <v:fill type="solid"/>
            <w10:wrap type="none"/>
          </v:shape>
        </w:pict>
      </w:r>
      <w:r>
        <w:rPr/>
        <w:t>Tabla 48. ISS Villas del Campo II</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7"/>
        <w:gridCol w:w="2190"/>
        <w:gridCol w:w="2338"/>
        <w:gridCol w:w="1499"/>
        <w:gridCol w:w="739"/>
        <w:gridCol w:w="694"/>
        <w:gridCol w:w="734"/>
      </w:tblGrid>
      <w:tr>
        <w:trPr>
          <w:trHeight w:val="432" w:hRule="exact"/>
        </w:trPr>
        <w:tc>
          <w:tcPr>
            <w:tcW w:w="8821" w:type="dxa"/>
            <w:gridSpan w:val="7"/>
            <w:tcBorders>
              <w:bottom w:val="nil"/>
            </w:tcBorders>
            <w:shd w:val="clear" w:color="auto" w:fill="000000"/>
          </w:tcPr>
          <w:p>
            <w:pPr>
              <w:pStyle w:val="TableParagraph"/>
              <w:spacing w:line="278" w:lineRule="auto" w:before="63"/>
              <w:ind w:left="3448" w:right="3444" w:firstLine="405"/>
              <w:jc w:val="left"/>
              <w:rPr>
                <w:b/>
                <w:sz w:val="12"/>
              </w:rPr>
            </w:pPr>
            <w:r>
              <w:rPr>
                <w:b/>
                <w:color w:val="FFFFFF"/>
                <w:w w:val="105"/>
                <w:sz w:val="12"/>
              </w:rPr>
              <w:t>Villas del Campo II  Índice de sustentabilidad</w:t>
            </w:r>
            <w:r>
              <w:rPr>
                <w:b/>
                <w:color w:val="FFFFFF"/>
                <w:spacing w:val="28"/>
                <w:w w:val="105"/>
                <w:sz w:val="12"/>
              </w:rPr>
              <w:t> </w:t>
            </w:r>
            <w:r>
              <w:rPr>
                <w:b/>
                <w:color w:val="FFFFFF"/>
                <w:w w:val="105"/>
                <w:sz w:val="12"/>
              </w:rPr>
              <w:t>social</w:t>
            </w:r>
          </w:p>
        </w:tc>
      </w:tr>
      <w:tr>
        <w:trPr>
          <w:trHeight w:val="165" w:hRule="exact"/>
        </w:trPr>
        <w:tc>
          <w:tcPr>
            <w:tcW w:w="627" w:type="dxa"/>
            <w:tcBorders>
              <w:top w:val="single" w:sz="4" w:space="0" w:color="FFFFFF"/>
              <w:left w:val="single" w:sz="4" w:space="0" w:color="000000"/>
            </w:tcBorders>
            <w:shd w:val="clear" w:color="auto" w:fill="808080"/>
          </w:tcPr>
          <w:p>
            <w:pPr>
              <w:pStyle w:val="TableParagraph"/>
              <w:spacing w:line="137" w:lineRule="exact"/>
              <w:ind w:left="142" w:right="75"/>
              <w:rPr>
                <w:b/>
                <w:sz w:val="12"/>
              </w:rPr>
            </w:pPr>
            <w:r>
              <w:rPr>
                <w:b/>
                <w:color w:val="FFFFFF"/>
                <w:w w:val="105"/>
                <w:sz w:val="12"/>
              </w:rPr>
              <w:t>Índice</w:t>
            </w:r>
          </w:p>
        </w:tc>
        <w:tc>
          <w:tcPr>
            <w:tcW w:w="2190" w:type="dxa"/>
            <w:tcBorders>
              <w:top w:val="single" w:sz="4" w:space="0" w:color="FFFFFF"/>
            </w:tcBorders>
            <w:shd w:val="clear" w:color="auto" w:fill="808080"/>
          </w:tcPr>
          <w:p>
            <w:pPr>
              <w:pStyle w:val="TableParagraph"/>
              <w:spacing w:line="137" w:lineRule="exact"/>
              <w:ind w:left="92"/>
              <w:jc w:val="left"/>
              <w:rPr>
                <w:b/>
                <w:sz w:val="12"/>
              </w:rPr>
            </w:pPr>
            <w:r>
              <w:rPr>
                <w:b/>
                <w:color w:val="FFFFFF"/>
                <w:w w:val="105"/>
                <w:sz w:val="12"/>
              </w:rPr>
              <w:t>Subíndice</w:t>
            </w:r>
          </w:p>
        </w:tc>
        <w:tc>
          <w:tcPr>
            <w:tcW w:w="2338" w:type="dxa"/>
            <w:tcBorders>
              <w:top w:val="single" w:sz="4" w:space="0" w:color="FFFFFF"/>
            </w:tcBorders>
            <w:shd w:val="clear" w:color="auto" w:fill="808080"/>
          </w:tcPr>
          <w:p>
            <w:pPr>
              <w:pStyle w:val="TableParagraph"/>
              <w:spacing w:line="137" w:lineRule="exact"/>
              <w:ind w:left="34" w:right="818"/>
              <w:jc w:val="left"/>
              <w:rPr>
                <w:b/>
                <w:sz w:val="12"/>
              </w:rPr>
            </w:pPr>
            <w:r>
              <w:rPr>
                <w:b/>
                <w:color w:val="FFFFFF"/>
                <w:w w:val="105"/>
                <w:sz w:val="12"/>
              </w:rPr>
              <w:t>Indicador</w:t>
            </w:r>
          </w:p>
        </w:tc>
        <w:tc>
          <w:tcPr>
            <w:tcW w:w="1499" w:type="dxa"/>
            <w:tcBorders>
              <w:top w:val="single" w:sz="4" w:space="0" w:color="FFFFFF"/>
            </w:tcBorders>
            <w:shd w:val="clear" w:color="auto" w:fill="808080"/>
          </w:tcPr>
          <w:p>
            <w:pPr/>
          </w:p>
        </w:tc>
        <w:tc>
          <w:tcPr>
            <w:tcW w:w="739" w:type="dxa"/>
            <w:tcBorders>
              <w:top w:val="single" w:sz="4" w:space="0" w:color="FFFFFF"/>
            </w:tcBorders>
            <w:shd w:val="clear" w:color="auto" w:fill="808080"/>
          </w:tcPr>
          <w:p>
            <w:pPr>
              <w:pStyle w:val="TableParagraph"/>
              <w:spacing w:line="137" w:lineRule="exact"/>
              <w:ind w:left="205"/>
              <w:jc w:val="left"/>
              <w:rPr>
                <w:b/>
                <w:sz w:val="12"/>
              </w:rPr>
            </w:pPr>
            <w:r>
              <w:rPr>
                <w:b/>
                <w:color w:val="FFFFFF"/>
                <w:w w:val="105"/>
                <w:sz w:val="12"/>
              </w:rPr>
              <w:t>Valores</w:t>
            </w:r>
          </w:p>
        </w:tc>
        <w:tc>
          <w:tcPr>
            <w:tcW w:w="694" w:type="dxa"/>
            <w:tcBorders>
              <w:top w:val="single" w:sz="4" w:space="0" w:color="FFFFFF"/>
            </w:tcBorders>
            <w:shd w:val="clear" w:color="auto" w:fill="808080"/>
          </w:tcPr>
          <w:p>
            <w:pPr/>
          </w:p>
        </w:tc>
        <w:tc>
          <w:tcPr>
            <w:tcW w:w="734" w:type="dxa"/>
            <w:tcBorders>
              <w:top w:val="single" w:sz="4" w:space="0" w:color="FFFFFF"/>
              <w:right w:val="single" w:sz="9" w:space="0" w:color="000000"/>
            </w:tcBorders>
            <w:shd w:val="clear" w:color="auto" w:fill="808080"/>
          </w:tcPr>
          <w:p>
            <w:pPr/>
          </w:p>
        </w:tc>
      </w:tr>
      <w:tr>
        <w:trPr>
          <w:trHeight w:val="216" w:hRule="exact"/>
        </w:trPr>
        <w:tc>
          <w:tcPr>
            <w:tcW w:w="627" w:type="dxa"/>
            <w:vMerge w:val="restart"/>
            <w:tcBorders>
              <w:left w:val="single" w:sz="4" w:space="0" w:color="000000"/>
            </w:tcBorders>
          </w:tcPr>
          <w:p>
            <w:pPr/>
          </w:p>
        </w:tc>
        <w:tc>
          <w:tcPr>
            <w:tcW w:w="2190" w:type="dxa"/>
            <w:vMerge w:val="restart"/>
          </w:tcPr>
          <w:p>
            <w:pPr>
              <w:pStyle w:val="TableParagraph"/>
              <w:jc w:val="left"/>
              <w:rPr>
                <w:sz w:val="12"/>
              </w:rPr>
            </w:pPr>
          </w:p>
          <w:p>
            <w:pPr>
              <w:pStyle w:val="TableParagraph"/>
              <w:jc w:val="left"/>
              <w:rPr>
                <w:sz w:val="12"/>
              </w:rPr>
            </w:pPr>
          </w:p>
          <w:p>
            <w:pPr>
              <w:pStyle w:val="TableParagraph"/>
              <w:spacing w:before="9"/>
              <w:jc w:val="left"/>
              <w:rPr>
                <w:sz w:val="15"/>
              </w:rPr>
            </w:pPr>
          </w:p>
          <w:p>
            <w:pPr>
              <w:pStyle w:val="TableParagraph"/>
              <w:ind w:left="92"/>
              <w:jc w:val="left"/>
              <w:rPr>
                <w:sz w:val="12"/>
              </w:rPr>
            </w:pPr>
            <w:r>
              <w:rPr>
                <w:w w:val="105"/>
                <w:sz w:val="12"/>
              </w:rPr>
              <w:t>Habitabilidad</w:t>
            </w:r>
          </w:p>
        </w:tc>
        <w:tc>
          <w:tcPr>
            <w:tcW w:w="2338" w:type="dxa"/>
            <w:vMerge w:val="restart"/>
          </w:tcPr>
          <w:p>
            <w:pPr>
              <w:pStyle w:val="TableParagraph"/>
              <w:jc w:val="left"/>
              <w:rPr>
                <w:sz w:val="12"/>
              </w:rPr>
            </w:pPr>
          </w:p>
          <w:p>
            <w:pPr>
              <w:pStyle w:val="TableParagraph"/>
              <w:spacing w:line="278" w:lineRule="auto" w:before="85"/>
              <w:ind w:left="34" w:right="818"/>
              <w:jc w:val="left"/>
              <w:rPr>
                <w:sz w:val="12"/>
              </w:rPr>
            </w:pPr>
            <w:r>
              <w:rPr>
                <w:w w:val="105"/>
                <w:sz w:val="12"/>
              </w:rPr>
              <w:t>Espacios habitables Metros de construcción Metros de terreno Hacinamiento</w:t>
            </w:r>
          </w:p>
        </w:tc>
        <w:tc>
          <w:tcPr>
            <w:tcW w:w="1499" w:type="dxa"/>
            <w:vMerge w:val="restart"/>
          </w:tcPr>
          <w:p>
            <w:pPr>
              <w:pStyle w:val="TableParagraph"/>
              <w:spacing w:before="63"/>
              <w:ind w:left="602" w:right="191"/>
              <w:rPr>
                <w:b/>
                <w:sz w:val="12"/>
              </w:rPr>
            </w:pPr>
            <w:r>
              <w:rPr>
                <w:b/>
                <w:w w:val="105"/>
                <w:sz w:val="12"/>
              </w:rPr>
              <w:t>Evaluación</w:t>
            </w:r>
          </w:p>
          <w:p>
            <w:pPr>
              <w:pStyle w:val="TableParagraph"/>
              <w:spacing w:before="22"/>
              <w:ind w:left="595" w:right="191"/>
              <w:rPr>
                <w:sz w:val="12"/>
              </w:rPr>
            </w:pPr>
            <w:r>
              <w:rPr>
                <w:w w:val="105"/>
                <w:sz w:val="12"/>
              </w:rPr>
              <w:t>0.6</w:t>
            </w:r>
          </w:p>
          <w:p>
            <w:pPr>
              <w:pStyle w:val="TableParagraph"/>
              <w:spacing w:before="22"/>
              <w:ind w:left="595" w:right="191"/>
              <w:rPr>
                <w:sz w:val="12"/>
              </w:rPr>
            </w:pPr>
            <w:r>
              <w:rPr>
                <w:w w:val="105"/>
                <w:sz w:val="12"/>
              </w:rPr>
              <w:t>0.7</w:t>
            </w:r>
          </w:p>
          <w:p>
            <w:pPr>
              <w:pStyle w:val="TableParagraph"/>
              <w:spacing w:before="22"/>
              <w:ind w:left="404"/>
              <w:rPr>
                <w:sz w:val="12"/>
              </w:rPr>
            </w:pPr>
            <w:r>
              <w:rPr>
                <w:w w:val="106"/>
                <w:sz w:val="12"/>
              </w:rPr>
              <w:t>1</w:t>
            </w:r>
          </w:p>
          <w:p>
            <w:pPr>
              <w:pStyle w:val="TableParagraph"/>
              <w:spacing w:before="22"/>
              <w:ind w:left="404"/>
              <w:rPr>
                <w:sz w:val="12"/>
              </w:rPr>
            </w:pPr>
            <w:r>
              <w:rPr>
                <w:w w:val="106"/>
                <w:sz w:val="12"/>
              </w:rPr>
              <w:t>1</w:t>
            </w:r>
          </w:p>
          <w:p>
            <w:pPr>
              <w:pStyle w:val="TableParagraph"/>
              <w:spacing w:before="22"/>
              <w:ind w:left="588" w:right="191"/>
              <w:rPr>
                <w:sz w:val="12"/>
              </w:rPr>
            </w:pPr>
            <w:r>
              <w:rPr>
                <w:w w:val="105"/>
                <w:sz w:val="12"/>
              </w:rPr>
              <w:t>Subtotal</w:t>
            </w:r>
          </w:p>
        </w:tc>
        <w:tc>
          <w:tcPr>
            <w:tcW w:w="739" w:type="dxa"/>
            <w:vMerge w:val="restart"/>
          </w:tcPr>
          <w:p>
            <w:pPr>
              <w:pStyle w:val="TableParagraph"/>
              <w:spacing w:before="63"/>
              <w:ind w:left="205"/>
              <w:jc w:val="left"/>
              <w:rPr>
                <w:b/>
                <w:sz w:val="12"/>
              </w:rPr>
            </w:pPr>
            <w:r>
              <w:rPr>
                <w:b/>
                <w:w w:val="106"/>
                <w:sz w:val="12"/>
                <w:shd w:fill="F79646" w:color="auto" w:val="clear"/>
              </w:rPr>
              <w:t> </w:t>
            </w:r>
            <w:r>
              <w:rPr>
                <w:b/>
                <w:sz w:val="12"/>
                <w:shd w:fill="F79646" w:color="auto" w:val="clear"/>
              </w:rPr>
              <w:t>  </w:t>
            </w:r>
            <w:r>
              <w:rPr>
                <w:b/>
                <w:spacing w:val="3"/>
                <w:sz w:val="12"/>
                <w:shd w:fill="F79646" w:color="auto" w:val="clear"/>
              </w:rPr>
              <w:t> </w:t>
            </w:r>
            <w:r>
              <w:rPr>
                <w:b/>
                <w:w w:val="105"/>
                <w:sz w:val="12"/>
                <w:shd w:fill="F79646" w:color="auto" w:val="clear"/>
              </w:rPr>
              <w:t>Real</w:t>
            </w:r>
            <w:r>
              <w:rPr>
                <w:b/>
                <w:spacing w:val="1"/>
                <w:sz w:val="12"/>
                <w:shd w:fill="F79646" w:color="auto" w:val="clear"/>
              </w:rPr>
              <w:t> </w:t>
            </w: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spacing w:before="5"/>
              <w:jc w:val="left"/>
              <w:rPr>
                <w:sz w:val="9"/>
              </w:rPr>
            </w:pPr>
          </w:p>
          <w:p>
            <w:pPr>
              <w:pStyle w:val="TableParagraph"/>
              <w:ind w:left="205"/>
              <w:jc w:val="left"/>
              <w:rPr>
                <w:sz w:val="12"/>
              </w:rPr>
            </w:pPr>
            <w:r>
              <w:rPr>
                <w:w w:val="106"/>
                <w:sz w:val="12"/>
                <w:shd w:fill="F79646" w:color="auto" w:val="clear"/>
              </w:rPr>
              <w:t> </w:t>
            </w:r>
            <w:r>
              <w:rPr>
                <w:sz w:val="12"/>
                <w:shd w:fill="F79646" w:color="auto" w:val="clear"/>
              </w:rPr>
              <w:t>   </w:t>
            </w:r>
            <w:r>
              <w:rPr>
                <w:spacing w:val="12"/>
                <w:sz w:val="12"/>
                <w:shd w:fill="F79646" w:color="auto" w:val="clear"/>
              </w:rPr>
              <w:t> </w:t>
            </w:r>
            <w:r>
              <w:rPr>
                <w:w w:val="105"/>
                <w:sz w:val="12"/>
                <w:shd w:fill="F79646" w:color="auto" w:val="clear"/>
              </w:rPr>
              <w:t>3.3</w:t>
            </w:r>
            <w:r>
              <w:rPr>
                <w:spacing w:val="-16"/>
                <w:sz w:val="12"/>
                <w:shd w:fill="F79646" w:color="auto" w:val="clear"/>
              </w:rPr>
              <w:t> </w:t>
            </w:r>
          </w:p>
        </w:tc>
        <w:tc>
          <w:tcPr>
            <w:tcW w:w="694" w:type="dxa"/>
            <w:tcBorders>
              <w:right w:val="single" w:sz="4" w:space="0" w:color="FFFFFF"/>
            </w:tcBorders>
            <w:shd w:val="clear" w:color="auto" w:fill="FFFF00"/>
          </w:tcPr>
          <w:p>
            <w:pPr>
              <w:pStyle w:val="TableParagraph"/>
              <w:spacing w:before="63"/>
              <w:ind w:left="58" w:right="36"/>
              <w:rPr>
                <w:b/>
                <w:sz w:val="12"/>
              </w:rPr>
            </w:pPr>
            <w:r>
              <w:rPr>
                <w:b/>
                <w:w w:val="105"/>
                <w:sz w:val="12"/>
              </w:rPr>
              <w:t>Deseable</w:t>
            </w:r>
          </w:p>
        </w:tc>
        <w:tc>
          <w:tcPr>
            <w:tcW w:w="734" w:type="dxa"/>
            <w:tcBorders>
              <w:left w:val="single" w:sz="4" w:space="0" w:color="FFFFFF"/>
              <w:right w:val="single" w:sz="9" w:space="0" w:color="000000"/>
            </w:tcBorders>
            <w:shd w:val="clear" w:color="auto" w:fill="67ED4D"/>
          </w:tcPr>
          <w:p>
            <w:pPr>
              <w:pStyle w:val="TableParagraph"/>
              <w:spacing w:before="63"/>
              <w:ind w:left="125" w:right="111"/>
              <w:rPr>
                <w:b/>
                <w:sz w:val="12"/>
              </w:rPr>
            </w:pPr>
            <w:r>
              <w:rPr>
                <w:b/>
                <w:w w:val="105"/>
                <w:sz w:val="12"/>
              </w:rPr>
              <w:t>Óptimo</w:t>
            </w:r>
          </w:p>
        </w:tc>
      </w:tr>
      <w:tr>
        <w:trPr>
          <w:trHeight w:val="160" w:hRule="exact"/>
        </w:trPr>
        <w:tc>
          <w:tcPr>
            <w:tcW w:w="627" w:type="dxa"/>
            <w:vMerge/>
            <w:tcBorders>
              <w:left w:val="single" w:sz="4" w:space="0" w:color="000000"/>
            </w:tcBorders>
          </w:tcPr>
          <w:p>
            <w:pPr/>
          </w:p>
        </w:tc>
        <w:tc>
          <w:tcPr>
            <w:tcW w:w="2190" w:type="dxa"/>
            <w:vMerge/>
          </w:tcPr>
          <w:p>
            <w:pPr/>
          </w:p>
        </w:tc>
        <w:tc>
          <w:tcPr>
            <w:tcW w:w="2338" w:type="dxa"/>
            <w:vMerge/>
          </w:tcPr>
          <w:p>
            <w:pPr/>
          </w:p>
        </w:tc>
        <w:tc>
          <w:tcPr>
            <w:tcW w:w="1499" w:type="dxa"/>
            <w:vMerge/>
          </w:tcPr>
          <w:p>
            <w:pPr/>
          </w:p>
        </w:tc>
        <w:tc>
          <w:tcPr>
            <w:tcW w:w="739" w:type="dxa"/>
            <w:vMerge/>
          </w:tcPr>
          <w:p>
            <w:pPr/>
          </w:p>
        </w:tc>
        <w:tc>
          <w:tcPr>
            <w:tcW w:w="694" w:type="dxa"/>
            <w:tcBorders>
              <w:right w:val="single" w:sz="4" w:space="0" w:color="FFFFFF"/>
            </w:tcBorders>
            <w:shd w:val="clear" w:color="auto" w:fill="FFFF00"/>
          </w:tcPr>
          <w:p>
            <w:pPr>
              <w:pStyle w:val="TableParagraph"/>
              <w:spacing w:before="7"/>
              <w:ind w:left="58" w:right="36"/>
              <w:rPr>
                <w:sz w:val="12"/>
              </w:rPr>
            </w:pPr>
            <w:r>
              <w:rPr>
                <w:w w:val="105"/>
                <w:sz w:val="12"/>
              </w:rPr>
              <w:t>0.7</w:t>
            </w:r>
          </w:p>
        </w:tc>
        <w:tc>
          <w:tcPr>
            <w:tcW w:w="734" w:type="dxa"/>
            <w:tcBorders>
              <w:left w:val="single" w:sz="4" w:space="0" w:color="FFFFFF"/>
              <w:right w:val="single" w:sz="9" w:space="0" w:color="000000"/>
            </w:tcBorders>
            <w:shd w:val="clear" w:color="auto" w:fill="67ED4D"/>
          </w:tcPr>
          <w:p>
            <w:pPr>
              <w:pStyle w:val="TableParagraph"/>
              <w:spacing w:before="7"/>
              <w:ind w:left="22"/>
              <w:rPr>
                <w:sz w:val="12"/>
              </w:rPr>
            </w:pPr>
            <w:r>
              <w:rPr>
                <w:w w:val="106"/>
                <w:sz w:val="12"/>
              </w:rPr>
              <w:t>1</w:t>
            </w:r>
          </w:p>
        </w:tc>
      </w:tr>
      <w:tr>
        <w:trPr>
          <w:trHeight w:val="160" w:hRule="exact"/>
        </w:trPr>
        <w:tc>
          <w:tcPr>
            <w:tcW w:w="627" w:type="dxa"/>
            <w:vMerge/>
            <w:tcBorders>
              <w:left w:val="single" w:sz="4" w:space="0" w:color="000000"/>
            </w:tcBorders>
          </w:tcPr>
          <w:p>
            <w:pPr/>
          </w:p>
        </w:tc>
        <w:tc>
          <w:tcPr>
            <w:tcW w:w="2190" w:type="dxa"/>
            <w:vMerge/>
          </w:tcPr>
          <w:p>
            <w:pPr/>
          </w:p>
        </w:tc>
        <w:tc>
          <w:tcPr>
            <w:tcW w:w="2338" w:type="dxa"/>
            <w:vMerge/>
          </w:tcPr>
          <w:p>
            <w:pPr/>
          </w:p>
        </w:tc>
        <w:tc>
          <w:tcPr>
            <w:tcW w:w="1499" w:type="dxa"/>
            <w:vMerge/>
          </w:tcPr>
          <w:p>
            <w:pPr/>
          </w:p>
        </w:tc>
        <w:tc>
          <w:tcPr>
            <w:tcW w:w="739" w:type="dxa"/>
            <w:vMerge/>
          </w:tcPr>
          <w:p>
            <w:pPr/>
          </w:p>
        </w:tc>
        <w:tc>
          <w:tcPr>
            <w:tcW w:w="694" w:type="dxa"/>
            <w:tcBorders>
              <w:right w:val="single" w:sz="4" w:space="0" w:color="FFFFFF"/>
            </w:tcBorders>
            <w:shd w:val="clear" w:color="auto" w:fill="FFFF00"/>
          </w:tcPr>
          <w:p>
            <w:pPr>
              <w:pStyle w:val="TableParagraph"/>
              <w:spacing w:before="7"/>
              <w:ind w:left="58" w:right="36"/>
              <w:rPr>
                <w:sz w:val="12"/>
              </w:rPr>
            </w:pPr>
            <w:r>
              <w:rPr>
                <w:w w:val="105"/>
                <w:sz w:val="12"/>
              </w:rPr>
              <w:t>0.9</w:t>
            </w:r>
          </w:p>
        </w:tc>
        <w:tc>
          <w:tcPr>
            <w:tcW w:w="734" w:type="dxa"/>
            <w:tcBorders>
              <w:left w:val="single" w:sz="4" w:space="0" w:color="FFFFFF"/>
              <w:right w:val="single" w:sz="9" w:space="0" w:color="000000"/>
            </w:tcBorders>
            <w:shd w:val="clear" w:color="auto" w:fill="67ED4D"/>
          </w:tcPr>
          <w:p>
            <w:pPr>
              <w:pStyle w:val="TableParagraph"/>
              <w:spacing w:before="7"/>
              <w:ind w:left="22"/>
              <w:rPr>
                <w:sz w:val="12"/>
              </w:rPr>
            </w:pPr>
            <w:r>
              <w:rPr>
                <w:w w:val="106"/>
                <w:sz w:val="12"/>
              </w:rPr>
              <w:t>1</w:t>
            </w:r>
          </w:p>
        </w:tc>
      </w:tr>
      <w:tr>
        <w:trPr>
          <w:trHeight w:val="160" w:hRule="exact"/>
        </w:trPr>
        <w:tc>
          <w:tcPr>
            <w:tcW w:w="627" w:type="dxa"/>
            <w:vMerge/>
            <w:tcBorders>
              <w:left w:val="single" w:sz="4" w:space="0" w:color="000000"/>
            </w:tcBorders>
          </w:tcPr>
          <w:p>
            <w:pPr/>
          </w:p>
        </w:tc>
        <w:tc>
          <w:tcPr>
            <w:tcW w:w="2190" w:type="dxa"/>
            <w:vMerge/>
          </w:tcPr>
          <w:p>
            <w:pPr/>
          </w:p>
        </w:tc>
        <w:tc>
          <w:tcPr>
            <w:tcW w:w="2338" w:type="dxa"/>
            <w:vMerge/>
          </w:tcPr>
          <w:p>
            <w:pPr/>
          </w:p>
        </w:tc>
        <w:tc>
          <w:tcPr>
            <w:tcW w:w="1499" w:type="dxa"/>
            <w:vMerge/>
          </w:tcPr>
          <w:p>
            <w:pPr/>
          </w:p>
        </w:tc>
        <w:tc>
          <w:tcPr>
            <w:tcW w:w="739" w:type="dxa"/>
            <w:vMerge/>
          </w:tcPr>
          <w:p>
            <w:pPr/>
          </w:p>
        </w:tc>
        <w:tc>
          <w:tcPr>
            <w:tcW w:w="694" w:type="dxa"/>
            <w:tcBorders>
              <w:right w:val="single" w:sz="4" w:space="0" w:color="FFFFFF"/>
            </w:tcBorders>
            <w:shd w:val="clear" w:color="auto" w:fill="FFFF00"/>
          </w:tcPr>
          <w:p>
            <w:pPr>
              <w:pStyle w:val="TableParagraph"/>
              <w:spacing w:before="7"/>
              <w:ind w:left="58" w:right="36"/>
              <w:rPr>
                <w:sz w:val="12"/>
              </w:rPr>
            </w:pPr>
            <w:r>
              <w:rPr>
                <w:w w:val="105"/>
                <w:sz w:val="12"/>
              </w:rPr>
              <w:t>0.8</w:t>
            </w:r>
          </w:p>
        </w:tc>
        <w:tc>
          <w:tcPr>
            <w:tcW w:w="734" w:type="dxa"/>
            <w:tcBorders>
              <w:left w:val="single" w:sz="4" w:space="0" w:color="FFFFFF"/>
              <w:right w:val="single" w:sz="9" w:space="0" w:color="000000"/>
            </w:tcBorders>
            <w:shd w:val="clear" w:color="auto" w:fill="67ED4D"/>
          </w:tcPr>
          <w:p>
            <w:pPr>
              <w:pStyle w:val="TableParagraph"/>
              <w:spacing w:before="7"/>
              <w:ind w:left="22"/>
              <w:rPr>
                <w:sz w:val="12"/>
              </w:rPr>
            </w:pPr>
            <w:r>
              <w:rPr>
                <w:w w:val="106"/>
                <w:sz w:val="12"/>
              </w:rPr>
              <w:t>1</w:t>
            </w:r>
          </w:p>
        </w:tc>
      </w:tr>
      <w:tr>
        <w:trPr>
          <w:trHeight w:val="160" w:hRule="exact"/>
        </w:trPr>
        <w:tc>
          <w:tcPr>
            <w:tcW w:w="627" w:type="dxa"/>
            <w:vMerge/>
            <w:tcBorders>
              <w:left w:val="single" w:sz="4" w:space="0" w:color="000000"/>
            </w:tcBorders>
          </w:tcPr>
          <w:p>
            <w:pPr/>
          </w:p>
        </w:tc>
        <w:tc>
          <w:tcPr>
            <w:tcW w:w="2190" w:type="dxa"/>
            <w:vMerge/>
          </w:tcPr>
          <w:p>
            <w:pPr/>
          </w:p>
        </w:tc>
        <w:tc>
          <w:tcPr>
            <w:tcW w:w="2338" w:type="dxa"/>
            <w:vMerge/>
          </w:tcPr>
          <w:p>
            <w:pPr/>
          </w:p>
        </w:tc>
        <w:tc>
          <w:tcPr>
            <w:tcW w:w="1499" w:type="dxa"/>
            <w:vMerge/>
          </w:tcPr>
          <w:p>
            <w:pPr/>
          </w:p>
        </w:tc>
        <w:tc>
          <w:tcPr>
            <w:tcW w:w="739" w:type="dxa"/>
            <w:vMerge/>
          </w:tcPr>
          <w:p>
            <w:pPr/>
          </w:p>
        </w:tc>
        <w:tc>
          <w:tcPr>
            <w:tcW w:w="694" w:type="dxa"/>
            <w:tcBorders>
              <w:right w:val="single" w:sz="4" w:space="0" w:color="FFFFFF"/>
            </w:tcBorders>
            <w:shd w:val="clear" w:color="auto" w:fill="FFFF00"/>
          </w:tcPr>
          <w:p>
            <w:pPr>
              <w:pStyle w:val="TableParagraph"/>
              <w:spacing w:before="7"/>
              <w:ind w:left="58" w:right="36"/>
              <w:rPr>
                <w:sz w:val="12"/>
              </w:rPr>
            </w:pPr>
            <w:r>
              <w:rPr>
                <w:w w:val="105"/>
                <w:sz w:val="12"/>
              </w:rPr>
              <w:t>0.5</w:t>
            </w:r>
          </w:p>
        </w:tc>
        <w:tc>
          <w:tcPr>
            <w:tcW w:w="734" w:type="dxa"/>
            <w:tcBorders>
              <w:left w:val="single" w:sz="4" w:space="0" w:color="FFFFFF"/>
              <w:right w:val="single" w:sz="9" w:space="0" w:color="000000"/>
            </w:tcBorders>
            <w:shd w:val="clear" w:color="auto" w:fill="67ED4D"/>
          </w:tcPr>
          <w:p>
            <w:pPr>
              <w:pStyle w:val="TableParagraph"/>
              <w:spacing w:before="7"/>
              <w:ind w:left="22"/>
              <w:rPr>
                <w:sz w:val="12"/>
              </w:rPr>
            </w:pPr>
            <w:r>
              <w:rPr>
                <w:w w:val="106"/>
                <w:sz w:val="12"/>
              </w:rPr>
              <w:t>1</w:t>
            </w:r>
          </w:p>
        </w:tc>
      </w:tr>
      <w:tr>
        <w:trPr>
          <w:trHeight w:val="168" w:hRule="exact"/>
        </w:trPr>
        <w:tc>
          <w:tcPr>
            <w:tcW w:w="627" w:type="dxa"/>
            <w:vMerge/>
            <w:tcBorders>
              <w:left w:val="single" w:sz="4" w:space="0" w:color="000000"/>
            </w:tcBorders>
          </w:tcPr>
          <w:p>
            <w:pPr/>
          </w:p>
        </w:tc>
        <w:tc>
          <w:tcPr>
            <w:tcW w:w="2190" w:type="dxa"/>
            <w:vMerge/>
          </w:tcPr>
          <w:p>
            <w:pPr/>
          </w:p>
        </w:tc>
        <w:tc>
          <w:tcPr>
            <w:tcW w:w="2338" w:type="dxa"/>
            <w:vMerge/>
          </w:tcPr>
          <w:p>
            <w:pPr/>
          </w:p>
        </w:tc>
        <w:tc>
          <w:tcPr>
            <w:tcW w:w="1499" w:type="dxa"/>
            <w:vMerge/>
          </w:tcPr>
          <w:p>
            <w:pPr/>
          </w:p>
        </w:tc>
        <w:tc>
          <w:tcPr>
            <w:tcW w:w="739" w:type="dxa"/>
            <w:vMerge/>
          </w:tcPr>
          <w:p>
            <w:pPr/>
          </w:p>
        </w:tc>
        <w:tc>
          <w:tcPr>
            <w:tcW w:w="694" w:type="dxa"/>
            <w:tcBorders>
              <w:right w:val="single" w:sz="4" w:space="0" w:color="FFFFFF"/>
            </w:tcBorders>
            <w:shd w:val="clear" w:color="auto" w:fill="FFFF00"/>
          </w:tcPr>
          <w:p>
            <w:pPr>
              <w:pStyle w:val="TableParagraph"/>
              <w:spacing w:before="7"/>
              <w:ind w:left="58" w:right="36"/>
              <w:rPr>
                <w:sz w:val="12"/>
              </w:rPr>
            </w:pPr>
            <w:r>
              <w:rPr>
                <w:w w:val="105"/>
                <w:sz w:val="12"/>
              </w:rPr>
              <w:t>2.9</w:t>
            </w:r>
          </w:p>
        </w:tc>
        <w:tc>
          <w:tcPr>
            <w:tcW w:w="734" w:type="dxa"/>
            <w:tcBorders>
              <w:left w:val="single" w:sz="4" w:space="0" w:color="FFFFFF"/>
              <w:right w:val="single" w:sz="9" w:space="0" w:color="000000"/>
            </w:tcBorders>
            <w:shd w:val="clear" w:color="auto" w:fill="67ED4D"/>
          </w:tcPr>
          <w:p>
            <w:pPr>
              <w:pStyle w:val="TableParagraph"/>
              <w:spacing w:before="7"/>
              <w:ind w:left="22"/>
              <w:rPr>
                <w:sz w:val="12"/>
              </w:rPr>
            </w:pPr>
            <w:r>
              <w:rPr>
                <w:w w:val="106"/>
                <w:sz w:val="12"/>
              </w:rPr>
              <w:t>4</w:t>
            </w:r>
          </w:p>
        </w:tc>
      </w:tr>
      <w:tr>
        <w:trPr>
          <w:trHeight w:val="149" w:hRule="exact"/>
        </w:trPr>
        <w:tc>
          <w:tcPr>
            <w:tcW w:w="8821" w:type="dxa"/>
            <w:gridSpan w:val="7"/>
            <w:tcBorders>
              <w:left w:val="single" w:sz="4" w:space="0" w:color="000000"/>
              <w:right w:val="single" w:sz="9" w:space="0" w:color="000000"/>
            </w:tcBorders>
          </w:tcPr>
          <w:p>
            <w:pPr/>
          </w:p>
        </w:tc>
      </w:tr>
      <w:tr>
        <w:trPr>
          <w:trHeight w:val="163" w:hRule="exact"/>
        </w:trPr>
        <w:tc>
          <w:tcPr>
            <w:tcW w:w="627" w:type="dxa"/>
            <w:tcBorders>
              <w:left w:val="single" w:sz="4" w:space="0" w:color="000000"/>
            </w:tcBorders>
          </w:tcPr>
          <w:p>
            <w:pPr/>
          </w:p>
        </w:tc>
        <w:tc>
          <w:tcPr>
            <w:tcW w:w="2190" w:type="dxa"/>
          </w:tcPr>
          <w:p>
            <w:pPr/>
          </w:p>
        </w:tc>
        <w:tc>
          <w:tcPr>
            <w:tcW w:w="2338" w:type="dxa"/>
          </w:tcPr>
          <w:p>
            <w:pPr>
              <w:pStyle w:val="TableParagraph"/>
              <w:spacing w:before="10"/>
              <w:ind w:left="34" w:right="818"/>
              <w:jc w:val="left"/>
              <w:rPr>
                <w:sz w:val="12"/>
              </w:rPr>
            </w:pPr>
            <w:r>
              <w:rPr>
                <w:w w:val="105"/>
                <w:sz w:val="12"/>
              </w:rPr>
              <w:t>Empleo</w:t>
            </w:r>
          </w:p>
        </w:tc>
        <w:tc>
          <w:tcPr>
            <w:tcW w:w="1499" w:type="dxa"/>
          </w:tcPr>
          <w:p>
            <w:pPr>
              <w:pStyle w:val="TableParagraph"/>
              <w:spacing w:before="10"/>
              <w:ind w:left="595" w:right="191"/>
              <w:rPr>
                <w:sz w:val="12"/>
              </w:rPr>
            </w:pPr>
            <w:r>
              <w:rPr>
                <w:w w:val="105"/>
                <w:sz w:val="12"/>
              </w:rPr>
              <w:t>0.6</w:t>
            </w:r>
          </w:p>
        </w:tc>
        <w:tc>
          <w:tcPr>
            <w:tcW w:w="739" w:type="dxa"/>
          </w:tcPr>
          <w:p>
            <w:pPr/>
          </w:p>
        </w:tc>
        <w:tc>
          <w:tcPr>
            <w:tcW w:w="694" w:type="dxa"/>
          </w:tcPr>
          <w:p>
            <w:pPr>
              <w:pStyle w:val="TableParagraph"/>
              <w:spacing w:before="10"/>
              <w:ind w:left="247" w:right="231"/>
              <w:rPr>
                <w:sz w:val="12"/>
              </w:rPr>
            </w:pPr>
            <w:r>
              <w:rPr>
                <w:w w:val="105"/>
                <w:sz w:val="12"/>
              </w:rPr>
              <w:t>0.8</w:t>
            </w:r>
          </w:p>
        </w:tc>
        <w:tc>
          <w:tcPr>
            <w:tcW w:w="734" w:type="dxa"/>
            <w:tcBorders>
              <w:right w:val="single" w:sz="9" w:space="0" w:color="000000"/>
            </w:tcBorders>
            <w:shd w:val="clear" w:color="auto" w:fill="67ED4D"/>
          </w:tcPr>
          <w:p>
            <w:pPr>
              <w:pStyle w:val="TableParagraph"/>
              <w:spacing w:before="10"/>
              <w:ind w:left="27"/>
              <w:rPr>
                <w:sz w:val="12"/>
              </w:rPr>
            </w:pPr>
            <w:r>
              <w:rPr>
                <w:w w:val="106"/>
                <w:sz w:val="12"/>
              </w:rPr>
              <w:t>1</w:t>
            </w:r>
          </w:p>
        </w:tc>
      </w:tr>
      <w:tr>
        <w:trPr>
          <w:trHeight w:val="160" w:hRule="exact"/>
        </w:trPr>
        <w:tc>
          <w:tcPr>
            <w:tcW w:w="627" w:type="dxa"/>
            <w:tcBorders>
              <w:left w:val="single" w:sz="4" w:space="0" w:color="000000"/>
            </w:tcBorders>
          </w:tcPr>
          <w:p>
            <w:pPr/>
          </w:p>
        </w:tc>
        <w:tc>
          <w:tcPr>
            <w:tcW w:w="2190" w:type="dxa"/>
          </w:tcPr>
          <w:p>
            <w:pPr/>
          </w:p>
        </w:tc>
        <w:tc>
          <w:tcPr>
            <w:tcW w:w="2338" w:type="dxa"/>
          </w:tcPr>
          <w:p>
            <w:pPr>
              <w:pStyle w:val="TableParagraph"/>
              <w:spacing w:before="7"/>
              <w:ind w:left="34" w:right="818"/>
              <w:jc w:val="left"/>
              <w:rPr>
                <w:sz w:val="12"/>
              </w:rPr>
            </w:pPr>
            <w:r>
              <w:rPr>
                <w:w w:val="105"/>
                <w:sz w:val="12"/>
              </w:rPr>
              <w:t>Educación</w:t>
            </w:r>
          </w:p>
        </w:tc>
        <w:tc>
          <w:tcPr>
            <w:tcW w:w="1499" w:type="dxa"/>
          </w:tcPr>
          <w:p>
            <w:pPr>
              <w:pStyle w:val="TableParagraph"/>
              <w:spacing w:before="7"/>
              <w:ind w:left="595" w:right="191"/>
              <w:rPr>
                <w:sz w:val="12"/>
              </w:rPr>
            </w:pPr>
            <w:r>
              <w:rPr>
                <w:w w:val="105"/>
                <w:sz w:val="12"/>
              </w:rPr>
              <w:t>0.7</w:t>
            </w:r>
          </w:p>
        </w:tc>
        <w:tc>
          <w:tcPr>
            <w:tcW w:w="739" w:type="dxa"/>
          </w:tcPr>
          <w:p>
            <w:pPr/>
          </w:p>
        </w:tc>
        <w:tc>
          <w:tcPr>
            <w:tcW w:w="694" w:type="dxa"/>
          </w:tcPr>
          <w:p>
            <w:pPr>
              <w:pStyle w:val="TableParagraph"/>
              <w:spacing w:before="7"/>
              <w:ind w:left="247" w:right="231"/>
              <w:rPr>
                <w:sz w:val="12"/>
              </w:rPr>
            </w:pPr>
            <w:r>
              <w:rPr>
                <w:w w:val="105"/>
                <w:sz w:val="12"/>
              </w:rPr>
              <w:t>0.7</w:t>
            </w:r>
          </w:p>
        </w:tc>
        <w:tc>
          <w:tcPr>
            <w:tcW w:w="734" w:type="dxa"/>
            <w:tcBorders>
              <w:right w:val="single" w:sz="9" w:space="0" w:color="000000"/>
            </w:tcBorders>
            <w:shd w:val="clear" w:color="auto" w:fill="67ED4D"/>
          </w:tcPr>
          <w:p>
            <w:pPr>
              <w:pStyle w:val="TableParagraph"/>
              <w:spacing w:before="7"/>
              <w:ind w:left="27"/>
              <w:rPr>
                <w:sz w:val="12"/>
              </w:rPr>
            </w:pPr>
            <w:r>
              <w:rPr>
                <w:w w:val="106"/>
                <w:sz w:val="12"/>
              </w:rPr>
              <w:t>1</w:t>
            </w:r>
          </w:p>
        </w:tc>
      </w:tr>
      <w:tr>
        <w:trPr>
          <w:trHeight w:val="160" w:hRule="exact"/>
        </w:trPr>
        <w:tc>
          <w:tcPr>
            <w:tcW w:w="627" w:type="dxa"/>
            <w:tcBorders>
              <w:left w:val="single" w:sz="4" w:space="0" w:color="000000"/>
            </w:tcBorders>
          </w:tcPr>
          <w:p>
            <w:pPr/>
          </w:p>
        </w:tc>
        <w:tc>
          <w:tcPr>
            <w:tcW w:w="2190" w:type="dxa"/>
          </w:tcPr>
          <w:p>
            <w:pPr/>
          </w:p>
        </w:tc>
        <w:tc>
          <w:tcPr>
            <w:tcW w:w="2338" w:type="dxa"/>
          </w:tcPr>
          <w:p>
            <w:pPr>
              <w:pStyle w:val="TableParagraph"/>
              <w:spacing w:before="7"/>
              <w:ind w:left="34" w:right="818"/>
              <w:jc w:val="left"/>
              <w:rPr>
                <w:sz w:val="12"/>
              </w:rPr>
            </w:pPr>
            <w:r>
              <w:rPr>
                <w:w w:val="105"/>
                <w:sz w:val="12"/>
              </w:rPr>
              <w:t>Salud</w:t>
            </w:r>
          </w:p>
        </w:tc>
        <w:tc>
          <w:tcPr>
            <w:tcW w:w="1499" w:type="dxa"/>
          </w:tcPr>
          <w:p>
            <w:pPr>
              <w:pStyle w:val="TableParagraph"/>
              <w:spacing w:before="7"/>
              <w:ind w:left="595" w:right="191"/>
              <w:rPr>
                <w:sz w:val="12"/>
              </w:rPr>
            </w:pPr>
            <w:r>
              <w:rPr>
                <w:w w:val="105"/>
                <w:sz w:val="12"/>
              </w:rPr>
              <w:t>0.7</w:t>
            </w:r>
          </w:p>
        </w:tc>
        <w:tc>
          <w:tcPr>
            <w:tcW w:w="739" w:type="dxa"/>
          </w:tcPr>
          <w:p>
            <w:pPr/>
          </w:p>
        </w:tc>
        <w:tc>
          <w:tcPr>
            <w:tcW w:w="694" w:type="dxa"/>
          </w:tcPr>
          <w:p>
            <w:pPr>
              <w:pStyle w:val="TableParagraph"/>
              <w:spacing w:before="7"/>
              <w:ind w:left="247" w:right="231"/>
              <w:rPr>
                <w:sz w:val="12"/>
              </w:rPr>
            </w:pPr>
            <w:r>
              <w:rPr>
                <w:w w:val="105"/>
                <w:sz w:val="12"/>
              </w:rPr>
              <w:t>0.9</w:t>
            </w:r>
          </w:p>
        </w:tc>
        <w:tc>
          <w:tcPr>
            <w:tcW w:w="734" w:type="dxa"/>
            <w:tcBorders>
              <w:right w:val="single" w:sz="9" w:space="0" w:color="000000"/>
            </w:tcBorders>
            <w:shd w:val="clear" w:color="auto" w:fill="67ED4D"/>
          </w:tcPr>
          <w:p>
            <w:pPr>
              <w:pStyle w:val="TableParagraph"/>
              <w:spacing w:before="7"/>
              <w:ind w:left="27"/>
              <w:rPr>
                <w:sz w:val="12"/>
              </w:rPr>
            </w:pPr>
            <w:r>
              <w:rPr>
                <w:w w:val="106"/>
                <w:sz w:val="12"/>
              </w:rPr>
              <w:t>1</w:t>
            </w:r>
          </w:p>
        </w:tc>
      </w:tr>
      <w:tr>
        <w:trPr>
          <w:trHeight w:val="320" w:hRule="exact"/>
        </w:trPr>
        <w:tc>
          <w:tcPr>
            <w:tcW w:w="627" w:type="dxa"/>
            <w:tcBorders>
              <w:left w:val="single" w:sz="4" w:space="0" w:color="000000"/>
            </w:tcBorders>
          </w:tcPr>
          <w:p>
            <w:pPr/>
          </w:p>
        </w:tc>
        <w:tc>
          <w:tcPr>
            <w:tcW w:w="2190" w:type="dxa"/>
          </w:tcPr>
          <w:p>
            <w:pPr>
              <w:pStyle w:val="TableParagraph"/>
              <w:spacing w:before="81"/>
              <w:ind w:left="92"/>
              <w:jc w:val="left"/>
              <w:rPr>
                <w:sz w:val="12"/>
              </w:rPr>
            </w:pPr>
            <w:r>
              <w:rPr>
                <w:w w:val="105"/>
                <w:sz w:val="12"/>
              </w:rPr>
              <w:t>Oportunidades urbanas</w:t>
            </w:r>
          </w:p>
        </w:tc>
        <w:tc>
          <w:tcPr>
            <w:tcW w:w="2338" w:type="dxa"/>
          </w:tcPr>
          <w:p>
            <w:pPr>
              <w:pStyle w:val="TableParagraph"/>
              <w:spacing w:line="278" w:lineRule="auto" w:before="7"/>
              <w:ind w:left="34" w:right="1709"/>
              <w:jc w:val="left"/>
              <w:rPr>
                <w:sz w:val="12"/>
              </w:rPr>
            </w:pPr>
            <w:r>
              <w:rPr>
                <w:w w:val="105"/>
                <w:sz w:val="12"/>
              </w:rPr>
              <w:t>Seguridad Abasto</w:t>
            </w:r>
          </w:p>
        </w:tc>
        <w:tc>
          <w:tcPr>
            <w:tcW w:w="1499" w:type="dxa"/>
          </w:tcPr>
          <w:p>
            <w:pPr>
              <w:pStyle w:val="TableParagraph"/>
              <w:spacing w:before="7"/>
              <w:ind w:left="862"/>
              <w:jc w:val="left"/>
              <w:rPr>
                <w:sz w:val="12"/>
              </w:rPr>
            </w:pPr>
            <w:r>
              <w:rPr>
                <w:w w:val="105"/>
                <w:sz w:val="12"/>
              </w:rPr>
              <w:t>0.9</w:t>
            </w:r>
          </w:p>
          <w:p>
            <w:pPr>
              <w:pStyle w:val="TableParagraph"/>
              <w:spacing w:before="22"/>
              <w:ind w:left="862"/>
              <w:jc w:val="left"/>
              <w:rPr>
                <w:sz w:val="12"/>
              </w:rPr>
            </w:pPr>
            <w:r>
              <w:rPr>
                <w:w w:val="105"/>
                <w:sz w:val="12"/>
              </w:rPr>
              <w:t>0.9</w:t>
            </w:r>
          </w:p>
        </w:tc>
        <w:tc>
          <w:tcPr>
            <w:tcW w:w="739" w:type="dxa"/>
          </w:tcPr>
          <w:p>
            <w:pPr/>
          </w:p>
        </w:tc>
        <w:tc>
          <w:tcPr>
            <w:tcW w:w="694" w:type="dxa"/>
          </w:tcPr>
          <w:p>
            <w:pPr>
              <w:pStyle w:val="TableParagraph"/>
              <w:spacing w:before="7"/>
              <w:ind w:left="247" w:right="231"/>
              <w:rPr>
                <w:sz w:val="12"/>
              </w:rPr>
            </w:pPr>
            <w:r>
              <w:rPr>
                <w:w w:val="105"/>
                <w:sz w:val="12"/>
              </w:rPr>
              <w:t>0.9</w:t>
            </w:r>
          </w:p>
          <w:p>
            <w:pPr>
              <w:pStyle w:val="TableParagraph"/>
              <w:spacing w:before="22"/>
              <w:ind w:left="247" w:right="231"/>
              <w:rPr>
                <w:sz w:val="12"/>
              </w:rPr>
            </w:pPr>
            <w:r>
              <w:rPr>
                <w:w w:val="105"/>
                <w:sz w:val="12"/>
              </w:rPr>
              <w:t>0.9</w:t>
            </w:r>
          </w:p>
        </w:tc>
        <w:tc>
          <w:tcPr>
            <w:tcW w:w="734" w:type="dxa"/>
            <w:tcBorders>
              <w:right w:val="single" w:sz="9" w:space="0" w:color="000000"/>
            </w:tcBorders>
            <w:shd w:val="clear" w:color="auto" w:fill="67ED4D"/>
          </w:tcPr>
          <w:p>
            <w:pPr>
              <w:pStyle w:val="TableParagraph"/>
              <w:spacing w:before="7"/>
              <w:ind w:left="27"/>
              <w:rPr>
                <w:sz w:val="12"/>
              </w:rPr>
            </w:pPr>
            <w:r>
              <w:rPr>
                <w:w w:val="106"/>
                <w:sz w:val="12"/>
              </w:rPr>
              <w:t>1</w:t>
            </w:r>
          </w:p>
          <w:p>
            <w:pPr>
              <w:pStyle w:val="TableParagraph"/>
              <w:spacing w:before="22"/>
              <w:ind w:left="27"/>
              <w:rPr>
                <w:sz w:val="12"/>
              </w:rPr>
            </w:pPr>
            <w:r>
              <w:rPr>
                <w:w w:val="106"/>
                <w:sz w:val="12"/>
              </w:rPr>
              <w:t>1</w:t>
            </w:r>
          </w:p>
        </w:tc>
      </w:tr>
      <w:tr>
        <w:trPr>
          <w:trHeight w:val="160" w:hRule="exact"/>
        </w:trPr>
        <w:tc>
          <w:tcPr>
            <w:tcW w:w="627" w:type="dxa"/>
            <w:tcBorders>
              <w:left w:val="single" w:sz="4" w:space="0" w:color="000000"/>
            </w:tcBorders>
          </w:tcPr>
          <w:p>
            <w:pPr/>
          </w:p>
        </w:tc>
        <w:tc>
          <w:tcPr>
            <w:tcW w:w="2190" w:type="dxa"/>
          </w:tcPr>
          <w:p>
            <w:pPr/>
          </w:p>
        </w:tc>
        <w:tc>
          <w:tcPr>
            <w:tcW w:w="2338" w:type="dxa"/>
          </w:tcPr>
          <w:p>
            <w:pPr>
              <w:pStyle w:val="TableParagraph"/>
              <w:spacing w:before="7"/>
              <w:ind w:left="34" w:right="818"/>
              <w:jc w:val="left"/>
              <w:rPr>
                <w:sz w:val="12"/>
              </w:rPr>
            </w:pPr>
            <w:r>
              <w:rPr>
                <w:w w:val="105"/>
                <w:sz w:val="12"/>
              </w:rPr>
              <w:t>Transporte</w:t>
            </w:r>
          </w:p>
        </w:tc>
        <w:tc>
          <w:tcPr>
            <w:tcW w:w="1499" w:type="dxa"/>
          </w:tcPr>
          <w:p>
            <w:pPr>
              <w:pStyle w:val="TableParagraph"/>
              <w:spacing w:before="7"/>
              <w:ind w:left="595" w:right="191"/>
              <w:rPr>
                <w:sz w:val="12"/>
              </w:rPr>
            </w:pPr>
            <w:r>
              <w:rPr>
                <w:w w:val="105"/>
                <w:sz w:val="12"/>
              </w:rPr>
              <w:t>0.3</w:t>
            </w:r>
          </w:p>
        </w:tc>
        <w:tc>
          <w:tcPr>
            <w:tcW w:w="739" w:type="dxa"/>
          </w:tcPr>
          <w:p>
            <w:pPr/>
          </w:p>
        </w:tc>
        <w:tc>
          <w:tcPr>
            <w:tcW w:w="694" w:type="dxa"/>
          </w:tcPr>
          <w:p>
            <w:pPr>
              <w:pStyle w:val="TableParagraph"/>
              <w:spacing w:before="7"/>
              <w:ind w:left="247" w:right="231"/>
              <w:rPr>
                <w:sz w:val="12"/>
              </w:rPr>
            </w:pPr>
            <w:r>
              <w:rPr>
                <w:w w:val="105"/>
                <w:sz w:val="12"/>
              </w:rPr>
              <w:t>0.6</w:t>
            </w:r>
          </w:p>
        </w:tc>
        <w:tc>
          <w:tcPr>
            <w:tcW w:w="734" w:type="dxa"/>
            <w:tcBorders>
              <w:right w:val="single" w:sz="9" w:space="0" w:color="000000"/>
            </w:tcBorders>
            <w:shd w:val="clear" w:color="auto" w:fill="67ED4D"/>
          </w:tcPr>
          <w:p>
            <w:pPr>
              <w:pStyle w:val="TableParagraph"/>
              <w:spacing w:before="7"/>
              <w:ind w:left="27"/>
              <w:rPr>
                <w:sz w:val="12"/>
              </w:rPr>
            </w:pPr>
            <w:r>
              <w:rPr>
                <w:w w:val="106"/>
                <w:sz w:val="12"/>
              </w:rPr>
              <w:t>1</w:t>
            </w:r>
          </w:p>
        </w:tc>
      </w:tr>
      <w:tr>
        <w:trPr>
          <w:trHeight w:val="320" w:hRule="exact"/>
        </w:trPr>
        <w:tc>
          <w:tcPr>
            <w:tcW w:w="627" w:type="dxa"/>
            <w:tcBorders>
              <w:left w:val="single" w:sz="4" w:space="0" w:color="000000"/>
            </w:tcBorders>
          </w:tcPr>
          <w:p>
            <w:pPr>
              <w:pStyle w:val="TableParagraph"/>
              <w:spacing w:before="81"/>
              <w:ind w:left="142" w:right="75"/>
              <w:rPr>
                <w:sz w:val="12"/>
              </w:rPr>
            </w:pPr>
            <w:r>
              <w:rPr>
                <w:w w:val="105"/>
                <w:sz w:val="12"/>
              </w:rPr>
              <w:t>Social</w:t>
            </w:r>
          </w:p>
        </w:tc>
        <w:tc>
          <w:tcPr>
            <w:tcW w:w="2190" w:type="dxa"/>
          </w:tcPr>
          <w:p>
            <w:pPr/>
          </w:p>
        </w:tc>
        <w:tc>
          <w:tcPr>
            <w:tcW w:w="2338" w:type="dxa"/>
          </w:tcPr>
          <w:p>
            <w:pPr>
              <w:pStyle w:val="TableParagraph"/>
              <w:spacing w:before="7"/>
              <w:ind w:left="34" w:right="818"/>
              <w:jc w:val="left"/>
              <w:rPr>
                <w:sz w:val="12"/>
              </w:rPr>
            </w:pPr>
            <w:r>
              <w:rPr>
                <w:w w:val="105"/>
                <w:sz w:val="12"/>
              </w:rPr>
              <w:t>Recreación</w:t>
            </w:r>
          </w:p>
          <w:p>
            <w:pPr>
              <w:pStyle w:val="TableParagraph"/>
              <w:spacing w:before="22"/>
              <w:ind w:left="34" w:right="818"/>
              <w:jc w:val="left"/>
              <w:rPr>
                <w:sz w:val="12"/>
              </w:rPr>
            </w:pPr>
            <w:r>
              <w:rPr>
                <w:w w:val="105"/>
                <w:sz w:val="12"/>
              </w:rPr>
              <w:t>Servicios especializados</w:t>
            </w:r>
          </w:p>
        </w:tc>
        <w:tc>
          <w:tcPr>
            <w:tcW w:w="1499" w:type="dxa"/>
          </w:tcPr>
          <w:p>
            <w:pPr>
              <w:pStyle w:val="TableParagraph"/>
              <w:spacing w:before="7"/>
              <w:ind w:left="862"/>
              <w:jc w:val="left"/>
              <w:rPr>
                <w:sz w:val="12"/>
              </w:rPr>
            </w:pPr>
            <w:r>
              <w:rPr>
                <w:w w:val="105"/>
                <w:sz w:val="12"/>
              </w:rPr>
              <w:t>0.9</w:t>
            </w:r>
          </w:p>
          <w:p>
            <w:pPr>
              <w:pStyle w:val="TableParagraph"/>
              <w:spacing w:before="22"/>
              <w:ind w:left="862"/>
              <w:jc w:val="left"/>
              <w:rPr>
                <w:sz w:val="12"/>
              </w:rPr>
            </w:pPr>
            <w:r>
              <w:rPr>
                <w:w w:val="105"/>
                <w:sz w:val="12"/>
              </w:rPr>
              <w:t>0.6</w:t>
            </w:r>
          </w:p>
        </w:tc>
        <w:tc>
          <w:tcPr>
            <w:tcW w:w="739" w:type="dxa"/>
          </w:tcPr>
          <w:p>
            <w:pPr/>
          </w:p>
        </w:tc>
        <w:tc>
          <w:tcPr>
            <w:tcW w:w="694" w:type="dxa"/>
          </w:tcPr>
          <w:p>
            <w:pPr>
              <w:pStyle w:val="TableParagraph"/>
              <w:spacing w:before="7"/>
              <w:ind w:left="247" w:right="231"/>
              <w:rPr>
                <w:sz w:val="12"/>
              </w:rPr>
            </w:pPr>
            <w:r>
              <w:rPr>
                <w:w w:val="105"/>
                <w:sz w:val="12"/>
              </w:rPr>
              <w:t>0.8</w:t>
            </w:r>
          </w:p>
          <w:p>
            <w:pPr>
              <w:pStyle w:val="TableParagraph"/>
              <w:spacing w:before="22"/>
              <w:ind w:left="247" w:right="231"/>
              <w:rPr>
                <w:sz w:val="12"/>
              </w:rPr>
            </w:pPr>
            <w:r>
              <w:rPr>
                <w:w w:val="105"/>
                <w:sz w:val="12"/>
              </w:rPr>
              <w:t>0.7</w:t>
            </w:r>
          </w:p>
        </w:tc>
        <w:tc>
          <w:tcPr>
            <w:tcW w:w="734" w:type="dxa"/>
            <w:tcBorders>
              <w:right w:val="single" w:sz="9" w:space="0" w:color="000000"/>
            </w:tcBorders>
            <w:shd w:val="clear" w:color="auto" w:fill="67ED4D"/>
          </w:tcPr>
          <w:p>
            <w:pPr>
              <w:pStyle w:val="TableParagraph"/>
              <w:spacing w:before="7"/>
              <w:ind w:left="27"/>
              <w:rPr>
                <w:sz w:val="12"/>
              </w:rPr>
            </w:pPr>
            <w:r>
              <w:rPr>
                <w:w w:val="106"/>
                <w:sz w:val="12"/>
              </w:rPr>
              <w:t>1</w:t>
            </w:r>
          </w:p>
          <w:p>
            <w:pPr>
              <w:pStyle w:val="TableParagraph"/>
              <w:spacing w:before="22"/>
              <w:ind w:left="27"/>
              <w:rPr>
                <w:sz w:val="12"/>
              </w:rPr>
            </w:pPr>
            <w:r>
              <w:rPr>
                <w:w w:val="106"/>
                <w:sz w:val="12"/>
              </w:rPr>
              <w:t>1</w:t>
            </w:r>
          </w:p>
        </w:tc>
      </w:tr>
      <w:tr>
        <w:trPr>
          <w:trHeight w:val="168" w:hRule="exact"/>
        </w:trPr>
        <w:tc>
          <w:tcPr>
            <w:tcW w:w="627" w:type="dxa"/>
            <w:tcBorders>
              <w:left w:val="single" w:sz="4" w:space="0" w:color="000000"/>
            </w:tcBorders>
          </w:tcPr>
          <w:p>
            <w:pPr/>
          </w:p>
        </w:tc>
        <w:tc>
          <w:tcPr>
            <w:tcW w:w="2190" w:type="dxa"/>
          </w:tcPr>
          <w:p>
            <w:pPr/>
          </w:p>
        </w:tc>
        <w:tc>
          <w:tcPr>
            <w:tcW w:w="2338" w:type="dxa"/>
          </w:tcPr>
          <w:p>
            <w:pPr/>
          </w:p>
        </w:tc>
        <w:tc>
          <w:tcPr>
            <w:tcW w:w="1499" w:type="dxa"/>
          </w:tcPr>
          <w:p>
            <w:pPr>
              <w:pStyle w:val="TableParagraph"/>
              <w:spacing w:before="7"/>
              <w:ind w:left="588" w:right="191"/>
              <w:rPr>
                <w:sz w:val="12"/>
              </w:rPr>
            </w:pPr>
            <w:r>
              <w:rPr>
                <w:w w:val="105"/>
                <w:sz w:val="12"/>
              </w:rPr>
              <w:t>Subtotal</w:t>
            </w:r>
          </w:p>
        </w:tc>
        <w:tc>
          <w:tcPr>
            <w:tcW w:w="739" w:type="dxa"/>
          </w:tcPr>
          <w:p>
            <w:pPr>
              <w:pStyle w:val="TableParagraph"/>
              <w:spacing w:before="7"/>
              <w:ind w:left="205"/>
              <w:jc w:val="left"/>
              <w:rPr>
                <w:sz w:val="12"/>
              </w:rPr>
            </w:pPr>
            <w:r>
              <w:rPr>
                <w:w w:val="106"/>
                <w:sz w:val="12"/>
                <w:shd w:fill="F79646" w:color="auto" w:val="clear"/>
              </w:rPr>
              <w:t> </w:t>
            </w:r>
            <w:r>
              <w:rPr>
                <w:sz w:val="12"/>
                <w:shd w:fill="F79646" w:color="auto" w:val="clear"/>
              </w:rPr>
              <w:t>   </w:t>
            </w:r>
            <w:r>
              <w:rPr>
                <w:spacing w:val="12"/>
                <w:sz w:val="12"/>
                <w:shd w:fill="F79646" w:color="auto" w:val="clear"/>
              </w:rPr>
              <w:t> </w:t>
            </w:r>
            <w:r>
              <w:rPr>
                <w:w w:val="105"/>
                <w:sz w:val="12"/>
                <w:shd w:fill="F79646" w:color="auto" w:val="clear"/>
              </w:rPr>
              <w:t>5.6</w:t>
            </w:r>
            <w:r>
              <w:rPr>
                <w:spacing w:val="-16"/>
                <w:sz w:val="12"/>
                <w:shd w:fill="F79646" w:color="auto" w:val="clear"/>
              </w:rPr>
              <w:t> </w:t>
            </w:r>
          </w:p>
        </w:tc>
        <w:tc>
          <w:tcPr>
            <w:tcW w:w="694" w:type="dxa"/>
          </w:tcPr>
          <w:p>
            <w:pPr>
              <w:pStyle w:val="TableParagraph"/>
              <w:spacing w:before="7"/>
              <w:ind w:left="247" w:right="231"/>
              <w:rPr>
                <w:sz w:val="12"/>
              </w:rPr>
            </w:pPr>
            <w:r>
              <w:rPr>
                <w:w w:val="105"/>
                <w:sz w:val="12"/>
              </w:rPr>
              <w:t>6.3</w:t>
            </w:r>
          </w:p>
        </w:tc>
        <w:tc>
          <w:tcPr>
            <w:tcW w:w="734" w:type="dxa"/>
            <w:tcBorders>
              <w:right w:val="single" w:sz="9" w:space="0" w:color="000000"/>
            </w:tcBorders>
            <w:shd w:val="clear" w:color="auto" w:fill="67ED4D"/>
          </w:tcPr>
          <w:p>
            <w:pPr>
              <w:pStyle w:val="TableParagraph"/>
              <w:spacing w:before="7"/>
              <w:ind w:left="27"/>
              <w:rPr>
                <w:sz w:val="12"/>
              </w:rPr>
            </w:pPr>
            <w:r>
              <w:rPr>
                <w:w w:val="106"/>
                <w:sz w:val="12"/>
              </w:rPr>
              <w:t>8</w:t>
            </w:r>
          </w:p>
        </w:tc>
      </w:tr>
      <w:tr>
        <w:trPr>
          <w:trHeight w:val="149" w:hRule="exact"/>
        </w:trPr>
        <w:tc>
          <w:tcPr>
            <w:tcW w:w="8821" w:type="dxa"/>
            <w:gridSpan w:val="7"/>
            <w:tcBorders>
              <w:left w:val="single" w:sz="4" w:space="0" w:color="000000"/>
              <w:right w:val="single" w:sz="9" w:space="0" w:color="000000"/>
            </w:tcBorders>
          </w:tcPr>
          <w:p>
            <w:pPr/>
          </w:p>
        </w:tc>
      </w:tr>
      <w:tr>
        <w:trPr>
          <w:trHeight w:val="163" w:hRule="exact"/>
        </w:trPr>
        <w:tc>
          <w:tcPr>
            <w:tcW w:w="627" w:type="dxa"/>
            <w:tcBorders>
              <w:left w:val="single" w:sz="4" w:space="0" w:color="000000"/>
            </w:tcBorders>
          </w:tcPr>
          <w:p>
            <w:pPr/>
          </w:p>
        </w:tc>
        <w:tc>
          <w:tcPr>
            <w:tcW w:w="2190" w:type="dxa"/>
          </w:tcPr>
          <w:p>
            <w:pPr>
              <w:pStyle w:val="TableParagraph"/>
              <w:spacing w:before="10"/>
              <w:ind w:left="92"/>
              <w:jc w:val="left"/>
              <w:rPr>
                <w:sz w:val="12"/>
              </w:rPr>
            </w:pPr>
            <w:r>
              <w:rPr>
                <w:w w:val="105"/>
                <w:sz w:val="12"/>
              </w:rPr>
              <w:t>Organización vecinal</w:t>
            </w:r>
          </w:p>
        </w:tc>
        <w:tc>
          <w:tcPr>
            <w:tcW w:w="2338" w:type="dxa"/>
          </w:tcPr>
          <w:p>
            <w:pPr>
              <w:pStyle w:val="TableParagraph"/>
              <w:spacing w:before="10"/>
              <w:ind w:left="34" w:right="818"/>
              <w:jc w:val="left"/>
              <w:rPr>
                <w:sz w:val="12"/>
              </w:rPr>
            </w:pPr>
            <w:r>
              <w:rPr>
                <w:w w:val="105"/>
                <w:sz w:val="12"/>
              </w:rPr>
              <w:t>Administración ciudadana</w:t>
            </w:r>
          </w:p>
        </w:tc>
        <w:tc>
          <w:tcPr>
            <w:tcW w:w="1499" w:type="dxa"/>
          </w:tcPr>
          <w:p>
            <w:pPr>
              <w:pStyle w:val="TableParagraph"/>
              <w:spacing w:before="10"/>
              <w:ind w:left="404"/>
              <w:rPr>
                <w:sz w:val="12"/>
              </w:rPr>
            </w:pPr>
            <w:r>
              <w:rPr>
                <w:w w:val="106"/>
                <w:sz w:val="12"/>
              </w:rPr>
              <w:t>1</w:t>
            </w:r>
          </w:p>
        </w:tc>
        <w:tc>
          <w:tcPr>
            <w:tcW w:w="739" w:type="dxa"/>
          </w:tcPr>
          <w:p>
            <w:pPr/>
          </w:p>
        </w:tc>
        <w:tc>
          <w:tcPr>
            <w:tcW w:w="694" w:type="dxa"/>
          </w:tcPr>
          <w:p>
            <w:pPr>
              <w:pStyle w:val="TableParagraph"/>
              <w:spacing w:before="10"/>
              <w:ind w:left="247" w:right="231"/>
              <w:rPr>
                <w:sz w:val="12"/>
              </w:rPr>
            </w:pPr>
            <w:r>
              <w:rPr>
                <w:w w:val="105"/>
                <w:sz w:val="12"/>
              </w:rPr>
              <w:t>0.8</w:t>
            </w:r>
          </w:p>
        </w:tc>
        <w:tc>
          <w:tcPr>
            <w:tcW w:w="734" w:type="dxa"/>
            <w:tcBorders>
              <w:right w:val="single" w:sz="9" w:space="0" w:color="000000"/>
            </w:tcBorders>
            <w:shd w:val="clear" w:color="auto" w:fill="67ED4D"/>
          </w:tcPr>
          <w:p>
            <w:pPr>
              <w:pStyle w:val="TableParagraph"/>
              <w:spacing w:before="10"/>
              <w:ind w:left="27"/>
              <w:rPr>
                <w:sz w:val="12"/>
              </w:rPr>
            </w:pPr>
            <w:r>
              <w:rPr>
                <w:w w:val="106"/>
                <w:sz w:val="12"/>
              </w:rPr>
              <w:t>1</w:t>
            </w:r>
          </w:p>
        </w:tc>
      </w:tr>
      <w:tr>
        <w:trPr>
          <w:trHeight w:val="168" w:hRule="exact"/>
        </w:trPr>
        <w:tc>
          <w:tcPr>
            <w:tcW w:w="627" w:type="dxa"/>
            <w:tcBorders>
              <w:left w:val="single" w:sz="4" w:space="0" w:color="000000"/>
            </w:tcBorders>
          </w:tcPr>
          <w:p>
            <w:pPr/>
          </w:p>
        </w:tc>
        <w:tc>
          <w:tcPr>
            <w:tcW w:w="2190" w:type="dxa"/>
          </w:tcPr>
          <w:p>
            <w:pPr/>
          </w:p>
        </w:tc>
        <w:tc>
          <w:tcPr>
            <w:tcW w:w="2338" w:type="dxa"/>
          </w:tcPr>
          <w:p>
            <w:pPr/>
          </w:p>
        </w:tc>
        <w:tc>
          <w:tcPr>
            <w:tcW w:w="1499" w:type="dxa"/>
          </w:tcPr>
          <w:p>
            <w:pPr>
              <w:pStyle w:val="TableParagraph"/>
              <w:spacing w:before="7"/>
              <w:ind w:left="588" w:right="191"/>
              <w:rPr>
                <w:sz w:val="12"/>
              </w:rPr>
            </w:pPr>
            <w:r>
              <w:rPr>
                <w:w w:val="105"/>
                <w:sz w:val="12"/>
              </w:rPr>
              <w:t>Subtotal</w:t>
            </w:r>
          </w:p>
        </w:tc>
        <w:tc>
          <w:tcPr>
            <w:tcW w:w="739" w:type="dxa"/>
          </w:tcPr>
          <w:p>
            <w:pPr>
              <w:pStyle w:val="TableParagraph"/>
              <w:tabs>
                <w:tab w:pos="749" w:val="left" w:leader="none"/>
              </w:tabs>
              <w:spacing w:before="7"/>
              <w:ind w:left="205" w:right="-11"/>
              <w:jc w:val="left"/>
              <w:rPr>
                <w:sz w:val="12"/>
              </w:rPr>
            </w:pPr>
            <w:r>
              <w:rPr>
                <w:w w:val="106"/>
                <w:sz w:val="12"/>
                <w:shd w:fill="F79646" w:color="auto" w:val="clear"/>
              </w:rPr>
              <w:t> </w:t>
            </w:r>
            <w:r>
              <w:rPr>
                <w:sz w:val="12"/>
                <w:shd w:fill="F79646" w:color="auto" w:val="clear"/>
              </w:rPr>
              <w:t>     </w:t>
            </w:r>
            <w:r>
              <w:rPr>
                <w:spacing w:val="-2"/>
                <w:sz w:val="12"/>
                <w:shd w:fill="F79646" w:color="auto" w:val="clear"/>
              </w:rPr>
              <w:t> </w:t>
            </w:r>
            <w:r>
              <w:rPr>
                <w:w w:val="105"/>
                <w:sz w:val="12"/>
                <w:shd w:fill="F79646" w:color="auto" w:val="clear"/>
              </w:rPr>
              <w:t>1</w:t>
            </w:r>
            <w:r>
              <w:rPr>
                <w:sz w:val="12"/>
                <w:shd w:fill="F79646" w:color="auto" w:val="clear"/>
              </w:rPr>
              <w:tab/>
            </w:r>
          </w:p>
        </w:tc>
        <w:tc>
          <w:tcPr>
            <w:tcW w:w="694" w:type="dxa"/>
          </w:tcPr>
          <w:p>
            <w:pPr>
              <w:pStyle w:val="TableParagraph"/>
              <w:spacing w:before="7"/>
              <w:ind w:left="247" w:right="231"/>
              <w:rPr>
                <w:sz w:val="12"/>
              </w:rPr>
            </w:pPr>
            <w:r>
              <w:rPr>
                <w:w w:val="105"/>
                <w:sz w:val="12"/>
              </w:rPr>
              <w:t>0.8</w:t>
            </w:r>
          </w:p>
        </w:tc>
        <w:tc>
          <w:tcPr>
            <w:tcW w:w="734" w:type="dxa"/>
            <w:tcBorders>
              <w:right w:val="single" w:sz="9" w:space="0" w:color="000000"/>
            </w:tcBorders>
            <w:shd w:val="clear" w:color="auto" w:fill="67ED4D"/>
          </w:tcPr>
          <w:p>
            <w:pPr>
              <w:pStyle w:val="TableParagraph"/>
              <w:spacing w:before="7"/>
              <w:ind w:left="27"/>
              <w:rPr>
                <w:sz w:val="12"/>
              </w:rPr>
            </w:pPr>
            <w:r>
              <w:rPr>
                <w:w w:val="106"/>
                <w:sz w:val="12"/>
              </w:rPr>
              <w:t>1</w:t>
            </w:r>
          </w:p>
        </w:tc>
      </w:tr>
      <w:tr>
        <w:trPr>
          <w:trHeight w:val="149" w:hRule="exact"/>
        </w:trPr>
        <w:tc>
          <w:tcPr>
            <w:tcW w:w="8821" w:type="dxa"/>
            <w:gridSpan w:val="7"/>
            <w:tcBorders>
              <w:left w:val="single" w:sz="4" w:space="0" w:color="000000"/>
              <w:right w:val="single" w:sz="9" w:space="0" w:color="000000"/>
            </w:tcBorders>
          </w:tcPr>
          <w:p>
            <w:pPr/>
          </w:p>
        </w:tc>
      </w:tr>
      <w:tr>
        <w:trPr>
          <w:trHeight w:val="163" w:hRule="exact"/>
        </w:trPr>
        <w:tc>
          <w:tcPr>
            <w:tcW w:w="627" w:type="dxa"/>
            <w:tcBorders>
              <w:left w:val="single" w:sz="4" w:space="0" w:color="000000"/>
            </w:tcBorders>
          </w:tcPr>
          <w:p>
            <w:pPr/>
          </w:p>
        </w:tc>
        <w:tc>
          <w:tcPr>
            <w:tcW w:w="2190" w:type="dxa"/>
          </w:tcPr>
          <w:p>
            <w:pPr>
              <w:pStyle w:val="TableParagraph"/>
              <w:spacing w:before="10"/>
              <w:ind w:left="92"/>
              <w:jc w:val="left"/>
              <w:rPr>
                <w:sz w:val="12"/>
              </w:rPr>
            </w:pPr>
            <w:r>
              <w:rPr>
                <w:w w:val="105"/>
                <w:sz w:val="12"/>
              </w:rPr>
              <w:t>Índice de satisfacción del acreditado</w:t>
            </w:r>
          </w:p>
        </w:tc>
        <w:tc>
          <w:tcPr>
            <w:tcW w:w="2338" w:type="dxa"/>
          </w:tcPr>
          <w:p>
            <w:pPr>
              <w:pStyle w:val="TableParagraph"/>
              <w:spacing w:before="10"/>
              <w:ind w:left="34" w:right="818"/>
              <w:jc w:val="left"/>
              <w:rPr>
                <w:sz w:val="12"/>
              </w:rPr>
            </w:pPr>
            <w:r>
              <w:rPr>
                <w:w w:val="105"/>
                <w:sz w:val="12"/>
              </w:rPr>
              <w:t>Infonavit</w:t>
            </w:r>
          </w:p>
        </w:tc>
        <w:tc>
          <w:tcPr>
            <w:tcW w:w="1499" w:type="dxa"/>
          </w:tcPr>
          <w:p>
            <w:pPr>
              <w:pStyle w:val="TableParagraph"/>
              <w:spacing w:before="10"/>
              <w:ind w:left="595" w:right="191"/>
              <w:rPr>
                <w:sz w:val="12"/>
              </w:rPr>
            </w:pPr>
            <w:r>
              <w:rPr>
                <w:w w:val="105"/>
                <w:sz w:val="12"/>
              </w:rPr>
              <w:t>0.7</w:t>
            </w:r>
          </w:p>
        </w:tc>
        <w:tc>
          <w:tcPr>
            <w:tcW w:w="739" w:type="dxa"/>
          </w:tcPr>
          <w:p>
            <w:pPr/>
          </w:p>
        </w:tc>
        <w:tc>
          <w:tcPr>
            <w:tcW w:w="694" w:type="dxa"/>
          </w:tcPr>
          <w:p>
            <w:pPr>
              <w:pStyle w:val="TableParagraph"/>
              <w:spacing w:before="10"/>
              <w:ind w:left="247" w:right="231"/>
              <w:rPr>
                <w:sz w:val="12"/>
              </w:rPr>
            </w:pPr>
            <w:r>
              <w:rPr>
                <w:w w:val="105"/>
                <w:sz w:val="12"/>
              </w:rPr>
              <w:t>0.7</w:t>
            </w:r>
          </w:p>
        </w:tc>
        <w:tc>
          <w:tcPr>
            <w:tcW w:w="734" w:type="dxa"/>
            <w:tcBorders>
              <w:right w:val="single" w:sz="9" w:space="0" w:color="000000"/>
            </w:tcBorders>
            <w:shd w:val="clear" w:color="auto" w:fill="67ED4D"/>
          </w:tcPr>
          <w:p>
            <w:pPr>
              <w:pStyle w:val="TableParagraph"/>
              <w:spacing w:before="10"/>
              <w:ind w:left="27"/>
              <w:rPr>
                <w:sz w:val="12"/>
              </w:rPr>
            </w:pPr>
            <w:r>
              <w:rPr>
                <w:w w:val="106"/>
                <w:sz w:val="12"/>
              </w:rPr>
              <w:t>1</w:t>
            </w:r>
          </w:p>
        </w:tc>
      </w:tr>
      <w:tr>
        <w:trPr>
          <w:trHeight w:val="168" w:hRule="exact"/>
        </w:trPr>
        <w:tc>
          <w:tcPr>
            <w:tcW w:w="627" w:type="dxa"/>
            <w:tcBorders>
              <w:left w:val="single" w:sz="4" w:space="0" w:color="000000"/>
            </w:tcBorders>
          </w:tcPr>
          <w:p>
            <w:pPr/>
          </w:p>
        </w:tc>
        <w:tc>
          <w:tcPr>
            <w:tcW w:w="2190" w:type="dxa"/>
          </w:tcPr>
          <w:p>
            <w:pPr/>
          </w:p>
        </w:tc>
        <w:tc>
          <w:tcPr>
            <w:tcW w:w="2338" w:type="dxa"/>
          </w:tcPr>
          <w:p>
            <w:pPr/>
          </w:p>
        </w:tc>
        <w:tc>
          <w:tcPr>
            <w:tcW w:w="1499" w:type="dxa"/>
          </w:tcPr>
          <w:p>
            <w:pPr>
              <w:pStyle w:val="TableParagraph"/>
              <w:spacing w:before="7"/>
              <w:ind w:left="588" w:right="191"/>
              <w:rPr>
                <w:sz w:val="12"/>
              </w:rPr>
            </w:pPr>
            <w:r>
              <w:rPr>
                <w:w w:val="105"/>
                <w:sz w:val="12"/>
              </w:rPr>
              <w:t>Subtotal</w:t>
            </w:r>
          </w:p>
        </w:tc>
        <w:tc>
          <w:tcPr>
            <w:tcW w:w="739" w:type="dxa"/>
          </w:tcPr>
          <w:p>
            <w:pPr>
              <w:pStyle w:val="TableParagraph"/>
              <w:spacing w:before="7"/>
              <w:ind w:left="205"/>
              <w:jc w:val="left"/>
              <w:rPr>
                <w:sz w:val="12"/>
              </w:rPr>
            </w:pPr>
            <w:r>
              <w:rPr>
                <w:w w:val="106"/>
                <w:sz w:val="12"/>
                <w:shd w:fill="F79646" w:color="auto" w:val="clear"/>
              </w:rPr>
              <w:t> </w:t>
            </w:r>
            <w:r>
              <w:rPr>
                <w:sz w:val="12"/>
                <w:shd w:fill="F79646" w:color="auto" w:val="clear"/>
              </w:rPr>
              <w:t>   </w:t>
            </w:r>
            <w:r>
              <w:rPr>
                <w:spacing w:val="12"/>
                <w:sz w:val="12"/>
                <w:shd w:fill="F79646" w:color="auto" w:val="clear"/>
              </w:rPr>
              <w:t> </w:t>
            </w:r>
            <w:r>
              <w:rPr>
                <w:w w:val="105"/>
                <w:sz w:val="12"/>
                <w:shd w:fill="F79646" w:color="auto" w:val="clear"/>
              </w:rPr>
              <w:t>0.7</w:t>
            </w:r>
            <w:r>
              <w:rPr>
                <w:spacing w:val="-16"/>
                <w:sz w:val="12"/>
                <w:shd w:fill="F79646" w:color="auto" w:val="clear"/>
              </w:rPr>
              <w:t> </w:t>
            </w:r>
          </w:p>
        </w:tc>
        <w:tc>
          <w:tcPr>
            <w:tcW w:w="694" w:type="dxa"/>
          </w:tcPr>
          <w:p>
            <w:pPr>
              <w:pStyle w:val="TableParagraph"/>
              <w:spacing w:before="7"/>
              <w:ind w:left="247" w:right="231"/>
              <w:rPr>
                <w:sz w:val="12"/>
              </w:rPr>
            </w:pPr>
            <w:r>
              <w:rPr>
                <w:w w:val="105"/>
                <w:sz w:val="12"/>
              </w:rPr>
              <w:t>0.7</w:t>
            </w:r>
          </w:p>
        </w:tc>
        <w:tc>
          <w:tcPr>
            <w:tcW w:w="734" w:type="dxa"/>
            <w:tcBorders>
              <w:right w:val="single" w:sz="9" w:space="0" w:color="000000"/>
            </w:tcBorders>
            <w:shd w:val="clear" w:color="auto" w:fill="67ED4D"/>
          </w:tcPr>
          <w:p>
            <w:pPr>
              <w:pStyle w:val="TableParagraph"/>
              <w:spacing w:before="7"/>
              <w:ind w:left="27"/>
              <w:rPr>
                <w:sz w:val="12"/>
              </w:rPr>
            </w:pPr>
            <w:r>
              <w:rPr>
                <w:w w:val="106"/>
                <w:sz w:val="12"/>
              </w:rPr>
              <w:t>1</w:t>
            </w:r>
          </w:p>
        </w:tc>
      </w:tr>
      <w:tr>
        <w:trPr>
          <w:trHeight w:val="149" w:hRule="exact"/>
        </w:trPr>
        <w:tc>
          <w:tcPr>
            <w:tcW w:w="8821" w:type="dxa"/>
            <w:gridSpan w:val="7"/>
            <w:tcBorders>
              <w:left w:val="single" w:sz="4" w:space="0" w:color="000000"/>
              <w:right w:val="single" w:sz="9" w:space="0" w:color="000000"/>
            </w:tcBorders>
          </w:tcPr>
          <w:p>
            <w:pPr/>
          </w:p>
        </w:tc>
      </w:tr>
      <w:tr>
        <w:trPr>
          <w:trHeight w:val="163" w:hRule="exact"/>
        </w:trPr>
        <w:tc>
          <w:tcPr>
            <w:tcW w:w="627" w:type="dxa"/>
            <w:tcBorders>
              <w:left w:val="single" w:sz="4" w:space="0" w:color="000000"/>
            </w:tcBorders>
          </w:tcPr>
          <w:p>
            <w:pPr/>
          </w:p>
        </w:tc>
        <w:tc>
          <w:tcPr>
            <w:tcW w:w="2190" w:type="dxa"/>
          </w:tcPr>
          <w:p>
            <w:pPr>
              <w:pStyle w:val="TableParagraph"/>
              <w:spacing w:before="10"/>
              <w:ind w:left="92"/>
              <w:jc w:val="left"/>
              <w:rPr>
                <w:sz w:val="12"/>
              </w:rPr>
            </w:pPr>
            <w:r>
              <w:rPr>
                <w:w w:val="105"/>
                <w:sz w:val="12"/>
              </w:rPr>
              <w:t>Índice de satisfacción residencial</w:t>
            </w:r>
          </w:p>
        </w:tc>
        <w:tc>
          <w:tcPr>
            <w:tcW w:w="2338" w:type="dxa"/>
          </w:tcPr>
          <w:p>
            <w:pPr>
              <w:pStyle w:val="TableParagraph"/>
              <w:spacing w:before="10"/>
              <w:ind w:left="34"/>
              <w:jc w:val="left"/>
              <w:rPr>
                <w:sz w:val="12"/>
              </w:rPr>
            </w:pPr>
            <w:r>
              <w:rPr>
                <w:w w:val="105"/>
                <w:sz w:val="12"/>
              </w:rPr>
              <w:t>Sociedad Hipotecaria Federal</w:t>
            </w:r>
          </w:p>
        </w:tc>
        <w:tc>
          <w:tcPr>
            <w:tcW w:w="1499" w:type="dxa"/>
          </w:tcPr>
          <w:p>
            <w:pPr>
              <w:pStyle w:val="TableParagraph"/>
              <w:spacing w:before="10"/>
              <w:ind w:left="404"/>
              <w:rPr>
                <w:sz w:val="12"/>
              </w:rPr>
            </w:pPr>
            <w:r>
              <w:rPr>
                <w:w w:val="106"/>
                <w:sz w:val="12"/>
              </w:rPr>
              <w:t>1</w:t>
            </w:r>
          </w:p>
        </w:tc>
        <w:tc>
          <w:tcPr>
            <w:tcW w:w="739" w:type="dxa"/>
          </w:tcPr>
          <w:p>
            <w:pPr/>
          </w:p>
        </w:tc>
        <w:tc>
          <w:tcPr>
            <w:tcW w:w="694" w:type="dxa"/>
          </w:tcPr>
          <w:p>
            <w:pPr>
              <w:pStyle w:val="TableParagraph"/>
              <w:spacing w:before="10"/>
              <w:ind w:left="247" w:right="231"/>
              <w:rPr>
                <w:sz w:val="12"/>
              </w:rPr>
            </w:pPr>
            <w:r>
              <w:rPr>
                <w:w w:val="105"/>
                <w:sz w:val="12"/>
              </w:rPr>
              <w:t>0.7</w:t>
            </w:r>
          </w:p>
        </w:tc>
        <w:tc>
          <w:tcPr>
            <w:tcW w:w="734" w:type="dxa"/>
            <w:tcBorders>
              <w:right w:val="single" w:sz="9" w:space="0" w:color="000000"/>
            </w:tcBorders>
            <w:shd w:val="clear" w:color="auto" w:fill="67ED4D"/>
          </w:tcPr>
          <w:p>
            <w:pPr>
              <w:pStyle w:val="TableParagraph"/>
              <w:spacing w:before="10"/>
              <w:ind w:left="27"/>
              <w:rPr>
                <w:sz w:val="12"/>
              </w:rPr>
            </w:pPr>
            <w:r>
              <w:rPr>
                <w:w w:val="106"/>
                <w:sz w:val="12"/>
              </w:rPr>
              <w:t>1</w:t>
            </w:r>
          </w:p>
        </w:tc>
      </w:tr>
      <w:tr>
        <w:trPr>
          <w:trHeight w:val="168" w:hRule="exact"/>
        </w:trPr>
        <w:tc>
          <w:tcPr>
            <w:tcW w:w="627" w:type="dxa"/>
            <w:tcBorders>
              <w:left w:val="single" w:sz="4" w:space="0" w:color="000000"/>
            </w:tcBorders>
          </w:tcPr>
          <w:p>
            <w:pPr/>
          </w:p>
        </w:tc>
        <w:tc>
          <w:tcPr>
            <w:tcW w:w="2190" w:type="dxa"/>
          </w:tcPr>
          <w:p>
            <w:pPr/>
          </w:p>
        </w:tc>
        <w:tc>
          <w:tcPr>
            <w:tcW w:w="2338" w:type="dxa"/>
          </w:tcPr>
          <w:p>
            <w:pPr/>
          </w:p>
        </w:tc>
        <w:tc>
          <w:tcPr>
            <w:tcW w:w="1499" w:type="dxa"/>
          </w:tcPr>
          <w:p>
            <w:pPr>
              <w:pStyle w:val="TableParagraph"/>
              <w:spacing w:before="7"/>
              <w:ind w:left="588" w:right="191"/>
              <w:rPr>
                <w:sz w:val="12"/>
              </w:rPr>
            </w:pPr>
            <w:r>
              <w:rPr>
                <w:w w:val="105"/>
                <w:sz w:val="12"/>
              </w:rPr>
              <w:t>Subtotal</w:t>
            </w:r>
          </w:p>
        </w:tc>
        <w:tc>
          <w:tcPr>
            <w:tcW w:w="739" w:type="dxa"/>
          </w:tcPr>
          <w:p>
            <w:pPr>
              <w:pStyle w:val="TableParagraph"/>
              <w:tabs>
                <w:tab w:pos="749" w:val="left" w:leader="none"/>
              </w:tabs>
              <w:spacing w:before="7"/>
              <w:ind w:left="205" w:right="-11"/>
              <w:jc w:val="left"/>
              <w:rPr>
                <w:sz w:val="12"/>
              </w:rPr>
            </w:pPr>
            <w:r>
              <w:rPr>
                <w:w w:val="106"/>
                <w:sz w:val="12"/>
                <w:shd w:fill="F79646" w:color="auto" w:val="clear"/>
              </w:rPr>
              <w:t> </w:t>
            </w:r>
            <w:r>
              <w:rPr>
                <w:sz w:val="12"/>
                <w:shd w:fill="F79646" w:color="auto" w:val="clear"/>
              </w:rPr>
              <w:t>     </w:t>
            </w:r>
            <w:r>
              <w:rPr>
                <w:spacing w:val="-2"/>
                <w:sz w:val="12"/>
                <w:shd w:fill="F79646" w:color="auto" w:val="clear"/>
              </w:rPr>
              <w:t> </w:t>
            </w:r>
            <w:r>
              <w:rPr>
                <w:w w:val="105"/>
                <w:sz w:val="12"/>
                <w:shd w:fill="F79646" w:color="auto" w:val="clear"/>
              </w:rPr>
              <w:t>1</w:t>
            </w:r>
            <w:r>
              <w:rPr>
                <w:sz w:val="12"/>
                <w:shd w:fill="F79646" w:color="auto" w:val="clear"/>
              </w:rPr>
              <w:tab/>
            </w:r>
          </w:p>
        </w:tc>
        <w:tc>
          <w:tcPr>
            <w:tcW w:w="694" w:type="dxa"/>
          </w:tcPr>
          <w:p>
            <w:pPr>
              <w:pStyle w:val="TableParagraph"/>
              <w:spacing w:before="7"/>
              <w:ind w:left="247" w:right="231"/>
              <w:rPr>
                <w:sz w:val="12"/>
              </w:rPr>
            </w:pPr>
            <w:r>
              <w:rPr>
                <w:w w:val="105"/>
                <w:sz w:val="12"/>
              </w:rPr>
              <w:t>0.7</w:t>
            </w:r>
          </w:p>
        </w:tc>
        <w:tc>
          <w:tcPr>
            <w:tcW w:w="734" w:type="dxa"/>
            <w:tcBorders>
              <w:right w:val="single" w:sz="9" w:space="0" w:color="000000"/>
            </w:tcBorders>
            <w:shd w:val="clear" w:color="auto" w:fill="67ED4D"/>
          </w:tcPr>
          <w:p>
            <w:pPr>
              <w:pStyle w:val="TableParagraph"/>
              <w:spacing w:before="7"/>
              <w:ind w:left="27"/>
              <w:rPr>
                <w:sz w:val="12"/>
              </w:rPr>
            </w:pPr>
            <w:r>
              <w:rPr>
                <w:w w:val="106"/>
                <w:sz w:val="12"/>
              </w:rPr>
              <w:t>1</w:t>
            </w:r>
          </w:p>
        </w:tc>
      </w:tr>
      <w:tr>
        <w:trPr>
          <w:trHeight w:val="479" w:hRule="exact"/>
        </w:trPr>
        <w:tc>
          <w:tcPr>
            <w:tcW w:w="627" w:type="dxa"/>
            <w:tcBorders>
              <w:left w:val="single" w:sz="4" w:space="0" w:color="000000"/>
              <w:bottom w:val="single" w:sz="9" w:space="0" w:color="000000"/>
            </w:tcBorders>
          </w:tcPr>
          <w:p>
            <w:pPr/>
          </w:p>
        </w:tc>
        <w:tc>
          <w:tcPr>
            <w:tcW w:w="2190" w:type="dxa"/>
            <w:tcBorders>
              <w:bottom w:val="single" w:sz="9" w:space="0" w:color="000000"/>
            </w:tcBorders>
          </w:tcPr>
          <w:p>
            <w:pPr/>
          </w:p>
        </w:tc>
        <w:tc>
          <w:tcPr>
            <w:tcW w:w="2338" w:type="dxa"/>
            <w:tcBorders>
              <w:bottom w:val="single" w:sz="9" w:space="0" w:color="000000"/>
            </w:tcBorders>
          </w:tcPr>
          <w:p>
            <w:pPr/>
          </w:p>
        </w:tc>
        <w:tc>
          <w:tcPr>
            <w:tcW w:w="1499" w:type="dxa"/>
            <w:tcBorders>
              <w:bottom w:val="single" w:sz="9" w:space="0" w:color="000000"/>
            </w:tcBorders>
          </w:tcPr>
          <w:p>
            <w:pPr>
              <w:pStyle w:val="TableParagraph"/>
              <w:spacing w:before="9"/>
              <w:jc w:val="left"/>
              <w:rPr>
                <w:sz w:val="13"/>
              </w:rPr>
            </w:pPr>
          </w:p>
          <w:p>
            <w:pPr>
              <w:pStyle w:val="TableParagraph"/>
              <w:ind w:left="602" w:right="184"/>
              <w:rPr>
                <w:sz w:val="12"/>
              </w:rPr>
            </w:pPr>
            <w:r>
              <w:rPr>
                <w:w w:val="105"/>
                <w:sz w:val="12"/>
              </w:rPr>
              <w:t>Total IS</w:t>
            </w:r>
          </w:p>
        </w:tc>
        <w:tc>
          <w:tcPr>
            <w:tcW w:w="739" w:type="dxa"/>
            <w:tcBorders>
              <w:bottom w:val="single" w:sz="9" w:space="0" w:color="000000"/>
            </w:tcBorders>
          </w:tcPr>
          <w:p>
            <w:pPr>
              <w:pStyle w:val="TableParagraph"/>
              <w:spacing w:before="9"/>
              <w:jc w:val="left"/>
              <w:rPr>
                <w:sz w:val="13"/>
              </w:rPr>
            </w:pPr>
          </w:p>
          <w:p>
            <w:pPr>
              <w:pStyle w:val="TableParagraph"/>
              <w:ind w:left="205"/>
              <w:jc w:val="left"/>
              <w:rPr>
                <w:sz w:val="12"/>
              </w:rPr>
            </w:pPr>
            <w:r>
              <w:rPr>
                <w:w w:val="106"/>
                <w:sz w:val="12"/>
                <w:shd w:fill="F79646" w:color="auto" w:val="clear"/>
              </w:rPr>
              <w:t> </w:t>
            </w:r>
            <w:r>
              <w:rPr>
                <w:sz w:val="12"/>
                <w:shd w:fill="F79646" w:color="auto" w:val="clear"/>
              </w:rPr>
              <w:t>  </w:t>
            </w:r>
            <w:r>
              <w:rPr>
                <w:spacing w:val="13"/>
                <w:sz w:val="12"/>
                <w:shd w:fill="F79646" w:color="auto" w:val="clear"/>
              </w:rPr>
              <w:t> </w:t>
            </w:r>
            <w:r>
              <w:rPr>
                <w:spacing w:val="-3"/>
                <w:w w:val="105"/>
                <w:sz w:val="12"/>
                <w:shd w:fill="F79646" w:color="auto" w:val="clear"/>
              </w:rPr>
              <w:t>11.6</w:t>
            </w:r>
            <w:r>
              <w:rPr>
                <w:spacing w:val="-12"/>
                <w:sz w:val="12"/>
                <w:shd w:fill="F79646" w:color="auto" w:val="clear"/>
              </w:rPr>
              <w:t> </w:t>
            </w:r>
          </w:p>
        </w:tc>
        <w:tc>
          <w:tcPr>
            <w:tcW w:w="694" w:type="dxa"/>
            <w:tcBorders>
              <w:bottom w:val="single" w:sz="9" w:space="0" w:color="000000"/>
            </w:tcBorders>
          </w:tcPr>
          <w:p>
            <w:pPr>
              <w:pStyle w:val="TableParagraph"/>
              <w:spacing w:before="9"/>
              <w:jc w:val="left"/>
              <w:rPr>
                <w:sz w:val="13"/>
              </w:rPr>
            </w:pPr>
          </w:p>
          <w:p>
            <w:pPr>
              <w:pStyle w:val="TableParagraph"/>
              <w:tabs>
                <w:tab w:pos="703" w:val="left" w:leader="none"/>
              </w:tabs>
              <w:ind w:right="-10"/>
              <w:rPr>
                <w:sz w:val="12"/>
              </w:rPr>
            </w:pPr>
            <w:r>
              <w:rPr>
                <w:w w:val="106"/>
                <w:sz w:val="12"/>
                <w:shd w:fill="FFFF00" w:color="auto" w:val="clear"/>
              </w:rPr>
              <w:t> </w:t>
            </w:r>
            <w:r>
              <w:rPr>
                <w:sz w:val="12"/>
                <w:shd w:fill="FFFF00" w:color="auto" w:val="clear"/>
              </w:rPr>
              <w:t>     </w:t>
            </w:r>
            <w:r>
              <w:rPr>
                <w:spacing w:val="-2"/>
                <w:sz w:val="12"/>
                <w:shd w:fill="FFFF00" w:color="auto" w:val="clear"/>
              </w:rPr>
              <w:t> </w:t>
            </w:r>
            <w:r>
              <w:rPr>
                <w:spacing w:val="-3"/>
                <w:w w:val="105"/>
                <w:sz w:val="12"/>
                <w:shd w:fill="FFFF00" w:color="auto" w:val="clear"/>
              </w:rPr>
              <w:t>11.4</w:t>
            </w:r>
            <w:r>
              <w:rPr>
                <w:spacing w:val="-3"/>
                <w:sz w:val="12"/>
                <w:shd w:fill="FFFF00" w:color="auto" w:val="clear"/>
              </w:rPr>
              <w:tab/>
            </w:r>
          </w:p>
        </w:tc>
        <w:tc>
          <w:tcPr>
            <w:tcW w:w="734" w:type="dxa"/>
            <w:tcBorders>
              <w:bottom w:val="single" w:sz="9" w:space="0" w:color="000000"/>
              <w:right w:val="single" w:sz="9" w:space="0" w:color="000000"/>
            </w:tcBorders>
          </w:tcPr>
          <w:p>
            <w:pPr>
              <w:pStyle w:val="TableParagraph"/>
              <w:spacing w:before="9"/>
              <w:jc w:val="left"/>
              <w:rPr>
                <w:sz w:val="13"/>
              </w:rPr>
            </w:pPr>
          </w:p>
          <w:p>
            <w:pPr>
              <w:pStyle w:val="TableParagraph"/>
              <w:ind w:left="278" w:right="265"/>
              <w:rPr>
                <w:sz w:val="12"/>
              </w:rPr>
            </w:pPr>
            <w:r>
              <w:rPr>
                <w:w w:val="105"/>
                <w:sz w:val="12"/>
              </w:rPr>
              <w:t>15</w:t>
            </w:r>
          </w:p>
        </w:tc>
      </w:tr>
    </w:tbl>
    <w:p>
      <w:pPr>
        <w:pStyle w:val="BodyText"/>
        <w:spacing w:before="9"/>
        <w:rPr>
          <w:sz w:val="18"/>
        </w:rPr>
      </w:pPr>
    </w:p>
    <w:p>
      <w:pPr>
        <w:spacing w:before="0"/>
        <w:ind w:left="268" w:right="0" w:firstLine="0"/>
        <w:jc w:val="left"/>
        <w:rPr>
          <w:sz w:val="21"/>
        </w:rPr>
      </w:pPr>
      <w:r>
        <w:rPr/>
        <w:pict>
          <v:group style="position:absolute;margin-left:366.894501pt;margin-top:-100.064087pt;width:76.25pt;height:9.1pt;mso-position-horizontal-relative:page;mso-position-vertical-relative:paragraph;z-index:-1136824" coordorigin="7338,-2001" coordsize="1525,182">
            <v:line style="position:absolute" from="7343,-1996" to="7343,-1825" stroked="true" strokeweight=".533pt" strokecolor="#baf9f5"/>
            <v:rect style="position:absolute;left:7349;top:-1996;width:1514;height:170" filled="true" fillcolor="#baf9f5" stroked="false">
              <v:fill type="solid"/>
            </v:rect>
            <w10:wrap type="none"/>
          </v:group>
        </w:pict>
      </w:r>
      <w:r>
        <w:rPr/>
        <w:pict>
          <v:group style="position:absolute;margin-left:366.894501pt;margin-top:-76.09008pt;width:76.25pt;height:9.1pt;mso-position-horizontal-relative:page;mso-position-vertical-relative:paragraph;z-index:-1136800" coordorigin="7338,-1522" coordsize="1525,182">
            <v:line style="position:absolute" from="7343,-1516" to="7343,-1346" stroked="true" strokeweight=".533pt" strokecolor="#baf9f5"/>
            <v:rect style="position:absolute;left:7349;top:-1516;width:1514;height:170" filled="true" fillcolor="#baf9f5" stroked="false">
              <v:fill type="solid"/>
            </v:rect>
            <w10:wrap type="none"/>
          </v:group>
        </w:pict>
      </w:r>
      <w:r>
        <w:rPr/>
        <w:pict>
          <v:group style="position:absolute;margin-left:366.894501pt;margin-top:-52.117092pt;width:76.25pt;height:9.1pt;mso-position-horizontal-relative:page;mso-position-vertical-relative:paragraph;z-index:-1136776" coordorigin="7338,-1042" coordsize="1525,182">
            <v:line style="position:absolute" from="7343,-1037" to="7343,-866" stroked="true" strokeweight=".533pt" strokecolor="#baf9f5"/>
            <v:rect style="position:absolute;left:7349;top:-1037;width:1514;height:170" filled="true" fillcolor="#baf9f5" stroked="false">
              <v:fill type="solid"/>
            </v:rect>
            <w10:wrap type="none"/>
          </v:group>
        </w:pict>
      </w:r>
      <w:r>
        <w:rPr/>
        <w:pict>
          <v:shape style="position:absolute;margin-left:469.242035pt;margin-top:-99.788132pt;width:35.2pt;height:16.55pt;mso-position-horizontal-relative:page;mso-position-vertical-relative:paragraph;z-index:-1136752" coordorigin="9385,-1996" coordsize="704,331" path="m10088,-1996l9385,-1996,9385,-1836,9385,-1825,9385,-1665,10088,-1665,10088,-1825,10088,-1836,10088,-1996e" filled="true" fillcolor="#ffff00" stroked="false">
            <v:path arrowok="t"/>
            <v:fill type="solid"/>
            <w10:wrap type="none"/>
          </v:shape>
        </w:pict>
      </w:r>
      <w:r>
        <w:rPr/>
        <w:pict>
          <v:shape style="position:absolute;margin-left:469.242035pt;margin-top:-75.814133pt;width:35.2pt;height:16.55pt;mso-position-horizontal-relative:page;mso-position-vertical-relative:paragraph;z-index:-1136728" coordorigin="9385,-1516" coordsize="704,331" path="m10088,-1516l9385,-1516,9385,-1356,9385,-1346,9385,-1186,10088,-1186,10088,-1346,10088,-1356,10088,-1516e" filled="true" fillcolor="#ffff00" stroked="false">
            <v:path arrowok="t"/>
            <v:fill type="solid"/>
            <w10:wrap type="none"/>
          </v:shape>
        </w:pict>
      </w:r>
      <w:r>
        <w:rPr/>
        <w:pict>
          <v:shape style="position:absolute;margin-left:469.242035pt;margin-top:-51.841129pt;width:35.2pt;height:16.55pt;mso-position-horizontal-relative:page;mso-position-vertical-relative:paragraph;z-index:-1136704" coordorigin="9385,-1037" coordsize="704,331" path="m10088,-1037l9385,-1037,9385,-877,9385,-866,9385,-707,10088,-707,10088,-866,10088,-877,10088,-1037e" filled="true" fillcolor="#ffff00" stroked="false">
            <v:path arrowok="t"/>
            <v:fill type="solid"/>
            <w10:wrap type="none"/>
          </v:shape>
        </w:pict>
      </w:r>
      <w:r>
        <w:rPr/>
        <w:pict>
          <v:rect style="position:absolute;margin-left:503.888pt;margin-top:-27.86808pt;width:37.311pt;height:8.523960pt;mso-position-horizontal-relative:page;mso-position-vertical-relative:paragraph;z-index:-1136680" filled="true" fillcolor="#67ed4d"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spacing w:before="1"/>
        <w:rPr>
          <w:sz w:val="18"/>
        </w:rPr>
      </w:pPr>
    </w:p>
    <w:p>
      <w:pPr>
        <w:pStyle w:val="BodyText"/>
        <w:spacing w:before="69" w:after="13"/>
        <w:ind w:left="268"/>
      </w:pPr>
      <w:r>
        <w:rPr/>
        <w:pict>
          <v:line style="position:absolute;mso-position-horizontal-relative:page;mso-position-vertical-relative:paragraph;z-index:21376" from="93.199997pt,-19.614155pt" to="546.799997pt,-19.614155pt" stroked="true" strokeweight=".479981pt" strokecolor="#000000">
            <w10:wrap type="none"/>
          </v:line>
        </w:pict>
      </w:r>
      <w:r>
        <w:rPr/>
        <w:pict>
          <v:group style="position:absolute;margin-left:366.906494pt;margin-top:56.545406pt;width:76.25pt;height:41.1pt;mso-position-horizontal-relative:page;mso-position-vertical-relative:paragraph;z-index:-1136632" coordorigin="7338,1131" coordsize="1525,822">
            <v:line style="position:absolute" from="7344,1136" to="7344,1307" stroked="true" strokeweight=".533pt" strokecolor="#baf9f5"/>
            <v:shape style="position:absolute;left:7349;top:1136;width:1514;height:651" coordorigin="7349,1136" coordsize="1514,651" path="m8863,1136l7349,1136,7349,1296,7349,1307,7349,1467,7349,1627,7349,1787,8863,1787,8863,1627,8863,1467,8863,1307,8863,1296,8863,1136e" filled="true" fillcolor="#baf9f5" stroked="false">
              <v:path arrowok="t"/>
              <v:fill type="solid"/>
            </v:shape>
            <v:line style="position:absolute" from="7344,1296" to="7344,1947" stroked="true" strokeweight=".533pt" strokecolor="#baf9f5"/>
            <v:rect style="position:absolute;left:7349;top:1787;width:1514;height:160" filled="true" fillcolor="#baf9f5" stroked="false">
              <v:fill type="solid"/>
            </v:rect>
            <w10:wrap type="none"/>
          </v:group>
        </w:pict>
      </w:r>
      <w:r>
        <w:rPr/>
        <w:pict>
          <v:shape style="position:absolute;margin-left:469.258026pt;margin-top:56.820805pt;width:35.2pt;height:48.55pt;mso-position-horizontal-relative:page;mso-position-vertical-relative:paragraph;z-index:-1136608" coordorigin="9385,1136" coordsize="704,971" path="m10089,1787l9385,1787,9385,1936,9385,1947,9385,2107,10089,2107,10089,1947,10089,1936,10089,1787m10089,1136l9385,1136,9385,1296,9385,1307,9385,1467,9385,1627,9385,1787,10089,1787,10089,1627,10089,1467,10089,1307,10089,1296,10089,1136e" filled="true" fillcolor="#ffff00" stroked="false">
            <v:path arrowok="t"/>
            <v:fill type="solid"/>
            <w10:wrap type="none"/>
          </v:shape>
        </w:pict>
      </w:r>
      <w:r>
        <w:rPr/>
        <w:pict>
          <v:group style="position:absolute;margin-left:366.906494pt;margin-top:144.526138pt;width:76.25pt;height:57.1pt;mso-position-horizontal-relative:page;mso-position-vertical-relative:paragraph;z-index:-1136584" coordorigin="7338,2891" coordsize="1525,1142">
            <v:line style="position:absolute" from="7344,2896" to="7344,3067" stroked="true" strokeweight=".533pt" strokecolor="#baf9f5"/>
            <v:rect style="position:absolute;left:7349;top:2896;width:1514;height:171" filled="true" fillcolor="#baf9f5" stroked="false">
              <v:fill type="solid"/>
            </v:rect>
            <v:line style="position:absolute" from="7344,3067" to="7344,3227" stroked="true" strokeweight=".533pt" strokecolor="#baf9f5"/>
            <v:rect style="position:absolute;left:7349;top:3067;width:1514;height:160" filled="true" fillcolor="#baf9f5" stroked="false">
              <v:fill type="solid"/>
            </v:rect>
            <v:line style="position:absolute" from="7344,3227" to="7344,3387" stroked="true" strokeweight=".533pt" strokecolor="#baf9f5"/>
            <v:rect style="position:absolute;left:7349;top:3227;width:1514;height:160" filled="true" fillcolor="#baf9f5" stroked="false">
              <v:fill type="solid"/>
            </v:rect>
            <v:line style="position:absolute" from="7344,3387" to="7344,3547" stroked="true" strokeweight=".533pt" strokecolor="#baf9f5"/>
            <v:rect style="position:absolute;left:7349;top:3387;width:1514;height:160" filled="true" fillcolor="#baf9f5" stroked="false">
              <v:fill type="solid"/>
            </v:rect>
            <v:line style="position:absolute" from="7344,3547" to="7344,3707" stroked="true" strokeweight=".533pt" strokecolor="#baf9f5"/>
            <v:rect style="position:absolute;left:7349;top:3547;width:1514;height:160" filled="true" fillcolor="#baf9f5" stroked="false">
              <v:fill type="solid"/>
            </v:rect>
            <v:line style="position:absolute" from="7344,3707" to="7344,3866" stroked="true" strokeweight=".533pt" strokecolor="#baf9f5"/>
            <v:rect style="position:absolute;left:7349;top:3707;width:1514;height:160" filled="true" fillcolor="#baf9f5" stroked="false">
              <v:fill type="solid"/>
            </v:rect>
            <v:line style="position:absolute" from="7344,3866" to="7344,4026" stroked="true" strokeweight=".533pt" strokecolor="#baf9f5"/>
            <v:rect style="position:absolute;left:7349;top:3866;width:1514;height:160" filled="true" fillcolor="#baf9f5" stroked="false">
              <v:fill type="solid"/>
            </v:rect>
            <w10:wrap type="none"/>
          </v:group>
        </w:pict>
      </w:r>
      <w:r>
        <w:rPr/>
        <w:pict>
          <v:shape style="position:absolute;margin-left:469.258026pt;margin-top:120.806808pt;width:35.2pt;height:16.55pt;mso-position-horizontal-relative:page;mso-position-vertical-relative:paragraph;z-index:-1136560" coordorigin="9385,2416" coordsize="704,331" path="m10089,2416l9385,2416,9385,2576,9385,2587,9385,2747,10089,2747,10089,2587,10089,2576,10089,2416e" filled="true" fillcolor="#ffff00" stroked="false">
            <v:path arrowok="t"/>
            <v:fill type="solid"/>
            <w10:wrap type="none"/>
          </v:shape>
        </w:pict>
      </w:r>
      <w:r>
        <w:rPr/>
        <w:pict>
          <v:shape style="position:absolute;margin-left:469.258026pt;margin-top:144.801804pt;width:35.2pt;height:64.55pt;mso-position-horizontal-relative:page;mso-position-vertical-relative:paragraph;z-index:-1136536" coordorigin="9385,2896" coordsize="704,1291" path="m10089,3866l9385,3866,9385,4016,9385,4026,9385,4186,10089,4186,10089,4026,10089,4016,10089,3866m10089,3547l9385,3547,9385,3707,9385,3866,10089,3866,10089,3707,10089,3547m10089,2896l9385,2896,9385,3067,9385,3227,9385,3387,9385,3547,10089,3547,10089,3387,10089,3227,10089,3067,10089,2896e" filled="true" fillcolor="#ffff00" stroked="false">
            <v:path arrowok="t"/>
            <v:fill type="solid"/>
            <w10:wrap type="none"/>
          </v:shape>
        </w:pict>
      </w:r>
      <w:r>
        <w:rPr/>
        <w:t>Tabla 49. ISA Villas del Campo II</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74"/>
        <w:gridCol w:w="1887"/>
        <w:gridCol w:w="2281"/>
        <w:gridCol w:w="1812"/>
        <w:gridCol w:w="700"/>
        <w:gridCol w:w="732"/>
        <w:gridCol w:w="736"/>
      </w:tblGrid>
      <w:tr>
        <w:trPr>
          <w:trHeight w:val="464" w:hRule="exact"/>
        </w:trPr>
        <w:tc>
          <w:tcPr>
            <w:tcW w:w="8822" w:type="dxa"/>
            <w:gridSpan w:val="7"/>
            <w:tcBorders>
              <w:bottom w:val="nil"/>
              <w:right w:val="single" w:sz="4" w:space="0" w:color="76933C"/>
            </w:tcBorders>
            <w:shd w:val="clear" w:color="auto" w:fill="000000"/>
          </w:tcPr>
          <w:p>
            <w:pPr>
              <w:pStyle w:val="TableParagraph"/>
              <w:spacing w:before="52"/>
              <w:ind w:left="3327" w:right="3308"/>
              <w:rPr>
                <w:b/>
                <w:sz w:val="12"/>
              </w:rPr>
            </w:pPr>
            <w:r>
              <w:rPr>
                <w:b/>
                <w:color w:val="FFFFFF"/>
                <w:w w:val="105"/>
                <w:sz w:val="12"/>
              </w:rPr>
              <w:t>Villas del Campo II</w:t>
            </w:r>
          </w:p>
          <w:p>
            <w:pPr>
              <w:pStyle w:val="TableParagraph"/>
              <w:spacing w:before="22"/>
              <w:ind w:left="3327" w:right="3320"/>
              <w:rPr>
                <w:b/>
                <w:sz w:val="12"/>
              </w:rPr>
            </w:pPr>
            <w:r>
              <w:rPr>
                <w:b/>
                <w:color w:val="FFFFFF"/>
                <w:w w:val="105"/>
                <w:sz w:val="12"/>
              </w:rPr>
              <w:t>Índice de sustentabilidad ambiental</w:t>
            </w:r>
          </w:p>
        </w:tc>
      </w:tr>
      <w:tr>
        <w:trPr>
          <w:trHeight w:val="165" w:hRule="exact"/>
        </w:trPr>
        <w:tc>
          <w:tcPr>
            <w:tcW w:w="674" w:type="dxa"/>
            <w:tcBorders>
              <w:top w:val="single" w:sz="4" w:space="0" w:color="FFFFFF"/>
              <w:left w:val="single" w:sz="4" w:space="0" w:color="000000"/>
            </w:tcBorders>
            <w:shd w:val="clear" w:color="auto" w:fill="808080"/>
          </w:tcPr>
          <w:p>
            <w:pPr>
              <w:pStyle w:val="TableParagraph"/>
              <w:spacing w:line="137" w:lineRule="exact"/>
              <w:ind w:left="37" w:right="16"/>
              <w:rPr>
                <w:b/>
                <w:sz w:val="12"/>
              </w:rPr>
            </w:pPr>
            <w:r>
              <w:rPr>
                <w:b/>
                <w:color w:val="FFFFFF"/>
                <w:w w:val="105"/>
                <w:sz w:val="12"/>
              </w:rPr>
              <w:t>Índice</w:t>
            </w:r>
          </w:p>
        </w:tc>
        <w:tc>
          <w:tcPr>
            <w:tcW w:w="1887" w:type="dxa"/>
            <w:tcBorders>
              <w:top w:val="single" w:sz="4" w:space="0" w:color="FFFFFF"/>
            </w:tcBorders>
            <w:shd w:val="clear" w:color="auto" w:fill="808080"/>
          </w:tcPr>
          <w:p>
            <w:pPr>
              <w:pStyle w:val="TableParagraph"/>
              <w:spacing w:line="137" w:lineRule="exact"/>
              <w:ind w:left="46"/>
              <w:jc w:val="left"/>
              <w:rPr>
                <w:b/>
                <w:sz w:val="12"/>
              </w:rPr>
            </w:pPr>
            <w:r>
              <w:rPr>
                <w:b/>
                <w:color w:val="FFFFFF"/>
                <w:w w:val="105"/>
                <w:sz w:val="12"/>
              </w:rPr>
              <w:t>Subíndice</w:t>
            </w:r>
          </w:p>
        </w:tc>
        <w:tc>
          <w:tcPr>
            <w:tcW w:w="2281" w:type="dxa"/>
            <w:tcBorders>
              <w:top w:val="single" w:sz="4" w:space="0" w:color="FFFFFF"/>
            </w:tcBorders>
            <w:shd w:val="clear" w:color="auto" w:fill="808080"/>
          </w:tcPr>
          <w:p>
            <w:pPr>
              <w:pStyle w:val="TableParagraph"/>
              <w:spacing w:line="137" w:lineRule="exact"/>
              <w:ind w:left="290" w:right="323"/>
              <w:jc w:val="left"/>
              <w:rPr>
                <w:b/>
                <w:sz w:val="12"/>
              </w:rPr>
            </w:pPr>
            <w:r>
              <w:rPr>
                <w:b/>
                <w:color w:val="FFFFFF"/>
                <w:w w:val="105"/>
                <w:sz w:val="12"/>
              </w:rPr>
              <w:t>Indicador</w:t>
            </w:r>
          </w:p>
        </w:tc>
        <w:tc>
          <w:tcPr>
            <w:tcW w:w="1812" w:type="dxa"/>
            <w:tcBorders>
              <w:top w:val="single" w:sz="4" w:space="0" w:color="FFFFFF"/>
            </w:tcBorders>
            <w:shd w:val="clear" w:color="auto" w:fill="808080"/>
          </w:tcPr>
          <w:p>
            <w:pPr/>
          </w:p>
        </w:tc>
        <w:tc>
          <w:tcPr>
            <w:tcW w:w="700" w:type="dxa"/>
            <w:tcBorders>
              <w:top w:val="single" w:sz="4" w:space="0" w:color="FFFFFF"/>
            </w:tcBorders>
            <w:shd w:val="clear" w:color="auto" w:fill="808080"/>
          </w:tcPr>
          <w:p>
            <w:pPr>
              <w:pStyle w:val="TableParagraph"/>
              <w:spacing w:line="137" w:lineRule="exact"/>
              <w:ind w:left="205" w:right="-50"/>
              <w:jc w:val="left"/>
              <w:rPr>
                <w:b/>
                <w:sz w:val="12"/>
              </w:rPr>
            </w:pPr>
            <w:r>
              <w:rPr>
                <w:b/>
                <w:color w:val="FFFFFF"/>
                <w:w w:val="105"/>
                <w:sz w:val="12"/>
              </w:rPr>
              <w:t>Valores</w:t>
            </w:r>
          </w:p>
        </w:tc>
        <w:tc>
          <w:tcPr>
            <w:tcW w:w="732" w:type="dxa"/>
            <w:tcBorders>
              <w:top w:val="single" w:sz="4" w:space="0" w:color="FFFFFF"/>
            </w:tcBorders>
            <w:shd w:val="clear" w:color="auto" w:fill="808080"/>
          </w:tcPr>
          <w:p>
            <w:pPr/>
          </w:p>
        </w:tc>
        <w:tc>
          <w:tcPr>
            <w:tcW w:w="736" w:type="dxa"/>
            <w:tcBorders>
              <w:top w:val="single" w:sz="4" w:space="0" w:color="FFFFFF"/>
              <w:right w:val="single" w:sz="9" w:space="0" w:color="000000"/>
            </w:tcBorders>
            <w:shd w:val="clear" w:color="auto" w:fill="808080"/>
          </w:tcPr>
          <w:p>
            <w:pPr/>
          </w:p>
        </w:tc>
      </w:tr>
      <w:tr>
        <w:trPr>
          <w:trHeight w:val="149" w:hRule="exact"/>
        </w:trPr>
        <w:tc>
          <w:tcPr>
            <w:tcW w:w="8822" w:type="dxa"/>
            <w:gridSpan w:val="7"/>
            <w:tcBorders>
              <w:left w:val="single" w:sz="4" w:space="0" w:color="000000"/>
              <w:right w:val="single" w:sz="9" w:space="0" w:color="000000"/>
            </w:tcBorders>
          </w:tcPr>
          <w:p>
            <w:pPr/>
          </w:p>
        </w:tc>
      </w:tr>
      <w:tr>
        <w:trPr>
          <w:trHeight w:val="163" w:hRule="exact"/>
        </w:trPr>
        <w:tc>
          <w:tcPr>
            <w:tcW w:w="674" w:type="dxa"/>
            <w:vMerge w:val="restart"/>
            <w:tcBorders>
              <w:left w:val="single" w:sz="4" w:space="0" w:color="000000"/>
            </w:tcBorders>
          </w:tcPr>
          <w:p>
            <w:pPr/>
          </w:p>
        </w:tc>
        <w:tc>
          <w:tcPr>
            <w:tcW w:w="1887" w:type="dxa"/>
          </w:tcPr>
          <w:p>
            <w:pPr/>
          </w:p>
        </w:tc>
        <w:tc>
          <w:tcPr>
            <w:tcW w:w="2281" w:type="dxa"/>
          </w:tcPr>
          <w:p>
            <w:pPr/>
          </w:p>
        </w:tc>
        <w:tc>
          <w:tcPr>
            <w:tcW w:w="1812" w:type="dxa"/>
          </w:tcPr>
          <w:p>
            <w:pPr>
              <w:pStyle w:val="TableParagraph"/>
              <w:spacing w:before="10"/>
              <w:ind w:left="915" w:right="191"/>
              <w:rPr>
                <w:b/>
                <w:sz w:val="12"/>
              </w:rPr>
            </w:pPr>
            <w:r>
              <w:rPr>
                <w:b/>
                <w:w w:val="105"/>
                <w:sz w:val="12"/>
              </w:rPr>
              <w:t>Evaluación</w:t>
            </w:r>
          </w:p>
        </w:tc>
        <w:tc>
          <w:tcPr>
            <w:tcW w:w="700" w:type="dxa"/>
          </w:tcPr>
          <w:p>
            <w:pPr>
              <w:pStyle w:val="TableParagraph"/>
              <w:spacing w:before="10"/>
              <w:ind w:left="205" w:right="-50"/>
              <w:jc w:val="left"/>
              <w:rPr>
                <w:b/>
                <w:sz w:val="12"/>
              </w:rPr>
            </w:pPr>
            <w:r>
              <w:rPr>
                <w:b/>
                <w:w w:val="106"/>
                <w:sz w:val="12"/>
                <w:shd w:fill="F79646" w:color="auto" w:val="clear"/>
              </w:rPr>
              <w:t> </w:t>
            </w:r>
            <w:r>
              <w:rPr>
                <w:b/>
                <w:sz w:val="12"/>
                <w:shd w:fill="F79646" w:color="auto" w:val="clear"/>
              </w:rPr>
              <w:t>  </w:t>
            </w:r>
            <w:r>
              <w:rPr>
                <w:b/>
                <w:spacing w:val="3"/>
                <w:sz w:val="12"/>
                <w:shd w:fill="F79646" w:color="auto" w:val="clear"/>
              </w:rPr>
              <w:t> </w:t>
            </w:r>
            <w:r>
              <w:rPr>
                <w:b/>
                <w:w w:val="105"/>
                <w:sz w:val="12"/>
                <w:shd w:fill="F79646" w:color="auto" w:val="clear"/>
              </w:rPr>
              <w:t>Real</w:t>
            </w:r>
            <w:r>
              <w:rPr>
                <w:b/>
                <w:spacing w:val="1"/>
                <w:sz w:val="12"/>
                <w:shd w:fill="F79646" w:color="auto" w:val="clear"/>
              </w:rPr>
              <w:t> </w:t>
            </w:r>
          </w:p>
        </w:tc>
        <w:tc>
          <w:tcPr>
            <w:tcW w:w="732" w:type="dxa"/>
          </w:tcPr>
          <w:p>
            <w:pPr>
              <w:pStyle w:val="TableParagraph"/>
              <w:spacing w:before="10"/>
              <w:ind w:left="97" w:right="40"/>
              <w:rPr>
                <w:b/>
                <w:sz w:val="12"/>
              </w:rPr>
            </w:pPr>
            <w:r>
              <w:rPr>
                <w:b/>
                <w:w w:val="105"/>
                <w:sz w:val="12"/>
              </w:rPr>
              <w:t>Deseable</w:t>
            </w:r>
          </w:p>
        </w:tc>
        <w:tc>
          <w:tcPr>
            <w:tcW w:w="736" w:type="dxa"/>
            <w:tcBorders>
              <w:right w:val="single" w:sz="9" w:space="0" w:color="000000"/>
            </w:tcBorders>
            <w:shd w:val="clear" w:color="auto" w:fill="67ED4D"/>
          </w:tcPr>
          <w:p>
            <w:pPr>
              <w:pStyle w:val="TableParagraph"/>
              <w:spacing w:before="10"/>
              <w:ind w:left="132" w:right="111"/>
              <w:rPr>
                <w:b/>
                <w:sz w:val="12"/>
              </w:rPr>
            </w:pPr>
            <w:r>
              <w:rPr>
                <w:b/>
                <w:w w:val="105"/>
                <w:sz w:val="12"/>
              </w:rPr>
              <w:t>Óptimo</w:t>
            </w:r>
          </w:p>
        </w:tc>
      </w:tr>
      <w:tr>
        <w:trPr>
          <w:trHeight w:val="160" w:hRule="exact"/>
        </w:trPr>
        <w:tc>
          <w:tcPr>
            <w:tcW w:w="674" w:type="dxa"/>
            <w:vMerge/>
            <w:tcBorders>
              <w:left w:val="single" w:sz="4" w:space="0" w:color="000000"/>
            </w:tcBorders>
          </w:tcPr>
          <w:p>
            <w:pPr/>
          </w:p>
        </w:tc>
        <w:tc>
          <w:tcPr>
            <w:tcW w:w="1887" w:type="dxa"/>
          </w:tcPr>
          <w:p>
            <w:pPr/>
          </w:p>
        </w:tc>
        <w:tc>
          <w:tcPr>
            <w:tcW w:w="2281" w:type="dxa"/>
          </w:tcPr>
          <w:p>
            <w:pPr>
              <w:pStyle w:val="TableParagraph"/>
              <w:spacing w:before="7"/>
              <w:ind w:left="290" w:right="323"/>
              <w:jc w:val="left"/>
              <w:rPr>
                <w:sz w:val="12"/>
              </w:rPr>
            </w:pPr>
            <w:r>
              <w:rPr>
                <w:w w:val="105"/>
                <w:sz w:val="12"/>
              </w:rPr>
              <w:t>Tipo de la vivienda</w:t>
            </w:r>
          </w:p>
        </w:tc>
        <w:tc>
          <w:tcPr>
            <w:tcW w:w="1812" w:type="dxa"/>
          </w:tcPr>
          <w:p>
            <w:pPr>
              <w:pStyle w:val="TableParagraph"/>
              <w:spacing w:before="7"/>
              <w:ind w:left="717"/>
              <w:rPr>
                <w:sz w:val="12"/>
              </w:rPr>
            </w:pPr>
            <w:r>
              <w:rPr>
                <w:w w:val="106"/>
                <w:sz w:val="12"/>
              </w:rPr>
              <w:t>0</w:t>
            </w:r>
          </w:p>
        </w:tc>
        <w:tc>
          <w:tcPr>
            <w:tcW w:w="700" w:type="dxa"/>
          </w:tcPr>
          <w:p>
            <w:pPr/>
          </w:p>
        </w:tc>
        <w:tc>
          <w:tcPr>
            <w:tcW w:w="732" w:type="dxa"/>
          </w:tcPr>
          <w:p>
            <w:pPr>
              <w:pStyle w:val="TableParagraph"/>
              <w:spacing w:before="7"/>
              <w:ind w:left="96" w:right="40"/>
              <w:rPr>
                <w:sz w:val="12"/>
              </w:rPr>
            </w:pPr>
            <w:r>
              <w:rPr>
                <w:w w:val="105"/>
                <w:sz w:val="12"/>
              </w:rPr>
              <w:t>0.6</w:t>
            </w:r>
          </w:p>
        </w:tc>
        <w:tc>
          <w:tcPr>
            <w:tcW w:w="736" w:type="dxa"/>
            <w:tcBorders>
              <w:right w:val="single" w:sz="9" w:space="0" w:color="000000"/>
            </w:tcBorders>
            <w:shd w:val="clear" w:color="auto" w:fill="67ED4D"/>
          </w:tcPr>
          <w:p>
            <w:pPr>
              <w:pStyle w:val="TableParagraph"/>
              <w:spacing w:before="7"/>
              <w:ind w:left="28"/>
              <w:rPr>
                <w:sz w:val="12"/>
              </w:rPr>
            </w:pPr>
            <w:r>
              <w:rPr>
                <w:w w:val="106"/>
                <w:sz w:val="12"/>
              </w:rPr>
              <w:t>1</w:t>
            </w:r>
          </w:p>
        </w:tc>
      </w:tr>
      <w:tr>
        <w:trPr>
          <w:trHeight w:val="160" w:hRule="exact"/>
        </w:trPr>
        <w:tc>
          <w:tcPr>
            <w:tcW w:w="674" w:type="dxa"/>
            <w:vMerge/>
            <w:tcBorders>
              <w:left w:val="single" w:sz="4" w:space="0" w:color="000000"/>
            </w:tcBorders>
          </w:tcPr>
          <w:p>
            <w:pPr/>
          </w:p>
        </w:tc>
        <w:tc>
          <w:tcPr>
            <w:tcW w:w="1887" w:type="dxa"/>
            <w:vMerge w:val="restart"/>
          </w:tcPr>
          <w:p>
            <w:pPr>
              <w:pStyle w:val="TableParagraph"/>
              <w:spacing w:before="81"/>
              <w:ind w:left="46"/>
              <w:jc w:val="left"/>
              <w:rPr>
                <w:sz w:val="12"/>
              </w:rPr>
            </w:pPr>
            <w:r>
              <w:rPr>
                <w:w w:val="105"/>
                <w:sz w:val="12"/>
              </w:rPr>
              <w:t>Autorizaciones</w:t>
            </w:r>
          </w:p>
        </w:tc>
        <w:tc>
          <w:tcPr>
            <w:tcW w:w="2281" w:type="dxa"/>
            <w:vMerge w:val="restart"/>
          </w:tcPr>
          <w:p>
            <w:pPr>
              <w:pStyle w:val="TableParagraph"/>
              <w:spacing w:line="278" w:lineRule="auto" w:before="7"/>
              <w:ind w:left="290" w:right="323"/>
              <w:jc w:val="left"/>
              <w:rPr>
                <w:sz w:val="12"/>
              </w:rPr>
            </w:pPr>
            <w:r>
              <w:rPr>
                <w:w w:val="105"/>
                <w:sz w:val="12"/>
              </w:rPr>
              <w:t>Metros de construcción Metros de terreno</w:t>
            </w:r>
          </w:p>
        </w:tc>
        <w:tc>
          <w:tcPr>
            <w:tcW w:w="1812" w:type="dxa"/>
            <w:vMerge w:val="restart"/>
          </w:tcPr>
          <w:p>
            <w:pPr>
              <w:pStyle w:val="TableParagraph"/>
              <w:spacing w:before="7"/>
              <w:ind w:right="509"/>
              <w:jc w:val="right"/>
              <w:rPr>
                <w:sz w:val="12"/>
              </w:rPr>
            </w:pPr>
            <w:r>
              <w:rPr>
                <w:w w:val="106"/>
                <w:sz w:val="12"/>
              </w:rPr>
              <w:t>0</w:t>
            </w:r>
          </w:p>
          <w:p>
            <w:pPr>
              <w:pStyle w:val="TableParagraph"/>
              <w:spacing w:before="22"/>
              <w:ind w:right="509"/>
              <w:jc w:val="right"/>
              <w:rPr>
                <w:sz w:val="12"/>
              </w:rPr>
            </w:pPr>
            <w:r>
              <w:rPr>
                <w:w w:val="106"/>
                <w:sz w:val="12"/>
              </w:rPr>
              <w:t>1</w:t>
            </w:r>
          </w:p>
        </w:tc>
        <w:tc>
          <w:tcPr>
            <w:tcW w:w="700" w:type="dxa"/>
            <w:vMerge w:val="restart"/>
          </w:tcPr>
          <w:p>
            <w:pPr/>
          </w:p>
        </w:tc>
        <w:tc>
          <w:tcPr>
            <w:tcW w:w="732" w:type="dxa"/>
            <w:vMerge w:val="restart"/>
          </w:tcPr>
          <w:p>
            <w:pPr>
              <w:pStyle w:val="TableParagraph"/>
              <w:spacing w:before="7"/>
              <w:ind w:left="56"/>
              <w:rPr>
                <w:sz w:val="12"/>
              </w:rPr>
            </w:pPr>
            <w:r>
              <w:rPr>
                <w:w w:val="106"/>
                <w:sz w:val="12"/>
              </w:rPr>
              <w:t>1</w:t>
            </w:r>
          </w:p>
          <w:p>
            <w:pPr>
              <w:pStyle w:val="TableParagraph"/>
              <w:spacing w:before="22"/>
              <w:ind w:left="56"/>
              <w:rPr>
                <w:sz w:val="12"/>
              </w:rPr>
            </w:pPr>
            <w:r>
              <w:rPr>
                <w:w w:val="106"/>
                <w:sz w:val="12"/>
              </w:rPr>
              <w:t>1</w:t>
            </w:r>
          </w:p>
        </w:tc>
        <w:tc>
          <w:tcPr>
            <w:tcW w:w="736" w:type="dxa"/>
            <w:tcBorders>
              <w:right w:val="single" w:sz="9" w:space="0" w:color="000000"/>
            </w:tcBorders>
            <w:shd w:val="clear" w:color="auto" w:fill="67ED4D"/>
          </w:tcPr>
          <w:p>
            <w:pPr>
              <w:pStyle w:val="TableParagraph"/>
              <w:spacing w:before="7"/>
              <w:ind w:left="28"/>
              <w:rPr>
                <w:sz w:val="12"/>
              </w:rPr>
            </w:pPr>
            <w:r>
              <w:rPr>
                <w:w w:val="106"/>
                <w:sz w:val="12"/>
              </w:rPr>
              <w:t>1</w:t>
            </w:r>
          </w:p>
        </w:tc>
      </w:tr>
      <w:tr>
        <w:trPr>
          <w:trHeight w:val="160" w:hRule="exact"/>
        </w:trPr>
        <w:tc>
          <w:tcPr>
            <w:tcW w:w="674" w:type="dxa"/>
            <w:vMerge/>
            <w:tcBorders>
              <w:left w:val="single" w:sz="4" w:space="0" w:color="000000"/>
            </w:tcBorders>
          </w:tcPr>
          <w:p>
            <w:pPr/>
          </w:p>
        </w:tc>
        <w:tc>
          <w:tcPr>
            <w:tcW w:w="1887" w:type="dxa"/>
            <w:vMerge/>
          </w:tcPr>
          <w:p>
            <w:pPr/>
          </w:p>
        </w:tc>
        <w:tc>
          <w:tcPr>
            <w:tcW w:w="2281" w:type="dxa"/>
            <w:vMerge/>
          </w:tcPr>
          <w:p>
            <w:pPr/>
          </w:p>
        </w:tc>
        <w:tc>
          <w:tcPr>
            <w:tcW w:w="1812" w:type="dxa"/>
            <w:vMerge/>
          </w:tcPr>
          <w:p>
            <w:pPr/>
          </w:p>
        </w:tc>
        <w:tc>
          <w:tcPr>
            <w:tcW w:w="700" w:type="dxa"/>
            <w:vMerge/>
          </w:tcPr>
          <w:p>
            <w:pPr/>
          </w:p>
        </w:tc>
        <w:tc>
          <w:tcPr>
            <w:tcW w:w="732" w:type="dxa"/>
            <w:vMerge/>
          </w:tcPr>
          <w:p>
            <w:pPr/>
          </w:p>
        </w:tc>
        <w:tc>
          <w:tcPr>
            <w:tcW w:w="736" w:type="dxa"/>
            <w:tcBorders>
              <w:right w:val="single" w:sz="9" w:space="0" w:color="000000"/>
            </w:tcBorders>
            <w:shd w:val="clear" w:color="auto" w:fill="67ED4D"/>
          </w:tcPr>
          <w:p>
            <w:pPr>
              <w:pStyle w:val="TableParagraph"/>
              <w:spacing w:before="7"/>
              <w:ind w:left="28"/>
              <w:rPr>
                <w:sz w:val="12"/>
              </w:rPr>
            </w:pPr>
            <w:r>
              <w:rPr>
                <w:w w:val="106"/>
                <w:sz w:val="12"/>
              </w:rPr>
              <w:t>1</w:t>
            </w:r>
          </w:p>
        </w:tc>
      </w:tr>
      <w:tr>
        <w:trPr>
          <w:trHeight w:val="160" w:hRule="exact"/>
        </w:trPr>
        <w:tc>
          <w:tcPr>
            <w:tcW w:w="674" w:type="dxa"/>
            <w:vMerge/>
            <w:tcBorders>
              <w:left w:val="single" w:sz="4" w:space="0" w:color="000000"/>
            </w:tcBorders>
          </w:tcPr>
          <w:p>
            <w:pPr/>
          </w:p>
        </w:tc>
        <w:tc>
          <w:tcPr>
            <w:tcW w:w="1887" w:type="dxa"/>
          </w:tcPr>
          <w:p>
            <w:pPr/>
          </w:p>
        </w:tc>
        <w:tc>
          <w:tcPr>
            <w:tcW w:w="2281" w:type="dxa"/>
          </w:tcPr>
          <w:p>
            <w:pPr>
              <w:pStyle w:val="TableParagraph"/>
              <w:spacing w:before="7"/>
              <w:ind w:left="290" w:right="323"/>
              <w:jc w:val="left"/>
              <w:rPr>
                <w:sz w:val="12"/>
              </w:rPr>
            </w:pPr>
            <w:r>
              <w:rPr>
                <w:w w:val="105"/>
                <w:sz w:val="12"/>
              </w:rPr>
              <w:t>Plan ambiental</w:t>
            </w:r>
          </w:p>
        </w:tc>
        <w:tc>
          <w:tcPr>
            <w:tcW w:w="1812" w:type="dxa"/>
          </w:tcPr>
          <w:p>
            <w:pPr>
              <w:pStyle w:val="TableParagraph"/>
              <w:spacing w:before="7"/>
              <w:ind w:left="717"/>
              <w:rPr>
                <w:sz w:val="12"/>
              </w:rPr>
            </w:pPr>
            <w:r>
              <w:rPr>
                <w:w w:val="106"/>
                <w:sz w:val="12"/>
              </w:rPr>
              <w:t>0</w:t>
            </w:r>
          </w:p>
        </w:tc>
        <w:tc>
          <w:tcPr>
            <w:tcW w:w="700" w:type="dxa"/>
          </w:tcPr>
          <w:p>
            <w:pPr/>
          </w:p>
        </w:tc>
        <w:tc>
          <w:tcPr>
            <w:tcW w:w="732" w:type="dxa"/>
          </w:tcPr>
          <w:p>
            <w:pPr>
              <w:pStyle w:val="TableParagraph"/>
              <w:spacing w:before="7"/>
              <w:ind w:left="56"/>
              <w:rPr>
                <w:sz w:val="12"/>
              </w:rPr>
            </w:pPr>
            <w:r>
              <w:rPr>
                <w:w w:val="106"/>
                <w:sz w:val="12"/>
              </w:rPr>
              <w:t>1</w:t>
            </w:r>
          </w:p>
        </w:tc>
        <w:tc>
          <w:tcPr>
            <w:tcW w:w="736" w:type="dxa"/>
            <w:tcBorders>
              <w:right w:val="single" w:sz="9" w:space="0" w:color="000000"/>
            </w:tcBorders>
            <w:shd w:val="clear" w:color="auto" w:fill="67ED4D"/>
          </w:tcPr>
          <w:p>
            <w:pPr>
              <w:pStyle w:val="TableParagraph"/>
              <w:spacing w:before="7"/>
              <w:ind w:left="28"/>
              <w:rPr>
                <w:sz w:val="12"/>
              </w:rPr>
            </w:pPr>
            <w:r>
              <w:rPr>
                <w:w w:val="106"/>
                <w:sz w:val="12"/>
              </w:rPr>
              <w:t>1</w:t>
            </w:r>
          </w:p>
        </w:tc>
      </w:tr>
      <w:tr>
        <w:trPr>
          <w:trHeight w:val="168" w:hRule="exact"/>
        </w:trPr>
        <w:tc>
          <w:tcPr>
            <w:tcW w:w="674" w:type="dxa"/>
            <w:vMerge/>
            <w:tcBorders>
              <w:left w:val="single" w:sz="4" w:space="0" w:color="000000"/>
            </w:tcBorders>
          </w:tcPr>
          <w:p>
            <w:pPr/>
          </w:p>
        </w:tc>
        <w:tc>
          <w:tcPr>
            <w:tcW w:w="1887" w:type="dxa"/>
          </w:tcPr>
          <w:p>
            <w:pPr/>
          </w:p>
        </w:tc>
        <w:tc>
          <w:tcPr>
            <w:tcW w:w="2281" w:type="dxa"/>
          </w:tcPr>
          <w:p>
            <w:pPr/>
          </w:p>
        </w:tc>
        <w:tc>
          <w:tcPr>
            <w:tcW w:w="1812" w:type="dxa"/>
          </w:tcPr>
          <w:p>
            <w:pPr>
              <w:pStyle w:val="TableParagraph"/>
              <w:spacing w:before="7"/>
              <w:ind w:left="901" w:right="191"/>
              <w:rPr>
                <w:sz w:val="12"/>
              </w:rPr>
            </w:pPr>
            <w:r>
              <w:rPr>
                <w:w w:val="105"/>
                <w:sz w:val="12"/>
              </w:rPr>
              <w:t>Subtotal</w:t>
            </w:r>
          </w:p>
        </w:tc>
        <w:tc>
          <w:tcPr>
            <w:tcW w:w="700" w:type="dxa"/>
          </w:tcPr>
          <w:p>
            <w:pPr>
              <w:pStyle w:val="TableParagraph"/>
              <w:tabs>
                <w:tab w:pos="749" w:val="left" w:leader="none"/>
              </w:tabs>
              <w:spacing w:before="7"/>
              <w:ind w:left="205" w:right="-50"/>
              <w:jc w:val="left"/>
              <w:rPr>
                <w:sz w:val="12"/>
              </w:rPr>
            </w:pPr>
            <w:r>
              <w:rPr>
                <w:w w:val="106"/>
                <w:sz w:val="12"/>
                <w:shd w:fill="F79646" w:color="auto" w:val="clear"/>
              </w:rPr>
              <w:t> </w:t>
            </w:r>
            <w:r>
              <w:rPr>
                <w:sz w:val="12"/>
                <w:shd w:fill="F79646" w:color="auto" w:val="clear"/>
              </w:rPr>
              <w:t>     </w:t>
            </w:r>
            <w:r>
              <w:rPr>
                <w:spacing w:val="-2"/>
                <w:sz w:val="12"/>
                <w:shd w:fill="F79646" w:color="auto" w:val="clear"/>
              </w:rPr>
              <w:t> </w:t>
            </w:r>
            <w:r>
              <w:rPr>
                <w:w w:val="105"/>
                <w:sz w:val="12"/>
                <w:shd w:fill="F79646" w:color="auto" w:val="clear"/>
              </w:rPr>
              <w:t>1</w:t>
            </w:r>
            <w:r>
              <w:rPr>
                <w:sz w:val="12"/>
                <w:shd w:fill="F79646" w:color="auto" w:val="clear"/>
              </w:rPr>
              <w:tab/>
            </w:r>
          </w:p>
        </w:tc>
        <w:tc>
          <w:tcPr>
            <w:tcW w:w="732" w:type="dxa"/>
          </w:tcPr>
          <w:p>
            <w:pPr>
              <w:pStyle w:val="TableParagraph"/>
              <w:spacing w:before="7"/>
              <w:ind w:left="96" w:right="40"/>
              <w:rPr>
                <w:sz w:val="12"/>
              </w:rPr>
            </w:pPr>
            <w:r>
              <w:rPr>
                <w:w w:val="105"/>
                <w:sz w:val="12"/>
              </w:rPr>
              <w:t>3.6</w:t>
            </w:r>
          </w:p>
        </w:tc>
        <w:tc>
          <w:tcPr>
            <w:tcW w:w="736" w:type="dxa"/>
            <w:tcBorders>
              <w:right w:val="single" w:sz="9" w:space="0" w:color="000000"/>
            </w:tcBorders>
            <w:shd w:val="clear" w:color="auto" w:fill="67ED4D"/>
          </w:tcPr>
          <w:p>
            <w:pPr>
              <w:pStyle w:val="TableParagraph"/>
              <w:spacing w:before="7"/>
              <w:ind w:left="28"/>
              <w:rPr>
                <w:sz w:val="12"/>
              </w:rPr>
            </w:pPr>
            <w:r>
              <w:rPr>
                <w:w w:val="106"/>
                <w:sz w:val="12"/>
              </w:rPr>
              <w:t>4</w:t>
            </w:r>
          </w:p>
        </w:tc>
      </w:tr>
      <w:tr>
        <w:trPr>
          <w:trHeight w:val="309" w:hRule="exact"/>
        </w:trPr>
        <w:tc>
          <w:tcPr>
            <w:tcW w:w="674" w:type="dxa"/>
            <w:tcBorders>
              <w:left w:val="single" w:sz="4" w:space="0" w:color="000000"/>
            </w:tcBorders>
          </w:tcPr>
          <w:p>
            <w:pPr/>
          </w:p>
        </w:tc>
        <w:tc>
          <w:tcPr>
            <w:tcW w:w="1887" w:type="dxa"/>
          </w:tcPr>
          <w:p>
            <w:pPr>
              <w:pStyle w:val="TableParagraph"/>
              <w:spacing w:before="9"/>
              <w:jc w:val="left"/>
              <w:rPr>
                <w:sz w:val="13"/>
              </w:rPr>
            </w:pPr>
          </w:p>
          <w:p>
            <w:pPr>
              <w:pStyle w:val="TableParagraph"/>
              <w:spacing w:before="1"/>
              <w:ind w:left="46"/>
              <w:jc w:val="left"/>
              <w:rPr>
                <w:sz w:val="12"/>
              </w:rPr>
            </w:pPr>
            <w:r>
              <w:rPr>
                <w:w w:val="105"/>
                <w:sz w:val="12"/>
              </w:rPr>
              <w:t>Agua</w:t>
            </w:r>
          </w:p>
        </w:tc>
        <w:tc>
          <w:tcPr>
            <w:tcW w:w="2281" w:type="dxa"/>
          </w:tcPr>
          <w:p>
            <w:pPr>
              <w:pStyle w:val="TableParagraph"/>
              <w:spacing w:before="9"/>
              <w:jc w:val="left"/>
              <w:rPr>
                <w:sz w:val="13"/>
              </w:rPr>
            </w:pPr>
          </w:p>
          <w:p>
            <w:pPr>
              <w:pStyle w:val="TableParagraph"/>
              <w:spacing w:before="1"/>
              <w:ind w:left="290" w:right="323"/>
              <w:jc w:val="left"/>
              <w:rPr>
                <w:sz w:val="12"/>
              </w:rPr>
            </w:pPr>
            <w:r>
              <w:rPr>
                <w:w w:val="105"/>
                <w:sz w:val="12"/>
              </w:rPr>
              <w:t>Tipo de abastecimiento</w:t>
            </w:r>
          </w:p>
        </w:tc>
        <w:tc>
          <w:tcPr>
            <w:tcW w:w="1812" w:type="dxa"/>
          </w:tcPr>
          <w:p>
            <w:pPr/>
          </w:p>
        </w:tc>
        <w:tc>
          <w:tcPr>
            <w:tcW w:w="700" w:type="dxa"/>
          </w:tcPr>
          <w:p>
            <w:pPr/>
          </w:p>
        </w:tc>
        <w:tc>
          <w:tcPr>
            <w:tcW w:w="732" w:type="dxa"/>
          </w:tcPr>
          <w:p>
            <w:pPr/>
          </w:p>
        </w:tc>
        <w:tc>
          <w:tcPr>
            <w:tcW w:w="736" w:type="dxa"/>
            <w:tcBorders>
              <w:right w:val="single" w:sz="9" w:space="0" w:color="000000"/>
            </w:tcBorders>
          </w:tcPr>
          <w:p>
            <w:pPr/>
          </w:p>
        </w:tc>
      </w:tr>
      <w:tr>
        <w:trPr>
          <w:trHeight w:val="163" w:hRule="exact"/>
        </w:trPr>
        <w:tc>
          <w:tcPr>
            <w:tcW w:w="674" w:type="dxa"/>
            <w:tcBorders>
              <w:left w:val="single" w:sz="4" w:space="0" w:color="000000"/>
            </w:tcBorders>
          </w:tcPr>
          <w:p>
            <w:pPr/>
          </w:p>
        </w:tc>
        <w:tc>
          <w:tcPr>
            <w:tcW w:w="1887" w:type="dxa"/>
          </w:tcPr>
          <w:p>
            <w:pPr/>
          </w:p>
        </w:tc>
        <w:tc>
          <w:tcPr>
            <w:tcW w:w="2281" w:type="dxa"/>
          </w:tcPr>
          <w:p>
            <w:pPr/>
          </w:p>
        </w:tc>
        <w:tc>
          <w:tcPr>
            <w:tcW w:w="1812" w:type="dxa"/>
          </w:tcPr>
          <w:p>
            <w:pPr>
              <w:pStyle w:val="TableParagraph"/>
              <w:tabs>
                <w:tab w:pos="1228" w:val="left" w:leader="none"/>
                <w:tab w:pos="2028" w:val="left" w:leader="none"/>
              </w:tabs>
              <w:spacing w:before="10"/>
              <w:ind w:left="504" w:right="-217"/>
              <w:rPr>
                <w:sz w:val="12"/>
              </w:rPr>
            </w:pPr>
            <w:r>
              <w:rPr>
                <w:w w:val="106"/>
                <w:sz w:val="12"/>
                <w:shd w:fill="BAF9F5" w:color="auto" w:val="clear"/>
              </w:rPr>
              <w:t> </w:t>
            </w:r>
            <w:r>
              <w:rPr>
                <w:sz w:val="12"/>
                <w:shd w:fill="BAF9F5" w:color="auto" w:val="clear"/>
              </w:rPr>
              <w:tab/>
            </w:r>
            <w:r>
              <w:rPr>
                <w:w w:val="105"/>
                <w:sz w:val="12"/>
                <w:shd w:fill="BAF9F5" w:color="auto" w:val="clear"/>
              </w:rPr>
              <w:t>1</w:t>
            </w:r>
            <w:r>
              <w:rPr>
                <w:sz w:val="12"/>
                <w:shd w:fill="BAF9F5" w:color="auto" w:val="clear"/>
              </w:rPr>
              <w:tab/>
            </w:r>
          </w:p>
        </w:tc>
        <w:tc>
          <w:tcPr>
            <w:tcW w:w="700" w:type="dxa"/>
          </w:tcPr>
          <w:p>
            <w:pPr/>
          </w:p>
        </w:tc>
        <w:tc>
          <w:tcPr>
            <w:tcW w:w="732" w:type="dxa"/>
          </w:tcPr>
          <w:p>
            <w:pPr>
              <w:pStyle w:val="TableParagraph"/>
              <w:spacing w:before="10"/>
              <w:ind w:left="96" w:right="40"/>
              <w:rPr>
                <w:sz w:val="12"/>
              </w:rPr>
            </w:pPr>
            <w:r>
              <w:rPr>
                <w:w w:val="105"/>
                <w:sz w:val="12"/>
              </w:rPr>
              <w:t>0.7</w:t>
            </w:r>
          </w:p>
        </w:tc>
        <w:tc>
          <w:tcPr>
            <w:tcW w:w="736" w:type="dxa"/>
            <w:tcBorders>
              <w:right w:val="single" w:sz="9" w:space="0" w:color="000000"/>
            </w:tcBorders>
            <w:shd w:val="clear" w:color="auto" w:fill="67ED4D"/>
          </w:tcPr>
          <w:p>
            <w:pPr>
              <w:pStyle w:val="TableParagraph"/>
              <w:spacing w:before="10"/>
              <w:ind w:left="28"/>
              <w:rPr>
                <w:sz w:val="12"/>
              </w:rPr>
            </w:pPr>
            <w:r>
              <w:rPr>
                <w:w w:val="106"/>
                <w:sz w:val="12"/>
              </w:rPr>
              <w:t>1</w:t>
            </w:r>
          </w:p>
        </w:tc>
      </w:tr>
      <w:tr>
        <w:trPr>
          <w:trHeight w:val="168" w:hRule="exact"/>
        </w:trPr>
        <w:tc>
          <w:tcPr>
            <w:tcW w:w="674" w:type="dxa"/>
            <w:tcBorders>
              <w:left w:val="single" w:sz="4" w:space="0" w:color="000000"/>
            </w:tcBorders>
          </w:tcPr>
          <w:p>
            <w:pPr/>
          </w:p>
        </w:tc>
        <w:tc>
          <w:tcPr>
            <w:tcW w:w="1887" w:type="dxa"/>
          </w:tcPr>
          <w:p>
            <w:pPr/>
          </w:p>
        </w:tc>
        <w:tc>
          <w:tcPr>
            <w:tcW w:w="2281" w:type="dxa"/>
          </w:tcPr>
          <w:p>
            <w:pPr/>
          </w:p>
        </w:tc>
        <w:tc>
          <w:tcPr>
            <w:tcW w:w="1812" w:type="dxa"/>
          </w:tcPr>
          <w:p>
            <w:pPr>
              <w:pStyle w:val="TableParagraph"/>
              <w:spacing w:before="7"/>
              <w:ind w:left="901" w:right="191"/>
              <w:rPr>
                <w:sz w:val="12"/>
              </w:rPr>
            </w:pPr>
            <w:r>
              <w:rPr>
                <w:w w:val="105"/>
                <w:sz w:val="12"/>
              </w:rPr>
              <w:t>Subtotal</w:t>
            </w:r>
          </w:p>
        </w:tc>
        <w:tc>
          <w:tcPr>
            <w:tcW w:w="700" w:type="dxa"/>
          </w:tcPr>
          <w:p>
            <w:pPr>
              <w:pStyle w:val="TableParagraph"/>
              <w:tabs>
                <w:tab w:pos="749" w:val="left" w:leader="none"/>
              </w:tabs>
              <w:spacing w:before="7"/>
              <w:ind w:left="205" w:right="-50"/>
              <w:jc w:val="left"/>
              <w:rPr>
                <w:sz w:val="12"/>
              </w:rPr>
            </w:pPr>
            <w:r>
              <w:rPr>
                <w:w w:val="106"/>
                <w:sz w:val="12"/>
                <w:shd w:fill="F79646" w:color="auto" w:val="clear"/>
              </w:rPr>
              <w:t> </w:t>
            </w:r>
            <w:r>
              <w:rPr>
                <w:sz w:val="12"/>
                <w:shd w:fill="F79646" w:color="auto" w:val="clear"/>
              </w:rPr>
              <w:t>     </w:t>
            </w:r>
            <w:r>
              <w:rPr>
                <w:spacing w:val="-2"/>
                <w:sz w:val="12"/>
                <w:shd w:fill="F79646" w:color="auto" w:val="clear"/>
              </w:rPr>
              <w:t> </w:t>
            </w:r>
            <w:r>
              <w:rPr>
                <w:w w:val="105"/>
                <w:sz w:val="12"/>
                <w:shd w:fill="F79646" w:color="auto" w:val="clear"/>
              </w:rPr>
              <w:t>1</w:t>
            </w:r>
            <w:r>
              <w:rPr>
                <w:sz w:val="12"/>
                <w:shd w:fill="F79646" w:color="auto" w:val="clear"/>
              </w:rPr>
              <w:tab/>
            </w:r>
          </w:p>
        </w:tc>
        <w:tc>
          <w:tcPr>
            <w:tcW w:w="732" w:type="dxa"/>
          </w:tcPr>
          <w:p>
            <w:pPr>
              <w:pStyle w:val="TableParagraph"/>
              <w:spacing w:before="7"/>
              <w:ind w:left="96" w:right="40"/>
              <w:rPr>
                <w:sz w:val="12"/>
              </w:rPr>
            </w:pPr>
            <w:r>
              <w:rPr>
                <w:w w:val="105"/>
                <w:sz w:val="12"/>
              </w:rPr>
              <w:t>0.7</w:t>
            </w:r>
          </w:p>
        </w:tc>
        <w:tc>
          <w:tcPr>
            <w:tcW w:w="736" w:type="dxa"/>
            <w:tcBorders>
              <w:right w:val="single" w:sz="9" w:space="0" w:color="000000"/>
            </w:tcBorders>
            <w:shd w:val="clear" w:color="auto" w:fill="67ED4D"/>
          </w:tcPr>
          <w:p>
            <w:pPr>
              <w:pStyle w:val="TableParagraph"/>
              <w:spacing w:before="7"/>
              <w:ind w:left="28"/>
              <w:rPr>
                <w:sz w:val="12"/>
              </w:rPr>
            </w:pPr>
            <w:r>
              <w:rPr>
                <w:w w:val="106"/>
                <w:sz w:val="12"/>
              </w:rPr>
              <w:t>1</w:t>
            </w:r>
          </w:p>
        </w:tc>
      </w:tr>
      <w:tr>
        <w:trPr>
          <w:trHeight w:val="149" w:hRule="exact"/>
        </w:trPr>
        <w:tc>
          <w:tcPr>
            <w:tcW w:w="8822" w:type="dxa"/>
            <w:gridSpan w:val="7"/>
            <w:tcBorders>
              <w:left w:val="single" w:sz="4" w:space="0" w:color="000000"/>
              <w:right w:val="single" w:sz="9" w:space="0" w:color="000000"/>
            </w:tcBorders>
          </w:tcPr>
          <w:p>
            <w:pPr/>
          </w:p>
        </w:tc>
      </w:tr>
      <w:tr>
        <w:trPr>
          <w:trHeight w:val="163" w:hRule="exact"/>
        </w:trPr>
        <w:tc>
          <w:tcPr>
            <w:tcW w:w="674" w:type="dxa"/>
            <w:tcBorders>
              <w:left w:val="single" w:sz="4" w:space="0" w:color="000000"/>
            </w:tcBorders>
          </w:tcPr>
          <w:p>
            <w:pPr/>
          </w:p>
        </w:tc>
        <w:tc>
          <w:tcPr>
            <w:tcW w:w="1887" w:type="dxa"/>
          </w:tcPr>
          <w:p>
            <w:pPr/>
          </w:p>
        </w:tc>
        <w:tc>
          <w:tcPr>
            <w:tcW w:w="2281" w:type="dxa"/>
          </w:tcPr>
          <w:p>
            <w:pPr>
              <w:pStyle w:val="TableParagraph"/>
              <w:spacing w:before="10"/>
              <w:ind w:left="290" w:right="323"/>
              <w:jc w:val="left"/>
              <w:rPr>
                <w:sz w:val="12"/>
              </w:rPr>
            </w:pPr>
            <w:r>
              <w:rPr>
                <w:w w:val="105"/>
                <w:sz w:val="12"/>
              </w:rPr>
              <w:t>Agua potable</w:t>
            </w:r>
          </w:p>
        </w:tc>
        <w:tc>
          <w:tcPr>
            <w:tcW w:w="1812" w:type="dxa"/>
          </w:tcPr>
          <w:p>
            <w:pPr>
              <w:pStyle w:val="TableParagraph"/>
              <w:spacing w:before="10"/>
              <w:ind w:left="717"/>
              <w:rPr>
                <w:sz w:val="12"/>
              </w:rPr>
            </w:pPr>
            <w:r>
              <w:rPr>
                <w:w w:val="106"/>
                <w:sz w:val="12"/>
              </w:rPr>
              <w:t>0</w:t>
            </w:r>
          </w:p>
        </w:tc>
        <w:tc>
          <w:tcPr>
            <w:tcW w:w="700" w:type="dxa"/>
          </w:tcPr>
          <w:p>
            <w:pPr/>
          </w:p>
        </w:tc>
        <w:tc>
          <w:tcPr>
            <w:tcW w:w="732" w:type="dxa"/>
          </w:tcPr>
          <w:p>
            <w:pPr>
              <w:pStyle w:val="TableParagraph"/>
              <w:spacing w:before="10"/>
              <w:ind w:left="96" w:right="40"/>
              <w:rPr>
                <w:sz w:val="12"/>
              </w:rPr>
            </w:pPr>
            <w:r>
              <w:rPr>
                <w:w w:val="105"/>
                <w:sz w:val="12"/>
              </w:rPr>
              <w:t>0.5</w:t>
            </w:r>
          </w:p>
        </w:tc>
        <w:tc>
          <w:tcPr>
            <w:tcW w:w="736" w:type="dxa"/>
            <w:tcBorders>
              <w:right w:val="single" w:sz="9" w:space="0" w:color="000000"/>
            </w:tcBorders>
            <w:shd w:val="clear" w:color="auto" w:fill="67ED4D"/>
          </w:tcPr>
          <w:p>
            <w:pPr>
              <w:pStyle w:val="TableParagraph"/>
              <w:spacing w:before="10"/>
              <w:ind w:left="28"/>
              <w:rPr>
                <w:sz w:val="12"/>
              </w:rPr>
            </w:pPr>
            <w:r>
              <w:rPr>
                <w:w w:val="106"/>
                <w:sz w:val="12"/>
              </w:rPr>
              <w:t>1</w:t>
            </w:r>
          </w:p>
        </w:tc>
      </w:tr>
      <w:tr>
        <w:trPr>
          <w:trHeight w:val="160" w:hRule="exact"/>
        </w:trPr>
        <w:tc>
          <w:tcPr>
            <w:tcW w:w="674" w:type="dxa"/>
            <w:tcBorders>
              <w:left w:val="single" w:sz="4" w:space="0" w:color="000000"/>
            </w:tcBorders>
          </w:tcPr>
          <w:p>
            <w:pPr/>
          </w:p>
        </w:tc>
        <w:tc>
          <w:tcPr>
            <w:tcW w:w="1887" w:type="dxa"/>
          </w:tcPr>
          <w:p>
            <w:pPr/>
          </w:p>
        </w:tc>
        <w:tc>
          <w:tcPr>
            <w:tcW w:w="2281" w:type="dxa"/>
          </w:tcPr>
          <w:p>
            <w:pPr>
              <w:pStyle w:val="TableParagraph"/>
              <w:spacing w:before="7"/>
              <w:ind w:left="290" w:right="323"/>
              <w:jc w:val="left"/>
              <w:rPr>
                <w:sz w:val="12"/>
              </w:rPr>
            </w:pPr>
            <w:r>
              <w:rPr>
                <w:w w:val="105"/>
                <w:sz w:val="12"/>
              </w:rPr>
              <w:t>Energía eléctrica</w:t>
            </w:r>
          </w:p>
        </w:tc>
        <w:tc>
          <w:tcPr>
            <w:tcW w:w="1812" w:type="dxa"/>
          </w:tcPr>
          <w:p>
            <w:pPr>
              <w:pStyle w:val="TableParagraph"/>
              <w:spacing w:before="7"/>
              <w:ind w:left="908" w:right="191"/>
              <w:rPr>
                <w:sz w:val="12"/>
              </w:rPr>
            </w:pPr>
            <w:r>
              <w:rPr>
                <w:w w:val="105"/>
                <w:sz w:val="12"/>
              </w:rPr>
              <w:t>0.5</w:t>
            </w:r>
          </w:p>
        </w:tc>
        <w:tc>
          <w:tcPr>
            <w:tcW w:w="700" w:type="dxa"/>
          </w:tcPr>
          <w:p>
            <w:pPr/>
          </w:p>
        </w:tc>
        <w:tc>
          <w:tcPr>
            <w:tcW w:w="732" w:type="dxa"/>
          </w:tcPr>
          <w:p>
            <w:pPr>
              <w:pStyle w:val="TableParagraph"/>
              <w:spacing w:before="7"/>
              <w:ind w:left="96" w:right="40"/>
              <w:rPr>
                <w:sz w:val="12"/>
              </w:rPr>
            </w:pPr>
            <w:r>
              <w:rPr>
                <w:w w:val="105"/>
                <w:sz w:val="12"/>
              </w:rPr>
              <w:t>0.5</w:t>
            </w:r>
          </w:p>
        </w:tc>
        <w:tc>
          <w:tcPr>
            <w:tcW w:w="736" w:type="dxa"/>
            <w:tcBorders>
              <w:right w:val="single" w:sz="9" w:space="0" w:color="000000"/>
            </w:tcBorders>
            <w:shd w:val="clear" w:color="auto" w:fill="67ED4D"/>
          </w:tcPr>
          <w:p>
            <w:pPr>
              <w:pStyle w:val="TableParagraph"/>
              <w:spacing w:before="7"/>
              <w:ind w:left="28"/>
              <w:rPr>
                <w:sz w:val="12"/>
              </w:rPr>
            </w:pPr>
            <w:r>
              <w:rPr>
                <w:w w:val="106"/>
                <w:sz w:val="12"/>
              </w:rPr>
              <w:t>1</w:t>
            </w:r>
          </w:p>
        </w:tc>
      </w:tr>
      <w:tr>
        <w:trPr>
          <w:trHeight w:val="160" w:hRule="exact"/>
        </w:trPr>
        <w:tc>
          <w:tcPr>
            <w:tcW w:w="674" w:type="dxa"/>
            <w:tcBorders>
              <w:left w:val="single" w:sz="4" w:space="0" w:color="000000"/>
            </w:tcBorders>
          </w:tcPr>
          <w:p>
            <w:pPr/>
          </w:p>
        </w:tc>
        <w:tc>
          <w:tcPr>
            <w:tcW w:w="1887" w:type="dxa"/>
          </w:tcPr>
          <w:p>
            <w:pPr/>
          </w:p>
        </w:tc>
        <w:tc>
          <w:tcPr>
            <w:tcW w:w="2281" w:type="dxa"/>
          </w:tcPr>
          <w:p>
            <w:pPr>
              <w:pStyle w:val="TableParagraph"/>
              <w:spacing w:before="7"/>
              <w:ind w:left="290" w:right="323"/>
              <w:jc w:val="left"/>
              <w:rPr>
                <w:sz w:val="12"/>
              </w:rPr>
            </w:pPr>
            <w:r>
              <w:rPr>
                <w:w w:val="105"/>
                <w:sz w:val="12"/>
              </w:rPr>
              <w:t>Drenaje sanitario</w:t>
            </w:r>
          </w:p>
        </w:tc>
        <w:tc>
          <w:tcPr>
            <w:tcW w:w="1812" w:type="dxa"/>
          </w:tcPr>
          <w:p>
            <w:pPr>
              <w:pStyle w:val="TableParagraph"/>
              <w:spacing w:before="7"/>
              <w:ind w:left="908" w:right="191"/>
              <w:rPr>
                <w:sz w:val="12"/>
              </w:rPr>
            </w:pPr>
            <w:r>
              <w:rPr>
                <w:w w:val="105"/>
                <w:sz w:val="12"/>
              </w:rPr>
              <w:t>0.5</w:t>
            </w:r>
          </w:p>
        </w:tc>
        <w:tc>
          <w:tcPr>
            <w:tcW w:w="700" w:type="dxa"/>
          </w:tcPr>
          <w:p>
            <w:pPr/>
          </w:p>
        </w:tc>
        <w:tc>
          <w:tcPr>
            <w:tcW w:w="732" w:type="dxa"/>
          </w:tcPr>
          <w:p>
            <w:pPr>
              <w:pStyle w:val="TableParagraph"/>
              <w:spacing w:before="7"/>
              <w:ind w:left="96" w:right="40"/>
              <w:rPr>
                <w:sz w:val="12"/>
              </w:rPr>
            </w:pPr>
            <w:r>
              <w:rPr>
                <w:w w:val="105"/>
                <w:sz w:val="12"/>
              </w:rPr>
              <w:t>0.5</w:t>
            </w:r>
          </w:p>
        </w:tc>
        <w:tc>
          <w:tcPr>
            <w:tcW w:w="736" w:type="dxa"/>
            <w:tcBorders>
              <w:right w:val="single" w:sz="9" w:space="0" w:color="000000"/>
            </w:tcBorders>
            <w:shd w:val="clear" w:color="auto" w:fill="67ED4D"/>
          </w:tcPr>
          <w:p>
            <w:pPr>
              <w:pStyle w:val="TableParagraph"/>
              <w:spacing w:before="7"/>
              <w:ind w:left="28"/>
              <w:rPr>
                <w:sz w:val="12"/>
              </w:rPr>
            </w:pPr>
            <w:r>
              <w:rPr>
                <w:w w:val="106"/>
                <w:sz w:val="12"/>
              </w:rPr>
              <w:t>1</w:t>
            </w:r>
          </w:p>
        </w:tc>
      </w:tr>
      <w:tr>
        <w:trPr>
          <w:trHeight w:val="160" w:hRule="exact"/>
        </w:trPr>
        <w:tc>
          <w:tcPr>
            <w:tcW w:w="674" w:type="dxa"/>
            <w:tcBorders>
              <w:left w:val="single" w:sz="4" w:space="0" w:color="000000"/>
            </w:tcBorders>
          </w:tcPr>
          <w:p>
            <w:pPr/>
          </w:p>
        </w:tc>
        <w:tc>
          <w:tcPr>
            <w:tcW w:w="1887" w:type="dxa"/>
          </w:tcPr>
          <w:p>
            <w:pPr>
              <w:pStyle w:val="TableParagraph"/>
              <w:spacing w:before="7"/>
              <w:ind w:left="46"/>
              <w:jc w:val="left"/>
              <w:rPr>
                <w:sz w:val="12"/>
              </w:rPr>
            </w:pPr>
            <w:r>
              <w:rPr>
                <w:w w:val="105"/>
                <w:sz w:val="12"/>
              </w:rPr>
              <w:t>Infraestructura</w:t>
            </w:r>
          </w:p>
        </w:tc>
        <w:tc>
          <w:tcPr>
            <w:tcW w:w="2281" w:type="dxa"/>
          </w:tcPr>
          <w:p>
            <w:pPr>
              <w:pStyle w:val="TableParagraph"/>
              <w:spacing w:before="7"/>
              <w:ind w:left="290" w:right="323"/>
              <w:jc w:val="left"/>
              <w:rPr>
                <w:sz w:val="12"/>
              </w:rPr>
            </w:pPr>
            <w:r>
              <w:rPr>
                <w:w w:val="105"/>
                <w:sz w:val="12"/>
              </w:rPr>
              <w:t>Drenaje pluvial</w:t>
            </w:r>
          </w:p>
        </w:tc>
        <w:tc>
          <w:tcPr>
            <w:tcW w:w="1812" w:type="dxa"/>
          </w:tcPr>
          <w:p>
            <w:pPr>
              <w:pStyle w:val="TableParagraph"/>
              <w:spacing w:before="7"/>
              <w:ind w:left="717"/>
              <w:rPr>
                <w:sz w:val="12"/>
              </w:rPr>
            </w:pPr>
            <w:r>
              <w:rPr>
                <w:w w:val="106"/>
                <w:sz w:val="12"/>
              </w:rPr>
              <w:t>0</w:t>
            </w:r>
          </w:p>
        </w:tc>
        <w:tc>
          <w:tcPr>
            <w:tcW w:w="700" w:type="dxa"/>
          </w:tcPr>
          <w:p>
            <w:pPr/>
          </w:p>
        </w:tc>
        <w:tc>
          <w:tcPr>
            <w:tcW w:w="732" w:type="dxa"/>
          </w:tcPr>
          <w:p>
            <w:pPr>
              <w:pStyle w:val="TableParagraph"/>
              <w:spacing w:before="7"/>
              <w:ind w:left="96" w:right="40"/>
              <w:rPr>
                <w:sz w:val="12"/>
              </w:rPr>
            </w:pPr>
            <w:r>
              <w:rPr>
                <w:w w:val="105"/>
                <w:sz w:val="12"/>
              </w:rPr>
              <w:t>0.5</w:t>
            </w:r>
          </w:p>
        </w:tc>
        <w:tc>
          <w:tcPr>
            <w:tcW w:w="736" w:type="dxa"/>
            <w:tcBorders>
              <w:right w:val="single" w:sz="9" w:space="0" w:color="000000"/>
            </w:tcBorders>
            <w:shd w:val="clear" w:color="auto" w:fill="67ED4D"/>
          </w:tcPr>
          <w:p>
            <w:pPr>
              <w:pStyle w:val="TableParagraph"/>
              <w:spacing w:before="7"/>
              <w:ind w:left="28"/>
              <w:rPr>
                <w:sz w:val="12"/>
              </w:rPr>
            </w:pPr>
            <w:r>
              <w:rPr>
                <w:w w:val="106"/>
                <w:sz w:val="12"/>
              </w:rPr>
              <w:t>1</w:t>
            </w:r>
          </w:p>
        </w:tc>
      </w:tr>
      <w:tr>
        <w:trPr>
          <w:trHeight w:val="160" w:hRule="exact"/>
        </w:trPr>
        <w:tc>
          <w:tcPr>
            <w:tcW w:w="674" w:type="dxa"/>
            <w:tcBorders>
              <w:left w:val="single" w:sz="4" w:space="0" w:color="000000"/>
            </w:tcBorders>
          </w:tcPr>
          <w:p>
            <w:pPr/>
          </w:p>
        </w:tc>
        <w:tc>
          <w:tcPr>
            <w:tcW w:w="1887" w:type="dxa"/>
          </w:tcPr>
          <w:p>
            <w:pPr/>
          </w:p>
        </w:tc>
        <w:tc>
          <w:tcPr>
            <w:tcW w:w="2281" w:type="dxa"/>
          </w:tcPr>
          <w:p>
            <w:pPr>
              <w:pStyle w:val="TableParagraph"/>
              <w:spacing w:before="7"/>
              <w:ind w:left="290" w:right="323"/>
              <w:jc w:val="left"/>
              <w:rPr>
                <w:sz w:val="12"/>
              </w:rPr>
            </w:pPr>
            <w:r>
              <w:rPr>
                <w:w w:val="105"/>
                <w:sz w:val="12"/>
              </w:rPr>
              <w:t>Guarniciones y banquetas</w:t>
            </w:r>
          </w:p>
        </w:tc>
        <w:tc>
          <w:tcPr>
            <w:tcW w:w="1812" w:type="dxa"/>
          </w:tcPr>
          <w:p>
            <w:pPr>
              <w:pStyle w:val="TableParagraph"/>
              <w:spacing w:before="7"/>
              <w:ind w:left="908" w:right="191"/>
              <w:rPr>
                <w:sz w:val="12"/>
              </w:rPr>
            </w:pPr>
            <w:r>
              <w:rPr>
                <w:w w:val="105"/>
                <w:sz w:val="12"/>
              </w:rPr>
              <w:t>0.5</w:t>
            </w:r>
          </w:p>
        </w:tc>
        <w:tc>
          <w:tcPr>
            <w:tcW w:w="700" w:type="dxa"/>
          </w:tcPr>
          <w:p>
            <w:pPr/>
          </w:p>
        </w:tc>
        <w:tc>
          <w:tcPr>
            <w:tcW w:w="732" w:type="dxa"/>
          </w:tcPr>
          <w:p>
            <w:pPr>
              <w:pStyle w:val="TableParagraph"/>
              <w:spacing w:before="7"/>
              <w:ind w:left="96" w:right="40"/>
              <w:rPr>
                <w:sz w:val="12"/>
              </w:rPr>
            </w:pPr>
            <w:r>
              <w:rPr>
                <w:w w:val="105"/>
                <w:sz w:val="12"/>
              </w:rPr>
              <w:t>0.5</w:t>
            </w:r>
          </w:p>
        </w:tc>
        <w:tc>
          <w:tcPr>
            <w:tcW w:w="736" w:type="dxa"/>
            <w:tcBorders>
              <w:right w:val="single" w:sz="9" w:space="0" w:color="000000"/>
            </w:tcBorders>
            <w:shd w:val="clear" w:color="auto" w:fill="67ED4D"/>
          </w:tcPr>
          <w:p>
            <w:pPr>
              <w:pStyle w:val="TableParagraph"/>
              <w:spacing w:before="7"/>
              <w:ind w:left="28"/>
              <w:rPr>
                <w:sz w:val="12"/>
              </w:rPr>
            </w:pPr>
            <w:r>
              <w:rPr>
                <w:w w:val="106"/>
                <w:sz w:val="12"/>
              </w:rPr>
              <w:t>1</w:t>
            </w:r>
          </w:p>
        </w:tc>
      </w:tr>
      <w:tr>
        <w:trPr>
          <w:trHeight w:val="160" w:hRule="exact"/>
        </w:trPr>
        <w:tc>
          <w:tcPr>
            <w:tcW w:w="674" w:type="dxa"/>
            <w:tcBorders>
              <w:left w:val="single" w:sz="4" w:space="0" w:color="000000"/>
            </w:tcBorders>
          </w:tcPr>
          <w:p>
            <w:pPr/>
          </w:p>
        </w:tc>
        <w:tc>
          <w:tcPr>
            <w:tcW w:w="1887" w:type="dxa"/>
          </w:tcPr>
          <w:p>
            <w:pPr/>
          </w:p>
        </w:tc>
        <w:tc>
          <w:tcPr>
            <w:tcW w:w="2281" w:type="dxa"/>
          </w:tcPr>
          <w:p>
            <w:pPr>
              <w:pStyle w:val="TableParagraph"/>
              <w:spacing w:before="7"/>
              <w:ind w:left="290" w:right="323"/>
              <w:jc w:val="left"/>
              <w:rPr>
                <w:sz w:val="12"/>
              </w:rPr>
            </w:pPr>
            <w:r>
              <w:rPr>
                <w:w w:val="105"/>
                <w:sz w:val="12"/>
              </w:rPr>
              <w:t>Vialidades y calles</w:t>
            </w:r>
          </w:p>
        </w:tc>
        <w:tc>
          <w:tcPr>
            <w:tcW w:w="1812" w:type="dxa"/>
          </w:tcPr>
          <w:p>
            <w:pPr>
              <w:pStyle w:val="TableParagraph"/>
              <w:spacing w:before="7"/>
              <w:ind w:left="908" w:right="191"/>
              <w:rPr>
                <w:sz w:val="12"/>
              </w:rPr>
            </w:pPr>
            <w:r>
              <w:rPr>
                <w:w w:val="105"/>
                <w:sz w:val="12"/>
              </w:rPr>
              <w:t>0.5</w:t>
            </w:r>
          </w:p>
        </w:tc>
        <w:tc>
          <w:tcPr>
            <w:tcW w:w="700" w:type="dxa"/>
          </w:tcPr>
          <w:p>
            <w:pPr/>
          </w:p>
        </w:tc>
        <w:tc>
          <w:tcPr>
            <w:tcW w:w="732" w:type="dxa"/>
          </w:tcPr>
          <w:p>
            <w:pPr>
              <w:pStyle w:val="TableParagraph"/>
              <w:spacing w:before="7"/>
              <w:ind w:left="96" w:right="40"/>
              <w:rPr>
                <w:sz w:val="12"/>
              </w:rPr>
            </w:pPr>
            <w:r>
              <w:rPr>
                <w:w w:val="105"/>
                <w:sz w:val="12"/>
              </w:rPr>
              <w:t>0.5</w:t>
            </w:r>
          </w:p>
        </w:tc>
        <w:tc>
          <w:tcPr>
            <w:tcW w:w="736" w:type="dxa"/>
            <w:tcBorders>
              <w:right w:val="single" w:sz="9" w:space="0" w:color="000000"/>
            </w:tcBorders>
            <w:shd w:val="clear" w:color="auto" w:fill="67ED4D"/>
          </w:tcPr>
          <w:p>
            <w:pPr>
              <w:pStyle w:val="TableParagraph"/>
              <w:spacing w:before="7"/>
              <w:ind w:left="28"/>
              <w:rPr>
                <w:sz w:val="12"/>
              </w:rPr>
            </w:pPr>
            <w:r>
              <w:rPr>
                <w:w w:val="106"/>
                <w:sz w:val="12"/>
              </w:rPr>
              <w:t>1</w:t>
            </w:r>
          </w:p>
        </w:tc>
      </w:tr>
      <w:tr>
        <w:trPr>
          <w:trHeight w:val="160" w:hRule="exact"/>
        </w:trPr>
        <w:tc>
          <w:tcPr>
            <w:tcW w:w="674" w:type="dxa"/>
            <w:tcBorders>
              <w:left w:val="single" w:sz="4" w:space="0" w:color="000000"/>
            </w:tcBorders>
          </w:tcPr>
          <w:p>
            <w:pPr/>
          </w:p>
        </w:tc>
        <w:tc>
          <w:tcPr>
            <w:tcW w:w="1887" w:type="dxa"/>
          </w:tcPr>
          <w:p>
            <w:pPr/>
          </w:p>
        </w:tc>
        <w:tc>
          <w:tcPr>
            <w:tcW w:w="2281" w:type="dxa"/>
          </w:tcPr>
          <w:p>
            <w:pPr>
              <w:pStyle w:val="TableParagraph"/>
              <w:spacing w:before="7"/>
              <w:ind w:left="290" w:right="323"/>
              <w:jc w:val="left"/>
              <w:rPr>
                <w:sz w:val="12"/>
              </w:rPr>
            </w:pPr>
            <w:r>
              <w:rPr>
                <w:w w:val="105"/>
                <w:sz w:val="12"/>
              </w:rPr>
              <w:t>Señalización</w:t>
            </w:r>
          </w:p>
        </w:tc>
        <w:tc>
          <w:tcPr>
            <w:tcW w:w="1812" w:type="dxa"/>
          </w:tcPr>
          <w:p>
            <w:pPr>
              <w:pStyle w:val="TableParagraph"/>
              <w:spacing w:before="7"/>
              <w:ind w:left="908" w:right="191"/>
              <w:rPr>
                <w:sz w:val="12"/>
              </w:rPr>
            </w:pPr>
            <w:r>
              <w:rPr>
                <w:w w:val="105"/>
                <w:sz w:val="12"/>
              </w:rPr>
              <w:t>0.5</w:t>
            </w:r>
          </w:p>
        </w:tc>
        <w:tc>
          <w:tcPr>
            <w:tcW w:w="700" w:type="dxa"/>
          </w:tcPr>
          <w:p>
            <w:pPr/>
          </w:p>
        </w:tc>
        <w:tc>
          <w:tcPr>
            <w:tcW w:w="732" w:type="dxa"/>
          </w:tcPr>
          <w:p>
            <w:pPr>
              <w:pStyle w:val="TableParagraph"/>
              <w:spacing w:before="7"/>
              <w:ind w:left="96" w:right="40"/>
              <w:rPr>
                <w:sz w:val="12"/>
              </w:rPr>
            </w:pPr>
            <w:r>
              <w:rPr>
                <w:w w:val="105"/>
                <w:sz w:val="12"/>
              </w:rPr>
              <w:t>0.5</w:t>
            </w:r>
          </w:p>
        </w:tc>
        <w:tc>
          <w:tcPr>
            <w:tcW w:w="736" w:type="dxa"/>
            <w:tcBorders>
              <w:right w:val="single" w:sz="9" w:space="0" w:color="000000"/>
            </w:tcBorders>
            <w:shd w:val="clear" w:color="auto" w:fill="67ED4D"/>
          </w:tcPr>
          <w:p>
            <w:pPr>
              <w:pStyle w:val="TableParagraph"/>
              <w:spacing w:before="7"/>
              <w:ind w:left="28"/>
              <w:rPr>
                <w:sz w:val="12"/>
              </w:rPr>
            </w:pPr>
            <w:r>
              <w:rPr>
                <w:w w:val="106"/>
                <w:sz w:val="12"/>
              </w:rPr>
              <w:t>1</w:t>
            </w:r>
          </w:p>
        </w:tc>
      </w:tr>
      <w:tr>
        <w:trPr>
          <w:trHeight w:val="168" w:hRule="exact"/>
        </w:trPr>
        <w:tc>
          <w:tcPr>
            <w:tcW w:w="674" w:type="dxa"/>
            <w:tcBorders>
              <w:left w:val="single" w:sz="4" w:space="0" w:color="000000"/>
            </w:tcBorders>
          </w:tcPr>
          <w:p>
            <w:pPr/>
          </w:p>
        </w:tc>
        <w:tc>
          <w:tcPr>
            <w:tcW w:w="1887" w:type="dxa"/>
          </w:tcPr>
          <w:p>
            <w:pPr/>
          </w:p>
        </w:tc>
        <w:tc>
          <w:tcPr>
            <w:tcW w:w="2281" w:type="dxa"/>
          </w:tcPr>
          <w:p>
            <w:pPr/>
          </w:p>
        </w:tc>
        <w:tc>
          <w:tcPr>
            <w:tcW w:w="1812" w:type="dxa"/>
          </w:tcPr>
          <w:p>
            <w:pPr>
              <w:pStyle w:val="TableParagraph"/>
              <w:spacing w:before="7"/>
              <w:ind w:left="901" w:right="191"/>
              <w:rPr>
                <w:sz w:val="12"/>
              </w:rPr>
            </w:pPr>
            <w:r>
              <w:rPr>
                <w:w w:val="105"/>
                <w:sz w:val="12"/>
              </w:rPr>
              <w:t>Subtotal</w:t>
            </w:r>
          </w:p>
        </w:tc>
        <w:tc>
          <w:tcPr>
            <w:tcW w:w="700" w:type="dxa"/>
          </w:tcPr>
          <w:p>
            <w:pPr>
              <w:pStyle w:val="TableParagraph"/>
              <w:spacing w:before="7"/>
              <w:ind w:left="205" w:right="-50"/>
              <w:jc w:val="left"/>
              <w:rPr>
                <w:sz w:val="12"/>
              </w:rPr>
            </w:pPr>
            <w:r>
              <w:rPr>
                <w:w w:val="106"/>
                <w:sz w:val="12"/>
                <w:shd w:fill="F79646" w:color="auto" w:val="clear"/>
              </w:rPr>
              <w:t> </w:t>
            </w:r>
            <w:r>
              <w:rPr>
                <w:sz w:val="12"/>
                <w:shd w:fill="F79646" w:color="auto" w:val="clear"/>
              </w:rPr>
              <w:t>   </w:t>
            </w:r>
            <w:r>
              <w:rPr>
                <w:spacing w:val="12"/>
                <w:sz w:val="12"/>
                <w:shd w:fill="F79646" w:color="auto" w:val="clear"/>
              </w:rPr>
              <w:t> </w:t>
            </w:r>
            <w:r>
              <w:rPr>
                <w:w w:val="105"/>
                <w:sz w:val="12"/>
                <w:shd w:fill="F79646" w:color="auto" w:val="clear"/>
              </w:rPr>
              <w:t>2.5</w:t>
            </w:r>
            <w:r>
              <w:rPr>
                <w:spacing w:val="-16"/>
                <w:sz w:val="12"/>
                <w:shd w:fill="F79646" w:color="auto" w:val="clear"/>
              </w:rPr>
              <w:t> </w:t>
            </w:r>
          </w:p>
        </w:tc>
        <w:tc>
          <w:tcPr>
            <w:tcW w:w="732" w:type="dxa"/>
          </w:tcPr>
          <w:p>
            <w:pPr>
              <w:pStyle w:val="TableParagraph"/>
              <w:spacing w:before="7"/>
              <w:ind w:left="96" w:right="40"/>
              <w:rPr>
                <w:sz w:val="12"/>
              </w:rPr>
            </w:pPr>
            <w:r>
              <w:rPr>
                <w:w w:val="105"/>
                <w:sz w:val="12"/>
              </w:rPr>
              <w:t>3.5</w:t>
            </w:r>
          </w:p>
        </w:tc>
        <w:tc>
          <w:tcPr>
            <w:tcW w:w="736" w:type="dxa"/>
            <w:tcBorders>
              <w:right w:val="single" w:sz="9" w:space="0" w:color="000000"/>
            </w:tcBorders>
            <w:shd w:val="clear" w:color="auto" w:fill="67ED4D"/>
          </w:tcPr>
          <w:p>
            <w:pPr>
              <w:pStyle w:val="TableParagraph"/>
              <w:spacing w:before="7"/>
              <w:ind w:left="28"/>
              <w:rPr>
                <w:sz w:val="12"/>
              </w:rPr>
            </w:pPr>
            <w:r>
              <w:rPr>
                <w:w w:val="106"/>
                <w:sz w:val="12"/>
              </w:rPr>
              <w:t>7</w:t>
            </w:r>
          </w:p>
        </w:tc>
      </w:tr>
      <w:tr>
        <w:trPr>
          <w:trHeight w:val="149" w:hRule="exact"/>
        </w:trPr>
        <w:tc>
          <w:tcPr>
            <w:tcW w:w="8822" w:type="dxa"/>
            <w:gridSpan w:val="7"/>
            <w:tcBorders>
              <w:left w:val="single" w:sz="4" w:space="0" w:color="000000"/>
              <w:right w:val="single" w:sz="9" w:space="0" w:color="000000"/>
            </w:tcBorders>
          </w:tcPr>
          <w:p>
            <w:pPr/>
          </w:p>
        </w:tc>
      </w:tr>
      <w:tr>
        <w:trPr>
          <w:trHeight w:val="163" w:hRule="exact"/>
        </w:trPr>
        <w:tc>
          <w:tcPr>
            <w:tcW w:w="674" w:type="dxa"/>
            <w:tcBorders>
              <w:left w:val="single" w:sz="4" w:space="0" w:color="000000"/>
            </w:tcBorders>
          </w:tcPr>
          <w:p>
            <w:pPr>
              <w:pStyle w:val="TableParagraph"/>
              <w:spacing w:before="10"/>
              <w:ind w:left="37" w:right="30"/>
              <w:rPr>
                <w:sz w:val="12"/>
              </w:rPr>
            </w:pPr>
            <w:r>
              <w:rPr>
                <w:w w:val="105"/>
                <w:sz w:val="12"/>
              </w:rPr>
              <w:t>Ambiental</w:t>
            </w:r>
          </w:p>
        </w:tc>
        <w:tc>
          <w:tcPr>
            <w:tcW w:w="1887" w:type="dxa"/>
          </w:tcPr>
          <w:p>
            <w:pPr/>
          </w:p>
        </w:tc>
        <w:tc>
          <w:tcPr>
            <w:tcW w:w="2281" w:type="dxa"/>
          </w:tcPr>
          <w:p>
            <w:pPr>
              <w:pStyle w:val="TableParagraph"/>
              <w:spacing w:before="10"/>
              <w:ind w:left="290" w:right="323"/>
              <w:jc w:val="left"/>
              <w:rPr>
                <w:sz w:val="12"/>
              </w:rPr>
            </w:pPr>
            <w:r>
              <w:rPr>
                <w:w w:val="105"/>
                <w:sz w:val="12"/>
              </w:rPr>
              <w:t>Superficie</w:t>
            </w:r>
          </w:p>
        </w:tc>
        <w:tc>
          <w:tcPr>
            <w:tcW w:w="1812" w:type="dxa"/>
          </w:tcPr>
          <w:p>
            <w:pPr>
              <w:pStyle w:val="TableParagraph"/>
              <w:spacing w:before="10"/>
              <w:ind w:left="717"/>
              <w:rPr>
                <w:sz w:val="12"/>
              </w:rPr>
            </w:pPr>
            <w:r>
              <w:rPr>
                <w:w w:val="106"/>
                <w:sz w:val="12"/>
              </w:rPr>
              <w:t>1</w:t>
            </w:r>
          </w:p>
        </w:tc>
        <w:tc>
          <w:tcPr>
            <w:tcW w:w="700" w:type="dxa"/>
          </w:tcPr>
          <w:p>
            <w:pPr/>
          </w:p>
        </w:tc>
        <w:tc>
          <w:tcPr>
            <w:tcW w:w="732" w:type="dxa"/>
          </w:tcPr>
          <w:p>
            <w:pPr>
              <w:pStyle w:val="TableParagraph"/>
              <w:spacing w:before="10"/>
              <w:ind w:left="56"/>
              <w:rPr>
                <w:sz w:val="12"/>
              </w:rPr>
            </w:pPr>
            <w:r>
              <w:rPr>
                <w:w w:val="106"/>
                <w:sz w:val="12"/>
              </w:rPr>
              <w:t>1</w:t>
            </w:r>
          </w:p>
        </w:tc>
        <w:tc>
          <w:tcPr>
            <w:tcW w:w="736" w:type="dxa"/>
            <w:tcBorders>
              <w:right w:val="single" w:sz="9" w:space="0" w:color="000000"/>
            </w:tcBorders>
            <w:shd w:val="clear" w:color="auto" w:fill="67ED4D"/>
          </w:tcPr>
          <w:p>
            <w:pPr>
              <w:pStyle w:val="TableParagraph"/>
              <w:spacing w:before="10"/>
              <w:ind w:left="28"/>
              <w:rPr>
                <w:sz w:val="12"/>
              </w:rPr>
            </w:pPr>
            <w:r>
              <w:rPr>
                <w:w w:val="106"/>
                <w:sz w:val="12"/>
              </w:rPr>
              <w:t>1</w:t>
            </w:r>
          </w:p>
        </w:tc>
      </w:tr>
      <w:tr>
        <w:trPr>
          <w:trHeight w:val="160" w:hRule="exact"/>
        </w:trPr>
        <w:tc>
          <w:tcPr>
            <w:tcW w:w="674" w:type="dxa"/>
            <w:tcBorders>
              <w:left w:val="single" w:sz="4" w:space="0" w:color="000000"/>
            </w:tcBorders>
          </w:tcPr>
          <w:p>
            <w:pPr/>
          </w:p>
        </w:tc>
        <w:tc>
          <w:tcPr>
            <w:tcW w:w="1887" w:type="dxa"/>
          </w:tcPr>
          <w:p>
            <w:pPr>
              <w:pStyle w:val="TableParagraph"/>
              <w:spacing w:before="7"/>
              <w:ind w:left="46"/>
              <w:jc w:val="left"/>
              <w:rPr>
                <w:sz w:val="12"/>
              </w:rPr>
            </w:pPr>
            <w:r>
              <w:rPr>
                <w:w w:val="105"/>
                <w:sz w:val="12"/>
              </w:rPr>
              <w:t>Áreas verdes</w:t>
            </w:r>
          </w:p>
        </w:tc>
        <w:tc>
          <w:tcPr>
            <w:tcW w:w="2281" w:type="dxa"/>
          </w:tcPr>
          <w:p>
            <w:pPr>
              <w:pStyle w:val="TableParagraph"/>
              <w:spacing w:before="7"/>
              <w:ind w:left="290" w:right="323"/>
              <w:jc w:val="left"/>
              <w:rPr>
                <w:sz w:val="12"/>
              </w:rPr>
            </w:pPr>
            <w:r>
              <w:rPr>
                <w:w w:val="105"/>
                <w:sz w:val="12"/>
              </w:rPr>
              <w:t>Índice OMS</w:t>
            </w:r>
          </w:p>
        </w:tc>
        <w:tc>
          <w:tcPr>
            <w:tcW w:w="1812" w:type="dxa"/>
          </w:tcPr>
          <w:p>
            <w:pPr>
              <w:pStyle w:val="TableParagraph"/>
              <w:spacing w:before="7"/>
              <w:ind w:left="908" w:right="191"/>
              <w:rPr>
                <w:sz w:val="12"/>
              </w:rPr>
            </w:pPr>
            <w:r>
              <w:rPr>
                <w:w w:val="105"/>
                <w:sz w:val="12"/>
              </w:rPr>
              <w:t>0.5</w:t>
            </w:r>
          </w:p>
        </w:tc>
        <w:tc>
          <w:tcPr>
            <w:tcW w:w="700" w:type="dxa"/>
          </w:tcPr>
          <w:p>
            <w:pPr/>
          </w:p>
        </w:tc>
        <w:tc>
          <w:tcPr>
            <w:tcW w:w="732" w:type="dxa"/>
          </w:tcPr>
          <w:p>
            <w:pPr>
              <w:pStyle w:val="TableParagraph"/>
              <w:spacing w:before="7"/>
              <w:ind w:left="96" w:right="40"/>
              <w:rPr>
                <w:sz w:val="12"/>
              </w:rPr>
            </w:pPr>
            <w:r>
              <w:rPr>
                <w:w w:val="105"/>
                <w:sz w:val="12"/>
              </w:rPr>
              <w:t>0.8</w:t>
            </w:r>
          </w:p>
        </w:tc>
        <w:tc>
          <w:tcPr>
            <w:tcW w:w="736" w:type="dxa"/>
            <w:tcBorders>
              <w:right w:val="single" w:sz="9" w:space="0" w:color="000000"/>
            </w:tcBorders>
            <w:shd w:val="clear" w:color="auto" w:fill="67ED4D"/>
          </w:tcPr>
          <w:p>
            <w:pPr>
              <w:pStyle w:val="TableParagraph"/>
              <w:spacing w:before="7"/>
              <w:ind w:left="28"/>
              <w:rPr>
                <w:sz w:val="12"/>
              </w:rPr>
            </w:pPr>
            <w:r>
              <w:rPr>
                <w:w w:val="106"/>
                <w:sz w:val="12"/>
              </w:rPr>
              <w:t>1</w:t>
            </w:r>
          </w:p>
        </w:tc>
      </w:tr>
      <w:tr>
        <w:trPr>
          <w:trHeight w:val="160" w:hRule="exact"/>
        </w:trPr>
        <w:tc>
          <w:tcPr>
            <w:tcW w:w="674" w:type="dxa"/>
            <w:tcBorders>
              <w:left w:val="single" w:sz="4" w:space="0" w:color="000000"/>
            </w:tcBorders>
          </w:tcPr>
          <w:p>
            <w:pPr/>
          </w:p>
        </w:tc>
        <w:tc>
          <w:tcPr>
            <w:tcW w:w="1887" w:type="dxa"/>
          </w:tcPr>
          <w:p>
            <w:pPr/>
          </w:p>
        </w:tc>
        <w:tc>
          <w:tcPr>
            <w:tcW w:w="2281" w:type="dxa"/>
          </w:tcPr>
          <w:p>
            <w:pPr>
              <w:pStyle w:val="TableParagraph"/>
              <w:spacing w:before="7"/>
              <w:ind w:left="290" w:right="323"/>
              <w:jc w:val="left"/>
              <w:rPr>
                <w:sz w:val="12"/>
              </w:rPr>
            </w:pPr>
            <w:r>
              <w:rPr>
                <w:w w:val="105"/>
                <w:sz w:val="12"/>
              </w:rPr>
              <w:t>Índice ONU</w:t>
            </w:r>
          </w:p>
        </w:tc>
        <w:tc>
          <w:tcPr>
            <w:tcW w:w="1812" w:type="dxa"/>
          </w:tcPr>
          <w:p>
            <w:pPr>
              <w:pStyle w:val="TableParagraph"/>
              <w:spacing w:before="7"/>
              <w:ind w:left="908" w:right="191"/>
              <w:rPr>
                <w:sz w:val="12"/>
              </w:rPr>
            </w:pPr>
            <w:r>
              <w:rPr>
                <w:w w:val="105"/>
                <w:sz w:val="12"/>
              </w:rPr>
              <w:t>0.5</w:t>
            </w:r>
          </w:p>
        </w:tc>
        <w:tc>
          <w:tcPr>
            <w:tcW w:w="700" w:type="dxa"/>
          </w:tcPr>
          <w:p>
            <w:pPr/>
          </w:p>
        </w:tc>
        <w:tc>
          <w:tcPr>
            <w:tcW w:w="732" w:type="dxa"/>
          </w:tcPr>
          <w:p>
            <w:pPr>
              <w:pStyle w:val="TableParagraph"/>
              <w:spacing w:before="7"/>
              <w:ind w:left="96" w:right="40"/>
              <w:rPr>
                <w:sz w:val="12"/>
              </w:rPr>
            </w:pPr>
            <w:r>
              <w:rPr>
                <w:w w:val="105"/>
                <w:sz w:val="12"/>
              </w:rPr>
              <w:t>0.8</w:t>
            </w:r>
          </w:p>
        </w:tc>
        <w:tc>
          <w:tcPr>
            <w:tcW w:w="736" w:type="dxa"/>
            <w:tcBorders>
              <w:right w:val="single" w:sz="9" w:space="0" w:color="000000"/>
            </w:tcBorders>
            <w:shd w:val="clear" w:color="auto" w:fill="67ED4D"/>
          </w:tcPr>
          <w:p>
            <w:pPr>
              <w:pStyle w:val="TableParagraph"/>
              <w:spacing w:before="7"/>
              <w:ind w:left="28"/>
              <w:rPr>
                <w:sz w:val="12"/>
              </w:rPr>
            </w:pPr>
            <w:r>
              <w:rPr>
                <w:w w:val="106"/>
                <w:sz w:val="12"/>
              </w:rPr>
              <w:t>1</w:t>
            </w:r>
          </w:p>
        </w:tc>
      </w:tr>
      <w:tr>
        <w:trPr>
          <w:trHeight w:val="168" w:hRule="exact"/>
        </w:trPr>
        <w:tc>
          <w:tcPr>
            <w:tcW w:w="674" w:type="dxa"/>
            <w:tcBorders>
              <w:left w:val="single" w:sz="4" w:space="0" w:color="000000"/>
            </w:tcBorders>
          </w:tcPr>
          <w:p>
            <w:pPr/>
          </w:p>
        </w:tc>
        <w:tc>
          <w:tcPr>
            <w:tcW w:w="1887" w:type="dxa"/>
          </w:tcPr>
          <w:p>
            <w:pPr/>
          </w:p>
        </w:tc>
        <w:tc>
          <w:tcPr>
            <w:tcW w:w="2281" w:type="dxa"/>
          </w:tcPr>
          <w:p>
            <w:pPr/>
          </w:p>
        </w:tc>
        <w:tc>
          <w:tcPr>
            <w:tcW w:w="1812" w:type="dxa"/>
          </w:tcPr>
          <w:p>
            <w:pPr>
              <w:pStyle w:val="TableParagraph"/>
              <w:spacing w:before="7"/>
              <w:ind w:left="901" w:right="191"/>
              <w:rPr>
                <w:sz w:val="12"/>
              </w:rPr>
            </w:pPr>
            <w:r>
              <w:rPr>
                <w:w w:val="105"/>
                <w:sz w:val="12"/>
              </w:rPr>
              <w:t>Subtotal</w:t>
            </w:r>
          </w:p>
        </w:tc>
        <w:tc>
          <w:tcPr>
            <w:tcW w:w="700" w:type="dxa"/>
          </w:tcPr>
          <w:p>
            <w:pPr>
              <w:pStyle w:val="TableParagraph"/>
              <w:tabs>
                <w:tab w:pos="749" w:val="left" w:leader="none"/>
              </w:tabs>
              <w:spacing w:before="7"/>
              <w:ind w:left="205" w:right="-50"/>
              <w:jc w:val="left"/>
              <w:rPr>
                <w:sz w:val="12"/>
              </w:rPr>
            </w:pPr>
            <w:r>
              <w:rPr>
                <w:w w:val="106"/>
                <w:sz w:val="12"/>
                <w:shd w:fill="F79646" w:color="auto" w:val="clear"/>
              </w:rPr>
              <w:t> </w:t>
            </w:r>
            <w:r>
              <w:rPr>
                <w:sz w:val="12"/>
                <w:shd w:fill="F79646" w:color="auto" w:val="clear"/>
              </w:rPr>
              <w:t>     </w:t>
            </w:r>
            <w:r>
              <w:rPr>
                <w:spacing w:val="-2"/>
                <w:sz w:val="12"/>
                <w:shd w:fill="F79646" w:color="auto" w:val="clear"/>
              </w:rPr>
              <w:t> </w:t>
            </w:r>
            <w:r>
              <w:rPr>
                <w:w w:val="105"/>
                <w:sz w:val="12"/>
                <w:shd w:fill="F79646" w:color="auto" w:val="clear"/>
              </w:rPr>
              <w:t>2</w:t>
            </w:r>
            <w:r>
              <w:rPr>
                <w:sz w:val="12"/>
                <w:shd w:fill="F79646" w:color="auto" w:val="clear"/>
              </w:rPr>
              <w:tab/>
            </w:r>
          </w:p>
        </w:tc>
        <w:tc>
          <w:tcPr>
            <w:tcW w:w="732" w:type="dxa"/>
          </w:tcPr>
          <w:p>
            <w:pPr>
              <w:pStyle w:val="TableParagraph"/>
              <w:spacing w:before="7"/>
              <w:ind w:left="96" w:right="40"/>
              <w:rPr>
                <w:sz w:val="12"/>
              </w:rPr>
            </w:pPr>
            <w:r>
              <w:rPr>
                <w:w w:val="105"/>
                <w:sz w:val="12"/>
              </w:rPr>
              <w:t>2.6</w:t>
            </w:r>
          </w:p>
        </w:tc>
        <w:tc>
          <w:tcPr>
            <w:tcW w:w="736" w:type="dxa"/>
            <w:tcBorders>
              <w:right w:val="single" w:sz="9" w:space="0" w:color="000000"/>
            </w:tcBorders>
            <w:shd w:val="clear" w:color="auto" w:fill="67ED4D"/>
          </w:tcPr>
          <w:p>
            <w:pPr>
              <w:pStyle w:val="TableParagraph"/>
              <w:spacing w:before="7"/>
              <w:ind w:left="28"/>
              <w:rPr>
                <w:sz w:val="12"/>
              </w:rPr>
            </w:pPr>
            <w:r>
              <w:rPr>
                <w:w w:val="106"/>
                <w:sz w:val="12"/>
              </w:rPr>
              <w:t>3</w:t>
            </w:r>
          </w:p>
        </w:tc>
      </w:tr>
      <w:tr>
        <w:trPr>
          <w:trHeight w:val="149" w:hRule="exact"/>
        </w:trPr>
        <w:tc>
          <w:tcPr>
            <w:tcW w:w="8822" w:type="dxa"/>
            <w:gridSpan w:val="7"/>
            <w:tcBorders>
              <w:left w:val="single" w:sz="4" w:space="0" w:color="000000"/>
              <w:right w:val="single" w:sz="9" w:space="0" w:color="000000"/>
            </w:tcBorders>
          </w:tcPr>
          <w:p>
            <w:pPr/>
          </w:p>
        </w:tc>
      </w:tr>
      <w:tr>
        <w:trPr>
          <w:trHeight w:val="163" w:hRule="exact"/>
        </w:trPr>
        <w:tc>
          <w:tcPr>
            <w:tcW w:w="674" w:type="dxa"/>
            <w:vMerge w:val="restart"/>
            <w:tcBorders>
              <w:left w:val="single" w:sz="4" w:space="0" w:color="000000"/>
            </w:tcBorders>
          </w:tcPr>
          <w:p>
            <w:pPr/>
          </w:p>
        </w:tc>
        <w:tc>
          <w:tcPr>
            <w:tcW w:w="1887" w:type="dxa"/>
          </w:tcPr>
          <w:p>
            <w:pPr/>
          </w:p>
        </w:tc>
        <w:tc>
          <w:tcPr>
            <w:tcW w:w="2281" w:type="dxa"/>
          </w:tcPr>
          <w:p>
            <w:pPr>
              <w:pStyle w:val="TableParagraph"/>
              <w:spacing w:before="10"/>
              <w:ind w:left="290" w:right="323"/>
              <w:jc w:val="left"/>
              <w:rPr>
                <w:sz w:val="12"/>
              </w:rPr>
            </w:pPr>
            <w:r>
              <w:rPr>
                <w:w w:val="105"/>
                <w:sz w:val="12"/>
              </w:rPr>
              <w:t>Separación</w:t>
            </w:r>
          </w:p>
        </w:tc>
        <w:tc>
          <w:tcPr>
            <w:tcW w:w="1812" w:type="dxa"/>
          </w:tcPr>
          <w:p>
            <w:pPr>
              <w:pStyle w:val="TableParagraph"/>
              <w:spacing w:before="10"/>
              <w:ind w:left="717"/>
              <w:rPr>
                <w:sz w:val="12"/>
              </w:rPr>
            </w:pPr>
            <w:r>
              <w:rPr>
                <w:w w:val="106"/>
                <w:sz w:val="12"/>
              </w:rPr>
              <w:t>0</w:t>
            </w:r>
          </w:p>
        </w:tc>
        <w:tc>
          <w:tcPr>
            <w:tcW w:w="700" w:type="dxa"/>
          </w:tcPr>
          <w:p>
            <w:pPr/>
          </w:p>
        </w:tc>
        <w:tc>
          <w:tcPr>
            <w:tcW w:w="732" w:type="dxa"/>
          </w:tcPr>
          <w:p>
            <w:pPr>
              <w:pStyle w:val="TableParagraph"/>
              <w:spacing w:before="10"/>
              <w:ind w:left="56"/>
              <w:rPr>
                <w:sz w:val="12"/>
              </w:rPr>
            </w:pPr>
            <w:r>
              <w:rPr>
                <w:w w:val="106"/>
                <w:sz w:val="12"/>
              </w:rPr>
              <w:t>1</w:t>
            </w:r>
          </w:p>
        </w:tc>
        <w:tc>
          <w:tcPr>
            <w:tcW w:w="736" w:type="dxa"/>
            <w:tcBorders>
              <w:right w:val="single" w:sz="9" w:space="0" w:color="000000"/>
            </w:tcBorders>
            <w:shd w:val="clear" w:color="auto" w:fill="67ED4D"/>
          </w:tcPr>
          <w:p>
            <w:pPr>
              <w:pStyle w:val="TableParagraph"/>
              <w:spacing w:before="10"/>
              <w:ind w:left="28"/>
              <w:rPr>
                <w:sz w:val="12"/>
              </w:rPr>
            </w:pPr>
            <w:r>
              <w:rPr>
                <w:w w:val="106"/>
                <w:sz w:val="12"/>
              </w:rPr>
              <w:t>1</w:t>
            </w:r>
          </w:p>
        </w:tc>
      </w:tr>
      <w:tr>
        <w:trPr>
          <w:trHeight w:val="160" w:hRule="exact"/>
        </w:trPr>
        <w:tc>
          <w:tcPr>
            <w:tcW w:w="674" w:type="dxa"/>
            <w:vMerge/>
            <w:tcBorders>
              <w:left w:val="single" w:sz="4" w:space="0" w:color="000000"/>
            </w:tcBorders>
          </w:tcPr>
          <w:p>
            <w:pPr/>
          </w:p>
        </w:tc>
        <w:tc>
          <w:tcPr>
            <w:tcW w:w="1887" w:type="dxa"/>
          </w:tcPr>
          <w:p>
            <w:pPr>
              <w:pStyle w:val="TableParagraph"/>
              <w:spacing w:before="7"/>
              <w:ind w:left="46"/>
              <w:jc w:val="left"/>
              <w:rPr>
                <w:sz w:val="12"/>
              </w:rPr>
            </w:pPr>
            <w:r>
              <w:rPr>
                <w:w w:val="105"/>
                <w:sz w:val="12"/>
              </w:rPr>
              <w:t>Manejo de residuos solidos</w:t>
            </w:r>
          </w:p>
        </w:tc>
        <w:tc>
          <w:tcPr>
            <w:tcW w:w="2281" w:type="dxa"/>
          </w:tcPr>
          <w:p>
            <w:pPr>
              <w:pStyle w:val="TableParagraph"/>
              <w:spacing w:before="7"/>
              <w:ind w:left="290" w:right="323"/>
              <w:jc w:val="left"/>
              <w:rPr>
                <w:sz w:val="12"/>
              </w:rPr>
            </w:pPr>
            <w:r>
              <w:rPr>
                <w:w w:val="105"/>
                <w:sz w:val="12"/>
              </w:rPr>
              <w:t>Recolección</w:t>
            </w:r>
          </w:p>
        </w:tc>
        <w:tc>
          <w:tcPr>
            <w:tcW w:w="1812" w:type="dxa"/>
          </w:tcPr>
          <w:p>
            <w:pPr>
              <w:pStyle w:val="TableParagraph"/>
              <w:spacing w:before="7"/>
              <w:ind w:left="908" w:right="191"/>
              <w:rPr>
                <w:sz w:val="12"/>
              </w:rPr>
            </w:pPr>
            <w:r>
              <w:rPr>
                <w:w w:val="105"/>
                <w:sz w:val="12"/>
              </w:rPr>
              <w:t>0.6</w:t>
            </w:r>
          </w:p>
        </w:tc>
        <w:tc>
          <w:tcPr>
            <w:tcW w:w="700" w:type="dxa"/>
          </w:tcPr>
          <w:p>
            <w:pPr/>
          </w:p>
        </w:tc>
        <w:tc>
          <w:tcPr>
            <w:tcW w:w="732" w:type="dxa"/>
          </w:tcPr>
          <w:p>
            <w:pPr>
              <w:pStyle w:val="TableParagraph"/>
              <w:spacing w:before="7"/>
              <w:ind w:left="56"/>
              <w:rPr>
                <w:sz w:val="12"/>
              </w:rPr>
            </w:pPr>
            <w:r>
              <w:rPr>
                <w:w w:val="106"/>
                <w:sz w:val="12"/>
              </w:rPr>
              <w:t>1</w:t>
            </w:r>
          </w:p>
        </w:tc>
        <w:tc>
          <w:tcPr>
            <w:tcW w:w="736" w:type="dxa"/>
            <w:tcBorders>
              <w:right w:val="single" w:sz="9" w:space="0" w:color="000000"/>
            </w:tcBorders>
            <w:shd w:val="clear" w:color="auto" w:fill="67ED4D"/>
          </w:tcPr>
          <w:p>
            <w:pPr>
              <w:pStyle w:val="TableParagraph"/>
              <w:spacing w:before="7"/>
              <w:ind w:left="28"/>
              <w:rPr>
                <w:sz w:val="12"/>
              </w:rPr>
            </w:pPr>
            <w:r>
              <w:rPr>
                <w:w w:val="106"/>
                <w:sz w:val="12"/>
              </w:rPr>
              <w:t>1</w:t>
            </w:r>
          </w:p>
        </w:tc>
      </w:tr>
      <w:tr>
        <w:trPr>
          <w:trHeight w:val="160" w:hRule="exact"/>
        </w:trPr>
        <w:tc>
          <w:tcPr>
            <w:tcW w:w="674" w:type="dxa"/>
            <w:vMerge/>
            <w:tcBorders>
              <w:left w:val="single" w:sz="4" w:space="0" w:color="000000"/>
            </w:tcBorders>
          </w:tcPr>
          <w:p>
            <w:pPr/>
          </w:p>
        </w:tc>
        <w:tc>
          <w:tcPr>
            <w:tcW w:w="1887" w:type="dxa"/>
          </w:tcPr>
          <w:p>
            <w:pPr/>
          </w:p>
        </w:tc>
        <w:tc>
          <w:tcPr>
            <w:tcW w:w="2281" w:type="dxa"/>
          </w:tcPr>
          <w:p>
            <w:pPr>
              <w:pStyle w:val="TableParagraph"/>
              <w:spacing w:before="7"/>
              <w:ind w:left="290" w:right="323"/>
              <w:jc w:val="left"/>
              <w:rPr>
                <w:sz w:val="12"/>
              </w:rPr>
            </w:pPr>
            <w:r>
              <w:rPr>
                <w:w w:val="105"/>
                <w:sz w:val="12"/>
              </w:rPr>
              <w:t>Disposición</w:t>
            </w:r>
          </w:p>
        </w:tc>
        <w:tc>
          <w:tcPr>
            <w:tcW w:w="1812" w:type="dxa"/>
          </w:tcPr>
          <w:p>
            <w:pPr>
              <w:pStyle w:val="TableParagraph"/>
              <w:spacing w:before="7"/>
              <w:ind w:left="908" w:right="191"/>
              <w:rPr>
                <w:sz w:val="12"/>
              </w:rPr>
            </w:pPr>
            <w:r>
              <w:rPr>
                <w:w w:val="105"/>
                <w:sz w:val="12"/>
              </w:rPr>
              <w:t>0.5</w:t>
            </w:r>
          </w:p>
        </w:tc>
        <w:tc>
          <w:tcPr>
            <w:tcW w:w="700" w:type="dxa"/>
          </w:tcPr>
          <w:p>
            <w:pPr/>
          </w:p>
        </w:tc>
        <w:tc>
          <w:tcPr>
            <w:tcW w:w="732" w:type="dxa"/>
          </w:tcPr>
          <w:p>
            <w:pPr>
              <w:pStyle w:val="TableParagraph"/>
              <w:spacing w:before="7"/>
              <w:ind w:left="96" w:right="40"/>
              <w:rPr>
                <w:sz w:val="12"/>
              </w:rPr>
            </w:pPr>
            <w:r>
              <w:rPr>
                <w:w w:val="105"/>
                <w:sz w:val="12"/>
              </w:rPr>
              <w:t>0.8</w:t>
            </w:r>
          </w:p>
        </w:tc>
        <w:tc>
          <w:tcPr>
            <w:tcW w:w="736" w:type="dxa"/>
            <w:tcBorders>
              <w:right w:val="single" w:sz="9" w:space="0" w:color="000000"/>
            </w:tcBorders>
            <w:shd w:val="clear" w:color="auto" w:fill="67ED4D"/>
          </w:tcPr>
          <w:p>
            <w:pPr>
              <w:pStyle w:val="TableParagraph"/>
              <w:spacing w:before="7"/>
              <w:ind w:left="28"/>
              <w:rPr>
                <w:sz w:val="12"/>
              </w:rPr>
            </w:pPr>
            <w:r>
              <w:rPr>
                <w:w w:val="106"/>
                <w:sz w:val="12"/>
              </w:rPr>
              <w:t>1</w:t>
            </w:r>
          </w:p>
        </w:tc>
      </w:tr>
      <w:tr>
        <w:trPr>
          <w:trHeight w:val="168" w:hRule="exact"/>
        </w:trPr>
        <w:tc>
          <w:tcPr>
            <w:tcW w:w="674" w:type="dxa"/>
            <w:vMerge/>
            <w:tcBorders>
              <w:left w:val="single" w:sz="4" w:space="0" w:color="000000"/>
            </w:tcBorders>
          </w:tcPr>
          <w:p>
            <w:pPr/>
          </w:p>
        </w:tc>
        <w:tc>
          <w:tcPr>
            <w:tcW w:w="1887" w:type="dxa"/>
          </w:tcPr>
          <w:p>
            <w:pPr/>
          </w:p>
        </w:tc>
        <w:tc>
          <w:tcPr>
            <w:tcW w:w="2281" w:type="dxa"/>
          </w:tcPr>
          <w:p>
            <w:pPr/>
          </w:p>
        </w:tc>
        <w:tc>
          <w:tcPr>
            <w:tcW w:w="1812" w:type="dxa"/>
          </w:tcPr>
          <w:p>
            <w:pPr>
              <w:pStyle w:val="TableParagraph"/>
              <w:spacing w:before="7"/>
              <w:ind w:left="901" w:right="191"/>
              <w:rPr>
                <w:sz w:val="12"/>
              </w:rPr>
            </w:pPr>
            <w:r>
              <w:rPr>
                <w:w w:val="105"/>
                <w:sz w:val="12"/>
              </w:rPr>
              <w:t>Subtotal</w:t>
            </w:r>
          </w:p>
        </w:tc>
        <w:tc>
          <w:tcPr>
            <w:tcW w:w="700" w:type="dxa"/>
          </w:tcPr>
          <w:p>
            <w:pPr>
              <w:pStyle w:val="TableParagraph"/>
              <w:spacing w:before="7"/>
              <w:ind w:left="205" w:right="-50"/>
              <w:jc w:val="left"/>
              <w:rPr>
                <w:sz w:val="12"/>
              </w:rPr>
            </w:pPr>
            <w:r>
              <w:rPr>
                <w:w w:val="106"/>
                <w:sz w:val="12"/>
                <w:shd w:fill="F79646" w:color="auto" w:val="clear"/>
              </w:rPr>
              <w:t> </w:t>
            </w:r>
            <w:r>
              <w:rPr>
                <w:sz w:val="12"/>
                <w:shd w:fill="F79646" w:color="auto" w:val="clear"/>
              </w:rPr>
              <w:t>   </w:t>
            </w:r>
            <w:r>
              <w:rPr>
                <w:spacing w:val="12"/>
                <w:sz w:val="12"/>
                <w:shd w:fill="F79646" w:color="auto" w:val="clear"/>
              </w:rPr>
              <w:t> </w:t>
            </w:r>
            <w:r>
              <w:rPr>
                <w:w w:val="105"/>
                <w:sz w:val="12"/>
                <w:shd w:fill="F79646" w:color="auto" w:val="clear"/>
              </w:rPr>
              <w:t>1.1</w:t>
            </w:r>
            <w:r>
              <w:rPr>
                <w:spacing w:val="-16"/>
                <w:sz w:val="12"/>
                <w:shd w:fill="F79646" w:color="auto" w:val="clear"/>
              </w:rPr>
              <w:t> </w:t>
            </w:r>
          </w:p>
        </w:tc>
        <w:tc>
          <w:tcPr>
            <w:tcW w:w="732" w:type="dxa"/>
          </w:tcPr>
          <w:p>
            <w:pPr>
              <w:pStyle w:val="TableParagraph"/>
              <w:spacing w:before="7"/>
              <w:ind w:left="96" w:right="40"/>
              <w:rPr>
                <w:sz w:val="12"/>
              </w:rPr>
            </w:pPr>
            <w:r>
              <w:rPr>
                <w:w w:val="105"/>
                <w:sz w:val="12"/>
              </w:rPr>
              <w:t>2.8</w:t>
            </w:r>
          </w:p>
        </w:tc>
        <w:tc>
          <w:tcPr>
            <w:tcW w:w="736" w:type="dxa"/>
            <w:tcBorders>
              <w:right w:val="single" w:sz="9" w:space="0" w:color="000000"/>
            </w:tcBorders>
            <w:shd w:val="clear" w:color="auto" w:fill="67ED4D"/>
          </w:tcPr>
          <w:p>
            <w:pPr>
              <w:pStyle w:val="TableParagraph"/>
              <w:spacing w:before="7"/>
              <w:ind w:left="28"/>
              <w:rPr>
                <w:sz w:val="12"/>
              </w:rPr>
            </w:pPr>
            <w:r>
              <w:rPr>
                <w:w w:val="106"/>
                <w:sz w:val="12"/>
              </w:rPr>
              <w:t>3</w:t>
            </w:r>
          </w:p>
        </w:tc>
      </w:tr>
      <w:tr>
        <w:trPr>
          <w:trHeight w:val="149" w:hRule="exact"/>
        </w:trPr>
        <w:tc>
          <w:tcPr>
            <w:tcW w:w="8822" w:type="dxa"/>
            <w:gridSpan w:val="7"/>
            <w:tcBorders>
              <w:left w:val="single" w:sz="4" w:space="0" w:color="000000"/>
              <w:right w:val="single" w:sz="9" w:space="0" w:color="000000"/>
            </w:tcBorders>
          </w:tcPr>
          <w:p>
            <w:pPr/>
          </w:p>
        </w:tc>
      </w:tr>
      <w:tr>
        <w:trPr>
          <w:trHeight w:val="163" w:hRule="exact"/>
        </w:trPr>
        <w:tc>
          <w:tcPr>
            <w:tcW w:w="674" w:type="dxa"/>
            <w:vMerge w:val="restart"/>
            <w:tcBorders>
              <w:left w:val="single" w:sz="4" w:space="0" w:color="000000"/>
            </w:tcBorders>
          </w:tcPr>
          <w:p>
            <w:pPr/>
          </w:p>
        </w:tc>
        <w:tc>
          <w:tcPr>
            <w:tcW w:w="1887" w:type="dxa"/>
            <w:vMerge w:val="restart"/>
          </w:tcPr>
          <w:p>
            <w:pPr>
              <w:pStyle w:val="TableParagraph"/>
              <w:spacing w:before="84"/>
              <w:ind w:left="46"/>
              <w:jc w:val="left"/>
              <w:rPr>
                <w:sz w:val="12"/>
              </w:rPr>
            </w:pPr>
            <w:r>
              <w:rPr>
                <w:w w:val="105"/>
                <w:sz w:val="12"/>
              </w:rPr>
              <w:t>Ecotegnologías</w:t>
            </w:r>
          </w:p>
        </w:tc>
        <w:tc>
          <w:tcPr>
            <w:tcW w:w="2281" w:type="dxa"/>
            <w:vMerge w:val="restart"/>
          </w:tcPr>
          <w:p>
            <w:pPr>
              <w:pStyle w:val="TableParagraph"/>
              <w:spacing w:line="278" w:lineRule="auto" w:before="10"/>
              <w:ind w:left="290" w:right="1236"/>
              <w:jc w:val="left"/>
              <w:rPr>
                <w:sz w:val="12"/>
              </w:rPr>
            </w:pPr>
            <w:r>
              <w:rPr>
                <w:w w:val="105"/>
                <w:sz w:val="12"/>
              </w:rPr>
              <w:t>Vivienda Urbanización</w:t>
            </w:r>
          </w:p>
        </w:tc>
        <w:tc>
          <w:tcPr>
            <w:tcW w:w="1812" w:type="dxa"/>
            <w:vMerge w:val="restart"/>
          </w:tcPr>
          <w:p>
            <w:pPr>
              <w:pStyle w:val="TableParagraph"/>
              <w:spacing w:before="10"/>
              <w:ind w:left="1175"/>
              <w:jc w:val="left"/>
              <w:rPr>
                <w:sz w:val="12"/>
              </w:rPr>
            </w:pPr>
            <w:r>
              <w:rPr>
                <w:w w:val="105"/>
                <w:sz w:val="12"/>
              </w:rPr>
              <w:t>0.2</w:t>
            </w:r>
          </w:p>
          <w:p>
            <w:pPr>
              <w:pStyle w:val="TableParagraph"/>
              <w:spacing w:before="22"/>
              <w:ind w:left="1175"/>
              <w:jc w:val="left"/>
              <w:rPr>
                <w:sz w:val="12"/>
              </w:rPr>
            </w:pPr>
            <w:r>
              <w:rPr>
                <w:w w:val="105"/>
                <w:sz w:val="12"/>
              </w:rPr>
              <w:t>0.5</w:t>
            </w:r>
          </w:p>
        </w:tc>
        <w:tc>
          <w:tcPr>
            <w:tcW w:w="700" w:type="dxa"/>
            <w:vMerge w:val="restart"/>
          </w:tcPr>
          <w:p>
            <w:pPr/>
          </w:p>
        </w:tc>
        <w:tc>
          <w:tcPr>
            <w:tcW w:w="732" w:type="dxa"/>
            <w:vMerge w:val="restart"/>
          </w:tcPr>
          <w:p>
            <w:pPr>
              <w:pStyle w:val="TableParagraph"/>
              <w:spacing w:before="10"/>
              <w:ind w:left="96" w:right="40"/>
              <w:rPr>
                <w:sz w:val="12"/>
              </w:rPr>
            </w:pPr>
            <w:r>
              <w:rPr>
                <w:w w:val="105"/>
                <w:sz w:val="12"/>
              </w:rPr>
              <w:t>0.6</w:t>
            </w:r>
          </w:p>
          <w:p>
            <w:pPr>
              <w:pStyle w:val="TableParagraph"/>
              <w:spacing w:before="22"/>
              <w:ind w:left="96" w:right="40"/>
              <w:rPr>
                <w:sz w:val="12"/>
              </w:rPr>
            </w:pPr>
            <w:r>
              <w:rPr>
                <w:w w:val="105"/>
                <w:sz w:val="12"/>
              </w:rPr>
              <w:t>0.5</w:t>
            </w:r>
          </w:p>
        </w:tc>
        <w:tc>
          <w:tcPr>
            <w:tcW w:w="736" w:type="dxa"/>
            <w:tcBorders>
              <w:right w:val="single" w:sz="9" w:space="0" w:color="000000"/>
            </w:tcBorders>
            <w:shd w:val="clear" w:color="auto" w:fill="67ED4D"/>
          </w:tcPr>
          <w:p>
            <w:pPr>
              <w:pStyle w:val="TableParagraph"/>
              <w:spacing w:before="10"/>
              <w:ind w:left="28"/>
              <w:rPr>
                <w:sz w:val="12"/>
              </w:rPr>
            </w:pPr>
            <w:r>
              <w:rPr>
                <w:w w:val="106"/>
                <w:sz w:val="12"/>
              </w:rPr>
              <w:t>1</w:t>
            </w:r>
          </w:p>
        </w:tc>
      </w:tr>
      <w:tr>
        <w:trPr>
          <w:trHeight w:val="160" w:hRule="exact"/>
        </w:trPr>
        <w:tc>
          <w:tcPr>
            <w:tcW w:w="674" w:type="dxa"/>
            <w:vMerge/>
            <w:tcBorders>
              <w:left w:val="single" w:sz="4" w:space="0" w:color="000000"/>
            </w:tcBorders>
          </w:tcPr>
          <w:p>
            <w:pPr/>
          </w:p>
        </w:tc>
        <w:tc>
          <w:tcPr>
            <w:tcW w:w="1887" w:type="dxa"/>
            <w:vMerge/>
          </w:tcPr>
          <w:p>
            <w:pPr/>
          </w:p>
        </w:tc>
        <w:tc>
          <w:tcPr>
            <w:tcW w:w="2281" w:type="dxa"/>
            <w:vMerge/>
          </w:tcPr>
          <w:p>
            <w:pPr/>
          </w:p>
        </w:tc>
        <w:tc>
          <w:tcPr>
            <w:tcW w:w="1812" w:type="dxa"/>
            <w:vMerge/>
          </w:tcPr>
          <w:p>
            <w:pPr/>
          </w:p>
        </w:tc>
        <w:tc>
          <w:tcPr>
            <w:tcW w:w="700" w:type="dxa"/>
            <w:vMerge/>
          </w:tcPr>
          <w:p>
            <w:pPr/>
          </w:p>
        </w:tc>
        <w:tc>
          <w:tcPr>
            <w:tcW w:w="732" w:type="dxa"/>
            <w:vMerge/>
          </w:tcPr>
          <w:p>
            <w:pPr/>
          </w:p>
        </w:tc>
        <w:tc>
          <w:tcPr>
            <w:tcW w:w="736" w:type="dxa"/>
            <w:tcBorders>
              <w:right w:val="single" w:sz="9" w:space="0" w:color="000000"/>
            </w:tcBorders>
            <w:shd w:val="clear" w:color="auto" w:fill="67ED4D"/>
          </w:tcPr>
          <w:p>
            <w:pPr>
              <w:pStyle w:val="TableParagraph"/>
              <w:spacing w:before="7"/>
              <w:ind w:left="28"/>
              <w:rPr>
                <w:sz w:val="12"/>
              </w:rPr>
            </w:pPr>
            <w:r>
              <w:rPr>
                <w:w w:val="106"/>
                <w:sz w:val="12"/>
              </w:rPr>
              <w:t>1</w:t>
            </w:r>
          </w:p>
        </w:tc>
      </w:tr>
      <w:tr>
        <w:trPr>
          <w:trHeight w:val="160" w:hRule="exact"/>
        </w:trPr>
        <w:tc>
          <w:tcPr>
            <w:tcW w:w="674" w:type="dxa"/>
            <w:vMerge/>
            <w:tcBorders>
              <w:left w:val="single" w:sz="4" w:space="0" w:color="000000"/>
            </w:tcBorders>
          </w:tcPr>
          <w:p>
            <w:pPr/>
          </w:p>
        </w:tc>
        <w:tc>
          <w:tcPr>
            <w:tcW w:w="1887" w:type="dxa"/>
          </w:tcPr>
          <w:p>
            <w:pPr/>
          </w:p>
        </w:tc>
        <w:tc>
          <w:tcPr>
            <w:tcW w:w="2281" w:type="dxa"/>
          </w:tcPr>
          <w:p>
            <w:pPr>
              <w:pStyle w:val="TableParagraph"/>
              <w:spacing w:before="7"/>
              <w:ind w:left="290" w:right="323"/>
              <w:jc w:val="left"/>
              <w:rPr>
                <w:sz w:val="12"/>
              </w:rPr>
            </w:pPr>
            <w:r>
              <w:rPr>
                <w:w w:val="105"/>
                <w:sz w:val="12"/>
              </w:rPr>
              <w:t>Equipamiento</w:t>
            </w:r>
          </w:p>
        </w:tc>
        <w:tc>
          <w:tcPr>
            <w:tcW w:w="1812" w:type="dxa"/>
          </w:tcPr>
          <w:p>
            <w:pPr>
              <w:pStyle w:val="TableParagraph"/>
              <w:spacing w:before="7"/>
              <w:ind w:left="717"/>
              <w:rPr>
                <w:sz w:val="12"/>
              </w:rPr>
            </w:pPr>
            <w:r>
              <w:rPr>
                <w:w w:val="106"/>
                <w:sz w:val="12"/>
              </w:rPr>
              <w:t>0</w:t>
            </w:r>
          </w:p>
        </w:tc>
        <w:tc>
          <w:tcPr>
            <w:tcW w:w="700" w:type="dxa"/>
          </w:tcPr>
          <w:p>
            <w:pPr/>
          </w:p>
        </w:tc>
        <w:tc>
          <w:tcPr>
            <w:tcW w:w="732" w:type="dxa"/>
          </w:tcPr>
          <w:p>
            <w:pPr>
              <w:pStyle w:val="TableParagraph"/>
              <w:spacing w:before="7"/>
              <w:ind w:left="56"/>
              <w:rPr>
                <w:sz w:val="12"/>
              </w:rPr>
            </w:pPr>
            <w:r>
              <w:rPr>
                <w:w w:val="106"/>
                <w:sz w:val="12"/>
              </w:rPr>
              <w:t>1</w:t>
            </w:r>
          </w:p>
        </w:tc>
        <w:tc>
          <w:tcPr>
            <w:tcW w:w="736" w:type="dxa"/>
            <w:tcBorders>
              <w:right w:val="single" w:sz="9" w:space="0" w:color="000000"/>
            </w:tcBorders>
            <w:shd w:val="clear" w:color="auto" w:fill="67ED4D"/>
          </w:tcPr>
          <w:p>
            <w:pPr>
              <w:pStyle w:val="TableParagraph"/>
              <w:spacing w:before="7"/>
              <w:ind w:left="28"/>
              <w:rPr>
                <w:sz w:val="12"/>
              </w:rPr>
            </w:pPr>
            <w:r>
              <w:rPr>
                <w:w w:val="106"/>
                <w:sz w:val="12"/>
              </w:rPr>
              <w:t>1</w:t>
            </w:r>
          </w:p>
        </w:tc>
      </w:tr>
      <w:tr>
        <w:trPr>
          <w:trHeight w:val="160" w:hRule="exact"/>
        </w:trPr>
        <w:tc>
          <w:tcPr>
            <w:tcW w:w="674" w:type="dxa"/>
            <w:vMerge/>
            <w:tcBorders>
              <w:left w:val="single" w:sz="4" w:space="0" w:color="000000"/>
            </w:tcBorders>
          </w:tcPr>
          <w:p>
            <w:pPr/>
          </w:p>
        </w:tc>
        <w:tc>
          <w:tcPr>
            <w:tcW w:w="1887" w:type="dxa"/>
          </w:tcPr>
          <w:p>
            <w:pPr/>
          </w:p>
        </w:tc>
        <w:tc>
          <w:tcPr>
            <w:tcW w:w="2281" w:type="dxa"/>
          </w:tcPr>
          <w:p>
            <w:pPr>
              <w:pStyle w:val="TableParagraph"/>
              <w:spacing w:before="7"/>
              <w:ind w:left="290" w:right="323"/>
              <w:jc w:val="left"/>
              <w:rPr>
                <w:sz w:val="12"/>
              </w:rPr>
            </w:pPr>
            <w:r>
              <w:rPr>
                <w:w w:val="105"/>
                <w:sz w:val="12"/>
              </w:rPr>
              <w:t>Mobiliario</w:t>
            </w:r>
          </w:p>
        </w:tc>
        <w:tc>
          <w:tcPr>
            <w:tcW w:w="1812" w:type="dxa"/>
          </w:tcPr>
          <w:p>
            <w:pPr>
              <w:pStyle w:val="TableParagraph"/>
              <w:spacing w:before="7"/>
              <w:ind w:left="717"/>
              <w:rPr>
                <w:sz w:val="12"/>
              </w:rPr>
            </w:pPr>
            <w:r>
              <w:rPr>
                <w:w w:val="106"/>
                <w:sz w:val="12"/>
              </w:rPr>
              <w:t>0</w:t>
            </w:r>
          </w:p>
        </w:tc>
        <w:tc>
          <w:tcPr>
            <w:tcW w:w="700" w:type="dxa"/>
          </w:tcPr>
          <w:p>
            <w:pPr/>
          </w:p>
        </w:tc>
        <w:tc>
          <w:tcPr>
            <w:tcW w:w="732" w:type="dxa"/>
          </w:tcPr>
          <w:p>
            <w:pPr>
              <w:pStyle w:val="TableParagraph"/>
              <w:spacing w:before="7"/>
              <w:ind w:left="56"/>
              <w:rPr>
                <w:sz w:val="12"/>
              </w:rPr>
            </w:pPr>
            <w:r>
              <w:rPr>
                <w:w w:val="106"/>
                <w:sz w:val="12"/>
              </w:rPr>
              <w:t>1</w:t>
            </w:r>
          </w:p>
        </w:tc>
        <w:tc>
          <w:tcPr>
            <w:tcW w:w="736" w:type="dxa"/>
            <w:tcBorders>
              <w:right w:val="single" w:sz="9" w:space="0" w:color="000000"/>
            </w:tcBorders>
            <w:shd w:val="clear" w:color="auto" w:fill="67ED4D"/>
          </w:tcPr>
          <w:p>
            <w:pPr>
              <w:pStyle w:val="TableParagraph"/>
              <w:spacing w:before="7"/>
              <w:ind w:left="28"/>
              <w:rPr>
                <w:sz w:val="12"/>
              </w:rPr>
            </w:pPr>
            <w:r>
              <w:rPr>
                <w:w w:val="106"/>
                <w:sz w:val="12"/>
              </w:rPr>
              <w:t>1</w:t>
            </w:r>
          </w:p>
        </w:tc>
      </w:tr>
      <w:tr>
        <w:trPr>
          <w:trHeight w:val="168" w:hRule="exact"/>
        </w:trPr>
        <w:tc>
          <w:tcPr>
            <w:tcW w:w="674" w:type="dxa"/>
            <w:vMerge/>
            <w:tcBorders>
              <w:left w:val="single" w:sz="4" w:space="0" w:color="000000"/>
            </w:tcBorders>
          </w:tcPr>
          <w:p>
            <w:pPr/>
          </w:p>
        </w:tc>
        <w:tc>
          <w:tcPr>
            <w:tcW w:w="1887" w:type="dxa"/>
          </w:tcPr>
          <w:p>
            <w:pPr/>
          </w:p>
        </w:tc>
        <w:tc>
          <w:tcPr>
            <w:tcW w:w="2281" w:type="dxa"/>
          </w:tcPr>
          <w:p>
            <w:pPr/>
          </w:p>
        </w:tc>
        <w:tc>
          <w:tcPr>
            <w:tcW w:w="1812" w:type="dxa"/>
          </w:tcPr>
          <w:p>
            <w:pPr>
              <w:pStyle w:val="TableParagraph"/>
              <w:spacing w:before="7"/>
              <w:ind w:left="901" w:right="191"/>
              <w:rPr>
                <w:sz w:val="12"/>
              </w:rPr>
            </w:pPr>
            <w:r>
              <w:rPr>
                <w:w w:val="105"/>
                <w:sz w:val="12"/>
              </w:rPr>
              <w:t>Subtotal</w:t>
            </w:r>
          </w:p>
        </w:tc>
        <w:tc>
          <w:tcPr>
            <w:tcW w:w="700" w:type="dxa"/>
          </w:tcPr>
          <w:p>
            <w:pPr>
              <w:pStyle w:val="TableParagraph"/>
              <w:spacing w:before="7"/>
              <w:ind w:left="205" w:right="-50"/>
              <w:jc w:val="left"/>
              <w:rPr>
                <w:sz w:val="12"/>
              </w:rPr>
            </w:pPr>
            <w:r>
              <w:rPr>
                <w:w w:val="106"/>
                <w:sz w:val="12"/>
                <w:shd w:fill="F79646" w:color="auto" w:val="clear"/>
              </w:rPr>
              <w:t> </w:t>
            </w:r>
            <w:r>
              <w:rPr>
                <w:sz w:val="12"/>
                <w:shd w:fill="F79646" w:color="auto" w:val="clear"/>
              </w:rPr>
              <w:t>   </w:t>
            </w:r>
            <w:r>
              <w:rPr>
                <w:spacing w:val="12"/>
                <w:sz w:val="12"/>
                <w:shd w:fill="F79646" w:color="auto" w:val="clear"/>
              </w:rPr>
              <w:t> </w:t>
            </w:r>
            <w:r>
              <w:rPr>
                <w:w w:val="105"/>
                <w:sz w:val="12"/>
                <w:shd w:fill="F79646" w:color="auto" w:val="clear"/>
              </w:rPr>
              <w:t>0.7</w:t>
            </w:r>
            <w:r>
              <w:rPr>
                <w:spacing w:val="-16"/>
                <w:sz w:val="12"/>
                <w:shd w:fill="F79646" w:color="auto" w:val="clear"/>
              </w:rPr>
              <w:t> </w:t>
            </w:r>
          </w:p>
        </w:tc>
        <w:tc>
          <w:tcPr>
            <w:tcW w:w="732" w:type="dxa"/>
          </w:tcPr>
          <w:p>
            <w:pPr>
              <w:pStyle w:val="TableParagraph"/>
              <w:spacing w:before="7"/>
              <w:ind w:left="96" w:right="40"/>
              <w:rPr>
                <w:sz w:val="12"/>
              </w:rPr>
            </w:pPr>
            <w:r>
              <w:rPr>
                <w:w w:val="105"/>
                <w:sz w:val="12"/>
              </w:rPr>
              <w:t>3.1</w:t>
            </w:r>
          </w:p>
        </w:tc>
        <w:tc>
          <w:tcPr>
            <w:tcW w:w="736" w:type="dxa"/>
            <w:tcBorders>
              <w:right w:val="single" w:sz="9" w:space="0" w:color="000000"/>
            </w:tcBorders>
            <w:shd w:val="clear" w:color="auto" w:fill="67ED4D"/>
          </w:tcPr>
          <w:p>
            <w:pPr>
              <w:pStyle w:val="TableParagraph"/>
              <w:spacing w:before="7"/>
              <w:ind w:left="28"/>
              <w:rPr>
                <w:sz w:val="12"/>
              </w:rPr>
            </w:pPr>
            <w:r>
              <w:rPr>
                <w:w w:val="106"/>
                <w:sz w:val="12"/>
              </w:rPr>
              <w:t>4</w:t>
            </w:r>
          </w:p>
        </w:tc>
      </w:tr>
      <w:tr>
        <w:trPr>
          <w:trHeight w:val="149" w:hRule="exact"/>
        </w:trPr>
        <w:tc>
          <w:tcPr>
            <w:tcW w:w="8822" w:type="dxa"/>
            <w:gridSpan w:val="7"/>
            <w:tcBorders>
              <w:left w:val="single" w:sz="4" w:space="0" w:color="000000"/>
              <w:right w:val="single" w:sz="9" w:space="0" w:color="000000"/>
            </w:tcBorders>
          </w:tcPr>
          <w:p>
            <w:pPr/>
          </w:p>
        </w:tc>
      </w:tr>
      <w:tr>
        <w:trPr>
          <w:trHeight w:val="323" w:hRule="exact"/>
        </w:trPr>
        <w:tc>
          <w:tcPr>
            <w:tcW w:w="674" w:type="dxa"/>
            <w:tcBorders>
              <w:left w:val="single" w:sz="4" w:space="0" w:color="000000"/>
            </w:tcBorders>
          </w:tcPr>
          <w:p>
            <w:pPr/>
          </w:p>
        </w:tc>
        <w:tc>
          <w:tcPr>
            <w:tcW w:w="1887" w:type="dxa"/>
          </w:tcPr>
          <w:p>
            <w:pPr>
              <w:pStyle w:val="TableParagraph"/>
              <w:spacing w:before="84"/>
              <w:ind w:left="46"/>
              <w:jc w:val="left"/>
              <w:rPr>
                <w:sz w:val="12"/>
              </w:rPr>
            </w:pPr>
            <w:r>
              <w:rPr>
                <w:w w:val="105"/>
                <w:sz w:val="12"/>
              </w:rPr>
              <w:t>Educación ambiental</w:t>
            </w:r>
          </w:p>
        </w:tc>
        <w:tc>
          <w:tcPr>
            <w:tcW w:w="2281" w:type="dxa"/>
          </w:tcPr>
          <w:p>
            <w:pPr>
              <w:pStyle w:val="TableParagraph"/>
              <w:spacing w:line="278" w:lineRule="auto" w:before="10"/>
              <w:ind w:left="290" w:right="1355"/>
              <w:jc w:val="left"/>
              <w:rPr>
                <w:sz w:val="12"/>
              </w:rPr>
            </w:pPr>
            <w:r>
              <w:rPr>
                <w:w w:val="105"/>
                <w:sz w:val="12"/>
              </w:rPr>
              <w:t>Planes Programas</w:t>
            </w:r>
          </w:p>
        </w:tc>
        <w:tc>
          <w:tcPr>
            <w:tcW w:w="1812" w:type="dxa"/>
          </w:tcPr>
          <w:p>
            <w:pPr>
              <w:pStyle w:val="TableParagraph"/>
              <w:spacing w:before="10"/>
              <w:ind w:right="509"/>
              <w:jc w:val="right"/>
              <w:rPr>
                <w:sz w:val="12"/>
              </w:rPr>
            </w:pPr>
            <w:r>
              <w:rPr>
                <w:w w:val="106"/>
                <w:sz w:val="12"/>
              </w:rPr>
              <w:t>0</w:t>
            </w:r>
          </w:p>
          <w:p>
            <w:pPr>
              <w:pStyle w:val="TableParagraph"/>
              <w:spacing w:before="22"/>
              <w:ind w:right="509"/>
              <w:jc w:val="right"/>
              <w:rPr>
                <w:sz w:val="12"/>
              </w:rPr>
            </w:pPr>
            <w:r>
              <w:rPr>
                <w:w w:val="106"/>
                <w:sz w:val="12"/>
              </w:rPr>
              <w:t>0</w:t>
            </w:r>
          </w:p>
        </w:tc>
        <w:tc>
          <w:tcPr>
            <w:tcW w:w="700" w:type="dxa"/>
          </w:tcPr>
          <w:p>
            <w:pPr/>
          </w:p>
        </w:tc>
        <w:tc>
          <w:tcPr>
            <w:tcW w:w="732" w:type="dxa"/>
          </w:tcPr>
          <w:p>
            <w:pPr>
              <w:pStyle w:val="TableParagraph"/>
              <w:spacing w:before="10"/>
              <w:ind w:left="56"/>
              <w:rPr>
                <w:sz w:val="12"/>
              </w:rPr>
            </w:pPr>
            <w:r>
              <w:rPr>
                <w:w w:val="106"/>
                <w:sz w:val="12"/>
              </w:rPr>
              <w:t>1</w:t>
            </w:r>
          </w:p>
          <w:p>
            <w:pPr>
              <w:pStyle w:val="TableParagraph"/>
              <w:spacing w:before="22"/>
              <w:ind w:left="56"/>
              <w:rPr>
                <w:sz w:val="12"/>
              </w:rPr>
            </w:pPr>
            <w:r>
              <w:rPr>
                <w:w w:val="106"/>
                <w:sz w:val="12"/>
              </w:rPr>
              <w:t>1</w:t>
            </w:r>
          </w:p>
        </w:tc>
        <w:tc>
          <w:tcPr>
            <w:tcW w:w="736" w:type="dxa"/>
            <w:tcBorders>
              <w:right w:val="single" w:sz="9" w:space="0" w:color="000000"/>
            </w:tcBorders>
            <w:shd w:val="clear" w:color="auto" w:fill="67ED4D"/>
          </w:tcPr>
          <w:p>
            <w:pPr>
              <w:pStyle w:val="TableParagraph"/>
              <w:spacing w:before="10"/>
              <w:ind w:left="28"/>
              <w:rPr>
                <w:sz w:val="12"/>
              </w:rPr>
            </w:pPr>
            <w:r>
              <w:rPr>
                <w:w w:val="106"/>
                <w:sz w:val="12"/>
              </w:rPr>
              <w:t>1</w:t>
            </w:r>
          </w:p>
          <w:p>
            <w:pPr>
              <w:pStyle w:val="TableParagraph"/>
              <w:spacing w:before="22"/>
              <w:ind w:left="28"/>
              <w:rPr>
                <w:sz w:val="12"/>
              </w:rPr>
            </w:pPr>
            <w:r>
              <w:rPr>
                <w:w w:val="106"/>
                <w:sz w:val="12"/>
              </w:rPr>
              <w:t>1</w:t>
            </w:r>
          </w:p>
        </w:tc>
      </w:tr>
      <w:tr>
        <w:trPr>
          <w:trHeight w:val="168" w:hRule="exact"/>
        </w:trPr>
        <w:tc>
          <w:tcPr>
            <w:tcW w:w="674" w:type="dxa"/>
            <w:tcBorders>
              <w:left w:val="single" w:sz="4" w:space="0" w:color="000000"/>
            </w:tcBorders>
          </w:tcPr>
          <w:p>
            <w:pPr/>
          </w:p>
        </w:tc>
        <w:tc>
          <w:tcPr>
            <w:tcW w:w="1887" w:type="dxa"/>
          </w:tcPr>
          <w:p>
            <w:pPr/>
          </w:p>
        </w:tc>
        <w:tc>
          <w:tcPr>
            <w:tcW w:w="2281" w:type="dxa"/>
          </w:tcPr>
          <w:p>
            <w:pPr/>
          </w:p>
        </w:tc>
        <w:tc>
          <w:tcPr>
            <w:tcW w:w="1812" w:type="dxa"/>
          </w:tcPr>
          <w:p>
            <w:pPr>
              <w:pStyle w:val="TableParagraph"/>
              <w:spacing w:before="7"/>
              <w:ind w:left="901" w:right="191"/>
              <w:rPr>
                <w:sz w:val="12"/>
              </w:rPr>
            </w:pPr>
            <w:r>
              <w:rPr>
                <w:w w:val="105"/>
                <w:sz w:val="12"/>
              </w:rPr>
              <w:t>Subtotal</w:t>
            </w:r>
          </w:p>
        </w:tc>
        <w:tc>
          <w:tcPr>
            <w:tcW w:w="700" w:type="dxa"/>
          </w:tcPr>
          <w:p>
            <w:pPr>
              <w:pStyle w:val="TableParagraph"/>
              <w:tabs>
                <w:tab w:pos="749" w:val="left" w:leader="none"/>
              </w:tabs>
              <w:spacing w:before="7"/>
              <w:ind w:left="205" w:right="-50"/>
              <w:jc w:val="left"/>
              <w:rPr>
                <w:sz w:val="12"/>
              </w:rPr>
            </w:pPr>
            <w:r>
              <w:rPr>
                <w:w w:val="106"/>
                <w:sz w:val="12"/>
                <w:shd w:fill="F79646" w:color="auto" w:val="clear"/>
              </w:rPr>
              <w:t> </w:t>
            </w:r>
            <w:r>
              <w:rPr>
                <w:sz w:val="12"/>
                <w:shd w:fill="F79646" w:color="auto" w:val="clear"/>
              </w:rPr>
              <w:t>     </w:t>
            </w:r>
            <w:r>
              <w:rPr>
                <w:spacing w:val="-2"/>
                <w:sz w:val="12"/>
                <w:shd w:fill="F79646" w:color="auto" w:val="clear"/>
              </w:rPr>
              <w:t> </w:t>
            </w:r>
            <w:r>
              <w:rPr>
                <w:w w:val="105"/>
                <w:sz w:val="12"/>
                <w:shd w:fill="F79646" w:color="auto" w:val="clear"/>
              </w:rPr>
              <w:t>0</w:t>
            </w:r>
            <w:r>
              <w:rPr>
                <w:sz w:val="12"/>
                <w:shd w:fill="F79646" w:color="auto" w:val="clear"/>
              </w:rPr>
              <w:tab/>
            </w:r>
          </w:p>
        </w:tc>
        <w:tc>
          <w:tcPr>
            <w:tcW w:w="732" w:type="dxa"/>
          </w:tcPr>
          <w:p>
            <w:pPr>
              <w:pStyle w:val="TableParagraph"/>
              <w:spacing w:before="7"/>
              <w:ind w:left="56"/>
              <w:rPr>
                <w:sz w:val="12"/>
              </w:rPr>
            </w:pPr>
            <w:r>
              <w:rPr>
                <w:w w:val="106"/>
                <w:sz w:val="12"/>
              </w:rPr>
              <w:t>2</w:t>
            </w:r>
          </w:p>
        </w:tc>
        <w:tc>
          <w:tcPr>
            <w:tcW w:w="736" w:type="dxa"/>
            <w:tcBorders>
              <w:right w:val="single" w:sz="9" w:space="0" w:color="000000"/>
            </w:tcBorders>
            <w:shd w:val="clear" w:color="auto" w:fill="67ED4D"/>
          </w:tcPr>
          <w:p>
            <w:pPr>
              <w:pStyle w:val="TableParagraph"/>
              <w:spacing w:before="7"/>
              <w:ind w:left="28"/>
              <w:rPr>
                <w:sz w:val="12"/>
              </w:rPr>
            </w:pPr>
            <w:r>
              <w:rPr>
                <w:w w:val="106"/>
                <w:sz w:val="12"/>
              </w:rPr>
              <w:t>2</w:t>
            </w:r>
          </w:p>
        </w:tc>
      </w:tr>
      <w:tr>
        <w:trPr>
          <w:trHeight w:val="480" w:hRule="exact"/>
        </w:trPr>
        <w:tc>
          <w:tcPr>
            <w:tcW w:w="674" w:type="dxa"/>
            <w:tcBorders>
              <w:left w:val="single" w:sz="4" w:space="0" w:color="000000"/>
              <w:bottom w:val="single" w:sz="9" w:space="0" w:color="000000"/>
            </w:tcBorders>
          </w:tcPr>
          <w:p>
            <w:pPr/>
          </w:p>
        </w:tc>
        <w:tc>
          <w:tcPr>
            <w:tcW w:w="1887" w:type="dxa"/>
            <w:tcBorders>
              <w:bottom w:val="single" w:sz="9" w:space="0" w:color="000000"/>
            </w:tcBorders>
          </w:tcPr>
          <w:p>
            <w:pPr/>
          </w:p>
        </w:tc>
        <w:tc>
          <w:tcPr>
            <w:tcW w:w="2281" w:type="dxa"/>
            <w:tcBorders>
              <w:bottom w:val="single" w:sz="9" w:space="0" w:color="000000"/>
            </w:tcBorders>
          </w:tcPr>
          <w:p>
            <w:pPr/>
          </w:p>
        </w:tc>
        <w:tc>
          <w:tcPr>
            <w:tcW w:w="1812" w:type="dxa"/>
            <w:tcBorders>
              <w:bottom w:val="single" w:sz="9" w:space="0" w:color="000000"/>
            </w:tcBorders>
          </w:tcPr>
          <w:p>
            <w:pPr>
              <w:pStyle w:val="TableParagraph"/>
              <w:spacing w:before="9"/>
              <w:jc w:val="left"/>
              <w:rPr>
                <w:sz w:val="13"/>
              </w:rPr>
            </w:pPr>
          </w:p>
          <w:p>
            <w:pPr>
              <w:pStyle w:val="TableParagraph"/>
              <w:spacing w:before="1"/>
              <w:ind w:left="915" w:right="184"/>
              <w:rPr>
                <w:sz w:val="12"/>
              </w:rPr>
            </w:pPr>
            <w:r>
              <w:rPr>
                <w:w w:val="105"/>
                <w:sz w:val="12"/>
              </w:rPr>
              <w:t>Total IA</w:t>
            </w:r>
          </w:p>
        </w:tc>
        <w:tc>
          <w:tcPr>
            <w:tcW w:w="700" w:type="dxa"/>
            <w:tcBorders>
              <w:bottom w:val="single" w:sz="9" w:space="0" w:color="000000"/>
            </w:tcBorders>
          </w:tcPr>
          <w:p>
            <w:pPr>
              <w:pStyle w:val="TableParagraph"/>
              <w:spacing w:before="9"/>
              <w:jc w:val="left"/>
              <w:rPr>
                <w:sz w:val="13"/>
              </w:rPr>
            </w:pPr>
          </w:p>
          <w:p>
            <w:pPr>
              <w:pStyle w:val="TableParagraph"/>
              <w:spacing w:before="1"/>
              <w:ind w:left="205" w:right="-50"/>
              <w:jc w:val="left"/>
              <w:rPr>
                <w:sz w:val="12"/>
              </w:rPr>
            </w:pPr>
            <w:r>
              <w:rPr>
                <w:w w:val="106"/>
                <w:sz w:val="12"/>
                <w:shd w:fill="F79646" w:color="auto" w:val="clear"/>
              </w:rPr>
              <w:t> </w:t>
            </w:r>
            <w:r>
              <w:rPr>
                <w:sz w:val="12"/>
                <w:shd w:fill="F79646" w:color="auto" w:val="clear"/>
              </w:rPr>
              <w:t>   </w:t>
            </w:r>
            <w:r>
              <w:rPr>
                <w:spacing w:val="12"/>
                <w:sz w:val="12"/>
                <w:shd w:fill="F79646" w:color="auto" w:val="clear"/>
              </w:rPr>
              <w:t> </w:t>
            </w:r>
            <w:r>
              <w:rPr>
                <w:w w:val="105"/>
                <w:sz w:val="12"/>
                <w:shd w:fill="F79646" w:color="auto" w:val="clear"/>
              </w:rPr>
              <w:t>8.3</w:t>
            </w:r>
            <w:r>
              <w:rPr>
                <w:spacing w:val="-16"/>
                <w:sz w:val="12"/>
                <w:shd w:fill="F79646" w:color="auto" w:val="clear"/>
              </w:rPr>
              <w:t> </w:t>
            </w:r>
          </w:p>
        </w:tc>
        <w:tc>
          <w:tcPr>
            <w:tcW w:w="732" w:type="dxa"/>
            <w:tcBorders>
              <w:bottom w:val="single" w:sz="9" w:space="0" w:color="000000"/>
            </w:tcBorders>
          </w:tcPr>
          <w:p>
            <w:pPr>
              <w:pStyle w:val="TableParagraph"/>
              <w:spacing w:before="9"/>
              <w:jc w:val="left"/>
              <w:rPr>
                <w:sz w:val="13"/>
              </w:rPr>
            </w:pPr>
          </w:p>
          <w:p>
            <w:pPr>
              <w:pStyle w:val="TableParagraph"/>
              <w:tabs>
                <w:tab w:pos="742" w:val="left" w:leader="none"/>
              </w:tabs>
              <w:spacing w:before="1"/>
              <w:ind w:left="39" w:right="-11"/>
              <w:rPr>
                <w:sz w:val="12"/>
              </w:rPr>
            </w:pPr>
            <w:r>
              <w:rPr>
                <w:w w:val="106"/>
                <w:sz w:val="12"/>
                <w:shd w:fill="FFFF00" w:color="auto" w:val="clear"/>
              </w:rPr>
              <w:t> </w:t>
            </w:r>
            <w:r>
              <w:rPr>
                <w:sz w:val="12"/>
                <w:shd w:fill="FFFF00" w:color="auto" w:val="clear"/>
              </w:rPr>
              <w:t>     </w:t>
            </w:r>
            <w:r>
              <w:rPr>
                <w:spacing w:val="-12"/>
                <w:sz w:val="12"/>
                <w:shd w:fill="FFFF00" w:color="auto" w:val="clear"/>
              </w:rPr>
              <w:t> </w:t>
            </w:r>
            <w:r>
              <w:rPr>
                <w:w w:val="105"/>
                <w:sz w:val="12"/>
                <w:shd w:fill="FFFF00" w:color="auto" w:val="clear"/>
              </w:rPr>
              <w:t>18.3</w:t>
            </w:r>
            <w:r>
              <w:rPr>
                <w:sz w:val="12"/>
                <w:shd w:fill="FFFF00" w:color="auto" w:val="clear"/>
              </w:rPr>
              <w:tab/>
            </w:r>
          </w:p>
        </w:tc>
        <w:tc>
          <w:tcPr>
            <w:tcW w:w="736" w:type="dxa"/>
            <w:tcBorders>
              <w:bottom w:val="single" w:sz="9" w:space="0" w:color="000000"/>
              <w:right w:val="single" w:sz="9" w:space="0" w:color="000000"/>
            </w:tcBorders>
          </w:tcPr>
          <w:p>
            <w:pPr>
              <w:pStyle w:val="TableParagraph"/>
              <w:spacing w:before="9"/>
              <w:jc w:val="left"/>
              <w:rPr>
                <w:sz w:val="13"/>
              </w:rPr>
            </w:pPr>
          </w:p>
          <w:p>
            <w:pPr>
              <w:pStyle w:val="TableParagraph"/>
              <w:spacing w:before="1"/>
              <w:ind w:left="125" w:right="111"/>
              <w:rPr>
                <w:sz w:val="12"/>
              </w:rPr>
            </w:pPr>
            <w:r>
              <w:rPr>
                <w:w w:val="105"/>
                <w:sz w:val="12"/>
              </w:rPr>
              <w:t>24</w:t>
            </w:r>
          </w:p>
        </w:tc>
      </w:tr>
    </w:tbl>
    <w:p>
      <w:pPr>
        <w:spacing w:before="213"/>
        <w:ind w:left="268" w:right="0" w:firstLine="0"/>
        <w:jc w:val="left"/>
        <w:rPr>
          <w:sz w:val="21"/>
        </w:rPr>
      </w:pPr>
      <w:r>
        <w:rPr/>
        <w:pict>
          <v:group style="position:absolute;margin-left:366.906494pt;margin-top:-177.296829pt;width:76.25pt;height:25.1pt;mso-position-horizontal-relative:page;mso-position-vertical-relative:paragraph;z-index:-1136512" coordorigin="7338,-3546" coordsize="1525,502">
            <v:line style="position:absolute" from="7344,-3540" to="7344,-3370" stroked="true" strokeweight=".533pt" strokecolor="#baf9f5"/>
            <v:rect style="position:absolute;left:7349;top:-3540;width:1514;height:171" filled="true" fillcolor="#baf9f5" stroked="false">
              <v:fill type="solid"/>
            </v:rect>
            <v:line style="position:absolute" from="7344,-3370" to="7344,-3210" stroked="true" strokeweight=".533pt" strokecolor="#baf9f5"/>
            <v:rect style="position:absolute;left:7349;top:-3370;width:1514;height:160" filled="true" fillcolor="#baf9f5" stroked="false">
              <v:fill type="solid"/>
            </v:rect>
            <v:line style="position:absolute" from="7344,-3210" to="7344,-3050" stroked="true" strokeweight=".533pt" strokecolor="#baf9f5"/>
            <v:rect style="position:absolute;left:7349;top:-3210;width:1514;height:160" filled="true" fillcolor="#baf9f5" stroked="false">
              <v:fill type="solid"/>
            </v:rect>
            <w10:wrap type="none"/>
          </v:group>
        </w:pict>
      </w:r>
      <w:r>
        <w:rPr/>
        <w:pict>
          <v:shape style="position:absolute;margin-left:469.258026pt;margin-top:-177.021149pt;width:35.2pt;height:32.5500pt;mso-position-horizontal-relative:page;mso-position-vertical-relative:paragraph;z-index:-1136488" coordorigin="9385,-3540" coordsize="704,651" path="m10089,-3210l9385,-3210,9385,-3061,9385,-3050,9385,-2890,10089,-2890,10089,-3050,10089,-3061,10089,-3210m10089,-3540l9385,-3540,9385,-3370,9385,-3210,10089,-3210,10089,-3370,10089,-3540e" filled="true" fillcolor="#ffff00" stroked="false">
            <v:path arrowok="t"/>
            <v:fill type="solid"/>
            <w10:wrap type="none"/>
          </v:shape>
        </w:pict>
      </w:r>
      <w:r>
        <w:rPr/>
        <w:pict>
          <v:group style="position:absolute;margin-left:366.906494pt;margin-top:-137.305817pt;width:76.25pt;height:25.1pt;mso-position-horizontal-relative:page;mso-position-vertical-relative:paragraph;z-index:-1136464" coordorigin="7338,-2746" coordsize="1525,502">
            <v:line style="position:absolute" from="7344,-2741" to="7344,-2570" stroked="true" strokeweight=".533pt" strokecolor="#baf9f5"/>
            <v:rect style="position:absolute;left:7349;top:-2741;width:1514;height:171" filled="true" fillcolor="#baf9f5" stroked="false">
              <v:fill type="solid"/>
            </v:rect>
            <v:line style="position:absolute" from="7344,-2570" to="7344,-2410" stroked="true" strokeweight=".533pt" strokecolor="#baf9f5"/>
            <v:rect style="position:absolute;left:7349;top:-2570;width:1514;height:160" filled="true" fillcolor="#baf9f5" stroked="false">
              <v:fill type="solid"/>
            </v:rect>
            <v:line style="position:absolute" from="7344,-2410" to="7344,-2250" stroked="true" strokeweight=".533pt" strokecolor="#baf9f5"/>
            <v:rect style="position:absolute;left:7349;top:-2410;width:1514;height:160" filled="true" fillcolor="#baf9f5" stroked="false">
              <v:fill type="solid"/>
            </v:rect>
            <w10:wrap type="none"/>
          </v:group>
        </w:pict>
      </w:r>
      <w:r>
        <w:rPr/>
        <w:pict>
          <v:shape style="position:absolute;margin-left:469.258026pt;margin-top:-137.030151pt;width:35.2pt;height:32.5500pt;mso-position-horizontal-relative:page;mso-position-vertical-relative:paragraph;z-index:-1136440" coordorigin="9385,-2741" coordsize="704,651" path="m10089,-2410l9385,-2410,9385,-2261,9385,-2250,9385,-2090,10089,-2090,10089,-2250,10089,-2261,10089,-2410m10089,-2741l9385,-2741,9385,-2570,9385,-2410,10089,-2410,10089,-2570,10089,-2741e" filled="true" fillcolor="#ffff00" stroked="false">
            <v:path arrowok="t"/>
            <v:fill type="solid"/>
            <w10:wrap type="none"/>
          </v:shape>
        </w:pict>
      </w:r>
      <w:r>
        <w:rPr/>
        <w:pict>
          <v:group style="position:absolute;margin-left:366.906494pt;margin-top:-97.314819pt;width:76.25pt;height:33.1pt;mso-position-horizontal-relative:page;mso-position-vertical-relative:paragraph;z-index:-1136416" coordorigin="7338,-1946" coordsize="1525,662">
            <v:line style="position:absolute" from="7344,-1941" to="7344,-1770" stroked="true" strokeweight=".533pt" strokecolor="#baf9f5"/>
            <v:rect style="position:absolute;left:7349;top:-1941;width:1514;height:171" filled="true" fillcolor="#baf9f5" stroked="false">
              <v:fill type="solid"/>
            </v:rect>
            <v:line style="position:absolute" from="7344,-1770" to="7344,-1610" stroked="true" strokeweight=".533pt" strokecolor="#baf9f5"/>
            <v:rect style="position:absolute;left:7349;top:-1770;width:1514;height:160" filled="true" fillcolor="#baf9f5" stroked="false">
              <v:fill type="solid"/>
            </v:rect>
            <v:line style="position:absolute" from="7344,-1610" to="7344,-1450" stroked="true" strokeweight=".533pt" strokecolor="#baf9f5"/>
            <v:rect style="position:absolute;left:7349;top:-1610;width:1514;height:160" filled="true" fillcolor="#baf9f5" stroked="false">
              <v:fill type="solid"/>
            </v:rect>
            <v:line style="position:absolute" from="7344,-1450" to="7344,-1290" stroked="true" strokeweight=".533pt" strokecolor="#baf9f5"/>
            <v:rect style="position:absolute;left:7349;top:-1450;width:1514;height:160" filled="true" fillcolor="#baf9f5" stroked="false">
              <v:fill type="solid"/>
            </v:rect>
            <w10:wrap type="none"/>
          </v:group>
        </w:pict>
      </w:r>
      <w:r>
        <w:rPr/>
        <w:pict>
          <v:shape style="position:absolute;margin-left:469.258026pt;margin-top:-97.039146pt;width:35.2pt;height:40.550pt;mso-position-horizontal-relative:page;mso-position-vertical-relative:paragraph;z-index:-1136392" coordorigin="9385,-1941" coordsize="704,811" path="m10089,-1450l9385,-1450,9385,-1301,9385,-1290,9385,-1130,10089,-1130,10089,-1290,10089,-1301,10089,-1450m10089,-1610l9385,-1610,9385,-1450,10089,-1450,10089,-1610m10089,-1941l9385,-1941,9385,-1770,9385,-1610,10089,-1610,10089,-1770,10089,-1941e" filled="true" fillcolor="#ffff00" stroked="false">
            <v:path arrowok="t"/>
            <v:fill type="solid"/>
            <w10:wrap type="none"/>
          </v:shape>
        </w:pict>
      </w:r>
      <w:r>
        <w:rPr/>
        <w:pict>
          <v:group style="position:absolute;margin-left:366.906494pt;margin-top:-49.324821pt;width:76.25pt;height:17.1pt;mso-position-horizontal-relative:page;mso-position-vertical-relative:paragraph;z-index:-1136368" coordorigin="7338,-986" coordsize="1525,342">
            <v:line style="position:absolute" from="7344,-981" to="7344,-810" stroked="true" strokeweight=".533pt" strokecolor="#baf9f5"/>
            <v:rect style="position:absolute;left:7349;top:-981;width:1514;height:171" filled="true" fillcolor="#baf9f5" stroked="false">
              <v:fill type="solid"/>
            </v:rect>
            <v:line style="position:absolute" from="7344,-810" to="7344,-650" stroked="true" strokeweight=".533pt" strokecolor="#baf9f5"/>
            <v:rect style="position:absolute;left:7349;top:-810;width:1514;height:160" filled="true" fillcolor="#baf9f5" stroked="false">
              <v:fill type="solid"/>
            </v:rect>
            <w10:wrap type="none"/>
          </v:group>
        </w:pict>
      </w:r>
      <w:r>
        <w:rPr/>
        <w:pict>
          <v:shape style="position:absolute;margin-left:469.258026pt;margin-top:-49.049141pt;width:35.2pt;height:24.55pt;mso-position-horizontal-relative:page;mso-position-vertical-relative:paragraph;z-index:-1136344" coordorigin="9385,-981" coordsize="704,491" path="m10089,-981l9385,-981,9385,-810,9385,-661,9385,-650,9385,-490,10089,-490,10089,-650,10089,-661,10089,-810,10089,-981e" filled="true" fillcolor="#ffff00" stroked="false">
            <v:path arrowok="t"/>
            <v:fill type="solid"/>
            <w10:wrap type="none"/>
          </v:shape>
        </w:pict>
      </w:r>
      <w:r>
        <w:rPr/>
        <w:pict>
          <v:rect style="position:absolute;margin-left:503.906006pt;margin-top:-17.056583pt;width:37.312600pt;height:8.531460pt;mso-position-horizontal-relative:page;mso-position-vertical-relative:paragraph;z-index:-1136320" filled="true" fillcolor="#67ed4d"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spacing w:before="1"/>
        <w:rPr>
          <w:sz w:val="18"/>
        </w:rPr>
      </w:pPr>
    </w:p>
    <w:p>
      <w:pPr>
        <w:pStyle w:val="BodyText"/>
        <w:spacing w:before="69" w:after="13"/>
        <w:ind w:left="268"/>
      </w:pPr>
      <w:r>
        <w:rPr/>
        <w:pict>
          <v:line style="position:absolute;mso-position-horizontal-relative:page;mso-position-vertical-relative:paragraph;z-index:21736" from="93.199997pt,-19.614155pt" to="546.799997pt,-19.614155pt" stroked="true" strokeweight=".479981pt" strokecolor="#000000">
            <w10:wrap type="none"/>
          </v:line>
        </w:pict>
      </w:r>
      <w:r>
        <w:rPr/>
        <w:pict>
          <v:group style="position:absolute;margin-left:356.365997pt;margin-top:56.557354pt;width:73.25pt;height:16.45pt;mso-position-horizontal-relative:page;mso-position-vertical-relative:paragraph;z-index:-1136272" coordorigin="7127,1131" coordsize="1465,329">
            <v:shape style="position:absolute;left:7133;top:1137;width:2;height:318" coordorigin="7133,1137" coordsize="0,318" path="m7133,1137l7133,1301m7133,1290l7133,1454e" filled="false" stroked="true" strokeweight=".512pt" strokecolor="#baf9f5">
              <v:path arrowok="t"/>
            </v:shape>
            <v:shape style="position:absolute;left:7138;top:1137;width:1455;height:318" coordorigin="7138,1137" coordsize="1455,318" path="m8592,1137l7138,1137,7138,1290,7138,1301,7138,1454,8592,1454,8592,1301,8592,1290,8592,1137e" filled="true" fillcolor="#baf9f5" stroked="false">
              <v:path arrowok="t"/>
              <v:fill type="solid"/>
            </v:shape>
            <w10:wrap type="none"/>
          </v:group>
        </w:pict>
      </w:r>
      <w:r>
        <w:rPr/>
        <w:pict>
          <v:group style="position:absolute;margin-left:356.365997pt;margin-top:87.312416pt;width:73.25pt;height:8.8pt;mso-position-horizontal-relative:page;mso-position-vertical-relative:paragraph;z-index:-1136248" coordorigin="7127,1746" coordsize="1465,176">
            <v:line style="position:absolute" from="7133,1752" to="7133,1916" stroked="true" strokeweight=".512pt" strokecolor="#baf9f5"/>
            <v:rect style="position:absolute;left:7138;top:1752;width:1454;height:164" filled="true" fillcolor="#baf9f5" stroked="false">
              <v:fill type="solid"/>
            </v:rect>
            <w10:wrap type="none"/>
          </v:group>
        </w:pict>
      </w:r>
      <w:r>
        <w:rPr/>
        <w:pict>
          <v:shape style="position:absolute;margin-left:454.701019pt;margin-top:56.832802pt;width:33.8pt;height:23.6pt;mso-position-horizontal-relative:page;mso-position-vertical-relative:paragraph;z-index:-1136224" coordorigin="9094,1137" coordsize="676,472" path="m9770,1137l9094,1137,9094,1290,9094,1301,9094,1444,9094,1454,9094,1608,9770,1608,9770,1454,9770,1444,9770,1301,9770,1290,9770,1137e" filled="true" fillcolor="#ffff00" stroked="false">
            <v:path arrowok="t"/>
            <v:fill type="solid"/>
            <w10:wrap type="none"/>
          </v:shape>
        </w:pict>
      </w:r>
      <w:r>
        <w:rPr/>
        <w:pict>
          <v:shape style="position:absolute;margin-left:454.701019pt;margin-top:87.587807pt;width:33.8pt;height:15.9pt;mso-position-horizontal-relative:page;mso-position-vertical-relative:paragraph;z-index:-1136200" coordorigin="9094,1752" coordsize="676,318" path="m9770,1752l9094,1752,9094,1906,9094,1916,9094,2070,9770,2070,9770,1916,9770,1906,9770,1752e" filled="true" fillcolor="#ffff00" stroked="false">
            <v:path arrowok="t"/>
            <v:fill type="solid"/>
            <w10:wrap type="none"/>
          </v:shape>
        </w:pict>
      </w:r>
      <w:r>
        <w:rPr/>
        <w:pict>
          <v:group style="position:absolute;margin-left:356.365997pt;margin-top:110.379356pt;width:73.25pt;height:24.15pt;mso-position-horizontal-relative:page;mso-position-vertical-relative:paragraph;z-index:-1136176" coordorigin="7127,2208" coordsize="1465,483">
            <v:shape style="position:absolute;left:7138;top:2213;width:1455;height:318" coordorigin="7138,2213" coordsize="1455,318" path="m8592,2377l7138,2377,7138,2531,8592,2531,8592,2377m8592,2213l7138,2213,7138,2377,8592,2377,8592,2213e" filled="true" fillcolor="#baf9f5" stroked="false">
              <v:path arrowok="t"/>
              <v:fill type="solid"/>
            </v:shape>
            <v:line style="position:absolute" from="7133,2213" to="7133,2685" stroked="true" strokeweight=".512pt" strokecolor="#baf9f5"/>
            <v:rect style="position:absolute;left:7138;top:2531;width:1454;height:154" filled="true" fillcolor="#baf9f5" stroked="false">
              <v:fill type="solid"/>
            </v:rect>
            <w10:wrap type="none"/>
          </v:group>
        </w:pict>
      </w:r>
      <w:r>
        <w:rPr/>
        <w:pict>
          <v:shape style="position:absolute;margin-left:454.701019pt;margin-top:110.654808pt;width:33.8pt;height:31.3pt;mso-position-horizontal-relative:page;mso-position-vertical-relative:paragraph;z-index:-1136152" coordorigin="9094,2213" coordsize="676,626" path="m9770,2377l9094,2377,9094,2531,9094,2674,9094,2685,9094,2838,9770,2838,9770,2685,9770,2674,9770,2531,9770,2377m9770,2213l9094,2213,9094,2377,9770,2377,9770,2213e" filled="true" fillcolor="#ffff00" stroked="false">
            <v:path arrowok="t"/>
            <v:fill type="solid"/>
            <w10:wrap type="none"/>
          </v:shape>
        </w:pict>
      </w:r>
      <w:r>
        <w:rPr/>
        <w:t>Tabla 50. ISE Villas del Campo II</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3"/>
        <w:gridCol w:w="1837"/>
        <w:gridCol w:w="2390"/>
        <w:gridCol w:w="1563"/>
        <w:gridCol w:w="708"/>
        <w:gridCol w:w="667"/>
        <w:gridCol w:w="707"/>
      </w:tblGrid>
      <w:tr>
        <w:trPr>
          <w:trHeight w:val="477" w:hRule="exact"/>
        </w:trPr>
        <w:tc>
          <w:tcPr>
            <w:tcW w:w="8475" w:type="dxa"/>
            <w:gridSpan w:val="7"/>
            <w:tcBorders>
              <w:bottom w:val="nil"/>
              <w:right w:val="single" w:sz="4" w:space="0" w:color="FBF111"/>
            </w:tcBorders>
            <w:shd w:val="clear" w:color="auto" w:fill="000000"/>
          </w:tcPr>
          <w:p>
            <w:pPr>
              <w:pStyle w:val="TableParagraph"/>
              <w:spacing w:before="97"/>
              <w:ind w:left="3158" w:right="3140"/>
              <w:rPr>
                <w:b/>
                <w:sz w:val="12"/>
              </w:rPr>
            </w:pPr>
            <w:r>
              <w:rPr>
                <w:b/>
                <w:color w:val="FFFFFF"/>
                <w:sz w:val="12"/>
              </w:rPr>
              <w:t>Villas del Campo II</w:t>
            </w:r>
          </w:p>
          <w:p>
            <w:pPr>
              <w:pStyle w:val="TableParagraph"/>
              <w:spacing w:before="15"/>
              <w:ind w:left="3158" w:right="3144"/>
              <w:rPr>
                <w:b/>
                <w:sz w:val="12"/>
              </w:rPr>
            </w:pPr>
            <w:r>
              <w:rPr>
                <w:b/>
                <w:color w:val="FFFFFF"/>
                <w:sz w:val="12"/>
              </w:rPr>
              <w:t>Índice de sustentabilidad  económica</w:t>
            </w:r>
          </w:p>
        </w:tc>
      </w:tr>
      <w:tr>
        <w:trPr>
          <w:trHeight w:val="159" w:hRule="exact"/>
        </w:trPr>
        <w:tc>
          <w:tcPr>
            <w:tcW w:w="603" w:type="dxa"/>
            <w:tcBorders>
              <w:top w:val="single" w:sz="4" w:space="0" w:color="FFFFFF"/>
              <w:left w:val="single" w:sz="4" w:space="0" w:color="000000"/>
            </w:tcBorders>
            <w:shd w:val="clear" w:color="auto" w:fill="808080"/>
          </w:tcPr>
          <w:p>
            <w:pPr>
              <w:pStyle w:val="TableParagraph"/>
              <w:spacing w:line="133" w:lineRule="exact"/>
              <w:ind w:left="153"/>
              <w:jc w:val="left"/>
              <w:rPr>
                <w:b/>
                <w:sz w:val="12"/>
              </w:rPr>
            </w:pPr>
            <w:r>
              <w:rPr>
                <w:b/>
                <w:color w:val="FFFFFF"/>
                <w:sz w:val="12"/>
              </w:rPr>
              <w:t>Índice</w:t>
            </w:r>
          </w:p>
        </w:tc>
        <w:tc>
          <w:tcPr>
            <w:tcW w:w="1837" w:type="dxa"/>
            <w:tcBorders>
              <w:top w:val="single" w:sz="4" w:space="0" w:color="FFFFFF"/>
            </w:tcBorders>
            <w:shd w:val="clear" w:color="auto" w:fill="808080"/>
          </w:tcPr>
          <w:p>
            <w:pPr>
              <w:pStyle w:val="TableParagraph"/>
              <w:spacing w:line="133" w:lineRule="exact"/>
              <w:ind w:left="88"/>
              <w:jc w:val="left"/>
              <w:rPr>
                <w:b/>
                <w:sz w:val="12"/>
              </w:rPr>
            </w:pPr>
            <w:r>
              <w:rPr>
                <w:b/>
                <w:color w:val="FFFFFF"/>
                <w:sz w:val="12"/>
              </w:rPr>
              <w:t>Subíndice</w:t>
            </w:r>
          </w:p>
        </w:tc>
        <w:tc>
          <w:tcPr>
            <w:tcW w:w="2390" w:type="dxa"/>
            <w:tcBorders>
              <w:top w:val="single" w:sz="4" w:space="0" w:color="FFFFFF"/>
            </w:tcBorders>
            <w:shd w:val="clear" w:color="auto" w:fill="808080"/>
          </w:tcPr>
          <w:p>
            <w:pPr>
              <w:pStyle w:val="TableParagraph"/>
              <w:spacing w:line="133" w:lineRule="exact"/>
              <w:ind w:left="299"/>
              <w:jc w:val="left"/>
              <w:rPr>
                <w:b/>
                <w:sz w:val="12"/>
              </w:rPr>
            </w:pPr>
            <w:r>
              <w:rPr>
                <w:b/>
                <w:color w:val="FFFFFF"/>
                <w:sz w:val="12"/>
              </w:rPr>
              <w:t>Indicador</w:t>
            </w:r>
          </w:p>
        </w:tc>
        <w:tc>
          <w:tcPr>
            <w:tcW w:w="1563" w:type="dxa"/>
            <w:tcBorders>
              <w:top w:val="single" w:sz="4" w:space="0" w:color="FFFFFF"/>
            </w:tcBorders>
            <w:shd w:val="clear" w:color="auto" w:fill="808080"/>
          </w:tcPr>
          <w:p>
            <w:pPr/>
          </w:p>
        </w:tc>
        <w:tc>
          <w:tcPr>
            <w:tcW w:w="708" w:type="dxa"/>
            <w:tcBorders>
              <w:top w:val="single" w:sz="4" w:space="0" w:color="FFFFFF"/>
            </w:tcBorders>
            <w:shd w:val="clear" w:color="auto" w:fill="808080"/>
          </w:tcPr>
          <w:p>
            <w:pPr>
              <w:pStyle w:val="TableParagraph"/>
              <w:spacing w:line="133" w:lineRule="exact"/>
              <w:ind w:left="197" w:right="-12"/>
              <w:jc w:val="left"/>
              <w:rPr>
                <w:b/>
                <w:sz w:val="12"/>
              </w:rPr>
            </w:pPr>
            <w:r>
              <w:rPr>
                <w:b/>
                <w:color w:val="FFFFFF"/>
                <w:sz w:val="12"/>
              </w:rPr>
              <w:t>Valores</w:t>
            </w:r>
          </w:p>
        </w:tc>
        <w:tc>
          <w:tcPr>
            <w:tcW w:w="667" w:type="dxa"/>
            <w:tcBorders>
              <w:top w:val="single" w:sz="4" w:space="0" w:color="FFFFFF"/>
            </w:tcBorders>
            <w:shd w:val="clear" w:color="auto" w:fill="808080"/>
          </w:tcPr>
          <w:p>
            <w:pPr/>
          </w:p>
        </w:tc>
        <w:tc>
          <w:tcPr>
            <w:tcW w:w="707" w:type="dxa"/>
            <w:tcBorders>
              <w:top w:val="single" w:sz="4" w:space="0" w:color="FFFFFF"/>
              <w:right w:val="single" w:sz="8" w:space="0" w:color="000000"/>
            </w:tcBorders>
            <w:shd w:val="clear" w:color="auto" w:fill="808080"/>
          </w:tcPr>
          <w:p>
            <w:pPr/>
          </w:p>
        </w:tc>
      </w:tr>
      <w:tr>
        <w:trPr>
          <w:trHeight w:val="144" w:hRule="exact"/>
        </w:trPr>
        <w:tc>
          <w:tcPr>
            <w:tcW w:w="8475" w:type="dxa"/>
            <w:gridSpan w:val="7"/>
            <w:tcBorders>
              <w:left w:val="single" w:sz="4" w:space="0" w:color="000000"/>
              <w:right w:val="single" w:sz="8" w:space="0" w:color="000000"/>
            </w:tcBorders>
          </w:tcPr>
          <w:p>
            <w:pPr/>
          </w:p>
        </w:tc>
      </w:tr>
      <w:tr>
        <w:trPr>
          <w:trHeight w:val="157" w:hRule="exact"/>
        </w:trPr>
        <w:tc>
          <w:tcPr>
            <w:tcW w:w="603" w:type="dxa"/>
            <w:vMerge w:val="restart"/>
            <w:tcBorders>
              <w:left w:val="single" w:sz="4" w:space="0" w:color="000000"/>
            </w:tcBorders>
          </w:tcPr>
          <w:p>
            <w:pPr/>
          </w:p>
        </w:tc>
        <w:tc>
          <w:tcPr>
            <w:tcW w:w="1837" w:type="dxa"/>
          </w:tcPr>
          <w:p>
            <w:pPr/>
          </w:p>
        </w:tc>
        <w:tc>
          <w:tcPr>
            <w:tcW w:w="2390" w:type="dxa"/>
          </w:tcPr>
          <w:p>
            <w:pPr/>
          </w:p>
        </w:tc>
        <w:tc>
          <w:tcPr>
            <w:tcW w:w="1563" w:type="dxa"/>
          </w:tcPr>
          <w:p>
            <w:pPr>
              <w:pStyle w:val="TableParagraph"/>
              <w:spacing w:before="5"/>
              <w:ind w:right="195"/>
              <w:jc w:val="right"/>
              <w:rPr>
                <w:b/>
                <w:sz w:val="12"/>
              </w:rPr>
            </w:pPr>
            <w:r>
              <w:rPr>
                <w:b/>
                <w:sz w:val="12"/>
              </w:rPr>
              <w:t>Evaluación</w:t>
            </w:r>
          </w:p>
        </w:tc>
        <w:tc>
          <w:tcPr>
            <w:tcW w:w="708" w:type="dxa"/>
          </w:tcPr>
          <w:p>
            <w:pPr>
              <w:pStyle w:val="TableParagraph"/>
              <w:spacing w:before="5"/>
              <w:ind w:left="197" w:right="-12"/>
              <w:jc w:val="left"/>
              <w:rPr>
                <w:b/>
                <w:sz w:val="12"/>
              </w:rPr>
            </w:pPr>
            <w:r>
              <w:rPr>
                <w:b/>
                <w:w w:val="102"/>
                <w:sz w:val="12"/>
                <w:shd w:fill="F79646" w:color="auto" w:val="clear"/>
              </w:rPr>
              <w:t> </w:t>
            </w:r>
            <w:r>
              <w:rPr>
                <w:b/>
                <w:sz w:val="12"/>
                <w:shd w:fill="F79646" w:color="auto" w:val="clear"/>
              </w:rPr>
              <w:t>  </w:t>
            </w:r>
            <w:r>
              <w:rPr>
                <w:b/>
                <w:spacing w:val="-2"/>
                <w:sz w:val="12"/>
                <w:shd w:fill="F79646" w:color="auto" w:val="clear"/>
              </w:rPr>
              <w:t> </w:t>
            </w:r>
            <w:r>
              <w:rPr>
                <w:b/>
                <w:sz w:val="12"/>
                <w:shd w:fill="F79646" w:color="auto" w:val="clear"/>
              </w:rPr>
              <w:t>Real</w:t>
            </w:r>
            <w:r>
              <w:rPr>
                <w:b/>
                <w:spacing w:val="-4"/>
                <w:sz w:val="12"/>
                <w:shd w:fill="F79646" w:color="auto" w:val="clear"/>
              </w:rPr>
              <w:t> </w:t>
            </w:r>
          </w:p>
        </w:tc>
        <w:tc>
          <w:tcPr>
            <w:tcW w:w="667" w:type="dxa"/>
          </w:tcPr>
          <w:p>
            <w:pPr>
              <w:pStyle w:val="TableParagraph"/>
              <w:spacing w:before="5"/>
              <w:ind w:left="59" w:right="40"/>
              <w:rPr>
                <w:b/>
                <w:sz w:val="12"/>
              </w:rPr>
            </w:pPr>
            <w:r>
              <w:rPr>
                <w:b/>
                <w:sz w:val="12"/>
              </w:rPr>
              <w:t>Deseable</w:t>
            </w:r>
          </w:p>
        </w:tc>
        <w:tc>
          <w:tcPr>
            <w:tcW w:w="707" w:type="dxa"/>
            <w:tcBorders>
              <w:right w:val="single" w:sz="8" w:space="0" w:color="000000"/>
            </w:tcBorders>
            <w:shd w:val="clear" w:color="auto" w:fill="67ED4D"/>
          </w:tcPr>
          <w:p>
            <w:pPr>
              <w:pStyle w:val="TableParagraph"/>
              <w:spacing w:before="5"/>
              <w:ind w:left="128" w:right="108"/>
              <w:rPr>
                <w:b/>
                <w:sz w:val="12"/>
              </w:rPr>
            </w:pPr>
            <w:r>
              <w:rPr>
                <w:b/>
                <w:sz w:val="12"/>
              </w:rPr>
              <w:t>Óptimo</w:t>
            </w:r>
          </w:p>
        </w:tc>
      </w:tr>
      <w:tr>
        <w:trPr>
          <w:trHeight w:val="154" w:hRule="exact"/>
        </w:trPr>
        <w:tc>
          <w:tcPr>
            <w:tcW w:w="603" w:type="dxa"/>
            <w:vMerge/>
            <w:tcBorders>
              <w:left w:val="single" w:sz="4" w:space="0" w:color="000000"/>
            </w:tcBorders>
          </w:tcPr>
          <w:p>
            <w:pPr/>
          </w:p>
        </w:tc>
        <w:tc>
          <w:tcPr>
            <w:tcW w:w="1837" w:type="dxa"/>
          </w:tcPr>
          <w:p>
            <w:pPr>
              <w:pStyle w:val="TableParagraph"/>
              <w:spacing w:before="2"/>
              <w:ind w:left="88"/>
              <w:jc w:val="left"/>
              <w:rPr>
                <w:sz w:val="12"/>
              </w:rPr>
            </w:pPr>
            <w:r>
              <w:rPr>
                <w:sz w:val="12"/>
              </w:rPr>
              <w:t>Situación de la vivienda</w:t>
            </w:r>
          </w:p>
        </w:tc>
        <w:tc>
          <w:tcPr>
            <w:tcW w:w="2390" w:type="dxa"/>
          </w:tcPr>
          <w:p>
            <w:pPr>
              <w:pStyle w:val="TableParagraph"/>
              <w:spacing w:before="2"/>
              <w:ind w:left="299"/>
              <w:jc w:val="left"/>
              <w:rPr>
                <w:sz w:val="12"/>
              </w:rPr>
            </w:pPr>
            <w:r>
              <w:rPr>
                <w:sz w:val="12"/>
              </w:rPr>
              <w:t>Precio</w:t>
            </w:r>
          </w:p>
        </w:tc>
        <w:tc>
          <w:tcPr>
            <w:tcW w:w="1563" w:type="dxa"/>
          </w:tcPr>
          <w:p>
            <w:pPr>
              <w:pStyle w:val="TableParagraph"/>
              <w:spacing w:before="2"/>
              <w:ind w:left="952"/>
              <w:jc w:val="left"/>
              <w:rPr>
                <w:sz w:val="12"/>
              </w:rPr>
            </w:pPr>
            <w:r>
              <w:rPr>
                <w:sz w:val="12"/>
              </w:rPr>
              <w:t>0.5</w:t>
            </w:r>
          </w:p>
        </w:tc>
        <w:tc>
          <w:tcPr>
            <w:tcW w:w="708" w:type="dxa"/>
          </w:tcPr>
          <w:p>
            <w:pPr/>
          </w:p>
        </w:tc>
        <w:tc>
          <w:tcPr>
            <w:tcW w:w="667" w:type="dxa"/>
          </w:tcPr>
          <w:p>
            <w:pPr>
              <w:pStyle w:val="TableParagraph"/>
              <w:spacing w:before="2"/>
              <w:ind w:left="58" w:right="40"/>
              <w:rPr>
                <w:sz w:val="12"/>
              </w:rPr>
            </w:pPr>
            <w:r>
              <w:rPr>
                <w:sz w:val="12"/>
              </w:rPr>
              <w:t>0.5</w:t>
            </w:r>
          </w:p>
        </w:tc>
        <w:tc>
          <w:tcPr>
            <w:tcW w:w="707" w:type="dxa"/>
            <w:tcBorders>
              <w:right w:val="single" w:sz="8" w:space="0" w:color="000000"/>
            </w:tcBorders>
            <w:shd w:val="clear" w:color="auto" w:fill="67ED4D"/>
          </w:tcPr>
          <w:p>
            <w:pPr>
              <w:pStyle w:val="TableParagraph"/>
              <w:spacing w:before="2"/>
              <w:ind w:left="27"/>
              <w:rPr>
                <w:sz w:val="12"/>
              </w:rPr>
            </w:pPr>
            <w:r>
              <w:rPr>
                <w:w w:val="102"/>
                <w:sz w:val="12"/>
              </w:rPr>
              <w:t>1</w:t>
            </w:r>
          </w:p>
        </w:tc>
      </w:tr>
      <w:tr>
        <w:trPr>
          <w:trHeight w:val="161" w:hRule="exact"/>
        </w:trPr>
        <w:tc>
          <w:tcPr>
            <w:tcW w:w="603" w:type="dxa"/>
            <w:vMerge/>
            <w:tcBorders>
              <w:left w:val="single" w:sz="4" w:space="0" w:color="000000"/>
            </w:tcBorders>
          </w:tcPr>
          <w:p>
            <w:pPr/>
          </w:p>
        </w:tc>
        <w:tc>
          <w:tcPr>
            <w:tcW w:w="1837" w:type="dxa"/>
          </w:tcPr>
          <w:p>
            <w:pPr/>
          </w:p>
        </w:tc>
        <w:tc>
          <w:tcPr>
            <w:tcW w:w="2390" w:type="dxa"/>
          </w:tcPr>
          <w:p>
            <w:pPr/>
          </w:p>
        </w:tc>
        <w:tc>
          <w:tcPr>
            <w:tcW w:w="1563" w:type="dxa"/>
          </w:tcPr>
          <w:p>
            <w:pPr>
              <w:pStyle w:val="TableParagraph"/>
              <w:spacing w:before="2"/>
              <w:ind w:right="301"/>
              <w:jc w:val="right"/>
              <w:rPr>
                <w:sz w:val="12"/>
              </w:rPr>
            </w:pPr>
            <w:r>
              <w:rPr>
                <w:sz w:val="12"/>
              </w:rPr>
              <w:t>Subtotal</w:t>
            </w:r>
          </w:p>
        </w:tc>
        <w:tc>
          <w:tcPr>
            <w:tcW w:w="708" w:type="dxa"/>
          </w:tcPr>
          <w:p>
            <w:pPr>
              <w:pStyle w:val="TableParagraph"/>
              <w:spacing w:before="2"/>
              <w:ind w:left="197" w:right="-12"/>
              <w:jc w:val="left"/>
              <w:rPr>
                <w:sz w:val="12"/>
              </w:rPr>
            </w:pPr>
            <w:r>
              <w:rPr>
                <w:w w:val="102"/>
                <w:sz w:val="12"/>
                <w:shd w:fill="F79646" w:color="auto" w:val="clear"/>
              </w:rPr>
              <w:t> </w:t>
            </w:r>
            <w:r>
              <w:rPr>
                <w:sz w:val="12"/>
                <w:shd w:fill="F79646" w:color="auto" w:val="clear"/>
              </w:rPr>
              <w:t>   </w:t>
            </w:r>
            <w:r>
              <w:rPr>
                <w:spacing w:val="6"/>
                <w:sz w:val="12"/>
                <w:shd w:fill="F79646" w:color="auto" w:val="clear"/>
              </w:rPr>
              <w:t> </w:t>
            </w:r>
            <w:r>
              <w:rPr>
                <w:sz w:val="12"/>
                <w:shd w:fill="F79646" w:color="auto" w:val="clear"/>
              </w:rPr>
              <w:t>0.5</w:t>
            </w:r>
            <w:r>
              <w:rPr>
                <w:spacing w:val="10"/>
                <w:sz w:val="12"/>
                <w:shd w:fill="F79646" w:color="auto" w:val="clear"/>
              </w:rPr>
              <w:t> </w:t>
            </w:r>
          </w:p>
        </w:tc>
        <w:tc>
          <w:tcPr>
            <w:tcW w:w="667" w:type="dxa"/>
          </w:tcPr>
          <w:p>
            <w:pPr>
              <w:pStyle w:val="TableParagraph"/>
              <w:spacing w:before="2"/>
              <w:ind w:left="58" w:right="40"/>
              <w:rPr>
                <w:sz w:val="12"/>
              </w:rPr>
            </w:pPr>
            <w:r>
              <w:rPr>
                <w:sz w:val="12"/>
              </w:rPr>
              <w:t>0.5</w:t>
            </w:r>
          </w:p>
        </w:tc>
        <w:tc>
          <w:tcPr>
            <w:tcW w:w="707" w:type="dxa"/>
            <w:tcBorders>
              <w:right w:val="single" w:sz="8" w:space="0" w:color="000000"/>
            </w:tcBorders>
            <w:shd w:val="clear" w:color="auto" w:fill="67ED4D"/>
          </w:tcPr>
          <w:p>
            <w:pPr>
              <w:pStyle w:val="TableParagraph"/>
              <w:spacing w:before="2"/>
              <w:ind w:left="27"/>
              <w:rPr>
                <w:sz w:val="12"/>
              </w:rPr>
            </w:pPr>
            <w:r>
              <w:rPr>
                <w:w w:val="102"/>
                <w:sz w:val="12"/>
              </w:rPr>
              <w:t>1</w:t>
            </w:r>
          </w:p>
        </w:tc>
      </w:tr>
      <w:tr>
        <w:trPr>
          <w:trHeight w:val="144" w:hRule="exact"/>
        </w:trPr>
        <w:tc>
          <w:tcPr>
            <w:tcW w:w="8475" w:type="dxa"/>
            <w:gridSpan w:val="7"/>
            <w:tcBorders>
              <w:left w:val="single" w:sz="4" w:space="0" w:color="000000"/>
              <w:right w:val="single" w:sz="8" w:space="0" w:color="000000"/>
            </w:tcBorders>
          </w:tcPr>
          <w:p>
            <w:pPr/>
          </w:p>
        </w:tc>
      </w:tr>
      <w:tr>
        <w:trPr>
          <w:trHeight w:val="157" w:hRule="exact"/>
        </w:trPr>
        <w:tc>
          <w:tcPr>
            <w:tcW w:w="603" w:type="dxa"/>
            <w:tcBorders>
              <w:left w:val="single" w:sz="4" w:space="0" w:color="000000"/>
            </w:tcBorders>
          </w:tcPr>
          <w:p>
            <w:pPr/>
          </w:p>
        </w:tc>
        <w:tc>
          <w:tcPr>
            <w:tcW w:w="1837" w:type="dxa"/>
          </w:tcPr>
          <w:p>
            <w:pPr>
              <w:pStyle w:val="TableParagraph"/>
              <w:spacing w:before="5"/>
              <w:ind w:left="88"/>
              <w:jc w:val="left"/>
              <w:rPr>
                <w:sz w:val="12"/>
              </w:rPr>
            </w:pPr>
            <w:r>
              <w:rPr>
                <w:sz w:val="12"/>
              </w:rPr>
              <w:t>INEX</w:t>
            </w:r>
          </w:p>
        </w:tc>
        <w:tc>
          <w:tcPr>
            <w:tcW w:w="2390" w:type="dxa"/>
          </w:tcPr>
          <w:p>
            <w:pPr>
              <w:pStyle w:val="TableParagraph"/>
              <w:spacing w:before="5"/>
              <w:ind w:left="299"/>
              <w:jc w:val="left"/>
              <w:rPr>
                <w:sz w:val="12"/>
              </w:rPr>
            </w:pPr>
            <w:r>
              <w:rPr>
                <w:sz w:val="12"/>
              </w:rPr>
              <w:t>Infonavit</w:t>
            </w:r>
          </w:p>
        </w:tc>
        <w:tc>
          <w:tcPr>
            <w:tcW w:w="1563" w:type="dxa"/>
          </w:tcPr>
          <w:p>
            <w:pPr>
              <w:pStyle w:val="TableParagraph"/>
              <w:spacing w:before="5"/>
              <w:ind w:left="1003"/>
              <w:jc w:val="left"/>
              <w:rPr>
                <w:sz w:val="12"/>
              </w:rPr>
            </w:pPr>
            <w:r>
              <w:rPr>
                <w:w w:val="102"/>
                <w:sz w:val="12"/>
              </w:rPr>
              <w:t>0</w:t>
            </w:r>
          </w:p>
        </w:tc>
        <w:tc>
          <w:tcPr>
            <w:tcW w:w="708" w:type="dxa"/>
          </w:tcPr>
          <w:p>
            <w:pPr/>
          </w:p>
        </w:tc>
        <w:tc>
          <w:tcPr>
            <w:tcW w:w="667" w:type="dxa"/>
          </w:tcPr>
          <w:p>
            <w:pPr>
              <w:pStyle w:val="TableParagraph"/>
              <w:spacing w:before="5"/>
              <w:ind w:left="58" w:right="40"/>
              <w:rPr>
                <w:sz w:val="12"/>
              </w:rPr>
            </w:pPr>
            <w:r>
              <w:rPr>
                <w:sz w:val="12"/>
              </w:rPr>
              <w:t>0.7</w:t>
            </w:r>
          </w:p>
        </w:tc>
        <w:tc>
          <w:tcPr>
            <w:tcW w:w="707" w:type="dxa"/>
            <w:tcBorders>
              <w:right w:val="single" w:sz="8" w:space="0" w:color="000000"/>
            </w:tcBorders>
            <w:shd w:val="clear" w:color="auto" w:fill="67ED4D"/>
          </w:tcPr>
          <w:p>
            <w:pPr>
              <w:pStyle w:val="TableParagraph"/>
              <w:spacing w:before="5"/>
              <w:ind w:left="27"/>
              <w:rPr>
                <w:sz w:val="12"/>
              </w:rPr>
            </w:pPr>
            <w:r>
              <w:rPr>
                <w:w w:val="102"/>
                <w:sz w:val="12"/>
              </w:rPr>
              <w:t>1</w:t>
            </w:r>
          </w:p>
        </w:tc>
      </w:tr>
      <w:tr>
        <w:trPr>
          <w:trHeight w:val="161" w:hRule="exact"/>
        </w:trPr>
        <w:tc>
          <w:tcPr>
            <w:tcW w:w="603" w:type="dxa"/>
            <w:tcBorders>
              <w:left w:val="single" w:sz="4" w:space="0" w:color="000000"/>
            </w:tcBorders>
          </w:tcPr>
          <w:p>
            <w:pPr/>
          </w:p>
        </w:tc>
        <w:tc>
          <w:tcPr>
            <w:tcW w:w="1837" w:type="dxa"/>
          </w:tcPr>
          <w:p>
            <w:pPr/>
          </w:p>
        </w:tc>
        <w:tc>
          <w:tcPr>
            <w:tcW w:w="2390" w:type="dxa"/>
          </w:tcPr>
          <w:p>
            <w:pPr/>
          </w:p>
        </w:tc>
        <w:tc>
          <w:tcPr>
            <w:tcW w:w="1563" w:type="dxa"/>
          </w:tcPr>
          <w:p>
            <w:pPr>
              <w:pStyle w:val="TableParagraph"/>
              <w:spacing w:before="2"/>
              <w:ind w:right="301"/>
              <w:jc w:val="right"/>
              <w:rPr>
                <w:sz w:val="12"/>
              </w:rPr>
            </w:pPr>
            <w:r>
              <w:rPr>
                <w:sz w:val="12"/>
              </w:rPr>
              <w:t>Subtotal</w:t>
            </w:r>
          </w:p>
        </w:tc>
        <w:tc>
          <w:tcPr>
            <w:tcW w:w="708" w:type="dxa"/>
          </w:tcPr>
          <w:p>
            <w:pPr>
              <w:pStyle w:val="TableParagraph"/>
              <w:tabs>
                <w:tab w:pos="720" w:val="left" w:leader="none"/>
              </w:tabs>
              <w:spacing w:before="2"/>
              <w:ind w:left="197" w:right="-12"/>
              <w:jc w:val="left"/>
              <w:rPr>
                <w:sz w:val="12"/>
              </w:rPr>
            </w:pPr>
            <w:r>
              <w:rPr>
                <w:w w:val="102"/>
                <w:sz w:val="12"/>
                <w:shd w:fill="F79646" w:color="auto" w:val="clear"/>
              </w:rPr>
              <w:t> </w:t>
            </w:r>
            <w:r>
              <w:rPr>
                <w:sz w:val="12"/>
                <w:shd w:fill="F79646" w:color="auto" w:val="clear"/>
              </w:rPr>
              <w:t>     </w:t>
            </w:r>
            <w:r>
              <w:rPr>
                <w:spacing w:val="-9"/>
                <w:sz w:val="12"/>
                <w:shd w:fill="F79646" w:color="auto" w:val="clear"/>
              </w:rPr>
              <w:t> </w:t>
            </w:r>
            <w:r>
              <w:rPr>
                <w:sz w:val="12"/>
                <w:shd w:fill="F79646" w:color="auto" w:val="clear"/>
              </w:rPr>
              <w:t>0</w:t>
              <w:tab/>
            </w:r>
          </w:p>
        </w:tc>
        <w:tc>
          <w:tcPr>
            <w:tcW w:w="667" w:type="dxa"/>
          </w:tcPr>
          <w:p>
            <w:pPr>
              <w:pStyle w:val="TableParagraph"/>
              <w:spacing w:before="2"/>
              <w:ind w:left="58" w:right="40"/>
              <w:rPr>
                <w:sz w:val="12"/>
              </w:rPr>
            </w:pPr>
            <w:r>
              <w:rPr>
                <w:sz w:val="12"/>
              </w:rPr>
              <w:t>0.7</w:t>
            </w:r>
          </w:p>
        </w:tc>
        <w:tc>
          <w:tcPr>
            <w:tcW w:w="707" w:type="dxa"/>
            <w:tcBorders>
              <w:right w:val="single" w:sz="8" w:space="0" w:color="000000"/>
            </w:tcBorders>
            <w:shd w:val="clear" w:color="auto" w:fill="67ED4D"/>
          </w:tcPr>
          <w:p>
            <w:pPr>
              <w:pStyle w:val="TableParagraph"/>
              <w:spacing w:before="2"/>
              <w:ind w:left="27"/>
              <w:rPr>
                <w:sz w:val="12"/>
              </w:rPr>
            </w:pPr>
            <w:r>
              <w:rPr>
                <w:w w:val="102"/>
                <w:sz w:val="12"/>
              </w:rPr>
              <w:t>1</w:t>
            </w:r>
          </w:p>
        </w:tc>
      </w:tr>
      <w:tr>
        <w:trPr>
          <w:trHeight w:val="144" w:hRule="exact"/>
        </w:trPr>
        <w:tc>
          <w:tcPr>
            <w:tcW w:w="8475" w:type="dxa"/>
            <w:gridSpan w:val="7"/>
            <w:tcBorders>
              <w:left w:val="single" w:sz="4" w:space="0" w:color="000000"/>
              <w:right w:val="single" w:sz="8" w:space="0" w:color="000000"/>
            </w:tcBorders>
          </w:tcPr>
          <w:p>
            <w:pPr/>
          </w:p>
        </w:tc>
      </w:tr>
      <w:tr>
        <w:trPr>
          <w:trHeight w:val="157" w:hRule="exact"/>
        </w:trPr>
        <w:tc>
          <w:tcPr>
            <w:tcW w:w="603" w:type="dxa"/>
            <w:vMerge w:val="restart"/>
            <w:tcBorders>
              <w:left w:val="single" w:sz="4" w:space="0" w:color="000000"/>
            </w:tcBorders>
          </w:tcPr>
          <w:p>
            <w:pPr/>
          </w:p>
        </w:tc>
        <w:tc>
          <w:tcPr>
            <w:tcW w:w="1837" w:type="dxa"/>
          </w:tcPr>
          <w:p>
            <w:pPr/>
          </w:p>
        </w:tc>
        <w:tc>
          <w:tcPr>
            <w:tcW w:w="2390" w:type="dxa"/>
          </w:tcPr>
          <w:p>
            <w:pPr>
              <w:pStyle w:val="TableParagraph"/>
              <w:spacing w:before="5"/>
              <w:ind w:left="299"/>
              <w:jc w:val="left"/>
              <w:rPr>
                <w:sz w:val="12"/>
              </w:rPr>
            </w:pPr>
            <w:r>
              <w:rPr>
                <w:sz w:val="12"/>
              </w:rPr>
              <w:t>Ingresos al Estado</w:t>
            </w:r>
          </w:p>
        </w:tc>
        <w:tc>
          <w:tcPr>
            <w:tcW w:w="1563" w:type="dxa"/>
          </w:tcPr>
          <w:p>
            <w:pPr>
              <w:pStyle w:val="TableParagraph"/>
              <w:spacing w:before="5"/>
              <w:ind w:left="952"/>
              <w:jc w:val="left"/>
              <w:rPr>
                <w:sz w:val="12"/>
              </w:rPr>
            </w:pPr>
            <w:r>
              <w:rPr>
                <w:sz w:val="12"/>
              </w:rPr>
              <w:t>0.7</w:t>
            </w:r>
          </w:p>
        </w:tc>
        <w:tc>
          <w:tcPr>
            <w:tcW w:w="708" w:type="dxa"/>
          </w:tcPr>
          <w:p>
            <w:pPr/>
          </w:p>
        </w:tc>
        <w:tc>
          <w:tcPr>
            <w:tcW w:w="667" w:type="dxa"/>
          </w:tcPr>
          <w:p>
            <w:pPr>
              <w:pStyle w:val="TableParagraph"/>
              <w:spacing w:before="5"/>
              <w:ind w:left="58" w:right="40"/>
              <w:rPr>
                <w:sz w:val="12"/>
              </w:rPr>
            </w:pPr>
            <w:r>
              <w:rPr>
                <w:sz w:val="12"/>
              </w:rPr>
              <w:t>0.9</w:t>
            </w:r>
          </w:p>
        </w:tc>
        <w:tc>
          <w:tcPr>
            <w:tcW w:w="707" w:type="dxa"/>
            <w:tcBorders>
              <w:right w:val="single" w:sz="8" w:space="0" w:color="000000"/>
            </w:tcBorders>
            <w:shd w:val="clear" w:color="auto" w:fill="67ED4D"/>
          </w:tcPr>
          <w:p>
            <w:pPr>
              <w:pStyle w:val="TableParagraph"/>
              <w:spacing w:before="5"/>
              <w:ind w:left="27"/>
              <w:rPr>
                <w:sz w:val="12"/>
              </w:rPr>
            </w:pPr>
            <w:r>
              <w:rPr>
                <w:w w:val="102"/>
                <w:sz w:val="12"/>
              </w:rPr>
              <w:t>1</w:t>
            </w:r>
          </w:p>
        </w:tc>
      </w:tr>
      <w:tr>
        <w:trPr>
          <w:trHeight w:val="154" w:hRule="exact"/>
        </w:trPr>
        <w:tc>
          <w:tcPr>
            <w:tcW w:w="603" w:type="dxa"/>
            <w:vMerge/>
            <w:tcBorders>
              <w:left w:val="single" w:sz="4" w:space="0" w:color="000000"/>
            </w:tcBorders>
          </w:tcPr>
          <w:p>
            <w:pPr/>
          </w:p>
        </w:tc>
        <w:tc>
          <w:tcPr>
            <w:tcW w:w="1837" w:type="dxa"/>
          </w:tcPr>
          <w:p>
            <w:pPr>
              <w:pStyle w:val="TableParagraph"/>
              <w:spacing w:before="2"/>
              <w:ind w:left="88"/>
              <w:jc w:val="left"/>
              <w:rPr>
                <w:sz w:val="12"/>
              </w:rPr>
            </w:pPr>
            <w:r>
              <w:rPr>
                <w:sz w:val="12"/>
              </w:rPr>
              <w:t>Ingresos por autorización</w:t>
            </w:r>
          </w:p>
        </w:tc>
        <w:tc>
          <w:tcPr>
            <w:tcW w:w="2390" w:type="dxa"/>
          </w:tcPr>
          <w:p>
            <w:pPr>
              <w:pStyle w:val="TableParagraph"/>
              <w:spacing w:before="2"/>
              <w:ind w:left="299"/>
              <w:jc w:val="left"/>
              <w:rPr>
                <w:sz w:val="12"/>
              </w:rPr>
            </w:pPr>
            <w:r>
              <w:rPr>
                <w:sz w:val="12"/>
              </w:rPr>
              <w:t>Ingresos al Municipio</w:t>
            </w:r>
          </w:p>
        </w:tc>
        <w:tc>
          <w:tcPr>
            <w:tcW w:w="1563" w:type="dxa"/>
          </w:tcPr>
          <w:p>
            <w:pPr>
              <w:pStyle w:val="TableParagraph"/>
              <w:spacing w:before="2"/>
              <w:ind w:left="952"/>
              <w:jc w:val="left"/>
              <w:rPr>
                <w:sz w:val="12"/>
              </w:rPr>
            </w:pPr>
            <w:r>
              <w:rPr>
                <w:sz w:val="12"/>
              </w:rPr>
              <w:t>0.5</w:t>
            </w:r>
          </w:p>
        </w:tc>
        <w:tc>
          <w:tcPr>
            <w:tcW w:w="708" w:type="dxa"/>
          </w:tcPr>
          <w:p>
            <w:pPr/>
          </w:p>
        </w:tc>
        <w:tc>
          <w:tcPr>
            <w:tcW w:w="667" w:type="dxa"/>
          </w:tcPr>
          <w:p>
            <w:pPr>
              <w:pStyle w:val="TableParagraph"/>
              <w:spacing w:before="2"/>
              <w:ind w:left="58" w:right="40"/>
              <w:rPr>
                <w:sz w:val="12"/>
              </w:rPr>
            </w:pPr>
            <w:r>
              <w:rPr>
                <w:sz w:val="12"/>
              </w:rPr>
              <w:t>0.9</w:t>
            </w:r>
          </w:p>
        </w:tc>
        <w:tc>
          <w:tcPr>
            <w:tcW w:w="707" w:type="dxa"/>
            <w:tcBorders>
              <w:right w:val="single" w:sz="8" w:space="0" w:color="000000"/>
            </w:tcBorders>
            <w:shd w:val="clear" w:color="auto" w:fill="67ED4D"/>
          </w:tcPr>
          <w:p>
            <w:pPr>
              <w:pStyle w:val="TableParagraph"/>
              <w:spacing w:before="2"/>
              <w:ind w:left="27"/>
              <w:rPr>
                <w:sz w:val="12"/>
              </w:rPr>
            </w:pPr>
            <w:r>
              <w:rPr>
                <w:w w:val="102"/>
                <w:sz w:val="12"/>
              </w:rPr>
              <w:t>1</w:t>
            </w:r>
          </w:p>
        </w:tc>
      </w:tr>
      <w:tr>
        <w:trPr>
          <w:trHeight w:val="154" w:hRule="exact"/>
        </w:trPr>
        <w:tc>
          <w:tcPr>
            <w:tcW w:w="603" w:type="dxa"/>
            <w:vMerge/>
            <w:tcBorders>
              <w:left w:val="single" w:sz="4" w:space="0" w:color="000000"/>
            </w:tcBorders>
          </w:tcPr>
          <w:p>
            <w:pPr/>
          </w:p>
        </w:tc>
        <w:tc>
          <w:tcPr>
            <w:tcW w:w="1837" w:type="dxa"/>
          </w:tcPr>
          <w:p>
            <w:pPr/>
          </w:p>
        </w:tc>
        <w:tc>
          <w:tcPr>
            <w:tcW w:w="2390" w:type="dxa"/>
          </w:tcPr>
          <w:p>
            <w:pPr>
              <w:pStyle w:val="TableParagraph"/>
              <w:spacing w:before="2"/>
              <w:ind w:left="299"/>
              <w:jc w:val="left"/>
              <w:rPr>
                <w:sz w:val="12"/>
              </w:rPr>
            </w:pPr>
            <w:r>
              <w:rPr>
                <w:sz w:val="12"/>
              </w:rPr>
              <w:t>Ingresos al Desarrollador</w:t>
            </w:r>
          </w:p>
        </w:tc>
        <w:tc>
          <w:tcPr>
            <w:tcW w:w="1563" w:type="dxa"/>
          </w:tcPr>
          <w:p>
            <w:pPr>
              <w:pStyle w:val="TableParagraph"/>
              <w:spacing w:before="2"/>
              <w:ind w:left="952"/>
              <w:jc w:val="left"/>
              <w:rPr>
                <w:sz w:val="12"/>
              </w:rPr>
            </w:pPr>
            <w:r>
              <w:rPr>
                <w:sz w:val="12"/>
              </w:rPr>
              <w:t>0.6</w:t>
            </w:r>
          </w:p>
        </w:tc>
        <w:tc>
          <w:tcPr>
            <w:tcW w:w="708" w:type="dxa"/>
          </w:tcPr>
          <w:p>
            <w:pPr/>
          </w:p>
        </w:tc>
        <w:tc>
          <w:tcPr>
            <w:tcW w:w="667" w:type="dxa"/>
          </w:tcPr>
          <w:p>
            <w:pPr>
              <w:pStyle w:val="TableParagraph"/>
              <w:spacing w:before="2"/>
              <w:ind w:left="18"/>
              <w:rPr>
                <w:sz w:val="12"/>
              </w:rPr>
            </w:pPr>
            <w:r>
              <w:rPr>
                <w:w w:val="102"/>
                <w:sz w:val="12"/>
              </w:rPr>
              <w:t>1</w:t>
            </w:r>
          </w:p>
        </w:tc>
        <w:tc>
          <w:tcPr>
            <w:tcW w:w="707" w:type="dxa"/>
            <w:tcBorders>
              <w:right w:val="single" w:sz="8" w:space="0" w:color="000000"/>
            </w:tcBorders>
            <w:shd w:val="clear" w:color="auto" w:fill="67ED4D"/>
          </w:tcPr>
          <w:p>
            <w:pPr>
              <w:pStyle w:val="TableParagraph"/>
              <w:spacing w:before="2"/>
              <w:ind w:left="27"/>
              <w:rPr>
                <w:sz w:val="12"/>
              </w:rPr>
            </w:pPr>
            <w:r>
              <w:rPr>
                <w:w w:val="102"/>
                <w:sz w:val="12"/>
              </w:rPr>
              <w:t>1</w:t>
            </w:r>
          </w:p>
        </w:tc>
      </w:tr>
      <w:tr>
        <w:trPr>
          <w:trHeight w:val="161" w:hRule="exact"/>
        </w:trPr>
        <w:tc>
          <w:tcPr>
            <w:tcW w:w="603" w:type="dxa"/>
            <w:vMerge/>
            <w:tcBorders>
              <w:left w:val="single" w:sz="4" w:space="0" w:color="000000"/>
            </w:tcBorders>
          </w:tcPr>
          <w:p>
            <w:pPr/>
          </w:p>
        </w:tc>
        <w:tc>
          <w:tcPr>
            <w:tcW w:w="1837" w:type="dxa"/>
          </w:tcPr>
          <w:p>
            <w:pPr/>
          </w:p>
        </w:tc>
        <w:tc>
          <w:tcPr>
            <w:tcW w:w="2390" w:type="dxa"/>
          </w:tcPr>
          <w:p>
            <w:pPr/>
          </w:p>
        </w:tc>
        <w:tc>
          <w:tcPr>
            <w:tcW w:w="1563" w:type="dxa"/>
          </w:tcPr>
          <w:p>
            <w:pPr>
              <w:pStyle w:val="TableParagraph"/>
              <w:spacing w:before="2"/>
              <w:ind w:right="301"/>
              <w:jc w:val="right"/>
              <w:rPr>
                <w:sz w:val="12"/>
              </w:rPr>
            </w:pPr>
            <w:r>
              <w:rPr>
                <w:sz w:val="12"/>
              </w:rPr>
              <w:t>Subtotal</w:t>
            </w:r>
          </w:p>
        </w:tc>
        <w:tc>
          <w:tcPr>
            <w:tcW w:w="708" w:type="dxa"/>
          </w:tcPr>
          <w:p>
            <w:pPr>
              <w:pStyle w:val="TableParagraph"/>
              <w:spacing w:before="2"/>
              <w:ind w:left="197" w:right="-12"/>
              <w:jc w:val="left"/>
              <w:rPr>
                <w:sz w:val="12"/>
              </w:rPr>
            </w:pPr>
            <w:r>
              <w:rPr>
                <w:w w:val="102"/>
                <w:sz w:val="12"/>
                <w:shd w:fill="F79646" w:color="auto" w:val="clear"/>
              </w:rPr>
              <w:t> </w:t>
            </w:r>
            <w:r>
              <w:rPr>
                <w:sz w:val="12"/>
                <w:shd w:fill="F79646" w:color="auto" w:val="clear"/>
              </w:rPr>
              <w:t>   </w:t>
            </w:r>
            <w:r>
              <w:rPr>
                <w:spacing w:val="6"/>
                <w:sz w:val="12"/>
                <w:shd w:fill="F79646" w:color="auto" w:val="clear"/>
              </w:rPr>
              <w:t> </w:t>
            </w:r>
            <w:r>
              <w:rPr>
                <w:sz w:val="12"/>
                <w:shd w:fill="F79646" w:color="auto" w:val="clear"/>
              </w:rPr>
              <w:t>1.8</w:t>
            </w:r>
            <w:r>
              <w:rPr>
                <w:spacing w:val="10"/>
                <w:sz w:val="12"/>
                <w:shd w:fill="F79646" w:color="auto" w:val="clear"/>
              </w:rPr>
              <w:t> </w:t>
            </w:r>
          </w:p>
        </w:tc>
        <w:tc>
          <w:tcPr>
            <w:tcW w:w="667" w:type="dxa"/>
          </w:tcPr>
          <w:p>
            <w:pPr>
              <w:pStyle w:val="TableParagraph"/>
              <w:spacing w:before="2"/>
              <w:ind w:left="58" w:right="40"/>
              <w:rPr>
                <w:sz w:val="12"/>
              </w:rPr>
            </w:pPr>
            <w:r>
              <w:rPr>
                <w:sz w:val="12"/>
              </w:rPr>
              <w:t>2.8</w:t>
            </w:r>
          </w:p>
        </w:tc>
        <w:tc>
          <w:tcPr>
            <w:tcW w:w="707" w:type="dxa"/>
            <w:tcBorders>
              <w:right w:val="single" w:sz="8" w:space="0" w:color="000000"/>
            </w:tcBorders>
            <w:shd w:val="clear" w:color="auto" w:fill="67ED4D"/>
          </w:tcPr>
          <w:p>
            <w:pPr>
              <w:pStyle w:val="TableParagraph"/>
              <w:spacing w:before="2"/>
              <w:ind w:left="27"/>
              <w:rPr>
                <w:sz w:val="12"/>
              </w:rPr>
            </w:pPr>
            <w:r>
              <w:rPr>
                <w:w w:val="102"/>
                <w:sz w:val="12"/>
              </w:rPr>
              <w:t>3</w:t>
            </w:r>
          </w:p>
        </w:tc>
      </w:tr>
      <w:tr>
        <w:trPr>
          <w:trHeight w:val="144" w:hRule="exact"/>
        </w:trPr>
        <w:tc>
          <w:tcPr>
            <w:tcW w:w="8475" w:type="dxa"/>
            <w:gridSpan w:val="7"/>
            <w:tcBorders>
              <w:left w:val="single" w:sz="4" w:space="0" w:color="000000"/>
              <w:right w:val="single" w:sz="8" w:space="0" w:color="000000"/>
            </w:tcBorders>
          </w:tcPr>
          <w:p>
            <w:pPr>
              <w:pStyle w:val="TableParagraph"/>
              <w:spacing w:line="133" w:lineRule="exact"/>
              <w:ind w:left="20"/>
              <w:jc w:val="left"/>
              <w:rPr>
                <w:sz w:val="12"/>
              </w:rPr>
            </w:pPr>
            <w:r>
              <w:rPr>
                <w:sz w:val="12"/>
              </w:rPr>
              <w:t>Económico</w:t>
            </w:r>
          </w:p>
        </w:tc>
      </w:tr>
      <w:tr>
        <w:trPr>
          <w:trHeight w:val="157" w:hRule="exact"/>
        </w:trPr>
        <w:tc>
          <w:tcPr>
            <w:tcW w:w="603" w:type="dxa"/>
            <w:tcBorders>
              <w:left w:val="single" w:sz="4" w:space="0" w:color="000000"/>
            </w:tcBorders>
          </w:tcPr>
          <w:p>
            <w:pPr/>
          </w:p>
        </w:tc>
        <w:tc>
          <w:tcPr>
            <w:tcW w:w="1837" w:type="dxa"/>
          </w:tcPr>
          <w:p>
            <w:pPr/>
          </w:p>
        </w:tc>
        <w:tc>
          <w:tcPr>
            <w:tcW w:w="2390" w:type="dxa"/>
          </w:tcPr>
          <w:p>
            <w:pPr>
              <w:pStyle w:val="TableParagraph"/>
              <w:spacing w:before="5"/>
              <w:ind w:left="299"/>
              <w:jc w:val="left"/>
              <w:rPr>
                <w:sz w:val="12"/>
              </w:rPr>
            </w:pPr>
            <w:r>
              <w:rPr>
                <w:sz w:val="12"/>
              </w:rPr>
              <w:t>Pago de CFE</w:t>
            </w:r>
          </w:p>
        </w:tc>
        <w:tc>
          <w:tcPr>
            <w:tcW w:w="1563" w:type="dxa"/>
          </w:tcPr>
          <w:p>
            <w:pPr>
              <w:pStyle w:val="TableParagraph"/>
              <w:spacing w:before="5"/>
              <w:ind w:left="952"/>
              <w:jc w:val="left"/>
              <w:rPr>
                <w:sz w:val="12"/>
              </w:rPr>
            </w:pPr>
            <w:r>
              <w:rPr>
                <w:sz w:val="12"/>
              </w:rPr>
              <w:t>0.7</w:t>
            </w:r>
          </w:p>
        </w:tc>
        <w:tc>
          <w:tcPr>
            <w:tcW w:w="708" w:type="dxa"/>
          </w:tcPr>
          <w:p>
            <w:pPr/>
          </w:p>
        </w:tc>
        <w:tc>
          <w:tcPr>
            <w:tcW w:w="667" w:type="dxa"/>
          </w:tcPr>
          <w:p>
            <w:pPr>
              <w:pStyle w:val="TableParagraph"/>
              <w:spacing w:before="5"/>
              <w:ind w:left="58" w:right="40"/>
              <w:rPr>
                <w:sz w:val="12"/>
              </w:rPr>
            </w:pPr>
            <w:r>
              <w:rPr>
                <w:sz w:val="12"/>
              </w:rPr>
              <w:t>0.7</w:t>
            </w:r>
          </w:p>
        </w:tc>
        <w:tc>
          <w:tcPr>
            <w:tcW w:w="707" w:type="dxa"/>
            <w:tcBorders>
              <w:right w:val="single" w:sz="8" w:space="0" w:color="000000"/>
            </w:tcBorders>
            <w:shd w:val="clear" w:color="auto" w:fill="67ED4D"/>
          </w:tcPr>
          <w:p>
            <w:pPr>
              <w:pStyle w:val="TableParagraph"/>
              <w:spacing w:before="5"/>
              <w:ind w:left="27"/>
              <w:rPr>
                <w:sz w:val="12"/>
              </w:rPr>
            </w:pPr>
            <w:r>
              <w:rPr>
                <w:w w:val="102"/>
                <w:sz w:val="12"/>
              </w:rPr>
              <w:t>1</w:t>
            </w:r>
          </w:p>
        </w:tc>
      </w:tr>
      <w:tr>
        <w:trPr>
          <w:trHeight w:val="154" w:hRule="exact"/>
        </w:trPr>
        <w:tc>
          <w:tcPr>
            <w:tcW w:w="603" w:type="dxa"/>
            <w:tcBorders>
              <w:left w:val="single" w:sz="4" w:space="0" w:color="000000"/>
            </w:tcBorders>
          </w:tcPr>
          <w:p>
            <w:pPr/>
          </w:p>
        </w:tc>
        <w:tc>
          <w:tcPr>
            <w:tcW w:w="1837" w:type="dxa"/>
          </w:tcPr>
          <w:p>
            <w:pPr/>
          </w:p>
        </w:tc>
        <w:tc>
          <w:tcPr>
            <w:tcW w:w="2390" w:type="dxa"/>
          </w:tcPr>
          <w:p>
            <w:pPr>
              <w:pStyle w:val="TableParagraph"/>
              <w:spacing w:before="2"/>
              <w:ind w:left="299"/>
              <w:jc w:val="left"/>
              <w:rPr>
                <w:sz w:val="12"/>
              </w:rPr>
            </w:pPr>
            <w:r>
              <w:rPr>
                <w:sz w:val="12"/>
              </w:rPr>
              <w:t>Pago de agua</w:t>
            </w:r>
          </w:p>
        </w:tc>
        <w:tc>
          <w:tcPr>
            <w:tcW w:w="1563" w:type="dxa"/>
          </w:tcPr>
          <w:p>
            <w:pPr>
              <w:pStyle w:val="TableParagraph"/>
              <w:spacing w:before="2"/>
              <w:ind w:left="1003"/>
              <w:jc w:val="left"/>
              <w:rPr>
                <w:sz w:val="12"/>
              </w:rPr>
            </w:pPr>
            <w:r>
              <w:rPr>
                <w:w w:val="102"/>
                <w:sz w:val="12"/>
              </w:rPr>
              <w:t>0</w:t>
            </w:r>
          </w:p>
        </w:tc>
        <w:tc>
          <w:tcPr>
            <w:tcW w:w="708" w:type="dxa"/>
          </w:tcPr>
          <w:p>
            <w:pPr/>
          </w:p>
        </w:tc>
        <w:tc>
          <w:tcPr>
            <w:tcW w:w="667" w:type="dxa"/>
          </w:tcPr>
          <w:p>
            <w:pPr>
              <w:pStyle w:val="TableParagraph"/>
              <w:spacing w:before="2"/>
              <w:ind w:left="58" w:right="40"/>
              <w:rPr>
                <w:sz w:val="12"/>
              </w:rPr>
            </w:pPr>
            <w:r>
              <w:rPr>
                <w:sz w:val="12"/>
              </w:rPr>
              <w:t>0.7</w:t>
            </w:r>
          </w:p>
        </w:tc>
        <w:tc>
          <w:tcPr>
            <w:tcW w:w="707" w:type="dxa"/>
            <w:tcBorders>
              <w:right w:val="single" w:sz="8" w:space="0" w:color="000000"/>
            </w:tcBorders>
            <w:shd w:val="clear" w:color="auto" w:fill="67ED4D"/>
          </w:tcPr>
          <w:p>
            <w:pPr>
              <w:pStyle w:val="TableParagraph"/>
              <w:spacing w:before="2"/>
              <w:ind w:left="27"/>
              <w:rPr>
                <w:sz w:val="12"/>
              </w:rPr>
            </w:pPr>
            <w:r>
              <w:rPr>
                <w:w w:val="102"/>
                <w:sz w:val="12"/>
              </w:rPr>
              <w:t>1</w:t>
            </w:r>
          </w:p>
        </w:tc>
      </w:tr>
      <w:tr>
        <w:trPr>
          <w:trHeight w:val="154" w:hRule="exact"/>
        </w:trPr>
        <w:tc>
          <w:tcPr>
            <w:tcW w:w="603" w:type="dxa"/>
            <w:tcBorders>
              <w:left w:val="single" w:sz="4" w:space="0" w:color="000000"/>
            </w:tcBorders>
          </w:tcPr>
          <w:p>
            <w:pPr/>
          </w:p>
        </w:tc>
        <w:tc>
          <w:tcPr>
            <w:tcW w:w="1837" w:type="dxa"/>
          </w:tcPr>
          <w:p>
            <w:pPr>
              <w:pStyle w:val="TableParagraph"/>
              <w:spacing w:before="2"/>
              <w:ind w:left="88"/>
              <w:jc w:val="left"/>
              <w:rPr>
                <w:sz w:val="12"/>
              </w:rPr>
            </w:pPr>
            <w:r>
              <w:rPr>
                <w:sz w:val="12"/>
              </w:rPr>
              <w:t>Gastos de habitabilidad</w:t>
            </w:r>
          </w:p>
        </w:tc>
        <w:tc>
          <w:tcPr>
            <w:tcW w:w="2390" w:type="dxa"/>
          </w:tcPr>
          <w:p>
            <w:pPr>
              <w:pStyle w:val="TableParagraph"/>
              <w:spacing w:before="2"/>
              <w:ind w:left="299"/>
              <w:jc w:val="left"/>
              <w:rPr>
                <w:sz w:val="12"/>
              </w:rPr>
            </w:pPr>
            <w:r>
              <w:rPr>
                <w:sz w:val="12"/>
              </w:rPr>
              <w:t>Pago predial</w:t>
            </w:r>
          </w:p>
        </w:tc>
        <w:tc>
          <w:tcPr>
            <w:tcW w:w="1563" w:type="dxa"/>
          </w:tcPr>
          <w:p>
            <w:pPr>
              <w:pStyle w:val="TableParagraph"/>
              <w:spacing w:before="2"/>
              <w:ind w:left="952"/>
              <w:jc w:val="left"/>
              <w:rPr>
                <w:sz w:val="12"/>
              </w:rPr>
            </w:pPr>
            <w:r>
              <w:rPr>
                <w:sz w:val="12"/>
              </w:rPr>
              <w:t>0.6</w:t>
            </w:r>
          </w:p>
        </w:tc>
        <w:tc>
          <w:tcPr>
            <w:tcW w:w="708" w:type="dxa"/>
          </w:tcPr>
          <w:p>
            <w:pPr/>
          </w:p>
        </w:tc>
        <w:tc>
          <w:tcPr>
            <w:tcW w:w="667" w:type="dxa"/>
          </w:tcPr>
          <w:p>
            <w:pPr>
              <w:pStyle w:val="TableParagraph"/>
              <w:spacing w:before="2"/>
              <w:ind w:left="58" w:right="40"/>
              <w:rPr>
                <w:sz w:val="12"/>
              </w:rPr>
            </w:pPr>
            <w:r>
              <w:rPr>
                <w:sz w:val="12"/>
              </w:rPr>
              <w:t>0.7</w:t>
            </w:r>
          </w:p>
        </w:tc>
        <w:tc>
          <w:tcPr>
            <w:tcW w:w="707" w:type="dxa"/>
            <w:tcBorders>
              <w:right w:val="single" w:sz="8" w:space="0" w:color="000000"/>
            </w:tcBorders>
            <w:shd w:val="clear" w:color="auto" w:fill="67ED4D"/>
          </w:tcPr>
          <w:p>
            <w:pPr>
              <w:pStyle w:val="TableParagraph"/>
              <w:spacing w:before="2"/>
              <w:ind w:left="27"/>
              <w:rPr>
                <w:sz w:val="12"/>
              </w:rPr>
            </w:pPr>
            <w:r>
              <w:rPr>
                <w:w w:val="102"/>
                <w:sz w:val="12"/>
              </w:rPr>
              <w:t>1</w:t>
            </w:r>
          </w:p>
        </w:tc>
      </w:tr>
      <w:tr>
        <w:trPr>
          <w:trHeight w:val="154" w:hRule="exact"/>
        </w:trPr>
        <w:tc>
          <w:tcPr>
            <w:tcW w:w="603" w:type="dxa"/>
            <w:tcBorders>
              <w:left w:val="single" w:sz="4" w:space="0" w:color="000000"/>
            </w:tcBorders>
          </w:tcPr>
          <w:p>
            <w:pPr/>
          </w:p>
        </w:tc>
        <w:tc>
          <w:tcPr>
            <w:tcW w:w="1837" w:type="dxa"/>
          </w:tcPr>
          <w:p>
            <w:pPr/>
          </w:p>
        </w:tc>
        <w:tc>
          <w:tcPr>
            <w:tcW w:w="2390" w:type="dxa"/>
          </w:tcPr>
          <w:p>
            <w:pPr>
              <w:pStyle w:val="TableParagraph"/>
              <w:spacing w:before="2"/>
              <w:ind w:left="299"/>
              <w:jc w:val="left"/>
              <w:rPr>
                <w:sz w:val="12"/>
              </w:rPr>
            </w:pPr>
            <w:r>
              <w:rPr>
                <w:sz w:val="12"/>
              </w:rPr>
              <w:t>Comunicación</w:t>
            </w:r>
          </w:p>
        </w:tc>
        <w:tc>
          <w:tcPr>
            <w:tcW w:w="1563" w:type="dxa"/>
          </w:tcPr>
          <w:p>
            <w:pPr>
              <w:pStyle w:val="TableParagraph"/>
              <w:spacing w:before="2"/>
              <w:ind w:left="952"/>
              <w:jc w:val="left"/>
              <w:rPr>
                <w:sz w:val="12"/>
              </w:rPr>
            </w:pPr>
            <w:r>
              <w:rPr>
                <w:sz w:val="12"/>
              </w:rPr>
              <w:t>0.7</w:t>
            </w:r>
          </w:p>
        </w:tc>
        <w:tc>
          <w:tcPr>
            <w:tcW w:w="708" w:type="dxa"/>
          </w:tcPr>
          <w:p>
            <w:pPr/>
          </w:p>
        </w:tc>
        <w:tc>
          <w:tcPr>
            <w:tcW w:w="667" w:type="dxa"/>
          </w:tcPr>
          <w:p>
            <w:pPr>
              <w:pStyle w:val="TableParagraph"/>
              <w:spacing w:before="2"/>
              <w:ind w:left="58" w:right="40"/>
              <w:rPr>
                <w:sz w:val="12"/>
              </w:rPr>
            </w:pPr>
            <w:r>
              <w:rPr>
                <w:sz w:val="12"/>
              </w:rPr>
              <w:t>0.7</w:t>
            </w:r>
          </w:p>
        </w:tc>
        <w:tc>
          <w:tcPr>
            <w:tcW w:w="707" w:type="dxa"/>
            <w:tcBorders>
              <w:right w:val="single" w:sz="8" w:space="0" w:color="000000"/>
            </w:tcBorders>
            <w:shd w:val="clear" w:color="auto" w:fill="67ED4D"/>
          </w:tcPr>
          <w:p>
            <w:pPr>
              <w:pStyle w:val="TableParagraph"/>
              <w:spacing w:before="2"/>
              <w:ind w:left="27"/>
              <w:rPr>
                <w:sz w:val="12"/>
              </w:rPr>
            </w:pPr>
            <w:r>
              <w:rPr>
                <w:w w:val="102"/>
                <w:sz w:val="12"/>
              </w:rPr>
              <w:t>1</w:t>
            </w:r>
          </w:p>
        </w:tc>
      </w:tr>
      <w:tr>
        <w:trPr>
          <w:trHeight w:val="154" w:hRule="exact"/>
        </w:trPr>
        <w:tc>
          <w:tcPr>
            <w:tcW w:w="603" w:type="dxa"/>
            <w:tcBorders>
              <w:left w:val="single" w:sz="4" w:space="0" w:color="000000"/>
            </w:tcBorders>
          </w:tcPr>
          <w:p>
            <w:pPr/>
          </w:p>
        </w:tc>
        <w:tc>
          <w:tcPr>
            <w:tcW w:w="1837" w:type="dxa"/>
          </w:tcPr>
          <w:p>
            <w:pPr/>
          </w:p>
        </w:tc>
        <w:tc>
          <w:tcPr>
            <w:tcW w:w="2390" w:type="dxa"/>
          </w:tcPr>
          <w:p>
            <w:pPr>
              <w:pStyle w:val="TableParagraph"/>
              <w:spacing w:before="2"/>
              <w:ind w:left="299"/>
              <w:jc w:val="left"/>
              <w:rPr>
                <w:sz w:val="12"/>
              </w:rPr>
            </w:pPr>
            <w:r>
              <w:rPr>
                <w:sz w:val="12"/>
              </w:rPr>
              <w:t>Comunidad</w:t>
            </w:r>
          </w:p>
        </w:tc>
        <w:tc>
          <w:tcPr>
            <w:tcW w:w="1563" w:type="dxa"/>
          </w:tcPr>
          <w:p>
            <w:pPr>
              <w:pStyle w:val="TableParagraph"/>
              <w:spacing w:before="2"/>
              <w:ind w:left="952"/>
              <w:jc w:val="left"/>
              <w:rPr>
                <w:sz w:val="12"/>
              </w:rPr>
            </w:pPr>
            <w:r>
              <w:rPr>
                <w:sz w:val="12"/>
              </w:rPr>
              <w:t>0.6</w:t>
            </w:r>
          </w:p>
        </w:tc>
        <w:tc>
          <w:tcPr>
            <w:tcW w:w="708" w:type="dxa"/>
          </w:tcPr>
          <w:p>
            <w:pPr/>
          </w:p>
        </w:tc>
        <w:tc>
          <w:tcPr>
            <w:tcW w:w="667" w:type="dxa"/>
          </w:tcPr>
          <w:p>
            <w:pPr>
              <w:pStyle w:val="TableParagraph"/>
              <w:spacing w:before="2"/>
              <w:ind w:left="58" w:right="40"/>
              <w:rPr>
                <w:sz w:val="12"/>
              </w:rPr>
            </w:pPr>
            <w:r>
              <w:rPr>
                <w:sz w:val="12"/>
              </w:rPr>
              <w:t>0.7</w:t>
            </w:r>
          </w:p>
        </w:tc>
        <w:tc>
          <w:tcPr>
            <w:tcW w:w="707" w:type="dxa"/>
            <w:tcBorders>
              <w:right w:val="single" w:sz="8" w:space="0" w:color="000000"/>
            </w:tcBorders>
            <w:shd w:val="clear" w:color="auto" w:fill="67ED4D"/>
          </w:tcPr>
          <w:p>
            <w:pPr>
              <w:pStyle w:val="TableParagraph"/>
              <w:spacing w:before="2"/>
              <w:ind w:left="27"/>
              <w:rPr>
                <w:sz w:val="12"/>
              </w:rPr>
            </w:pPr>
            <w:r>
              <w:rPr>
                <w:w w:val="102"/>
                <w:sz w:val="12"/>
              </w:rPr>
              <w:t>1</w:t>
            </w:r>
          </w:p>
        </w:tc>
      </w:tr>
      <w:tr>
        <w:trPr>
          <w:trHeight w:val="161" w:hRule="exact"/>
        </w:trPr>
        <w:tc>
          <w:tcPr>
            <w:tcW w:w="603" w:type="dxa"/>
            <w:tcBorders>
              <w:left w:val="single" w:sz="4" w:space="0" w:color="000000"/>
            </w:tcBorders>
          </w:tcPr>
          <w:p>
            <w:pPr/>
          </w:p>
        </w:tc>
        <w:tc>
          <w:tcPr>
            <w:tcW w:w="1837" w:type="dxa"/>
          </w:tcPr>
          <w:p>
            <w:pPr/>
          </w:p>
        </w:tc>
        <w:tc>
          <w:tcPr>
            <w:tcW w:w="2390" w:type="dxa"/>
          </w:tcPr>
          <w:p>
            <w:pPr/>
          </w:p>
        </w:tc>
        <w:tc>
          <w:tcPr>
            <w:tcW w:w="1563" w:type="dxa"/>
          </w:tcPr>
          <w:p>
            <w:pPr>
              <w:pStyle w:val="TableParagraph"/>
              <w:spacing w:before="2"/>
              <w:ind w:right="301"/>
              <w:jc w:val="right"/>
              <w:rPr>
                <w:sz w:val="12"/>
              </w:rPr>
            </w:pPr>
            <w:r>
              <w:rPr>
                <w:sz w:val="12"/>
              </w:rPr>
              <w:t>Subtotal</w:t>
            </w:r>
          </w:p>
        </w:tc>
        <w:tc>
          <w:tcPr>
            <w:tcW w:w="708" w:type="dxa"/>
          </w:tcPr>
          <w:p>
            <w:pPr>
              <w:pStyle w:val="TableParagraph"/>
              <w:spacing w:before="2"/>
              <w:ind w:left="197" w:right="-12"/>
              <w:jc w:val="left"/>
              <w:rPr>
                <w:sz w:val="12"/>
              </w:rPr>
            </w:pPr>
            <w:r>
              <w:rPr>
                <w:w w:val="102"/>
                <w:sz w:val="12"/>
                <w:shd w:fill="F79646" w:color="auto" w:val="clear"/>
              </w:rPr>
              <w:t> </w:t>
            </w:r>
            <w:r>
              <w:rPr>
                <w:sz w:val="12"/>
                <w:shd w:fill="F79646" w:color="auto" w:val="clear"/>
              </w:rPr>
              <w:t>   </w:t>
            </w:r>
            <w:r>
              <w:rPr>
                <w:spacing w:val="6"/>
                <w:sz w:val="12"/>
                <w:shd w:fill="F79646" w:color="auto" w:val="clear"/>
              </w:rPr>
              <w:t> </w:t>
            </w:r>
            <w:r>
              <w:rPr>
                <w:sz w:val="12"/>
                <w:shd w:fill="F79646" w:color="auto" w:val="clear"/>
              </w:rPr>
              <w:t>2.6</w:t>
            </w:r>
            <w:r>
              <w:rPr>
                <w:spacing w:val="10"/>
                <w:sz w:val="12"/>
                <w:shd w:fill="F79646" w:color="auto" w:val="clear"/>
              </w:rPr>
              <w:t> </w:t>
            </w:r>
          </w:p>
        </w:tc>
        <w:tc>
          <w:tcPr>
            <w:tcW w:w="667" w:type="dxa"/>
          </w:tcPr>
          <w:p>
            <w:pPr>
              <w:pStyle w:val="TableParagraph"/>
              <w:spacing w:before="2"/>
              <w:ind w:left="58" w:right="40"/>
              <w:rPr>
                <w:sz w:val="12"/>
              </w:rPr>
            </w:pPr>
            <w:r>
              <w:rPr>
                <w:sz w:val="12"/>
              </w:rPr>
              <w:t>4.2</w:t>
            </w:r>
          </w:p>
        </w:tc>
        <w:tc>
          <w:tcPr>
            <w:tcW w:w="707" w:type="dxa"/>
            <w:tcBorders>
              <w:right w:val="single" w:sz="8" w:space="0" w:color="000000"/>
            </w:tcBorders>
            <w:shd w:val="clear" w:color="auto" w:fill="67ED4D"/>
          </w:tcPr>
          <w:p>
            <w:pPr>
              <w:pStyle w:val="TableParagraph"/>
              <w:spacing w:before="2"/>
              <w:ind w:left="27"/>
              <w:rPr>
                <w:sz w:val="12"/>
              </w:rPr>
            </w:pPr>
            <w:r>
              <w:rPr>
                <w:w w:val="102"/>
                <w:sz w:val="12"/>
              </w:rPr>
              <w:t>5</w:t>
            </w:r>
          </w:p>
        </w:tc>
      </w:tr>
      <w:tr>
        <w:trPr>
          <w:trHeight w:val="144" w:hRule="exact"/>
        </w:trPr>
        <w:tc>
          <w:tcPr>
            <w:tcW w:w="8475" w:type="dxa"/>
            <w:gridSpan w:val="7"/>
            <w:tcBorders>
              <w:left w:val="single" w:sz="4" w:space="0" w:color="000000"/>
              <w:right w:val="single" w:sz="8" w:space="0" w:color="000000"/>
            </w:tcBorders>
          </w:tcPr>
          <w:p>
            <w:pPr/>
          </w:p>
        </w:tc>
      </w:tr>
      <w:tr>
        <w:trPr>
          <w:trHeight w:val="157" w:hRule="exact"/>
        </w:trPr>
        <w:tc>
          <w:tcPr>
            <w:tcW w:w="603" w:type="dxa"/>
            <w:tcBorders>
              <w:left w:val="single" w:sz="4" w:space="0" w:color="000000"/>
            </w:tcBorders>
          </w:tcPr>
          <w:p>
            <w:pPr/>
          </w:p>
        </w:tc>
        <w:tc>
          <w:tcPr>
            <w:tcW w:w="1837" w:type="dxa"/>
          </w:tcPr>
          <w:p>
            <w:pPr>
              <w:pStyle w:val="TableParagraph"/>
              <w:spacing w:before="5"/>
              <w:ind w:left="88"/>
              <w:jc w:val="left"/>
              <w:rPr>
                <w:sz w:val="12"/>
              </w:rPr>
            </w:pPr>
            <w:r>
              <w:rPr>
                <w:sz w:val="12"/>
              </w:rPr>
              <w:t>Índice para una vida mejor</w:t>
            </w:r>
          </w:p>
        </w:tc>
        <w:tc>
          <w:tcPr>
            <w:tcW w:w="2390" w:type="dxa"/>
          </w:tcPr>
          <w:p>
            <w:pPr>
              <w:pStyle w:val="TableParagraph"/>
              <w:spacing w:before="5"/>
              <w:ind w:left="299"/>
              <w:jc w:val="left"/>
              <w:rPr>
                <w:sz w:val="12"/>
              </w:rPr>
            </w:pPr>
            <w:r>
              <w:rPr>
                <w:sz w:val="12"/>
              </w:rPr>
              <w:t>Gasto en vivienda</w:t>
            </w:r>
          </w:p>
        </w:tc>
        <w:tc>
          <w:tcPr>
            <w:tcW w:w="1563" w:type="dxa"/>
          </w:tcPr>
          <w:p>
            <w:pPr>
              <w:pStyle w:val="TableParagraph"/>
              <w:spacing w:before="5"/>
              <w:ind w:left="952"/>
              <w:jc w:val="left"/>
              <w:rPr>
                <w:sz w:val="12"/>
              </w:rPr>
            </w:pPr>
            <w:r>
              <w:rPr>
                <w:sz w:val="12"/>
              </w:rPr>
              <w:t>0.6</w:t>
            </w:r>
          </w:p>
        </w:tc>
        <w:tc>
          <w:tcPr>
            <w:tcW w:w="708" w:type="dxa"/>
          </w:tcPr>
          <w:p>
            <w:pPr/>
          </w:p>
        </w:tc>
        <w:tc>
          <w:tcPr>
            <w:tcW w:w="667" w:type="dxa"/>
          </w:tcPr>
          <w:p>
            <w:pPr>
              <w:pStyle w:val="TableParagraph"/>
              <w:spacing w:before="5"/>
              <w:ind w:left="58" w:right="40"/>
              <w:rPr>
                <w:sz w:val="12"/>
              </w:rPr>
            </w:pPr>
            <w:r>
              <w:rPr>
                <w:sz w:val="12"/>
              </w:rPr>
              <w:t>0.8</w:t>
            </w:r>
          </w:p>
        </w:tc>
        <w:tc>
          <w:tcPr>
            <w:tcW w:w="707" w:type="dxa"/>
            <w:tcBorders>
              <w:right w:val="single" w:sz="8" w:space="0" w:color="000000"/>
            </w:tcBorders>
            <w:shd w:val="clear" w:color="auto" w:fill="67ED4D"/>
          </w:tcPr>
          <w:p>
            <w:pPr>
              <w:pStyle w:val="TableParagraph"/>
              <w:spacing w:before="5"/>
              <w:ind w:left="27"/>
              <w:rPr>
                <w:sz w:val="12"/>
              </w:rPr>
            </w:pPr>
            <w:r>
              <w:rPr>
                <w:w w:val="102"/>
                <w:sz w:val="12"/>
              </w:rPr>
              <w:t>1</w:t>
            </w:r>
          </w:p>
        </w:tc>
      </w:tr>
      <w:tr>
        <w:trPr>
          <w:trHeight w:val="161" w:hRule="exact"/>
        </w:trPr>
        <w:tc>
          <w:tcPr>
            <w:tcW w:w="603" w:type="dxa"/>
            <w:tcBorders>
              <w:left w:val="single" w:sz="4" w:space="0" w:color="000000"/>
            </w:tcBorders>
          </w:tcPr>
          <w:p>
            <w:pPr/>
          </w:p>
        </w:tc>
        <w:tc>
          <w:tcPr>
            <w:tcW w:w="1837" w:type="dxa"/>
          </w:tcPr>
          <w:p>
            <w:pPr/>
          </w:p>
        </w:tc>
        <w:tc>
          <w:tcPr>
            <w:tcW w:w="2390" w:type="dxa"/>
          </w:tcPr>
          <w:p>
            <w:pPr/>
          </w:p>
        </w:tc>
        <w:tc>
          <w:tcPr>
            <w:tcW w:w="1563" w:type="dxa"/>
          </w:tcPr>
          <w:p>
            <w:pPr>
              <w:pStyle w:val="TableParagraph"/>
              <w:spacing w:before="2"/>
              <w:ind w:right="301"/>
              <w:jc w:val="right"/>
              <w:rPr>
                <w:sz w:val="12"/>
              </w:rPr>
            </w:pPr>
            <w:r>
              <w:rPr>
                <w:sz w:val="12"/>
              </w:rPr>
              <w:t>Subtotal</w:t>
            </w:r>
          </w:p>
        </w:tc>
        <w:tc>
          <w:tcPr>
            <w:tcW w:w="708" w:type="dxa"/>
          </w:tcPr>
          <w:p>
            <w:pPr>
              <w:pStyle w:val="TableParagraph"/>
              <w:spacing w:before="2"/>
              <w:ind w:left="197" w:right="-12"/>
              <w:jc w:val="left"/>
              <w:rPr>
                <w:sz w:val="12"/>
              </w:rPr>
            </w:pPr>
            <w:r>
              <w:rPr>
                <w:w w:val="102"/>
                <w:sz w:val="12"/>
                <w:shd w:fill="F79646" w:color="auto" w:val="clear"/>
              </w:rPr>
              <w:t> </w:t>
            </w:r>
            <w:r>
              <w:rPr>
                <w:sz w:val="12"/>
                <w:shd w:fill="F79646" w:color="auto" w:val="clear"/>
              </w:rPr>
              <w:t>   </w:t>
            </w:r>
            <w:r>
              <w:rPr>
                <w:spacing w:val="6"/>
                <w:sz w:val="12"/>
                <w:shd w:fill="F79646" w:color="auto" w:val="clear"/>
              </w:rPr>
              <w:t> </w:t>
            </w:r>
            <w:r>
              <w:rPr>
                <w:sz w:val="12"/>
                <w:shd w:fill="F79646" w:color="auto" w:val="clear"/>
              </w:rPr>
              <w:t>0.6</w:t>
            </w:r>
            <w:r>
              <w:rPr>
                <w:spacing w:val="10"/>
                <w:sz w:val="12"/>
                <w:shd w:fill="F79646" w:color="auto" w:val="clear"/>
              </w:rPr>
              <w:t> </w:t>
            </w:r>
          </w:p>
        </w:tc>
        <w:tc>
          <w:tcPr>
            <w:tcW w:w="667" w:type="dxa"/>
          </w:tcPr>
          <w:p>
            <w:pPr>
              <w:pStyle w:val="TableParagraph"/>
              <w:spacing w:before="2"/>
              <w:ind w:left="58" w:right="40"/>
              <w:rPr>
                <w:sz w:val="12"/>
              </w:rPr>
            </w:pPr>
            <w:r>
              <w:rPr>
                <w:sz w:val="12"/>
              </w:rPr>
              <w:t>0.8</w:t>
            </w:r>
          </w:p>
        </w:tc>
        <w:tc>
          <w:tcPr>
            <w:tcW w:w="707" w:type="dxa"/>
            <w:tcBorders>
              <w:right w:val="single" w:sz="8" w:space="0" w:color="000000"/>
            </w:tcBorders>
            <w:shd w:val="clear" w:color="auto" w:fill="67ED4D"/>
          </w:tcPr>
          <w:p>
            <w:pPr>
              <w:pStyle w:val="TableParagraph"/>
              <w:spacing w:before="2"/>
              <w:ind w:left="27"/>
              <w:rPr>
                <w:sz w:val="12"/>
              </w:rPr>
            </w:pPr>
            <w:r>
              <w:rPr>
                <w:w w:val="102"/>
                <w:sz w:val="12"/>
              </w:rPr>
              <w:t>1</w:t>
            </w:r>
          </w:p>
        </w:tc>
      </w:tr>
      <w:tr>
        <w:trPr>
          <w:trHeight w:val="144" w:hRule="exact"/>
        </w:trPr>
        <w:tc>
          <w:tcPr>
            <w:tcW w:w="8475" w:type="dxa"/>
            <w:gridSpan w:val="7"/>
            <w:tcBorders>
              <w:left w:val="single" w:sz="4" w:space="0" w:color="000000"/>
              <w:right w:val="single" w:sz="8" w:space="0" w:color="000000"/>
            </w:tcBorders>
          </w:tcPr>
          <w:p>
            <w:pPr/>
          </w:p>
        </w:tc>
      </w:tr>
      <w:tr>
        <w:trPr>
          <w:trHeight w:val="164" w:hRule="exact"/>
        </w:trPr>
        <w:tc>
          <w:tcPr>
            <w:tcW w:w="603" w:type="dxa"/>
            <w:tcBorders>
              <w:left w:val="single" w:sz="4" w:space="0" w:color="000000"/>
            </w:tcBorders>
          </w:tcPr>
          <w:p>
            <w:pPr/>
          </w:p>
        </w:tc>
        <w:tc>
          <w:tcPr>
            <w:tcW w:w="1837" w:type="dxa"/>
          </w:tcPr>
          <w:p>
            <w:pPr/>
          </w:p>
        </w:tc>
        <w:tc>
          <w:tcPr>
            <w:tcW w:w="2390" w:type="dxa"/>
          </w:tcPr>
          <w:p>
            <w:pPr/>
          </w:p>
        </w:tc>
        <w:tc>
          <w:tcPr>
            <w:tcW w:w="1563" w:type="dxa"/>
          </w:tcPr>
          <w:p>
            <w:pPr>
              <w:pStyle w:val="TableParagraph"/>
              <w:spacing w:before="5"/>
              <w:ind w:right="311"/>
              <w:jc w:val="right"/>
              <w:rPr>
                <w:sz w:val="12"/>
              </w:rPr>
            </w:pPr>
            <w:r>
              <w:rPr>
                <w:sz w:val="12"/>
              </w:rPr>
              <w:t>Total IE</w:t>
            </w:r>
          </w:p>
        </w:tc>
        <w:tc>
          <w:tcPr>
            <w:tcW w:w="708" w:type="dxa"/>
          </w:tcPr>
          <w:p>
            <w:pPr>
              <w:pStyle w:val="TableParagraph"/>
              <w:spacing w:before="5"/>
              <w:ind w:left="197" w:right="-12"/>
              <w:jc w:val="left"/>
              <w:rPr>
                <w:sz w:val="12"/>
              </w:rPr>
            </w:pPr>
            <w:r>
              <w:rPr>
                <w:w w:val="102"/>
                <w:sz w:val="12"/>
                <w:shd w:fill="F79646" w:color="auto" w:val="clear"/>
              </w:rPr>
              <w:t> </w:t>
            </w:r>
            <w:r>
              <w:rPr>
                <w:sz w:val="12"/>
                <w:shd w:fill="F79646" w:color="auto" w:val="clear"/>
              </w:rPr>
              <w:t>   </w:t>
            </w:r>
            <w:r>
              <w:rPr>
                <w:spacing w:val="6"/>
                <w:sz w:val="12"/>
                <w:shd w:fill="F79646" w:color="auto" w:val="clear"/>
              </w:rPr>
              <w:t> </w:t>
            </w:r>
            <w:r>
              <w:rPr>
                <w:sz w:val="12"/>
                <w:shd w:fill="F79646" w:color="auto" w:val="clear"/>
              </w:rPr>
              <w:t>5.5</w:t>
            </w:r>
            <w:r>
              <w:rPr>
                <w:spacing w:val="10"/>
                <w:sz w:val="12"/>
                <w:shd w:fill="F79646" w:color="auto" w:val="clear"/>
              </w:rPr>
              <w:t> </w:t>
            </w:r>
          </w:p>
        </w:tc>
        <w:tc>
          <w:tcPr>
            <w:tcW w:w="667" w:type="dxa"/>
          </w:tcPr>
          <w:p>
            <w:pPr>
              <w:pStyle w:val="TableParagraph"/>
              <w:spacing w:before="5"/>
              <w:ind w:left="18"/>
              <w:rPr>
                <w:sz w:val="12"/>
              </w:rPr>
            </w:pPr>
            <w:r>
              <w:rPr>
                <w:w w:val="102"/>
                <w:sz w:val="12"/>
              </w:rPr>
              <w:t>9</w:t>
            </w:r>
          </w:p>
        </w:tc>
        <w:tc>
          <w:tcPr>
            <w:tcW w:w="707" w:type="dxa"/>
            <w:tcBorders>
              <w:right w:val="single" w:sz="8" w:space="0" w:color="000000"/>
            </w:tcBorders>
            <w:shd w:val="clear" w:color="auto" w:fill="67ED4D"/>
          </w:tcPr>
          <w:p>
            <w:pPr>
              <w:pStyle w:val="TableParagraph"/>
              <w:spacing w:before="5"/>
              <w:ind w:left="124" w:right="108"/>
              <w:rPr>
                <w:sz w:val="12"/>
              </w:rPr>
            </w:pPr>
            <w:r>
              <w:rPr>
                <w:sz w:val="12"/>
              </w:rPr>
              <w:t>11</w:t>
            </w:r>
          </w:p>
        </w:tc>
      </w:tr>
      <w:tr>
        <w:trPr>
          <w:trHeight w:val="154" w:hRule="exact"/>
        </w:trPr>
        <w:tc>
          <w:tcPr>
            <w:tcW w:w="8475" w:type="dxa"/>
            <w:gridSpan w:val="7"/>
            <w:tcBorders>
              <w:left w:val="single" w:sz="4" w:space="0" w:color="000000"/>
              <w:bottom w:val="single" w:sz="8" w:space="0" w:color="000000"/>
              <w:right w:val="single" w:sz="8" w:space="0" w:color="000000"/>
            </w:tcBorders>
          </w:tcPr>
          <w:p>
            <w:pPr/>
          </w:p>
        </w:tc>
      </w:tr>
    </w:tbl>
    <w:p>
      <w:pPr>
        <w:pStyle w:val="BodyText"/>
        <w:spacing w:before="1"/>
        <w:rPr>
          <w:sz w:val="20"/>
        </w:rPr>
      </w:pPr>
    </w:p>
    <w:p>
      <w:pPr>
        <w:spacing w:before="0"/>
        <w:ind w:left="268" w:right="0" w:firstLine="0"/>
        <w:jc w:val="left"/>
        <w:rPr>
          <w:sz w:val="21"/>
        </w:rPr>
      </w:pPr>
      <w:r>
        <w:rPr/>
        <w:pict>
          <v:group style="position:absolute;margin-left:356.365997pt;margin-top:-105.153412pt;width:73.25pt;height:39.550pt;mso-position-horizontal-relative:page;mso-position-vertical-relative:paragraph;z-index:-1136128" coordorigin="7127,-2103" coordsize="1465,791">
            <v:line style="position:absolute" from="7133,-2098" to="7133,-1934" stroked="true" strokeweight=".512pt" strokecolor="#baf9f5"/>
            <v:rect style="position:absolute;left:7138;top:-2098;width:1454;height:164" filled="true" fillcolor="#baf9f5" stroked="false">
              <v:fill type="solid"/>
            </v:rect>
            <v:line style="position:absolute" from="7133,-1934" to="7133,-1780" stroked="true" strokeweight=".512pt" strokecolor="#baf9f5"/>
            <v:rect style="position:absolute;left:7138;top:-1934;width:1454;height:154" filled="true" fillcolor="#baf9f5" stroked="false">
              <v:fill type="solid"/>
            </v:rect>
            <v:line style="position:absolute" from="7133,-1780" to="7133,-1626" stroked="true" strokeweight=".512pt" strokecolor="#baf9f5"/>
            <v:rect style="position:absolute;left:7138;top:-1780;width:1454;height:154" filled="true" fillcolor="#baf9f5" stroked="false">
              <v:fill type="solid"/>
            </v:rect>
            <v:line style="position:absolute" from="7133,-1626" to="7133,-1472" stroked="true" strokeweight=".512pt" strokecolor="#baf9f5"/>
            <v:rect style="position:absolute;left:7138;top:-1626;width:1454;height:154" filled="true" fillcolor="#baf9f5" stroked="false">
              <v:fill type="solid"/>
            </v:rect>
            <v:line style="position:absolute" from="7133,-1472" to="7133,-1318" stroked="true" strokeweight=".512pt" strokecolor="#baf9f5"/>
            <v:rect style="position:absolute;left:7138;top:-1472;width:1454;height:154" filled="true" fillcolor="#baf9f5" stroked="false">
              <v:fill type="solid"/>
            </v:rect>
            <w10:wrap type="none"/>
          </v:group>
        </w:pict>
      </w:r>
      <w:r>
        <w:rPr/>
        <w:pict>
          <v:shape style="position:absolute;margin-left:454.701019pt;margin-top:-104.878136pt;width:33.8pt;height:46.65pt;mso-position-horizontal-relative:page;mso-position-vertical-relative:paragraph;z-index:-1136104" coordorigin="9094,-2098" coordsize="676,933" path="m9770,-1626l9094,-1626,9094,-1472,9094,-1329,9094,-1318,9094,-1165,9770,-1165,9770,-1318,9770,-1329,9770,-1472,9770,-1626m9770,-1780l9094,-1780,9094,-1626,9770,-1626,9770,-1780m9770,-1934l9094,-1934,9094,-1780,9770,-1780,9770,-1934m9770,-2098l9094,-2098,9094,-1934,9770,-1934,9770,-2098e" filled="true" fillcolor="#ffff00" stroked="false">
            <v:path arrowok="t"/>
            <v:fill type="solid"/>
            <w10:wrap type="none"/>
          </v:shape>
        </w:pict>
      </w:r>
      <w:r>
        <w:rPr/>
        <w:pict>
          <v:group style="position:absolute;margin-left:356.365997pt;margin-top:-51.331532pt;width:73.25pt;height:8.8pt;mso-position-horizontal-relative:page;mso-position-vertical-relative:paragraph;z-index:-1136080" coordorigin="7127,-1027" coordsize="1465,176">
            <v:line style="position:absolute" from="7133,-1021" to="7133,-857" stroked="true" strokeweight=".512pt" strokecolor="#baf9f5"/>
            <v:rect style="position:absolute;left:7138;top:-1021;width:1454;height:164" filled="true" fillcolor="#baf9f5" stroked="false">
              <v:fill type="solid"/>
            </v:rect>
            <w10:wrap type="none"/>
          </v:group>
        </w:pict>
      </w:r>
      <w:r>
        <w:rPr/>
        <w:pict>
          <v:shape style="position:absolute;margin-left:454.701019pt;margin-top:-51.056137pt;width:33.8pt;height:15.9pt;mso-position-horizontal-relative:page;mso-position-vertical-relative:paragraph;z-index:-1136056" coordorigin="9094,-1021" coordsize="676,318" path="m9770,-1021l9094,-1021,9094,-867,9094,-857,9094,-703,9770,-703,9770,-857,9770,-867,9770,-1021e" filled="true" fillcolor="#ffff00" stroked="false">
            <v:path arrowok="t"/>
            <v:fill type="solid"/>
            <w10:wrap type="none"/>
          </v:shape>
        </w:pict>
      </w:r>
      <w:r>
        <w:rPr/>
        <w:pict>
          <v:rect style="position:absolute;margin-left:454.700989pt;margin-top:-27.989592pt;width:33.7961pt;height:8.20148pt;mso-position-horizontal-relative:page;mso-position-vertical-relative:paragraph;z-index:-1136032" filled="true" fillcolor="#ffff00" stroked="false">
            <v:fill type="solid"/>
            <w10:wrap type="none"/>
          </v:rect>
        </w:pict>
      </w:r>
      <w:r>
        <w:rPr>
          <w:w w:val="105"/>
          <w:sz w:val="21"/>
        </w:rPr>
        <w:t>Fuente: Elaboración propia con base al estudio realizado.</w:t>
      </w:r>
    </w:p>
    <w:p>
      <w:pPr>
        <w:pStyle w:val="BodyText"/>
        <w:spacing w:before="2"/>
        <w:rPr>
          <w:sz w:val="21"/>
        </w:rPr>
      </w:pPr>
    </w:p>
    <w:p>
      <w:pPr>
        <w:pStyle w:val="BodyText"/>
        <w:spacing w:after="14"/>
        <w:ind w:left="268"/>
      </w:pPr>
      <w:r>
        <w:rPr/>
        <w:pict>
          <v:group style="position:absolute;margin-left:355.518005pt;margin-top:54.575489pt;width:73.05pt;height:24.05pt;mso-position-horizontal-relative:page;mso-position-vertical-relative:paragraph;z-index:-1136008" coordorigin="7110,1092" coordsize="1461,481">
            <v:line style="position:absolute" from="7116,1097" to="7116,1260" stroked="true" strokeweight=".51pt" strokecolor="#baf9f5"/>
            <v:shape style="position:absolute;left:7121;top:1097;width:1450;height:317" coordorigin="7121,1097" coordsize="1450,317" path="m8570,1097l7121,1097,7121,1250,7121,1260,7121,1414,8570,1414,8570,1260,8570,1250,8570,1097e" filled="true" fillcolor="#baf9f5" stroked="false">
              <v:path arrowok="t"/>
              <v:fill type="solid"/>
            </v:shape>
            <v:line style="position:absolute" from="7116,1250" to="7116,1567" stroked="true" strokeweight=".51pt" strokecolor="#baf9f5"/>
            <v:rect style="position:absolute;left:7121;top:1414;width:1449;height:153" filled="true" fillcolor="#baf9f5" stroked="false">
              <v:fill type="solid"/>
            </v:rect>
            <w10:wrap type="none"/>
          </v:group>
        </w:pict>
      </w:r>
      <w:r>
        <w:rPr/>
        <w:pict>
          <v:shape style="position:absolute;margin-left:453.529022pt;margin-top:54.85083pt;width:33.7pt;height:31.2pt;mso-position-horizontal-relative:page;mso-position-vertical-relative:paragraph;z-index:-1135984" coordorigin="9071,1097" coordsize="674,624" path="m9744,1097l9071,1097,9071,1250,9071,1260,9071,1414,9071,1557,9071,1567,9071,1720,9744,1720,9744,1250,9744,1097e" filled="true" fillcolor="#ffff00" stroked="false">
            <v:path arrowok="t"/>
            <v:fill type="solid"/>
            <w10:wrap type="none"/>
          </v:shape>
        </w:pict>
      </w:r>
      <w:r>
        <w:rPr/>
        <w:pict>
          <v:group style="position:absolute;margin-left:355.518005pt;margin-top:92.88295pt;width:73.05pt;height:16.4pt;mso-position-horizontal-relative:page;mso-position-vertical-relative:paragraph;z-index:-1135960" coordorigin="7110,1858" coordsize="1461,328">
            <v:line style="position:absolute" from="7116,1863" to="7116,2027" stroked="true" strokeweight=".51pt" strokecolor="#baf9f5"/>
            <v:rect style="position:absolute;left:7121;top:1863;width:1449;height:163" filled="true" fillcolor="#baf9f5" stroked="false">
              <v:fill type="solid"/>
            </v:rect>
            <v:line style="position:absolute" from="7116,2027" to="7116,2180" stroked="true" strokeweight=".51pt" strokecolor="#baf9f5"/>
            <v:rect style="position:absolute;left:7121;top:2027;width:1449;height:153" filled="true" fillcolor="#baf9f5" stroked="false">
              <v:fill type="solid"/>
            </v:rect>
            <w10:wrap type="none"/>
          </v:group>
        </w:pict>
      </w:r>
      <w:r>
        <w:rPr/>
        <w:pict>
          <v:shape style="position:absolute;margin-left:453.529022pt;margin-top:93.158829pt;width:33.7pt;height:23.5pt;mso-position-horizontal-relative:page;mso-position-vertical-relative:paragraph;z-index:-1135936" coordorigin="9071,1863" coordsize="674,470" path="m9744,2027l9071,2027,9071,2170,9071,2180,9071,2333,9744,2333,9744,2180,9744,2170,9744,2027m9744,1863l9071,1863,9071,2027,9744,2027,9744,1863e" filled="true" fillcolor="#ffff00" stroked="false">
            <v:path arrowok="t"/>
            <v:fill type="solid"/>
            <w10:wrap type="none"/>
          </v:shape>
        </w:pict>
      </w:r>
      <w:r>
        <w:rPr/>
        <w:pict>
          <v:group style="position:absolute;margin-left:355.518005pt;margin-top:123.528946pt;width:73.05pt;height:16.4pt;mso-position-horizontal-relative:page;mso-position-vertical-relative:paragraph;z-index:-1135912" coordorigin="7110,2471" coordsize="1461,328">
            <v:line style="position:absolute" from="7116,2476" to="7116,2640" stroked="true" strokeweight=".51pt" strokecolor="#baf9f5"/>
            <v:rect style="position:absolute;left:7121;top:2476;width:1449;height:163" filled="true" fillcolor="#baf9f5" stroked="false">
              <v:fill type="solid"/>
            </v:rect>
            <v:line style="position:absolute" from="7116,2640" to="7116,2793" stroked="true" strokeweight=".51pt" strokecolor="#baf9f5"/>
            <v:rect style="position:absolute;left:7121;top:2640;width:1449;height:153" filled="true" fillcolor="#baf9f5" stroked="false">
              <v:fill type="solid"/>
            </v:rect>
            <w10:wrap type="none"/>
          </v:group>
        </w:pict>
      </w:r>
      <w:r>
        <w:rPr/>
        <w:pict>
          <v:shape style="position:absolute;margin-left:453.529022pt;margin-top:123.804832pt;width:33.7pt;height:23.5pt;mso-position-horizontal-relative:page;mso-position-vertical-relative:paragraph;z-index:-1135888" coordorigin="9071,2476" coordsize="674,470" path="m9744,2476l9071,2476,9071,2640,9071,2783,9071,2793,9071,2946,9744,2946,9744,2793,9744,2783,9744,2640,9744,2476e" filled="true" fillcolor="#ffff00" stroked="false">
            <v:path arrowok="t"/>
            <v:fill type="solid"/>
            <w10:wrap type="none"/>
          </v:shape>
        </w:pict>
      </w:r>
      <w:r>
        <w:rPr/>
        <w:pict>
          <v:group style="position:absolute;margin-left:355.518005pt;margin-top:154.175949pt;width:73.05pt;height:16.4pt;mso-position-horizontal-relative:page;mso-position-vertical-relative:paragraph;z-index:-1135864" coordorigin="7110,3084" coordsize="1461,328">
            <v:line style="position:absolute" from="7116,3089" to="7116,3252" stroked="true" strokeweight=".51pt" strokecolor="#baf9f5"/>
            <v:rect style="position:absolute;left:7121;top:3089;width:1449;height:163" filled="true" fillcolor="#baf9f5" stroked="false">
              <v:fill type="solid"/>
            </v:rect>
            <v:line style="position:absolute" from="7116,3252" to="7116,3406" stroked="true" strokeweight=".51pt" strokecolor="#baf9f5"/>
            <v:rect style="position:absolute;left:7121;top:3252;width:1449;height:153" filled="true" fillcolor="#baf9f5" stroked="false">
              <v:fill type="solid"/>
            </v:rect>
            <w10:wrap type="none"/>
          </v:group>
        </w:pict>
      </w:r>
      <w:r>
        <w:rPr/>
        <w:pict>
          <v:shape style="position:absolute;margin-left:453.529022pt;margin-top:154.451828pt;width:33.7pt;height:23.5pt;mso-position-horizontal-relative:page;mso-position-vertical-relative:paragraph;z-index:-1135840" coordorigin="9071,3089" coordsize="674,470" path="m9744,3252l9071,3252,9071,3395,9071,3406,9071,3559,9744,3559,9744,3406,9744,3395,9744,3252m9744,3089l9071,3089,9071,3252,9744,3252,9744,3089e" filled="true" fillcolor="#ffff00" stroked="false">
            <v:path arrowok="t"/>
            <v:fill type="solid"/>
            <w10:wrap type="none"/>
          </v:shape>
        </w:pict>
      </w:r>
      <w:r>
        <w:rPr/>
        <w:t>Tabla 51. IST Villas del Campo II</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1"/>
        <w:gridCol w:w="1858"/>
        <w:gridCol w:w="2494"/>
        <w:gridCol w:w="1418"/>
        <w:gridCol w:w="670"/>
        <w:gridCol w:w="701"/>
        <w:gridCol w:w="704"/>
      </w:tblGrid>
      <w:tr>
        <w:trPr>
          <w:trHeight w:val="506" w:hRule="exact"/>
        </w:trPr>
        <w:tc>
          <w:tcPr>
            <w:tcW w:w="8447" w:type="dxa"/>
            <w:gridSpan w:val="7"/>
            <w:tcBorders>
              <w:bottom w:val="nil"/>
              <w:right w:val="single" w:sz="4" w:space="0" w:color="EEECE1"/>
            </w:tcBorders>
            <w:shd w:val="clear" w:color="auto" w:fill="000000"/>
          </w:tcPr>
          <w:p>
            <w:pPr>
              <w:pStyle w:val="TableParagraph"/>
              <w:spacing w:before="2"/>
              <w:jc w:val="left"/>
              <w:rPr>
                <w:sz w:val="10"/>
              </w:rPr>
            </w:pPr>
          </w:p>
          <w:p>
            <w:pPr>
              <w:pStyle w:val="TableParagraph"/>
              <w:ind w:left="3194" w:right="3176"/>
              <w:rPr>
                <w:b/>
                <w:sz w:val="12"/>
              </w:rPr>
            </w:pPr>
            <w:r>
              <w:rPr>
                <w:b/>
                <w:color w:val="FFFFFF"/>
                <w:sz w:val="12"/>
              </w:rPr>
              <w:t>Villas del Campo II</w:t>
            </w:r>
          </w:p>
          <w:p>
            <w:pPr>
              <w:pStyle w:val="TableParagraph"/>
              <w:spacing w:before="15"/>
              <w:ind w:left="3194" w:right="3180"/>
              <w:rPr>
                <w:b/>
                <w:sz w:val="12"/>
              </w:rPr>
            </w:pPr>
            <w:r>
              <w:rPr>
                <w:b/>
                <w:color w:val="FFFFFF"/>
                <w:sz w:val="12"/>
              </w:rPr>
              <w:t>Índice de sustentabilidad  territorial</w:t>
            </w:r>
          </w:p>
        </w:tc>
      </w:tr>
      <w:tr>
        <w:trPr>
          <w:trHeight w:val="158" w:hRule="exact"/>
        </w:trPr>
        <w:tc>
          <w:tcPr>
            <w:tcW w:w="601" w:type="dxa"/>
            <w:tcBorders>
              <w:top w:val="single" w:sz="4" w:space="0" w:color="FFFFFF"/>
              <w:left w:val="single" w:sz="4" w:space="0" w:color="000000"/>
            </w:tcBorders>
            <w:shd w:val="clear" w:color="auto" w:fill="808080"/>
          </w:tcPr>
          <w:p>
            <w:pPr>
              <w:pStyle w:val="TableParagraph"/>
              <w:spacing w:line="133" w:lineRule="exact"/>
              <w:ind w:left="153"/>
              <w:jc w:val="left"/>
              <w:rPr>
                <w:b/>
                <w:sz w:val="12"/>
              </w:rPr>
            </w:pPr>
            <w:r>
              <w:rPr>
                <w:b/>
                <w:color w:val="FFFFFF"/>
                <w:sz w:val="12"/>
              </w:rPr>
              <w:t>Índice</w:t>
            </w:r>
          </w:p>
        </w:tc>
        <w:tc>
          <w:tcPr>
            <w:tcW w:w="1858" w:type="dxa"/>
            <w:tcBorders>
              <w:top w:val="single" w:sz="4" w:space="0" w:color="FFFFFF"/>
            </w:tcBorders>
            <w:shd w:val="clear" w:color="auto" w:fill="808080"/>
          </w:tcPr>
          <w:p>
            <w:pPr>
              <w:pStyle w:val="TableParagraph"/>
              <w:spacing w:line="133" w:lineRule="exact"/>
              <w:ind w:left="88"/>
              <w:jc w:val="left"/>
              <w:rPr>
                <w:b/>
                <w:sz w:val="12"/>
              </w:rPr>
            </w:pPr>
            <w:r>
              <w:rPr>
                <w:b/>
                <w:color w:val="FFFFFF"/>
                <w:sz w:val="12"/>
              </w:rPr>
              <w:t>Subíndice</w:t>
            </w:r>
          </w:p>
        </w:tc>
        <w:tc>
          <w:tcPr>
            <w:tcW w:w="2494" w:type="dxa"/>
            <w:tcBorders>
              <w:top w:val="single" w:sz="4" w:space="0" w:color="FFFFFF"/>
            </w:tcBorders>
            <w:shd w:val="clear" w:color="auto" w:fill="808080"/>
          </w:tcPr>
          <w:p>
            <w:pPr>
              <w:pStyle w:val="TableParagraph"/>
              <w:spacing w:line="133" w:lineRule="exact"/>
              <w:ind w:left="271" w:right="548"/>
              <w:jc w:val="left"/>
              <w:rPr>
                <w:b/>
                <w:sz w:val="12"/>
              </w:rPr>
            </w:pPr>
            <w:r>
              <w:rPr>
                <w:b/>
                <w:color w:val="FFFFFF"/>
                <w:sz w:val="12"/>
              </w:rPr>
              <w:t>Indicador</w:t>
            </w:r>
          </w:p>
        </w:tc>
        <w:tc>
          <w:tcPr>
            <w:tcW w:w="1418" w:type="dxa"/>
            <w:tcBorders>
              <w:top w:val="single" w:sz="4" w:space="0" w:color="FFFFFF"/>
            </w:tcBorders>
            <w:shd w:val="clear" w:color="auto" w:fill="808080"/>
          </w:tcPr>
          <w:p>
            <w:pPr/>
          </w:p>
        </w:tc>
        <w:tc>
          <w:tcPr>
            <w:tcW w:w="670" w:type="dxa"/>
            <w:tcBorders>
              <w:top w:val="single" w:sz="4" w:space="0" w:color="FFFFFF"/>
            </w:tcBorders>
            <w:shd w:val="clear" w:color="auto" w:fill="808080"/>
          </w:tcPr>
          <w:p>
            <w:pPr>
              <w:pStyle w:val="TableParagraph"/>
              <w:spacing w:line="133" w:lineRule="exact"/>
              <w:ind w:left="197"/>
              <w:jc w:val="left"/>
              <w:rPr>
                <w:b/>
                <w:sz w:val="12"/>
              </w:rPr>
            </w:pPr>
            <w:r>
              <w:rPr>
                <w:b/>
                <w:color w:val="FFFFFF"/>
                <w:sz w:val="12"/>
              </w:rPr>
              <w:t>Valores</w:t>
            </w:r>
          </w:p>
        </w:tc>
        <w:tc>
          <w:tcPr>
            <w:tcW w:w="701" w:type="dxa"/>
            <w:tcBorders>
              <w:top w:val="single" w:sz="4" w:space="0" w:color="FFFFFF"/>
            </w:tcBorders>
            <w:shd w:val="clear" w:color="auto" w:fill="808080"/>
          </w:tcPr>
          <w:p>
            <w:pPr/>
          </w:p>
        </w:tc>
        <w:tc>
          <w:tcPr>
            <w:tcW w:w="704" w:type="dxa"/>
            <w:tcBorders>
              <w:top w:val="single" w:sz="4" w:space="0" w:color="FFFFFF"/>
              <w:right w:val="single" w:sz="8" w:space="0" w:color="000000"/>
            </w:tcBorders>
            <w:shd w:val="clear" w:color="auto" w:fill="808080"/>
          </w:tcPr>
          <w:p>
            <w:pPr/>
          </w:p>
        </w:tc>
      </w:tr>
      <w:tr>
        <w:trPr>
          <w:trHeight w:val="143" w:hRule="exact"/>
        </w:trPr>
        <w:tc>
          <w:tcPr>
            <w:tcW w:w="8447" w:type="dxa"/>
            <w:gridSpan w:val="7"/>
            <w:tcBorders>
              <w:left w:val="single" w:sz="4" w:space="0" w:color="000000"/>
              <w:right w:val="single" w:sz="8" w:space="0" w:color="000000"/>
            </w:tcBorders>
          </w:tcPr>
          <w:p>
            <w:pPr/>
          </w:p>
        </w:tc>
      </w:tr>
      <w:tr>
        <w:trPr>
          <w:trHeight w:val="156" w:hRule="exact"/>
        </w:trPr>
        <w:tc>
          <w:tcPr>
            <w:tcW w:w="601" w:type="dxa"/>
            <w:vMerge w:val="restart"/>
            <w:tcBorders>
              <w:left w:val="single" w:sz="4" w:space="0" w:color="000000"/>
            </w:tcBorders>
          </w:tcPr>
          <w:p>
            <w:pPr/>
          </w:p>
        </w:tc>
        <w:tc>
          <w:tcPr>
            <w:tcW w:w="1858" w:type="dxa"/>
          </w:tcPr>
          <w:p>
            <w:pPr/>
          </w:p>
        </w:tc>
        <w:tc>
          <w:tcPr>
            <w:tcW w:w="2494" w:type="dxa"/>
          </w:tcPr>
          <w:p>
            <w:pPr/>
          </w:p>
        </w:tc>
        <w:tc>
          <w:tcPr>
            <w:tcW w:w="1418" w:type="dxa"/>
          </w:tcPr>
          <w:p>
            <w:pPr>
              <w:pStyle w:val="TableParagraph"/>
              <w:spacing w:before="5"/>
              <w:ind w:right="195"/>
              <w:jc w:val="right"/>
              <w:rPr>
                <w:b/>
                <w:sz w:val="12"/>
              </w:rPr>
            </w:pPr>
            <w:r>
              <w:rPr>
                <w:b/>
                <w:sz w:val="12"/>
              </w:rPr>
              <w:t>Evaluación</w:t>
            </w:r>
          </w:p>
        </w:tc>
        <w:tc>
          <w:tcPr>
            <w:tcW w:w="670" w:type="dxa"/>
          </w:tcPr>
          <w:p>
            <w:pPr>
              <w:pStyle w:val="TableParagraph"/>
              <w:spacing w:before="5"/>
              <w:ind w:left="197"/>
              <w:jc w:val="left"/>
              <w:rPr>
                <w:b/>
                <w:sz w:val="12"/>
              </w:rPr>
            </w:pPr>
            <w:r>
              <w:rPr>
                <w:b/>
                <w:w w:val="102"/>
                <w:sz w:val="12"/>
                <w:shd w:fill="F79646" w:color="auto" w:val="clear"/>
              </w:rPr>
              <w:t> </w:t>
            </w:r>
            <w:r>
              <w:rPr>
                <w:b/>
                <w:sz w:val="12"/>
                <w:shd w:fill="F79646" w:color="auto" w:val="clear"/>
              </w:rPr>
              <w:t>  </w:t>
            </w:r>
            <w:r>
              <w:rPr>
                <w:b/>
                <w:spacing w:val="-2"/>
                <w:sz w:val="12"/>
                <w:shd w:fill="F79646" w:color="auto" w:val="clear"/>
              </w:rPr>
              <w:t> </w:t>
            </w:r>
            <w:r>
              <w:rPr>
                <w:b/>
                <w:sz w:val="12"/>
                <w:shd w:fill="F79646" w:color="auto" w:val="clear"/>
              </w:rPr>
              <w:t>Real</w:t>
            </w:r>
            <w:r>
              <w:rPr>
                <w:b/>
                <w:spacing w:val="-5"/>
                <w:sz w:val="12"/>
                <w:shd w:fill="F79646" w:color="auto" w:val="clear"/>
              </w:rPr>
              <w:t> </w:t>
            </w:r>
          </w:p>
        </w:tc>
        <w:tc>
          <w:tcPr>
            <w:tcW w:w="701" w:type="dxa"/>
          </w:tcPr>
          <w:p>
            <w:pPr>
              <w:pStyle w:val="TableParagraph"/>
              <w:spacing w:before="5"/>
              <w:ind w:left="93" w:right="39"/>
              <w:rPr>
                <w:b/>
                <w:sz w:val="12"/>
              </w:rPr>
            </w:pPr>
            <w:r>
              <w:rPr>
                <w:b/>
                <w:sz w:val="12"/>
              </w:rPr>
              <w:t>Deseable</w:t>
            </w:r>
          </w:p>
        </w:tc>
        <w:tc>
          <w:tcPr>
            <w:tcW w:w="704" w:type="dxa"/>
            <w:tcBorders>
              <w:right w:val="single" w:sz="8" w:space="0" w:color="000000"/>
            </w:tcBorders>
            <w:shd w:val="clear" w:color="auto" w:fill="67ED4D"/>
          </w:tcPr>
          <w:p>
            <w:pPr>
              <w:pStyle w:val="TableParagraph"/>
              <w:spacing w:before="5"/>
              <w:ind w:left="127" w:right="107"/>
              <w:rPr>
                <w:b/>
                <w:sz w:val="12"/>
              </w:rPr>
            </w:pPr>
            <w:r>
              <w:rPr>
                <w:b/>
                <w:sz w:val="12"/>
              </w:rPr>
              <w:t>Óptimo</w:t>
            </w:r>
          </w:p>
        </w:tc>
      </w:tr>
      <w:tr>
        <w:trPr>
          <w:trHeight w:val="153" w:hRule="exact"/>
        </w:trPr>
        <w:tc>
          <w:tcPr>
            <w:tcW w:w="601" w:type="dxa"/>
            <w:vMerge/>
            <w:tcBorders>
              <w:left w:val="single" w:sz="4" w:space="0" w:color="000000"/>
            </w:tcBorders>
          </w:tcPr>
          <w:p>
            <w:pPr/>
          </w:p>
        </w:tc>
        <w:tc>
          <w:tcPr>
            <w:tcW w:w="1858" w:type="dxa"/>
            <w:vMerge w:val="restart"/>
          </w:tcPr>
          <w:p>
            <w:pPr>
              <w:pStyle w:val="TableParagraph"/>
              <w:spacing w:before="73"/>
              <w:ind w:left="88"/>
              <w:jc w:val="left"/>
              <w:rPr>
                <w:sz w:val="12"/>
              </w:rPr>
            </w:pPr>
            <w:r>
              <w:rPr>
                <w:sz w:val="12"/>
              </w:rPr>
              <w:t>Uso de suelo</w:t>
            </w:r>
          </w:p>
        </w:tc>
        <w:tc>
          <w:tcPr>
            <w:tcW w:w="2494" w:type="dxa"/>
            <w:vMerge w:val="restart"/>
          </w:tcPr>
          <w:p>
            <w:pPr>
              <w:pStyle w:val="TableParagraph"/>
              <w:spacing w:line="266" w:lineRule="auto" w:before="2"/>
              <w:ind w:left="271" w:right="548"/>
              <w:jc w:val="left"/>
              <w:rPr>
                <w:sz w:val="12"/>
              </w:rPr>
            </w:pPr>
            <w:r>
              <w:rPr>
                <w:sz w:val="12"/>
              </w:rPr>
              <w:t>Clasificación del suelo Densidad de población</w:t>
            </w:r>
          </w:p>
        </w:tc>
        <w:tc>
          <w:tcPr>
            <w:tcW w:w="1418" w:type="dxa"/>
            <w:vMerge w:val="restart"/>
          </w:tcPr>
          <w:p>
            <w:pPr>
              <w:pStyle w:val="TableParagraph"/>
              <w:spacing w:before="2"/>
              <w:ind w:left="370"/>
              <w:rPr>
                <w:sz w:val="12"/>
              </w:rPr>
            </w:pPr>
            <w:r>
              <w:rPr>
                <w:w w:val="102"/>
                <w:sz w:val="12"/>
              </w:rPr>
              <w:t>0</w:t>
            </w:r>
          </w:p>
          <w:p>
            <w:pPr>
              <w:pStyle w:val="TableParagraph"/>
              <w:spacing w:before="15"/>
              <w:ind w:left="790" w:right="420"/>
              <w:rPr>
                <w:sz w:val="12"/>
              </w:rPr>
            </w:pPr>
            <w:r>
              <w:rPr>
                <w:sz w:val="12"/>
              </w:rPr>
              <w:t>0.5</w:t>
            </w:r>
          </w:p>
        </w:tc>
        <w:tc>
          <w:tcPr>
            <w:tcW w:w="670" w:type="dxa"/>
            <w:vMerge w:val="restart"/>
          </w:tcPr>
          <w:p>
            <w:pPr/>
          </w:p>
        </w:tc>
        <w:tc>
          <w:tcPr>
            <w:tcW w:w="701" w:type="dxa"/>
            <w:vMerge w:val="restart"/>
          </w:tcPr>
          <w:p>
            <w:pPr>
              <w:pStyle w:val="TableParagraph"/>
              <w:spacing w:before="2"/>
              <w:ind w:left="93" w:right="39"/>
              <w:rPr>
                <w:sz w:val="12"/>
              </w:rPr>
            </w:pPr>
            <w:r>
              <w:rPr>
                <w:sz w:val="12"/>
              </w:rPr>
              <w:t>0.5</w:t>
            </w:r>
          </w:p>
          <w:p>
            <w:pPr>
              <w:pStyle w:val="TableParagraph"/>
              <w:spacing w:before="15"/>
              <w:ind w:left="93" w:right="39"/>
              <w:rPr>
                <w:sz w:val="12"/>
              </w:rPr>
            </w:pPr>
            <w:r>
              <w:rPr>
                <w:sz w:val="12"/>
              </w:rPr>
              <w:t>0.5</w:t>
            </w:r>
          </w:p>
        </w:tc>
        <w:tc>
          <w:tcPr>
            <w:tcW w:w="704" w:type="dxa"/>
            <w:tcBorders>
              <w:right w:val="single" w:sz="8" w:space="0" w:color="000000"/>
            </w:tcBorders>
            <w:shd w:val="clear" w:color="auto" w:fill="67ED4D"/>
          </w:tcPr>
          <w:p>
            <w:pPr>
              <w:pStyle w:val="TableParagraph"/>
              <w:spacing w:before="2"/>
              <w:ind w:left="27"/>
              <w:rPr>
                <w:sz w:val="12"/>
              </w:rPr>
            </w:pPr>
            <w:r>
              <w:rPr>
                <w:w w:val="102"/>
                <w:sz w:val="12"/>
              </w:rPr>
              <w:t>1</w:t>
            </w:r>
          </w:p>
        </w:tc>
      </w:tr>
      <w:tr>
        <w:trPr>
          <w:trHeight w:val="153" w:hRule="exact"/>
        </w:trPr>
        <w:tc>
          <w:tcPr>
            <w:tcW w:w="601" w:type="dxa"/>
            <w:vMerge/>
            <w:tcBorders>
              <w:left w:val="single" w:sz="4" w:space="0" w:color="000000"/>
            </w:tcBorders>
          </w:tcPr>
          <w:p>
            <w:pPr/>
          </w:p>
        </w:tc>
        <w:tc>
          <w:tcPr>
            <w:tcW w:w="1858" w:type="dxa"/>
            <w:vMerge/>
          </w:tcPr>
          <w:p>
            <w:pPr/>
          </w:p>
        </w:tc>
        <w:tc>
          <w:tcPr>
            <w:tcW w:w="2494" w:type="dxa"/>
            <w:vMerge/>
          </w:tcPr>
          <w:p>
            <w:pPr/>
          </w:p>
        </w:tc>
        <w:tc>
          <w:tcPr>
            <w:tcW w:w="1418" w:type="dxa"/>
            <w:vMerge/>
          </w:tcPr>
          <w:p>
            <w:pPr/>
          </w:p>
        </w:tc>
        <w:tc>
          <w:tcPr>
            <w:tcW w:w="670" w:type="dxa"/>
            <w:vMerge/>
          </w:tcPr>
          <w:p>
            <w:pPr/>
          </w:p>
        </w:tc>
        <w:tc>
          <w:tcPr>
            <w:tcW w:w="701" w:type="dxa"/>
            <w:vMerge/>
          </w:tcPr>
          <w:p>
            <w:pPr/>
          </w:p>
        </w:tc>
        <w:tc>
          <w:tcPr>
            <w:tcW w:w="704" w:type="dxa"/>
            <w:tcBorders>
              <w:right w:val="single" w:sz="8" w:space="0" w:color="000000"/>
            </w:tcBorders>
            <w:shd w:val="clear" w:color="auto" w:fill="67ED4D"/>
          </w:tcPr>
          <w:p>
            <w:pPr>
              <w:pStyle w:val="TableParagraph"/>
              <w:spacing w:before="2"/>
              <w:ind w:left="27"/>
              <w:rPr>
                <w:sz w:val="12"/>
              </w:rPr>
            </w:pPr>
            <w:r>
              <w:rPr>
                <w:w w:val="102"/>
                <w:sz w:val="12"/>
              </w:rPr>
              <w:t>1</w:t>
            </w:r>
          </w:p>
        </w:tc>
      </w:tr>
      <w:tr>
        <w:trPr>
          <w:trHeight w:val="161" w:hRule="exact"/>
        </w:trPr>
        <w:tc>
          <w:tcPr>
            <w:tcW w:w="601" w:type="dxa"/>
            <w:vMerge/>
            <w:tcBorders>
              <w:left w:val="single" w:sz="4" w:space="0" w:color="000000"/>
            </w:tcBorders>
          </w:tcPr>
          <w:p>
            <w:pPr/>
          </w:p>
        </w:tc>
        <w:tc>
          <w:tcPr>
            <w:tcW w:w="1858" w:type="dxa"/>
          </w:tcPr>
          <w:p>
            <w:pPr/>
          </w:p>
        </w:tc>
        <w:tc>
          <w:tcPr>
            <w:tcW w:w="2494" w:type="dxa"/>
          </w:tcPr>
          <w:p>
            <w:pPr/>
          </w:p>
        </w:tc>
        <w:tc>
          <w:tcPr>
            <w:tcW w:w="1418" w:type="dxa"/>
          </w:tcPr>
          <w:p>
            <w:pPr>
              <w:pStyle w:val="TableParagraph"/>
              <w:spacing w:before="2"/>
              <w:ind w:right="300"/>
              <w:jc w:val="right"/>
              <w:rPr>
                <w:sz w:val="12"/>
              </w:rPr>
            </w:pPr>
            <w:r>
              <w:rPr>
                <w:sz w:val="12"/>
              </w:rPr>
              <w:t>Subtotal</w:t>
            </w:r>
          </w:p>
        </w:tc>
        <w:tc>
          <w:tcPr>
            <w:tcW w:w="670" w:type="dxa"/>
          </w:tcPr>
          <w:p>
            <w:pPr>
              <w:pStyle w:val="TableParagraph"/>
              <w:spacing w:before="2"/>
              <w:ind w:left="197"/>
              <w:jc w:val="left"/>
              <w:rPr>
                <w:sz w:val="12"/>
              </w:rPr>
            </w:pPr>
            <w:r>
              <w:rPr>
                <w:w w:val="102"/>
                <w:sz w:val="12"/>
                <w:shd w:fill="F79646" w:color="auto" w:val="clear"/>
              </w:rPr>
              <w:t> </w:t>
            </w:r>
            <w:r>
              <w:rPr>
                <w:sz w:val="12"/>
                <w:shd w:fill="F79646" w:color="auto" w:val="clear"/>
              </w:rPr>
              <w:t>   </w:t>
            </w:r>
            <w:r>
              <w:rPr>
                <w:spacing w:val="6"/>
                <w:sz w:val="12"/>
                <w:shd w:fill="F79646" w:color="auto" w:val="clear"/>
              </w:rPr>
              <w:t> </w:t>
            </w:r>
            <w:r>
              <w:rPr>
                <w:sz w:val="12"/>
                <w:shd w:fill="F79646" w:color="auto" w:val="clear"/>
              </w:rPr>
              <w:t>0.5</w:t>
            </w:r>
            <w:r>
              <w:rPr>
                <w:spacing w:val="10"/>
                <w:sz w:val="12"/>
                <w:shd w:fill="F79646" w:color="auto" w:val="clear"/>
              </w:rPr>
              <w:t> </w:t>
            </w:r>
          </w:p>
        </w:tc>
        <w:tc>
          <w:tcPr>
            <w:tcW w:w="701" w:type="dxa"/>
          </w:tcPr>
          <w:p>
            <w:pPr>
              <w:pStyle w:val="TableParagraph"/>
              <w:spacing w:before="2"/>
              <w:ind w:left="54"/>
              <w:rPr>
                <w:sz w:val="12"/>
              </w:rPr>
            </w:pPr>
            <w:r>
              <w:rPr>
                <w:w w:val="102"/>
                <w:sz w:val="12"/>
              </w:rPr>
              <w:t>1</w:t>
            </w:r>
          </w:p>
        </w:tc>
        <w:tc>
          <w:tcPr>
            <w:tcW w:w="704" w:type="dxa"/>
            <w:tcBorders>
              <w:right w:val="single" w:sz="8" w:space="0" w:color="000000"/>
            </w:tcBorders>
            <w:shd w:val="clear" w:color="auto" w:fill="67ED4D"/>
          </w:tcPr>
          <w:p>
            <w:pPr>
              <w:pStyle w:val="TableParagraph"/>
              <w:spacing w:before="2"/>
              <w:ind w:left="27"/>
              <w:rPr>
                <w:sz w:val="12"/>
              </w:rPr>
            </w:pPr>
            <w:r>
              <w:rPr>
                <w:w w:val="102"/>
                <w:sz w:val="12"/>
              </w:rPr>
              <w:t>2</w:t>
            </w:r>
          </w:p>
        </w:tc>
      </w:tr>
      <w:tr>
        <w:trPr>
          <w:trHeight w:val="143" w:hRule="exact"/>
        </w:trPr>
        <w:tc>
          <w:tcPr>
            <w:tcW w:w="8447" w:type="dxa"/>
            <w:gridSpan w:val="7"/>
            <w:tcBorders>
              <w:left w:val="single" w:sz="4" w:space="0" w:color="000000"/>
              <w:right w:val="single" w:sz="8" w:space="0" w:color="000000"/>
            </w:tcBorders>
          </w:tcPr>
          <w:p>
            <w:pPr/>
          </w:p>
        </w:tc>
      </w:tr>
      <w:tr>
        <w:trPr>
          <w:trHeight w:val="156" w:hRule="exact"/>
        </w:trPr>
        <w:tc>
          <w:tcPr>
            <w:tcW w:w="601" w:type="dxa"/>
            <w:vMerge w:val="restart"/>
            <w:tcBorders>
              <w:left w:val="single" w:sz="4" w:space="0" w:color="000000"/>
            </w:tcBorders>
          </w:tcPr>
          <w:p>
            <w:pPr/>
          </w:p>
        </w:tc>
        <w:tc>
          <w:tcPr>
            <w:tcW w:w="1858" w:type="dxa"/>
            <w:vMerge w:val="restart"/>
          </w:tcPr>
          <w:p>
            <w:pPr>
              <w:pStyle w:val="TableParagraph"/>
              <w:spacing w:before="76"/>
              <w:ind w:left="88"/>
              <w:jc w:val="left"/>
              <w:rPr>
                <w:sz w:val="12"/>
              </w:rPr>
            </w:pPr>
            <w:r>
              <w:rPr>
                <w:sz w:val="12"/>
              </w:rPr>
              <w:t>Vivienda</w:t>
            </w:r>
          </w:p>
        </w:tc>
        <w:tc>
          <w:tcPr>
            <w:tcW w:w="2494" w:type="dxa"/>
            <w:vMerge w:val="restart"/>
          </w:tcPr>
          <w:p>
            <w:pPr>
              <w:pStyle w:val="TableParagraph"/>
              <w:spacing w:line="266" w:lineRule="auto" w:before="5"/>
              <w:ind w:left="271" w:right="1569"/>
              <w:jc w:val="left"/>
              <w:rPr>
                <w:sz w:val="12"/>
              </w:rPr>
            </w:pPr>
            <w:r>
              <w:rPr>
                <w:sz w:val="12"/>
              </w:rPr>
              <w:t>Autorizadas Tipo</w:t>
            </w:r>
          </w:p>
        </w:tc>
        <w:tc>
          <w:tcPr>
            <w:tcW w:w="1418" w:type="dxa"/>
            <w:vMerge w:val="restart"/>
          </w:tcPr>
          <w:p>
            <w:pPr>
              <w:pStyle w:val="TableParagraph"/>
              <w:spacing w:before="5"/>
              <w:ind w:left="370"/>
              <w:rPr>
                <w:sz w:val="12"/>
              </w:rPr>
            </w:pPr>
            <w:r>
              <w:rPr>
                <w:w w:val="102"/>
                <w:sz w:val="12"/>
              </w:rPr>
              <w:t>1</w:t>
            </w:r>
          </w:p>
          <w:p>
            <w:pPr>
              <w:pStyle w:val="TableParagraph"/>
              <w:spacing w:before="15"/>
              <w:ind w:left="370"/>
              <w:rPr>
                <w:sz w:val="12"/>
              </w:rPr>
            </w:pPr>
            <w:r>
              <w:rPr>
                <w:w w:val="102"/>
                <w:sz w:val="12"/>
              </w:rPr>
              <w:t>0</w:t>
            </w:r>
          </w:p>
        </w:tc>
        <w:tc>
          <w:tcPr>
            <w:tcW w:w="670" w:type="dxa"/>
            <w:vMerge w:val="restart"/>
          </w:tcPr>
          <w:p>
            <w:pPr/>
          </w:p>
        </w:tc>
        <w:tc>
          <w:tcPr>
            <w:tcW w:w="701" w:type="dxa"/>
            <w:vMerge w:val="restart"/>
          </w:tcPr>
          <w:p>
            <w:pPr>
              <w:pStyle w:val="TableParagraph"/>
              <w:spacing w:before="5"/>
              <w:ind w:left="54"/>
              <w:rPr>
                <w:sz w:val="12"/>
              </w:rPr>
            </w:pPr>
            <w:r>
              <w:rPr>
                <w:w w:val="102"/>
                <w:sz w:val="12"/>
              </w:rPr>
              <w:t>1</w:t>
            </w:r>
          </w:p>
          <w:p>
            <w:pPr>
              <w:pStyle w:val="TableParagraph"/>
              <w:spacing w:before="15"/>
              <w:ind w:left="93" w:right="39"/>
              <w:rPr>
                <w:sz w:val="12"/>
              </w:rPr>
            </w:pPr>
            <w:r>
              <w:rPr>
                <w:sz w:val="12"/>
              </w:rPr>
              <w:t>0.5</w:t>
            </w:r>
          </w:p>
        </w:tc>
        <w:tc>
          <w:tcPr>
            <w:tcW w:w="704" w:type="dxa"/>
            <w:tcBorders>
              <w:right w:val="single" w:sz="8" w:space="0" w:color="000000"/>
            </w:tcBorders>
            <w:shd w:val="clear" w:color="auto" w:fill="67ED4D"/>
          </w:tcPr>
          <w:p>
            <w:pPr>
              <w:pStyle w:val="TableParagraph"/>
              <w:spacing w:before="5"/>
              <w:ind w:left="27"/>
              <w:rPr>
                <w:sz w:val="12"/>
              </w:rPr>
            </w:pPr>
            <w:r>
              <w:rPr>
                <w:w w:val="102"/>
                <w:sz w:val="12"/>
              </w:rPr>
              <w:t>1</w:t>
            </w:r>
          </w:p>
        </w:tc>
      </w:tr>
      <w:tr>
        <w:trPr>
          <w:trHeight w:val="153" w:hRule="exact"/>
        </w:trPr>
        <w:tc>
          <w:tcPr>
            <w:tcW w:w="601" w:type="dxa"/>
            <w:vMerge/>
            <w:tcBorders>
              <w:left w:val="single" w:sz="4" w:space="0" w:color="000000"/>
            </w:tcBorders>
          </w:tcPr>
          <w:p>
            <w:pPr/>
          </w:p>
        </w:tc>
        <w:tc>
          <w:tcPr>
            <w:tcW w:w="1858" w:type="dxa"/>
            <w:vMerge/>
          </w:tcPr>
          <w:p>
            <w:pPr/>
          </w:p>
        </w:tc>
        <w:tc>
          <w:tcPr>
            <w:tcW w:w="2494" w:type="dxa"/>
            <w:vMerge/>
          </w:tcPr>
          <w:p>
            <w:pPr/>
          </w:p>
        </w:tc>
        <w:tc>
          <w:tcPr>
            <w:tcW w:w="1418" w:type="dxa"/>
            <w:vMerge/>
          </w:tcPr>
          <w:p>
            <w:pPr/>
          </w:p>
        </w:tc>
        <w:tc>
          <w:tcPr>
            <w:tcW w:w="670" w:type="dxa"/>
            <w:vMerge/>
          </w:tcPr>
          <w:p>
            <w:pPr/>
          </w:p>
        </w:tc>
        <w:tc>
          <w:tcPr>
            <w:tcW w:w="701" w:type="dxa"/>
            <w:vMerge/>
          </w:tcPr>
          <w:p>
            <w:pPr/>
          </w:p>
        </w:tc>
        <w:tc>
          <w:tcPr>
            <w:tcW w:w="704" w:type="dxa"/>
            <w:tcBorders>
              <w:right w:val="single" w:sz="8" w:space="0" w:color="000000"/>
            </w:tcBorders>
            <w:shd w:val="clear" w:color="auto" w:fill="67ED4D"/>
          </w:tcPr>
          <w:p>
            <w:pPr>
              <w:pStyle w:val="TableParagraph"/>
              <w:spacing w:before="2"/>
              <w:ind w:left="27"/>
              <w:rPr>
                <w:sz w:val="12"/>
              </w:rPr>
            </w:pPr>
            <w:r>
              <w:rPr>
                <w:w w:val="102"/>
                <w:sz w:val="12"/>
              </w:rPr>
              <w:t>1</w:t>
            </w:r>
          </w:p>
        </w:tc>
      </w:tr>
      <w:tr>
        <w:trPr>
          <w:trHeight w:val="161" w:hRule="exact"/>
        </w:trPr>
        <w:tc>
          <w:tcPr>
            <w:tcW w:w="601" w:type="dxa"/>
            <w:vMerge/>
            <w:tcBorders>
              <w:left w:val="single" w:sz="4" w:space="0" w:color="000000"/>
            </w:tcBorders>
          </w:tcPr>
          <w:p>
            <w:pPr/>
          </w:p>
        </w:tc>
        <w:tc>
          <w:tcPr>
            <w:tcW w:w="1858" w:type="dxa"/>
          </w:tcPr>
          <w:p>
            <w:pPr/>
          </w:p>
        </w:tc>
        <w:tc>
          <w:tcPr>
            <w:tcW w:w="2494" w:type="dxa"/>
          </w:tcPr>
          <w:p>
            <w:pPr/>
          </w:p>
        </w:tc>
        <w:tc>
          <w:tcPr>
            <w:tcW w:w="1418" w:type="dxa"/>
          </w:tcPr>
          <w:p>
            <w:pPr>
              <w:pStyle w:val="TableParagraph"/>
              <w:spacing w:before="2"/>
              <w:ind w:right="300"/>
              <w:jc w:val="right"/>
              <w:rPr>
                <w:sz w:val="12"/>
              </w:rPr>
            </w:pPr>
            <w:r>
              <w:rPr>
                <w:sz w:val="12"/>
              </w:rPr>
              <w:t>Subtotal</w:t>
            </w:r>
          </w:p>
        </w:tc>
        <w:tc>
          <w:tcPr>
            <w:tcW w:w="670" w:type="dxa"/>
          </w:tcPr>
          <w:p>
            <w:pPr>
              <w:pStyle w:val="TableParagraph"/>
              <w:tabs>
                <w:tab w:pos="717" w:val="left" w:leader="none"/>
              </w:tabs>
              <w:spacing w:before="2"/>
              <w:ind w:left="197" w:right="-48"/>
              <w:jc w:val="left"/>
              <w:rPr>
                <w:sz w:val="12"/>
              </w:rPr>
            </w:pPr>
            <w:r>
              <w:rPr>
                <w:w w:val="102"/>
                <w:sz w:val="12"/>
                <w:shd w:fill="F79646" w:color="auto" w:val="clear"/>
              </w:rPr>
              <w:t> </w:t>
            </w:r>
            <w:r>
              <w:rPr>
                <w:sz w:val="12"/>
                <w:shd w:fill="F79646" w:color="auto" w:val="clear"/>
              </w:rPr>
              <w:t>     </w:t>
            </w:r>
            <w:r>
              <w:rPr>
                <w:spacing w:val="-10"/>
                <w:sz w:val="12"/>
                <w:shd w:fill="F79646" w:color="auto" w:val="clear"/>
              </w:rPr>
              <w:t> </w:t>
            </w:r>
            <w:r>
              <w:rPr>
                <w:sz w:val="12"/>
                <w:shd w:fill="F79646" w:color="auto" w:val="clear"/>
              </w:rPr>
              <w:t>1</w:t>
              <w:tab/>
            </w:r>
          </w:p>
        </w:tc>
        <w:tc>
          <w:tcPr>
            <w:tcW w:w="701" w:type="dxa"/>
          </w:tcPr>
          <w:p>
            <w:pPr>
              <w:pStyle w:val="TableParagraph"/>
              <w:spacing w:before="2"/>
              <w:ind w:left="93" w:right="39"/>
              <w:rPr>
                <w:sz w:val="12"/>
              </w:rPr>
            </w:pPr>
            <w:r>
              <w:rPr>
                <w:sz w:val="12"/>
              </w:rPr>
              <w:t>1.5</w:t>
            </w:r>
          </w:p>
        </w:tc>
        <w:tc>
          <w:tcPr>
            <w:tcW w:w="704" w:type="dxa"/>
            <w:tcBorders>
              <w:right w:val="single" w:sz="8" w:space="0" w:color="000000"/>
            </w:tcBorders>
            <w:shd w:val="clear" w:color="auto" w:fill="67ED4D"/>
          </w:tcPr>
          <w:p>
            <w:pPr>
              <w:pStyle w:val="TableParagraph"/>
              <w:spacing w:before="2"/>
              <w:ind w:left="27"/>
              <w:rPr>
                <w:sz w:val="12"/>
              </w:rPr>
            </w:pPr>
            <w:r>
              <w:rPr>
                <w:w w:val="102"/>
                <w:sz w:val="12"/>
              </w:rPr>
              <w:t>2</w:t>
            </w:r>
          </w:p>
        </w:tc>
      </w:tr>
      <w:tr>
        <w:trPr>
          <w:trHeight w:val="143" w:hRule="exact"/>
        </w:trPr>
        <w:tc>
          <w:tcPr>
            <w:tcW w:w="8447" w:type="dxa"/>
            <w:gridSpan w:val="7"/>
            <w:tcBorders>
              <w:left w:val="single" w:sz="4" w:space="0" w:color="000000"/>
              <w:right w:val="single" w:sz="8" w:space="0" w:color="000000"/>
            </w:tcBorders>
          </w:tcPr>
          <w:p>
            <w:pPr/>
          </w:p>
        </w:tc>
      </w:tr>
      <w:tr>
        <w:trPr>
          <w:trHeight w:val="156" w:hRule="exact"/>
        </w:trPr>
        <w:tc>
          <w:tcPr>
            <w:tcW w:w="601" w:type="dxa"/>
            <w:vMerge w:val="restart"/>
            <w:tcBorders>
              <w:left w:val="single" w:sz="4" w:space="0" w:color="000000"/>
            </w:tcBorders>
          </w:tcPr>
          <w:p>
            <w:pPr/>
          </w:p>
        </w:tc>
        <w:tc>
          <w:tcPr>
            <w:tcW w:w="1858" w:type="dxa"/>
            <w:vMerge w:val="restart"/>
          </w:tcPr>
          <w:p>
            <w:pPr>
              <w:pStyle w:val="TableParagraph"/>
              <w:spacing w:before="76"/>
              <w:ind w:left="88"/>
              <w:jc w:val="left"/>
              <w:rPr>
                <w:sz w:val="12"/>
              </w:rPr>
            </w:pPr>
            <w:r>
              <w:rPr>
                <w:sz w:val="12"/>
              </w:rPr>
              <w:t>Municipalización</w:t>
            </w:r>
          </w:p>
        </w:tc>
        <w:tc>
          <w:tcPr>
            <w:tcW w:w="2494" w:type="dxa"/>
            <w:vMerge w:val="restart"/>
          </w:tcPr>
          <w:p>
            <w:pPr>
              <w:pStyle w:val="TableParagraph"/>
              <w:spacing w:line="266" w:lineRule="auto" w:before="5"/>
              <w:ind w:left="271" w:right="1836"/>
              <w:jc w:val="left"/>
              <w:rPr>
                <w:sz w:val="12"/>
              </w:rPr>
            </w:pPr>
            <w:r>
              <w:rPr>
                <w:sz w:val="12"/>
              </w:rPr>
              <w:t>Parcial Total</w:t>
            </w:r>
          </w:p>
        </w:tc>
        <w:tc>
          <w:tcPr>
            <w:tcW w:w="1418" w:type="dxa"/>
            <w:vMerge w:val="restart"/>
          </w:tcPr>
          <w:p>
            <w:pPr>
              <w:pStyle w:val="TableParagraph"/>
              <w:spacing w:before="5"/>
              <w:ind w:left="790" w:right="420"/>
              <w:rPr>
                <w:sz w:val="12"/>
              </w:rPr>
            </w:pPr>
            <w:r>
              <w:rPr>
                <w:sz w:val="12"/>
              </w:rPr>
              <w:t>0.5</w:t>
            </w:r>
          </w:p>
          <w:p>
            <w:pPr>
              <w:pStyle w:val="TableParagraph"/>
              <w:spacing w:before="15"/>
              <w:ind w:left="370"/>
              <w:rPr>
                <w:sz w:val="12"/>
              </w:rPr>
            </w:pPr>
            <w:r>
              <w:rPr>
                <w:w w:val="102"/>
                <w:sz w:val="12"/>
              </w:rPr>
              <w:t>0</w:t>
            </w:r>
          </w:p>
        </w:tc>
        <w:tc>
          <w:tcPr>
            <w:tcW w:w="670" w:type="dxa"/>
            <w:vMerge w:val="restart"/>
          </w:tcPr>
          <w:p>
            <w:pPr/>
          </w:p>
        </w:tc>
        <w:tc>
          <w:tcPr>
            <w:tcW w:w="701" w:type="dxa"/>
            <w:vMerge w:val="restart"/>
          </w:tcPr>
          <w:p>
            <w:pPr>
              <w:pStyle w:val="TableParagraph"/>
              <w:spacing w:before="5"/>
              <w:ind w:left="93" w:right="39"/>
              <w:rPr>
                <w:sz w:val="12"/>
              </w:rPr>
            </w:pPr>
            <w:r>
              <w:rPr>
                <w:sz w:val="12"/>
              </w:rPr>
              <w:t>0.5</w:t>
            </w:r>
          </w:p>
          <w:p>
            <w:pPr>
              <w:pStyle w:val="TableParagraph"/>
              <w:spacing w:before="15"/>
              <w:ind w:left="93" w:right="39"/>
              <w:rPr>
                <w:sz w:val="12"/>
              </w:rPr>
            </w:pPr>
            <w:r>
              <w:rPr>
                <w:sz w:val="12"/>
              </w:rPr>
              <w:t>0.5</w:t>
            </w:r>
          </w:p>
        </w:tc>
        <w:tc>
          <w:tcPr>
            <w:tcW w:w="704" w:type="dxa"/>
            <w:tcBorders>
              <w:right w:val="single" w:sz="8" w:space="0" w:color="000000"/>
            </w:tcBorders>
            <w:shd w:val="clear" w:color="auto" w:fill="67ED4D"/>
          </w:tcPr>
          <w:p>
            <w:pPr>
              <w:pStyle w:val="TableParagraph"/>
              <w:spacing w:before="5"/>
              <w:ind w:left="27"/>
              <w:rPr>
                <w:sz w:val="12"/>
              </w:rPr>
            </w:pPr>
            <w:r>
              <w:rPr>
                <w:w w:val="102"/>
                <w:sz w:val="12"/>
              </w:rPr>
              <w:t>1</w:t>
            </w:r>
          </w:p>
        </w:tc>
      </w:tr>
      <w:tr>
        <w:trPr>
          <w:trHeight w:val="153" w:hRule="exact"/>
        </w:trPr>
        <w:tc>
          <w:tcPr>
            <w:tcW w:w="601" w:type="dxa"/>
            <w:vMerge/>
            <w:tcBorders>
              <w:left w:val="single" w:sz="4" w:space="0" w:color="000000"/>
            </w:tcBorders>
          </w:tcPr>
          <w:p>
            <w:pPr/>
          </w:p>
        </w:tc>
        <w:tc>
          <w:tcPr>
            <w:tcW w:w="1858" w:type="dxa"/>
            <w:vMerge/>
          </w:tcPr>
          <w:p>
            <w:pPr/>
          </w:p>
        </w:tc>
        <w:tc>
          <w:tcPr>
            <w:tcW w:w="2494" w:type="dxa"/>
            <w:vMerge/>
          </w:tcPr>
          <w:p>
            <w:pPr/>
          </w:p>
        </w:tc>
        <w:tc>
          <w:tcPr>
            <w:tcW w:w="1418" w:type="dxa"/>
            <w:vMerge/>
          </w:tcPr>
          <w:p>
            <w:pPr/>
          </w:p>
        </w:tc>
        <w:tc>
          <w:tcPr>
            <w:tcW w:w="670" w:type="dxa"/>
            <w:vMerge/>
          </w:tcPr>
          <w:p>
            <w:pPr/>
          </w:p>
        </w:tc>
        <w:tc>
          <w:tcPr>
            <w:tcW w:w="701" w:type="dxa"/>
            <w:vMerge/>
          </w:tcPr>
          <w:p>
            <w:pPr/>
          </w:p>
        </w:tc>
        <w:tc>
          <w:tcPr>
            <w:tcW w:w="704" w:type="dxa"/>
            <w:tcBorders>
              <w:right w:val="single" w:sz="8" w:space="0" w:color="000000"/>
            </w:tcBorders>
            <w:shd w:val="clear" w:color="auto" w:fill="67ED4D"/>
          </w:tcPr>
          <w:p>
            <w:pPr>
              <w:pStyle w:val="TableParagraph"/>
              <w:spacing w:before="2"/>
              <w:ind w:left="27"/>
              <w:rPr>
                <w:sz w:val="12"/>
              </w:rPr>
            </w:pPr>
            <w:r>
              <w:rPr>
                <w:w w:val="102"/>
                <w:sz w:val="12"/>
              </w:rPr>
              <w:t>1</w:t>
            </w:r>
          </w:p>
        </w:tc>
      </w:tr>
      <w:tr>
        <w:trPr>
          <w:trHeight w:val="161" w:hRule="exact"/>
        </w:trPr>
        <w:tc>
          <w:tcPr>
            <w:tcW w:w="601" w:type="dxa"/>
            <w:vMerge/>
            <w:tcBorders>
              <w:left w:val="single" w:sz="4" w:space="0" w:color="000000"/>
            </w:tcBorders>
          </w:tcPr>
          <w:p>
            <w:pPr/>
          </w:p>
        </w:tc>
        <w:tc>
          <w:tcPr>
            <w:tcW w:w="1858" w:type="dxa"/>
          </w:tcPr>
          <w:p>
            <w:pPr/>
          </w:p>
        </w:tc>
        <w:tc>
          <w:tcPr>
            <w:tcW w:w="2494" w:type="dxa"/>
          </w:tcPr>
          <w:p>
            <w:pPr/>
          </w:p>
        </w:tc>
        <w:tc>
          <w:tcPr>
            <w:tcW w:w="1418" w:type="dxa"/>
          </w:tcPr>
          <w:p>
            <w:pPr>
              <w:pStyle w:val="TableParagraph"/>
              <w:spacing w:before="2"/>
              <w:ind w:right="300"/>
              <w:jc w:val="right"/>
              <w:rPr>
                <w:sz w:val="12"/>
              </w:rPr>
            </w:pPr>
            <w:r>
              <w:rPr>
                <w:sz w:val="12"/>
              </w:rPr>
              <w:t>Subtotal</w:t>
            </w:r>
          </w:p>
        </w:tc>
        <w:tc>
          <w:tcPr>
            <w:tcW w:w="670" w:type="dxa"/>
          </w:tcPr>
          <w:p>
            <w:pPr>
              <w:pStyle w:val="TableParagraph"/>
              <w:spacing w:before="2"/>
              <w:ind w:left="197"/>
              <w:jc w:val="left"/>
              <w:rPr>
                <w:sz w:val="12"/>
              </w:rPr>
            </w:pPr>
            <w:r>
              <w:rPr>
                <w:w w:val="102"/>
                <w:sz w:val="12"/>
                <w:shd w:fill="F79646" w:color="auto" w:val="clear"/>
              </w:rPr>
              <w:t> </w:t>
            </w:r>
            <w:r>
              <w:rPr>
                <w:sz w:val="12"/>
                <w:shd w:fill="F79646" w:color="auto" w:val="clear"/>
              </w:rPr>
              <w:t>   </w:t>
            </w:r>
            <w:r>
              <w:rPr>
                <w:spacing w:val="6"/>
                <w:sz w:val="12"/>
                <w:shd w:fill="F79646" w:color="auto" w:val="clear"/>
              </w:rPr>
              <w:t> </w:t>
            </w:r>
            <w:r>
              <w:rPr>
                <w:sz w:val="12"/>
                <w:shd w:fill="F79646" w:color="auto" w:val="clear"/>
              </w:rPr>
              <w:t>0.5</w:t>
            </w:r>
            <w:r>
              <w:rPr>
                <w:spacing w:val="10"/>
                <w:sz w:val="12"/>
                <w:shd w:fill="F79646" w:color="auto" w:val="clear"/>
              </w:rPr>
              <w:t> </w:t>
            </w:r>
          </w:p>
        </w:tc>
        <w:tc>
          <w:tcPr>
            <w:tcW w:w="701" w:type="dxa"/>
          </w:tcPr>
          <w:p>
            <w:pPr>
              <w:pStyle w:val="TableParagraph"/>
              <w:spacing w:before="2"/>
              <w:ind w:left="54"/>
              <w:rPr>
                <w:sz w:val="12"/>
              </w:rPr>
            </w:pPr>
            <w:r>
              <w:rPr>
                <w:w w:val="102"/>
                <w:sz w:val="12"/>
              </w:rPr>
              <w:t>1</w:t>
            </w:r>
          </w:p>
        </w:tc>
        <w:tc>
          <w:tcPr>
            <w:tcW w:w="704" w:type="dxa"/>
            <w:tcBorders>
              <w:right w:val="single" w:sz="8" w:space="0" w:color="000000"/>
            </w:tcBorders>
            <w:shd w:val="clear" w:color="auto" w:fill="67ED4D"/>
          </w:tcPr>
          <w:p>
            <w:pPr>
              <w:pStyle w:val="TableParagraph"/>
              <w:spacing w:before="2"/>
              <w:ind w:left="27"/>
              <w:rPr>
                <w:sz w:val="12"/>
              </w:rPr>
            </w:pPr>
            <w:r>
              <w:rPr>
                <w:w w:val="102"/>
                <w:sz w:val="12"/>
              </w:rPr>
              <w:t>2</w:t>
            </w:r>
          </w:p>
        </w:tc>
      </w:tr>
      <w:tr>
        <w:trPr>
          <w:trHeight w:val="143" w:hRule="exact"/>
        </w:trPr>
        <w:tc>
          <w:tcPr>
            <w:tcW w:w="8447" w:type="dxa"/>
            <w:gridSpan w:val="7"/>
            <w:tcBorders>
              <w:left w:val="single" w:sz="4" w:space="0" w:color="000000"/>
              <w:right w:val="single" w:sz="8" w:space="0" w:color="000000"/>
            </w:tcBorders>
          </w:tcPr>
          <w:p>
            <w:pPr/>
          </w:p>
        </w:tc>
      </w:tr>
      <w:tr>
        <w:trPr>
          <w:trHeight w:val="309" w:hRule="exact"/>
        </w:trPr>
        <w:tc>
          <w:tcPr>
            <w:tcW w:w="601" w:type="dxa"/>
            <w:tcBorders>
              <w:left w:val="single" w:sz="4" w:space="0" w:color="000000"/>
            </w:tcBorders>
          </w:tcPr>
          <w:p>
            <w:pPr/>
          </w:p>
        </w:tc>
        <w:tc>
          <w:tcPr>
            <w:tcW w:w="1858" w:type="dxa"/>
          </w:tcPr>
          <w:p>
            <w:pPr>
              <w:pStyle w:val="TableParagraph"/>
              <w:spacing w:before="76"/>
              <w:ind w:left="88"/>
              <w:jc w:val="left"/>
              <w:rPr>
                <w:sz w:val="12"/>
              </w:rPr>
            </w:pPr>
            <w:r>
              <w:rPr>
                <w:sz w:val="12"/>
              </w:rPr>
              <w:t>Infraestrutura utilizada</w:t>
            </w:r>
          </w:p>
        </w:tc>
        <w:tc>
          <w:tcPr>
            <w:tcW w:w="2494" w:type="dxa"/>
          </w:tcPr>
          <w:p>
            <w:pPr>
              <w:pStyle w:val="TableParagraph"/>
              <w:spacing w:line="266" w:lineRule="auto" w:before="5"/>
              <w:ind w:left="271" w:right="1649"/>
              <w:jc w:val="left"/>
              <w:rPr>
                <w:sz w:val="12"/>
              </w:rPr>
            </w:pPr>
            <w:r>
              <w:rPr>
                <w:sz w:val="12"/>
              </w:rPr>
              <w:t>Vialidades Redes</w:t>
            </w:r>
          </w:p>
        </w:tc>
        <w:tc>
          <w:tcPr>
            <w:tcW w:w="1418" w:type="dxa"/>
          </w:tcPr>
          <w:p>
            <w:pPr>
              <w:pStyle w:val="TableParagraph"/>
              <w:spacing w:before="5"/>
              <w:ind w:left="809"/>
              <w:jc w:val="left"/>
              <w:rPr>
                <w:sz w:val="12"/>
              </w:rPr>
            </w:pPr>
            <w:r>
              <w:rPr>
                <w:sz w:val="12"/>
              </w:rPr>
              <w:t>0.5</w:t>
            </w:r>
          </w:p>
          <w:p>
            <w:pPr>
              <w:pStyle w:val="TableParagraph"/>
              <w:spacing w:before="15"/>
              <w:ind w:left="809"/>
              <w:jc w:val="left"/>
              <w:rPr>
                <w:sz w:val="12"/>
              </w:rPr>
            </w:pPr>
            <w:r>
              <w:rPr>
                <w:sz w:val="12"/>
              </w:rPr>
              <w:t>0.4</w:t>
            </w:r>
          </w:p>
        </w:tc>
        <w:tc>
          <w:tcPr>
            <w:tcW w:w="670" w:type="dxa"/>
          </w:tcPr>
          <w:p>
            <w:pPr/>
          </w:p>
        </w:tc>
        <w:tc>
          <w:tcPr>
            <w:tcW w:w="701" w:type="dxa"/>
          </w:tcPr>
          <w:p>
            <w:pPr>
              <w:pStyle w:val="TableParagraph"/>
              <w:spacing w:before="5"/>
              <w:ind w:left="79" w:right="39"/>
              <w:rPr>
                <w:sz w:val="12"/>
              </w:rPr>
            </w:pPr>
            <w:r>
              <w:rPr>
                <w:sz w:val="12"/>
              </w:rPr>
              <w:t>0.75</w:t>
            </w:r>
          </w:p>
          <w:p>
            <w:pPr>
              <w:pStyle w:val="TableParagraph"/>
              <w:spacing w:before="15"/>
              <w:ind w:left="93" w:right="39"/>
              <w:rPr>
                <w:sz w:val="12"/>
              </w:rPr>
            </w:pPr>
            <w:r>
              <w:rPr>
                <w:sz w:val="12"/>
              </w:rPr>
              <w:t>0.8</w:t>
            </w:r>
          </w:p>
        </w:tc>
        <w:tc>
          <w:tcPr>
            <w:tcW w:w="704" w:type="dxa"/>
            <w:tcBorders>
              <w:right w:val="single" w:sz="8" w:space="0" w:color="000000"/>
            </w:tcBorders>
            <w:shd w:val="clear" w:color="auto" w:fill="67ED4D"/>
          </w:tcPr>
          <w:p>
            <w:pPr>
              <w:pStyle w:val="TableParagraph"/>
              <w:spacing w:before="5"/>
              <w:ind w:left="27"/>
              <w:rPr>
                <w:sz w:val="12"/>
              </w:rPr>
            </w:pPr>
            <w:r>
              <w:rPr>
                <w:w w:val="102"/>
                <w:sz w:val="12"/>
              </w:rPr>
              <w:t>1</w:t>
            </w:r>
          </w:p>
          <w:p>
            <w:pPr>
              <w:pStyle w:val="TableParagraph"/>
              <w:spacing w:before="15"/>
              <w:ind w:left="27"/>
              <w:rPr>
                <w:sz w:val="12"/>
              </w:rPr>
            </w:pPr>
            <w:r>
              <w:rPr>
                <w:w w:val="102"/>
                <w:sz w:val="12"/>
              </w:rPr>
              <w:t>1</w:t>
            </w:r>
          </w:p>
        </w:tc>
      </w:tr>
      <w:tr>
        <w:trPr>
          <w:trHeight w:val="161" w:hRule="exact"/>
        </w:trPr>
        <w:tc>
          <w:tcPr>
            <w:tcW w:w="601" w:type="dxa"/>
            <w:tcBorders>
              <w:left w:val="single" w:sz="4" w:space="0" w:color="000000"/>
            </w:tcBorders>
          </w:tcPr>
          <w:p>
            <w:pPr/>
          </w:p>
        </w:tc>
        <w:tc>
          <w:tcPr>
            <w:tcW w:w="1858" w:type="dxa"/>
          </w:tcPr>
          <w:p>
            <w:pPr/>
          </w:p>
        </w:tc>
        <w:tc>
          <w:tcPr>
            <w:tcW w:w="2494" w:type="dxa"/>
          </w:tcPr>
          <w:p>
            <w:pPr/>
          </w:p>
        </w:tc>
        <w:tc>
          <w:tcPr>
            <w:tcW w:w="1418" w:type="dxa"/>
          </w:tcPr>
          <w:p>
            <w:pPr>
              <w:pStyle w:val="TableParagraph"/>
              <w:spacing w:before="2"/>
              <w:ind w:right="300"/>
              <w:jc w:val="right"/>
              <w:rPr>
                <w:sz w:val="12"/>
              </w:rPr>
            </w:pPr>
            <w:r>
              <w:rPr>
                <w:sz w:val="12"/>
              </w:rPr>
              <w:t>Subtotal</w:t>
            </w:r>
          </w:p>
        </w:tc>
        <w:tc>
          <w:tcPr>
            <w:tcW w:w="670" w:type="dxa"/>
          </w:tcPr>
          <w:p>
            <w:pPr>
              <w:pStyle w:val="TableParagraph"/>
              <w:spacing w:before="2"/>
              <w:ind w:left="197"/>
              <w:jc w:val="left"/>
              <w:rPr>
                <w:sz w:val="12"/>
              </w:rPr>
            </w:pPr>
            <w:r>
              <w:rPr>
                <w:w w:val="102"/>
                <w:sz w:val="12"/>
                <w:shd w:fill="F79646" w:color="auto" w:val="clear"/>
              </w:rPr>
              <w:t> </w:t>
            </w:r>
            <w:r>
              <w:rPr>
                <w:sz w:val="12"/>
                <w:shd w:fill="F79646" w:color="auto" w:val="clear"/>
              </w:rPr>
              <w:t>   </w:t>
            </w:r>
            <w:r>
              <w:rPr>
                <w:spacing w:val="6"/>
                <w:sz w:val="12"/>
                <w:shd w:fill="F79646" w:color="auto" w:val="clear"/>
              </w:rPr>
              <w:t> </w:t>
            </w:r>
            <w:r>
              <w:rPr>
                <w:sz w:val="12"/>
                <w:shd w:fill="F79646" w:color="auto" w:val="clear"/>
              </w:rPr>
              <w:t>0.9</w:t>
            </w:r>
            <w:r>
              <w:rPr>
                <w:spacing w:val="10"/>
                <w:sz w:val="12"/>
                <w:shd w:fill="F79646" w:color="auto" w:val="clear"/>
              </w:rPr>
              <w:t> </w:t>
            </w:r>
          </w:p>
        </w:tc>
        <w:tc>
          <w:tcPr>
            <w:tcW w:w="701" w:type="dxa"/>
          </w:tcPr>
          <w:p>
            <w:pPr>
              <w:pStyle w:val="TableParagraph"/>
              <w:spacing w:before="2"/>
              <w:ind w:left="79" w:right="39"/>
              <w:rPr>
                <w:sz w:val="12"/>
              </w:rPr>
            </w:pPr>
            <w:r>
              <w:rPr>
                <w:sz w:val="12"/>
              </w:rPr>
              <w:t>1.55</w:t>
            </w:r>
          </w:p>
        </w:tc>
        <w:tc>
          <w:tcPr>
            <w:tcW w:w="704" w:type="dxa"/>
            <w:tcBorders>
              <w:right w:val="single" w:sz="8" w:space="0" w:color="000000"/>
            </w:tcBorders>
            <w:shd w:val="clear" w:color="auto" w:fill="67ED4D"/>
          </w:tcPr>
          <w:p>
            <w:pPr>
              <w:pStyle w:val="TableParagraph"/>
              <w:spacing w:before="2"/>
              <w:ind w:left="27"/>
              <w:rPr>
                <w:sz w:val="12"/>
              </w:rPr>
            </w:pPr>
            <w:r>
              <w:rPr>
                <w:w w:val="102"/>
                <w:sz w:val="12"/>
              </w:rPr>
              <w:t>2</w:t>
            </w:r>
          </w:p>
        </w:tc>
      </w:tr>
      <w:tr>
        <w:trPr>
          <w:trHeight w:val="296" w:hRule="exact"/>
        </w:trPr>
        <w:tc>
          <w:tcPr>
            <w:tcW w:w="8447" w:type="dxa"/>
            <w:gridSpan w:val="7"/>
            <w:tcBorders>
              <w:left w:val="single" w:sz="4" w:space="0" w:color="000000"/>
              <w:right w:val="single" w:sz="8" w:space="0" w:color="000000"/>
            </w:tcBorders>
          </w:tcPr>
          <w:p>
            <w:pPr>
              <w:pStyle w:val="TableParagraph"/>
              <w:spacing w:before="66"/>
              <w:ind w:left="91"/>
              <w:jc w:val="left"/>
              <w:rPr>
                <w:sz w:val="12"/>
              </w:rPr>
            </w:pPr>
            <w:r>
              <w:rPr>
                <w:sz w:val="12"/>
              </w:rPr>
              <w:t>Territorio</w:t>
            </w:r>
          </w:p>
        </w:tc>
      </w:tr>
      <w:tr>
        <w:trPr>
          <w:trHeight w:val="309" w:hRule="exact"/>
        </w:trPr>
        <w:tc>
          <w:tcPr>
            <w:tcW w:w="601" w:type="dxa"/>
            <w:tcBorders>
              <w:left w:val="single" w:sz="4" w:space="0" w:color="000000"/>
            </w:tcBorders>
          </w:tcPr>
          <w:p>
            <w:pPr/>
          </w:p>
        </w:tc>
        <w:tc>
          <w:tcPr>
            <w:tcW w:w="1858" w:type="dxa"/>
          </w:tcPr>
          <w:p>
            <w:pPr>
              <w:pStyle w:val="TableParagraph"/>
              <w:spacing w:before="76"/>
              <w:ind w:left="88"/>
              <w:jc w:val="left"/>
              <w:rPr>
                <w:sz w:val="12"/>
              </w:rPr>
            </w:pPr>
            <w:r>
              <w:rPr>
                <w:sz w:val="12"/>
              </w:rPr>
              <w:t>Infraestructura desarrollada</w:t>
            </w:r>
          </w:p>
        </w:tc>
        <w:tc>
          <w:tcPr>
            <w:tcW w:w="2494" w:type="dxa"/>
          </w:tcPr>
          <w:p>
            <w:pPr>
              <w:pStyle w:val="TableParagraph"/>
              <w:spacing w:line="266" w:lineRule="auto" w:before="5"/>
              <w:ind w:left="271" w:right="1649"/>
              <w:jc w:val="left"/>
              <w:rPr>
                <w:sz w:val="12"/>
              </w:rPr>
            </w:pPr>
            <w:r>
              <w:rPr>
                <w:sz w:val="12"/>
              </w:rPr>
              <w:t>Vialidades Redes</w:t>
            </w:r>
          </w:p>
        </w:tc>
        <w:tc>
          <w:tcPr>
            <w:tcW w:w="1418" w:type="dxa"/>
          </w:tcPr>
          <w:p>
            <w:pPr>
              <w:pStyle w:val="TableParagraph"/>
              <w:spacing w:before="5"/>
              <w:ind w:left="370"/>
              <w:rPr>
                <w:sz w:val="12"/>
              </w:rPr>
            </w:pPr>
            <w:r>
              <w:rPr>
                <w:w w:val="102"/>
                <w:sz w:val="12"/>
              </w:rPr>
              <w:t>1</w:t>
            </w:r>
          </w:p>
          <w:p>
            <w:pPr>
              <w:pStyle w:val="TableParagraph"/>
              <w:spacing w:before="15"/>
              <w:ind w:left="370"/>
              <w:rPr>
                <w:sz w:val="12"/>
              </w:rPr>
            </w:pPr>
            <w:r>
              <w:rPr>
                <w:w w:val="102"/>
                <w:sz w:val="12"/>
              </w:rPr>
              <w:t>1</w:t>
            </w:r>
          </w:p>
        </w:tc>
        <w:tc>
          <w:tcPr>
            <w:tcW w:w="670" w:type="dxa"/>
          </w:tcPr>
          <w:p>
            <w:pPr/>
          </w:p>
        </w:tc>
        <w:tc>
          <w:tcPr>
            <w:tcW w:w="701" w:type="dxa"/>
          </w:tcPr>
          <w:p>
            <w:pPr>
              <w:pStyle w:val="TableParagraph"/>
              <w:spacing w:before="5"/>
              <w:ind w:left="251"/>
              <w:jc w:val="left"/>
              <w:rPr>
                <w:sz w:val="12"/>
              </w:rPr>
            </w:pPr>
            <w:r>
              <w:rPr>
                <w:sz w:val="12"/>
              </w:rPr>
              <w:t>0.75</w:t>
            </w:r>
          </w:p>
          <w:p>
            <w:pPr>
              <w:pStyle w:val="TableParagraph"/>
              <w:spacing w:before="15"/>
              <w:ind w:left="251"/>
              <w:jc w:val="left"/>
              <w:rPr>
                <w:sz w:val="12"/>
              </w:rPr>
            </w:pPr>
            <w:r>
              <w:rPr>
                <w:sz w:val="12"/>
              </w:rPr>
              <w:t>0.66</w:t>
            </w:r>
          </w:p>
        </w:tc>
        <w:tc>
          <w:tcPr>
            <w:tcW w:w="704" w:type="dxa"/>
            <w:tcBorders>
              <w:right w:val="single" w:sz="8" w:space="0" w:color="000000"/>
            </w:tcBorders>
            <w:shd w:val="clear" w:color="auto" w:fill="67ED4D"/>
          </w:tcPr>
          <w:p>
            <w:pPr>
              <w:pStyle w:val="TableParagraph"/>
              <w:spacing w:before="5"/>
              <w:ind w:left="27"/>
              <w:rPr>
                <w:sz w:val="12"/>
              </w:rPr>
            </w:pPr>
            <w:r>
              <w:rPr>
                <w:w w:val="102"/>
                <w:sz w:val="12"/>
              </w:rPr>
              <w:t>1</w:t>
            </w:r>
          </w:p>
          <w:p>
            <w:pPr>
              <w:pStyle w:val="TableParagraph"/>
              <w:spacing w:before="15"/>
              <w:ind w:left="27"/>
              <w:rPr>
                <w:sz w:val="12"/>
              </w:rPr>
            </w:pPr>
            <w:r>
              <w:rPr>
                <w:w w:val="102"/>
                <w:sz w:val="12"/>
              </w:rPr>
              <w:t>1</w:t>
            </w:r>
          </w:p>
        </w:tc>
      </w:tr>
      <w:tr>
        <w:trPr>
          <w:trHeight w:val="161" w:hRule="exact"/>
        </w:trPr>
        <w:tc>
          <w:tcPr>
            <w:tcW w:w="601" w:type="dxa"/>
            <w:tcBorders>
              <w:left w:val="single" w:sz="4" w:space="0" w:color="000000"/>
            </w:tcBorders>
          </w:tcPr>
          <w:p>
            <w:pPr/>
          </w:p>
        </w:tc>
        <w:tc>
          <w:tcPr>
            <w:tcW w:w="1858" w:type="dxa"/>
          </w:tcPr>
          <w:p>
            <w:pPr/>
          </w:p>
        </w:tc>
        <w:tc>
          <w:tcPr>
            <w:tcW w:w="2494" w:type="dxa"/>
          </w:tcPr>
          <w:p>
            <w:pPr/>
          </w:p>
        </w:tc>
        <w:tc>
          <w:tcPr>
            <w:tcW w:w="1418" w:type="dxa"/>
          </w:tcPr>
          <w:p>
            <w:pPr>
              <w:pStyle w:val="TableParagraph"/>
              <w:spacing w:before="2"/>
              <w:ind w:right="300"/>
              <w:jc w:val="right"/>
              <w:rPr>
                <w:sz w:val="12"/>
              </w:rPr>
            </w:pPr>
            <w:r>
              <w:rPr>
                <w:sz w:val="12"/>
              </w:rPr>
              <w:t>Subtotal</w:t>
            </w:r>
          </w:p>
        </w:tc>
        <w:tc>
          <w:tcPr>
            <w:tcW w:w="670" w:type="dxa"/>
          </w:tcPr>
          <w:p>
            <w:pPr>
              <w:pStyle w:val="TableParagraph"/>
              <w:tabs>
                <w:tab w:pos="717" w:val="left" w:leader="none"/>
              </w:tabs>
              <w:spacing w:before="2"/>
              <w:ind w:left="197" w:right="-48"/>
              <w:jc w:val="left"/>
              <w:rPr>
                <w:sz w:val="12"/>
              </w:rPr>
            </w:pPr>
            <w:r>
              <w:rPr>
                <w:w w:val="102"/>
                <w:sz w:val="12"/>
                <w:shd w:fill="F79646" w:color="auto" w:val="clear"/>
              </w:rPr>
              <w:t> </w:t>
            </w:r>
            <w:r>
              <w:rPr>
                <w:sz w:val="12"/>
                <w:shd w:fill="F79646" w:color="auto" w:val="clear"/>
              </w:rPr>
              <w:t>     </w:t>
            </w:r>
            <w:r>
              <w:rPr>
                <w:spacing w:val="-10"/>
                <w:sz w:val="12"/>
                <w:shd w:fill="F79646" w:color="auto" w:val="clear"/>
              </w:rPr>
              <w:t> </w:t>
            </w:r>
            <w:r>
              <w:rPr>
                <w:sz w:val="12"/>
                <w:shd w:fill="F79646" w:color="auto" w:val="clear"/>
              </w:rPr>
              <w:t>2</w:t>
              <w:tab/>
            </w:r>
          </w:p>
        </w:tc>
        <w:tc>
          <w:tcPr>
            <w:tcW w:w="701" w:type="dxa"/>
          </w:tcPr>
          <w:p>
            <w:pPr>
              <w:pStyle w:val="TableParagraph"/>
              <w:spacing w:before="2"/>
              <w:ind w:left="79" w:right="39"/>
              <w:rPr>
                <w:sz w:val="12"/>
              </w:rPr>
            </w:pPr>
            <w:r>
              <w:rPr>
                <w:sz w:val="12"/>
              </w:rPr>
              <w:t>1.41</w:t>
            </w:r>
          </w:p>
        </w:tc>
        <w:tc>
          <w:tcPr>
            <w:tcW w:w="704" w:type="dxa"/>
            <w:tcBorders>
              <w:right w:val="single" w:sz="8" w:space="0" w:color="000000"/>
            </w:tcBorders>
            <w:shd w:val="clear" w:color="auto" w:fill="67ED4D"/>
          </w:tcPr>
          <w:p>
            <w:pPr>
              <w:pStyle w:val="TableParagraph"/>
              <w:spacing w:before="2"/>
              <w:ind w:left="27"/>
              <w:rPr>
                <w:sz w:val="12"/>
              </w:rPr>
            </w:pPr>
            <w:r>
              <w:rPr>
                <w:w w:val="102"/>
                <w:sz w:val="12"/>
              </w:rPr>
              <w:t>2</w:t>
            </w:r>
          </w:p>
        </w:tc>
      </w:tr>
      <w:tr>
        <w:trPr>
          <w:trHeight w:val="143" w:hRule="exact"/>
        </w:trPr>
        <w:tc>
          <w:tcPr>
            <w:tcW w:w="8447" w:type="dxa"/>
            <w:gridSpan w:val="7"/>
            <w:tcBorders>
              <w:left w:val="single" w:sz="4" w:space="0" w:color="000000"/>
              <w:right w:val="single" w:sz="8" w:space="0" w:color="000000"/>
            </w:tcBorders>
          </w:tcPr>
          <w:p>
            <w:pPr/>
          </w:p>
        </w:tc>
      </w:tr>
      <w:tr>
        <w:trPr>
          <w:trHeight w:val="309" w:hRule="exact"/>
        </w:trPr>
        <w:tc>
          <w:tcPr>
            <w:tcW w:w="601" w:type="dxa"/>
            <w:tcBorders>
              <w:left w:val="single" w:sz="4" w:space="0" w:color="000000"/>
            </w:tcBorders>
          </w:tcPr>
          <w:p>
            <w:pPr/>
          </w:p>
        </w:tc>
        <w:tc>
          <w:tcPr>
            <w:tcW w:w="1858" w:type="dxa"/>
          </w:tcPr>
          <w:p>
            <w:pPr>
              <w:pStyle w:val="TableParagraph"/>
              <w:spacing w:before="76"/>
              <w:ind w:left="88"/>
              <w:jc w:val="left"/>
              <w:rPr>
                <w:sz w:val="12"/>
              </w:rPr>
            </w:pPr>
            <w:r>
              <w:rPr>
                <w:sz w:val="12"/>
              </w:rPr>
              <w:t>Equipamiento desarrollado</w:t>
            </w:r>
          </w:p>
        </w:tc>
        <w:tc>
          <w:tcPr>
            <w:tcW w:w="2494" w:type="dxa"/>
          </w:tcPr>
          <w:p>
            <w:pPr>
              <w:pStyle w:val="TableParagraph"/>
              <w:spacing w:line="266" w:lineRule="auto" w:before="5"/>
              <w:ind w:left="271" w:right="1696"/>
              <w:jc w:val="left"/>
              <w:rPr>
                <w:sz w:val="12"/>
              </w:rPr>
            </w:pPr>
            <w:r>
              <w:rPr>
                <w:sz w:val="12"/>
              </w:rPr>
              <w:t>Municipal Estatal</w:t>
            </w:r>
          </w:p>
        </w:tc>
        <w:tc>
          <w:tcPr>
            <w:tcW w:w="1418" w:type="dxa"/>
          </w:tcPr>
          <w:p>
            <w:pPr>
              <w:pStyle w:val="TableParagraph"/>
              <w:spacing w:before="5"/>
              <w:ind w:left="809"/>
              <w:jc w:val="left"/>
              <w:rPr>
                <w:sz w:val="12"/>
              </w:rPr>
            </w:pPr>
            <w:r>
              <w:rPr>
                <w:sz w:val="12"/>
              </w:rPr>
              <w:t>0.8</w:t>
            </w:r>
          </w:p>
          <w:p>
            <w:pPr>
              <w:pStyle w:val="TableParagraph"/>
              <w:spacing w:before="15"/>
              <w:ind w:left="809"/>
              <w:jc w:val="left"/>
              <w:rPr>
                <w:sz w:val="12"/>
              </w:rPr>
            </w:pPr>
            <w:r>
              <w:rPr>
                <w:sz w:val="12"/>
              </w:rPr>
              <w:t>0.2</w:t>
            </w:r>
          </w:p>
        </w:tc>
        <w:tc>
          <w:tcPr>
            <w:tcW w:w="670" w:type="dxa"/>
          </w:tcPr>
          <w:p>
            <w:pPr/>
          </w:p>
        </w:tc>
        <w:tc>
          <w:tcPr>
            <w:tcW w:w="701" w:type="dxa"/>
          </w:tcPr>
          <w:p>
            <w:pPr>
              <w:pStyle w:val="TableParagraph"/>
              <w:spacing w:before="5"/>
              <w:ind w:left="93" w:right="39"/>
              <w:rPr>
                <w:sz w:val="12"/>
              </w:rPr>
            </w:pPr>
            <w:r>
              <w:rPr>
                <w:sz w:val="12"/>
              </w:rPr>
              <w:t>0.8</w:t>
            </w:r>
          </w:p>
          <w:p>
            <w:pPr>
              <w:pStyle w:val="TableParagraph"/>
              <w:spacing w:before="15"/>
              <w:ind w:left="93" w:right="39"/>
              <w:rPr>
                <w:sz w:val="12"/>
              </w:rPr>
            </w:pPr>
            <w:r>
              <w:rPr>
                <w:sz w:val="12"/>
              </w:rPr>
              <w:t>0.6</w:t>
            </w:r>
          </w:p>
        </w:tc>
        <w:tc>
          <w:tcPr>
            <w:tcW w:w="704" w:type="dxa"/>
            <w:tcBorders>
              <w:right w:val="single" w:sz="8" w:space="0" w:color="000000"/>
            </w:tcBorders>
            <w:shd w:val="clear" w:color="auto" w:fill="67ED4D"/>
          </w:tcPr>
          <w:p>
            <w:pPr>
              <w:pStyle w:val="TableParagraph"/>
              <w:spacing w:before="5"/>
              <w:ind w:left="27"/>
              <w:rPr>
                <w:sz w:val="12"/>
              </w:rPr>
            </w:pPr>
            <w:r>
              <w:rPr>
                <w:w w:val="102"/>
                <w:sz w:val="12"/>
              </w:rPr>
              <w:t>1</w:t>
            </w:r>
          </w:p>
          <w:p>
            <w:pPr>
              <w:pStyle w:val="TableParagraph"/>
              <w:spacing w:before="15"/>
              <w:ind w:left="27"/>
              <w:rPr>
                <w:sz w:val="12"/>
              </w:rPr>
            </w:pPr>
            <w:r>
              <w:rPr>
                <w:w w:val="102"/>
                <w:sz w:val="12"/>
              </w:rPr>
              <w:t>1</w:t>
            </w:r>
          </w:p>
        </w:tc>
      </w:tr>
      <w:tr>
        <w:trPr>
          <w:trHeight w:val="161" w:hRule="exact"/>
        </w:trPr>
        <w:tc>
          <w:tcPr>
            <w:tcW w:w="601" w:type="dxa"/>
            <w:tcBorders>
              <w:left w:val="single" w:sz="4" w:space="0" w:color="000000"/>
            </w:tcBorders>
          </w:tcPr>
          <w:p>
            <w:pPr/>
          </w:p>
        </w:tc>
        <w:tc>
          <w:tcPr>
            <w:tcW w:w="1858" w:type="dxa"/>
          </w:tcPr>
          <w:p>
            <w:pPr/>
          </w:p>
        </w:tc>
        <w:tc>
          <w:tcPr>
            <w:tcW w:w="2494" w:type="dxa"/>
          </w:tcPr>
          <w:p>
            <w:pPr/>
          </w:p>
        </w:tc>
        <w:tc>
          <w:tcPr>
            <w:tcW w:w="1418" w:type="dxa"/>
          </w:tcPr>
          <w:p>
            <w:pPr>
              <w:pStyle w:val="TableParagraph"/>
              <w:spacing w:before="2"/>
              <w:ind w:right="300"/>
              <w:jc w:val="right"/>
              <w:rPr>
                <w:sz w:val="12"/>
              </w:rPr>
            </w:pPr>
            <w:r>
              <w:rPr>
                <w:sz w:val="12"/>
              </w:rPr>
              <w:t>Subtotal</w:t>
            </w:r>
          </w:p>
        </w:tc>
        <w:tc>
          <w:tcPr>
            <w:tcW w:w="670" w:type="dxa"/>
          </w:tcPr>
          <w:p>
            <w:pPr>
              <w:pStyle w:val="TableParagraph"/>
              <w:tabs>
                <w:tab w:pos="717" w:val="left" w:leader="none"/>
              </w:tabs>
              <w:spacing w:before="2"/>
              <w:ind w:left="197" w:right="-48"/>
              <w:jc w:val="left"/>
              <w:rPr>
                <w:sz w:val="12"/>
              </w:rPr>
            </w:pPr>
            <w:r>
              <w:rPr>
                <w:w w:val="102"/>
                <w:sz w:val="12"/>
                <w:shd w:fill="F79646" w:color="auto" w:val="clear"/>
              </w:rPr>
              <w:t> </w:t>
            </w:r>
            <w:r>
              <w:rPr>
                <w:sz w:val="12"/>
                <w:shd w:fill="F79646" w:color="auto" w:val="clear"/>
              </w:rPr>
              <w:t>     </w:t>
            </w:r>
            <w:r>
              <w:rPr>
                <w:spacing w:val="-10"/>
                <w:sz w:val="12"/>
                <w:shd w:fill="F79646" w:color="auto" w:val="clear"/>
              </w:rPr>
              <w:t> </w:t>
            </w:r>
            <w:r>
              <w:rPr>
                <w:sz w:val="12"/>
                <w:shd w:fill="F79646" w:color="auto" w:val="clear"/>
              </w:rPr>
              <w:t>1</w:t>
              <w:tab/>
            </w:r>
          </w:p>
        </w:tc>
        <w:tc>
          <w:tcPr>
            <w:tcW w:w="701" w:type="dxa"/>
          </w:tcPr>
          <w:p>
            <w:pPr>
              <w:pStyle w:val="TableParagraph"/>
              <w:spacing w:before="2"/>
              <w:ind w:left="93" w:right="39"/>
              <w:rPr>
                <w:sz w:val="12"/>
              </w:rPr>
            </w:pPr>
            <w:r>
              <w:rPr>
                <w:sz w:val="12"/>
              </w:rPr>
              <w:t>1.4</w:t>
            </w:r>
          </w:p>
        </w:tc>
        <w:tc>
          <w:tcPr>
            <w:tcW w:w="704" w:type="dxa"/>
            <w:tcBorders>
              <w:right w:val="single" w:sz="8" w:space="0" w:color="000000"/>
            </w:tcBorders>
            <w:shd w:val="clear" w:color="auto" w:fill="67ED4D"/>
          </w:tcPr>
          <w:p>
            <w:pPr>
              <w:pStyle w:val="TableParagraph"/>
              <w:spacing w:before="2"/>
              <w:ind w:left="27"/>
              <w:rPr>
                <w:sz w:val="12"/>
              </w:rPr>
            </w:pPr>
            <w:r>
              <w:rPr>
                <w:w w:val="102"/>
                <w:sz w:val="12"/>
              </w:rPr>
              <w:t>2</w:t>
            </w:r>
          </w:p>
        </w:tc>
      </w:tr>
      <w:tr>
        <w:trPr>
          <w:trHeight w:val="143" w:hRule="exact"/>
        </w:trPr>
        <w:tc>
          <w:tcPr>
            <w:tcW w:w="8447" w:type="dxa"/>
            <w:gridSpan w:val="7"/>
            <w:tcBorders>
              <w:left w:val="single" w:sz="4" w:space="0" w:color="000000"/>
              <w:right w:val="single" w:sz="8" w:space="0" w:color="000000"/>
            </w:tcBorders>
          </w:tcPr>
          <w:p>
            <w:pPr/>
          </w:p>
        </w:tc>
      </w:tr>
      <w:tr>
        <w:trPr>
          <w:trHeight w:val="156" w:hRule="exact"/>
        </w:trPr>
        <w:tc>
          <w:tcPr>
            <w:tcW w:w="601" w:type="dxa"/>
            <w:vMerge w:val="restart"/>
            <w:tcBorders>
              <w:left w:val="single" w:sz="4" w:space="0" w:color="000000"/>
            </w:tcBorders>
          </w:tcPr>
          <w:p>
            <w:pPr/>
          </w:p>
        </w:tc>
        <w:tc>
          <w:tcPr>
            <w:tcW w:w="1858" w:type="dxa"/>
          </w:tcPr>
          <w:p>
            <w:pPr/>
          </w:p>
        </w:tc>
        <w:tc>
          <w:tcPr>
            <w:tcW w:w="2494" w:type="dxa"/>
          </w:tcPr>
          <w:p>
            <w:pPr>
              <w:pStyle w:val="TableParagraph"/>
              <w:spacing w:before="5"/>
              <w:ind w:left="271" w:right="548"/>
              <w:jc w:val="left"/>
              <w:rPr>
                <w:sz w:val="12"/>
              </w:rPr>
            </w:pPr>
            <w:r>
              <w:rPr>
                <w:sz w:val="12"/>
              </w:rPr>
              <w:t>Ubicación del conjunto urbano</w:t>
            </w:r>
          </w:p>
        </w:tc>
        <w:tc>
          <w:tcPr>
            <w:tcW w:w="1418" w:type="dxa"/>
          </w:tcPr>
          <w:p>
            <w:pPr>
              <w:pStyle w:val="TableParagraph"/>
              <w:spacing w:before="5"/>
              <w:ind w:left="809"/>
              <w:jc w:val="left"/>
              <w:rPr>
                <w:sz w:val="12"/>
              </w:rPr>
            </w:pPr>
            <w:r>
              <w:rPr>
                <w:sz w:val="12"/>
              </w:rPr>
              <w:t>0.6</w:t>
            </w:r>
          </w:p>
        </w:tc>
        <w:tc>
          <w:tcPr>
            <w:tcW w:w="670" w:type="dxa"/>
          </w:tcPr>
          <w:p>
            <w:pPr/>
          </w:p>
        </w:tc>
        <w:tc>
          <w:tcPr>
            <w:tcW w:w="701" w:type="dxa"/>
          </w:tcPr>
          <w:p>
            <w:pPr>
              <w:pStyle w:val="TableParagraph"/>
              <w:spacing w:before="5"/>
              <w:ind w:left="93" w:right="39"/>
              <w:rPr>
                <w:sz w:val="12"/>
              </w:rPr>
            </w:pPr>
            <w:r>
              <w:rPr>
                <w:sz w:val="12"/>
              </w:rPr>
              <w:t>0.8</w:t>
            </w:r>
          </w:p>
        </w:tc>
        <w:tc>
          <w:tcPr>
            <w:tcW w:w="704" w:type="dxa"/>
            <w:tcBorders>
              <w:right w:val="single" w:sz="8" w:space="0" w:color="000000"/>
            </w:tcBorders>
            <w:shd w:val="clear" w:color="auto" w:fill="67ED4D"/>
          </w:tcPr>
          <w:p>
            <w:pPr>
              <w:pStyle w:val="TableParagraph"/>
              <w:spacing w:before="5"/>
              <w:ind w:left="27"/>
              <w:rPr>
                <w:sz w:val="12"/>
              </w:rPr>
            </w:pPr>
            <w:r>
              <w:rPr>
                <w:w w:val="102"/>
                <w:sz w:val="12"/>
              </w:rPr>
              <w:t>1</w:t>
            </w:r>
          </w:p>
        </w:tc>
      </w:tr>
      <w:tr>
        <w:trPr>
          <w:trHeight w:val="153" w:hRule="exact"/>
        </w:trPr>
        <w:tc>
          <w:tcPr>
            <w:tcW w:w="601" w:type="dxa"/>
            <w:vMerge/>
            <w:tcBorders>
              <w:left w:val="single" w:sz="4" w:space="0" w:color="000000"/>
            </w:tcBorders>
          </w:tcPr>
          <w:p>
            <w:pPr/>
          </w:p>
        </w:tc>
        <w:tc>
          <w:tcPr>
            <w:tcW w:w="1858" w:type="dxa"/>
          </w:tcPr>
          <w:p>
            <w:pPr/>
          </w:p>
        </w:tc>
        <w:tc>
          <w:tcPr>
            <w:tcW w:w="2494" w:type="dxa"/>
          </w:tcPr>
          <w:p>
            <w:pPr>
              <w:pStyle w:val="TableParagraph"/>
              <w:spacing w:before="2"/>
              <w:ind w:left="271" w:right="548"/>
              <w:jc w:val="left"/>
              <w:rPr>
                <w:sz w:val="12"/>
              </w:rPr>
            </w:pPr>
            <w:r>
              <w:rPr>
                <w:sz w:val="12"/>
              </w:rPr>
              <w:t>Abierto</w:t>
            </w:r>
          </w:p>
        </w:tc>
        <w:tc>
          <w:tcPr>
            <w:tcW w:w="1418" w:type="dxa"/>
          </w:tcPr>
          <w:p>
            <w:pPr>
              <w:pStyle w:val="TableParagraph"/>
              <w:spacing w:before="2"/>
              <w:ind w:left="809"/>
              <w:jc w:val="left"/>
              <w:rPr>
                <w:sz w:val="12"/>
              </w:rPr>
            </w:pPr>
            <w:r>
              <w:rPr>
                <w:sz w:val="12"/>
              </w:rPr>
              <w:t>0.5</w:t>
            </w:r>
          </w:p>
        </w:tc>
        <w:tc>
          <w:tcPr>
            <w:tcW w:w="670" w:type="dxa"/>
          </w:tcPr>
          <w:p>
            <w:pPr/>
          </w:p>
        </w:tc>
        <w:tc>
          <w:tcPr>
            <w:tcW w:w="701" w:type="dxa"/>
          </w:tcPr>
          <w:p>
            <w:pPr>
              <w:pStyle w:val="TableParagraph"/>
              <w:spacing w:before="2"/>
              <w:ind w:left="54"/>
              <w:rPr>
                <w:sz w:val="12"/>
              </w:rPr>
            </w:pPr>
            <w:r>
              <w:rPr>
                <w:w w:val="102"/>
                <w:sz w:val="12"/>
              </w:rPr>
              <w:t>1</w:t>
            </w:r>
          </w:p>
        </w:tc>
        <w:tc>
          <w:tcPr>
            <w:tcW w:w="704" w:type="dxa"/>
            <w:tcBorders>
              <w:right w:val="single" w:sz="8" w:space="0" w:color="000000"/>
            </w:tcBorders>
            <w:shd w:val="clear" w:color="auto" w:fill="67ED4D"/>
          </w:tcPr>
          <w:p>
            <w:pPr>
              <w:pStyle w:val="TableParagraph"/>
              <w:spacing w:before="2"/>
              <w:ind w:left="27"/>
              <w:rPr>
                <w:sz w:val="12"/>
              </w:rPr>
            </w:pPr>
            <w:r>
              <w:rPr>
                <w:w w:val="102"/>
                <w:sz w:val="12"/>
              </w:rPr>
              <w:t>1</w:t>
            </w:r>
          </w:p>
        </w:tc>
      </w:tr>
      <w:tr>
        <w:trPr>
          <w:trHeight w:val="153" w:hRule="exact"/>
        </w:trPr>
        <w:tc>
          <w:tcPr>
            <w:tcW w:w="601" w:type="dxa"/>
            <w:vMerge/>
            <w:tcBorders>
              <w:left w:val="single" w:sz="4" w:space="0" w:color="000000"/>
            </w:tcBorders>
          </w:tcPr>
          <w:p>
            <w:pPr/>
          </w:p>
        </w:tc>
        <w:tc>
          <w:tcPr>
            <w:tcW w:w="1858" w:type="dxa"/>
          </w:tcPr>
          <w:p>
            <w:pPr>
              <w:pStyle w:val="TableParagraph"/>
              <w:spacing w:before="2"/>
              <w:ind w:left="88"/>
              <w:jc w:val="left"/>
              <w:rPr>
                <w:sz w:val="12"/>
              </w:rPr>
            </w:pPr>
            <w:r>
              <w:rPr>
                <w:sz w:val="12"/>
              </w:rPr>
              <w:t>Integración al territorio</w:t>
            </w:r>
          </w:p>
        </w:tc>
        <w:tc>
          <w:tcPr>
            <w:tcW w:w="2494" w:type="dxa"/>
          </w:tcPr>
          <w:p>
            <w:pPr>
              <w:pStyle w:val="TableParagraph"/>
              <w:spacing w:before="2"/>
              <w:ind w:left="271" w:right="548"/>
              <w:jc w:val="left"/>
              <w:rPr>
                <w:sz w:val="12"/>
              </w:rPr>
            </w:pPr>
            <w:r>
              <w:rPr>
                <w:sz w:val="12"/>
              </w:rPr>
              <w:t>Integración social</w:t>
            </w:r>
          </w:p>
        </w:tc>
        <w:tc>
          <w:tcPr>
            <w:tcW w:w="1418" w:type="dxa"/>
          </w:tcPr>
          <w:p>
            <w:pPr>
              <w:pStyle w:val="TableParagraph"/>
              <w:spacing w:before="2"/>
              <w:ind w:left="809"/>
              <w:jc w:val="left"/>
              <w:rPr>
                <w:sz w:val="12"/>
              </w:rPr>
            </w:pPr>
            <w:r>
              <w:rPr>
                <w:sz w:val="12"/>
              </w:rPr>
              <w:t>0.5</w:t>
            </w:r>
          </w:p>
        </w:tc>
        <w:tc>
          <w:tcPr>
            <w:tcW w:w="670" w:type="dxa"/>
          </w:tcPr>
          <w:p>
            <w:pPr/>
          </w:p>
        </w:tc>
        <w:tc>
          <w:tcPr>
            <w:tcW w:w="701" w:type="dxa"/>
          </w:tcPr>
          <w:p>
            <w:pPr>
              <w:pStyle w:val="TableParagraph"/>
              <w:spacing w:before="2"/>
              <w:ind w:left="54"/>
              <w:rPr>
                <w:sz w:val="12"/>
              </w:rPr>
            </w:pPr>
            <w:r>
              <w:rPr>
                <w:w w:val="102"/>
                <w:sz w:val="12"/>
              </w:rPr>
              <w:t>1</w:t>
            </w:r>
          </w:p>
        </w:tc>
        <w:tc>
          <w:tcPr>
            <w:tcW w:w="704" w:type="dxa"/>
            <w:tcBorders>
              <w:right w:val="single" w:sz="8" w:space="0" w:color="000000"/>
            </w:tcBorders>
            <w:shd w:val="clear" w:color="auto" w:fill="67ED4D"/>
          </w:tcPr>
          <w:p>
            <w:pPr>
              <w:pStyle w:val="TableParagraph"/>
              <w:spacing w:before="2"/>
              <w:ind w:left="27"/>
              <w:rPr>
                <w:sz w:val="12"/>
              </w:rPr>
            </w:pPr>
            <w:r>
              <w:rPr>
                <w:w w:val="102"/>
                <w:sz w:val="12"/>
              </w:rPr>
              <w:t>1</w:t>
            </w:r>
          </w:p>
        </w:tc>
      </w:tr>
      <w:tr>
        <w:trPr>
          <w:trHeight w:val="153" w:hRule="exact"/>
        </w:trPr>
        <w:tc>
          <w:tcPr>
            <w:tcW w:w="601" w:type="dxa"/>
            <w:vMerge/>
            <w:tcBorders>
              <w:left w:val="single" w:sz="4" w:space="0" w:color="000000"/>
            </w:tcBorders>
          </w:tcPr>
          <w:p>
            <w:pPr/>
          </w:p>
        </w:tc>
        <w:tc>
          <w:tcPr>
            <w:tcW w:w="1858" w:type="dxa"/>
          </w:tcPr>
          <w:p>
            <w:pPr/>
          </w:p>
        </w:tc>
        <w:tc>
          <w:tcPr>
            <w:tcW w:w="2494" w:type="dxa"/>
          </w:tcPr>
          <w:p>
            <w:pPr>
              <w:pStyle w:val="TableParagraph"/>
              <w:spacing w:before="2"/>
              <w:ind w:left="271" w:right="548"/>
              <w:jc w:val="left"/>
              <w:rPr>
                <w:sz w:val="12"/>
              </w:rPr>
            </w:pPr>
            <w:r>
              <w:rPr>
                <w:sz w:val="12"/>
              </w:rPr>
              <w:t>Protección civil</w:t>
            </w:r>
          </w:p>
        </w:tc>
        <w:tc>
          <w:tcPr>
            <w:tcW w:w="1418" w:type="dxa"/>
          </w:tcPr>
          <w:p>
            <w:pPr>
              <w:pStyle w:val="TableParagraph"/>
              <w:spacing w:before="2"/>
              <w:ind w:left="370"/>
              <w:rPr>
                <w:sz w:val="12"/>
              </w:rPr>
            </w:pPr>
            <w:r>
              <w:rPr>
                <w:w w:val="102"/>
                <w:sz w:val="12"/>
              </w:rPr>
              <w:t>0</w:t>
            </w:r>
          </w:p>
        </w:tc>
        <w:tc>
          <w:tcPr>
            <w:tcW w:w="670" w:type="dxa"/>
          </w:tcPr>
          <w:p>
            <w:pPr/>
          </w:p>
        </w:tc>
        <w:tc>
          <w:tcPr>
            <w:tcW w:w="701" w:type="dxa"/>
          </w:tcPr>
          <w:p>
            <w:pPr>
              <w:pStyle w:val="TableParagraph"/>
              <w:spacing w:before="2"/>
              <w:ind w:left="54"/>
              <w:rPr>
                <w:sz w:val="12"/>
              </w:rPr>
            </w:pPr>
            <w:r>
              <w:rPr>
                <w:w w:val="102"/>
                <w:sz w:val="12"/>
              </w:rPr>
              <w:t>1</w:t>
            </w:r>
          </w:p>
        </w:tc>
        <w:tc>
          <w:tcPr>
            <w:tcW w:w="704" w:type="dxa"/>
            <w:tcBorders>
              <w:right w:val="single" w:sz="8" w:space="0" w:color="000000"/>
            </w:tcBorders>
            <w:shd w:val="clear" w:color="auto" w:fill="67ED4D"/>
          </w:tcPr>
          <w:p>
            <w:pPr>
              <w:pStyle w:val="TableParagraph"/>
              <w:spacing w:before="2"/>
              <w:ind w:left="27"/>
              <w:rPr>
                <w:sz w:val="12"/>
              </w:rPr>
            </w:pPr>
            <w:r>
              <w:rPr>
                <w:w w:val="102"/>
                <w:sz w:val="12"/>
              </w:rPr>
              <w:t>1</w:t>
            </w:r>
          </w:p>
        </w:tc>
      </w:tr>
      <w:tr>
        <w:trPr>
          <w:trHeight w:val="153" w:hRule="exact"/>
        </w:trPr>
        <w:tc>
          <w:tcPr>
            <w:tcW w:w="601" w:type="dxa"/>
            <w:vMerge/>
            <w:tcBorders>
              <w:left w:val="single" w:sz="4" w:space="0" w:color="000000"/>
            </w:tcBorders>
          </w:tcPr>
          <w:p>
            <w:pPr/>
          </w:p>
        </w:tc>
        <w:tc>
          <w:tcPr>
            <w:tcW w:w="1858" w:type="dxa"/>
          </w:tcPr>
          <w:p>
            <w:pPr/>
          </w:p>
        </w:tc>
        <w:tc>
          <w:tcPr>
            <w:tcW w:w="2494" w:type="dxa"/>
          </w:tcPr>
          <w:p>
            <w:pPr>
              <w:pStyle w:val="TableParagraph"/>
              <w:spacing w:before="2"/>
              <w:ind w:left="271" w:right="548"/>
              <w:jc w:val="left"/>
              <w:rPr>
                <w:sz w:val="12"/>
              </w:rPr>
            </w:pPr>
            <w:r>
              <w:rPr>
                <w:sz w:val="12"/>
              </w:rPr>
              <w:t>Seguridad</w:t>
            </w:r>
          </w:p>
        </w:tc>
        <w:tc>
          <w:tcPr>
            <w:tcW w:w="1418" w:type="dxa"/>
          </w:tcPr>
          <w:p>
            <w:pPr>
              <w:pStyle w:val="TableParagraph"/>
              <w:spacing w:before="2"/>
              <w:ind w:left="809"/>
              <w:jc w:val="left"/>
              <w:rPr>
                <w:sz w:val="12"/>
              </w:rPr>
            </w:pPr>
            <w:r>
              <w:rPr>
                <w:sz w:val="12"/>
              </w:rPr>
              <w:t>0.5</w:t>
            </w:r>
          </w:p>
        </w:tc>
        <w:tc>
          <w:tcPr>
            <w:tcW w:w="670" w:type="dxa"/>
          </w:tcPr>
          <w:p>
            <w:pPr/>
          </w:p>
        </w:tc>
        <w:tc>
          <w:tcPr>
            <w:tcW w:w="701" w:type="dxa"/>
          </w:tcPr>
          <w:p>
            <w:pPr>
              <w:pStyle w:val="TableParagraph"/>
              <w:spacing w:before="2"/>
              <w:ind w:left="54"/>
              <w:rPr>
                <w:sz w:val="12"/>
              </w:rPr>
            </w:pPr>
            <w:r>
              <w:rPr>
                <w:w w:val="102"/>
                <w:sz w:val="12"/>
              </w:rPr>
              <w:t>1</w:t>
            </w:r>
          </w:p>
        </w:tc>
        <w:tc>
          <w:tcPr>
            <w:tcW w:w="704" w:type="dxa"/>
            <w:tcBorders>
              <w:right w:val="single" w:sz="8" w:space="0" w:color="000000"/>
            </w:tcBorders>
            <w:shd w:val="clear" w:color="auto" w:fill="67ED4D"/>
          </w:tcPr>
          <w:p>
            <w:pPr>
              <w:pStyle w:val="TableParagraph"/>
              <w:spacing w:before="2"/>
              <w:ind w:left="27"/>
              <w:rPr>
                <w:sz w:val="12"/>
              </w:rPr>
            </w:pPr>
            <w:r>
              <w:rPr>
                <w:w w:val="102"/>
                <w:sz w:val="12"/>
              </w:rPr>
              <w:t>1</w:t>
            </w:r>
          </w:p>
        </w:tc>
      </w:tr>
      <w:tr>
        <w:trPr>
          <w:trHeight w:val="161" w:hRule="exact"/>
        </w:trPr>
        <w:tc>
          <w:tcPr>
            <w:tcW w:w="601" w:type="dxa"/>
            <w:vMerge/>
            <w:tcBorders>
              <w:left w:val="single" w:sz="4" w:space="0" w:color="000000"/>
            </w:tcBorders>
          </w:tcPr>
          <w:p>
            <w:pPr/>
          </w:p>
        </w:tc>
        <w:tc>
          <w:tcPr>
            <w:tcW w:w="1858" w:type="dxa"/>
          </w:tcPr>
          <w:p>
            <w:pPr/>
          </w:p>
        </w:tc>
        <w:tc>
          <w:tcPr>
            <w:tcW w:w="2494" w:type="dxa"/>
          </w:tcPr>
          <w:p>
            <w:pPr/>
          </w:p>
        </w:tc>
        <w:tc>
          <w:tcPr>
            <w:tcW w:w="1418" w:type="dxa"/>
          </w:tcPr>
          <w:p>
            <w:pPr>
              <w:pStyle w:val="TableParagraph"/>
              <w:spacing w:before="2"/>
              <w:ind w:right="300"/>
              <w:jc w:val="right"/>
              <w:rPr>
                <w:sz w:val="12"/>
              </w:rPr>
            </w:pPr>
            <w:r>
              <w:rPr>
                <w:sz w:val="12"/>
              </w:rPr>
              <w:t>Subtotal</w:t>
            </w:r>
          </w:p>
        </w:tc>
        <w:tc>
          <w:tcPr>
            <w:tcW w:w="670" w:type="dxa"/>
          </w:tcPr>
          <w:p>
            <w:pPr>
              <w:pStyle w:val="TableParagraph"/>
              <w:spacing w:before="2"/>
              <w:ind w:left="197"/>
              <w:jc w:val="left"/>
              <w:rPr>
                <w:sz w:val="12"/>
              </w:rPr>
            </w:pPr>
            <w:r>
              <w:rPr>
                <w:w w:val="102"/>
                <w:sz w:val="12"/>
                <w:shd w:fill="F79646" w:color="auto" w:val="clear"/>
              </w:rPr>
              <w:t> </w:t>
            </w:r>
            <w:r>
              <w:rPr>
                <w:sz w:val="12"/>
                <w:shd w:fill="F79646" w:color="auto" w:val="clear"/>
              </w:rPr>
              <w:t>   </w:t>
            </w:r>
            <w:r>
              <w:rPr>
                <w:spacing w:val="6"/>
                <w:sz w:val="12"/>
                <w:shd w:fill="F79646" w:color="auto" w:val="clear"/>
              </w:rPr>
              <w:t> </w:t>
            </w:r>
            <w:r>
              <w:rPr>
                <w:sz w:val="12"/>
                <w:shd w:fill="F79646" w:color="auto" w:val="clear"/>
              </w:rPr>
              <w:t>2.1</w:t>
            </w:r>
            <w:r>
              <w:rPr>
                <w:spacing w:val="10"/>
                <w:sz w:val="12"/>
                <w:shd w:fill="F79646" w:color="auto" w:val="clear"/>
              </w:rPr>
              <w:t> </w:t>
            </w:r>
          </w:p>
        </w:tc>
        <w:tc>
          <w:tcPr>
            <w:tcW w:w="701" w:type="dxa"/>
          </w:tcPr>
          <w:p>
            <w:pPr>
              <w:pStyle w:val="TableParagraph"/>
              <w:spacing w:before="2"/>
              <w:ind w:left="93" w:right="39"/>
              <w:rPr>
                <w:sz w:val="12"/>
              </w:rPr>
            </w:pPr>
            <w:r>
              <w:rPr>
                <w:sz w:val="12"/>
              </w:rPr>
              <w:t>4.8</w:t>
            </w:r>
          </w:p>
        </w:tc>
        <w:tc>
          <w:tcPr>
            <w:tcW w:w="704" w:type="dxa"/>
            <w:tcBorders>
              <w:right w:val="single" w:sz="8" w:space="0" w:color="000000"/>
            </w:tcBorders>
            <w:shd w:val="clear" w:color="auto" w:fill="67ED4D"/>
          </w:tcPr>
          <w:p>
            <w:pPr>
              <w:pStyle w:val="TableParagraph"/>
              <w:spacing w:before="2"/>
              <w:ind w:left="27"/>
              <w:rPr>
                <w:sz w:val="12"/>
              </w:rPr>
            </w:pPr>
            <w:r>
              <w:rPr>
                <w:w w:val="102"/>
                <w:sz w:val="12"/>
              </w:rPr>
              <w:t>5</w:t>
            </w:r>
          </w:p>
        </w:tc>
      </w:tr>
      <w:tr>
        <w:trPr>
          <w:trHeight w:val="460" w:hRule="exact"/>
        </w:trPr>
        <w:tc>
          <w:tcPr>
            <w:tcW w:w="601" w:type="dxa"/>
            <w:tcBorders>
              <w:left w:val="single" w:sz="4" w:space="0" w:color="000000"/>
              <w:bottom w:val="single" w:sz="8" w:space="0" w:color="000000"/>
            </w:tcBorders>
          </w:tcPr>
          <w:p>
            <w:pPr/>
          </w:p>
        </w:tc>
        <w:tc>
          <w:tcPr>
            <w:tcW w:w="1858" w:type="dxa"/>
            <w:tcBorders>
              <w:bottom w:val="single" w:sz="8" w:space="0" w:color="000000"/>
            </w:tcBorders>
          </w:tcPr>
          <w:p>
            <w:pPr/>
          </w:p>
        </w:tc>
        <w:tc>
          <w:tcPr>
            <w:tcW w:w="2494" w:type="dxa"/>
            <w:tcBorders>
              <w:bottom w:val="single" w:sz="8" w:space="0" w:color="000000"/>
            </w:tcBorders>
          </w:tcPr>
          <w:p>
            <w:pPr/>
          </w:p>
        </w:tc>
        <w:tc>
          <w:tcPr>
            <w:tcW w:w="1418" w:type="dxa"/>
            <w:tcBorders>
              <w:bottom w:val="single" w:sz="8" w:space="0" w:color="000000"/>
            </w:tcBorders>
          </w:tcPr>
          <w:p>
            <w:pPr>
              <w:pStyle w:val="TableParagraph"/>
              <w:spacing w:before="9"/>
              <w:jc w:val="left"/>
              <w:rPr>
                <w:sz w:val="12"/>
              </w:rPr>
            </w:pPr>
          </w:p>
          <w:p>
            <w:pPr>
              <w:pStyle w:val="TableParagraph"/>
              <w:spacing w:before="1"/>
              <w:ind w:right="317"/>
              <w:jc w:val="right"/>
              <w:rPr>
                <w:sz w:val="12"/>
              </w:rPr>
            </w:pPr>
            <w:r>
              <w:rPr>
                <w:sz w:val="12"/>
              </w:rPr>
              <w:t>Total IT</w:t>
            </w:r>
          </w:p>
        </w:tc>
        <w:tc>
          <w:tcPr>
            <w:tcW w:w="670" w:type="dxa"/>
            <w:tcBorders>
              <w:bottom w:val="single" w:sz="8" w:space="0" w:color="000000"/>
            </w:tcBorders>
          </w:tcPr>
          <w:p>
            <w:pPr>
              <w:pStyle w:val="TableParagraph"/>
              <w:spacing w:before="9"/>
              <w:jc w:val="left"/>
              <w:rPr>
                <w:sz w:val="12"/>
              </w:rPr>
            </w:pPr>
          </w:p>
          <w:p>
            <w:pPr>
              <w:pStyle w:val="TableParagraph"/>
              <w:tabs>
                <w:tab w:pos="717" w:val="left" w:leader="none"/>
              </w:tabs>
              <w:spacing w:before="1"/>
              <w:ind w:left="197" w:right="-48"/>
              <w:jc w:val="left"/>
              <w:rPr>
                <w:sz w:val="12"/>
              </w:rPr>
            </w:pPr>
            <w:r>
              <w:rPr>
                <w:w w:val="102"/>
                <w:sz w:val="12"/>
                <w:shd w:fill="F79646" w:color="auto" w:val="clear"/>
              </w:rPr>
              <w:t> </w:t>
            </w:r>
            <w:r>
              <w:rPr>
                <w:sz w:val="12"/>
                <w:shd w:fill="F79646" w:color="auto" w:val="clear"/>
              </w:rPr>
              <w:t>     </w:t>
            </w:r>
            <w:r>
              <w:rPr>
                <w:spacing w:val="-10"/>
                <w:sz w:val="12"/>
                <w:shd w:fill="F79646" w:color="auto" w:val="clear"/>
              </w:rPr>
              <w:t> </w:t>
            </w:r>
            <w:r>
              <w:rPr>
                <w:sz w:val="12"/>
                <w:shd w:fill="F79646" w:color="auto" w:val="clear"/>
              </w:rPr>
              <w:t>8</w:t>
              <w:tab/>
            </w:r>
          </w:p>
        </w:tc>
        <w:tc>
          <w:tcPr>
            <w:tcW w:w="701" w:type="dxa"/>
            <w:tcBorders>
              <w:bottom w:val="single" w:sz="8" w:space="0" w:color="000000"/>
            </w:tcBorders>
          </w:tcPr>
          <w:p>
            <w:pPr>
              <w:pStyle w:val="TableParagraph"/>
              <w:spacing w:before="9"/>
              <w:jc w:val="left"/>
              <w:rPr>
                <w:sz w:val="12"/>
              </w:rPr>
            </w:pPr>
          </w:p>
          <w:p>
            <w:pPr>
              <w:pStyle w:val="TableParagraph"/>
              <w:spacing w:before="1"/>
              <w:ind w:left="37" w:right="-11"/>
              <w:rPr>
                <w:sz w:val="12"/>
              </w:rPr>
            </w:pPr>
            <w:r>
              <w:rPr>
                <w:w w:val="102"/>
                <w:sz w:val="12"/>
                <w:shd w:fill="FFFF00" w:color="auto" w:val="clear"/>
              </w:rPr>
              <w:t> </w:t>
            </w:r>
            <w:r>
              <w:rPr>
                <w:sz w:val="12"/>
                <w:shd w:fill="FFFF00" w:color="auto" w:val="clear"/>
              </w:rPr>
              <w:t>   </w:t>
            </w:r>
            <w:r>
              <w:rPr>
                <w:spacing w:val="16"/>
                <w:sz w:val="12"/>
                <w:shd w:fill="FFFF00" w:color="auto" w:val="clear"/>
              </w:rPr>
              <w:t> </w:t>
            </w:r>
            <w:r>
              <w:rPr>
                <w:sz w:val="12"/>
                <w:shd w:fill="FFFF00" w:color="auto" w:val="clear"/>
              </w:rPr>
              <w:t>12.66</w:t>
            </w:r>
            <w:r>
              <w:rPr>
                <w:spacing w:val="-17"/>
                <w:sz w:val="12"/>
                <w:shd w:fill="FFFF00" w:color="auto" w:val="clear"/>
              </w:rPr>
              <w:t> </w:t>
            </w:r>
          </w:p>
        </w:tc>
        <w:tc>
          <w:tcPr>
            <w:tcW w:w="704" w:type="dxa"/>
            <w:tcBorders>
              <w:bottom w:val="single" w:sz="8" w:space="0" w:color="000000"/>
              <w:right w:val="single" w:sz="8" w:space="0" w:color="000000"/>
            </w:tcBorders>
          </w:tcPr>
          <w:p>
            <w:pPr>
              <w:pStyle w:val="TableParagraph"/>
              <w:spacing w:before="9"/>
              <w:jc w:val="left"/>
              <w:rPr>
                <w:sz w:val="12"/>
              </w:rPr>
            </w:pPr>
          </w:p>
          <w:p>
            <w:pPr>
              <w:pStyle w:val="TableParagraph"/>
              <w:spacing w:before="1"/>
              <w:ind w:left="120" w:right="107"/>
              <w:rPr>
                <w:sz w:val="12"/>
              </w:rPr>
            </w:pPr>
            <w:r>
              <w:rPr>
                <w:sz w:val="12"/>
              </w:rPr>
              <w:t>17</w:t>
            </w:r>
          </w:p>
        </w:tc>
      </w:tr>
    </w:tbl>
    <w:p>
      <w:pPr>
        <w:spacing w:before="128"/>
        <w:ind w:left="268" w:right="0" w:firstLine="0"/>
        <w:jc w:val="left"/>
        <w:rPr>
          <w:sz w:val="21"/>
        </w:rPr>
      </w:pPr>
      <w:r>
        <w:rPr/>
        <w:pict>
          <v:group style="position:absolute;margin-left:355.518005pt;margin-top:-131.563019pt;width:73.05pt;height:16.4pt;mso-position-horizontal-relative:page;mso-position-vertical-relative:paragraph;z-index:-1135816" coordorigin="7110,-2631" coordsize="1461,328">
            <v:line style="position:absolute" from="7116,-2626" to="7116,-2462" stroked="true" strokeweight=".51pt" strokecolor="#baf9f5"/>
            <v:rect style="position:absolute;left:7121;top:-2626;width:1449;height:163" filled="true" fillcolor="#baf9f5" stroked="false">
              <v:fill type="solid"/>
            </v:rect>
            <v:line style="position:absolute" from="7116,-2462" to="7116,-2309" stroked="true" strokeweight=".51pt" strokecolor="#baf9f5"/>
            <v:rect style="position:absolute;left:7121;top:-2462;width:1449;height:153" filled="true" fillcolor="#baf9f5" stroked="false">
              <v:fill type="solid"/>
            </v:rect>
            <w10:wrap type="none"/>
          </v:group>
        </w:pict>
      </w:r>
      <w:r>
        <w:rPr/>
        <w:pict>
          <v:shape style="position:absolute;margin-left:453.529022pt;margin-top:-131.28714pt;width:33.7pt;height:23.5pt;mso-position-horizontal-relative:page;mso-position-vertical-relative:paragraph;z-index:-1135792" coordorigin="9071,-2626" coordsize="674,470" path="m9744,-2626l9071,-2626,9071,-2462,9071,-2319,9071,-2309,9071,-2156,9744,-2156,9744,-2309,9744,-2319,9744,-2462,9744,-2626e" filled="true" fillcolor="#ffff00" stroked="false">
            <v:path arrowok="t"/>
            <v:fill type="solid"/>
            <w10:wrap type="none"/>
          </v:shape>
        </w:pict>
      </w:r>
      <w:r>
        <w:rPr/>
        <w:pict>
          <v:group style="position:absolute;margin-left:355.518005pt;margin-top:-100.917023pt;width:73.05pt;height:16.4pt;mso-position-horizontal-relative:page;mso-position-vertical-relative:paragraph;z-index:-1135768" coordorigin="7110,-2018" coordsize="1461,328">
            <v:line style="position:absolute" from="7116,-2013" to="7116,-1849" stroked="true" strokeweight=".51pt" strokecolor="#baf9f5"/>
            <v:rect style="position:absolute;left:7121;top:-2013;width:1449;height:163" filled="true" fillcolor="#baf9f5" stroked="false">
              <v:fill type="solid"/>
            </v:rect>
            <v:line style="position:absolute" from="7116,-1849" to="7116,-1696" stroked="true" strokeweight=".51pt" strokecolor="#baf9f5"/>
            <v:rect style="position:absolute;left:7121;top:-1849;width:1449;height:153" filled="true" fillcolor="#baf9f5" stroked="false">
              <v:fill type="solid"/>
            </v:rect>
            <w10:wrap type="none"/>
          </v:group>
        </w:pict>
      </w:r>
      <w:r>
        <w:rPr/>
        <w:pict>
          <v:shape style="position:absolute;margin-left:453.529022pt;margin-top:-100.641129pt;width:33.7pt;height:23.5pt;mso-position-horizontal-relative:page;mso-position-vertical-relative:paragraph;z-index:-1135744" coordorigin="9071,-2013" coordsize="674,470" path="m9744,-1849l9071,-1849,9071,-1706,9071,-1696,9071,-1543,9744,-1543,9744,-1696,9744,-1706,9744,-1849m9744,-2013l9071,-2013,9071,-1849,9744,-1849,9744,-2013e" filled="true" fillcolor="#ffff00" stroked="false">
            <v:path arrowok="t"/>
            <v:fill type="solid"/>
            <w10:wrap type="none"/>
          </v:shape>
        </w:pict>
      </w:r>
      <w:r>
        <w:rPr/>
        <w:pict>
          <v:group style="position:absolute;margin-left:355.518005pt;margin-top:-70.271019pt;width:73.05pt;height:39.4pt;mso-position-horizontal-relative:page;mso-position-vertical-relative:paragraph;z-index:-1135720" coordorigin="7110,-1405" coordsize="1461,788">
            <v:line style="position:absolute" from="7116,-1400" to="7116,-1236" stroked="true" strokeweight=".51pt" strokecolor="#baf9f5"/>
            <v:rect style="position:absolute;left:7121;top:-1400;width:1449;height:163" filled="true" fillcolor="#baf9f5" stroked="false">
              <v:fill type="solid"/>
            </v:rect>
            <v:line style="position:absolute" from="7116,-1236" to="7116,-1083" stroked="true" strokeweight=".51pt" strokecolor="#baf9f5"/>
            <v:rect style="position:absolute;left:7121;top:-1236;width:1449;height:153" filled="true" fillcolor="#baf9f5" stroked="false">
              <v:fill type="solid"/>
            </v:rect>
            <v:line style="position:absolute" from="7116,-1083" to="7116,-930" stroked="true" strokeweight=".51pt" strokecolor="#baf9f5"/>
            <v:rect style="position:absolute;left:7121;top:-1083;width:1449;height:153" filled="true" fillcolor="#baf9f5" stroked="false">
              <v:fill type="solid"/>
            </v:rect>
            <v:line style="position:absolute" from="7116,-930" to="7116,-777" stroked="true" strokeweight=".51pt" strokecolor="#baf9f5"/>
            <v:rect style="position:absolute;left:7121;top:-930;width:1449;height:153" filled="true" fillcolor="#baf9f5" stroked="false">
              <v:fill type="solid"/>
            </v:rect>
            <v:line style="position:absolute" from="7116,-777" to="7116,-624" stroked="true" strokeweight=".51pt" strokecolor="#baf9f5"/>
            <v:rect style="position:absolute;left:7121;top:-777;width:1449;height:153" filled="true" fillcolor="#baf9f5" stroked="false">
              <v:fill type="solid"/>
            </v:rect>
            <w10:wrap type="none"/>
          </v:group>
        </w:pict>
      </w:r>
      <w:r>
        <w:rPr/>
        <w:pict>
          <v:shape style="position:absolute;margin-left:453.529022pt;margin-top:-69.995132pt;width:33.7pt;height:46.5pt;mso-position-horizontal-relative:page;mso-position-vertical-relative:paragraph;z-index:-1135696" coordorigin="9071,-1400" coordsize="674,930" path="m9744,-777l9071,-777,9071,-634,9071,-624,9071,-470,9744,-470,9744,-624,9744,-634,9744,-777m9744,-1083l9071,-1083,9071,-930,9071,-777,9744,-777,9744,-930,9744,-1083m9744,-1400l9071,-1400,9071,-1236,9071,-1083,9744,-1083,9744,-1236,9744,-1400e" filled="true" fillcolor="#ffff00" stroked="false">
            <v:path arrowok="t"/>
            <v:fill type="solid"/>
            <w10:wrap type="none"/>
          </v:shape>
        </w:pict>
      </w:r>
      <w:r>
        <w:rPr/>
        <w:pict>
          <v:rect style="position:absolute;margin-left:486.70401pt;margin-top:-16.364481pt;width:35.7262pt;height:8.172360pt;mso-position-horizontal-relative:page;mso-position-vertical-relative:paragraph;z-index:-1135672" filled="true" fillcolor="#67ed4d"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rPr>
          <w:sz w:val="20"/>
        </w:rPr>
      </w:pPr>
    </w:p>
    <w:p>
      <w:pPr>
        <w:pStyle w:val="BodyText"/>
        <w:rPr>
          <w:sz w:val="20"/>
        </w:rPr>
      </w:pPr>
    </w:p>
    <w:p>
      <w:pPr>
        <w:pStyle w:val="BodyText"/>
        <w:spacing w:before="211" w:after="25"/>
        <w:ind w:left="268"/>
      </w:pPr>
      <w:r>
        <w:rPr/>
        <w:pict>
          <v:line style="position:absolute;mso-position-horizontal-relative:page;mso-position-vertical-relative:paragraph;z-index:22384" from="93.199997pt,-32.194149pt" to="546.799997pt,-32.194149pt" stroked="true" strokeweight=".479981pt" strokecolor="#000000">
            <w10:wrap type="none"/>
          </v:line>
        </w:pict>
      </w:r>
      <w:r>
        <w:rPr/>
        <w:t>Tabla 52. Datos Valle del Nevado</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43"/>
        <w:gridCol w:w="5246"/>
      </w:tblGrid>
      <w:tr>
        <w:trPr>
          <w:trHeight w:val="670" w:hRule="exact"/>
        </w:trPr>
        <w:tc>
          <w:tcPr>
            <w:tcW w:w="7789" w:type="dxa"/>
            <w:gridSpan w:val="2"/>
            <w:tcBorders>
              <w:left w:val="single" w:sz="8" w:space="0" w:color="000000"/>
              <w:bottom w:val="single" w:sz="8" w:space="0" w:color="BFBFBF"/>
              <w:right w:val="single" w:sz="8" w:space="0" w:color="000000"/>
            </w:tcBorders>
            <w:shd w:val="clear" w:color="auto" w:fill="0D0D0D"/>
          </w:tcPr>
          <w:p>
            <w:pPr>
              <w:pStyle w:val="TableParagraph"/>
              <w:spacing w:before="164"/>
              <w:ind w:left="2898" w:right="2922"/>
              <w:rPr>
                <w:b/>
                <w:sz w:val="24"/>
              </w:rPr>
            </w:pPr>
            <w:r>
              <w:rPr>
                <w:b/>
                <w:color w:val="FFFFFF"/>
                <w:sz w:val="24"/>
              </w:rPr>
              <w:t>Valle del Nevado</w:t>
            </w:r>
          </w:p>
        </w:tc>
      </w:tr>
      <w:tr>
        <w:trPr>
          <w:trHeight w:val="300" w:hRule="exact"/>
        </w:trPr>
        <w:tc>
          <w:tcPr>
            <w:tcW w:w="2543" w:type="dxa"/>
            <w:tcBorders>
              <w:top w:val="single" w:sz="8" w:space="0" w:color="BFBFBF"/>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Empresa</w:t>
            </w:r>
          </w:p>
        </w:tc>
        <w:tc>
          <w:tcPr>
            <w:tcW w:w="5246" w:type="dxa"/>
            <w:tcBorders>
              <w:top w:val="single" w:sz="8" w:space="0" w:color="BFBFBF"/>
              <w:left w:val="single" w:sz="8" w:space="0" w:color="000000"/>
              <w:bottom w:val="single" w:sz="8" w:space="0" w:color="000000"/>
              <w:right w:val="single" w:sz="8" w:space="0" w:color="000000"/>
            </w:tcBorders>
          </w:tcPr>
          <w:p>
            <w:pPr>
              <w:pStyle w:val="TableParagraph"/>
              <w:spacing w:line="274" w:lineRule="exact"/>
              <w:ind w:left="244" w:right="253"/>
              <w:rPr>
                <w:rFonts w:ascii="Calibri" w:hAnsi="Calibri"/>
                <w:sz w:val="24"/>
              </w:rPr>
            </w:pPr>
            <w:r>
              <w:rPr>
                <w:rFonts w:ascii="Calibri" w:hAnsi="Calibri"/>
                <w:sz w:val="24"/>
              </w:rPr>
              <w:t>Proyectos Inmobiliarios de Culiacán, S.A. de C.V.</w:t>
            </w:r>
          </w:p>
        </w:tc>
      </w:tr>
      <w:tr>
        <w:trPr>
          <w:trHeight w:val="300" w:hRule="exact"/>
        </w:trPr>
        <w:tc>
          <w:tcPr>
            <w:tcW w:w="2543"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Tipo de vivienda</w:t>
            </w:r>
          </w:p>
        </w:tc>
        <w:tc>
          <w:tcPr>
            <w:tcW w:w="5246"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17" w:right="253"/>
              <w:rPr>
                <w:rFonts w:ascii="Calibri" w:hAnsi="Calibri"/>
                <w:sz w:val="24"/>
              </w:rPr>
            </w:pPr>
            <w:r>
              <w:rPr>
                <w:rFonts w:ascii="Calibri" w:hAnsi="Calibri"/>
                <w:sz w:val="24"/>
              </w:rPr>
              <w:t>Interés Social</w:t>
            </w:r>
          </w:p>
        </w:tc>
      </w:tr>
      <w:tr>
        <w:trPr>
          <w:trHeight w:val="300" w:hRule="exact"/>
        </w:trPr>
        <w:tc>
          <w:tcPr>
            <w:tcW w:w="2543"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No. de viviendas</w:t>
            </w:r>
          </w:p>
        </w:tc>
        <w:tc>
          <w:tcPr>
            <w:tcW w:w="5246"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22" w:right="253"/>
              <w:rPr>
                <w:rFonts w:ascii="Calibri"/>
                <w:sz w:val="24"/>
              </w:rPr>
            </w:pPr>
            <w:r>
              <w:rPr>
                <w:rFonts w:ascii="Calibri"/>
                <w:sz w:val="24"/>
              </w:rPr>
              <w:t>2,783</w:t>
            </w:r>
          </w:p>
        </w:tc>
      </w:tr>
      <w:tr>
        <w:trPr>
          <w:trHeight w:val="300" w:hRule="exact"/>
        </w:trPr>
        <w:tc>
          <w:tcPr>
            <w:tcW w:w="2543"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V. Medio</w:t>
            </w:r>
          </w:p>
        </w:tc>
        <w:tc>
          <w:tcPr>
            <w:tcW w:w="5246"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right="16"/>
              <w:rPr>
                <w:rFonts w:ascii="Calibri"/>
                <w:sz w:val="24"/>
              </w:rPr>
            </w:pPr>
            <w:r>
              <w:rPr>
                <w:rFonts w:ascii="Calibri"/>
                <w:w w:val="100"/>
                <w:sz w:val="24"/>
              </w:rPr>
              <w:t>0</w:t>
            </w:r>
          </w:p>
        </w:tc>
      </w:tr>
      <w:tr>
        <w:trPr>
          <w:trHeight w:val="300" w:hRule="exact"/>
        </w:trPr>
        <w:tc>
          <w:tcPr>
            <w:tcW w:w="2543"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V. Interés Social</w:t>
            </w:r>
          </w:p>
        </w:tc>
        <w:tc>
          <w:tcPr>
            <w:tcW w:w="5246"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22" w:right="253"/>
              <w:rPr>
                <w:rFonts w:ascii="Calibri"/>
                <w:sz w:val="24"/>
              </w:rPr>
            </w:pPr>
            <w:r>
              <w:rPr>
                <w:rFonts w:ascii="Calibri"/>
                <w:sz w:val="24"/>
              </w:rPr>
              <w:t>2,783</w:t>
            </w:r>
          </w:p>
        </w:tc>
      </w:tr>
      <w:tr>
        <w:trPr>
          <w:trHeight w:val="300" w:hRule="exact"/>
        </w:trPr>
        <w:tc>
          <w:tcPr>
            <w:tcW w:w="2543"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V. Residencial</w:t>
            </w:r>
          </w:p>
        </w:tc>
        <w:tc>
          <w:tcPr>
            <w:tcW w:w="5246"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right="16"/>
              <w:rPr>
                <w:rFonts w:ascii="Calibri"/>
                <w:sz w:val="24"/>
              </w:rPr>
            </w:pPr>
            <w:r>
              <w:rPr>
                <w:rFonts w:ascii="Calibri"/>
                <w:w w:val="100"/>
                <w:sz w:val="24"/>
              </w:rPr>
              <w:t>0</w:t>
            </w:r>
          </w:p>
        </w:tc>
      </w:tr>
      <w:tr>
        <w:trPr>
          <w:trHeight w:val="300" w:hRule="exact"/>
        </w:trPr>
        <w:tc>
          <w:tcPr>
            <w:tcW w:w="2543"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Manzanas</w:t>
            </w:r>
          </w:p>
        </w:tc>
        <w:tc>
          <w:tcPr>
            <w:tcW w:w="5246"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39" w:right="253"/>
              <w:rPr>
                <w:rFonts w:ascii="Calibri"/>
                <w:sz w:val="24"/>
              </w:rPr>
            </w:pPr>
            <w:r>
              <w:rPr>
                <w:rFonts w:ascii="Calibri"/>
                <w:sz w:val="24"/>
              </w:rPr>
              <w:t>25</w:t>
            </w:r>
          </w:p>
        </w:tc>
      </w:tr>
      <w:tr>
        <w:trPr>
          <w:trHeight w:val="300" w:hRule="exact"/>
        </w:trPr>
        <w:tc>
          <w:tcPr>
            <w:tcW w:w="2543"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Lotes</w:t>
            </w:r>
          </w:p>
        </w:tc>
        <w:tc>
          <w:tcPr>
            <w:tcW w:w="5246"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22" w:right="253"/>
              <w:rPr>
                <w:rFonts w:ascii="Calibri"/>
                <w:sz w:val="24"/>
              </w:rPr>
            </w:pPr>
            <w:r>
              <w:rPr>
                <w:rFonts w:ascii="Calibri"/>
                <w:sz w:val="24"/>
              </w:rPr>
              <w:t>1,086</w:t>
            </w:r>
          </w:p>
        </w:tc>
      </w:tr>
      <w:tr>
        <w:trPr>
          <w:trHeight w:val="300" w:hRule="exact"/>
        </w:trPr>
        <w:tc>
          <w:tcPr>
            <w:tcW w:w="2543"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Superficie CU (m2)</w:t>
            </w:r>
          </w:p>
        </w:tc>
        <w:tc>
          <w:tcPr>
            <w:tcW w:w="5246"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44" w:right="246"/>
              <w:rPr>
                <w:rFonts w:ascii="Calibri"/>
                <w:sz w:val="24"/>
              </w:rPr>
            </w:pPr>
            <w:r>
              <w:rPr>
                <w:rFonts w:ascii="Calibri"/>
                <w:sz w:val="24"/>
              </w:rPr>
              <w:t>319,209.920</w:t>
            </w:r>
          </w:p>
        </w:tc>
      </w:tr>
      <w:tr>
        <w:trPr>
          <w:trHeight w:val="300" w:hRule="exact"/>
        </w:trPr>
        <w:tc>
          <w:tcPr>
            <w:tcW w:w="2543"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Pob. Beneficiada</w:t>
            </w:r>
          </w:p>
        </w:tc>
        <w:tc>
          <w:tcPr>
            <w:tcW w:w="5246"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24" w:right="253"/>
              <w:rPr>
                <w:rFonts w:ascii="Calibri"/>
                <w:sz w:val="24"/>
              </w:rPr>
            </w:pPr>
            <w:r>
              <w:rPr>
                <w:rFonts w:ascii="Calibri"/>
                <w:sz w:val="24"/>
              </w:rPr>
              <w:t>12,524</w:t>
            </w:r>
          </w:p>
        </w:tc>
      </w:tr>
      <w:tr>
        <w:trPr>
          <w:trHeight w:val="400" w:hRule="exact"/>
        </w:trPr>
        <w:tc>
          <w:tcPr>
            <w:tcW w:w="2543" w:type="dxa"/>
            <w:tcBorders>
              <w:top w:val="single" w:sz="8" w:space="0" w:color="000000"/>
              <w:left w:val="single" w:sz="8" w:space="0" w:color="000000"/>
              <w:bottom w:val="single" w:sz="8" w:space="0" w:color="000000"/>
              <w:right w:val="single" w:sz="8" w:space="0" w:color="000000"/>
            </w:tcBorders>
          </w:tcPr>
          <w:p>
            <w:pPr>
              <w:pStyle w:val="TableParagraph"/>
              <w:spacing w:before="24"/>
              <w:ind w:left="40"/>
              <w:jc w:val="left"/>
              <w:rPr>
                <w:b/>
                <w:sz w:val="24"/>
              </w:rPr>
            </w:pPr>
            <w:r>
              <w:rPr>
                <w:b/>
                <w:sz w:val="24"/>
              </w:rPr>
              <w:t>Fecha de publicación</w:t>
            </w:r>
          </w:p>
        </w:tc>
        <w:tc>
          <w:tcPr>
            <w:tcW w:w="5246" w:type="dxa"/>
            <w:tcBorders>
              <w:top w:val="single" w:sz="8" w:space="0" w:color="000000"/>
              <w:left w:val="single" w:sz="8" w:space="0" w:color="000000"/>
              <w:bottom w:val="single" w:sz="8" w:space="0" w:color="000000"/>
              <w:right w:val="single" w:sz="8" w:space="0" w:color="000000"/>
            </w:tcBorders>
          </w:tcPr>
          <w:p>
            <w:pPr>
              <w:pStyle w:val="TableParagraph"/>
              <w:spacing w:before="21"/>
              <w:ind w:left="231" w:right="253"/>
              <w:rPr>
                <w:rFonts w:ascii="Calibri"/>
                <w:sz w:val="24"/>
              </w:rPr>
            </w:pPr>
            <w:r>
              <w:rPr>
                <w:rFonts w:ascii="Calibri"/>
                <w:sz w:val="24"/>
              </w:rPr>
              <w:t>02/10/09</w:t>
            </w:r>
          </w:p>
        </w:tc>
      </w:tr>
    </w:tbl>
    <w:p>
      <w:pPr>
        <w:spacing w:before="128"/>
        <w:ind w:left="268" w:right="0" w:firstLine="0"/>
        <w:jc w:val="left"/>
        <w:rPr>
          <w:sz w:val="21"/>
        </w:rPr>
      </w:pPr>
      <w:r>
        <w:rPr>
          <w:w w:val="105"/>
          <w:sz w:val="21"/>
        </w:rPr>
        <w:t>Fuente: Elaboración propia con base al estudio realizado.</w:t>
      </w:r>
    </w:p>
    <w:p>
      <w:pPr>
        <w:pStyle w:val="BodyText"/>
        <w:rPr>
          <w:sz w:val="22"/>
        </w:rPr>
      </w:pPr>
    </w:p>
    <w:p>
      <w:pPr>
        <w:pStyle w:val="BodyText"/>
        <w:spacing w:before="4"/>
        <w:rPr>
          <w:sz w:val="31"/>
        </w:rPr>
      </w:pPr>
    </w:p>
    <w:p>
      <w:pPr>
        <w:pStyle w:val="BodyText"/>
        <w:spacing w:after="13"/>
        <w:ind w:left="268"/>
      </w:pPr>
      <w:r>
        <w:rPr/>
        <w:pict>
          <v:group style="position:absolute;margin-left:364.405487pt;margin-top:49.240604pt;width:74.8pt;height:40.35pt;mso-position-horizontal-relative:page;mso-position-vertical-relative:paragraph;z-index:-1135624" coordorigin="7288,985" coordsize="1496,807">
            <v:line style="position:absolute" from="7294,990" to="7294,1158" stroked="true" strokeweight=".523pt" strokecolor="#baf9f5"/>
            <v:shape style="position:absolute;left:7299;top:990;width:1485;height:639" coordorigin="7299,990" coordsize="1485,639" path="m8784,1472l7299,1472,7299,1629,8784,1629,8784,1472m8784,1315l7299,1315,7299,1472,8784,1472,8784,1315m8784,990l7299,990,7299,1147,7299,1158,7299,1315,8784,1315,8784,1158,8784,1147,8784,990e" filled="true" fillcolor="#baf9f5" stroked="false">
              <v:path arrowok="t"/>
              <v:fill type="solid"/>
            </v:shape>
            <v:line style="position:absolute" from="7294,1147" to="7294,1786" stroked="true" strokeweight=".523pt" strokecolor="#baf9f5"/>
            <v:rect style="position:absolute;left:7299;top:1629;width:1485;height:157" filled="true" fillcolor="#baf9f5" stroked="false">
              <v:fill type="solid"/>
            </v:rect>
            <w10:wrap type="none"/>
          </v:group>
        </w:pict>
      </w:r>
      <w:r>
        <w:rPr/>
        <w:pict>
          <v:group style="position:absolute;margin-left:364.405487pt;margin-top:104.183655pt;width:74.8pt;height:63.9pt;mso-position-horizontal-relative:page;mso-position-vertical-relative:paragraph;z-index:-1135600" coordorigin="7288,2084" coordsize="1496,1278">
            <v:line style="position:absolute" from="7294,2089" to="7294,2257" stroked="true" strokeweight=".523pt" strokecolor="#baf9f5"/>
            <v:rect style="position:absolute;left:7299;top:2089;width:1485;height:167" filled="true" fillcolor="#baf9f5" stroked="false">
              <v:fill type="solid"/>
            </v:rect>
            <v:line style="position:absolute" from="7294,2257" to="7294,2414" stroked="true" strokeweight=".523pt" strokecolor="#baf9f5"/>
            <v:rect style="position:absolute;left:7299;top:2257;width:1485;height:157" filled="true" fillcolor="#baf9f5" stroked="false">
              <v:fill type="solid"/>
            </v:rect>
            <v:line style="position:absolute" from="7294,2414" to="7294,2571" stroked="true" strokeweight=".523pt" strokecolor="#baf9f5"/>
            <v:rect style="position:absolute;left:7299;top:2414;width:1485;height:157" filled="true" fillcolor="#baf9f5" stroked="false">
              <v:fill type="solid"/>
            </v:rect>
            <v:line style="position:absolute" from="7294,2571" to="7294,2728" stroked="true" strokeweight=".523pt" strokecolor="#baf9f5"/>
            <v:rect style="position:absolute;left:7299;top:2571;width:1485;height:157" filled="true" fillcolor="#baf9f5" stroked="false">
              <v:fill type="solid"/>
            </v:rect>
            <v:line style="position:absolute" from="7294,2728" to="7294,2885" stroked="true" strokeweight=".523pt" strokecolor="#baf9f5"/>
            <v:rect style="position:absolute;left:7299;top:2728;width:1485;height:157" filled="true" fillcolor="#baf9f5" stroked="false">
              <v:fill type="solid"/>
            </v:rect>
            <v:line style="position:absolute" from="7294,2885" to="7294,3042" stroked="true" strokeweight=".523pt" strokecolor="#baf9f5"/>
            <v:rect style="position:absolute;left:7299;top:2885;width:1485;height:157" filled="true" fillcolor="#baf9f5" stroked="false">
              <v:fill type="solid"/>
            </v:rect>
            <v:line style="position:absolute" from="7294,3042" to="7294,3198" stroked="true" strokeweight=".523pt" strokecolor="#baf9f5"/>
            <v:rect style="position:absolute;left:7299;top:3042;width:1485;height:157" filled="true" fillcolor="#baf9f5" stroked="false">
              <v:fill type="solid"/>
            </v:rect>
            <v:line style="position:absolute" from="7294,3198" to="7294,3355" stroked="true" strokeweight=".523pt" strokecolor="#baf9f5"/>
            <v:rect style="position:absolute;left:7299;top:3198;width:1485;height:157" filled="true" fillcolor="#baf9f5" stroked="false">
              <v:fill type="solid"/>
            </v:rect>
            <w10:wrap type="none"/>
          </v:group>
        </w:pict>
      </w:r>
      <w:r>
        <w:rPr/>
        <w:pict>
          <v:shape style="position:absolute;margin-left:472.650024pt;margin-top:104.458839pt;width:34.550pt;height:71.2pt;mso-position-horizontal-relative:page;mso-position-vertical-relative:paragraph;z-index:-1135576" coordorigin="9453,2089" coordsize="691,1424" path="m10143,3042l9453,3042,9453,3198,9453,3345,9453,3355,9453,3512,10143,3512,10143,3355,10143,3345,10143,3198,10143,3042m10143,2885l9453,2885,9453,3042,10143,3042,10143,2885m10143,2728l9453,2728,9453,2885,10143,2885,10143,2728m10143,2571l9453,2571,9453,2728,10143,2728,10143,2571m10143,2414l9453,2414,9453,2571,10143,2571,10143,2414m10143,2257l9453,2257,9453,2414,10143,2414,10143,2257m10143,2089l9453,2089,9453,2257,10143,2257,10143,2089e" filled="true" fillcolor="#ffff00" stroked="false">
            <v:path arrowok="t"/>
            <v:fill type="solid"/>
            <w10:wrap type="none"/>
          </v:shape>
        </w:pict>
      </w:r>
      <w:r>
        <w:rPr/>
        <w:t>Tabla 53. ISS Valle del Nevado</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52"/>
        <w:gridCol w:w="2164"/>
        <w:gridCol w:w="2084"/>
        <w:gridCol w:w="1680"/>
        <w:gridCol w:w="882"/>
        <w:gridCol w:w="681"/>
        <w:gridCol w:w="679"/>
      </w:tblGrid>
      <w:tr>
        <w:trPr>
          <w:trHeight w:val="424" w:hRule="exact"/>
        </w:trPr>
        <w:tc>
          <w:tcPr>
            <w:tcW w:w="8821" w:type="dxa"/>
            <w:gridSpan w:val="7"/>
            <w:tcBorders>
              <w:bottom w:val="nil"/>
              <w:right w:val="single" w:sz="4" w:space="0" w:color="CB5AD4"/>
            </w:tcBorders>
            <w:shd w:val="clear" w:color="auto" w:fill="000000"/>
          </w:tcPr>
          <w:p>
            <w:pPr>
              <w:pStyle w:val="TableParagraph"/>
              <w:spacing w:before="60"/>
              <w:ind w:left="3442" w:right="3435"/>
              <w:rPr>
                <w:b/>
                <w:sz w:val="12"/>
              </w:rPr>
            </w:pPr>
            <w:r>
              <w:rPr>
                <w:b/>
                <w:color w:val="FFFFFF"/>
                <w:w w:val="105"/>
                <w:sz w:val="12"/>
              </w:rPr>
              <w:t>Valle del Nevado</w:t>
            </w:r>
          </w:p>
          <w:p>
            <w:pPr>
              <w:pStyle w:val="TableParagraph"/>
              <w:spacing w:before="19"/>
              <w:ind w:left="3442" w:right="3435"/>
              <w:rPr>
                <w:b/>
                <w:sz w:val="12"/>
              </w:rPr>
            </w:pPr>
            <w:r>
              <w:rPr>
                <w:b/>
                <w:color w:val="FFFFFF"/>
                <w:w w:val="105"/>
                <w:sz w:val="12"/>
              </w:rPr>
              <w:t>Índice de sustentabilidad social</w:t>
            </w:r>
          </w:p>
        </w:tc>
      </w:tr>
      <w:tr>
        <w:trPr>
          <w:trHeight w:val="246" w:hRule="exact"/>
        </w:trPr>
        <w:tc>
          <w:tcPr>
            <w:tcW w:w="652" w:type="dxa"/>
            <w:tcBorders>
              <w:top w:val="single" w:sz="4" w:space="0" w:color="FFFFFF"/>
              <w:left w:val="single" w:sz="4" w:space="0" w:color="000000"/>
            </w:tcBorders>
            <w:shd w:val="clear" w:color="auto" w:fill="808080"/>
          </w:tcPr>
          <w:p>
            <w:pPr>
              <w:pStyle w:val="TableParagraph"/>
              <w:spacing w:before="18"/>
              <w:ind w:right="104"/>
              <w:jc w:val="right"/>
              <w:rPr>
                <w:b/>
                <w:sz w:val="12"/>
              </w:rPr>
            </w:pPr>
            <w:r>
              <w:rPr>
                <w:b/>
                <w:color w:val="FFFFFF"/>
                <w:sz w:val="12"/>
              </w:rPr>
              <w:t>Índice</w:t>
            </w:r>
          </w:p>
        </w:tc>
        <w:tc>
          <w:tcPr>
            <w:tcW w:w="2164" w:type="dxa"/>
            <w:tcBorders>
              <w:top w:val="single" w:sz="4" w:space="0" w:color="FFFFFF"/>
            </w:tcBorders>
            <w:shd w:val="clear" w:color="auto" w:fill="808080"/>
          </w:tcPr>
          <w:p>
            <w:pPr>
              <w:pStyle w:val="TableParagraph"/>
              <w:spacing w:before="18"/>
              <w:ind w:left="106"/>
              <w:jc w:val="left"/>
              <w:rPr>
                <w:b/>
                <w:sz w:val="12"/>
              </w:rPr>
            </w:pPr>
            <w:r>
              <w:rPr>
                <w:b/>
                <w:color w:val="FFFFFF"/>
                <w:w w:val="105"/>
                <w:sz w:val="12"/>
              </w:rPr>
              <w:t>Subíndice</w:t>
            </w:r>
          </w:p>
        </w:tc>
        <w:tc>
          <w:tcPr>
            <w:tcW w:w="2084" w:type="dxa"/>
            <w:tcBorders>
              <w:top w:val="single" w:sz="4" w:space="0" w:color="FFFFFF"/>
            </w:tcBorders>
            <w:shd w:val="clear" w:color="auto" w:fill="808080"/>
          </w:tcPr>
          <w:p>
            <w:pPr>
              <w:pStyle w:val="TableParagraph"/>
              <w:spacing w:before="18"/>
              <w:ind w:left="34" w:right="564"/>
              <w:jc w:val="left"/>
              <w:rPr>
                <w:b/>
                <w:sz w:val="12"/>
              </w:rPr>
            </w:pPr>
            <w:r>
              <w:rPr>
                <w:b/>
                <w:color w:val="FFFFFF"/>
                <w:w w:val="105"/>
                <w:sz w:val="12"/>
              </w:rPr>
              <w:t>Indicador</w:t>
            </w:r>
          </w:p>
        </w:tc>
        <w:tc>
          <w:tcPr>
            <w:tcW w:w="1680" w:type="dxa"/>
            <w:tcBorders>
              <w:top w:val="single" w:sz="4" w:space="0" w:color="FFFFFF"/>
            </w:tcBorders>
            <w:shd w:val="clear" w:color="auto" w:fill="808080"/>
          </w:tcPr>
          <w:p>
            <w:pPr/>
          </w:p>
        </w:tc>
        <w:tc>
          <w:tcPr>
            <w:tcW w:w="882" w:type="dxa"/>
            <w:tcBorders>
              <w:top w:val="single" w:sz="4" w:space="0" w:color="FFFFFF"/>
            </w:tcBorders>
            <w:shd w:val="clear" w:color="auto" w:fill="808080"/>
          </w:tcPr>
          <w:p>
            <w:pPr>
              <w:pStyle w:val="TableParagraph"/>
              <w:spacing w:before="18"/>
              <w:ind w:left="264"/>
              <w:jc w:val="left"/>
              <w:rPr>
                <w:b/>
                <w:sz w:val="12"/>
              </w:rPr>
            </w:pPr>
            <w:r>
              <w:rPr>
                <w:b/>
                <w:color w:val="FFFFFF"/>
                <w:w w:val="105"/>
                <w:sz w:val="12"/>
              </w:rPr>
              <w:t>Valores</w:t>
            </w:r>
          </w:p>
        </w:tc>
        <w:tc>
          <w:tcPr>
            <w:tcW w:w="681" w:type="dxa"/>
            <w:tcBorders>
              <w:top w:val="single" w:sz="4" w:space="0" w:color="FFFFFF"/>
            </w:tcBorders>
            <w:shd w:val="clear" w:color="auto" w:fill="808080"/>
          </w:tcPr>
          <w:p>
            <w:pPr/>
          </w:p>
        </w:tc>
        <w:tc>
          <w:tcPr>
            <w:tcW w:w="679" w:type="dxa"/>
            <w:tcBorders>
              <w:top w:val="single" w:sz="4" w:space="0" w:color="FFFFFF"/>
              <w:right w:val="single" w:sz="8" w:space="0" w:color="000000"/>
            </w:tcBorders>
            <w:shd w:val="clear" w:color="auto" w:fill="808080"/>
          </w:tcPr>
          <w:p>
            <w:pPr/>
          </w:p>
        </w:tc>
      </w:tr>
      <w:tr>
        <w:trPr>
          <w:trHeight w:val="191" w:hRule="exact"/>
        </w:trPr>
        <w:tc>
          <w:tcPr>
            <w:tcW w:w="652" w:type="dxa"/>
            <w:vMerge w:val="restart"/>
            <w:tcBorders>
              <w:left w:val="single" w:sz="4" w:space="0" w:color="000000"/>
            </w:tcBorders>
          </w:tcPr>
          <w:p>
            <w:pPr/>
          </w:p>
        </w:tc>
        <w:tc>
          <w:tcPr>
            <w:tcW w:w="2164" w:type="dxa"/>
            <w:vMerge w:val="restart"/>
          </w:tcPr>
          <w:p>
            <w:pPr>
              <w:pStyle w:val="TableParagraph"/>
              <w:jc w:val="left"/>
              <w:rPr>
                <w:sz w:val="12"/>
              </w:rPr>
            </w:pPr>
          </w:p>
          <w:p>
            <w:pPr>
              <w:pStyle w:val="TableParagraph"/>
              <w:jc w:val="left"/>
              <w:rPr>
                <w:sz w:val="12"/>
              </w:rPr>
            </w:pPr>
          </w:p>
          <w:p>
            <w:pPr>
              <w:pStyle w:val="TableParagraph"/>
              <w:jc w:val="left"/>
              <w:rPr>
                <w:sz w:val="13"/>
              </w:rPr>
            </w:pPr>
          </w:p>
          <w:p>
            <w:pPr>
              <w:pStyle w:val="TableParagraph"/>
              <w:spacing w:before="1"/>
              <w:ind w:left="106"/>
              <w:jc w:val="left"/>
              <w:rPr>
                <w:sz w:val="12"/>
              </w:rPr>
            </w:pPr>
            <w:r>
              <w:rPr>
                <w:w w:val="105"/>
                <w:sz w:val="12"/>
              </w:rPr>
              <w:t>Habitabilidad</w:t>
            </w:r>
          </w:p>
        </w:tc>
        <w:tc>
          <w:tcPr>
            <w:tcW w:w="2084" w:type="dxa"/>
            <w:vMerge w:val="restart"/>
          </w:tcPr>
          <w:p>
            <w:pPr>
              <w:pStyle w:val="TableParagraph"/>
              <w:jc w:val="left"/>
              <w:rPr>
                <w:sz w:val="17"/>
              </w:rPr>
            </w:pPr>
          </w:p>
          <w:p>
            <w:pPr>
              <w:pStyle w:val="TableParagraph"/>
              <w:spacing w:line="273" w:lineRule="auto"/>
              <w:ind w:left="34" w:right="564"/>
              <w:jc w:val="left"/>
              <w:rPr>
                <w:sz w:val="12"/>
              </w:rPr>
            </w:pPr>
            <w:r>
              <w:rPr>
                <w:w w:val="105"/>
                <w:sz w:val="12"/>
              </w:rPr>
              <w:t>Espacios habitables Metros de construcción Metros de terreno Hacinamiento</w:t>
            </w:r>
          </w:p>
        </w:tc>
        <w:tc>
          <w:tcPr>
            <w:tcW w:w="1680" w:type="dxa"/>
            <w:vMerge w:val="restart"/>
          </w:tcPr>
          <w:p>
            <w:pPr>
              <w:pStyle w:val="TableParagraph"/>
              <w:spacing w:before="39"/>
              <w:ind w:left="793" w:right="180"/>
              <w:rPr>
                <w:b/>
                <w:sz w:val="12"/>
              </w:rPr>
            </w:pPr>
            <w:r>
              <w:rPr>
                <w:b/>
                <w:w w:val="105"/>
                <w:sz w:val="12"/>
              </w:rPr>
              <w:t>Evaluación</w:t>
            </w:r>
          </w:p>
          <w:p>
            <w:pPr>
              <w:pStyle w:val="TableParagraph"/>
              <w:spacing w:before="19"/>
              <w:ind w:left="786" w:right="180"/>
              <w:rPr>
                <w:sz w:val="12"/>
              </w:rPr>
            </w:pPr>
            <w:r>
              <w:rPr>
                <w:w w:val="105"/>
                <w:sz w:val="12"/>
              </w:rPr>
              <w:t>0.6</w:t>
            </w:r>
          </w:p>
          <w:p>
            <w:pPr>
              <w:pStyle w:val="TableParagraph"/>
              <w:spacing w:before="19"/>
              <w:ind w:left="786" w:right="180"/>
              <w:rPr>
                <w:sz w:val="12"/>
              </w:rPr>
            </w:pPr>
            <w:r>
              <w:rPr>
                <w:w w:val="105"/>
                <w:sz w:val="12"/>
              </w:rPr>
              <w:t>0.5</w:t>
            </w:r>
          </w:p>
          <w:p>
            <w:pPr>
              <w:pStyle w:val="TableParagraph"/>
              <w:spacing w:before="19"/>
              <w:ind w:left="786" w:right="180"/>
              <w:rPr>
                <w:sz w:val="12"/>
              </w:rPr>
            </w:pPr>
            <w:r>
              <w:rPr>
                <w:w w:val="105"/>
                <w:sz w:val="12"/>
              </w:rPr>
              <w:t>0.6</w:t>
            </w:r>
          </w:p>
          <w:p>
            <w:pPr>
              <w:pStyle w:val="TableParagraph"/>
              <w:spacing w:before="19"/>
              <w:ind w:left="605"/>
              <w:rPr>
                <w:sz w:val="12"/>
              </w:rPr>
            </w:pPr>
            <w:r>
              <w:rPr>
                <w:w w:val="104"/>
                <w:sz w:val="12"/>
              </w:rPr>
              <w:t>1</w:t>
            </w:r>
          </w:p>
          <w:p>
            <w:pPr>
              <w:pStyle w:val="TableParagraph"/>
              <w:spacing w:before="19"/>
              <w:ind w:left="779" w:right="180"/>
              <w:rPr>
                <w:sz w:val="12"/>
              </w:rPr>
            </w:pPr>
            <w:r>
              <w:rPr>
                <w:w w:val="105"/>
                <w:sz w:val="12"/>
              </w:rPr>
              <w:t>Subtotal</w:t>
            </w:r>
          </w:p>
        </w:tc>
        <w:tc>
          <w:tcPr>
            <w:tcW w:w="882" w:type="dxa"/>
            <w:vMerge w:val="restart"/>
          </w:tcPr>
          <w:p>
            <w:pPr>
              <w:pStyle w:val="TableParagraph"/>
              <w:tabs>
                <w:tab w:pos="892" w:val="left" w:leader="none"/>
              </w:tabs>
              <w:spacing w:before="39"/>
              <w:ind w:left="202" w:right="-11"/>
              <w:jc w:val="left"/>
              <w:rPr>
                <w:b/>
                <w:sz w:val="12"/>
              </w:rPr>
            </w:pPr>
            <w:r>
              <w:rPr>
                <w:b/>
                <w:w w:val="104"/>
                <w:sz w:val="12"/>
                <w:shd w:fill="F79646" w:color="auto" w:val="clear"/>
              </w:rPr>
              <w:t> </w:t>
            </w:r>
            <w:r>
              <w:rPr>
                <w:b/>
                <w:sz w:val="12"/>
                <w:shd w:fill="F79646" w:color="auto" w:val="clear"/>
              </w:rPr>
              <w:t>    </w:t>
            </w:r>
            <w:r>
              <w:rPr>
                <w:b/>
                <w:spacing w:val="7"/>
                <w:sz w:val="12"/>
                <w:shd w:fill="F79646" w:color="auto" w:val="clear"/>
              </w:rPr>
              <w:t> </w:t>
            </w:r>
            <w:r>
              <w:rPr>
                <w:b/>
                <w:w w:val="105"/>
                <w:sz w:val="12"/>
                <w:shd w:fill="F79646" w:color="auto" w:val="clear"/>
              </w:rPr>
              <w:t>Real</w:t>
            </w:r>
            <w:r>
              <w:rPr>
                <w:b/>
                <w:sz w:val="12"/>
                <w:shd w:fill="F79646" w:color="auto" w:val="clear"/>
              </w:rPr>
              <w:tab/>
            </w: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tabs>
                <w:tab w:pos="463" w:val="left" w:leader="none"/>
                <w:tab w:pos="892" w:val="left" w:leader="none"/>
              </w:tabs>
              <w:spacing w:before="95"/>
              <w:ind w:left="202" w:right="-11"/>
              <w:jc w:val="left"/>
              <w:rPr>
                <w:sz w:val="12"/>
              </w:rPr>
            </w:pPr>
            <w:r>
              <w:rPr>
                <w:w w:val="104"/>
                <w:sz w:val="12"/>
                <w:shd w:fill="F79646" w:color="auto" w:val="clear"/>
              </w:rPr>
              <w:t> </w:t>
            </w:r>
            <w:r>
              <w:rPr>
                <w:sz w:val="12"/>
                <w:shd w:fill="F79646" w:color="auto" w:val="clear"/>
              </w:rPr>
              <w:tab/>
            </w:r>
            <w:r>
              <w:rPr>
                <w:w w:val="105"/>
                <w:sz w:val="12"/>
                <w:shd w:fill="F79646" w:color="auto" w:val="clear"/>
              </w:rPr>
              <w:t>2.7</w:t>
            </w:r>
            <w:r>
              <w:rPr>
                <w:sz w:val="12"/>
                <w:shd w:fill="F79646" w:color="auto" w:val="clear"/>
              </w:rPr>
              <w:tab/>
            </w:r>
          </w:p>
        </w:tc>
        <w:tc>
          <w:tcPr>
            <w:tcW w:w="681" w:type="dxa"/>
            <w:tcBorders>
              <w:right w:val="single" w:sz="4" w:space="0" w:color="FFFFFF"/>
            </w:tcBorders>
            <w:shd w:val="clear" w:color="auto" w:fill="FFFF00"/>
          </w:tcPr>
          <w:p>
            <w:pPr>
              <w:pStyle w:val="TableParagraph"/>
              <w:spacing w:before="39"/>
              <w:ind w:left="51" w:right="30"/>
              <w:rPr>
                <w:b/>
                <w:sz w:val="12"/>
              </w:rPr>
            </w:pPr>
            <w:r>
              <w:rPr>
                <w:b/>
                <w:w w:val="105"/>
                <w:sz w:val="12"/>
              </w:rPr>
              <w:t>Deseable</w:t>
            </w:r>
          </w:p>
        </w:tc>
        <w:tc>
          <w:tcPr>
            <w:tcW w:w="679" w:type="dxa"/>
            <w:tcBorders>
              <w:left w:val="single" w:sz="4" w:space="0" w:color="FFFFFF"/>
              <w:right w:val="single" w:sz="8" w:space="0" w:color="000000"/>
            </w:tcBorders>
            <w:shd w:val="clear" w:color="auto" w:fill="67ED4D"/>
          </w:tcPr>
          <w:p>
            <w:pPr>
              <w:pStyle w:val="TableParagraph"/>
              <w:spacing w:before="39"/>
              <w:ind w:left="98" w:right="84"/>
              <w:rPr>
                <w:b/>
                <w:sz w:val="12"/>
              </w:rPr>
            </w:pPr>
            <w:r>
              <w:rPr>
                <w:b/>
                <w:w w:val="105"/>
                <w:sz w:val="12"/>
              </w:rPr>
              <w:t>Óptimo</w:t>
            </w:r>
          </w:p>
        </w:tc>
      </w:tr>
      <w:tr>
        <w:trPr>
          <w:trHeight w:val="157" w:hRule="exact"/>
        </w:trPr>
        <w:tc>
          <w:tcPr>
            <w:tcW w:w="652" w:type="dxa"/>
            <w:vMerge/>
            <w:tcBorders>
              <w:left w:val="single" w:sz="4" w:space="0" w:color="000000"/>
            </w:tcBorders>
          </w:tcPr>
          <w:p>
            <w:pPr/>
          </w:p>
        </w:tc>
        <w:tc>
          <w:tcPr>
            <w:tcW w:w="2164" w:type="dxa"/>
            <w:vMerge/>
          </w:tcPr>
          <w:p>
            <w:pPr/>
          </w:p>
        </w:tc>
        <w:tc>
          <w:tcPr>
            <w:tcW w:w="2084" w:type="dxa"/>
            <w:vMerge/>
          </w:tcPr>
          <w:p>
            <w:pPr/>
          </w:p>
        </w:tc>
        <w:tc>
          <w:tcPr>
            <w:tcW w:w="1680" w:type="dxa"/>
            <w:vMerge/>
          </w:tcPr>
          <w:p>
            <w:pPr/>
          </w:p>
        </w:tc>
        <w:tc>
          <w:tcPr>
            <w:tcW w:w="882" w:type="dxa"/>
            <w:vMerge/>
          </w:tcPr>
          <w:p>
            <w:pPr/>
          </w:p>
        </w:tc>
        <w:tc>
          <w:tcPr>
            <w:tcW w:w="681" w:type="dxa"/>
            <w:tcBorders>
              <w:right w:val="single" w:sz="4" w:space="0" w:color="FFFFFF"/>
            </w:tcBorders>
            <w:shd w:val="clear" w:color="auto" w:fill="FFFF00"/>
          </w:tcPr>
          <w:p>
            <w:pPr>
              <w:pStyle w:val="TableParagraph"/>
              <w:spacing w:before="5"/>
              <w:ind w:left="51" w:right="30"/>
              <w:rPr>
                <w:sz w:val="12"/>
              </w:rPr>
            </w:pPr>
            <w:r>
              <w:rPr>
                <w:w w:val="105"/>
                <w:sz w:val="12"/>
              </w:rPr>
              <w:t>0.7</w:t>
            </w:r>
          </w:p>
        </w:tc>
        <w:tc>
          <w:tcPr>
            <w:tcW w:w="679" w:type="dxa"/>
            <w:tcBorders>
              <w:left w:val="single" w:sz="4" w:space="0" w:color="FFFFFF"/>
              <w:right w:val="single" w:sz="8" w:space="0" w:color="000000"/>
            </w:tcBorders>
            <w:shd w:val="clear" w:color="auto" w:fill="67ED4D"/>
          </w:tcPr>
          <w:p>
            <w:pPr>
              <w:pStyle w:val="TableParagraph"/>
              <w:spacing w:before="5"/>
              <w:ind w:left="21"/>
              <w:rPr>
                <w:sz w:val="12"/>
              </w:rPr>
            </w:pPr>
            <w:r>
              <w:rPr>
                <w:w w:val="104"/>
                <w:sz w:val="12"/>
              </w:rPr>
              <w:t>1</w:t>
            </w:r>
          </w:p>
        </w:tc>
      </w:tr>
      <w:tr>
        <w:trPr>
          <w:trHeight w:val="157" w:hRule="exact"/>
        </w:trPr>
        <w:tc>
          <w:tcPr>
            <w:tcW w:w="652" w:type="dxa"/>
            <w:vMerge/>
            <w:tcBorders>
              <w:left w:val="single" w:sz="4" w:space="0" w:color="000000"/>
            </w:tcBorders>
          </w:tcPr>
          <w:p>
            <w:pPr/>
          </w:p>
        </w:tc>
        <w:tc>
          <w:tcPr>
            <w:tcW w:w="2164" w:type="dxa"/>
            <w:vMerge/>
          </w:tcPr>
          <w:p>
            <w:pPr/>
          </w:p>
        </w:tc>
        <w:tc>
          <w:tcPr>
            <w:tcW w:w="2084" w:type="dxa"/>
            <w:vMerge/>
          </w:tcPr>
          <w:p>
            <w:pPr/>
          </w:p>
        </w:tc>
        <w:tc>
          <w:tcPr>
            <w:tcW w:w="1680" w:type="dxa"/>
            <w:vMerge/>
          </w:tcPr>
          <w:p>
            <w:pPr/>
          </w:p>
        </w:tc>
        <w:tc>
          <w:tcPr>
            <w:tcW w:w="882" w:type="dxa"/>
            <w:vMerge/>
          </w:tcPr>
          <w:p>
            <w:pPr/>
          </w:p>
        </w:tc>
        <w:tc>
          <w:tcPr>
            <w:tcW w:w="681" w:type="dxa"/>
            <w:tcBorders>
              <w:right w:val="single" w:sz="4" w:space="0" w:color="FFFFFF"/>
            </w:tcBorders>
            <w:shd w:val="clear" w:color="auto" w:fill="FFFF00"/>
          </w:tcPr>
          <w:p>
            <w:pPr>
              <w:pStyle w:val="TableParagraph"/>
              <w:spacing w:before="5"/>
              <w:ind w:left="51" w:right="30"/>
              <w:rPr>
                <w:sz w:val="12"/>
              </w:rPr>
            </w:pPr>
            <w:r>
              <w:rPr>
                <w:w w:val="105"/>
                <w:sz w:val="12"/>
              </w:rPr>
              <w:t>0.9</w:t>
            </w:r>
          </w:p>
        </w:tc>
        <w:tc>
          <w:tcPr>
            <w:tcW w:w="679" w:type="dxa"/>
            <w:tcBorders>
              <w:left w:val="single" w:sz="4" w:space="0" w:color="FFFFFF"/>
              <w:right w:val="single" w:sz="8" w:space="0" w:color="000000"/>
            </w:tcBorders>
            <w:shd w:val="clear" w:color="auto" w:fill="67ED4D"/>
          </w:tcPr>
          <w:p>
            <w:pPr>
              <w:pStyle w:val="TableParagraph"/>
              <w:spacing w:before="5"/>
              <w:ind w:left="21"/>
              <w:rPr>
                <w:sz w:val="12"/>
              </w:rPr>
            </w:pPr>
            <w:r>
              <w:rPr>
                <w:w w:val="104"/>
                <w:sz w:val="12"/>
              </w:rPr>
              <w:t>1</w:t>
            </w:r>
          </w:p>
        </w:tc>
      </w:tr>
      <w:tr>
        <w:trPr>
          <w:trHeight w:val="157" w:hRule="exact"/>
        </w:trPr>
        <w:tc>
          <w:tcPr>
            <w:tcW w:w="652" w:type="dxa"/>
            <w:vMerge/>
            <w:tcBorders>
              <w:left w:val="single" w:sz="4" w:space="0" w:color="000000"/>
            </w:tcBorders>
          </w:tcPr>
          <w:p>
            <w:pPr/>
          </w:p>
        </w:tc>
        <w:tc>
          <w:tcPr>
            <w:tcW w:w="2164" w:type="dxa"/>
            <w:vMerge/>
          </w:tcPr>
          <w:p>
            <w:pPr/>
          </w:p>
        </w:tc>
        <w:tc>
          <w:tcPr>
            <w:tcW w:w="2084" w:type="dxa"/>
            <w:vMerge/>
          </w:tcPr>
          <w:p>
            <w:pPr/>
          </w:p>
        </w:tc>
        <w:tc>
          <w:tcPr>
            <w:tcW w:w="1680" w:type="dxa"/>
            <w:vMerge/>
          </w:tcPr>
          <w:p>
            <w:pPr/>
          </w:p>
        </w:tc>
        <w:tc>
          <w:tcPr>
            <w:tcW w:w="882" w:type="dxa"/>
            <w:vMerge/>
          </w:tcPr>
          <w:p>
            <w:pPr/>
          </w:p>
        </w:tc>
        <w:tc>
          <w:tcPr>
            <w:tcW w:w="681" w:type="dxa"/>
            <w:tcBorders>
              <w:right w:val="single" w:sz="4" w:space="0" w:color="FFFFFF"/>
            </w:tcBorders>
            <w:shd w:val="clear" w:color="auto" w:fill="FFFF00"/>
          </w:tcPr>
          <w:p>
            <w:pPr>
              <w:pStyle w:val="TableParagraph"/>
              <w:spacing w:before="5"/>
              <w:ind w:left="51" w:right="30"/>
              <w:rPr>
                <w:sz w:val="12"/>
              </w:rPr>
            </w:pPr>
            <w:r>
              <w:rPr>
                <w:w w:val="105"/>
                <w:sz w:val="12"/>
              </w:rPr>
              <w:t>0.8</w:t>
            </w:r>
          </w:p>
        </w:tc>
        <w:tc>
          <w:tcPr>
            <w:tcW w:w="679" w:type="dxa"/>
            <w:tcBorders>
              <w:left w:val="single" w:sz="4" w:space="0" w:color="FFFFFF"/>
              <w:right w:val="single" w:sz="8" w:space="0" w:color="000000"/>
            </w:tcBorders>
            <w:shd w:val="clear" w:color="auto" w:fill="67ED4D"/>
          </w:tcPr>
          <w:p>
            <w:pPr>
              <w:pStyle w:val="TableParagraph"/>
              <w:spacing w:before="5"/>
              <w:ind w:left="21"/>
              <w:rPr>
                <w:sz w:val="12"/>
              </w:rPr>
            </w:pPr>
            <w:r>
              <w:rPr>
                <w:w w:val="104"/>
                <w:sz w:val="12"/>
              </w:rPr>
              <w:t>1</w:t>
            </w:r>
          </w:p>
        </w:tc>
      </w:tr>
      <w:tr>
        <w:trPr>
          <w:trHeight w:val="157" w:hRule="exact"/>
        </w:trPr>
        <w:tc>
          <w:tcPr>
            <w:tcW w:w="652" w:type="dxa"/>
            <w:vMerge/>
            <w:tcBorders>
              <w:left w:val="single" w:sz="4" w:space="0" w:color="000000"/>
            </w:tcBorders>
          </w:tcPr>
          <w:p>
            <w:pPr/>
          </w:p>
        </w:tc>
        <w:tc>
          <w:tcPr>
            <w:tcW w:w="2164" w:type="dxa"/>
            <w:vMerge/>
          </w:tcPr>
          <w:p>
            <w:pPr/>
          </w:p>
        </w:tc>
        <w:tc>
          <w:tcPr>
            <w:tcW w:w="2084" w:type="dxa"/>
            <w:vMerge/>
          </w:tcPr>
          <w:p>
            <w:pPr/>
          </w:p>
        </w:tc>
        <w:tc>
          <w:tcPr>
            <w:tcW w:w="1680" w:type="dxa"/>
            <w:vMerge/>
          </w:tcPr>
          <w:p>
            <w:pPr/>
          </w:p>
        </w:tc>
        <w:tc>
          <w:tcPr>
            <w:tcW w:w="882" w:type="dxa"/>
            <w:vMerge/>
          </w:tcPr>
          <w:p>
            <w:pPr/>
          </w:p>
        </w:tc>
        <w:tc>
          <w:tcPr>
            <w:tcW w:w="681" w:type="dxa"/>
            <w:tcBorders>
              <w:right w:val="single" w:sz="4" w:space="0" w:color="FFFFFF"/>
            </w:tcBorders>
            <w:shd w:val="clear" w:color="auto" w:fill="FFFF00"/>
          </w:tcPr>
          <w:p>
            <w:pPr>
              <w:pStyle w:val="TableParagraph"/>
              <w:spacing w:before="5"/>
              <w:ind w:left="51" w:right="30"/>
              <w:rPr>
                <w:sz w:val="12"/>
              </w:rPr>
            </w:pPr>
            <w:r>
              <w:rPr>
                <w:w w:val="105"/>
                <w:sz w:val="12"/>
              </w:rPr>
              <w:t>0.5</w:t>
            </w:r>
          </w:p>
        </w:tc>
        <w:tc>
          <w:tcPr>
            <w:tcW w:w="679" w:type="dxa"/>
            <w:tcBorders>
              <w:left w:val="single" w:sz="4" w:space="0" w:color="FFFFFF"/>
              <w:right w:val="single" w:sz="8" w:space="0" w:color="000000"/>
            </w:tcBorders>
            <w:shd w:val="clear" w:color="auto" w:fill="67ED4D"/>
          </w:tcPr>
          <w:p>
            <w:pPr>
              <w:pStyle w:val="TableParagraph"/>
              <w:spacing w:before="5"/>
              <w:ind w:left="21"/>
              <w:rPr>
                <w:sz w:val="12"/>
              </w:rPr>
            </w:pPr>
            <w:r>
              <w:rPr>
                <w:w w:val="104"/>
                <w:sz w:val="12"/>
              </w:rPr>
              <w:t>1</w:t>
            </w:r>
          </w:p>
        </w:tc>
      </w:tr>
      <w:tr>
        <w:trPr>
          <w:trHeight w:val="165" w:hRule="exact"/>
        </w:trPr>
        <w:tc>
          <w:tcPr>
            <w:tcW w:w="652" w:type="dxa"/>
            <w:vMerge/>
            <w:tcBorders>
              <w:left w:val="single" w:sz="4" w:space="0" w:color="000000"/>
            </w:tcBorders>
          </w:tcPr>
          <w:p>
            <w:pPr/>
          </w:p>
        </w:tc>
        <w:tc>
          <w:tcPr>
            <w:tcW w:w="2164" w:type="dxa"/>
            <w:vMerge/>
          </w:tcPr>
          <w:p>
            <w:pPr/>
          </w:p>
        </w:tc>
        <w:tc>
          <w:tcPr>
            <w:tcW w:w="2084" w:type="dxa"/>
            <w:vMerge/>
          </w:tcPr>
          <w:p>
            <w:pPr/>
          </w:p>
        </w:tc>
        <w:tc>
          <w:tcPr>
            <w:tcW w:w="1680" w:type="dxa"/>
            <w:vMerge/>
          </w:tcPr>
          <w:p>
            <w:pPr/>
          </w:p>
        </w:tc>
        <w:tc>
          <w:tcPr>
            <w:tcW w:w="882" w:type="dxa"/>
            <w:vMerge/>
          </w:tcPr>
          <w:p>
            <w:pPr/>
          </w:p>
        </w:tc>
        <w:tc>
          <w:tcPr>
            <w:tcW w:w="681" w:type="dxa"/>
            <w:tcBorders>
              <w:right w:val="single" w:sz="4" w:space="0" w:color="FFFFFF"/>
            </w:tcBorders>
            <w:shd w:val="clear" w:color="auto" w:fill="FFFF00"/>
          </w:tcPr>
          <w:p>
            <w:pPr>
              <w:pStyle w:val="TableParagraph"/>
              <w:spacing w:before="5"/>
              <w:ind w:left="51" w:right="30"/>
              <w:rPr>
                <w:sz w:val="12"/>
              </w:rPr>
            </w:pPr>
            <w:r>
              <w:rPr>
                <w:w w:val="105"/>
                <w:sz w:val="12"/>
              </w:rPr>
              <w:t>2.9</w:t>
            </w:r>
          </w:p>
        </w:tc>
        <w:tc>
          <w:tcPr>
            <w:tcW w:w="679" w:type="dxa"/>
            <w:tcBorders>
              <w:left w:val="single" w:sz="4" w:space="0" w:color="FFFFFF"/>
              <w:right w:val="single" w:sz="8" w:space="0" w:color="000000"/>
            </w:tcBorders>
            <w:shd w:val="clear" w:color="auto" w:fill="67ED4D"/>
          </w:tcPr>
          <w:p>
            <w:pPr>
              <w:pStyle w:val="TableParagraph"/>
              <w:spacing w:before="5"/>
              <w:ind w:left="21"/>
              <w:rPr>
                <w:sz w:val="12"/>
              </w:rPr>
            </w:pPr>
            <w:r>
              <w:rPr>
                <w:w w:val="104"/>
                <w:sz w:val="12"/>
              </w:rPr>
              <w:t>4</w:t>
            </w:r>
          </w:p>
        </w:tc>
      </w:tr>
      <w:tr>
        <w:trPr>
          <w:trHeight w:val="147" w:hRule="exact"/>
        </w:trPr>
        <w:tc>
          <w:tcPr>
            <w:tcW w:w="8821" w:type="dxa"/>
            <w:gridSpan w:val="7"/>
            <w:tcBorders>
              <w:left w:val="single" w:sz="4" w:space="0" w:color="000000"/>
              <w:right w:val="single" w:sz="8" w:space="0" w:color="000000"/>
            </w:tcBorders>
          </w:tcPr>
          <w:p>
            <w:pPr/>
          </w:p>
        </w:tc>
      </w:tr>
      <w:tr>
        <w:trPr>
          <w:trHeight w:val="160" w:hRule="exact"/>
        </w:trPr>
        <w:tc>
          <w:tcPr>
            <w:tcW w:w="652" w:type="dxa"/>
            <w:tcBorders>
              <w:left w:val="single" w:sz="4" w:space="0" w:color="000000"/>
            </w:tcBorders>
          </w:tcPr>
          <w:p>
            <w:pPr/>
          </w:p>
        </w:tc>
        <w:tc>
          <w:tcPr>
            <w:tcW w:w="2164" w:type="dxa"/>
          </w:tcPr>
          <w:p>
            <w:pPr/>
          </w:p>
        </w:tc>
        <w:tc>
          <w:tcPr>
            <w:tcW w:w="2084" w:type="dxa"/>
          </w:tcPr>
          <w:p>
            <w:pPr>
              <w:pStyle w:val="TableParagraph"/>
              <w:spacing w:before="7"/>
              <w:ind w:left="34" w:right="564"/>
              <w:jc w:val="left"/>
              <w:rPr>
                <w:sz w:val="12"/>
              </w:rPr>
            </w:pPr>
            <w:r>
              <w:rPr>
                <w:w w:val="105"/>
                <w:sz w:val="12"/>
              </w:rPr>
              <w:t>Empleo</w:t>
            </w:r>
          </w:p>
        </w:tc>
        <w:tc>
          <w:tcPr>
            <w:tcW w:w="1680" w:type="dxa"/>
          </w:tcPr>
          <w:p>
            <w:pPr>
              <w:pStyle w:val="TableParagraph"/>
              <w:spacing w:before="7"/>
              <w:ind w:left="786" w:right="180"/>
              <w:rPr>
                <w:sz w:val="12"/>
              </w:rPr>
            </w:pPr>
            <w:r>
              <w:rPr>
                <w:w w:val="105"/>
                <w:sz w:val="12"/>
              </w:rPr>
              <w:t>0.6</w:t>
            </w:r>
          </w:p>
        </w:tc>
        <w:tc>
          <w:tcPr>
            <w:tcW w:w="882" w:type="dxa"/>
          </w:tcPr>
          <w:p>
            <w:pPr/>
          </w:p>
        </w:tc>
        <w:tc>
          <w:tcPr>
            <w:tcW w:w="681" w:type="dxa"/>
          </w:tcPr>
          <w:p>
            <w:pPr>
              <w:pStyle w:val="TableParagraph"/>
              <w:spacing w:before="7"/>
              <w:ind w:left="240" w:right="224"/>
              <w:rPr>
                <w:sz w:val="12"/>
              </w:rPr>
            </w:pPr>
            <w:r>
              <w:rPr>
                <w:w w:val="105"/>
                <w:sz w:val="12"/>
              </w:rPr>
              <w:t>0.8</w:t>
            </w:r>
          </w:p>
        </w:tc>
        <w:tc>
          <w:tcPr>
            <w:tcW w:w="679" w:type="dxa"/>
            <w:tcBorders>
              <w:right w:val="single" w:sz="8" w:space="0" w:color="000000"/>
            </w:tcBorders>
            <w:shd w:val="clear" w:color="auto" w:fill="67ED4D"/>
          </w:tcPr>
          <w:p>
            <w:pPr>
              <w:pStyle w:val="TableParagraph"/>
              <w:spacing w:before="7"/>
              <w:ind w:left="26"/>
              <w:rPr>
                <w:sz w:val="12"/>
              </w:rPr>
            </w:pPr>
            <w:r>
              <w:rPr>
                <w:w w:val="104"/>
                <w:sz w:val="12"/>
              </w:rPr>
              <w:t>1</w:t>
            </w:r>
          </w:p>
        </w:tc>
      </w:tr>
      <w:tr>
        <w:trPr>
          <w:trHeight w:val="157" w:hRule="exact"/>
        </w:trPr>
        <w:tc>
          <w:tcPr>
            <w:tcW w:w="652" w:type="dxa"/>
            <w:tcBorders>
              <w:left w:val="single" w:sz="4" w:space="0" w:color="000000"/>
            </w:tcBorders>
          </w:tcPr>
          <w:p>
            <w:pPr/>
          </w:p>
        </w:tc>
        <w:tc>
          <w:tcPr>
            <w:tcW w:w="2164" w:type="dxa"/>
          </w:tcPr>
          <w:p>
            <w:pPr/>
          </w:p>
        </w:tc>
        <w:tc>
          <w:tcPr>
            <w:tcW w:w="2084" w:type="dxa"/>
          </w:tcPr>
          <w:p>
            <w:pPr>
              <w:pStyle w:val="TableParagraph"/>
              <w:spacing w:before="5"/>
              <w:ind w:left="34" w:right="564"/>
              <w:jc w:val="left"/>
              <w:rPr>
                <w:sz w:val="12"/>
              </w:rPr>
            </w:pPr>
            <w:r>
              <w:rPr>
                <w:w w:val="105"/>
                <w:sz w:val="12"/>
              </w:rPr>
              <w:t>Educación</w:t>
            </w:r>
          </w:p>
        </w:tc>
        <w:tc>
          <w:tcPr>
            <w:tcW w:w="1680" w:type="dxa"/>
          </w:tcPr>
          <w:p>
            <w:pPr>
              <w:pStyle w:val="TableParagraph"/>
              <w:spacing w:before="5"/>
              <w:ind w:left="605"/>
              <w:rPr>
                <w:sz w:val="12"/>
              </w:rPr>
            </w:pPr>
            <w:r>
              <w:rPr>
                <w:w w:val="104"/>
                <w:sz w:val="12"/>
              </w:rPr>
              <w:t>1</w:t>
            </w:r>
          </w:p>
        </w:tc>
        <w:tc>
          <w:tcPr>
            <w:tcW w:w="882" w:type="dxa"/>
          </w:tcPr>
          <w:p>
            <w:pPr/>
          </w:p>
        </w:tc>
        <w:tc>
          <w:tcPr>
            <w:tcW w:w="681" w:type="dxa"/>
          </w:tcPr>
          <w:p>
            <w:pPr>
              <w:pStyle w:val="TableParagraph"/>
              <w:spacing w:before="5"/>
              <w:ind w:left="240" w:right="224"/>
              <w:rPr>
                <w:sz w:val="12"/>
              </w:rPr>
            </w:pPr>
            <w:r>
              <w:rPr>
                <w:w w:val="105"/>
                <w:sz w:val="12"/>
              </w:rPr>
              <w:t>0.7</w:t>
            </w:r>
          </w:p>
        </w:tc>
        <w:tc>
          <w:tcPr>
            <w:tcW w:w="679" w:type="dxa"/>
            <w:tcBorders>
              <w:right w:val="single" w:sz="8" w:space="0" w:color="000000"/>
            </w:tcBorders>
            <w:shd w:val="clear" w:color="auto" w:fill="67ED4D"/>
          </w:tcPr>
          <w:p>
            <w:pPr>
              <w:pStyle w:val="TableParagraph"/>
              <w:spacing w:before="5"/>
              <w:ind w:left="26"/>
              <w:rPr>
                <w:sz w:val="12"/>
              </w:rPr>
            </w:pPr>
            <w:r>
              <w:rPr>
                <w:w w:val="104"/>
                <w:sz w:val="12"/>
              </w:rPr>
              <w:t>1</w:t>
            </w:r>
          </w:p>
        </w:tc>
      </w:tr>
      <w:tr>
        <w:trPr>
          <w:trHeight w:val="157" w:hRule="exact"/>
        </w:trPr>
        <w:tc>
          <w:tcPr>
            <w:tcW w:w="652" w:type="dxa"/>
            <w:tcBorders>
              <w:left w:val="single" w:sz="4" w:space="0" w:color="000000"/>
            </w:tcBorders>
          </w:tcPr>
          <w:p>
            <w:pPr/>
          </w:p>
        </w:tc>
        <w:tc>
          <w:tcPr>
            <w:tcW w:w="2164" w:type="dxa"/>
          </w:tcPr>
          <w:p>
            <w:pPr/>
          </w:p>
        </w:tc>
        <w:tc>
          <w:tcPr>
            <w:tcW w:w="2084" w:type="dxa"/>
          </w:tcPr>
          <w:p>
            <w:pPr>
              <w:pStyle w:val="TableParagraph"/>
              <w:spacing w:before="5"/>
              <w:ind w:left="34" w:right="564"/>
              <w:jc w:val="left"/>
              <w:rPr>
                <w:sz w:val="12"/>
              </w:rPr>
            </w:pPr>
            <w:r>
              <w:rPr>
                <w:w w:val="105"/>
                <w:sz w:val="12"/>
              </w:rPr>
              <w:t>Salud</w:t>
            </w:r>
          </w:p>
        </w:tc>
        <w:tc>
          <w:tcPr>
            <w:tcW w:w="1680" w:type="dxa"/>
          </w:tcPr>
          <w:p>
            <w:pPr>
              <w:pStyle w:val="TableParagraph"/>
              <w:spacing w:before="5"/>
              <w:ind w:left="786" w:right="180"/>
              <w:rPr>
                <w:sz w:val="12"/>
              </w:rPr>
            </w:pPr>
            <w:r>
              <w:rPr>
                <w:w w:val="105"/>
                <w:sz w:val="12"/>
              </w:rPr>
              <w:t>0.5</w:t>
            </w:r>
          </w:p>
        </w:tc>
        <w:tc>
          <w:tcPr>
            <w:tcW w:w="882" w:type="dxa"/>
          </w:tcPr>
          <w:p>
            <w:pPr/>
          </w:p>
        </w:tc>
        <w:tc>
          <w:tcPr>
            <w:tcW w:w="681" w:type="dxa"/>
          </w:tcPr>
          <w:p>
            <w:pPr>
              <w:pStyle w:val="TableParagraph"/>
              <w:spacing w:before="5"/>
              <w:ind w:left="240" w:right="224"/>
              <w:rPr>
                <w:sz w:val="12"/>
              </w:rPr>
            </w:pPr>
            <w:r>
              <w:rPr>
                <w:w w:val="105"/>
                <w:sz w:val="12"/>
              </w:rPr>
              <w:t>0.9</w:t>
            </w:r>
          </w:p>
        </w:tc>
        <w:tc>
          <w:tcPr>
            <w:tcW w:w="679" w:type="dxa"/>
            <w:tcBorders>
              <w:right w:val="single" w:sz="8" w:space="0" w:color="000000"/>
            </w:tcBorders>
            <w:shd w:val="clear" w:color="auto" w:fill="67ED4D"/>
          </w:tcPr>
          <w:p>
            <w:pPr>
              <w:pStyle w:val="TableParagraph"/>
              <w:spacing w:before="5"/>
              <w:ind w:left="26"/>
              <w:rPr>
                <w:sz w:val="12"/>
              </w:rPr>
            </w:pPr>
            <w:r>
              <w:rPr>
                <w:w w:val="104"/>
                <w:sz w:val="12"/>
              </w:rPr>
              <w:t>1</w:t>
            </w:r>
          </w:p>
        </w:tc>
      </w:tr>
      <w:tr>
        <w:trPr>
          <w:trHeight w:val="314" w:hRule="exact"/>
        </w:trPr>
        <w:tc>
          <w:tcPr>
            <w:tcW w:w="652" w:type="dxa"/>
            <w:tcBorders>
              <w:left w:val="single" w:sz="4" w:space="0" w:color="000000"/>
            </w:tcBorders>
          </w:tcPr>
          <w:p>
            <w:pPr/>
          </w:p>
        </w:tc>
        <w:tc>
          <w:tcPr>
            <w:tcW w:w="2164" w:type="dxa"/>
          </w:tcPr>
          <w:p>
            <w:pPr>
              <w:pStyle w:val="TableParagraph"/>
              <w:spacing w:before="78"/>
              <w:ind w:left="106"/>
              <w:jc w:val="left"/>
              <w:rPr>
                <w:sz w:val="12"/>
              </w:rPr>
            </w:pPr>
            <w:r>
              <w:rPr>
                <w:w w:val="105"/>
                <w:sz w:val="12"/>
              </w:rPr>
              <w:t>Oportunidades urbanas</w:t>
            </w:r>
          </w:p>
        </w:tc>
        <w:tc>
          <w:tcPr>
            <w:tcW w:w="2084" w:type="dxa"/>
          </w:tcPr>
          <w:p>
            <w:pPr>
              <w:pStyle w:val="TableParagraph"/>
              <w:spacing w:line="273" w:lineRule="auto" w:before="5"/>
              <w:ind w:left="34" w:right="1130"/>
              <w:jc w:val="left"/>
              <w:rPr>
                <w:sz w:val="12"/>
              </w:rPr>
            </w:pPr>
            <w:r>
              <w:rPr>
                <w:sz w:val="12"/>
              </w:rPr>
              <w:t>Seguridad </w:t>
            </w:r>
            <w:r>
              <w:rPr>
                <w:w w:val="105"/>
                <w:sz w:val="12"/>
              </w:rPr>
              <w:t>Abasto</w:t>
            </w:r>
          </w:p>
        </w:tc>
        <w:tc>
          <w:tcPr>
            <w:tcW w:w="1680" w:type="dxa"/>
          </w:tcPr>
          <w:p>
            <w:pPr>
              <w:pStyle w:val="TableParagraph"/>
              <w:spacing w:before="5"/>
              <w:ind w:left="1055"/>
              <w:jc w:val="left"/>
              <w:rPr>
                <w:sz w:val="12"/>
              </w:rPr>
            </w:pPr>
            <w:r>
              <w:rPr>
                <w:w w:val="105"/>
                <w:sz w:val="12"/>
              </w:rPr>
              <w:t>0.7</w:t>
            </w:r>
          </w:p>
          <w:p>
            <w:pPr>
              <w:pStyle w:val="TableParagraph"/>
              <w:spacing w:before="19"/>
              <w:ind w:left="1055"/>
              <w:jc w:val="left"/>
              <w:rPr>
                <w:sz w:val="12"/>
              </w:rPr>
            </w:pPr>
            <w:r>
              <w:rPr>
                <w:w w:val="105"/>
                <w:sz w:val="12"/>
              </w:rPr>
              <w:t>0.9</w:t>
            </w:r>
          </w:p>
        </w:tc>
        <w:tc>
          <w:tcPr>
            <w:tcW w:w="882" w:type="dxa"/>
          </w:tcPr>
          <w:p>
            <w:pPr/>
          </w:p>
        </w:tc>
        <w:tc>
          <w:tcPr>
            <w:tcW w:w="681" w:type="dxa"/>
          </w:tcPr>
          <w:p>
            <w:pPr>
              <w:pStyle w:val="TableParagraph"/>
              <w:spacing w:before="5"/>
              <w:ind w:left="240" w:right="224"/>
              <w:rPr>
                <w:sz w:val="12"/>
              </w:rPr>
            </w:pPr>
            <w:r>
              <w:rPr>
                <w:w w:val="105"/>
                <w:sz w:val="12"/>
              </w:rPr>
              <w:t>0.9</w:t>
            </w:r>
          </w:p>
          <w:p>
            <w:pPr>
              <w:pStyle w:val="TableParagraph"/>
              <w:spacing w:before="19"/>
              <w:ind w:left="240" w:right="224"/>
              <w:rPr>
                <w:sz w:val="12"/>
              </w:rPr>
            </w:pPr>
            <w:r>
              <w:rPr>
                <w:w w:val="105"/>
                <w:sz w:val="12"/>
              </w:rPr>
              <w:t>0.9</w:t>
            </w:r>
          </w:p>
        </w:tc>
        <w:tc>
          <w:tcPr>
            <w:tcW w:w="679" w:type="dxa"/>
            <w:tcBorders>
              <w:right w:val="single" w:sz="8" w:space="0" w:color="000000"/>
            </w:tcBorders>
            <w:shd w:val="clear" w:color="auto" w:fill="67ED4D"/>
          </w:tcPr>
          <w:p>
            <w:pPr>
              <w:pStyle w:val="TableParagraph"/>
              <w:spacing w:before="5"/>
              <w:ind w:left="26"/>
              <w:rPr>
                <w:sz w:val="12"/>
              </w:rPr>
            </w:pPr>
            <w:r>
              <w:rPr>
                <w:w w:val="104"/>
                <w:sz w:val="12"/>
              </w:rPr>
              <w:t>1</w:t>
            </w:r>
          </w:p>
          <w:p>
            <w:pPr>
              <w:pStyle w:val="TableParagraph"/>
              <w:spacing w:before="19"/>
              <w:ind w:left="26"/>
              <w:rPr>
                <w:sz w:val="12"/>
              </w:rPr>
            </w:pPr>
            <w:r>
              <w:rPr>
                <w:w w:val="104"/>
                <w:sz w:val="12"/>
              </w:rPr>
              <w:t>1</w:t>
            </w:r>
          </w:p>
        </w:tc>
      </w:tr>
      <w:tr>
        <w:trPr>
          <w:trHeight w:val="157" w:hRule="exact"/>
        </w:trPr>
        <w:tc>
          <w:tcPr>
            <w:tcW w:w="652" w:type="dxa"/>
            <w:tcBorders>
              <w:left w:val="single" w:sz="4" w:space="0" w:color="000000"/>
            </w:tcBorders>
          </w:tcPr>
          <w:p>
            <w:pPr/>
          </w:p>
        </w:tc>
        <w:tc>
          <w:tcPr>
            <w:tcW w:w="2164" w:type="dxa"/>
          </w:tcPr>
          <w:p>
            <w:pPr/>
          </w:p>
        </w:tc>
        <w:tc>
          <w:tcPr>
            <w:tcW w:w="2084" w:type="dxa"/>
          </w:tcPr>
          <w:p>
            <w:pPr>
              <w:pStyle w:val="TableParagraph"/>
              <w:spacing w:before="5"/>
              <w:ind w:left="34" w:right="564"/>
              <w:jc w:val="left"/>
              <w:rPr>
                <w:sz w:val="12"/>
              </w:rPr>
            </w:pPr>
            <w:r>
              <w:rPr>
                <w:w w:val="105"/>
                <w:sz w:val="12"/>
              </w:rPr>
              <w:t>Transporte</w:t>
            </w:r>
          </w:p>
        </w:tc>
        <w:tc>
          <w:tcPr>
            <w:tcW w:w="1680" w:type="dxa"/>
          </w:tcPr>
          <w:p>
            <w:pPr>
              <w:pStyle w:val="TableParagraph"/>
              <w:spacing w:before="5"/>
              <w:ind w:left="605"/>
              <w:rPr>
                <w:sz w:val="12"/>
              </w:rPr>
            </w:pPr>
            <w:r>
              <w:rPr>
                <w:w w:val="104"/>
                <w:sz w:val="12"/>
              </w:rPr>
              <w:t>1</w:t>
            </w:r>
          </w:p>
        </w:tc>
        <w:tc>
          <w:tcPr>
            <w:tcW w:w="882" w:type="dxa"/>
          </w:tcPr>
          <w:p>
            <w:pPr/>
          </w:p>
        </w:tc>
        <w:tc>
          <w:tcPr>
            <w:tcW w:w="681" w:type="dxa"/>
          </w:tcPr>
          <w:p>
            <w:pPr>
              <w:pStyle w:val="TableParagraph"/>
              <w:spacing w:before="5"/>
              <w:ind w:left="240" w:right="224"/>
              <w:rPr>
                <w:sz w:val="12"/>
              </w:rPr>
            </w:pPr>
            <w:r>
              <w:rPr>
                <w:w w:val="105"/>
                <w:sz w:val="12"/>
              </w:rPr>
              <w:t>0.6</w:t>
            </w:r>
          </w:p>
        </w:tc>
        <w:tc>
          <w:tcPr>
            <w:tcW w:w="679" w:type="dxa"/>
            <w:tcBorders>
              <w:right w:val="single" w:sz="8" w:space="0" w:color="000000"/>
            </w:tcBorders>
            <w:shd w:val="clear" w:color="auto" w:fill="67ED4D"/>
          </w:tcPr>
          <w:p>
            <w:pPr>
              <w:pStyle w:val="TableParagraph"/>
              <w:spacing w:before="5"/>
              <w:ind w:left="26"/>
              <w:rPr>
                <w:sz w:val="12"/>
              </w:rPr>
            </w:pPr>
            <w:r>
              <w:rPr>
                <w:w w:val="104"/>
                <w:sz w:val="12"/>
              </w:rPr>
              <w:t>1</w:t>
            </w:r>
          </w:p>
        </w:tc>
      </w:tr>
      <w:tr>
        <w:trPr>
          <w:trHeight w:val="157" w:hRule="exact"/>
        </w:trPr>
        <w:tc>
          <w:tcPr>
            <w:tcW w:w="652" w:type="dxa"/>
            <w:tcBorders>
              <w:left w:val="single" w:sz="4" w:space="0" w:color="000000"/>
            </w:tcBorders>
          </w:tcPr>
          <w:p>
            <w:pPr>
              <w:pStyle w:val="TableParagraph"/>
              <w:spacing w:before="5"/>
              <w:ind w:right="114"/>
              <w:jc w:val="right"/>
              <w:rPr>
                <w:sz w:val="12"/>
              </w:rPr>
            </w:pPr>
            <w:r>
              <w:rPr>
                <w:sz w:val="12"/>
              </w:rPr>
              <w:t>Social</w:t>
            </w:r>
          </w:p>
        </w:tc>
        <w:tc>
          <w:tcPr>
            <w:tcW w:w="2164" w:type="dxa"/>
          </w:tcPr>
          <w:p>
            <w:pPr/>
          </w:p>
        </w:tc>
        <w:tc>
          <w:tcPr>
            <w:tcW w:w="2084" w:type="dxa"/>
          </w:tcPr>
          <w:p>
            <w:pPr>
              <w:pStyle w:val="TableParagraph"/>
              <w:spacing w:before="5"/>
              <w:ind w:left="34" w:right="564"/>
              <w:jc w:val="left"/>
              <w:rPr>
                <w:sz w:val="12"/>
              </w:rPr>
            </w:pPr>
            <w:r>
              <w:rPr>
                <w:w w:val="105"/>
                <w:sz w:val="12"/>
              </w:rPr>
              <w:t>Recreación</w:t>
            </w:r>
          </w:p>
        </w:tc>
        <w:tc>
          <w:tcPr>
            <w:tcW w:w="1680" w:type="dxa"/>
          </w:tcPr>
          <w:p>
            <w:pPr>
              <w:pStyle w:val="TableParagraph"/>
              <w:spacing w:before="5"/>
              <w:ind w:left="786" w:right="180"/>
              <w:rPr>
                <w:sz w:val="12"/>
              </w:rPr>
            </w:pPr>
            <w:r>
              <w:rPr>
                <w:w w:val="105"/>
                <w:sz w:val="12"/>
              </w:rPr>
              <w:t>0.9</w:t>
            </w:r>
          </w:p>
        </w:tc>
        <w:tc>
          <w:tcPr>
            <w:tcW w:w="882" w:type="dxa"/>
          </w:tcPr>
          <w:p>
            <w:pPr/>
          </w:p>
        </w:tc>
        <w:tc>
          <w:tcPr>
            <w:tcW w:w="681" w:type="dxa"/>
          </w:tcPr>
          <w:p>
            <w:pPr>
              <w:pStyle w:val="TableParagraph"/>
              <w:spacing w:before="5"/>
              <w:ind w:left="240" w:right="224"/>
              <w:rPr>
                <w:sz w:val="12"/>
              </w:rPr>
            </w:pPr>
            <w:r>
              <w:rPr>
                <w:w w:val="105"/>
                <w:sz w:val="12"/>
              </w:rPr>
              <w:t>0.8</w:t>
            </w:r>
          </w:p>
        </w:tc>
        <w:tc>
          <w:tcPr>
            <w:tcW w:w="679" w:type="dxa"/>
            <w:tcBorders>
              <w:right w:val="single" w:sz="8" w:space="0" w:color="000000"/>
            </w:tcBorders>
            <w:shd w:val="clear" w:color="auto" w:fill="67ED4D"/>
          </w:tcPr>
          <w:p>
            <w:pPr>
              <w:pStyle w:val="TableParagraph"/>
              <w:spacing w:before="5"/>
              <w:ind w:left="26"/>
              <w:rPr>
                <w:sz w:val="12"/>
              </w:rPr>
            </w:pPr>
            <w:r>
              <w:rPr>
                <w:w w:val="104"/>
                <w:sz w:val="12"/>
              </w:rPr>
              <w:t>1</w:t>
            </w:r>
          </w:p>
        </w:tc>
      </w:tr>
      <w:tr>
        <w:trPr>
          <w:trHeight w:val="157" w:hRule="exact"/>
        </w:trPr>
        <w:tc>
          <w:tcPr>
            <w:tcW w:w="652" w:type="dxa"/>
            <w:tcBorders>
              <w:left w:val="single" w:sz="4" w:space="0" w:color="000000"/>
            </w:tcBorders>
          </w:tcPr>
          <w:p>
            <w:pPr/>
          </w:p>
        </w:tc>
        <w:tc>
          <w:tcPr>
            <w:tcW w:w="2164" w:type="dxa"/>
          </w:tcPr>
          <w:p>
            <w:pPr/>
          </w:p>
        </w:tc>
        <w:tc>
          <w:tcPr>
            <w:tcW w:w="2084" w:type="dxa"/>
          </w:tcPr>
          <w:p>
            <w:pPr>
              <w:pStyle w:val="TableParagraph"/>
              <w:spacing w:before="5"/>
              <w:ind w:left="34" w:right="564"/>
              <w:jc w:val="left"/>
              <w:rPr>
                <w:sz w:val="12"/>
              </w:rPr>
            </w:pPr>
            <w:r>
              <w:rPr>
                <w:w w:val="105"/>
                <w:sz w:val="12"/>
              </w:rPr>
              <w:t>Servicios especializados</w:t>
            </w:r>
          </w:p>
        </w:tc>
        <w:tc>
          <w:tcPr>
            <w:tcW w:w="1680" w:type="dxa"/>
          </w:tcPr>
          <w:p>
            <w:pPr>
              <w:pStyle w:val="TableParagraph"/>
              <w:spacing w:before="5"/>
              <w:ind w:left="786" w:right="180"/>
              <w:rPr>
                <w:sz w:val="12"/>
              </w:rPr>
            </w:pPr>
            <w:r>
              <w:rPr>
                <w:w w:val="105"/>
                <w:sz w:val="12"/>
              </w:rPr>
              <w:t>0.4</w:t>
            </w:r>
          </w:p>
        </w:tc>
        <w:tc>
          <w:tcPr>
            <w:tcW w:w="882" w:type="dxa"/>
          </w:tcPr>
          <w:p>
            <w:pPr/>
          </w:p>
        </w:tc>
        <w:tc>
          <w:tcPr>
            <w:tcW w:w="681" w:type="dxa"/>
          </w:tcPr>
          <w:p>
            <w:pPr>
              <w:pStyle w:val="TableParagraph"/>
              <w:spacing w:before="5"/>
              <w:ind w:left="240" w:right="224"/>
              <w:rPr>
                <w:sz w:val="12"/>
              </w:rPr>
            </w:pPr>
            <w:r>
              <w:rPr>
                <w:w w:val="105"/>
                <w:sz w:val="12"/>
              </w:rPr>
              <w:t>0.7</w:t>
            </w:r>
          </w:p>
        </w:tc>
        <w:tc>
          <w:tcPr>
            <w:tcW w:w="679" w:type="dxa"/>
            <w:tcBorders>
              <w:right w:val="single" w:sz="8" w:space="0" w:color="000000"/>
            </w:tcBorders>
            <w:shd w:val="clear" w:color="auto" w:fill="67ED4D"/>
          </w:tcPr>
          <w:p>
            <w:pPr>
              <w:pStyle w:val="TableParagraph"/>
              <w:spacing w:before="5"/>
              <w:ind w:left="26"/>
              <w:rPr>
                <w:sz w:val="12"/>
              </w:rPr>
            </w:pPr>
            <w:r>
              <w:rPr>
                <w:w w:val="104"/>
                <w:sz w:val="12"/>
              </w:rPr>
              <w:t>1</w:t>
            </w:r>
          </w:p>
        </w:tc>
      </w:tr>
      <w:tr>
        <w:trPr>
          <w:trHeight w:val="165" w:hRule="exact"/>
        </w:trPr>
        <w:tc>
          <w:tcPr>
            <w:tcW w:w="652" w:type="dxa"/>
            <w:tcBorders>
              <w:left w:val="single" w:sz="4" w:space="0" w:color="000000"/>
            </w:tcBorders>
          </w:tcPr>
          <w:p>
            <w:pPr/>
          </w:p>
        </w:tc>
        <w:tc>
          <w:tcPr>
            <w:tcW w:w="2164" w:type="dxa"/>
          </w:tcPr>
          <w:p>
            <w:pPr/>
          </w:p>
        </w:tc>
        <w:tc>
          <w:tcPr>
            <w:tcW w:w="2084" w:type="dxa"/>
          </w:tcPr>
          <w:p>
            <w:pPr/>
          </w:p>
        </w:tc>
        <w:tc>
          <w:tcPr>
            <w:tcW w:w="1680" w:type="dxa"/>
          </w:tcPr>
          <w:p>
            <w:pPr>
              <w:pStyle w:val="TableParagraph"/>
              <w:spacing w:before="5"/>
              <w:ind w:left="779" w:right="180"/>
              <w:rPr>
                <w:sz w:val="12"/>
              </w:rPr>
            </w:pPr>
            <w:r>
              <w:rPr>
                <w:w w:val="105"/>
                <w:sz w:val="12"/>
              </w:rPr>
              <w:t>Subtotal</w:t>
            </w:r>
          </w:p>
        </w:tc>
        <w:tc>
          <w:tcPr>
            <w:tcW w:w="882" w:type="dxa"/>
          </w:tcPr>
          <w:p>
            <w:pPr>
              <w:pStyle w:val="TableParagraph"/>
              <w:tabs>
                <w:tab w:pos="515" w:val="left" w:leader="none"/>
                <w:tab w:pos="892" w:val="left" w:leader="none"/>
              </w:tabs>
              <w:spacing w:before="5"/>
              <w:ind w:left="202" w:right="-11"/>
              <w:jc w:val="left"/>
              <w:rPr>
                <w:sz w:val="12"/>
              </w:rPr>
            </w:pPr>
            <w:r>
              <w:rPr>
                <w:w w:val="104"/>
                <w:sz w:val="12"/>
                <w:shd w:fill="F79646" w:color="auto" w:val="clear"/>
              </w:rPr>
              <w:t> </w:t>
            </w:r>
            <w:r>
              <w:rPr>
                <w:sz w:val="12"/>
                <w:shd w:fill="F79646" w:color="auto" w:val="clear"/>
              </w:rPr>
              <w:tab/>
            </w:r>
            <w:r>
              <w:rPr>
                <w:w w:val="105"/>
                <w:sz w:val="12"/>
                <w:shd w:fill="F79646" w:color="auto" w:val="clear"/>
              </w:rPr>
              <w:t>6</w:t>
            </w:r>
            <w:r>
              <w:rPr>
                <w:sz w:val="12"/>
                <w:shd w:fill="F79646" w:color="auto" w:val="clear"/>
              </w:rPr>
              <w:tab/>
            </w:r>
          </w:p>
        </w:tc>
        <w:tc>
          <w:tcPr>
            <w:tcW w:w="681" w:type="dxa"/>
          </w:tcPr>
          <w:p>
            <w:pPr>
              <w:pStyle w:val="TableParagraph"/>
              <w:spacing w:before="5"/>
              <w:ind w:left="240" w:right="224"/>
              <w:rPr>
                <w:sz w:val="12"/>
              </w:rPr>
            </w:pPr>
            <w:r>
              <w:rPr>
                <w:w w:val="105"/>
                <w:sz w:val="12"/>
              </w:rPr>
              <w:t>6.3</w:t>
            </w:r>
          </w:p>
        </w:tc>
        <w:tc>
          <w:tcPr>
            <w:tcW w:w="679" w:type="dxa"/>
            <w:tcBorders>
              <w:right w:val="single" w:sz="8" w:space="0" w:color="000000"/>
            </w:tcBorders>
            <w:shd w:val="clear" w:color="auto" w:fill="67ED4D"/>
          </w:tcPr>
          <w:p>
            <w:pPr>
              <w:pStyle w:val="TableParagraph"/>
              <w:spacing w:before="5"/>
              <w:ind w:left="26"/>
              <w:rPr>
                <w:sz w:val="12"/>
              </w:rPr>
            </w:pPr>
            <w:r>
              <w:rPr>
                <w:w w:val="104"/>
                <w:sz w:val="12"/>
              </w:rPr>
              <w:t>8</w:t>
            </w:r>
          </w:p>
        </w:tc>
      </w:tr>
      <w:tr>
        <w:trPr>
          <w:trHeight w:val="147" w:hRule="exact"/>
        </w:trPr>
        <w:tc>
          <w:tcPr>
            <w:tcW w:w="8821" w:type="dxa"/>
            <w:gridSpan w:val="7"/>
            <w:tcBorders>
              <w:left w:val="single" w:sz="4" w:space="0" w:color="000000"/>
              <w:right w:val="single" w:sz="8" w:space="0" w:color="000000"/>
            </w:tcBorders>
          </w:tcPr>
          <w:p>
            <w:pPr/>
          </w:p>
        </w:tc>
      </w:tr>
      <w:tr>
        <w:trPr>
          <w:trHeight w:val="160" w:hRule="exact"/>
        </w:trPr>
        <w:tc>
          <w:tcPr>
            <w:tcW w:w="652" w:type="dxa"/>
            <w:tcBorders>
              <w:left w:val="single" w:sz="4" w:space="0" w:color="000000"/>
            </w:tcBorders>
          </w:tcPr>
          <w:p>
            <w:pPr/>
          </w:p>
        </w:tc>
        <w:tc>
          <w:tcPr>
            <w:tcW w:w="2164" w:type="dxa"/>
          </w:tcPr>
          <w:p>
            <w:pPr>
              <w:pStyle w:val="TableParagraph"/>
              <w:spacing w:before="7"/>
              <w:ind w:left="106"/>
              <w:jc w:val="left"/>
              <w:rPr>
                <w:sz w:val="12"/>
              </w:rPr>
            </w:pPr>
            <w:r>
              <w:rPr>
                <w:w w:val="105"/>
                <w:sz w:val="12"/>
              </w:rPr>
              <w:t>Organización vecinal</w:t>
            </w:r>
          </w:p>
        </w:tc>
        <w:tc>
          <w:tcPr>
            <w:tcW w:w="2084" w:type="dxa"/>
          </w:tcPr>
          <w:p>
            <w:pPr>
              <w:pStyle w:val="TableParagraph"/>
              <w:spacing w:before="7"/>
              <w:ind w:left="34" w:right="564"/>
              <w:jc w:val="left"/>
              <w:rPr>
                <w:sz w:val="12"/>
              </w:rPr>
            </w:pPr>
            <w:r>
              <w:rPr>
                <w:w w:val="105"/>
                <w:sz w:val="12"/>
              </w:rPr>
              <w:t>Administración ciudadana</w:t>
            </w:r>
          </w:p>
        </w:tc>
        <w:tc>
          <w:tcPr>
            <w:tcW w:w="1680" w:type="dxa"/>
          </w:tcPr>
          <w:p>
            <w:pPr>
              <w:pStyle w:val="TableParagraph"/>
              <w:tabs>
                <w:tab w:pos="1107" w:val="left" w:leader="none"/>
                <w:tab w:pos="1892" w:val="left" w:leader="none"/>
              </w:tabs>
              <w:spacing w:before="7"/>
              <w:ind w:left="396" w:right="-213"/>
              <w:rPr>
                <w:sz w:val="12"/>
              </w:rPr>
            </w:pPr>
            <w:r>
              <w:rPr>
                <w:w w:val="104"/>
                <w:sz w:val="12"/>
                <w:shd w:fill="BAF9F5" w:color="auto" w:val="clear"/>
              </w:rPr>
              <w:t> </w:t>
            </w:r>
            <w:r>
              <w:rPr>
                <w:sz w:val="12"/>
                <w:shd w:fill="BAF9F5" w:color="auto" w:val="clear"/>
              </w:rPr>
              <w:tab/>
            </w:r>
            <w:r>
              <w:rPr>
                <w:w w:val="105"/>
                <w:sz w:val="12"/>
                <w:shd w:fill="BAF9F5" w:color="auto" w:val="clear"/>
              </w:rPr>
              <w:t>0</w:t>
            </w:r>
            <w:r>
              <w:rPr>
                <w:sz w:val="12"/>
                <w:shd w:fill="BAF9F5" w:color="auto" w:val="clear"/>
              </w:rPr>
              <w:tab/>
            </w:r>
          </w:p>
        </w:tc>
        <w:tc>
          <w:tcPr>
            <w:tcW w:w="882" w:type="dxa"/>
          </w:tcPr>
          <w:p>
            <w:pPr/>
          </w:p>
        </w:tc>
        <w:tc>
          <w:tcPr>
            <w:tcW w:w="681" w:type="dxa"/>
          </w:tcPr>
          <w:p>
            <w:pPr>
              <w:pStyle w:val="TableParagraph"/>
              <w:spacing w:before="7"/>
              <w:ind w:left="240" w:right="224"/>
              <w:rPr>
                <w:sz w:val="12"/>
              </w:rPr>
            </w:pPr>
            <w:r>
              <w:rPr>
                <w:w w:val="105"/>
                <w:sz w:val="12"/>
              </w:rPr>
              <w:t>0.8</w:t>
            </w:r>
          </w:p>
        </w:tc>
        <w:tc>
          <w:tcPr>
            <w:tcW w:w="679" w:type="dxa"/>
            <w:tcBorders>
              <w:right w:val="single" w:sz="8" w:space="0" w:color="000000"/>
            </w:tcBorders>
            <w:shd w:val="clear" w:color="auto" w:fill="67ED4D"/>
          </w:tcPr>
          <w:p>
            <w:pPr>
              <w:pStyle w:val="TableParagraph"/>
              <w:spacing w:before="7"/>
              <w:ind w:left="26"/>
              <w:rPr>
                <w:sz w:val="12"/>
              </w:rPr>
            </w:pPr>
            <w:r>
              <w:rPr>
                <w:w w:val="104"/>
                <w:sz w:val="12"/>
              </w:rPr>
              <w:t>1</w:t>
            </w:r>
          </w:p>
        </w:tc>
      </w:tr>
      <w:tr>
        <w:trPr>
          <w:trHeight w:val="165" w:hRule="exact"/>
        </w:trPr>
        <w:tc>
          <w:tcPr>
            <w:tcW w:w="652" w:type="dxa"/>
            <w:tcBorders>
              <w:left w:val="single" w:sz="4" w:space="0" w:color="000000"/>
            </w:tcBorders>
          </w:tcPr>
          <w:p>
            <w:pPr/>
          </w:p>
        </w:tc>
        <w:tc>
          <w:tcPr>
            <w:tcW w:w="2164" w:type="dxa"/>
          </w:tcPr>
          <w:p>
            <w:pPr/>
          </w:p>
        </w:tc>
        <w:tc>
          <w:tcPr>
            <w:tcW w:w="2084" w:type="dxa"/>
          </w:tcPr>
          <w:p>
            <w:pPr/>
          </w:p>
        </w:tc>
        <w:tc>
          <w:tcPr>
            <w:tcW w:w="1680" w:type="dxa"/>
          </w:tcPr>
          <w:p>
            <w:pPr>
              <w:pStyle w:val="TableParagraph"/>
              <w:spacing w:before="5"/>
              <w:ind w:left="779" w:right="180"/>
              <w:rPr>
                <w:sz w:val="12"/>
              </w:rPr>
            </w:pPr>
            <w:r>
              <w:rPr>
                <w:w w:val="105"/>
                <w:sz w:val="12"/>
              </w:rPr>
              <w:t>Subtotal</w:t>
            </w:r>
          </w:p>
        </w:tc>
        <w:tc>
          <w:tcPr>
            <w:tcW w:w="882" w:type="dxa"/>
          </w:tcPr>
          <w:p>
            <w:pPr>
              <w:pStyle w:val="TableParagraph"/>
              <w:tabs>
                <w:tab w:pos="515" w:val="left" w:leader="none"/>
                <w:tab w:pos="892" w:val="left" w:leader="none"/>
              </w:tabs>
              <w:spacing w:before="5"/>
              <w:ind w:left="202" w:right="-11"/>
              <w:jc w:val="left"/>
              <w:rPr>
                <w:sz w:val="12"/>
              </w:rPr>
            </w:pPr>
            <w:r>
              <w:rPr>
                <w:w w:val="104"/>
                <w:sz w:val="12"/>
                <w:shd w:fill="F79646" w:color="auto" w:val="clear"/>
              </w:rPr>
              <w:t> </w:t>
            </w:r>
            <w:r>
              <w:rPr>
                <w:sz w:val="12"/>
                <w:shd w:fill="F79646" w:color="auto" w:val="clear"/>
              </w:rPr>
              <w:tab/>
            </w:r>
            <w:r>
              <w:rPr>
                <w:w w:val="105"/>
                <w:sz w:val="12"/>
                <w:shd w:fill="F79646" w:color="auto" w:val="clear"/>
              </w:rPr>
              <w:t>0</w:t>
            </w:r>
            <w:r>
              <w:rPr>
                <w:sz w:val="12"/>
                <w:shd w:fill="F79646" w:color="auto" w:val="clear"/>
              </w:rPr>
              <w:tab/>
            </w:r>
          </w:p>
        </w:tc>
        <w:tc>
          <w:tcPr>
            <w:tcW w:w="681" w:type="dxa"/>
          </w:tcPr>
          <w:p>
            <w:pPr>
              <w:pStyle w:val="TableParagraph"/>
              <w:spacing w:before="5"/>
              <w:ind w:left="240" w:right="224"/>
              <w:rPr>
                <w:sz w:val="12"/>
              </w:rPr>
            </w:pPr>
            <w:r>
              <w:rPr>
                <w:w w:val="105"/>
                <w:sz w:val="12"/>
              </w:rPr>
              <w:t>0.8</w:t>
            </w:r>
          </w:p>
        </w:tc>
        <w:tc>
          <w:tcPr>
            <w:tcW w:w="679" w:type="dxa"/>
            <w:tcBorders>
              <w:right w:val="single" w:sz="8" w:space="0" w:color="000000"/>
            </w:tcBorders>
            <w:shd w:val="clear" w:color="auto" w:fill="67ED4D"/>
          </w:tcPr>
          <w:p>
            <w:pPr>
              <w:pStyle w:val="TableParagraph"/>
              <w:spacing w:before="5"/>
              <w:ind w:left="26"/>
              <w:rPr>
                <w:sz w:val="12"/>
              </w:rPr>
            </w:pPr>
            <w:r>
              <w:rPr>
                <w:w w:val="104"/>
                <w:sz w:val="12"/>
              </w:rPr>
              <w:t>1</w:t>
            </w:r>
          </w:p>
        </w:tc>
      </w:tr>
      <w:tr>
        <w:trPr>
          <w:trHeight w:val="147" w:hRule="exact"/>
        </w:trPr>
        <w:tc>
          <w:tcPr>
            <w:tcW w:w="8821" w:type="dxa"/>
            <w:gridSpan w:val="7"/>
            <w:tcBorders>
              <w:left w:val="single" w:sz="4" w:space="0" w:color="000000"/>
              <w:right w:val="single" w:sz="8" w:space="0" w:color="000000"/>
            </w:tcBorders>
          </w:tcPr>
          <w:p>
            <w:pPr/>
          </w:p>
        </w:tc>
      </w:tr>
      <w:tr>
        <w:trPr>
          <w:trHeight w:val="160" w:hRule="exact"/>
        </w:trPr>
        <w:tc>
          <w:tcPr>
            <w:tcW w:w="652" w:type="dxa"/>
            <w:tcBorders>
              <w:left w:val="single" w:sz="4" w:space="0" w:color="000000"/>
            </w:tcBorders>
          </w:tcPr>
          <w:p>
            <w:pPr/>
          </w:p>
        </w:tc>
        <w:tc>
          <w:tcPr>
            <w:tcW w:w="2164" w:type="dxa"/>
          </w:tcPr>
          <w:p>
            <w:pPr>
              <w:pStyle w:val="TableParagraph"/>
              <w:spacing w:before="7"/>
              <w:ind w:left="106"/>
              <w:jc w:val="left"/>
              <w:rPr>
                <w:sz w:val="12"/>
              </w:rPr>
            </w:pPr>
            <w:r>
              <w:rPr>
                <w:w w:val="105"/>
                <w:sz w:val="12"/>
              </w:rPr>
              <w:t>Índice de satisfacción del acreditado</w:t>
            </w:r>
          </w:p>
        </w:tc>
        <w:tc>
          <w:tcPr>
            <w:tcW w:w="2084" w:type="dxa"/>
          </w:tcPr>
          <w:p>
            <w:pPr>
              <w:pStyle w:val="TableParagraph"/>
              <w:spacing w:before="7"/>
              <w:ind w:left="34" w:right="564"/>
              <w:jc w:val="left"/>
              <w:rPr>
                <w:sz w:val="12"/>
              </w:rPr>
            </w:pPr>
            <w:r>
              <w:rPr>
                <w:w w:val="105"/>
                <w:sz w:val="12"/>
              </w:rPr>
              <w:t>Infonavit</w:t>
            </w:r>
          </w:p>
        </w:tc>
        <w:tc>
          <w:tcPr>
            <w:tcW w:w="1680" w:type="dxa"/>
          </w:tcPr>
          <w:p>
            <w:pPr>
              <w:pStyle w:val="TableParagraph"/>
              <w:tabs>
                <w:tab w:pos="1055" w:val="left" w:leader="none"/>
                <w:tab w:pos="1892" w:val="left" w:leader="none"/>
              </w:tabs>
              <w:spacing w:before="7"/>
              <w:ind w:left="396" w:right="-213"/>
              <w:rPr>
                <w:sz w:val="12"/>
              </w:rPr>
            </w:pPr>
            <w:r>
              <w:rPr>
                <w:w w:val="104"/>
                <w:sz w:val="12"/>
                <w:shd w:fill="BAF9F5" w:color="auto" w:val="clear"/>
              </w:rPr>
              <w:t> </w:t>
            </w:r>
            <w:r>
              <w:rPr>
                <w:sz w:val="12"/>
                <w:shd w:fill="BAF9F5" w:color="auto" w:val="clear"/>
              </w:rPr>
              <w:tab/>
            </w:r>
            <w:r>
              <w:rPr>
                <w:w w:val="105"/>
                <w:sz w:val="12"/>
                <w:shd w:fill="BAF9F5" w:color="auto" w:val="clear"/>
              </w:rPr>
              <w:t>0.7</w:t>
            </w:r>
            <w:r>
              <w:rPr>
                <w:sz w:val="12"/>
                <w:shd w:fill="BAF9F5" w:color="auto" w:val="clear"/>
              </w:rPr>
              <w:tab/>
            </w:r>
          </w:p>
        </w:tc>
        <w:tc>
          <w:tcPr>
            <w:tcW w:w="882" w:type="dxa"/>
          </w:tcPr>
          <w:p>
            <w:pPr/>
          </w:p>
        </w:tc>
        <w:tc>
          <w:tcPr>
            <w:tcW w:w="681" w:type="dxa"/>
          </w:tcPr>
          <w:p>
            <w:pPr>
              <w:pStyle w:val="TableParagraph"/>
              <w:spacing w:before="7"/>
              <w:ind w:left="240" w:right="224"/>
              <w:rPr>
                <w:sz w:val="12"/>
              </w:rPr>
            </w:pPr>
            <w:r>
              <w:rPr>
                <w:w w:val="105"/>
                <w:sz w:val="12"/>
              </w:rPr>
              <w:t>0.7</w:t>
            </w:r>
          </w:p>
        </w:tc>
        <w:tc>
          <w:tcPr>
            <w:tcW w:w="679" w:type="dxa"/>
            <w:tcBorders>
              <w:right w:val="single" w:sz="8" w:space="0" w:color="000000"/>
            </w:tcBorders>
            <w:shd w:val="clear" w:color="auto" w:fill="67ED4D"/>
          </w:tcPr>
          <w:p>
            <w:pPr>
              <w:pStyle w:val="TableParagraph"/>
              <w:spacing w:before="7"/>
              <w:ind w:left="26"/>
              <w:rPr>
                <w:sz w:val="12"/>
              </w:rPr>
            </w:pPr>
            <w:r>
              <w:rPr>
                <w:w w:val="104"/>
                <w:sz w:val="12"/>
              </w:rPr>
              <w:t>1</w:t>
            </w:r>
          </w:p>
        </w:tc>
      </w:tr>
      <w:tr>
        <w:trPr>
          <w:trHeight w:val="165" w:hRule="exact"/>
        </w:trPr>
        <w:tc>
          <w:tcPr>
            <w:tcW w:w="652" w:type="dxa"/>
            <w:tcBorders>
              <w:left w:val="single" w:sz="4" w:space="0" w:color="000000"/>
            </w:tcBorders>
          </w:tcPr>
          <w:p>
            <w:pPr/>
          </w:p>
        </w:tc>
        <w:tc>
          <w:tcPr>
            <w:tcW w:w="2164" w:type="dxa"/>
          </w:tcPr>
          <w:p>
            <w:pPr/>
          </w:p>
        </w:tc>
        <w:tc>
          <w:tcPr>
            <w:tcW w:w="2084" w:type="dxa"/>
          </w:tcPr>
          <w:p>
            <w:pPr/>
          </w:p>
        </w:tc>
        <w:tc>
          <w:tcPr>
            <w:tcW w:w="1680" w:type="dxa"/>
          </w:tcPr>
          <w:p>
            <w:pPr>
              <w:pStyle w:val="TableParagraph"/>
              <w:spacing w:before="5"/>
              <w:ind w:left="779" w:right="180"/>
              <w:rPr>
                <w:sz w:val="12"/>
              </w:rPr>
            </w:pPr>
            <w:r>
              <w:rPr>
                <w:w w:val="105"/>
                <w:sz w:val="12"/>
              </w:rPr>
              <w:t>Subtotal</w:t>
            </w:r>
          </w:p>
        </w:tc>
        <w:tc>
          <w:tcPr>
            <w:tcW w:w="882" w:type="dxa"/>
          </w:tcPr>
          <w:p>
            <w:pPr>
              <w:pStyle w:val="TableParagraph"/>
              <w:tabs>
                <w:tab w:pos="463" w:val="left" w:leader="none"/>
                <w:tab w:pos="892" w:val="left" w:leader="none"/>
              </w:tabs>
              <w:spacing w:before="5"/>
              <w:ind w:left="202" w:right="-11"/>
              <w:jc w:val="left"/>
              <w:rPr>
                <w:sz w:val="12"/>
              </w:rPr>
            </w:pPr>
            <w:r>
              <w:rPr>
                <w:w w:val="104"/>
                <w:sz w:val="12"/>
                <w:shd w:fill="F79646" w:color="auto" w:val="clear"/>
              </w:rPr>
              <w:t> </w:t>
            </w:r>
            <w:r>
              <w:rPr>
                <w:sz w:val="12"/>
                <w:shd w:fill="F79646" w:color="auto" w:val="clear"/>
              </w:rPr>
              <w:tab/>
            </w:r>
            <w:r>
              <w:rPr>
                <w:w w:val="105"/>
                <w:sz w:val="12"/>
                <w:shd w:fill="F79646" w:color="auto" w:val="clear"/>
              </w:rPr>
              <w:t>0.7</w:t>
            </w:r>
            <w:r>
              <w:rPr>
                <w:sz w:val="12"/>
                <w:shd w:fill="F79646" w:color="auto" w:val="clear"/>
              </w:rPr>
              <w:tab/>
            </w:r>
          </w:p>
        </w:tc>
        <w:tc>
          <w:tcPr>
            <w:tcW w:w="681" w:type="dxa"/>
          </w:tcPr>
          <w:p>
            <w:pPr>
              <w:pStyle w:val="TableParagraph"/>
              <w:spacing w:before="5"/>
              <w:ind w:left="240" w:right="224"/>
              <w:rPr>
                <w:sz w:val="12"/>
              </w:rPr>
            </w:pPr>
            <w:r>
              <w:rPr>
                <w:w w:val="105"/>
                <w:sz w:val="12"/>
              </w:rPr>
              <w:t>0.7</w:t>
            </w:r>
          </w:p>
        </w:tc>
        <w:tc>
          <w:tcPr>
            <w:tcW w:w="679" w:type="dxa"/>
            <w:tcBorders>
              <w:right w:val="single" w:sz="8" w:space="0" w:color="000000"/>
            </w:tcBorders>
            <w:shd w:val="clear" w:color="auto" w:fill="67ED4D"/>
          </w:tcPr>
          <w:p>
            <w:pPr>
              <w:pStyle w:val="TableParagraph"/>
              <w:spacing w:before="5"/>
              <w:ind w:left="26"/>
              <w:rPr>
                <w:sz w:val="12"/>
              </w:rPr>
            </w:pPr>
            <w:r>
              <w:rPr>
                <w:w w:val="104"/>
                <w:sz w:val="12"/>
              </w:rPr>
              <w:t>1</w:t>
            </w:r>
          </w:p>
        </w:tc>
      </w:tr>
      <w:tr>
        <w:trPr>
          <w:trHeight w:val="146" w:hRule="exact"/>
        </w:trPr>
        <w:tc>
          <w:tcPr>
            <w:tcW w:w="8821" w:type="dxa"/>
            <w:gridSpan w:val="7"/>
            <w:tcBorders>
              <w:left w:val="single" w:sz="4" w:space="0" w:color="000000"/>
              <w:right w:val="single" w:sz="8" w:space="0" w:color="000000"/>
            </w:tcBorders>
          </w:tcPr>
          <w:p>
            <w:pPr/>
          </w:p>
        </w:tc>
      </w:tr>
      <w:tr>
        <w:trPr>
          <w:trHeight w:val="160" w:hRule="exact"/>
        </w:trPr>
        <w:tc>
          <w:tcPr>
            <w:tcW w:w="652" w:type="dxa"/>
            <w:tcBorders>
              <w:left w:val="single" w:sz="4" w:space="0" w:color="000000"/>
            </w:tcBorders>
          </w:tcPr>
          <w:p>
            <w:pPr/>
          </w:p>
        </w:tc>
        <w:tc>
          <w:tcPr>
            <w:tcW w:w="2164" w:type="dxa"/>
          </w:tcPr>
          <w:p>
            <w:pPr>
              <w:pStyle w:val="TableParagraph"/>
              <w:spacing w:before="8"/>
              <w:ind w:left="106"/>
              <w:jc w:val="left"/>
              <w:rPr>
                <w:sz w:val="12"/>
              </w:rPr>
            </w:pPr>
            <w:r>
              <w:rPr>
                <w:w w:val="105"/>
                <w:sz w:val="12"/>
              </w:rPr>
              <w:t>Índice de satisfacción residencial</w:t>
            </w:r>
          </w:p>
        </w:tc>
        <w:tc>
          <w:tcPr>
            <w:tcW w:w="2084" w:type="dxa"/>
          </w:tcPr>
          <w:p>
            <w:pPr>
              <w:pStyle w:val="TableParagraph"/>
              <w:spacing w:before="8"/>
              <w:ind w:left="34"/>
              <w:jc w:val="left"/>
              <w:rPr>
                <w:sz w:val="12"/>
              </w:rPr>
            </w:pPr>
            <w:r>
              <w:rPr>
                <w:w w:val="105"/>
                <w:sz w:val="12"/>
              </w:rPr>
              <w:t>Sociedad Hipotecaria Federal</w:t>
            </w:r>
          </w:p>
        </w:tc>
        <w:tc>
          <w:tcPr>
            <w:tcW w:w="1680" w:type="dxa"/>
          </w:tcPr>
          <w:p>
            <w:pPr>
              <w:pStyle w:val="TableParagraph"/>
              <w:tabs>
                <w:tab w:pos="1107" w:val="left" w:leader="none"/>
                <w:tab w:pos="1892" w:val="left" w:leader="none"/>
              </w:tabs>
              <w:spacing w:before="8"/>
              <w:ind w:left="396" w:right="-213"/>
              <w:rPr>
                <w:sz w:val="12"/>
              </w:rPr>
            </w:pPr>
            <w:r>
              <w:rPr>
                <w:w w:val="104"/>
                <w:sz w:val="12"/>
                <w:shd w:fill="BAF9F5" w:color="auto" w:val="clear"/>
              </w:rPr>
              <w:t> </w:t>
            </w:r>
            <w:r>
              <w:rPr>
                <w:sz w:val="12"/>
                <w:shd w:fill="BAF9F5" w:color="auto" w:val="clear"/>
              </w:rPr>
              <w:tab/>
            </w:r>
            <w:r>
              <w:rPr>
                <w:w w:val="105"/>
                <w:sz w:val="12"/>
                <w:shd w:fill="BAF9F5" w:color="auto" w:val="clear"/>
              </w:rPr>
              <w:t>1</w:t>
            </w:r>
            <w:r>
              <w:rPr>
                <w:sz w:val="12"/>
                <w:shd w:fill="BAF9F5" w:color="auto" w:val="clear"/>
              </w:rPr>
              <w:tab/>
            </w:r>
          </w:p>
        </w:tc>
        <w:tc>
          <w:tcPr>
            <w:tcW w:w="882" w:type="dxa"/>
          </w:tcPr>
          <w:p>
            <w:pPr/>
          </w:p>
        </w:tc>
        <w:tc>
          <w:tcPr>
            <w:tcW w:w="681" w:type="dxa"/>
          </w:tcPr>
          <w:p>
            <w:pPr>
              <w:pStyle w:val="TableParagraph"/>
              <w:spacing w:before="8"/>
              <w:ind w:left="240" w:right="224"/>
              <w:rPr>
                <w:sz w:val="12"/>
              </w:rPr>
            </w:pPr>
            <w:r>
              <w:rPr>
                <w:w w:val="105"/>
                <w:sz w:val="12"/>
              </w:rPr>
              <w:t>0.7</w:t>
            </w:r>
          </w:p>
        </w:tc>
        <w:tc>
          <w:tcPr>
            <w:tcW w:w="679" w:type="dxa"/>
            <w:tcBorders>
              <w:right w:val="single" w:sz="8" w:space="0" w:color="000000"/>
            </w:tcBorders>
            <w:shd w:val="clear" w:color="auto" w:fill="67ED4D"/>
          </w:tcPr>
          <w:p>
            <w:pPr>
              <w:pStyle w:val="TableParagraph"/>
              <w:spacing w:before="8"/>
              <w:ind w:left="26"/>
              <w:rPr>
                <w:sz w:val="12"/>
              </w:rPr>
            </w:pPr>
            <w:r>
              <w:rPr>
                <w:w w:val="104"/>
                <w:sz w:val="12"/>
              </w:rPr>
              <w:t>1</w:t>
            </w:r>
          </w:p>
        </w:tc>
      </w:tr>
      <w:tr>
        <w:trPr>
          <w:trHeight w:val="165" w:hRule="exact"/>
        </w:trPr>
        <w:tc>
          <w:tcPr>
            <w:tcW w:w="652" w:type="dxa"/>
            <w:tcBorders>
              <w:left w:val="single" w:sz="4" w:space="0" w:color="000000"/>
            </w:tcBorders>
          </w:tcPr>
          <w:p>
            <w:pPr/>
          </w:p>
        </w:tc>
        <w:tc>
          <w:tcPr>
            <w:tcW w:w="2164" w:type="dxa"/>
          </w:tcPr>
          <w:p>
            <w:pPr/>
          </w:p>
        </w:tc>
        <w:tc>
          <w:tcPr>
            <w:tcW w:w="2084" w:type="dxa"/>
          </w:tcPr>
          <w:p>
            <w:pPr/>
          </w:p>
        </w:tc>
        <w:tc>
          <w:tcPr>
            <w:tcW w:w="1680" w:type="dxa"/>
          </w:tcPr>
          <w:p>
            <w:pPr>
              <w:pStyle w:val="TableParagraph"/>
              <w:spacing w:before="5"/>
              <w:ind w:left="779" w:right="180"/>
              <w:rPr>
                <w:sz w:val="12"/>
              </w:rPr>
            </w:pPr>
            <w:r>
              <w:rPr>
                <w:w w:val="105"/>
                <w:sz w:val="12"/>
              </w:rPr>
              <w:t>Subtotal</w:t>
            </w:r>
          </w:p>
        </w:tc>
        <w:tc>
          <w:tcPr>
            <w:tcW w:w="882" w:type="dxa"/>
          </w:tcPr>
          <w:p>
            <w:pPr>
              <w:pStyle w:val="TableParagraph"/>
              <w:tabs>
                <w:tab w:pos="515" w:val="left" w:leader="none"/>
                <w:tab w:pos="892" w:val="left" w:leader="none"/>
              </w:tabs>
              <w:spacing w:before="5"/>
              <w:ind w:left="202" w:right="-11"/>
              <w:jc w:val="left"/>
              <w:rPr>
                <w:sz w:val="12"/>
              </w:rPr>
            </w:pPr>
            <w:r>
              <w:rPr>
                <w:w w:val="104"/>
                <w:sz w:val="12"/>
                <w:shd w:fill="F79646" w:color="auto" w:val="clear"/>
              </w:rPr>
              <w:t> </w:t>
            </w:r>
            <w:r>
              <w:rPr>
                <w:sz w:val="12"/>
                <w:shd w:fill="F79646" w:color="auto" w:val="clear"/>
              </w:rPr>
              <w:tab/>
            </w:r>
            <w:r>
              <w:rPr>
                <w:w w:val="105"/>
                <w:sz w:val="12"/>
                <w:shd w:fill="F79646" w:color="auto" w:val="clear"/>
              </w:rPr>
              <w:t>1</w:t>
            </w:r>
            <w:r>
              <w:rPr>
                <w:sz w:val="12"/>
                <w:shd w:fill="F79646" w:color="auto" w:val="clear"/>
              </w:rPr>
              <w:tab/>
            </w:r>
          </w:p>
        </w:tc>
        <w:tc>
          <w:tcPr>
            <w:tcW w:w="681" w:type="dxa"/>
          </w:tcPr>
          <w:p>
            <w:pPr>
              <w:pStyle w:val="TableParagraph"/>
              <w:spacing w:before="5"/>
              <w:ind w:left="240" w:right="224"/>
              <w:rPr>
                <w:sz w:val="12"/>
              </w:rPr>
            </w:pPr>
            <w:r>
              <w:rPr>
                <w:w w:val="105"/>
                <w:sz w:val="12"/>
              </w:rPr>
              <w:t>0.7</w:t>
            </w:r>
          </w:p>
        </w:tc>
        <w:tc>
          <w:tcPr>
            <w:tcW w:w="679" w:type="dxa"/>
            <w:tcBorders>
              <w:right w:val="single" w:sz="8" w:space="0" w:color="000000"/>
            </w:tcBorders>
            <w:shd w:val="clear" w:color="auto" w:fill="67ED4D"/>
          </w:tcPr>
          <w:p>
            <w:pPr>
              <w:pStyle w:val="TableParagraph"/>
              <w:spacing w:before="5"/>
              <w:ind w:left="26"/>
              <w:rPr>
                <w:sz w:val="12"/>
              </w:rPr>
            </w:pPr>
            <w:r>
              <w:rPr>
                <w:w w:val="104"/>
                <w:sz w:val="12"/>
              </w:rPr>
              <w:t>1</w:t>
            </w:r>
          </w:p>
        </w:tc>
      </w:tr>
      <w:tr>
        <w:trPr>
          <w:trHeight w:val="471" w:hRule="exact"/>
        </w:trPr>
        <w:tc>
          <w:tcPr>
            <w:tcW w:w="652" w:type="dxa"/>
            <w:tcBorders>
              <w:left w:val="single" w:sz="4" w:space="0" w:color="000000"/>
              <w:bottom w:val="single" w:sz="8" w:space="0" w:color="000000"/>
            </w:tcBorders>
          </w:tcPr>
          <w:p>
            <w:pPr/>
          </w:p>
        </w:tc>
        <w:tc>
          <w:tcPr>
            <w:tcW w:w="2164" w:type="dxa"/>
            <w:tcBorders>
              <w:bottom w:val="single" w:sz="8" w:space="0" w:color="000000"/>
            </w:tcBorders>
          </w:tcPr>
          <w:p>
            <w:pPr/>
          </w:p>
        </w:tc>
        <w:tc>
          <w:tcPr>
            <w:tcW w:w="2084" w:type="dxa"/>
            <w:tcBorders>
              <w:bottom w:val="single" w:sz="8" w:space="0" w:color="000000"/>
            </w:tcBorders>
          </w:tcPr>
          <w:p>
            <w:pPr/>
          </w:p>
        </w:tc>
        <w:tc>
          <w:tcPr>
            <w:tcW w:w="1680" w:type="dxa"/>
            <w:tcBorders>
              <w:bottom w:val="single" w:sz="8" w:space="0" w:color="000000"/>
            </w:tcBorders>
          </w:tcPr>
          <w:p>
            <w:pPr>
              <w:pStyle w:val="TableParagraph"/>
              <w:spacing w:before="4"/>
              <w:jc w:val="left"/>
              <w:rPr>
                <w:sz w:val="13"/>
              </w:rPr>
            </w:pPr>
          </w:p>
          <w:p>
            <w:pPr>
              <w:pStyle w:val="TableParagraph"/>
              <w:spacing w:before="1"/>
              <w:ind w:left="793" w:right="173"/>
              <w:rPr>
                <w:sz w:val="12"/>
              </w:rPr>
            </w:pPr>
            <w:r>
              <w:rPr>
                <w:w w:val="105"/>
                <w:sz w:val="12"/>
              </w:rPr>
              <w:t>Total IS</w:t>
            </w:r>
          </w:p>
        </w:tc>
        <w:tc>
          <w:tcPr>
            <w:tcW w:w="882" w:type="dxa"/>
            <w:tcBorders>
              <w:bottom w:val="single" w:sz="8" w:space="0" w:color="000000"/>
            </w:tcBorders>
          </w:tcPr>
          <w:p>
            <w:pPr>
              <w:pStyle w:val="TableParagraph"/>
              <w:spacing w:before="4"/>
              <w:jc w:val="left"/>
              <w:rPr>
                <w:sz w:val="13"/>
              </w:rPr>
            </w:pPr>
          </w:p>
          <w:p>
            <w:pPr>
              <w:pStyle w:val="TableParagraph"/>
              <w:tabs>
                <w:tab w:pos="892" w:val="left" w:leader="none"/>
              </w:tabs>
              <w:spacing w:before="1"/>
              <w:ind w:left="202" w:right="-11"/>
              <w:jc w:val="left"/>
              <w:rPr>
                <w:sz w:val="12"/>
              </w:rPr>
            </w:pPr>
            <w:r>
              <w:rPr>
                <w:w w:val="104"/>
                <w:sz w:val="12"/>
                <w:shd w:fill="F79646" w:color="auto" w:val="clear"/>
              </w:rPr>
              <w:t> </w:t>
            </w:r>
            <w:r>
              <w:rPr>
                <w:sz w:val="12"/>
                <w:shd w:fill="F79646" w:color="auto" w:val="clear"/>
              </w:rPr>
              <w:t>     </w:t>
            </w:r>
            <w:r>
              <w:rPr>
                <w:spacing w:val="-16"/>
                <w:sz w:val="12"/>
                <w:shd w:fill="F79646" w:color="auto" w:val="clear"/>
              </w:rPr>
              <w:t> </w:t>
            </w:r>
            <w:r>
              <w:rPr>
                <w:w w:val="105"/>
                <w:sz w:val="12"/>
                <w:shd w:fill="F79646" w:color="auto" w:val="clear"/>
              </w:rPr>
              <w:t>10.4</w:t>
            </w:r>
            <w:r>
              <w:rPr>
                <w:sz w:val="12"/>
                <w:shd w:fill="F79646" w:color="auto" w:val="clear"/>
              </w:rPr>
              <w:tab/>
            </w:r>
          </w:p>
        </w:tc>
        <w:tc>
          <w:tcPr>
            <w:tcW w:w="681" w:type="dxa"/>
            <w:tcBorders>
              <w:bottom w:val="single" w:sz="8" w:space="0" w:color="000000"/>
            </w:tcBorders>
          </w:tcPr>
          <w:p>
            <w:pPr>
              <w:pStyle w:val="TableParagraph"/>
              <w:spacing w:before="4"/>
              <w:jc w:val="left"/>
              <w:rPr>
                <w:sz w:val="13"/>
              </w:rPr>
            </w:pPr>
          </w:p>
          <w:p>
            <w:pPr>
              <w:pStyle w:val="TableParagraph"/>
              <w:tabs>
                <w:tab w:pos="690" w:val="left" w:leader="none"/>
              </w:tabs>
              <w:spacing w:before="1"/>
              <w:ind w:right="-10"/>
              <w:rPr>
                <w:sz w:val="12"/>
              </w:rPr>
            </w:pPr>
            <w:r>
              <w:rPr>
                <w:w w:val="104"/>
                <w:sz w:val="12"/>
                <w:shd w:fill="FFFF00" w:color="auto" w:val="clear"/>
              </w:rPr>
              <w:t> </w:t>
            </w:r>
            <w:r>
              <w:rPr>
                <w:sz w:val="12"/>
                <w:shd w:fill="FFFF00" w:color="auto" w:val="clear"/>
              </w:rPr>
              <w:t>     </w:t>
            </w:r>
            <w:r>
              <w:rPr>
                <w:spacing w:val="-5"/>
                <w:sz w:val="12"/>
                <w:shd w:fill="FFFF00" w:color="auto" w:val="clear"/>
              </w:rPr>
              <w:t> </w:t>
            </w:r>
            <w:r>
              <w:rPr>
                <w:spacing w:val="-3"/>
                <w:w w:val="105"/>
                <w:sz w:val="12"/>
                <w:shd w:fill="FFFF00" w:color="auto" w:val="clear"/>
              </w:rPr>
              <w:t>11.4</w:t>
            </w:r>
            <w:r>
              <w:rPr>
                <w:spacing w:val="-3"/>
                <w:sz w:val="12"/>
                <w:shd w:fill="FFFF00" w:color="auto" w:val="clear"/>
              </w:rPr>
              <w:tab/>
            </w:r>
          </w:p>
        </w:tc>
        <w:tc>
          <w:tcPr>
            <w:tcW w:w="679" w:type="dxa"/>
            <w:tcBorders>
              <w:bottom w:val="single" w:sz="8" w:space="0" w:color="000000"/>
              <w:right w:val="single" w:sz="8" w:space="0" w:color="000000"/>
            </w:tcBorders>
          </w:tcPr>
          <w:p>
            <w:pPr>
              <w:pStyle w:val="TableParagraph"/>
              <w:spacing w:before="4"/>
              <w:jc w:val="left"/>
              <w:rPr>
                <w:sz w:val="13"/>
              </w:rPr>
            </w:pPr>
          </w:p>
          <w:p>
            <w:pPr>
              <w:pStyle w:val="TableParagraph"/>
              <w:spacing w:before="1"/>
              <w:ind w:left="250" w:right="237"/>
              <w:rPr>
                <w:sz w:val="12"/>
              </w:rPr>
            </w:pPr>
            <w:r>
              <w:rPr>
                <w:w w:val="105"/>
                <w:sz w:val="12"/>
              </w:rPr>
              <w:t>15</w:t>
            </w:r>
          </w:p>
        </w:tc>
      </w:tr>
    </w:tbl>
    <w:p>
      <w:pPr>
        <w:pStyle w:val="BodyText"/>
        <w:spacing w:before="3"/>
        <w:rPr>
          <w:sz w:val="35"/>
        </w:rPr>
      </w:pPr>
    </w:p>
    <w:p>
      <w:pPr>
        <w:spacing w:before="0"/>
        <w:ind w:left="268" w:right="0" w:firstLine="0"/>
        <w:jc w:val="left"/>
        <w:rPr>
          <w:sz w:val="21"/>
        </w:rPr>
      </w:pPr>
      <w:r>
        <w:rPr/>
        <w:pict>
          <v:shape style="position:absolute;margin-left:472.650024pt;margin-top:-107.658134pt;width:34.550pt;height:16.25pt;mso-position-horizontal-relative:page;mso-position-vertical-relative:paragraph;z-index:-1135552" coordorigin="9453,-2153" coordsize="691,325" path="m10143,-2153l9453,-2153,9453,-1996,9453,-1986,9453,-1829,10143,-1829,10143,-1986,10143,-1996,10143,-2153e" filled="true" fillcolor="#ffff00" stroked="false">
            <v:path arrowok="t"/>
            <v:fill type="solid"/>
            <w10:wrap type="none"/>
          </v:shape>
        </w:pict>
      </w:r>
      <w:r>
        <w:rPr/>
        <w:pict>
          <v:shape style="position:absolute;margin-left:472.650024pt;margin-top:-84.111137pt;width:34.550pt;height:16.25pt;mso-position-horizontal-relative:page;mso-position-vertical-relative:paragraph;z-index:-1135528" coordorigin="9453,-1682" coordsize="691,325" path="m10143,-1682l9453,-1682,9453,-1525,9453,-1515,9453,-1358,10143,-1358,10143,-1515,10143,-1525,10143,-1682e" filled="true" fillcolor="#ffff00" stroked="false">
            <v:path arrowok="t"/>
            <v:fill type="solid"/>
            <w10:wrap type="none"/>
          </v:shape>
        </w:pict>
      </w:r>
      <w:r>
        <w:rPr/>
        <w:pict>
          <v:shape style="position:absolute;margin-left:472.650024pt;margin-top:-60.565132pt;width:34.550pt;height:16.25pt;mso-position-horizontal-relative:page;mso-position-vertical-relative:paragraph;z-index:-1135504" coordorigin="9453,-1211" coordsize="691,325" path="m10143,-1211l9453,-1211,9453,-1054,9453,-1044,9453,-887,10143,-887,10143,-1044,10143,-1054,10143,-1211e" filled="true" fillcolor="#ffff00" stroked="false">
            <v:path arrowok="t"/>
            <v:fill type="solid"/>
            <w10:wrap type="none"/>
          </v:shape>
        </w:pict>
      </w:r>
      <w:r>
        <w:rPr/>
        <w:pict>
          <v:rect style="position:absolute;margin-left:506.635986pt;margin-top:-37.017372pt;width:34.5086pt;height:8.372250pt;mso-position-horizontal-relative:page;mso-position-vertical-relative:paragraph;z-index:-1135480" filled="true" fillcolor="#67ed4d" stroked="false">
            <v:fill type="solid"/>
            <w10:wrap type="none"/>
          </v:rect>
        </w:pict>
      </w:r>
      <w:r>
        <w:rPr>
          <w:w w:val="105"/>
          <w:sz w:val="21"/>
        </w:rPr>
        <w:t>Fuente: Elaboración propia con base al estudio realizado.</w:t>
      </w:r>
    </w:p>
    <w:p>
      <w:pPr>
        <w:spacing w:after="0"/>
        <w:jc w:val="left"/>
        <w:rPr>
          <w:sz w:val="21"/>
        </w:rPr>
        <w:sectPr>
          <w:footerReference w:type="default" r:id="rId354"/>
          <w:pgSz w:w="12240" w:h="15840"/>
          <w:pgMar w:footer="1066" w:header="730" w:top="1320" w:bottom="1260" w:left="1720" w:right="1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pStyle w:val="BodyText"/>
        <w:spacing w:before="70" w:after="15"/>
        <w:ind w:left="268"/>
      </w:pPr>
      <w:r>
        <w:rPr/>
        <w:pict>
          <v:line style="position:absolute;mso-position-horizontal-relative:page;mso-position-vertical-relative:paragraph;z-index:22576" from="93.199997pt,-66.844124pt" to="546.799997pt,-66.844124pt" stroked="true" strokeweight=".479981pt" strokecolor="#000000">
            <w10:wrap type="none"/>
          </v:line>
        </w:pict>
      </w:r>
      <w:r>
        <w:rPr/>
        <w:pict>
          <v:group style="position:absolute;margin-left:364.449493pt;margin-top:54.384438pt;width:74.8pt;height:40.3pt;mso-position-horizontal-relative:page;mso-position-vertical-relative:paragraph;z-index:-1135432" coordorigin="7289,1088" coordsize="1496,806">
            <v:line style="position:absolute" from="7294,1093" to="7294,1261" stroked="true" strokeweight=".523pt" strokecolor="#baf9f5"/>
            <v:shape style="position:absolute;left:7300;top:1093;width:1486;height:639" coordorigin="7300,1093" coordsize="1486,639" path="m8785,1574l7300,1574,7300,1731,8785,1731,8785,1574m8785,1093l7300,1093,7300,1250,7300,1261,7300,1417,7300,1574,8785,1574,8785,1417,8785,1261,8785,1250,8785,1093e" filled="true" fillcolor="#baf9f5" stroked="false">
              <v:path arrowok="t"/>
              <v:fill type="solid"/>
            </v:shape>
            <v:line style="position:absolute" from="7294,1250" to="7294,1888" stroked="true" strokeweight=".523pt" strokecolor="#baf9f5"/>
            <v:rect style="position:absolute;left:7300;top:1731;width:1485;height:157" filled="true" fillcolor="#baf9f5" stroked="false">
              <v:fill type="solid"/>
            </v:rect>
            <w10:wrap type="none"/>
          </v:group>
        </w:pict>
      </w:r>
      <w:r>
        <w:rPr/>
        <w:pict>
          <v:shape style="position:absolute;margin-left:472.713013pt;margin-top:54.659836pt;width:34.550pt;height:47.6pt;mso-position-horizontal-relative:page;mso-position-vertical-relative:paragraph;z-index:-1135408" coordorigin="9454,1093" coordsize="691,952" path="m10145,1574l9454,1574,9454,1731,9454,1878,9454,1888,9454,2045,10145,2045,10145,1888,10145,1878,10145,1731,10145,1574m10145,1093l9454,1093,9454,1250,9454,1261,9454,1417,9454,1574,10145,1574,10145,1417,10145,1261,10145,1250,10145,1093e" filled="true" fillcolor="#ffff00" stroked="false">
            <v:path arrowok="t"/>
            <v:fill type="solid"/>
            <w10:wrap type="none"/>
          </v:shape>
        </w:pict>
      </w:r>
      <w:r>
        <w:rPr/>
        <w:pict>
          <v:group style="position:absolute;margin-left:364.449493pt;margin-top:132.829971pt;width:74.8pt;height:56pt;mso-position-horizontal-relative:page;mso-position-vertical-relative:paragraph;z-index:-1135384" coordorigin="7289,2657" coordsize="1496,1120">
            <v:line style="position:absolute" from="7294,2662" to="7294,2829" stroked="true" strokeweight=".523pt" strokecolor="#baf9f5"/>
            <v:rect style="position:absolute;left:7300;top:2662;width:1485;height:167" filled="true" fillcolor="#baf9f5" stroked="false">
              <v:fill type="solid"/>
            </v:rect>
            <v:line style="position:absolute" from="7294,2829" to="7294,2986" stroked="true" strokeweight=".523pt" strokecolor="#baf9f5"/>
            <v:rect style="position:absolute;left:7300;top:2829;width:1485;height:157" filled="true" fillcolor="#baf9f5" stroked="false">
              <v:fill type="solid"/>
            </v:rect>
            <v:line style="position:absolute" from="7294,2986" to="7294,3143" stroked="true" strokeweight=".523pt" strokecolor="#baf9f5"/>
            <v:rect style="position:absolute;left:7300;top:2986;width:1485;height:157" filled="true" fillcolor="#baf9f5" stroked="false">
              <v:fill type="solid"/>
            </v:rect>
            <v:line style="position:absolute" from="7294,3143" to="7294,3300" stroked="true" strokeweight=".523pt" strokecolor="#baf9f5"/>
            <v:rect style="position:absolute;left:7300;top:3143;width:1485;height:157" filled="true" fillcolor="#baf9f5" stroked="false">
              <v:fill type="solid"/>
            </v:rect>
            <v:line style="position:absolute" from="7294,3300" to="7294,3457" stroked="true" strokeweight=".523pt" strokecolor="#baf9f5"/>
            <v:rect style="position:absolute;left:7300;top:3300;width:1485;height:157" filled="true" fillcolor="#baf9f5" stroked="false">
              <v:fill type="solid"/>
            </v:rect>
            <v:line style="position:absolute" from="7294,3457" to="7294,3614" stroked="true" strokeweight=".523pt" strokecolor="#baf9f5"/>
            <v:rect style="position:absolute;left:7300;top:3457;width:1485;height:157" filled="true" fillcolor="#baf9f5" stroked="false">
              <v:fill type="solid"/>
            </v:rect>
            <v:line style="position:absolute" from="7294,3614" to="7294,3771" stroked="true" strokeweight=".523pt" strokecolor="#baf9f5"/>
            <v:rect style="position:absolute;left:7300;top:3614;width:1485;height:157" filled="true" fillcolor="#baf9f5" stroked="false">
              <v:fill type="solid"/>
            </v:rect>
            <w10:wrap type="none"/>
          </v:group>
        </w:pict>
      </w:r>
      <w:r>
        <w:rPr/>
        <w:pict>
          <v:shape style="position:absolute;margin-left:472.713013pt;margin-top:109.571838pt;width:34.550pt;height:16.25pt;mso-position-horizontal-relative:page;mso-position-vertical-relative:paragraph;z-index:-1135360" coordorigin="9454,2191" coordsize="691,325" path="m10145,2191l9454,2191,9454,2348,9454,2359,9454,2516,10145,2516,10145,2359,10145,2348,10145,2191e" filled="true" fillcolor="#ffff00" stroked="false">
            <v:path arrowok="t"/>
            <v:fill type="solid"/>
            <w10:wrap type="none"/>
          </v:shape>
        </w:pict>
      </w:r>
      <w:r>
        <w:rPr/>
        <w:pict>
          <v:shape style="position:absolute;margin-left:472.713013pt;margin-top:133.105835pt;width:34.550pt;height:63.3pt;mso-position-horizontal-relative:page;mso-position-vertical-relative:paragraph;z-index:-1135336" coordorigin="9454,2662" coordsize="691,1266" path="m10145,3457l9454,3457,9454,3614,9454,3760,9454,3771,9454,3928,10145,3928,10145,3771,10145,3760,10145,3614,10145,3457m10145,3300l9454,3300,9454,3457,10145,3457,10145,3300m10145,2829l9454,2829,9454,2986,9454,3143,9454,3300,10145,3300,10145,3143,10145,2986,10145,2829m10145,2662l9454,2662,9454,2829,10145,2829,10145,2662e" filled="true" fillcolor="#ffff00" stroked="false">
            <v:path arrowok="t"/>
            <v:fill type="solid"/>
            <w10:wrap type="none"/>
          </v:shape>
        </w:pict>
      </w:r>
      <w:r>
        <w:rPr/>
        <w:t>Tabla 54. ISA Valle del Nevado</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3"/>
        <w:gridCol w:w="1862"/>
        <w:gridCol w:w="2238"/>
        <w:gridCol w:w="1778"/>
        <w:gridCol w:w="797"/>
        <w:gridCol w:w="765"/>
        <w:gridCol w:w="680"/>
      </w:tblGrid>
      <w:tr>
        <w:trPr>
          <w:trHeight w:val="455" w:hRule="exact"/>
        </w:trPr>
        <w:tc>
          <w:tcPr>
            <w:tcW w:w="8822" w:type="dxa"/>
            <w:gridSpan w:val="7"/>
            <w:tcBorders>
              <w:bottom w:val="nil"/>
              <w:right w:val="single" w:sz="4" w:space="0" w:color="76933C"/>
            </w:tcBorders>
            <w:shd w:val="clear" w:color="auto" w:fill="000000"/>
          </w:tcPr>
          <w:p>
            <w:pPr>
              <w:pStyle w:val="TableParagraph"/>
              <w:spacing w:before="60"/>
              <w:ind w:left="3327" w:right="3320"/>
              <w:rPr>
                <w:b/>
                <w:sz w:val="12"/>
              </w:rPr>
            </w:pPr>
            <w:r>
              <w:rPr>
                <w:b/>
                <w:color w:val="FFFFFF"/>
                <w:w w:val="105"/>
                <w:sz w:val="12"/>
              </w:rPr>
              <w:t>Valle del Nevado</w:t>
            </w:r>
          </w:p>
          <w:p>
            <w:pPr>
              <w:pStyle w:val="TableParagraph"/>
              <w:spacing w:before="19"/>
              <w:ind w:left="3327" w:right="3320"/>
              <w:rPr>
                <w:b/>
                <w:sz w:val="12"/>
              </w:rPr>
            </w:pPr>
            <w:r>
              <w:rPr>
                <w:b/>
                <w:color w:val="FFFFFF"/>
                <w:w w:val="105"/>
                <w:sz w:val="12"/>
              </w:rPr>
              <w:t>Índice de sustentabilidad ambiental</w:t>
            </w:r>
          </w:p>
        </w:tc>
      </w:tr>
      <w:tr>
        <w:trPr>
          <w:trHeight w:val="204" w:hRule="exact"/>
        </w:trPr>
        <w:tc>
          <w:tcPr>
            <w:tcW w:w="703" w:type="dxa"/>
            <w:tcBorders>
              <w:top w:val="single" w:sz="4" w:space="0" w:color="FFFFFF"/>
              <w:left w:val="single" w:sz="4" w:space="0" w:color="000000"/>
            </w:tcBorders>
            <w:shd w:val="clear" w:color="auto" w:fill="808080"/>
          </w:tcPr>
          <w:p>
            <w:pPr>
              <w:pStyle w:val="TableParagraph"/>
              <w:spacing w:before="18"/>
              <w:ind w:left="177"/>
              <w:jc w:val="left"/>
              <w:rPr>
                <w:b/>
                <w:sz w:val="12"/>
              </w:rPr>
            </w:pPr>
            <w:r>
              <w:rPr>
                <w:b/>
                <w:color w:val="FFFFFF"/>
                <w:w w:val="105"/>
                <w:sz w:val="12"/>
              </w:rPr>
              <w:t>Índice</w:t>
            </w:r>
          </w:p>
        </w:tc>
        <w:tc>
          <w:tcPr>
            <w:tcW w:w="1862" w:type="dxa"/>
            <w:tcBorders>
              <w:top w:val="single" w:sz="4" w:space="0" w:color="FFFFFF"/>
            </w:tcBorders>
            <w:shd w:val="clear" w:color="auto" w:fill="808080"/>
          </w:tcPr>
          <w:p>
            <w:pPr>
              <w:pStyle w:val="TableParagraph"/>
              <w:spacing w:before="18"/>
              <w:ind w:left="55"/>
              <w:jc w:val="left"/>
              <w:rPr>
                <w:b/>
                <w:sz w:val="12"/>
              </w:rPr>
            </w:pPr>
            <w:r>
              <w:rPr>
                <w:b/>
                <w:color w:val="FFFFFF"/>
                <w:w w:val="105"/>
                <w:sz w:val="12"/>
              </w:rPr>
              <w:t>Subíndice</w:t>
            </w:r>
          </w:p>
        </w:tc>
        <w:tc>
          <w:tcPr>
            <w:tcW w:w="2238" w:type="dxa"/>
            <w:tcBorders>
              <w:top w:val="single" w:sz="4" w:space="0" w:color="FFFFFF"/>
            </w:tcBorders>
            <w:shd w:val="clear" w:color="auto" w:fill="808080"/>
          </w:tcPr>
          <w:p>
            <w:pPr>
              <w:pStyle w:val="TableParagraph"/>
              <w:spacing w:before="18"/>
              <w:ind w:left="285" w:right="285"/>
              <w:jc w:val="left"/>
              <w:rPr>
                <w:b/>
                <w:sz w:val="12"/>
              </w:rPr>
            </w:pPr>
            <w:r>
              <w:rPr>
                <w:b/>
                <w:color w:val="FFFFFF"/>
                <w:w w:val="105"/>
                <w:sz w:val="12"/>
              </w:rPr>
              <w:t>Indicador</w:t>
            </w:r>
          </w:p>
        </w:tc>
        <w:tc>
          <w:tcPr>
            <w:tcW w:w="1778" w:type="dxa"/>
            <w:tcBorders>
              <w:top w:val="single" w:sz="4" w:space="0" w:color="FFFFFF"/>
            </w:tcBorders>
            <w:shd w:val="clear" w:color="auto" w:fill="808080"/>
          </w:tcPr>
          <w:p>
            <w:pPr/>
          </w:p>
        </w:tc>
        <w:tc>
          <w:tcPr>
            <w:tcW w:w="797" w:type="dxa"/>
            <w:tcBorders>
              <w:top w:val="single" w:sz="4" w:space="0" w:color="FFFFFF"/>
            </w:tcBorders>
            <w:shd w:val="clear" w:color="auto" w:fill="808080"/>
          </w:tcPr>
          <w:p>
            <w:pPr>
              <w:pStyle w:val="TableParagraph"/>
              <w:spacing w:before="18"/>
              <w:ind w:left="264"/>
              <w:jc w:val="left"/>
              <w:rPr>
                <w:b/>
                <w:sz w:val="12"/>
              </w:rPr>
            </w:pPr>
            <w:r>
              <w:rPr>
                <w:b/>
                <w:color w:val="FFFFFF"/>
                <w:w w:val="105"/>
                <w:sz w:val="12"/>
              </w:rPr>
              <w:t>Valores</w:t>
            </w:r>
          </w:p>
        </w:tc>
        <w:tc>
          <w:tcPr>
            <w:tcW w:w="765" w:type="dxa"/>
            <w:tcBorders>
              <w:top w:val="single" w:sz="4" w:space="0" w:color="FFFFFF"/>
            </w:tcBorders>
            <w:shd w:val="clear" w:color="auto" w:fill="808080"/>
          </w:tcPr>
          <w:p>
            <w:pPr/>
          </w:p>
        </w:tc>
        <w:tc>
          <w:tcPr>
            <w:tcW w:w="680" w:type="dxa"/>
            <w:tcBorders>
              <w:top w:val="single" w:sz="4" w:space="0" w:color="FFFFFF"/>
              <w:right w:val="single" w:sz="8" w:space="0" w:color="000000"/>
            </w:tcBorders>
            <w:shd w:val="clear" w:color="auto" w:fill="808080"/>
          </w:tcPr>
          <w:p>
            <w:pPr/>
          </w:p>
        </w:tc>
      </w:tr>
      <w:tr>
        <w:trPr>
          <w:trHeight w:val="73" w:hRule="exact"/>
        </w:trPr>
        <w:tc>
          <w:tcPr>
            <w:tcW w:w="8822" w:type="dxa"/>
            <w:gridSpan w:val="7"/>
            <w:tcBorders>
              <w:left w:val="single" w:sz="4" w:space="0" w:color="000000"/>
              <w:right w:val="single" w:sz="8" w:space="0" w:color="000000"/>
            </w:tcBorders>
          </w:tcPr>
          <w:p>
            <w:pPr/>
          </w:p>
        </w:tc>
      </w:tr>
      <w:tr>
        <w:trPr>
          <w:trHeight w:val="160" w:hRule="exact"/>
        </w:trPr>
        <w:tc>
          <w:tcPr>
            <w:tcW w:w="703" w:type="dxa"/>
            <w:vMerge w:val="restart"/>
            <w:tcBorders>
              <w:left w:val="single" w:sz="4" w:space="0" w:color="000000"/>
            </w:tcBorders>
          </w:tcPr>
          <w:p>
            <w:pPr/>
          </w:p>
        </w:tc>
        <w:tc>
          <w:tcPr>
            <w:tcW w:w="1862" w:type="dxa"/>
          </w:tcPr>
          <w:p>
            <w:pPr/>
          </w:p>
        </w:tc>
        <w:tc>
          <w:tcPr>
            <w:tcW w:w="2238" w:type="dxa"/>
          </w:tcPr>
          <w:p>
            <w:pPr/>
          </w:p>
        </w:tc>
        <w:tc>
          <w:tcPr>
            <w:tcW w:w="1778" w:type="dxa"/>
          </w:tcPr>
          <w:p>
            <w:pPr>
              <w:pStyle w:val="TableParagraph"/>
              <w:spacing w:before="7"/>
              <w:ind w:left="891" w:right="181"/>
              <w:rPr>
                <w:b/>
                <w:sz w:val="12"/>
              </w:rPr>
            </w:pPr>
            <w:r>
              <w:rPr>
                <w:b/>
                <w:w w:val="105"/>
                <w:sz w:val="12"/>
              </w:rPr>
              <w:t>Evaluación</w:t>
            </w:r>
          </w:p>
        </w:tc>
        <w:tc>
          <w:tcPr>
            <w:tcW w:w="797" w:type="dxa"/>
          </w:tcPr>
          <w:p>
            <w:pPr>
              <w:pStyle w:val="TableParagraph"/>
              <w:tabs>
                <w:tab w:pos="892" w:val="left" w:leader="none"/>
              </w:tabs>
              <w:spacing w:before="7"/>
              <w:ind w:left="202" w:right="-96"/>
              <w:jc w:val="left"/>
              <w:rPr>
                <w:b/>
                <w:sz w:val="12"/>
              </w:rPr>
            </w:pPr>
            <w:r>
              <w:rPr>
                <w:b/>
                <w:w w:val="104"/>
                <w:sz w:val="12"/>
                <w:shd w:fill="F79646" w:color="auto" w:val="clear"/>
              </w:rPr>
              <w:t> </w:t>
            </w:r>
            <w:r>
              <w:rPr>
                <w:b/>
                <w:sz w:val="12"/>
                <w:shd w:fill="F79646" w:color="auto" w:val="clear"/>
              </w:rPr>
              <w:t>    </w:t>
            </w:r>
            <w:r>
              <w:rPr>
                <w:b/>
                <w:spacing w:val="7"/>
                <w:sz w:val="12"/>
                <w:shd w:fill="F79646" w:color="auto" w:val="clear"/>
              </w:rPr>
              <w:t> </w:t>
            </w:r>
            <w:r>
              <w:rPr>
                <w:b/>
                <w:w w:val="105"/>
                <w:sz w:val="12"/>
                <w:shd w:fill="F79646" w:color="auto" w:val="clear"/>
              </w:rPr>
              <w:t>Real</w:t>
            </w:r>
            <w:r>
              <w:rPr>
                <w:b/>
                <w:sz w:val="12"/>
                <w:shd w:fill="F79646" w:color="auto" w:val="clear"/>
              </w:rPr>
              <w:tab/>
            </w:r>
          </w:p>
        </w:tc>
        <w:tc>
          <w:tcPr>
            <w:tcW w:w="765" w:type="dxa"/>
          </w:tcPr>
          <w:p>
            <w:pPr>
              <w:pStyle w:val="TableParagraph"/>
              <w:spacing w:before="7"/>
              <w:ind w:left="137" w:right="34"/>
              <w:rPr>
                <w:b/>
                <w:sz w:val="12"/>
              </w:rPr>
            </w:pPr>
            <w:r>
              <w:rPr>
                <w:b/>
                <w:w w:val="105"/>
                <w:sz w:val="12"/>
              </w:rPr>
              <w:t>Deseable</w:t>
            </w:r>
          </w:p>
        </w:tc>
        <w:tc>
          <w:tcPr>
            <w:tcW w:w="680" w:type="dxa"/>
            <w:tcBorders>
              <w:right w:val="single" w:sz="8" w:space="0" w:color="000000"/>
            </w:tcBorders>
            <w:shd w:val="clear" w:color="auto" w:fill="67ED4D"/>
          </w:tcPr>
          <w:p>
            <w:pPr>
              <w:pStyle w:val="TableParagraph"/>
              <w:spacing w:before="7"/>
              <w:ind w:left="104" w:right="84"/>
              <w:rPr>
                <w:b/>
                <w:sz w:val="12"/>
              </w:rPr>
            </w:pPr>
            <w:r>
              <w:rPr>
                <w:b/>
                <w:w w:val="105"/>
                <w:sz w:val="12"/>
              </w:rPr>
              <w:t>Óptimo</w:t>
            </w:r>
          </w:p>
        </w:tc>
      </w:tr>
      <w:tr>
        <w:trPr>
          <w:trHeight w:val="157" w:hRule="exact"/>
        </w:trPr>
        <w:tc>
          <w:tcPr>
            <w:tcW w:w="703" w:type="dxa"/>
            <w:vMerge/>
            <w:tcBorders>
              <w:left w:val="single" w:sz="4" w:space="0" w:color="000000"/>
            </w:tcBorders>
          </w:tcPr>
          <w:p>
            <w:pPr/>
          </w:p>
        </w:tc>
        <w:tc>
          <w:tcPr>
            <w:tcW w:w="1862" w:type="dxa"/>
          </w:tcPr>
          <w:p>
            <w:pPr/>
          </w:p>
        </w:tc>
        <w:tc>
          <w:tcPr>
            <w:tcW w:w="2238" w:type="dxa"/>
          </w:tcPr>
          <w:p>
            <w:pPr>
              <w:pStyle w:val="TableParagraph"/>
              <w:spacing w:before="5"/>
              <w:ind w:left="285" w:right="285"/>
              <w:jc w:val="left"/>
              <w:rPr>
                <w:sz w:val="12"/>
              </w:rPr>
            </w:pPr>
            <w:r>
              <w:rPr>
                <w:w w:val="105"/>
                <w:sz w:val="12"/>
              </w:rPr>
              <w:t>Tipo de la vivienda</w:t>
            </w:r>
          </w:p>
        </w:tc>
        <w:tc>
          <w:tcPr>
            <w:tcW w:w="1778" w:type="dxa"/>
          </w:tcPr>
          <w:p>
            <w:pPr>
              <w:pStyle w:val="TableParagraph"/>
              <w:spacing w:before="5"/>
              <w:ind w:left="884" w:right="181"/>
              <w:rPr>
                <w:sz w:val="12"/>
              </w:rPr>
            </w:pPr>
            <w:r>
              <w:rPr>
                <w:w w:val="105"/>
                <w:sz w:val="12"/>
              </w:rPr>
              <w:t>0.6</w:t>
            </w:r>
          </w:p>
        </w:tc>
        <w:tc>
          <w:tcPr>
            <w:tcW w:w="797" w:type="dxa"/>
          </w:tcPr>
          <w:p>
            <w:pPr/>
          </w:p>
        </w:tc>
        <w:tc>
          <w:tcPr>
            <w:tcW w:w="765" w:type="dxa"/>
          </w:tcPr>
          <w:p>
            <w:pPr>
              <w:pStyle w:val="TableParagraph"/>
              <w:spacing w:before="5"/>
              <w:ind w:left="136" w:right="34"/>
              <w:rPr>
                <w:sz w:val="12"/>
              </w:rPr>
            </w:pPr>
            <w:r>
              <w:rPr>
                <w:w w:val="105"/>
                <w:sz w:val="12"/>
              </w:rPr>
              <w:t>0.6</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703" w:type="dxa"/>
            <w:vMerge/>
            <w:tcBorders>
              <w:left w:val="single" w:sz="4" w:space="0" w:color="000000"/>
            </w:tcBorders>
          </w:tcPr>
          <w:p>
            <w:pPr/>
          </w:p>
        </w:tc>
        <w:tc>
          <w:tcPr>
            <w:tcW w:w="1862" w:type="dxa"/>
            <w:vMerge w:val="restart"/>
          </w:tcPr>
          <w:p>
            <w:pPr>
              <w:pStyle w:val="TableParagraph"/>
              <w:spacing w:before="78"/>
              <w:ind w:left="55"/>
              <w:jc w:val="left"/>
              <w:rPr>
                <w:sz w:val="12"/>
              </w:rPr>
            </w:pPr>
            <w:r>
              <w:rPr>
                <w:w w:val="105"/>
                <w:sz w:val="12"/>
              </w:rPr>
              <w:t>Autorizaciones</w:t>
            </w:r>
          </w:p>
        </w:tc>
        <w:tc>
          <w:tcPr>
            <w:tcW w:w="2238" w:type="dxa"/>
            <w:vMerge w:val="restart"/>
          </w:tcPr>
          <w:p>
            <w:pPr>
              <w:pStyle w:val="TableParagraph"/>
              <w:spacing w:line="273" w:lineRule="auto" w:before="5"/>
              <w:ind w:left="285" w:right="285"/>
              <w:jc w:val="left"/>
              <w:rPr>
                <w:sz w:val="12"/>
              </w:rPr>
            </w:pPr>
            <w:r>
              <w:rPr>
                <w:w w:val="105"/>
                <w:sz w:val="12"/>
              </w:rPr>
              <w:t>Metros de construcción Metros de terreno</w:t>
            </w:r>
          </w:p>
        </w:tc>
        <w:tc>
          <w:tcPr>
            <w:tcW w:w="1778" w:type="dxa"/>
            <w:vMerge w:val="restart"/>
          </w:tcPr>
          <w:p>
            <w:pPr>
              <w:pStyle w:val="TableParagraph"/>
              <w:spacing w:before="5"/>
              <w:ind w:right="500"/>
              <w:jc w:val="right"/>
              <w:rPr>
                <w:sz w:val="12"/>
              </w:rPr>
            </w:pPr>
            <w:r>
              <w:rPr>
                <w:w w:val="104"/>
                <w:sz w:val="12"/>
              </w:rPr>
              <w:t>1</w:t>
            </w:r>
          </w:p>
          <w:p>
            <w:pPr>
              <w:pStyle w:val="TableParagraph"/>
              <w:spacing w:before="19"/>
              <w:ind w:right="500"/>
              <w:jc w:val="right"/>
              <w:rPr>
                <w:sz w:val="12"/>
              </w:rPr>
            </w:pPr>
            <w:r>
              <w:rPr>
                <w:w w:val="104"/>
                <w:sz w:val="12"/>
              </w:rPr>
              <w:t>1</w:t>
            </w:r>
          </w:p>
        </w:tc>
        <w:tc>
          <w:tcPr>
            <w:tcW w:w="797" w:type="dxa"/>
            <w:vMerge w:val="restart"/>
          </w:tcPr>
          <w:p>
            <w:pPr/>
          </w:p>
        </w:tc>
        <w:tc>
          <w:tcPr>
            <w:tcW w:w="765" w:type="dxa"/>
            <w:vMerge w:val="restart"/>
          </w:tcPr>
          <w:p>
            <w:pPr>
              <w:pStyle w:val="TableParagraph"/>
              <w:spacing w:before="5"/>
              <w:ind w:left="102"/>
              <w:rPr>
                <w:sz w:val="12"/>
              </w:rPr>
            </w:pPr>
            <w:r>
              <w:rPr>
                <w:w w:val="104"/>
                <w:sz w:val="12"/>
              </w:rPr>
              <w:t>1</w:t>
            </w:r>
          </w:p>
          <w:p>
            <w:pPr>
              <w:pStyle w:val="TableParagraph"/>
              <w:spacing w:before="19"/>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703" w:type="dxa"/>
            <w:vMerge/>
            <w:tcBorders>
              <w:left w:val="single" w:sz="4" w:space="0" w:color="000000"/>
            </w:tcBorders>
          </w:tcPr>
          <w:p>
            <w:pPr/>
          </w:p>
        </w:tc>
        <w:tc>
          <w:tcPr>
            <w:tcW w:w="1862" w:type="dxa"/>
            <w:vMerge/>
          </w:tcPr>
          <w:p>
            <w:pPr/>
          </w:p>
        </w:tc>
        <w:tc>
          <w:tcPr>
            <w:tcW w:w="2238" w:type="dxa"/>
            <w:vMerge/>
          </w:tcPr>
          <w:p>
            <w:pPr/>
          </w:p>
        </w:tc>
        <w:tc>
          <w:tcPr>
            <w:tcW w:w="1778" w:type="dxa"/>
            <w:vMerge/>
          </w:tcPr>
          <w:p>
            <w:pPr/>
          </w:p>
        </w:tc>
        <w:tc>
          <w:tcPr>
            <w:tcW w:w="797" w:type="dxa"/>
            <w:vMerge/>
          </w:tcPr>
          <w:p>
            <w:pPr/>
          </w:p>
        </w:tc>
        <w:tc>
          <w:tcPr>
            <w:tcW w:w="765" w:type="dxa"/>
            <w:vMerge/>
          </w:tcPr>
          <w:p>
            <w:pP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703" w:type="dxa"/>
            <w:vMerge/>
            <w:tcBorders>
              <w:left w:val="single" w:sz="4" w:space="0" w:color="000000"/>
            </w:tcBorders>
          </w:tcPr>
          <w:p>
            <w:pPr/>
          </w:p>
        </w:tc>
        <w:tc>
          <w:tcPr>
            <w:tcW w:w="1862" w:type="dxa"/>
          </w:tcPr>
          <w:p>
            <w:pPr/>
          </w:p>
        </w:tc>
        <w:tc>
          <w:tcPr>
            <w:tcW w:w="2238" w:type="dxa"/>
          </w:tcPr>
          <w:p>
            <w:pPr>
              <w:pStyle w:val="TableParagraph"/>
              <w:spacing w:before="5"/>
              <w:ind w:left="285" w:right="285"/>
              <w:jc w:val="left"/>
              <w:rPr>
                <w:sz w:val="12"/>
              </w:rPr>
            </w:pPr>
            <w:r>
              <w:rPr>
                <w:w w:val="105"/>
                <w:sz w:val="12"/>
              </w:rPr>
              <w:t>Plan ambiental</w:t>
            </w:r>
          </w:p>
        </w:tc>
        <w:tc>
          <w:tcPr>
            <w:tcW w:w="1778" w:type="dxa"/>
          </w:tcPr>
          <w:p>
            <w:pPr>
              <w:pStyle w:val="TableParagraph"/>
              <w:spacing w:before="5"/>
              <w:ind w:left="703"/>
              <w:rPr>
                <w:sz w:val="12"/>
              </w:rPr>
            </w:pPr>
            <w:r>
              <w:rPr>
                <w:w w:val="104"/>
                <w:sz w:val="12"/>
              </w:rPr>
              <w:t>0</w:t>
            </w:r>
          </w:p>
        </w:tc>
        <w:tc>
          <w:tcPr>
            <w:tcW w:w="797" w:type="dxa"/>
          </w:tcPr>
          <w:p>
            <w:pPr/>
          </w:p>
        </w:tc>
        <w:tc>
          <w:tcPr>
            <w:tcW w:w="765" w:type="dxa"/>
          </w:tcPr>
          <w:p>
            <w:pPr>
              <w:pStyle w:val="TableParagraph"/>
              <w:spacing w:before="5"/>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4" w:hRule="exact"/>
        </w:trPr>
        <w:tc>
          <w:tcPr>
            <w:tcW w:w="703" w:type="dxa"/>
            <w:vMerge/>
            <w:tcBorders>
              <w:left w:val="single" w:sz="4" w:space="0" w:color="000000"/>
            </w:tcBorders>
          </w:tcPr>
          <w:p>
            <w:pPr/>
          </w:p>
        </w:tc>
        <w:tc>
          <w:tcPr>
            <w:tcW w:w="1862" w:type="dxa"/>
          </w:tcPr>
          <w:p>
            <w:pPr/>
          </w:p>
        </w:tc>
        <w:tc>
          <w:tcPr>
            <w:tcW w:w="2238" w:type="dxa"/>
          </w:tcPr>
          <w:p>
            <w:pPr/>
          </w:p>
        </w:tc>
        <w:tc>
          <w:tcPr>
            <w:tcW w:w="1778" w:type="dxa"/>
          </w:tcPr>
          <w:p>
            <w:pPr>
              <w:pStyle w:val="TableParagraph"/>
              <w:spacing w:before="5"/>
              <w:ind w:left="878" w:right="181"/>
              <w:rPr>
                <w:sz w:val="12"/>
              </w:rPr>
            </w:pPr>
            <w:r>
              <w:rPr>
                <w:w w:val="105"/>
                <w:sz w:val="12"/>
              </w:rPr>
              <w:t>Subtotal</w:t>
            </w:r>
          </w:p>
        </w:tc>
        <w:tc>
          <w:tcPr>
            <w:tcW w:w="797" w:type="dxa"/>
          </w:tcPr>
          <w:p>
            <w:pPr>
              <w:pStyle w:val="TableParagraph"/>
              <w:tabs>
                <w:tab w:pos="463"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2.6</w:t>
            </w:r>
            <w:r>
              <w:rPr>
                <w:sz w:val="12"/>
                <w:shd w:fill="F79646" w:color="auto" w:val="clear"/>
              </w:rPr>
              <w:tab/>
            </w:r>
          </w:p>
        </w:tc>
        <w:tc>
          <w:tcPr>
            <w:tcW w:w="765" w:type="dxa"/>
          </w:tcPr>
          <w:p>
            <w:pPr>
              <w:pStyle w:val="TableParagraph"/>
              <w:spacing w:before="5"/>
              <w:ind w:left="136" w:right="34"/>
              <w:rPr>
                <w:sz w:val="12"/>
              </w:rPr>
            </w:pPr>
            <w:r>
              <w:rPr>
                <w:w w:val="105"/>
                <w:sz w:val="12"/>
              </w:rPr>
              <w:t>3.6</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4</w:t>
            </w:r>
          </w:p>
        </w:tc>
      </w:tr>
      <w:tr>
        <w:trPr>
          <w:trHeight w:val="146" w:hRule="exact"/>
        </w:trPr>
        <w:tc>
          <w:tcPr>
            <w:tcW w:w="703" w:type="dxa"/>
            <w:tcBorders>
              <w:left w:val="single" w:sz="4" w:space="0" w:color="000000"/>
            </w:tcBorders>
          </w:tcPr>
          <w:p>
            <w:pPr/>
          </w:p>
        </w:tc>
        <w:tc>
          <w:tcPr>
            <w:tcW w:w="1862" w:type="dxa"/>
          </w:tcPr>
          <w:p>
            <w:pPr>
              <w:pStyle w:val="TableParagraph"/>
              <w:spacing w:line="135" w:lineRule="exact"/>
              <w:ind w:left="55"/>
              <w:jc w:val="left"/>
              <w:rPr>
                <w:sz w:val="12"/>
              </w:rPr>
            </w:pPr>
            <w:r>
              <w:rPr>
                <w:w w:val="105"/>
                <w:sz w:val="12"/>
              </w:rPr>
              <w:t>Agua</w:t>
            </w:r>
          </w:p>
        </w:tc>
        <w:tc>
          <w:tcPr>
            <w:tcW w:w="2238" w:type="dxa"/>
          </w:tcPr>
          <w:p>
            <w:pPr>
              <w:pStyle w:val="TableParagraph"/>
              <w:spacing w:line="135" w:lineRule="exact"/>
              <w:ind w:left="285" w:right="285"/>
              <w:jc w:val="left"/>
              <w:rPr>
                <w:sz w:val="12"/>
              </w:rPr>
            </w:pPr>
            <w:r>
              <w:rPr>
                <w:w w:val="105"/>
                <w:sz w:val="12"/>
              </w:rPr>
              <w:t>Tipo de abastecimiento</w:t>
            </w:r>
          </w:p>
        </w:tc>
        <w:tc>
          <w:tcPr>
            <w:tcW w:w="1778" w:type="dxa"/>
          </w:tcPr>
          <w:p>
            <w:pPr/>
          </w:p>
        </w:tc>
        <w:tc>
          <w:tcPr>
            <w:tcW w:w="797" w:type="dxa"/>
          </w:tcPr>
          <w:p>
            <w:pPr/>
          </w:p>
        </w:tc>
        <w:tc>
          <w:tcPr>
            <w:tcW w:w="765" w:type="dxa"/>
          </w:tcPr>
          <w:p>
            <w:pPr/>
          </w:p>
        </w:tc>
        <w:tc>
          <w:tcPr>
            <w:tcW w:w="680" w:type="dxa"/>
            <w:tcBorders>
              <w:right w:val="single" w:sz="8" w:space="0" w:color="000000"/>
            </w:tcBorders>
          </w:tcPr>
          <w:p>
            <w:pPr/>
          </w:p>
        </w:tc>
      </w:tr>
      <w:tr>
        <w:trPr>
          <w:trHeight w:val="160" w:hRule="exact"/>
        </w:trPr>
        <w:tc>
          <w:tcPr>
            <w:tcW w:w="703" w:type="dxa"/>
            <w:tcBorders>
              <w:left w:val="single" w:sz="4" w:space="0" w:color="000000"/>
            </w:tcBorders>
          </w:tcPr>
          <w:p>
            <w:pPr/>
          </w:p>
        </w:tc>
        <w:tc>
          <w:tcPr>
            <w:tcW w:w="1862" w:type="dxa"/>
          </w:tcPr>
          <w:p>
            <w:pPr/>
          </w:p>
        </w:tc>
        <w:tc>
          <w:tcPr>
            <w:tcW w:w="2238" w:type="dxa"/>
          </w:tcPr>
          <w:p>
            <w:pPr/>
          </w:p>
        </w:tc>
        <w:tc>
          <w:tcPr>
            <w:tcW w:w="1778" w:type="dxa"/>
          </w:tcPr>
          <w:p>
            <w:pPr>
              <w:pStyle w:val="TableParagraph"/>
              <w:tabs>
                <w:tab w:pos="1205" w:val="left" w:leader="none"/>
                <w:tab w:pos="1990" w:val="left" w:leader="none"/>
              </w:tabs>
              <w:spacing w:before="7"/>
              <w:ind w:left="494" w:right="-213"/>
              <w:rPr>
                <w:sz w:val="12"/>
              </w:rPr>
            </w:pPr>
            <w:r>
              <w:rPr>
                <w:w w:val="104"/>
                <w:sz w:val="12"/>
                <w:shd w:fill="BAF9F5" w:color="auto" w:val="clear"/>
              </w:rPr>
              <w:t> </w:t>
            </w:r>
            <w:r>
              <w:rPr>
                <w:sz w:val="12"/>
                <w:shd w:fill="BAF9F5" w:color="auto" w:val="clear"/>
              </w:rPr>
              <w:tab/>
            </w:r>
            <w:r>
              <w:rPr>
                <w:w w:val="105"/>
                <w:sz w:val="12"/>
                <w:shd w:fill="BAF9F5" w:color="auto" w:val="clear"/>
              </w:rPr>
              <w:t>1</w:t>
            </w:r>
            <w:r>
              <w:rPr>
                <w:sz w:val="12"/>
                <w:shd w:fill="BAF9F5" w:color="auto" w:val="clear"/>
              </w:rPr>
              <w:tab/>
            </w:r>
          </w:p>
        </w:tc>
        <w:tc>
          <w:tcPr>
            <w:tcW w:w="797" w:type="dxa"/>
          </w:tcPr>
          <w:p>
            <w:pPr/>
          </w:p>
        </w:tc>
        <w:tc>
          <w:tcPr>
            <w:tcW w:w="765" w:type="dxa"/>
          </w:tcPr>
          <w:p>
            <w:pPr>
              <w:pStyle w:val="TableParagraph"/>
              <w:spacing w:before="7"/>
              <w:ind w:left="136" w:right="34"/>
              <w:rPr>
                <w:sz w:val="12"/>
              </w:rPr>
            </w:pPr>
            <w:r>
              <w:rPr>
                <w:w w:val="105"/>
                <w:sz w:val="12"/>
              </w:rPr>
              <w:t>0.7</w:t>
            </w:r>
          </w:p>
        </w:tc>
        <w:tc>
          <w:tcPr>
            <w:tcW w:w="680" w:type="dxa"/>
            <w:tcBorders>
              <w:right w:val="single" w:sz="8" w:space="0" w:color="000000"/>
            </w:tcBorders>
            <w:shd w:val="clear" w:color="auto" w:fill="67ED4D"/>
          </w:tcPr>
          <w:p>
            <w:pPr>
              <w:pStyle w:val="TableParagraph"/>
              <w:spacing w:before="7"/>
              <w:ind w:left="27"/>
              <w:rPr>
                <w:sz w:val="12"/>
              </w:rPr>
            </w:pPr>
            <w:r>
              <w:rPr>
                <w:w w:val="104"/>
                <w:sz w:val="12"/>
              </w:rPr>
              <w:t>1</w:t>
            </w:r>
          </w:p>
        </w:tc>
      </w:tr>
      <w:tr>
        <w:trPr>
          <w:trHeight w:val="164" w:hRule="exact"/>
        </w:trPr>
        <w:tc>
          <w:tcPr>
            <w:tcW w:w="703" w:type="dxa"/>
            <w:tcBorders>
              <w:left w:val="single" w:sz="4" w:space="0" w:color="000000"/>
            </w:tcBorders>
          </w:tcPr>
          <w:p>
            <w:pPr/>
          </w:p>
        </w:tc>
        <w:tc>
          <w:tcPr>
            <w:tcW w:w="1862" w:type="dxa"/>
          </w:tcPr>
          <w:p>
            <w:pPr/>
          </w:p>
        </w:tc>
        <w:tc>
          <w:tcPr>
            <w:tcW w:w="2238" w:type="dxa"/>
          </w:tcPr>
          <w:p>
            <w:pPr/>
          </w:p>
        </w:tc>
        <w:tc>
          <w:tcPr>
            <w:tcW w:w="1778" w:type="dxa"/>
          </w:tcPr>
          <w:p>
            <w:pPr>
              <w:pStyle w:val="TableParagraph"/>
              <w:spacing w:before="5"/>
              <w:ind w:left="878" w:right="181"/>
              <w:rPr>
                <w:sz w:val="12"/>
              </w:rPr>
            </w:pPr>
            <w:r>
              <w:rPr>
                <w:w w:val="105"/>
                <w:sz w:val="12"/>
              </w:rPr>
              <w:t>Subtotal</w:t>
            </w:r>
          </w:p>
        </w:tc>
        <w:tc>
          <w:tcPr>
            <w:tcW w:w="797" w:type="dxa"/>
          </w:tcPr>
          <w:p>
            <w:pPr>
              <w:pStyle w:val="TableParagraph"/>
              <w:tabs>
                <w:tab w:pos="515"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1</w:t>
            </w:r>
            <w:r>
              <w:rPr>
                <w:sz w:val="12"/>
                <w:shd w:fill="F79646" w:color="auto" w:val="clear"/>
              </w:rPr>
              <w:tab/>
            </w:r>
          </w:p>
        </w:tc>
        <w:tc>
          <w:tcPr>
            <w:tcW w:w="765" w:type="dxa"/>
          </w:tcPr>
          <w:p>
            <w:pPr>
              <w:pStyle w:val="TableParagraph"/>
              <w:spacing w:before="5"/>
              <w:ind w:left="136" w:right="34"/>
              <w:rPr>
                <w:sz w:val="12"/>
              </w:rPr>
            </w:pPr>
            <w:r>
              <w:rPr>
                <w:w w:val="105"/>
                <w:sz w:val="12"/>
              </w:rPr>
              <w:t>0.7</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46" w:hRule="exact"/>
        </w:trPr>
        <w:tc>
          <w:tcPr>
            <w:tcW w:w="8822" w:type="dxa"/>
            <w:gridSpan w:val="7"/>
            <w:tcBorders>
              <w:left w:val="single" w:sz="4" w:space="0" w:color="000000"/>
              <w:right w:val="single" w:sz="8" w:space="0" w:color="000000"/>
            </w:tcBorders>
          </w:tcPr>
          <w:p>
            <w:pPr/>
          </w:p>
        </w:tc>
      </w:tr>
      <w:tr>
        <w:trPr>
          <w:trHeight w:val="160" w:hRule="exact"/>
        </w:trPr>
        <w:tc>
          <w:tcPr>
            <w:tcW w:w="703" w:type="dxa"/>
            <w:tcBorders>
              <w:left w:val="single" w:sz="4" w:space="0" w:color="000000"/>
            </w:tcBorders>
          </w:tcPr>
          <w:p>
            <w:pPr/>
          </w:p>
        </w:tc>
        <w:tc>
          <w:tcPr>
            <w:tcW w:w="1862" w:type="dxa"/>
          </w:tcPr>
          <w:p>
            <w:pPr/>
          </w:p>
        </w:tc>
        <w:tc>
          <w:tcPr>
            <w:tcW w:w="2238" w:type="dxa"/>
          </w:tcPr>
          <w:p>
            <w:pPr>
              <w:pStyle w:val="TableParagraph"/>
              <w:spacing w:before="7"/>
              <w:ind w:left="285" w:right="285"/>
              <w:jc w:val="left"/>
              <w:rPr>
                <w:sz w:val="12"/>
              </w:rPr>
            </w:pPr>
            <w:r>
              <w:rPr>
                <w:w w:val="105"/>
                <w:sz w:val="12"/>
              </w:rPr>
              <w:t>Agua potable</w:t>
            </w:r>
          </w:p>
        </w:tc>
        <w:tc>
          <w:tcPr>
            <w:tcW w:w="1778" w:type="dxa"/>
          </w:tcPr>
          <w:p>
            <w:pPr>
              <w:pStyle w:val="TableParagraph"/>
              <w:spacing w:before="7"/>
              <w:ind w:left="703"/>
              <w:rPr>
                <w:sz w:val="12"/>
              </w:rPr>
            </w:pPr>
            <w:r>
              <w:rPr>
                <w:w w:val="104"/>
                <w:sz w:val="12"/>
              </w:rPr>
              <w:t>0</w:t>
            </w:r>
          </w:p>
        </w:tc>
        <w:tc>
          <w:tcPr>
            <w:tcW w:w="797" w:type="dxa"/>
          </w:tcPr>
          <w:p>
            <w:pPr/>
          </w:p>
        </w:tc>
        <w:tc>
          <w:tcPr>
            <w:tcW w:w="765" w:type="dxa"/>
          </w:tcPr>
          <w:p>
            <w:pPr>
              <w:pStyle w:val="TableParagraph"/>
              <w:spacing w:before="7"/>
              <w:ind w:left="136" w:right="34"/>
              <w:rPr>
                <w:sz w:val="12"/>
              </w:rPr>
            </w:pPr>
            <w:r>
              <w:rPr>
                <w:w w:val="105"/>
                <w:sz w:val="12"/>
              </w:rPr>
              <w:t>0.5</w:t>
            </w:r>
          </w:p>
        </w:tc>
        <w:tc>
          <w:tcPr>
            <w:tcW w:w="680" w:type="dxa"/>
            <w:tcBorders>
              <w:right w:val="single" w:sz="8" w:space="0" w:color="000000"/>
            </w:tcBorders>
            <w:shd w:val="clear" w:color="auto" w:fill="67ED4D"/>
          </w:tcPr>
          <w:p>
            <w:pPr>
              <w:pStyle w:val="TableParagraph"/>
              <w:spacing w:before="7"/>
              <w:ind w:left="27"/>
              <w:rPr>
                <w:sz w:val="12"/>
              </w:rPr>
            </w:pPr>
            <w:r>
              <w:rPr>
                <w:w w:val="104"/>
                <w:sz w:val="12"/>
              </w:rPr>
              <w:t>1</w:t>
            </w:r>
          </w:p>
        </w:tc>
      </w:tr>
      <w:tr>
        <w:trPr>
          <w:trHeight w:val="157" w:hRule="exact"/>
        </w:trPr>
        <w:tc>
          <w:tcPr>
            <w:tcW w:w="703" w:type="dxa"/>
            <w:tcBorders>
              <w:left w:val="single" w:sz="4" w:space="0" w:color="000000"/>
            </w:tcBorders>
          </w:tcPr>
          <w:p>
            <w:pPr/>
          </w:p>
        </w:tc>
        <w:tc>
          <w:tcPr>
            <w:tcW w:w="1862" w:type="dxa"/>
          </w:tcPr>
          <w:p>
            <w:pPr/>
          </w:p>
        </w:tc>
        <w:tc>
          <w:tcPr>
            <w:tcW w:w="2238" w:type="dxa"/>
          </w:tcPr>
          <w:p>
            <w:pPr>
              <w:pStyle w:val="TableParagraph"/>
              <w:spacing w:before="5"/>
              <w:ind w:left="285" w:right="285"/>
              <w:jc w:val="left"/>
              <w:rPr>
                <w:sz w:val="12"/>
              </w:rPr>
            </w:pPr>
            <w:r>
              <w:rPr>
                <w:w w:val="105"/>
                <w:sz w:val="12"/>
              </w:rPr>
              <w:t>Energía eléctrica</w:t>
            </w:r>
          </w:p>
        </w:tc>
        <w:tc>
          <w:tcPr>
            <w:tcW w:w="1778" w:type="dxa"/>
          </w:tcPr>
          <w:p>
            <w:pPr>
              <w:pStyle w:val="TableParagraph"/>
              <w:spacing w:before="5"/>
              <w:ind w:left="884" w:right="181"/>
              <w:rPr>
                <w:sz w:val="12"/>
              </w:rPr>
            </w:pPr>
            <w:r>
              <w:rPr>
                <w:w w:val="105"/>
                <w:sz w:val="12"/>
              </w:rPr>
              <w:t>0.5</w:t>
            </w:r>
          </w:p>
        </w:tc>
        <w:tc>
          <w:tcPr>
            <w:tcW w:w="797" w:type="dxa"/>
          </w:tcPr>
          <w:p>
            <w:pPr/>
          </w:p>
        </w:tc>
        <w:tc>
          <w:tcPr>
            <w:tcW w:w="765" w:type="dxa"/>
          </w:tcPr>
          <w:p>
            <w:pPr>
              <w:pStyle w:val="TableParagraph"/>
              <w:spacing w:before="5"/>
              <w:ind w:left="136" w:right="34"/>
              <w:rPr>
                <w:sz w:val="12"/>
              </w:rPr>
            </w:pPr>
            <w:r>
              <w:rPr>
                <w:w w:val="105"/>
                <w:sz w:val="12"/>
              </w:rPr>
              <w:t>0.5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703" w:type="dxa"/>
            <w:tcBorders>
              <w:left w:val="single" w:sz="4" w:space="0" w:color="000000"/>
            </w:tcBorders>
          </w:tcPr>
          <w:p>
            <w:pPr/>
          </w:p>
        </w:tc>
        <w:tc>
          <w:tcPr>
            <w:tcW w:w="1862" w:type="dxa"/>
          </w:tcPr>
          <w:p>
            <w:pPr/>
          </w:p>
        </w:tc>
        <w:tc>
          <w:tcPr>
            <w:tcW w:w="2238" w:type="dxa"/>
          </w:tcPr>
          <w:p>
            <w:pPr>
              <w:pStyle w:val="TableParagraph"/>
              <w:spacing w:before="5"/>
              <w:ind w:left="285" w:right="285"/>
              <w:jc w:val="left"/>
              <w:rPr>
                <w:sz w:val="12"/>
              </w:rPr>
            </w:pPr>
            <w:r>
              <w:rPr>
                <w:w w:val="105"/>
                <w:sz w:val="12"/>
              </w:rPr>
              <w:t>Drenaje sanitario</w:t>
            </w:r>
          </w:p>
        </w:tc>
        <w:tc>
          <w:tcPr>
            <w:tcW w:w="1778" w:type="dxa"/>
          </w:tcPr>
          <w:p>
            <w:pPr>
              <w:pStyle w:val="TableParagraph"/>
              <w:spacing w:before="5"/>
              <w:ind w:left="884" w:right="181"/>
              <w:rPr>
                <w:sz w:val="12"/>
              </w:rPr>
            </w:pPr>
            <w:r>
              <w:rPr>
                <w:w w:val="105"/>
                <w:sz w:val="12"/>
              </w:rPr>
              <w:t>0.5</w:t>
            </w:r>
          </w:p>
        </w:tc>
        <w:tc>
          <w:tcPr>
            <w:tcW w:w="797" w:type="dxa"/>
          </w:tcPr>
          <w:p>
            <w:pPr/>
          </w:p>
        </w:tc>
        <w:tc>
          <w:tcPr>
            <w:tcW w:w="765" w:type="dxa"/>
          </w:tcPr>
          <w:p>
            <w:pPr>
              <w:pStyle w:val="TableParagraph"/>
              <w:spacing w:before="5"/>
              <w:ind w:left="136" w:right="34"/>
              <w:rPr>
                <w:sz w:val="12"/>
              </w:rPr>
            </w:pPr>
            <w:r>
              <w:rPr>
                <w:w w:val="105"/>
                <w:sz w:val="12"/>
              </w:rPr>
              <w:t>0.5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703" w:type="dxa"/>
            <w:tcBorders>
              <w:left w:val="single" w:sz="4" w:space="0" w:color="000000"/>
            </w:tcBorders>
          </w:tcPr>
          <w:p>
            <w:pPr/>
          </w:p>
        </w:tc>
        <w:tc>
          <w:tcPr>
            <w:tcW w:w="1862" w:type="dxa"/>
          </w:tcPr>
          <w:p>
            <w:pPr>
              <w:pStyle w:val="TableParagraph"/>
              <w:spacing w:before="5"/>
              <w:ind w:left="55"/>
              <w:jc w:val="left"/>
              <w:rPr>
                <w:sz w:val="12"/>
              </w:rPr>
            </w:pPr>
            <w:r>
              <w:rPr>
                <w:w w:val="105"/>
                <w:sz w:val="12"/>
              </w:rPr>
              <w:t>Infraestructura</w:t>
            </w:r>
          </w:p>
        </w:tc>
        <w:tc>
          <w:tcPr>
            <w:tcW w:w="2238" w:type="dxa"/>
          </w:tcPr>
          <w:p>
            <w:pPr>
              <w:pStyle w:val="TableParagraph"/>
              <w:spacing w:before="5"/>
              <w:ind w:left="285" w:right="285"/>
              <w:jc w:val="left"/>
              <w:rPr>
                <w:sz w:val="12"/>
              </w:rPr>
            </w:pPr>
            <w:r>
              <w:rPr>
                <w:w w:val="105"/>
                <w:sz w:val="12"/>
              </w:rPr>
              <w:t>Drenaje pluvial</w:t>
            </w:r>
          </w:p>
        </w:tc>
        <w:tc>
          <w:tcPr>
            <w:tcW w:w="1778" w:type="dxa"/>
          </w:tcPr>
          <w:p>
            <w:pPr>
              <w:pStyle w:val="TableParagraph"/>
              <w:spacing w:before="5"/>
              <w:ind w:left="703"/>
              <w:rPr>
                <w:sz w:val="12"/>
              </w:rPr>
            </w:pPr>
            <w:r>
              <w:rPr>
                <w:w w:val="104"/>
                <w:sz w:val="12"/>
              </w:rPr>
              <w:t>0</w:t>
            </w:r>
          </w:p>
        </w:tc>
        <w:tc>
          <w:tcPr>
            <w:tcW w:w="797" w:type="dxa"/>
          </w:tcPr>
          <w:p>
            <w:pPr/>
          </w:p>
        </w:tc>
        <w:tc>
          <w:tcPr>
            <w:tcW w:w="765" w:type="dxa"/>
          </w:tcPr>
          <w:p>
            <w:pPr>
              <w:pStyle w:val="TableParagraph"/>
              <w:spacing w:before="5"/>
              <w:ind w:left="136" w:right="34"/>
              <w:rPr>
                <w:sz w:val="12"/>
              </w:rPr>
            </w:pPr>
            <w:r>
              <w:rPr>
                <w:w w:val="105"/>
                <w:sz w:val="12"/>
              </w:rPr>
              <w:t>0.5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703" w:type="dxa"/>
            <w:tcBorders>
              <w:left w:val="single" w:sz="4" w:space="0" w:color="000000"/>
            </w:tcBorders>
          </w:tcPr>
          <w:p>
            <w:pPr/>
          </w:p>
        </w:tc>
        <w:tc>
          <w:tcPr>
            <w:tcW w:w="1862" w:type="dxa"/>
          </w:tcPr>
          <w:p>
            <w:pPr/>
          </w:p>
        </w:tc>
        <w:tc>
          <w:tcPr>
            <w:tcW w:w="2238" w:type="dxa"/>
          </w:tcPr>
          <w:p>
            <w:pPr>
              <w:pStyle w:val="TableParagraph"/>
              <w:spacing w:before="5"/>
              <w:ind w:left="285" w:right="285"/>
              <w:jc w:val="left"/>
              <w:rPr>
                <w:sz w:val="12"/>
              </w:rPr>
            </w:pPr>
            <w:r>
              <w:rPr>
                <w:w w:val="105"/>
                <w:sz w:val="12"/>
              </w:rPr>
              <w:t>Guarniciones y banquetas</w:t>
            </w:r>
          </w:p>
        </w:tc>
        <w:tc>
          <w:tcPr>
            <w:tcW w:w="1778" w:type="dxa"/>
          </w:tcPr>
          <w:p>
            <w:pPr>
              <w:pStyle w:val="TableParagraph"/>
              <w:spacing w:before="5"/>
              <w:ind w:left="884" w:right="181"/>
              <w:rPr>
                <w:sz w:val="12"/>
              </w:rPr>
            </w:pPr>
            <w:r>
              <w:rPr>
                <w:w w:val="105"/>
                <w:sz w:val="12"/>
              </w:rPr>
              <w:t>0.5</w:t>
            </w:r>
          </w:p>
        </w:tc>
        <w:tc>
          <w:tcPr>
            <w:tcW w:w="797" w:type="dxa"/>
          </w:tcPr>
          <w:p>
            <w:pPr/>
          </w:p>
        </w:tc>
        <w:tc>
          <w:tcPr>
            <w:tcW w:w="765" w:type="dxa"/>
          </w:tcPr>
          <w:p>
            <w:pPr>
              <w:pStyle w:val="TableParagraph"/>
              <w:spacing w:before="5"/>
              <w:ind w:left="136" w:right="34"/>
              <w:rPr>
                <w:sz w:val="12"/>
              </w:rPr>
            </w:pPr>
            <w:r>
              <w:rPr>
                <w:w w:val="105"/>
                <w:sz w:val="12"/>
              </w:rPr>
              <w:t>0.5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703" w:type="dxa"/>
            <w:tcBorders>
              <w:left w:val="single" w:sz="4" w:space="0" w:color="000000"/>
            </w:tcBorders>
          </w:tcPr>
          <w:p>
            <w:pPr/>
          </w:p>
        </w:tc>
        <w:tc>
          <w:tcPr>
            <w:tcW w:w="1862" w:type="dxa"/>
          </w:tcPr>
          <w:p>
            <w:pPr/>
          </w:p>
        </w:tc>
        <w:tc>
          <w:tcPr>
            <w:tcW w:w="2238" w:type="dxa"/>
          </w:tcPr>
          <w:p>
            <w:pPr>
              <w:pStyle w:val="TableParagraph"/>
              <w:spacing w:before="5"/>
              <w:ind w:left="285" w:right="285"/>
              <w:jc w:val="left"/>
              <w:rPr>
                <w:sz w:val="12"/>
              </w:rPr>
            </w:pPr>
            <w:r>
              <w:rPr>
                <w:w w:val="105"/>
                <w:sz w:val="12"/>
              </w:rPr>
              <w:t>Vialidades y calles</w:t>
            </w:r>
          </w:p>
        </w:tc>
        <w:tc>
          <w:tcPr>
            <w:tcW w:w="1778" w:type="dxa"/>
          </w:tcPr>
          <w:p>
            <w:pPr>
              <w:pStyle w:val="TableParagraph"/>
              <w:spacing w:before="5"/>
              <w:ind w:left="884" w:right="181"/>
              <w:rPr>
                <w:sz w:val="12"/>
              </w:rPr>
            </w:pPr>
            <w:r>
              <w:rPr>
                <w:w w:val="105"/>
                <w:sz w:val="12"/>
              </w:rPr>
              <w:t>0.5</w:t>
            </w:r>
          </w:p>
        </w:tc>
        <w:tc>
          <w:tcPr>
            <w:tcW w:w="797" w:type="dxa"/>
          </w:tcPr>
          <w:p>
            <w:pPr/>
          </w:p>
        </w:tc>
        <w:tc>
          <w:tcPr>
            <w:tcW w:w="765" w:type="dxa"/>
          </w:tcPr>
          <w:p>
            <w:pPr>
              <w:pStyle w:val="TableParagraph"/>
              <w:spacing w:before="5"/>
              <w:ind w:left="136" w:right="34"/>
              <w:rPr>
                <w:sz w:val="12"/>
              </w:rPr>
            </w:pPr>
            <w:r>
              <w:rPr>
                <w:w w:val="105"/>
                <w:sz w:val="12"/>
              </w:rPr>
              <w:t>0.5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703" w:type="dxa"/>
            <w:tcBorders>
              <w:left w:val="single" w:sz="4" w:space="0" w:color="000000"/>
            </w:tcBorders>
          </w:tcPr>
          <w:p>
            <w:pPr/>
          </w:p>
        </w:tc>
        <w:tc>
          <w:tcPr>
            <w:tcW w:w="1862" w:type="dxa"/>
          </w:tcPr>
          <w:p>
            <w:pPr/>
          </w:p>
        </w:tc>
        <w:tc>
          <w:tcPr>
            <w:tcW w:w="2238" w:type="dxa"/>
          </w:tcPr>
          <w:p>
            <w:pPr>
              <w:pStyle w:val="TableParagraph"/>
              <w:spacing w:before="5"/>
              <w:ind w:left="285" w:right="285"/>
              <w:jc w:val="left"/>
              <w:rPr>
                <w:sz w:val="12"/>
              </w:rPr>
            </w:pPr>
            <w:r>
              <w:rPr>
                <w:w w:val="105"/>
                <w:sz w:val="12"/>
              </w:rPr>
              <w:t>Señalización</w:t>
            </w:r>
          </w:p>
        </w:tc>
        <w:tc>
          <w:tcPr>
            <w:tcW w:w="1778" w:type="dxa"/>
          </w:tcPr>
          <w:p>
            <w:pPr>
              <w:pStyle w:val="TableParagraph"/>
              <w:spacing w:before="5"/>
              <w:ind w:left="703"/>
              <w:rPr>
                <w:sz w:val="12"/>
              </w:rPr>
            </w:pPr>
            <w:r>
              <w:rPr>
                <w:w w:val="104"/>
                <w:sz w:val="12"/>
              </w:rPr>
              <w:t>0</w:t>
            </w:r>
          </w:p>
        </w:tc>
        <w:tc>
          <w:tcPr>
            <w:tcW w:w="797" w:type="dxa"/>
          </w:tcPr>
          <w:p>
            <w:pPr/>
          </w:p>
        </w:tc>
        <w:tc>
          <w:tcPr>
            <w:tcW w:w="765" w:type="dxa"/>
          </w:tcPr>
          <w:p>
            <w:pPr>
              <w:pStyle w:val="TableParagraph"/>
              <w:spacing w:before="5"/>
              <w:ind w:left="136" w:right="34"/>
              <w:rPr>
                <w:sz w:val="12"/>
              </w:rPr>
            </w:pPr>
            <w:r>
              <w:rPr>
                <w:w w:val="105"/>
                <w:sz w:val="12"/>
              </w:rPr>
              <w:t>0.5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4" w:hRule="exact"/>
        </w:trPr>
        <w:tc>
          <w:tcPr>
            <w:tcW w:w="703" w:type="dxa"/>
            <w:tcBorders>
              <w:left w:val="single" w:sz="4" w:space="0" w:color="000000"/>
            </w:tcBorders>
          </w:tcPr>
          <w:p>
            <w:pPr/>
          </w:p>
        </w:tc>
        <w:tc>
          <w:tcPr>
            <w:tcW w:w="1862" w:type="dxa"/>
          </w:tcPr>
          <w:p>
            <w:pPr/>
          </w:p>
        </w:tc>
        <w:tc>
          <w:tcPr>
            <w:tcW w:w="2238" w:type="dxa"/>
          </w:tcPr>
          <w:p>
            <w:pPr/>
          </w:p>
        </w:tc>
        <w:tc>
          <w:tcPr>
            <w:tcW w:w="1778" w:type="dxa"/>
          </w:tcPr>
          <w:p>
            <w:pPr>
              <w:pStyle w:val="TableParagraph"/>
              <w:spacing w:before="5"/>
              <w:ind w:left="878" w:right="181"/>
              <w:rPr>
                <w:sz w:val="12"/>
              </w:rPr>
            </w:pPr>
            <w:r>
              <w:rPr>
                <w:w w:val="105"/>
                <w:sz w:val="12"/>
              </w:rPr>
              <w:t>Subtotal</w:t>
            </w:r>
          </w:p>
        </w:tc>
        <w:tc>
          <w:tcPr>
            <w:tcW w:w="797" w:type="dxa"/>
          </w:tcPr>
          <w:p>
            <w:pPr>
              <w:pStyle w:val="TableParagraph"/>
              <w:tabs>
                <w:tab w:pos="515"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2</w:t>
            </w:r>
            <w:r>
              <w:rPr>
                <w:sz w:val="12"/>
                <w:shd w:fill="F79646" w:color="auto" w:val="clear"/>
              </w:rPr>
              <w:tab/>
            </w:r>
          </w:p>
        </w:tc>
        <w:tc>
          <w:tcPr>
            <w:tcW w:w="765" w:type="dxa"/>
          </w:tcPr>
          <w:p>
            <w:pPr>
              <w:pStyle w:val="TableParagraph"/>
              <w:spacing w:before="5"/>
              <w:ind w:left="136" w:right="34"/>
              <w:rPr>
                <w:sz w:val="12"/>
              </w:rPr>
            </w:pPr>
            <w:r>
              <w:rPr>
                <w:w w:val="105"/>
                <w:sz w:val="12"/>
              </w:rPr>
              <w:t>3.5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7</w:t>
            </w:r>
          </w:p>
        </w:tc>
      </w:tr>
      <w:tr>
        <w:trPr>
          <w:trHeight w:val="146" w:hRule="exact"/>
        </w:trPr>
        <w:tc>
          <w:tcPr>
            <w:tcW w:w="8822" w:type="dxa"/>
            <w:gridSpan w:val="7"/>
            <w:tcBorders>
              <w:left w:val="single" w:sz="4" w:space="0" w:color="000000"/>
              <w:right w:val="single" w:sz="8" w:space="0" w:color="000000"/>
            </w:tcBorders>
          </w:tcPr>
          <w:p>
            <w:pPr/>
          </w:p>
        </w:tc>
      </w:tr>
      <w:tr>
        <w:trPr>
          <w:trHeight w:val="160" w:hRule="exact"/>
        </w:trPr>
        <w:tc>
          <w:tcPr>
            <w:tcW w:w="703" w:type="dxa"/>
            <w:vMerge w:val="restart"/>
            <w:tcBorders>
              <w:left w:val="single" w:sz="4" w:space="0" w:color="000000"/>
            </w:tcBorders>
          </w:tcPr>
          <w:p>
            <w:pPr>
              <w:pStyle w:val="TableParagraph"/>
              <w:spacing w:before="81"/>
              <w:ind w:left="83"/>
              <w:jc w:val="left"/>
              <w:rPr>
                <w:sz w:val="12"/>
              </w:rPr>
            </w:pPr>
            <w:r>
              <w:rPr>
                <w:w w:val="105"/>
                <w:sz w:val="12"/>
              </w:rPr>
              <w:t>Ambiental</w:t>
            </w:r>
          </w:p>
        </w:tc>
        <w:tc>
          <w:tcPr>
            <w:tcW w:w="1862" w:type="dxa"/>
            <w:vMerge w:val="restart"/>
          </w:tcPr>
          <w:p>
            <w:pPr>
              <w:pStyle w:val="TableParagraph"/>
              <w:spacing w:before="3"/>
              <w:jc w:val="left"/>
              <w:rPr>
                <w:sz w:val="14"/>
              </w:rPr>
            </w:pPr>
          </w:p>
          <w:p>
            <w:pPr>
              <w:pStyle w:val="TableParagraph"/>
              <w:ind w:left="55"/>
              <w:jc w:val="left"/>
              <w:rPr>
                <w:sz w:val="12"/>
              </w:rPr>
            </w:pPr>
            <w:r>
              <w:rPr>
                <w:w w:val="105"/>
                <w:sz w:val="12"/>
              </w:rPr>
              <w:t>Áreas verdes</w:t>
            </w:r>
          </w:p>
        </w:tc>
        <w:tc>
          <w:tcPr>
            <w:tcW w:w="2238" w:type="dxa"/>
            <w:vMerge w:val="restart"/>
          </w:tcPr>
          <w:p>
            <w:pPr>
              <w:pStyle w:val="TableParagraph"/>
              <w:spacing w:line="273" w:lineRule="auto" w:before="7"/>
              <w:ind w:left="285" w:right="1076"/>
              <w:jc w:val="left"/>
              <w:rPr>
                <w:sz w:val="12"/>
              </w:rPr>
            </w:pPr>
            <w:r>
              <w:rPr>
                <w:w w:val="105"/>
                <w:sz w:val="12"/>
              </w:rPr>
              <w:t>Superficie Índice OMS</w:t>
            </w:r>
          </w:p>
        </w:tc>
        <w:tc>
          <w:tcPr>
            <w:tcW w:w="1778" w:type="dxa"/>
            <w:vMerge w:val="restart"/>
          </w:tcPr>
          <w:p>
            <w:pPr>
              <w:pStyle w:val="TableParagraph"/>
              <w:spacing w:before="7"/>
              <w:ind w:right="500"/>
              <w:jc w:val="right"/>
              <w:rPr>
                <w:sz w:val="12"/>
              </w:rPr>
            </w:pPr>
            <w:r>
              <w:rPr>
                <w:w w:val="104"/>
                <w:sz w:val="12"/>
              </w:rPr>
              <w:t>1</w:t>
            </w:r>
          </w:p>
          <w:p>
            <w:pPr>
              <w:pStyle w:val="TableParagraph"/>
              <w:spacing w:before="19"/>
              <w:ind w:right="447"/>
              <w:jc w:val="right"/>
              <w:rPr>
                <w:sz w:val="12"/>
              </w:rPr>
            </w:pPr>
            <w:r>
              <w:rPr>
                <w:w w:val="105"/>
                <w:sz w:val="12"/>
              </w:rPr>
              <w:t>0.5</w:t>
            </w:r>
          </w:p>
        </w:tc>
        <w:tc>
          <w:tcPr>
            <w:tcW w:w="797" w:type="dxa"/>
            <w:vMerge w:val="restart"/>
          </w:tcPr>
          <w:p>
            <w:pPr/>
          </w:p>
        </w:tc>
        <w:tc>
          <w:tcPr>
            <w:tcW w:w="765" w:type="dxa"/>
            <w:vMerge w:val="restart"/>
          </w:tcPr>
          <w:p>
            <w:pPr>
              <w:pStyle w:val="TableParagraph"/>
              <w:spacing w:before="7"/>
              <w:ind w:left="102"/>
              <w:rPr>
                <w:sz w:val="12"/>
              </w:rPr>
            </w:pPr>
            <w:r>
              <w:rPr>
                <w:w w:val="104"/>
                <w:sz w:val="12"/>
              </w:rPr>
              <w:t>1</w:t>
            </w:r>
          </w:p>
          <w:p>
            <w:pPr>
              <w:pStyle w:val="TableParagraph"/>
              <w:spacing w:before="19"/>
              <w:ind w:left="136" w:right="34"/>
              <w:rPr>
                <w:sz w:val="12"/>
              </w:rPr>
            </w:pPr>
            <w:r>
              <w:rPr>
                <w:w w:val="105"/>
                <w:sz w:val="12"/>
              </w:rPr>
              <w:t>0.8</w:t>
            </w:r>
          </w:p>
        </w:tc>
        <w:tc>
          <w:tcPr>
            <w:tcW w:w="680" w:type="dxa"/>
            <w:tcBorders>
              <w:right w:val="single" w:sz="8" w:space="0" w:color="000000"/>
            </w:tcBorders>
            <w:shd w:val="clear" w:color="auto" w:fill="67ED4D"/>
          </w:tcPr>
          <w:p>
            <w:pPr>
              <w:pStyle w:val="TableParagraph"/>
              <w:spacing w:before="7"/>
              <w:ind w:left="27"/>
              <w:rPr>
                <w:sz w:val="12"/>
              </w:rPr>
            </w:pPr>
            <w:r>
              <w:rPr>
                <w:w w:val="104"/>
                <w:sz w:val="12"/>
              </w:rPr>
              <w:t>1</w:t>
            </w:r>
          </w:p>
        </w:tc>
      </w:tr>
      <w:tr>
        <w:trPr>
          <w:trHeight w:val="157" w:hRule="exact"/>
        </w:trPr>
        <w:tc>
          <w:tcPr>
            <w:tcW w:w="703" w:type="dxa"/>
            <w:vMerge/>
            <w:tcBorders>
              <w:left w:val="single" w:sz="4" w:space="0" w:color="000000"/>
            </w:tcBorders>
          </w:tcPr>
          <w:p>
            <w:pPr/>
          </w:p>
        </w:tc>
        <w:tc>
          <w:tcPr>
            <w:tcW w:w="1862" w:type="dxa"/>
            <w:vMerge/>
          </w:tcPr>
          <w:p>
            <w:pPr/>
          </w:p>
        </w:tc>
        <w:tc>
          <w:tcPr>
            <w:tcW w:w="2238" w:type="dxa"/>
            <w:vMerge/>
          </w:tcPr>
          <w:p>
            <w:pPr/>
          </w:p>
        </w:tc>
        <w:tc>
          <w:tcPr>
            <w:tcW w:w="1778" w:type="dxa"/>
            <w:vMerge/>
          </w:tcPr>
          <w:p>
            <w:pPr/>
          </w:p>
        </w:tc>
        <w:tc>
          <w:tcPr>
            <w:tcW w:w="797" w:type="dxa"/>
            <w:vMerge/>
          </w:tcPr>
          <w:p>
            <w:pPr/>
          </w:p>
        </w:tc>
        <w:tc>
          <w:tcPr>
            <w:tcW w:w="765" w:type="dxa"/>
            <w:vMerge/>
          </w:tcPr>
          <w:p>
            <w:pP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703" w:type="dxa"/>
            <w:tcBorders>
              <w:left w:val="single" w:sz="4" w:space="0" w:color="000000"/>
            </w:tcBorders>
          </w:tcPr>
          <w:p>
            <w:pPr/>
          </w:p>
        </w:tc>
        <w:tc>
          <w:tcPr>
            <w:tcW w:w="1862" w:type="dxa"/>
          </w:tcPr>
          <w:p>
            <w:pPr/>
          </w:p>
        </w:tc>
        <w:tc>
          <w:tcPr>
            <w:tcW w:w="2238" w:type="dxa"/>
          </w:tcPr>
          <w:p>
            <w:pPr>
              <w:pStyle w:val="TableParagraph"/>
              <w:spacing w:before="5"/>
              <w:ind w:left="285" w:right="285"/>
              <w:jc w:val="left"/>
              <w:rPr>
                <w:sz w:val="12"/>
              </w:rPr>
            </w:pPr>
            <w:r>
              <w:rPr>
                <w:w w:val="105"/>
                <w:sz w:val="12"/>
              </w:rPr>
              <w:t>Índice ONU</w:t>
            </w:r>
          </w:p>
        </w:tc>
        <w:tc>
          <w:tcPr>
            <w:tcW w:w="1778" w:type="dxa"/>
          </w:tcPr>
          <w:p>
            <w:pPr>
              <w:pStyle w:val="TableParagraph"/>
              <w:spacing w:before="5"/>
              <w:ind w:left="884" w:right="181"/>
              <w:rPr>
                <w:sz w:val="12"/>
              </w:rPr>
            </w:pPr>
            <w:r>
              <w:rPr>
                <w:w w:val="105"/>
                <w:sz w:val="12"/>
              </w:rPr>
              <w:t>0.5</w:t>
            </w:r>
          </w:p>
        </w:tc>
        <w:tc>
          <w:tcPr>
            <w:tcW w:w="797" w:type="dxa"/>
          </w:tcPr>
          <w:p>
            <w:pPr/>
          </w:p>
        </w:tc>
        <w:tc>
          <w:tcPr>
            <w:tcW w:w="765" w:type="dxa"/>
          </w:tcPr>
          <w:p>
            <w:pPr>
              <w:pStyle w:val="TableParagraph"/>
              <w:spacing w:before="5"/>
              <w:ind w:left="136" w:right="34"/>
              <w:rPr>
                <w:sz w:val="12"/>
              </w:rPr>
            </w:pPr>
            <w:r>
              <w:rPr>
                <w:w w:val="105"/>
                <w:sz w:val="12"/>
              </w:rPr>
              <w:t>0.8</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4" w:hRule="exact"/>
        </w:trPr>
        <w:tc>
          <w:tcPr>
            <w:tcW w:w="703" w:type="dxa"/>
            <w:tcBorders>
              <w:left w:val="single" w:sz="4" w:space="0" w:color="000000"/>
            </w:tcBorders>
          </w:tcPr>
          <w:p>
            <w:pPr/>
          </w:p>
        </w:tc>
        <w:tc>
          <w:tcPr>
            <w:tcW w:w="1862" w:type="dxa"/>
          </w:tcPr>
          <w:p>
            <w:pPr/>
          </w:p>
        </w:tc>
        <w:tc>
          <w:tcPr>
            <w:tcW w:w="2238" w:type="dxa"/>
          </w:tcPr>
          <w:p>
            <w:pPr/>
          </w:p>
        </w:tc>
        <w:tc>
          <w:tcPr>
            <w:tcW w:w="1778" w:type="dxa"/>
          </w:tcPr>
          <w:p>
            <w:pPr>
              <w:pStyle w:val="TableParagraph"/>
              <w:spacing w:before="5"/>
              <w:ind w:left="878" w:right="181"/>
              <w:rPr>
                <w:sz w:val="12"/>
              </w:rPr>
            </w:pPr>
            <w:r>
              <w:rPr>
                <w:w w:val="105"/>
                <w:sz w:val="12"/>
              </w:rPr>
              <w:t>Subtotal</w:t>
            </w:r>
          </w:p>
        </w:tc>
        <w:tc>
          <w:tcPr>
            <w:tcW w:w="797" w:type="dxa"/>
          </w:tcPr>
          <w:p>
            <w:pPr>
              <w:pStyle w:val="TableParagraph"/>
              <w:tabs>
                <w:tab w:pos="515"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2</w:t>
            </w:r>
            <w:r>
              <w:rPr>
                <w:sz w:val="12"/>
                <w:shd w:fill="F79646" w:color="auto" w:val="clear"/>
              </w:rPr>
              <w:tab/>
            </w:r>
          </w:p>
        </w:tc>
        <w:tc>
          <w:tcPr>
            <w:tcW w:w="765" w:type="dxa"/>
          </w:tcPr>
          <w:p>
            <w:pPr>
              <w:pStyle w:val="TableParagraph"/>
              <w:spacing w:before="5"/>
              <w:ind w:left="136" w:right="34"/>
              <w:rPr>
                <w:sz w:val="12"/>
              </w:rPr>
            </w:pPr>
            <w:r>
              <w:rPr>
                <w:w w:val="105"/>
                <w:sz w:val="12"/>
              </w:rPr>
              <w:t>2.6</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3</w:t>
            </w:r>
          </w:p>
        </w:tc>
      </w:tr>
      <w:tr>
        <w:trPr>
          <w:trHeight w:val="146" w:hRule="exact"/>
        </w:trPr>
        <w:tc>
          <w:tcPr>
            <w:tcW w:w="8822" w:type="dxa"/>
            <w:gridSpan w:val="7"/>
            <w:tcBorders>
              <w:left w:val="single" w:sz="4" w:space="0" w:color="000000"/>
              <w:right w:val="single" w:sz="8" w:space="0" w:color="000000"/>
            </w:tcBorders>
          </w:tcPr>
          <w:p>
            <w:pPr/>
          </w:p>
        </w:tc>
      </w:tr>
      <w:tr>
        <w:trPr>
          <w:trHeight w:val="160" w:hRule="exact"/>
        </w:trPr>
        <w:tc>
          <w:tcPr>
            <w:tcW w:w="703" w:type="dxa"/>
            <w:vMerge w:val="restart"/>
            <w:tcBorders>
              <w:left w:val="single" w:sz="4" w:space="0" w:color="000000"/>
            </w:tcBorders>
          </w:tcPr>
          <w:p>
            <w:pPr/>
          </w:p>
        </w:tc>
        <w:tc>
          <w:tcPr>
            <w:tcW w:w="1862" w:type="dxa"/>
          </w:tcPr>
          <w:p>
            <w:pPr/>
          </w:p>
        </w:tc>
        <w:tc>
          <w:tcPr>
            <w:tcW w:w="2238" w:type="dxa"/>
          </w:tcPr>
          <w:p>
            <w:pPr>
              <w:pStyle w:val="TableParagraph"/>
              <w:spacing w:before="7"/>
              <w:ind w:left="285" w:right="285"/>
              <w:jc w:val="left"/>
              <w:rPr>
                <w:sz w:val="12"/>
              </w:rPr>
            </w:pPr>
            <w:r>
              <w:rPr>
                <w:w w:val="105"/>
                <w:sz w:val="12"/>
              </w:rPr>
              <w:t>Separación</w:t>
            </w:r>
          </w:p>
        </w:tc>
        <w:tc>
          <w:tcPr>
            <w:tcW w:w="1778" w:type="dxa"/>
          </w:tcPr>
          <w:p>
            <w:pPr>
              <w:pStyle w:val="TableParagraph"/>
              <w:spacing w:before="7"/>
              <w:ind w:left="703"/>
              <w:rPr>
                <w:sz w:val="12"/>
              </w:rPr>
            </w:pPr>
            <w:r>
              <w:rPr>
                <w:w w:val="104"/>
                <w:sz w:val="12"/>
              </w:rPr>
              <w:t>0</w:t>
            </w:r>
          </w:p>
        </w:tc>
        <w:tc>
          <w:tcPr>
            <w:tcW w:w="797" w:type="dxa"/>
          </w:tcPr>
          <w:p>
            <w:pPr/>
          </w:p>
        </w:tc>
        <w:tc>
          <w:tcPr>
            <w:tcW w:w="765" w:type="dxa"/>
          </w:tcPr>
          <w:p>
            <w:pPr>
              <w:pStyle w:val="TableParagraph"/>
              <w:spacing w:before="7"/>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7"/>
              <w:ind w:left="27"/>
              <w:rPr>
                <w:sz w:val="12"/>
              </w:rPr>
            </w:pPr>
            <w:r>
              <w:rPr>
                <w:w w:val="104"/>
                <w:sz w:val="12"/>
              </w:rPr>
              <w:t>1</w:t>
            </w:r>
          </w:p>
        </w:tc>
      </w:tr>
      <w:tr>
        <w:trPr>
          <w:trHeight w:val="157" w:hRule="exact"/>
        </w:trPr>
        <w:tc>
          <w:tcPr>
            <w:tcW w:w="703" w:type="dxa"/>
            <w:vMerge/>
            <w:tcBorders>
              <w:left w:val="single" w:sz="4" w:space="0" w:color="000000"/>
            </w:tcBorders>
          </w:tcPr>
          <w:p>
            <w:pPr/>
          </w:p>
        </w:tc>
        <w:tc>
          <w:tcPr>
            <w:tcW w:w="1862" w:type="dxa"/>
          </w:tcPr>
          <w:p>
            <w:pPr>
              <w:pStyle w:val="TableParagraph"/>
              <w:spacing w:before="5"/>
              <w:ind w:left="55"/>
              <w:jc w:val="left"/>
              <w:rPr>
                <w:sz w:val="12"/>
              </w:rPr>
            </w:pPr>
            <w:r>
              <w:rPr>
                <w:w w:val="105"/>
                <w:sz w:val="12"/>
              </w:rPr>
              <w:t>Manejo de residuos solidos</w:t>
            </w:r>
          </w:p>
        </w:tc>
        <w:tc>
          <w:tcPr>
            <w:tcW w:w="2238" w:type="dxa"/>
          </w:tcPr>
          <w:p>
            <w:pPr>
              <w:pStyle w:val="TableParagraph"/>
              <w:spacing w:before="5"/>
              <w:ind w:left="285" w:right="285"/>
              <w:jc w:val="left"/>
              <w:rPr>
                <w:sz w:val="12"/>
              </w:rPr>
            </w:pPr>
            <w:r>
              <w:rPr>
                <w:w w:val="105"/>
                <w:sz w:val="12"/>
              </w:rPr>
              <w:t>Recolección</w:t>
            </w:r>
          </w:p>
        </w:tc>
        <w:tc>
          <w:tcPr>
            <w:tcW w:w="1778" w:type="dxa"/>
          </w:tcPr>
          <w:p>
            <w:pPr>
              <w:pStyle w:val="TableParagraph"/>
              <w:spacing w:before="5"/>
              <w:ind w:left="703"/>
              <w:rPr>
                <w:sz w:val="12"/>
              </w:rPr>
            </w:pPr>
            <w:r>
              <w:rPr>
                <w:w w:val="104"/>
                <w:sz w:val="12"/>
              </w:rPr>
              <w:t>1</w:t>
            </w:r>
          </w:p>
        </w:tc>
        <w:tc>
          <w:tcPr>
            <w:tcW w:w="797" w:type="dxa"/>
          </w:tcPr>
          <w:p>
            <w:pPr/>
          </w:p>
        </w:tc>
        <w:tc>
          <w:tcPr>
            <w:tcW w:w="765" w:type="dxa"/>
          </w:tcPr>
          <w:p>
            <w:pPr>
              <w:pStyle w:val="TableParagraph"/>
              <w:spacing w:before="5"/>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703" w:type="dxa"/>
            <w:vMerge/>
            <w:tcBorders>
              <w:left w:val="single" w:sz="4" w:space="0" w:color="000000"/>
            </w:tcBorders>
          </w:tcPr>
          <w:p>
            <w:pPr/>
          </w:p>
        </w:tc>
        <w:tc>
          <w:tcPr>
            <w:tcW w:w="1862" w:type="dxa"/>
          </w:tcPr>
          <w:p>
            <w:pPr/>
          </w:p>
        </w:tc>
        <w:tc>
          <w:tcPr>
            <w:tcW w:w="2238" w:type="dxa"/>
          </w:tcPr>
          <w:p>
            <w:pPr>
              <w:pStyle w:val="TableParagraph"/>
              <w:spacing w:before="5"/>
              <w:ind w:left="285" w:right="285"/>
              <w:jc w:val="left"/>
              <w:rPr>
                <w:sz w:val="12"/>
              </w:rPr>
            </w:pPr>
            <w:r>
              <w:rPr>
                <w:w w:val="105"/>
                <w:sz w:val="12"/>
              </w:rPr>
              <w:t>Disposición</w:t>
            </w:r>
          </w:p>
        </w:tc>
        <w:tc>
          <w:tcPr>
            <w:tcW w:w="1778" w:type="dxa"/>
          </w:tcPr>
          <w:p>
            <w:pPr>
              <w:pStyle w:val="TableParagraph"/>
              <w:spacing w:before="5"/>
              <w:ind w:left="884" w:right="181"/>
              <w:rPr>
                <w:sz w:val="12"/>
              </w:rPr>
            </w:pPr>
            <w:r>
              <w:rPr>
                <w:w w:val="105"/>
                <w:sz w:val="12"/>
              </w:rPr>
              <w:t>0.5</w:t>
            </w:r>
          </w:p>
        </w:tc>
        <w:tc>
          <w:tcPr>
            <w:tcW w:w="797" w:type="dxa"/>
          </w:tcPr>
          <w:p>
            <w:pPr/>
          </w:p>
        </w:tc>
        <w:tc>
          <w:tcPr>
            <w:tcW w:w="765" w:type="dxa"/>
          </w:tcPr>
          <w:p>
            <w:pPr>
              <w:pStyle w:val="TableParagraph"/>
              <w:spacing w:before="5"/>
              <w:ind w:left="136" w:right="34"/>
              <w:rPr>
                <w:sz w:val="12"/>
              </w:rPr>
            </w:pPr>
            <w:r>
              <w:rPr>
                <w:w w:val="105"/>
                <w:sz w:val="12"/>
              </w:rPr>
              <w:t>0.8</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4" w:hRule="exact"/>
        </w:trPr>
        <w:tc>
          <w:tcPr>
            <w:tcW w:w="703" w:type="dxa"/>
            <w:vMerge/>
            <w:tcBorders>
              <w:left w:val="single" w:sz="4" w:space="0" w:color="000000"/>
            </w:tcBorders>
          </w:tcPr>
          <w:p>
            <w:pPr/>
          </w:p>
        </w:tc>
        <w:tc>
          <w:tcPr>
            <w:tcW w:w="1862" w:type="dxa"/>
          </w:tcPr>
          <w:p>
            <w:pPr/>
          </w:p>
        </w:tc>
        <w:tc>
          <w:tcPr>
            <w:tcW w:w="2238" w:type="dxa"/>
          </w:tcPr>
          <w:p>
            <w:pPr/>
          </w:p>
        </w:tc>
        <w:tc>
          <w:tcPr>
            <w:tcW w:w="1778" w:type="dxa"/>
          </w:tcPr>
          <w:p>
            <w:pPr>
              <w:pStyle w:val="TableParagraph"/>
              <w:spacing w:before="5"/>
              <w:ind w:left="878" w:right="181"/>
              <w:rPr>
                <w:sz w:val="12"/>
              </w:rPr>
            </w:pPr>
            <w:r>
              <w:rPr>
                <w:w w:val="105"/>
                <w:sz w:val="12"/>
              </w:rPr>
              <w:t>Subtotal</w:t>
            </w:r>
          </w:p>
        </w:tc>
        <w:tc>
          <w:tcPr>
            <w:tcW w:w="797" w:type="dxa"/>
          </w:tcPr>
          <w:p>
            <w:pPr>
              <w:pStyle w:val="TableParagraph"/>
              <w:tabs>
                <w:tab w:pos="463"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1.5</w:t>
            </w:r>
            <w:r>
              <w:rPr>
                <w:sz w:val="12"/>
                <w:shd w:fill="F79646" w:color="auto" w:val="clear"/>
              </w:rPr>
              <w:tab/>
            </w:r>
          </w:p>
        </w:tc>
        <w:tc>
          <w:tcPr>
            <w:tcW w:w="765" w:type="dxa"/>
          </w:tcPr>
          <w:p>
            <w:pPr>
              <w:pStyle w:val="TableParagraph"/>
              <w:spacing w:before="5"/>
              <w:ind w:left="136" w:right="34"/>
              <w:rPr>
                <w:sz w:val="12"/>
              </w:rPr>
            </w:pPr>
            <w:r>
              <w:rPr>
                <w:w w:val="105"/>
                <w:sz w:val="12"/>
              </w:rPr>
              <w:t>2.8</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3</w:t>
            </w:r>
          </w:p>
        </w:tc>
      </w:tr>
      <w:tr>
        <w:trPr>
          <w:trHeight w:val="146" w:hRule="exact"/>
        </w:trPr>
        <w:tc>
          <w:tcPr>
            <w:tcW w:w="8822" w:type="dxa"/>
            <w:gridSpan w:val="7"/>
            <w:tcBorders>
              <w:left w:val="single" w:sz="4" w:space="0" w:color="000000"/>
              <w:right w:val="single" w:sz="8" w:space="0" w:color="000000"/>
            </w:tcBorders>
          </w:tcPr>
          <w:p>
            <w:pPr/>
          </w:p>
        </w:tc>
      </w:tr>
      <w:tr>
        <w:trPr>
          <w:trHeight w:val="160" w:hRule="exact"/>
        </w:trPr>
        <w:tc>
          <w:tcPr>
            <w:tcW w:w="703" w:type="dxa"/>
            <w:vMerge w:val="restart"/>
            <w:tcBorders>
              <w:left w:val="single" w:sz="4" w:space="0" w:color="000000"/>
            </w:tcBorders>
          </w:tcPr>
          <w:p>
            <w:pPr/>
          </w:p>
        </w:tc>
        <w:tc>
          <w:tcPr>
            <w:tcW w:w="1862" w:type="dxa"/>
          </w:tcPr>
          <w:p>
            <w:pPr/>
          </w:p>
        </w:tc>
        <w:tc>
          <w:tcPr>
            <w:tcW w:w="2238" w:type="dxa"/>
          </w:tcPr>
          <w:p>
            <w:pPr>
              <w:pStyle w:val="TableParagraph"/>
              <w:spacing w:before="7"/>
              <w:ind w:left="285" w:right="285"/>
              <w:jc w:val="left"/>
              <w:rPr>
                <w:sz w:val="12"/>
              </w:rPr>
            </w:pPr>
            <w:r>
              <w:rPr>
                <w:w w:val="105"/>
                <w:sz w:val="12"/>
              </w:rPr>
              <w:t>Vivienda</w:t>
            </w:r>
          </w:p>
        </w:tc>
        <w:tc>
          <w:tcPr>
            <w:tcW w:w="1778" w:type="dxa"/>
          </w:tcPr>
          <w:p>
            <w:pPr>
              <w:pStyle w:val="TableParagraph"/>
              <w:spacing w:before="7"/>
              <w:ind w:left="884" w:right="181"/>
              <w:rPr>
                <w:sz w:val="12"/>
              </w:rPr>
            </w:pPr>
            <w:r>
              <w:rPr>
                <w:w w:val="105"/>
                <w:sz w:val="12"/>
              </w:rPr>
              <w:t>0.2</w:t>
            </w:r>
          </w:p>
        </w:tc>
        <w:tc>
          <w:tcPr>
            <w:tcW w:w="797" w:type="dxa"/>
          </w:tcPr>
          <w:p>
            <w:pPr/>
          </w:p>
        </w:tc>
        <w:tc>
          <w:tcPr>
            <w:tcW w:w="765" w:type="dxa"/>
          </w:tcPr>
          <w:p>
            <w:pPr>
              <w:pStyle w:val="TableParagraph"/>
              <w:spacing w:before="7"/>
              <w:ind w:left="136" w:right="34"/>
              <w:rPr>
                <w:sz w:val="12"/>
              </w:rPr>
            </w:pPr>
            <w:r>
              <w:rPr>
                <w:w w:val="105"/>
                <w:sz w:val="12"/>
              </w:rPr>
              <w:t>0.6</w:t>
            </w:r>
          </w:p>
        </w:tc>
        <w:tc>
          <w:tcPr>
            <w:tcW w:w="680" w:type="dxa"/>
            <w:tcBorders>
              <w:right w:val="single" w:sz="8" w:space="0" w:color="000000"/>
            </w:tcBorders>
            <w:shd w:val="clear" w:color="auto" w:fill="67ED4D"/>
          </w:tcPr>
          <w:p>
            <w:pPr>
              <w:pStyle w:val="TableParagraph"/>
              <w:spacing w:before="7"/>
              <w:ind w:left="27"/>
              <w:rPr>
                <w:sz w:val="12"/>
              </w:rPr>
            </w:pPr>
            <w:r>
              <w:rPr>
                <w:w w:val="104"/>
                <w:sz w:val="12"/>
              </w:rPr>
              <w:t>1</w:t>
            </w:r>
          </w:p>
        </w:tc>
      </w:tr>
      <w:tr>
        <w:trPr>
          <w:trHeight w:val="157" w:hRule="exact"/>
        </w:trPr>
        <w:tc>
          <w:tcPr>
            <w:tcW w:w="703" w:type="dxa"/>
            <w:vMerge/>
            <w:tcBorders>
              <w:left w:val="single" w:sz="4" w:space="0" w:color="000000"/>
            </w:tcBorders>
          </w:tcPr>
          <w:p>
            <w:pPr/>
          </w:p>
        </w:tc>
        <w:tc>
          <w:tcPr>
            <w:tcW w:w="1862" w:type="dxa"/>
            <w:vMerge w:val="restart"/>
          </w:tcPr>
          <w:p>
            <w:pPr>
              <w:pStyle w:val="TableParagraph"/>
              <w:spacing w:before="78"/>
              <w:ind w:left="55"/>
              <w:jc w:val="left"/>
              <w:rPr>
                <w:sz w:val="12"/>
              </w:rPr>
            </w:pPr>
            <w:r>
              <w:rPr>
                <w:w w:val="105"/>
                <w:sz w:val="12"/>
              </w:rPr>
              <w:t>Ecotegnologías</w:t>
            </w:r>
          </w:p>
        </w:tc>
        <w:tc>
          <w:tcPr>
            <w:tcW w:w="2238" w:type="dxa"/>
            <w:vMerge w:val="restart"/>
          </w:tcPr>
          <w:p>
            <w:pPr>
              <w:pStyle w:val="TableParagraph"/>
              <w:spacing w:line="273" w:lineRule="auto" w:before="5"/>
              <w:ind w:left="285" w:right="1076"/>
              <w:jc w:val="left"/>
              <w:rPr>
                <w:sz w:val="12"/>
              </w:rPr>
            </w:pPr>
            <w:r>
              <w:rPr>
                <w:w w:val="105"/>
                <w:sz w:val="12"/>
              </w:rPr>
              <w:t>Urbanización </w:t>
            </w:r>
            <w:r>
              <w:rPr>
                <w:sz w:val="12"/>
              </w:rPr>
              <w:t>Equipamiento</w:t>
            </w:r>
          </w:p>
        </w:tc>
        <w:tc>
          <w:tcPr>
            <w:tcW w:w="1778" w:type="dxa"/>
            <w:vMerge w:val="restart"/>
          </w:tcPr>
          <w:p>
            <w:pPr>
              <w:pStyle w:val="TableParagraph"/>
              <w:spacing w:before="5"/>
              <w:ind w:right="500"/>
              <w:jc w:val="right"/>
              <w:rPr>
                <w:sz w:val="12"/>
              </w:rPr>
            </w:pPr>
            <w:r>
              <w:rPr>
                <w:w w:val="104"/>
                <w:sz w:val="12"/>
              </w:rPr>
              <w:t>0</w:t>
            </w:r>
          </w:p>
          <w:p>
            <w:pPr>
              <w:pStyle w:val="TableParagraph"/>
              <w:spacing w:before="19"/>
              <w:ind w:right="500"/>
              <w:jc w:val="right"/>
              <w:rPr>
                <w:sz w:val="12"/>
              </w:rPr>
            </w:pPr>
            <w:r>
              <w:rPr>
                <w:w w:val="104"/>
                <w:sz w:val="12"/>
              </w:rPr>
              <w:t>0</w:t>
            </w:r>
          </w:p>
        </w:tc>
        <w:tc>
          <w:tcPr>
            <w:tcW w:w="797" w:type="dxa"/>
            <w:vMerge w:val="restart"/>
          </w:tcPr>
          <w:p>
            <w:pPr/>
          </w:p>
        </w:tc>
        <w:tc>
          <w:tcPr>
            <w:tcW w:w="765" w:type="dxa"/>
            <w:vMerge w:val="restart"/>
          </w:tcPr>
          <w:p>
            <w:pPr>
              <w:pStyle w:val="TableParagraph"/>
              <w:spacing w:before="5"/>
              <w:ind w:left="136" w:right="34"/>
              <w:rPr>
                <w:sz w:val="12"/>
              </w:rPr>
            </w:pPr>
            <w:r>
              <w:rPr>
                <w:w w:val="105"/>
                <w:sz w:val="12"/>
              </w:rPr>
              <w:t>0.5</w:t>
            </w:r>
          </w:p>
          <w:p>
            <w:pPr>
              <w:pStyle w:val="TableParagraph"/>
              <w:spacing w:before="19"/>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703" w:type="dxa"/>
            <w:vMerge/>
            <w:tcBorders>
              <w:left w:val="single" w:sz="4" w:space="0" w:color="000000"/>
            </w:tcBorders>
          </w:tcPr>
          <w:p>
            <w:pPr/>
          </w:p>
        </w:tc>
        <w:tc>
          <w:tcPr>
            <w:tcW w:w="1862" w:type="dxa"/>
            <w:vMerge/>
          </w:tcPr>
          <w:p>
            <w:pPr/>
          </w:p>
        </w:tc>
        <w:tc>
          <w:tcPr>
            <w:tcW w:w="2238" w:type="dxa"/>
            <w:vMerge/>
          </w:tcPr>
          <w:p>
            <w:pPr/>
          </w:p>
        </w:tc>
        <w:tc>
          <w:tcPr>
            <w:tcW w:w="1778" w:type="dxa"/>
            <w:vMerge/>
          </w:tcPr>
          <w:p>
            <w:pPr/>
          </w:p>
        </w:tc>
        <w:tc>
          <w:tcPr>
            <w:tcW w:w="797" w:type="dxa"/>
            <w:vMerge/>
          </w:tcPr>
          <w:p>
            <w:pPr/>
          </w:p>
        </w:tc>
        <w:tc>
          <w:tcPr>
            <w:tcW w:w="765" w:type="dxa"/>
            <w:vMerge/>
          </w:tcPr>
          <w:p>
            <w:pP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703" w:type="dxa"/>
            <w:vMerge/>
            <w:tcBorders>
              <w:left w:val="single" w:sz="4" w:space="0" w:color="000000"/>
            </w:tcBorders>
          </w:tcPr>
          <w:p>
            <w:pPr/>
          </w:p>
        </w:tc>
        <w:tc>
          <w:tcPr>
            <w:tcW w:w="1862" w:type="dxa"/>
          </w:tcPr>
          <w:p>
            <w:pPr/>
          </w:p>
        </w:tc>
        <w:tc>
          <w:tcPr>
            <w:tcW w:w="2238" w:type="dxa"/>
          </w:tcPr>
          <w:p>
            <w:pPr>
              <w:pStyle w:val="TableParagraph"/>
              <w:spacing w:before="5"/>
              <w:ind w:left="285" w:right="285"/>
              <w:jc w:val="left"/>
              <w:rPr>
                <w:sz w:val="12"/>
              </w:rPr>
            </w:pPr>
            <w:r>
              <w:rPr>
                <w:w w:val="105"/>
                <w:sz w:val="12"/>
              </w:rPr>
              <w:t>Mobiliario</w:t>
            </w:r>
          </w:p>
        </w:tc>
        <w:tc>
          <w:tcPr>
            <w:tcW w:w="1778" w:type="dxa"/>
          </w:tcPr>
          <w:p>
            <w:pPr>
              <w:pStyle w:val="TableParagraph"/>
              <w:spacing w:before="5"/>
              <w:ind w:left="703"/>
              <w:rPr>
                <w:sz w:val="12"/>
              </w:rPr>
            </w:pPr>
            <w:r>
              <w:rPr>
                <w:w w:val="104"/>
                <w:sz w:val="12"/>
              </w:rPr>
              <w:t>0</w:t>
            </w:r>
          </w:p>
        </w:tc>
        <w:tc>
          <w:tcPr>
            <w:tcW w:w="797" w:type="dxa"/>
          </w:tcPr>
          <w:p>
            <w:pPr/>
          </w:p>
        </w:tc>
        <w:tc>
          <w:tcPr>
            <w:tcW w:w="765" w:type="dxa"/>
          </w:tcPr>
          <w:p>
            <w:pPr>
              <w:pStyle w:val="TableParagraph"/>
              <w:spacing w:before="5"/>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4" w:hRule="exact"/>
        </w:trPr>
        <w:tc>
          <w:tcPr>
            <w:tcW w:w="703" w:type="dxa"/>
            <w:vMerge/>
            <w:tcBorders>
              <w:left w:val="single" w:sz="4" w:space="0" w:color="000000"/>
            </w:tcBorders>
          </w:tcPr>
          <w:p>
            <w:pPr/>
          </w:p>
        </w:tc>
        <w:tc>
          <w:tcPr>
            <w:tcW w:w="1862" w:type="dxa"/>
          </w:tcPr>
          <w:p>
            <w:pPr/>
          </w:p>
        </w:tc>
        <w:tc>
          <w:tcPr>
            <w:tcW w:w="2238" w:type="dxa"/>
          </w:tcPr>
          <w:p>
            <w:pPr/>
          </w:p>
        </w:tc>
        <w:tc>
          <w:tcPr>
            <w:tcW w:w="1778" w:type="dxa"/>
          </w:tcPr>
          <w:p>
            <w:pPr>
              <w:pStyle w:val="TableParagraph"/>
              <w:spacing w:before="5"/>
              <w:ind w:left="878" w:right="181"/>
              <w:rPr>
                <w:sz w:val="12"/>
              </w:rPr>
            </w:pPr>
            <w:r>
              <w:rPr>
                <w:w w:val="105"/>
                <w:sz w:val="12"/>
              </w:rPr>
              <w:t>Subtotal</w:t>
            </w:r>
          </w:p>
        </w:tc>
        <w:tc>
          <w:tcPr>
            <w:tcW w:w="797" w:type="dxa"/>
          </w:tcPr>
          <w:p>
            <w:pPr>
              <w:pStyle w:val="TableParagraph"/>
              <w:tabs>
                <w:tab w:pos="463"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0.2</w:t>
            </w:r>
            <w:r>
              <w:rPr>
                <w:sz w:val="12"/>
                <w:shd w:fill="F79646" w:color="auto" w:val="clear"/>
              </w:rPr>
              <w:tab/>
            </w:r>
          </w:p>
        </w:tc>
        <w:tc>
          <w:tcPr>
            <w:tcW w:w="765" w:type="dxa"/>
          </w:tcPr>
          <w:p>
            <w:pPr>
              <w:pStyle w:val="TableParagraph"/>
              <w:spacing w:before="5"/>
              <w:ind w:left="136" w:right="34"/>
              <w:rPr>
                <w:sz w:val="12"/>
              </w:rPr>
            </w:pPr>
            <w:r>
              <w:rPr>
                <w:w w:val="105"/>
                <w:sz w:val="12"/>
              </w:rPr>
              <w:t>3.1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4</w:t>
            </w:r>
          </w:p>
        </w:tc>
      </w:tr>
      <w:tr>
        <w:trPr>
          <w:trHeight w:val="146" w:hRule="exact"/>
        </w:trPr>
        <w:tc>
          <w:tcPr>
            <w:tcW w:w="8822" w:type="dxa"/>
            <w:gridSpan w:val="7"/>
            <w:tcBorders>
              <w:left w:val="single" w:sz="4" w:space="0" w:color="000000"/>
              <w:right w:val="single" w:sz="8" w:space="0" w:color="000000"/>
            </w:tcBorders>
          </w:tcPr>
          <w:p>
            <w:pPr/>
          </w:p>
        </w:tc>
      </w:tr>
      <w:tr>
        <w:trPr>
          <w:trHeight w:val="317" w:hRule="exact"/>
        </w:trPr>
        <w:tc>
          <w:tcPr>
            <w:tcW w:w="703" w:type="dxa"/>
            <w:tcBorders>
              <w:left w:val="single" w:sz="4" w:space="0" w:color="000000"/>
            </w:tcBorders>
          </w:tcPr>
          <w:p>
            <w:pPr/>
          </w:p>
        </w:tc>
        <w:tc>
          <w:tcPr>
            <w:tcW w:w="1862" w:type="dxa"/>
          </w:tcPr>
          <w:p>
            <w:pPr>
              <w:pStyle w:val="TableParagraph"/>
              <w:spacing w:before="81"/>
              <w:ind w:left="55"/>
              <w:jc w:val="left"/>
              <w:rPr>
                <w:sz w:val="12"/>
              </w:rPr>
            </w:pPr>
            <w:r>
              <w:rPr>
                <w:w w:val="105"/>
                <w:sz w:val="12"/>
              </w:rPr>
              <w:t>Educación ambiental</w:t>
            </w:r>
          </w:p>
        </w:tc>
        <w:tc>
          <w:tcPr>
            <w:tcW w:w="2238" w:type="dxa"/>
          </w:tcPr>
          <w:p>
            <w:pPr>
              <w:pStyle w:val="TableParagraph"/>
              <w:spacing w:line="273" w:lineRule="auto" w:before="7"/>
              <w:ind w:left="285" w:right="1076"/>
              <w:jc w:val="left"/>
              <w:rPr>
                <w:sz w:val="12"/>
              </w:rPr>
            </w:pPr>
            <w:r>
              <w:rPr>
                <w:w w:val="105"/>
                <w:sz w:val="12"/>
              </w:rPr>
              <w:t>Planes </w:t>
            </w:r>
            <w:r>
              <w:rPr>
                <w:sz w:val="12"/>
              </w:rPr>
              <w:t>Programas</w:t>
            </w:r>
          </w:p>
        </w:tc>
        <w:tc>
          <w:tcPr>
            <w:tcW w:w="1778" w:type="dxa"/>
          </w:tcPr>
          <w:p>
            <w:pPr>
              <w:pStyle w:val="TableParagraph"/>
              <w:spacing w:before="7"/>
              <w:ind w:right="500"/>
              <w:jc w:val="right"/>
              <w:rPr>
                <w:sz w:val="12"/>
              </w:rPr>
            </w:pPr>
            <w:r>
              <w:rPr>
                <w:w w:val="104"/>
                <w:sz w:val="12"/>
              </w:rPr>
              <w:t>0</w:t>
            </w:r>
          </w:p>
          <w:p>
            <w:pPr>
              <w:pStyle w:val="TableParagraph"/>
              <w:spacing w:before="19"/>
              <w:ind w:right="500"/>
              <w:jc w:val="right"/>
              <w:rPr>
                <w:sz w:val="12"/>
              </w:rPr>
            </w:pPr>
            <w:r>
              <w:rPr>
                <w:w w:val="104"/>
                <w:sz w:val="12"/>
              </w:rPr>
              <w:t>0</w:t>
            </w:r>
          </w:p>
        </w:tc>
        <w:tc>
          <w:tcPr>
            <w:tcW w:w="797" w:type="dxa"/>
          </w:tcPr>
          <w:p>
            <w:pPr/>
          </w:p>
        </w:tc>
        <w:tc>
          <w:tcPr>
            <w:tcW w:w="765" w:type="dxa"/>
          </w:tcPr>
          <w:p>
            <w:pPr>
              <w:pStyle w:val="TableParagraph"/>
              <w:spacing w:before="7"/>
              <w:ind w:left="102"/>
              <w:rPr>
                <w:sz w:val="12"/>
              </w:rPr>
            </w:pPr>
            <w:r>
              <w:rPr>
                <w:w w:val="104"/>
                <w:sz w:val="12"/>
              </w:rPr>
              <w:t>1</w:t>
            </w:r>
          </w:p>
          <w:p>
            <w:pPr>
              <w:pStyle w:val="TableParagraph"/>
              <w:spacing w:before="19"/>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7"/>
              <w:ind w:left="27"/>
              <w:rPr>
                <w:sz w:val="12"/>
              </w:rPr>
            </w:pPr>
            <w:r>
              <w:rPr>
                <w:w w:val="104"/>
                <w:sz w:val="12"/>
              </w:rPr>
              <w:t>1</w:t>
            </w:r>
          </w:p>
          <w:p>
            <w:pPr>
              <w:pStyle w:val="TableParagraph"/>
              <w:spacing w:before="19"/>
              <w:ind w:left="27"/>
              <w:rPr>
                <w:sz w:val="12"/>
              </w:rPr>
            </w:pPr>
            <w:r>
              <w:rPr>
                <w:w w:val="104"/>
                <w:sz w:val="12"/>
              </w:rPr>
              <w:t>1</w:t>
            </w:r>
          </w:p>
        </w:tc>
      </w:tr>
      <w:tr>
        <w:trPr>
          <w:trHeight w:val="164" w:hRule="exact"/>
        </w:trPr>
        <w:tc>
          <w:tcPr>
            <w:tcW w:w="703" w:type="dxa"/>
            <w:tcBorders>
              <w:left w:val="single" w:sz="4" w:space="0" w:color="000000"/>
            </w:tcBorders>
          </w:tcPr>
          <w:p>
            <w:pPr/>
          </w:p>
        </w:tc>
        <w:tc>
          <w:tcPr>
            <w:tcW w:w="1862" w:type="dxa"/>
          </w:tcPr>
          <w:p>
            <w:pPr/>
          </w:p>
        </w:tc>
        <w:tc>
          <w:tcPr>
            <w:tcW w:w="2238" w:type="dxa"/>
          </w:tcPr>
          <w:p>
            <w:pPr/>
          </w:p>
        </w:tc>
        <w:tc>
          <w:tcPr>
            <w:tcW w:w="1778" w:type="dxa"/>
          </w:tcPr>
          <w:p>
            <w:pPr>
              <w:pStyle w:val="TableParagraph"/>
              <w:spacing w:before="5"/>
              <w:ind w:left="878" w:right="181"/>
              <w:rPr>
                <w:sz w:val="12"/>
              </w:rPr>
            </w:pPr>
            <w:r>
              <w:rPr>
                <w:w w:val="105"/>
                <w:sz w:val="12"/>
              </w:rPr>
              <w:t>Subtotal</w:t>
            </w:r>
          </w:p>
        </w:tc>
        <w:tc>
          <w:tcPr>
            <w:tcW w:w="797" w:type="dxa"/>
          </w:tcPr>
          <w:p>
            <w:pPr>
              <w:pStyle w:val="TableParagraph"/>
              <w:tabs>
                <w:tab w:pos="515"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0</w:t>
            </w:r>
            <w:r>
              <w:rPr>
                <w:sz w:val="12"/>
                <w:shd w:fill="F79646" w:color="auto" w:val="clear"/>
              </w:rPr>
              <w:tab/>
            </w:r>
          </w:p>
        </w:tc>
        <w:tc>
          <w:tcPr>
            <w:tcW w:w="765" w:type="dxa"/>
          </w:tcPr>
          <w:p>
            <w:pPr>
              <w:pStyle w:val="TableParagraph"/>
              <w:spacing w:before="5"/>
              <w:ind w:left="102"/>
              <w:rPr>
                <w:sz w:val="12"/>
              </w:rPr>
            </w:pPr>
            <w:r>
              <w:rPr>
                <w:w w:val="104"/>
                <w:sz w:val="12"/>
              </w:rPr>
              <w:t>2</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2</w:t>
            </w:r>
          </w:p>
        </w:tc>
      </w:tr>
      <w:tr>
        <w:trPr>
          <w:trHeight w:val="471" w:hRule="exact"/>
        </w:trPr>
        <w:tc>
          <w:tcPr>
            <w:tcW w:w="703" w:type="dxa"/>
            <w:tcBorders>
              <w:left w:val="single" w:sz="4" w:space="0" w:color="000000"/>
              <w:bottom w:val="single" w:sz="8" w:space="0" w:color="000000"/>
            </w:tcBorders>
          </w:tcPr>
          <w:p>
            <w:pPr/>
          </w:p>
        </w:tc>
        <w:tc>
          <w:tcPr>
            <w:tcW w:w="1862" w:type="dxa"/>
            <w:tcBorders>
              <w:bottom w:val="single" w:sz="8" w:space="0" w:color="000000"/>
            </w:tcBorders>
          </w:tcPr>
          <w:p>
            <w:pPr/>
          </w:p>
        </w:tc>
        <w:tc>
          <w:tcPr>
            <w:tcW w:w="2238" w:type="dxa"/>
            <w:tcBorders>
              <w:bottom w:val="single" w:sz="8" w:space="0" w:color="000000"/>
            </w:tcBorders>
          </w:tcPr>
          <w:p>
            <w:pPr/>
          </w:p>
        </w:tc>
        <w:tc>
          <w:tcPr>
            <w:tcW w:w="1778" w:type="dxa"/>
            <w:tcBorders>
              <w:bottom w:val="single" w:sz="8" w:space="0" w:color="000000"/>
            </w:tcBorders>
          </w:tcPr>
          <w:p>
            <w:pPr>
              <w:pStyle w:val="TableParagraph"/>
              <w:spacing w:before="4"/>
              <w:jc w:val="left"/>
              <w:rPr>
                <w:sz w:val="13"/>
              </w:rPr>
            </w:pPr>
          </w:p>
          <w:p>
            <w:pPr>
              <w:pStyle w:val="TableParagraph"/>
              <w:ind w:left="891" w:right="174"/>
              <w:rPr>
                <w:sz w:val="12"/>
              </w:rPr>
            </w:pPr>
            <w:r>
              <w:rPr>
                <w:w w:val="105"/>
                <w:sz w:val="12"/>
              </w:rPr>
              <w:t>Total IA</w:t>
            </w:r>
          </w:p>
        </w:tc>
        <w:tc>
          <w:tcPr>
            <w:tcW w:w="797" w:type="dxa"/>
            <w:tcBorders>
              <w:bottom w:val="single" w:sz="8" w:space="0" w:color="000000"/>
            </w:tcBorders>
          </w:tcPr>
          <w:p>
            <w:pPr>
              <w:pStyle w:val="TableParagraph"/>
              <w:spacing w:before="4"/>
              <w:jc w:val="left"/>
              <w:rPr>
                <w:sz w:val="13"/>
              </w:rPr>
            </w:pPr>
          </w:p>
          <w:p>
            <w:pPr>
              <w:pStyle w:val="TableParagraph"/>
              <w:tabs>
                <w:tab w:pos="463" w:val="left" w:leader="none"/>
                <w:tab w:pos="892" w:val="left" w:leader="none"/>
              </w:tabs>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9.3</w:t>
            </w:r>
            <w:r>
              <w:rPr>
                <w:sz w:val="12"/>
                <w:shd w:fill="F79646" w:color="auto" w:val="clear"/>
              </w:rPr>
              <w:tab/>
            </w:r>
          </w:p>
        </w:tc>
        <w:tc>
          <w:tcPr>
            <w:tcW w:w="765" w:type="dxa"/>
            <w:tcBorders>
              <w:bottom w:val="single" w:sz="8" w:space="0" w:color="000000"/>
            </w:tcBorders>
          </w:tcPr>
          <w:p>
            <w:pPr>
              <w:pStyle w:val="TableParagraph"/>
              <w:spacing w:before="4"/>
              <w:jc w:val="left"/>
              <w:rPr>
                <w:sz w:val="13"/>
              </w:rPr>
            </w:pPr>
          </w:p>
          <w:p>
            <w:pPr>
              <w:pStyle w:val="TableParagraph"/>
              <w:tabs>
                <w:tab w:pos="775" w:val="left" w:leader="none"/>
              </w:tabs>
              <w:ind w:left="85" w:right="-11"/>
              <w:rPr>
                <w:sz w:val="12"/>
              </w:rPr>
            </w:pPr>
            <w:r>
              <w:rPr>
                <w:w w:val="104"/>
                <w:sz w:val="12"/>
                <w:shd w:fill="FFFF00" w:color="auto" w:val="clear"/>
              </w:rPr>
              <w:t> </w:t>
            </w:r>
            <w:r>
              <w:rPr>
                <w:sz w:val="12"/>
                <w:shd w:fill="FFFF00" w:color="auto" w:val="clear"/>
              </w:rPr>
              <w:t>     </w:t>
            </w:r>
            <w:r>
              <w:rPr>
                <w:spacing w:val="-16"/>
                <w:sz w:val="12"/>
                <w:shd w:fill="FFFF00" w:color="auto" w:val="clear"/>
              </w:rPr>
              <w:t> </w:t>
            </w:r>
            <w:r>
              <w:rPr>
                <w:w w:val="105"/>
                <w:sz w:val="12"/>
                <w:shd w:fill="FFFF00" w:color="auto" w:val="clear"/>
              </w:rPr>
              <w:t>18.3</w:t>
            </w:r>
            <w:r>
              <w:rPr>
                <w:sz w:val="12"/>
                <w:shd w:fill="FFFF00" w:color="auto" w:val="clear"/>
              </w:rPr>
              <w:tab/>
            </w:r>
          </w:p>
        </w:tc>
        <w:tc>
          <w:tcPr>
            <w:tcW w:w="680" w:type="dxa"/>
            <w:tcBorders>
              <w:bottom w:val="single" w:sz="8" w:space="0" w:color="000000"/>
              <w:right w:val="single" w:sz="8" w:space="0" w:color="000000"/>
            </w:tcBorders>
          </w:tcPr>
          <w:p>
            <w:pPr>
              <w:pStyle w:val="TableParagraph"/>
              <w:spacing w:before="4"/>
              <w:jc w:val="left"/>
              <w:rPr>
                <w:sz w:val="13"/>
              </w:rPr>
            </w:pPr>
          </w:p>
          <w:p>
            <w:pPr>
              <w:pStyle w:val="TableParagraph"/>
              <w:ind w:left="98" w:right="84"/>
              <w:rPr>
                <w:sz w:val="12"/>
              </w:rPr>
            </w:pPr>
            <w:r>
              <w:rPr>
                <w:w w:val="105"/>
                <w:sz w:val="12"/>
              </w:rPr>
              <w:t>24</w:t>
            </w:r>
          </w:p>
        </w:tc>
      </w:tr>
    </w:tbl>
    <w:p>
      <w:pPr>
        <w:spacing w:before="135"/>
        <w:ind w:left="268" w:right="0" w:firstLine="0"/>
        <w:jc w:val="left"/>
        <w:rPr>
          <w:sz w:val="21"/>
        </w:rPr>
      </w:pPr>
      <w:r>
        <w:rPr/>
        <w:pict>
          <v:group style="position:absolute;margin-left:364.449493pt;margin-top:-173.927032pt;width:74.8pt;height:24.65pt;mso-position-horizontal-relative:page;mso-position-vertical-relative:paragraph;z-index:-1135312" coordorigin="7289,-3479" coordsize="1496,493">
            <v:line style="position:absolute" from="7294,-3473" to="7294,-3306" stroked="true" strokeweight=".523pt" strokecolor="#baf9f5"/>
            <v:rect style="position:absolute;left:7300;top:-3473;width:1485;height:167" filled="true" fillcolor="#baf9f5" stroked="false">
              <v:fill type="solid"/>
            </v:rect>
            <v:line style="position:absolute" from="7294,-3306" to="7294,-3149" stroked="true" strokeweight=".523pt" strokecolor="#baf9f5"/>
            <v:rect style="position:absolute;left:7300;top:-3306;width:1485;height:157" filled="true" fillcolor="#baf9f5" stroked="false">
              <v:fill type="solid"/>
            </v:rect>
            <v:line style="position:absolute" from="7294,-3149" to="7294,-2992" stroked="true" strokeweight=".523pt" strokecolor="#baf9f5"/>
            <v:rect style="position:absolute;left:7300;top:-3149;width:1485;height:157" filled="true" fillcolor="#baf9f5" stroked="false">
              <v:fill type="solid"/>
            </v:rect>
            <w10:wrap type="none"/>
          </v:group>
        </w:pict>
      </w:r>
      <w:r>
        <w:rPr/>
        <w:pict>
          <v:shape style="position:absolute;margin-left:472.713013pt;margin-top:-173.651154pt;width:34.550pt;height:31.9pt;mso-position-horizontal-relative:page;mso-position-vertical-relative:paragraph;z-index:-1135288" coordorigin="9454,-3473" coordsize="691,638" path="m10145,-3149l9454,-3149,9454,-3002,9454,-2992,9454,-2835,10145,-2835,10145,-2992,10145,-3002,10145,-3149m10145,-3306l9454,-3306,9454,-3149,10145,-3149,10145,-3306m10145,-3473l9454,-3473,9454,-3306,10145,-3306,10145,-3473e" filled="true" fillcolor="#ffff00" stroked="false">
            <v:path arrowok="t"/>
            <v:fill type="solid"/>
            <w10:wrap type="none"/>
          </v:shape>
        </w:pict>
      </w:r>
      <w:r>
        <w:rPr/>
        <w:pict>
          <v:group style="position:absolute;margin-left:364.449493pt;margin-top:-134.705032pt;width:74.8pt;height:24.65pt;mso-position-horizontal-relative:page;mso-position-vertical-relative:paragraph;z-index:-1135264" coordorigin="7289,-2694" coordsize="1496,493">
            <v:line style="position:absolute" from="7294,-2689" to="7294,-2521" stroked="true" strokeweight=".523pt" strokecolor="#baf9f5"/>
            <v:rect style="position:absolute;left:7300;top:-2689;width:1485;height:167" filled="true" fillcolor="#baf9f5" stroked="false">
              <v:fill type="solid"/>
            </v:rect>
            <v:line style="position:absolute" from="7294,-2521" to="7294,-2364" stroked="true" strokeweight=".523pt" strokecolor="#baf9f5"/>
            <v:rect style="position:absolute;left:7300;top:-2521;width:1485;height:157" filled="true" fillcolor="#baf9f5" stroked="false">
              <v:fill type="solid"/>
            </v:rect>
            <v:line style="position:absolute" from="7294,-2364" to="7294,-2207" stroked="true" strokeweight=".523pt" strokecolor="#baf9f5"/>
            <v:rect style="position:absolute;left:7300;top:-2364;width:1485;height:157" filled="true" fillcolor="#baf9f5" stroked="false">
              <v:fill type="solid"/>
            </v:rect>
            <w10:wrap type="none"/>
          </v:group>
        </w:pict>
      </w:r>
      <w:r>
        <w:rPr/>
        <w:pict>
          <v:shape style="position:absolute;margin-left:472.713013pt;margin-top:-134.429153pt;width:34.550pt;height:31.9pt;mso-position-horizontal-relative:page;mso-position-vertical-relative:paragraph;z-index:-1135240" coordorigin="9454,-2689" coordsize="691,638" path="m10145,-2364l9454,-2364,9454,-2218,9454,-2207,9454,-2051,10145,-2051,10145,-2207,10145,-2218,10145,-2364m10145,-2689l9454,-2689,9454,-2521,9454,-2364,10145,-2364,10145,-2521,10145,-2689e" filled="true" fillcolor="#ffff00" stroked="false">
            <v:path arrowok="t"/>
            <v:fill type="solid"/>
            <w10:wrap type="none"/>
          </v:shape>
        </w:pict>
      </w:r>
      <w:r>
        <w:rPr/>
        <w:pict>
          <v:group style="position:absolute;margin-left:364.449493pt;margin-top:-95.482025pt;width:74.8pt;height:32.4500pt;mso-position-horizontal-relative:page;mso-position-vertical-relative:paragraph;z-index:-1135216" coordorigin="7289,-1910" coordsize="1496,649">
            <v:line style="position:absolute" from="7294,-1904" to="7294,-1737" stroked="true" strokeweight=".523pt" strokecolor="#baf9f5"/>
            <v:rect style="position:absolute;left:7300;top:-1904;width:1485;height:167" filled="true" fillcolor="#baf9f5" stroked="false">
              <v:fill type="solid"/>
            </v:rect>
            <v:line style="position:absolute" from="7294,-1737" to="7294,-1580" stroked="true" strokeweight=".523pt" strokecolor="#baf9f5"/>
            <v:rect style="position:absolute;left:7300;top:-1737;width:1485;height:157" filled="true" fillcolor="#baf9f5" stroked="false">
              <v:fill type="solid"/>
            </v:rect>
            <v:line style="position:absolute" from="7294,-1580" to="7294,-1423" stroked="true" strokeweight=".523pt" strokecolor="#baf9f5"/>
            <v:rect style="position:absolute;left:7300;top:-1580;width:1485;height:157" filled="true" fillcolor="#baf9f5" stroked="false">
              <v:fill type="solid"/>
            </v:rect>
            <v:line style="position:absolute" from="7294,-1423" to="7294,-1266" stroked="true" strokeweight=".523pt" strokecolor="#baf9f5"/>
            <v:rect style="position:absolute;left:7300;top:-1423;width:1485;height:157" filled="true" fillcolor="#baf9f5" stroked="false">
              <v:fill type="solid"/>
            </v:rect>
            <w10:wrap type="none"/>
          </v:group>
        </w:pict>
      </w:r>
      <w:r>
        <w:rPr/>
        <w:pict>
          <v:shape style="position:absolute;margin-left:472.713013pt;margin-top:-95.206146pt;width:34.550pt;height:39.75pt;mso-position-horizontal-relative:page;mso-position-vertical-relative:paragraph;z-index:-1135192" coordorigin="9454,-1904" coordsize="691,795" path="m10145,-1423l9454,-1423,9454,-1277,9454,-1266,9454,-1109,10145,-1109,10145,-1266,10145,-1277,10145,-1423m10145,-1737l9454,-1737,9454,-1580,9454,-1423,10145,-1423,10145,-1580,10145,-1737m10145,-1904l9454,-1904,9454,-1737,10145,-1737,10145,-1904e" filled="true" fillcolor="#ffff00" stroked="false">
            <v:path arrowok="t"/>
            <v:fill type="solid"/>
            <w10:wrap type="none"/>
          </v:shape>
        </w:pict>
      </w:r>
      <w:r>
        <w:rPr/>
        <w:pict>
          <v:group style="position:absolute;margin-left:364.449493pt;margin-top:-48.416027pt;width:74.8pt;height:16.8pt;mso-position-horizontal-relative:page;mso-position-vertical-relative:paragraph;z-index:-1135168" coordorigin="7289,-968" coordsize="1496,336">
            <v:line style="position:absolute" from="7294,-963" to="7294,-795" stroked="true" strokeweight=".523pt" strokecolor="#baf9f5"/>
            <v:rect style="position:absolute;left:7300;top:-963;width:1485;height:167" filled="true" fillcolor="#baf9f5" stroked="false">
              <v:fill type="solid"/>
            </v:rect>
            <v:line style="position:absolute" from="7294,-795" to="7294,-639" stroked="true" strokeweight=".523pt" strokecolor="#baf9f5"/>
            <v:rect style="position:absolute;left:7300;top:-795;width:1485;height:157" filled="true" fillcolor="#baf9f5" stroked="false">
              <v:fill type="solid"/>
            </v:rect>
            <w10:wrap type="none"/>
          </v:group>
        </w:pict>
      </w:r>
      <w:r>
        <w:rPr/>
        <w:pict>
          <v:shape style="position:absolute;margin-left:472.713013pt;margin-top:-48.140144pt;width:34.550pt;height:24.1pt;mso-position-horizontal-relative:page;mso-position-vertical-relative:paragraph;z-index:-1135144" coordorigin="9454,-963" coordsize="691,482" path="m10145,-963l9454,-963,9454,-795,9454,-649,9454,-639,9454,-482,10145,-482,10145,-639,10145,-649,10145,-795,10145,-963e" filled="true" fillcolor="#ffff00" stroked="false">
            <v:path arrowok="t"/>
            <v:fill type="solid"/>
            <w10:wrap type="none"/>
          </v:shape>
        </w:pict>
      </w:r>
      <w:r>
        <w:rPr/>
        <w:pict>
          <v:rect style="position:absolute;margin-left:506.704987pt;margin-top:-16.762589pt;width:34.5144pt;height:8.36746pt;mso-position-horizontal-relative:page;mso-position-vertical-relative:paragraph;z-index:-1135120" filled="true" fillcolor="#67ed4d" stroked="false">
            <v:fill type="solid"/>
            <w10:wrap type="none"/>
          </v:rect>
        </w:pict>
      </w:r>
      <w:r>
        <w:rPr>
          <w:w w:val="105"/>
          <w:sz w:val="21"/>
        </w:rPr>
        <w:t>Fuente: Elaboración propia con base al estudio realizado.</w:t>
      </w:r>
    </w:p>
    <w:p>
      <w:pPr>
        <w:spacing w:after="0"/>
        <w:jc w:val="left"/>
        <w:rPr>
          <w:sz w:val="21"/>
        </w:rPr>
        <w:sectPr>
          <w:footerReference w:type="default" r:id="rId355"/>
          <w:pgSz w:w="12240" w:h="15840"/>
          <w:pgMar w:footer="1066" w:header="730" w:top="1320" w:bottom="1260" w:left="1720" w:right="1180"/>
          <w:pgNumType w:start="271"/>
        </w:sectPr>
      </w:pPr>
    </w:p>
    <w:p>
      <w:pPr>
        <w:pStyle w:val="BodyText"/>
        <w:spacing w:before="1"/>
        <w:rPr>
          <w:sz w:val="18"/>
        </w:rPr>
      </w:pPr>
    </w:p>
    <w:p>
      <w:pPr>
        <w:pStyle w:val="BodyText"/>
        <w:spacing w:before="69" w:after="13"/>
        <w:ind w:left="268"/>
      </w:pPr>
      <w:r>
        <w:rPr/>
        <w:pict>
          <v:line style="position:absolute;mso-position-horizontal-relative:page;mso-position-vertical-relative:paragraph;z-index:22936" from="93.199997pt,-19.614155pt" to="546.799997pt,-19.614155pt" stroked="true" strokeweight=".479981pt" strokecolor="#000000">
            <w10:wrap type="none"/>
          </v:line>
        </w:pict>
      </w:r>
      <w:r>
        <w:rPr/>
        <w:pict>
          <v:group style="position:absolute;margin-left:364.428497pt;margin-top:52.654305pt;width:74.8pt;height:16.8pt;mso-position-horizontal-relative:page;mso-position-vertical-relative:paragraph;z-index:-1135072" coordorigin="7289,1053" coordsize="1496,336">
            <v:shape style="position:absolute;left:7294;top:1059;width:2;height:325" coordorigin="7294,1059" coordsize="0,325" path="m7294,1059l7294,1226m7294,1215l7294,1383e" filled="false" stroked="true" strokeweight=".523pt" strokecolor="#baf9f5">
              <v:path arrowok="t"/>
            </v:shape>
            <v:shape style="position:absolute;left:7299;top:1059;width:1486;height:325" coordorigin="7299,1059" coordsize="1486,325" path="m8784,1059l7299,1059,7299,1215,7299,1226,7299,1383,8784,1383,8784,1226,8784,1215,8784,1059e" filled="true" fillcolor="#baf9f5" stroked="false">
              <v:path arrowok="t"/>
              <v:fill type="solid"/>
            </v:shape>
            <w10:wrap type="none"/>
          </v:group>
        </w:pict>
      </w:r>
      <w:r>
        <w:rPr/>
        <w:pict>
          <v:group style="position:absolute;margin-left:364.428497pt;margin-top:84.036308pt;width:74.8pt;height:8.950pt;mso-position-horizontal-relative:page;mso-position-vertical-relative:paragraph;z-index:-1135048" coordorigin="7289,1681" coordsize="1496,179">
            <v:line style="position:absolute" from="7294,1686" to="7294,1854" stroked="true" strokeweight=".523pt" strokecolor="#baf9f5"/>
            <v:rect style="position:absolute;left:7299;top:1686;width:1485;height:167" filled="true" fillcolor="#baf9f5" stroked="false">
              <v:fill type="solid"/>
            </v:rect>
            <w10:wrap type="none"/>
          </v:group>
        </w:pict>
      </w:r>
      <w:r>
        <w:rPr/>
        <w:pict>
          <v:shape style="position:absolute;margin-left:472.683014pt;margin-top:52.929802pt;width:34.550pt;height:24.1pt;mso-position-horizontal-relative:page;mso-position-vertical-relative:paragraph;z-index:-1135024" coordorigin="9454,1059" coordsize="691,482" path="m10144,1059l9454,1059,9454,1215,9454,1226,9454,1372,9454,1383,9454,1540,10144,1540,10144,1383,10144,1372,10144,1226,10144,1215,10144,1059e" filled="true" fillcolor="#ffff00" stroked="false">
            <v:path arrowok="t"/>
            <v:fill type="solid"/>
            <w10:wrap type="none"/>
          </v:shape>
        </w:pict>
      </w:r>
      <w:r>
        <w:rPr/>
        <w:pict>
          <v:shape style="position:absolute;margin-left:472.683014pt;margin-top:84.311806pt;width:34.550pt;height:16.25pt;mso-position-horizontal-relative:page;mso-position-vertical-relative:paragraph;z-index:-1135000" coordorigin="9454,1686" coordsize="691,325" path="m10144,1686l9454,1686,9454,1843,9454,1854,9454,2010,10144,2010,10144,1854,10144,1843,10144,1686e" filled="true" fillcolor="#ffff00" stroked="false">
            <v:path arrowok="t"/>
            <v:fill type="solid"/>
            <w10:wrap type="none"/>
          </v:shape>
        </w:pict>
      </w:r>
      <w:r>
        <w:rPr/>
        <w:pict>
          <v:group style="position:absolute;margin-left:364.428497pt;margin-top:107.572304pt;width:74.8pt;height:24.65pt;mso-position-horizontal-relative:page;mso-position-vertical-relative:paragraph;z-index:-1134976" coordorigin="7289,2151" coordsize="1496,493">
            <v:shape style="position:absolute;left:7299;top:2157;width:1486;height:325" coordorigin="7299,2157" coordsize="1486,325" path="m8784,2324l7299,2324,7299,2481,8784,2481,8784,2324m8784,2157l7299,2157,7299,2324,8784,2324,8784,2157e" filled="true" fillcolor="#baf9f5" stroked="false">
              <v:path arrowok="t"/>
              <v:fill type="solid"/>
            </v:shape>
            <v:line style="position:absolute" from="7294,2157" to="7294,2638" stroked="true" strokeweight=".523pt" strokecolor="#baf9f5"/>
            <v:rect style="position:absolute;left:7299;top:2481;width:1485;height:157" filled="true" fillcolor="#baf9f5" stroked="false">
              <v:fill type="solid"/>
            </v:rect>
            <w10:wrap type="none"/>
          </v:group>
        </w:pict>
      </w:r>
      <w:r>
        <w:rPr/>
        <w:pict>
          <v:shape style="position:absolute;margin-left:472.683014pt;margin-top:107.847809pt;width:34.550pt;height:31.95pt;mso-position-horizontal-relative:page;mso-position-vertical-relative:paragraph;z-index:-1134952" coordorigin="9454,2157" coordsize="691,639" path="m10144,2324l9454,2324,9454,2481,9454,2628,9454,2638,9454,2795,10144,2795,10144,2638,10144,2628,10144,2481,10144,2324m10144,2157l9454,2157,9454,2324,10144,2324,10144,2157e" filled="true" fillcolor="#ffff00" stroked="false">
            <v:path arrowok="t"/>
            <v:fill type="solid"/>
            <w10:wrap type="none"/>
          </v:shape>
        </w:pict>
      </w:r>
      <w:r>
        <w:rPr/>
        <w:t>Tabla 55. ISE Valle del Nevado</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52"/>
        <w:gridCol w:w="1892"/>
        <w:gridCol w:w="2440"/>
        <w:gridCol w:w="1596"/>
        <w:gridCol w:w="833"/>
        <w:gridCol w:w="728"/>
        <w:gridCol w:w="680"/>
      </w:tblGrid>
      <w:tr>
        <w:trPr>
          <w:trHeight w:val="476" w:hRule="exact"/>
        </w:trPr>
        <w:tc>
          <w:tcPr>
            <w:tcW w:w="8821" w:type="dxa"/>
            <w:gridSpan w:val="7"/>
            <w:tcBorders>
              <w:bottom w:val="nil"/>
              <w:right w:val="single" w:sz="4" w:space="0" w:color="FBF111"/>
            </w:tcBorders>
            <w:shd w:val="clear" w:color="auto" w:fill="000000"/>
          </w:tcPr>
          <w:p>
            <w:pPr>
              <w:pStyle w:val="TableParagraph"/>
              <w:spacing w:before="81"/>
              <w:ind w:left="3285" w:right="3278"/>
              <w:rPr>
                <w:b/>
                <w:sz w:val="12"/>
              </w:rPr>
            </w:pPr>
            <w:r>
              <w:rPr>
                <w:b/>
                <w:color w:val="FFFFFF"/>
                <w:w w:val="105"/>
                <w:sz w:val="12"/>
              </w:rPr>
              <w:t>Valle del Nevado</w:t>
            </w:r>
          </w:p>
          <w:p>
            <w:pPr>
              <w:pStyle w:val="TableParagraph"/>
              <w:spacing w:before="19"/>
              <w:ind w:left="3285" w:right="3285"/>
              <w:rPr>
                <w:b/>
                <w:sz w:val="12"/>
              </w:rPr>
            </w:pPr>
            <w:r>
              <w:rPr>
                <w:b/>
                <w:color w:val="FFFFFF"/>
                <w:w w:val="105"/>
                <w:sz w:val="12"/>
              </w:rPr>
              <w:t>Índice de sustentabilidad económico</w:t>
            </w:r>
          </w:p>
        </w:tc>
      </w:tr>
      <w:tr>
        <w:trPr>
          <w:trHeight w:val="162" w:hRule="exact"/>
        </w:trPr>
        <w:tc>
          <w:tcPr>
            <w:tcW w:w="652" w:type="dxa"/>
            <w:tcBorders>
              <w:top w:val="single" w:sz="4" w:space="0" w:color="FFFFFF"/>
              <w:left w:val="single" w:sz="4" w:space="0" w:color="000000"/>
            </w:tcBorders>
            <w:shd w:val="clear" w:color="auto" w:fill="808080"/>
          </w:tcPr>
          <w:p>
            <w:pPr>
              <w:pStyle w:val="TableParagraph"/>
              <w:spacing w:line="135" w:lineRule="exact"/>
              <w:ind w:left="177"/>
              <w:jc w:val="left"/>
              <w:rPr>
                <w:b/>
                <w:sz w:val="12"/>
              </w:rPr>
            </w:pPr>
            <w:r>
              <w:rPr>
                <w:b/>
                <w:color w:val="FFFFFF"/>
                <w:w w:val="105"/>
                <w:sz w:val="12"/>
              </w:rPr>
              <w:t>Índice</w:t>
            </w:r>
          </w:p>
        </w:tc>
        <w:tc>
          <w:tcPr>
            <w:tcW w:w="1892" w:type="dxa"/>
            <w:tcBorders>
              <w:top w:val="single" w:sz="4" w:space="0" w:color="FFFFFF"/>
            </w:tcBorders>
            <w:shd w:val="clear" w:color="auto" w:fill="808080"/>
          </w:tcPr>
          <w:p>
            <w:pPr>
              <w:pStyle w:val="TableParagraph"/>
              <w:spacing w:line="135" w:lineRule="exact"/>
              <w:ind w:left="106"/>
              <w:jc w:val="left"/>
              <w:rPr>
                <w:b/>
                <w:sz w:val="12"/>
              </w:rPr>
            </w:pPr>
            <w:r>
              <w:rPr>
                <w:b/>
                <w:color w:val="FFFFFF"/>
                <w:w w:val="105"/>
                <w:sz w:val="12"/>
              </w:rPr>
              <w:t>Subíndice</w:t>
            </w:r>
          </w:p>
        </w:tc>
        <w:tc>
          <w:tcPr>
            <w:tcW w:w="2440" w:type="dxa"/>
            <w:tcBorders>
              <w:top w:val="single" w:sz="4" w:space="0" w:color="FFFFFF"/>
            </w:tcBorders>
            <w:shd w:val="clear" w:color="auto" w:fill="808080"/>
          </w:tcPr>
          <w:p>
            <w:pPr>
              <w:pStyle w:val="TableParagraph"/>
              <w:spacing w:line="135" w:lineRule="exact"/>
              <w:ind w:left="306"/>
              <w:jc w:val="left"/>
              <w:rPr>
                <w:b/>
                <w:sz w:val="12"/>
              </w:rPr>
            </w:pPr>
            <w:r>
              <w:rPr>
                <w:b/>
                <w:color w:val="FFFFFF"/>
                <w:w w:val="105"/>
                <w:sz w:val="12"/>
              </w:rPr>
              <w:t>Indicador</w:t>
            </w:r>
          </w:p>
        </w:tc>
        <w:tc>
          <w:tcPr>
            <w:tcW w:w="1596" w:type="dxa"/>
            <w:tcBorders>
              <w:top w:val="single" w:sz="4" w:space="0" w:color="FFFFFF"/>
            </w:tcBorders>
            <w:shd w:val="clear" w:color="auto" w:fill="808080"/>
          </w:tcPr>
          <w:p>
            <w:pPr/>
          </w:p>
        </w:tc>
        <w:tc>
          <w:tcPr>
            <w:tcW w:w="833" w:type="dxa"/>
            <w:tcBorders>
              <w:top w:val="single" w:sz="4" w:space="0" w:color="FFFFFF"/>
            </w:tcBorders>
            <w:shd w:val="clear" w:color="auto" w:fill="808080"/>
          </w:tcPr>
          <w:p>
            <w:pPr>
              <w:pStyle w:val="TableParagraph"/>
              <w:spacing w:line="135" w:lineRule="exact"/>
              <w:ind w:left="264" w:right="-60"/>
              <w:jc w:val="left"/>
              <w:rPr>
                <w:b/>
                <w:sz w:val="12"/>
              </w:rPr>
            </w:pPr>
            <w:r>
              <w:rPr>
                <w:b/>
                <w:color w:val="FFFFFF"/>
                <w:w w:val="105"/>
                <w:sz w:val="12"/>
              </w:rPr>
              <w:t>Valores</w:t>
            </w:r>
          </w:p>
        </w:tc>
        <w:tc>
          <w:tcPr>
            <w:tcW w:w="728" w:type="dxa"/>
            <w:tcBorders>
              <w:top w:val="single" w:sz="4" w:space="0" w:color="FFFFFF"/>
            </w:tcBorders>
            <w:shd w:val="clear" w:color="auto" w:fill="808080"/>
          </w:tcPr>
          <w:p>
            <w:pPr/>
          </w:p>
        </w:tc>
        <w:tc>
          <w:tcPr>
            <w:tcW w:w="680" w:type="dxa"/>
            <w:tcBorders>
              <w:top w:val="single" w:sz="4" w:space="0" w:color="FFFFFF"/>
              <w:right w:val="single" w:sz="8" w:space="0" w:color="000000"/>
            </w:tcBorders>
            <w:shd w:val="clear" w:color="auto" w:fill="808080"/>
          </w:tcPr>
          <w:p>
            <w:pPr/>
          </w:p>
        </w:tc>
      </w:tr>
      <w:tr>
        <w:trPr>
          <w:trHeight w:val="63" w:hRule="exact"/>
        </w:trPr>
        <w:tc>
          <w:tcPr>
            <w:tcW w:w="8821" w:type="dxa"/>
            <w:gridSpan w:val="7"/>
            <w:tcBorders>
              <w:left w:val="single" w:sz="4" w:space="0" w:color="000000"/>
              <w:right w:val="single" w:sz="8" w:space="0" w:color="000000"/>
            </w:tcBorders>
            <w:shd w:val="clear" w:color="auto" w:fill="808080"/>
          </w:tcPr>
          <w:p>
            <w:pPr/>
          </w:p>
        </w:tc>
      </w:tr>
      <w:tr>
        <w:trPr>
          <w:trHeight w:val="160" w:hRule="exact"/>
        </w:trPr>
        <w:tc>
          <w:tcPr>
            <w:tcW w:w="652" w:type="dxa"/>
            <w:vMerge w:val="restart"/>
            <w:tcBorders>
              <w:left w:val="single" w:sz="4" w:space="0" w:color="000000"/>
            </w:tcBorders>
          </w:tcPr>
          <w:p>
            <w:pPr/>
          </w:p>
        </w:tc>
        <w:tc>
          <w:tcPr>
            <w:tcW w:w="1892" w:type="dxa"/>
          </w:tcPr>
          <w:p>
            <w:pPr/>
          </w:p>
        </w:tc>
        <w:tc>
          <w:tcPr>
            <w:tcW w:w="2440" w:type="dxa"/>
          </w:tcPr>
          <w:p>
            <w:pPr/>
          </w:p>
        </w:tc>
        <w:tc>
          <w:tcPr>
            <w:tcW w:w="1596" w:type="dxa"/>
          </w:tcPr>
          <w:p>
            <w:pPr>
              <w:pStyle w:val="TableParagraph"/>
              <w:spacing w:before="7"/>
              <w:ind w:left="710" w:right="181"/>
              <w:rPr>
                <w:b/>
                <w:sz w:val="12"/>
              </w:rPr>
            </w:pPr>
            <w:r>
              <w:rPr>
                <w:b/>
                <w:w w:val="105"/>
                <w:sz w:val="12"/>
              </w:rPr>
              <w:t>Evaluación</w:t>
            </w:r>
          </w:p>
        </w:tc>
        <w:tc>
          <w:tcPr>
            <w:tcW w:w="833" w:type="dxa"/>
          </w:tcPr>
          <w:p>
            <w:pPr>
              <w:pStyle w:val="TableParagraph"/>
              <w:tabs>
                <w:tab w:pos="892" w:val="left" w:leader="none"/>
              </w:tabs>
              <w:spacing w:before="7"/>
              <w:ind w:left="202" w:right="-60"/>
              <w:jc w:val="left"/>
              <w:rPr>
                <w:b/>
                <w:sz w:val="12"/>
              </w:rPr>
            </w:pPr>
            <w:r>
              <w:rPr>
                <w:b/>
                <w:w w:val="104"/>
                <w:sz w:val="12"/>
                <w:shd w:fill="F79646" w:color="auto" w:val="clear"/>
              </w:rPr>
              <w:t> </w:t>
            </w:r>
            <w:r>
              <w:rPr>
                <w:b/>
                <w:sz w:val="12"/>
                <w:shd w:fill="F79646" w:color="auto" w:val="clear"/>
              </w:rPr>
              <w:t>    </w:t>
            </w:r>
            <w:r>
              <w:rPr>
                <w:b/>
                <w:spacing w:val="7"/>
                <w:sz w:val="12"/>
                <w:shd w:fill="F79646" w:color="auto" w:val="clear"/>
              </w:rPr>
              <w:t> </w:t>
            </w:r>
            <w:r>
              <w:rPr>
                <w:b/>
                <w:w w:val="105"/>
                <w:sz w:val="12"/>
                <w:shd w:fill="F79646" w:color="auto" w:val="clear"/>
              </w:rPr>
              <w:t>Real</w:t>
            </w:r>
            <w:r>
              <w:rPr>
                <w:b/>
                <w:sz w:val="12"/>
                <w:shd w:fill="F79646" w:color="auto" w:val="clear"/>
              </w:rPr>
              <w:tab/>
            </w:r>
          </w:p>
        </w:tc>
        <w:tc>
          <w:tcPr>
            <w:tcW w:w="728" w:type="dxa"/>
          </w:tcPr>
          <w:p>
            <w:pPr>
              <w:pStyle w:val="TableParagraph"/>
              <w:spacing w:before="7"/>
              <w:ind w:left="100" w:right="34"/>
              <w:rPr>
                <w:b/>
                <w:sz w:val="12"/>
              </w:rPr>
            </w:pPr>
            <w:r>
              <w:rPr>
                <w:b/>
                <w:w w:val="105"/>
                <w:sz w:val="12"/>
              </w:rPr>
              <w:t>Deseable</w:t>
            </w:r>
          </w:p>
        </w:tc>
        <w:tc>
          <w:tcPr>
            <w:tcW w:w="680" w:type="dxa"/>
            <w:tcBorders>
              <w:right w:val="single" w:sz="8" w:space="0" w:color="000000"/>
            </w:tcBorders>
            <w:shd w:val="clear" w:color="auto" w:fill="67ED4D"/>
          </w:tcPr>
          <w:p>
            <w:pPr>
              <w:pStyle w:val="TableParagraph"/>
              <w:spacing w:before="7"/>
              <w:ind w:left="104" w:right="84"/>
              <w:rPr>
                <w:b/>
                <w:sz w:val="12"/>
              </w:rPr>
            </w:pPr>
            <w:r>
              <w:rPr>
                <w:b/>
                <w:w w:val="105"/>
                <w:sz w:val="12"/>
              </w:rPr>
              <w:t>Óptimo</w:t>
            </w:r>
          </w:p>
        </w:tc>
      </w:tr>
      <w:tr>
        <w:trPr>
          <w:trHeight w:val="157" w:hRule="exact"/>
        </w:trPr>
        <w:tc>
          <w:tcPr>
            <w:tcW w:w="652" w:type="dxa"/>
            <w:vMerge/>
            <w:tcBorders>
              <w:left w:val="single" w:sz="4" w:space="0" w:color="000000"/>
            </w:tcBorders>
          </w:tcPr>
          <w:p>
            <w:pPr/>
          </w:p>
        </w:tc>
        <w:tc>
          <w:tcPr>
            <w:tcW w:w="1892" w:type="dxa"/>
          </w:tcPr>
          <w:p>
            <w:pPr>
              <w:pStyle w:val="TableParagraph"/>
              <w:spacing w:before="5"/>
              <w:ind w:left="106"/>
              <w:jc w:val="left"/>
              <w:rPr>
                <w:sz w:val="12"/>
              </w:rPr>
            </w:pPr>
            <w:r>
              <w:rPr>
                <w:w w:val="105"/>
                <w:sz w:val="12"/>
              </w:rPr>
              <w:t>Situación de la vivienda</w:t>
            </w:r>
          </w:p>
        </w:tc>
        <w:tc>
          <w:tcPr>
            <w:tcW w:w="2440" w:type="dxa"/>
          </w:tcPr>
          <w:p>
            <w:pPr>
              <w:pStyle w:val="TableParagraph"/>
              <w:spacing w:before="5"/>
              <w:ind w:left="306"/>
              <w:jc w:val="left"/>
              <w:rPr>
                <w:sz w:val="12"/>
              </w:rPr>
            </w:pPr>
            <w:r>
              <w:rPr>
                <w:w w:val="105"/>
                <w:sz w:val="12"/>
              </w:rPr>
              <w:t>Precio</w:t>
            </w:r>
          </w:p>
        </w:tc>
        <w:tc>
          <w:tcPr>
            <w:tcW w:w="1596" w:type="dxa"/>
          </w:tcPr>
          <w:p>
            <w:pPr>
              <w:pStyle w:val="TableParagraph"/>
              <w:spacing w:before="5"/>
              <w:ind w:left="522"/>
              <w:rPr>
                <w:sz w:val="12"/>
              </w:rPr>
            </w:pPr>
            <w:r>
              <w:rPr>
                <w:w w:val="104"/>
                <w:sz w:val="12"/>
              </w:rPr>
              <w:t>0</w:t>
            </w:r>
          </w:p>
        </w:tc>
        <w:tc>
          <w:tcPr>
            <w:tcW w:w="833" w:type="dxa"/>
          </w:tcPr>
          <w:p>
            <w:pPr/>
          </w:p>
        </w:tc>
        <w:tc>
          <w:tcPr>
            <w:tcW w:w="728" w:type="dxa"/>
          </w:tcPr>
          <w:p>
            <w:pPr>
              <w:pStyle w:val="TableParagraph"/>
              <w:spacing w:before="5"/>
              <w:ind w:left="100" w:right="34"/>
              <w:rPr>
                <w:sz w:val="12"/>
              </w:rPr>
            </w:pPr>
            <w:r>
              <w:rPr>
                <w:w w:val="105"/>
                <w:sz w:val="12"/>
              </w:rPr>
              <w:t>0.5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4" w:hRule="exact"/>
        </w:trPr>
        <w:tc>
          <w:tcPr>
            <w:tcW w:w="652" w:type="dxa"/>
            <w:vMerge/>
            <w:tcBorders>
              <w:left w:val="single" w:sz="4" w:space="0" w:color="000000"/>
            </w:tcBorders>
          </w:tcPr>
          <w:p>
            <w:pPr/>
          </w:p>
        </w:tc>
        <w:tc>
          <w:tcPr>
            <w:tcW w:w="1892" w:type="dxa"/>
          </w:tcPr>
          <w:p>
            <w:pPr/>
          </w:p>
        </w:tc>
        <w:tc>
          <w:tcPr>
            <w:tcW w:w="2440" w:type="dxa"/>
          </w:tcPr>
          <w:p>
            <w:pPr/>
          </w:p>
        </w:tc>
        <w:tc>
          <w:tcPr>
            <w:tcW w:w="1596" w:type="dxa"/>
          </w:tcPr>
          <w:p>
            <w:pPr>
              <w:pStyle w:val="TableParagraph"/>
              <w:spacing w:before="5"/>
              <w:ind w:left="696" w:right="181"/>
              <w:rPr>
                <w:sz w:val="12"/>
              </w:rPr>
            </w:pPr>
            <w:r>
              <w:rPr>
                <w:w w:val="105"/>
                <w:sz w:val="12"/>
              </w:rPr>
              <w:t>Subtotal</w:t>
            </w:r>
          </w:p>
        </w:tc>
        <w:tc>
          <w:tcPr>
            <w:tcW w:w="833" w:type="dxa"/>
          </w:tcPr>
          <w:p>
            <w:pPr>
              <w:pStyle w:val="TableParagraph"/>
              <w:tabs>
                <w:tab w:pos="515" w:val="left" w:leader="none"/>
                <w:tab w:pos="892" w:val="left" w:leader="none"/>
              </w:tabs>
              <w:spacing w:before="5"/>
              <w:ind w:left="202" w:right="-60"/>
              <w:jc w:val="left"/>
              <w:rPr>
                <w:sz w:val="12"/>
              </w:rPr>
            </w:pPr>
            <w:r>
              <w:rPr>
                <w:w w:val="104"/>
                <w:sz w:val="12"/>
                <w:shd w:fill="F79646" w:color="auto" w:val="clear"/>
              </w:rPr>
              <w:t> </w:t>
            </w:r>
            <w:r>
              <w:rPr>
                <w:sz w:val="12"/>
                <w:shd w:fill="F79646" w:color="auto" w:val="clear"/>
              </w:rPr>
              <w:tab/>
            </w:r>
            <w:r>
              <w:rPr>
                <w:w w:val="105"/>
                <w:sz w:val="12"/>
                <w:shd w:fill="F79646" w:color="auto" w:val="clear"/>
              </w:rPr>
              <w:t>0</w:t>
            </w:r>
            <w:r>
              <w:rPr>
                <w:sz w:val="12"/>
                <w:shd w:fill="F79646" w:color="auto" w:val="clear"/>
              </w:rPr>
              <w:tab/>
            </w:r>
          </w:p>
        </w:tc>
        <w:tc>
          <w:tcPr>
            <w:tcW w:w="728" w:type="dxa"/>
          </w:tcPr>
          <w:p>
            <w:pPr>
              <w:pStyle w:val="TableParagraph"/>
              <w:spacing w:before="5"/>
              <w:ind w:left="100" w:right="34"/>
              <w:rPr>
                <w:sz w:val="12"/>
              </w:rPr>
            </w:pPr>
            <w:r>
              <w:rPr>
                <w:w w:val="105"/>
                <w:sz w:val="12"/>
              </w:rPr>
              <w:t>0.5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46" w:hRule="exact"/>
        </w:trPr>
        <w:tc>
          <w:tcPr>
            <w:tcW w:w="8821" w:type="dxa"/>
            <w:gridSpan w:val="7"/>
            <w:tcBorders>
              <w:left w:val="single" w:sz="4" w:space="0" w:color="000000"/>
              <w:right w:val="single" w:sz="8" w:space="0" w:color="000000"/>
            </w:tcBorders>
          </w:tcPr>
          <w:p>
            <w:pPr/>
          </w:p>
        </w:tc>
      </w:tr>
      <w:tr>
        <w:trPr>
          <w:trHeight w:val="160" w:hRule="exact"/>
        </w:trPr>
        <w:tc>
          <w:tcPr>
            <w:tcW w:w="652" w:type="dxa"/>
            <w:tcBorders>
              <w:left w:val="single" w:sz="4" w:space="0" w:color="000000"/>
            </w:tcBorders>
          </w:tcPr>
          <w:p>
            <w:pPr/>
          </w:p>
        </w:tc>
        <w:tc>
          <w:tcPr>
            <w:tcW w:w="1892" w:type="dxa"/>
          </w:tcPr>
          <w:p>
            <w:pPr>
              <w:pStyle w:val="TableParagraph"/>
              <w:spacing w:before="7"/>
              <w:ind w:left="106"/>
              <w:jc w:val="left"/>
              <w:rPr>
                <w:sz w:val="12"/>
              </w:rPr>
            </w:pPr>
            <w:r>
              <w:rPr>
                <w:w w:val="105"/>
                <w:sz w:val="12"/>
              </w:rPr>
              <w:t>INEX</w:t>
            </w:r>
          </w:p>
        </w:tc>
        <w:tc>
          <w:tcPr>
            <w:tcW w:w="2440" w:type="dxa"/>
          </w:tcPr>
          <w:p>
            <w:pPr>
              <w:pStyle w:val="TableParagraph"/>
              <w:spacing w:before="7"/>
              <w:ind w:left="306"/>
              <w:jc w:val="left"/>
              <w:rPr>
                <w:sz w:val="12"/>
              </w:rPr>
            </w:pPr>
            <w:r>
              <w:rPr>
                <w:w w:val="105"/>
                <w:sz w:val="12"/>
              </w:rPr>
              <w:t>Infonavit</w:t>
            </w:r>
          </w:p>
        </w:tc>
        <w:tc>
          <w:tcPr>
            <w:tcW w:w="1596" w:type="dxa"/>
          </w:tcPr>
          <w:p>
            <w:pPr>
              <w:pStyle w:val="TableParagraph"/>
              <w:spacing w:before="7"/>
              <w:ind w:left="522"/>
              <w:rPr>
                <w:sz w:val="12"/>
              </w:rPr>
            </w:pPr>
            <w:r>
              <w:rPr>
                <w:w w:val="104"/>
                <w:sz w:val="12"/>
              </w:rPr>
              <w:t>0</w:t>
            </w:r>
          </w:p>
        </w:tc>
        <w:tc>
          <w:tcPr>
            <w:tcW w:w="833" w:type="dxa"/>
          </w:tcPr>
          <w:p>
            <w:pPr/>
          </w:p>
        </w:tc>
        <w:tc>
          <w:tcPr>
            <w:tcW w:w="728" w:type="dxa"/>
          </w:tcPr>
          <w:p>
            <w:pPr>
              <w:pStyle w:val="TableParagraph"/>
              <w:spacing w:before="7"/>
              <w:ind w:left="100" w:right="34"/>
              <w:rPr>
                <w:sz w:val="12"/>
              </w:rPr>
            </w:pPr>
            <w:r>
              <w:rPr>
                <w:w w:val="105"/>
                <w:sz w:val="12"/>
              </w:rPr>
              <w:t>0.7</w:t>
            </w:r>
          </w:p>
        </w:tc>
        <w:tc>
          <w:tcPr>
            <w:tcW w:w="680" w:type="dxa"/>
            <w:tcBorders>
              <w:right w:val="single" w:sz="8" w:space="0" w:color="000000"/>
            </w:tcBorders>
            <w:shd w:val="clear" w:color="auto" w:fill="67ED4D"/>
          </w:tcPr>
          <w:p>
            <w:pPr>
              <w:pStyle w:val="TableParagraph"/>
              <w:spacing w:before="7"/>
              <w:ind w:left="27"/>
              <w:rPr>
                <w:sz w:val="12"/>
              </w:rPr>
            </w:pPr>
            <w:r>
              <w:rPr>
                <w:w w:val="104"/>
                <w:sz w:val="12"/>
              </w:rPr>
              <w:t>1</w:t>
            </w:r>
          </w:p>
        </w:tc>
      </w:tr>
      <w:tr>
        <w:trPr>
          <w:trHeight w:val="164" w:hRule="exact"/>
        </w:trPr>
        <w:tc>
          <w:tcPr>
            <w:tcW w:w="652" w:type="dxa"/>
            <w:tcBorders>
              <w:left w:val="single" w:sz="4" w:space="0" w:color="000000"/>
            </w:tcBorders>
          </w:tcPr>
          <w:p>
            <w:pPr/>
          </w:p>
        </w:tc>
        <w:tc>
          <w:tcPr>
            <w:tcW w:w="1892" w:type="dxa"/>
          </w:tcPr>
          <w:p>
            <w:pPr/>
          </w:p>
        </w:tc>
        <w:tc>
          <w:tcPr>
            <w:tcW w:w="2440" w:type="dxa"/>
          </w:tcPr>
          <w:p>
            <w:pPr/>
          </w:p>
        </w:tc>
        <w:tc>
          <w:tcPr>
            <w:tcW w:w="1596" w:type="dxa"/>
          </w:tcPr>
          <w:p>
            <w:pPr>
              <w:pStyle w:val="TableParagraph"/>
              <w:spacing w:before="5"/>
              <w:ind w:left="696" w:right="181"/>
              <w:rPr>
                <w:sz w:val="12"/>
              </w:rPr>
            </w:pPr>
            <w:r>
              <w:rPr>
                <w:w w:val="105"/>
                <w:sz w:val="12"/>
              </w:rPr>
              <w:t>Subtotal</w:t>
            </w:r>
          </w:p>
        </w:tc>
        <w:tc>
          <w:tcPr>
            <w:tcW w:w="833" w:type="dxa"/>
          </w:tcPr>
          <w:p>
            <w:pPr>
              <w:pStyle w:val="TableParagraph"/>
              <w:tabs>
                <w:tab w:pos="515" w:val="left" w:leader="none"/>
                <w:tab w:pos="892" w:val="left" w:leader="none"/>
              </w:tabs>
              <w:spacing w:before="5"/>
              <w:ind w:left="202" w:right="-60"/>
              <w:jc w:val="left"/>
              <w:rPr>
                <w:sz w:val="12"/>
              </w:rPr>
            </w:pPr>
            <w:r>
              <w:rPr>
                <w:w w:val="104"/>
                <w:sz w:val="12"/>
                <w:shd w:fill="F79646" w:color="auto" w:val="clear"/>
              </w:rPr>
              <w:t> </w:t>
            </w:r>
            <w:r>
              <w:rPr>
                <w:sz w:val="12"/>
                <w:shd w:fill="F79646" w:color="auto" w:val="clear"/>
              </w:rPr>
              <w:tab/>
            </w:r>
            <w:r>
              <w:rPr>
                <w:w w:val="105"/>
                <w:sz w:val="12"/>
                <w:shd w:fill="F79646" w:color="auto" w:val="clear"/>
              </w:rPr>
              <w:t>0</w:t>
            </w:r>
            <w:r>
              <w:rPr>
                <w:sz w:val="12"/>
                <w:shd w:fill="F79646" w:color="auto" w:val="clear"/>
              </w:rPr>
              <w:tab/>
            </w:r>
          </w:p>
        </w:tc>
        <w:tc>
          <w:tcPr>
            <w:tcW w:w="728" w:type="dxa"/>
          </w:tcPr>
          <w:p>
            <w:pPr>
              <w:pStyle w:val="TableParagraph"/>
              <w:spacing w:before="5"/>
              <w:ind w:left="100" w:right="34"/>
              <w:rPr>
                <w:sz w:val="12"/>
              </w:rPr>
            </w:pPr>
            <w:r>
              <w:rPr>
                <w:w w:val="105"/>
                <w:sz w:val="12"/>
              </w:rPr>
              <w:t>0.7</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46" w:hRule="exact"/>
        </w:trPr>
        <w:tc>
          <w:tcPr>
            <w:tcW w:w="8821" w:type="dxa"/>
            <w:gridSpan w:val="7"/>
            <w:tcBorders>
              <w:left w:val="single" w:sz="4" w:space="0" w:color="000000"/>
              <w:right w:val="single" w:sz="8" w:space="0" w:color="000000"/>
            </w:tcBorders>
          </w:tcPr>
          <w:p>
            <w:pPr/>
          </w:p>
        </w:tc>
      </w:tr>
      <w:tr>
        <w:trPr>
          <w:trHeight w:val="160" w:hRule="exact"/>
        </w:trPr>
        <w:tc>
          <w:tcPr>
            <w:tcW w:w="652" w:type="dxa"/>
            <w:vMerge w:val="restart"/>
            <w:tcBorders>
              <w:left w:val="single" w:sz="4" w:space="0" w:color="000000"/>
            </w:tcBorders>
          </w:tcPr>
          <w:p>
            <w:pPr/>
          </w:p>
        </w:tc>
        <w:tc>
          <w:tcPr>
            <w:tcW w:w="1892" w:type="dxa"/>
          </w:tcPr>
          <w:p>
            <w:pPr/>
          </w:p>
        </w:tc>
        <w:tc>
          <w:tcPr>
            <w:tcW w:w="2440" w:type="dxa"/>
          </w:tcPr>
          <w:p>
            <w:pPr>
              <w:pStyle w:val="TableParagraph"/>
              <w:spacing w:before="7"/>
              <w:ind w:left="306"/>
              <w:jc w:val="left"/>
              <w:rPr>
                <w:sz w:val="12"/>
              </w:rPr>
            </w:pPr>
            <w:r>
              <w:rPr>
                <w:w w:val="105"/>
                <w:sz w:val="12"/>
              </w:rPr>
              <w:t>Ingresos al Estado</w:t>
            </w:r>
          </w:p>
        </w:tc>
        <w:tc>
          <w:tcPr>
            <w:tcW w:w="1596" w:type="dxa"/>
          </w:tcPr>
          <w:p>
            <w:pPr>
              <w:pStyle w:val="TableParagraph"/>
              <w:spacing w:before="7"/>
              <w:ind w:left="522"/>
              <w:rPr>
                <w:sz w:val="12"/>
              </w:rPr>
            </w:pPr>
            <w:r>
              <w:rPr>
                <w:w w:val="104"/>
                <w:sz w:val="12"/>
              </w:rPr>
              <w:t>1</w:t>
            </w:r>
          </w:p>
        </w:tc>
        <w:tc>
          <w:tcPr>
            <w:tcW w:w="833" w:type="dxa"/>
          </w:tcPr>
          <w:p>
            <w:pPr/>
          </w:p>
        </w:tc>
        <w:tc>
          <w:tcPr>
            <w:tcW w:w="728" w:type="dxa"/>
          </w:tcPr>
          <w:p>
            <w:pPr>
              <w:pStyle w:val="TableParagraph"/>
              <w:spacing w:before="7"/>
              <w:ind w:left="100" w:right="34"/>
              <w:rPr>
                <w:sz w:val="12"/>
              </w:rPr>
            </w:pPr>
            <w:r>
              <w:rPr>
                <w:w w:val="105"/>
                <w:sz w:val="12"/>
              </w:rPr>
              <w:t>0.9</w:t>
            </w:r>
          </w:p>
        </w:tc>
        <w:tc>
          <w:tcPr>
            <w:tcW w:w="680" w:type="dxa"/>
            <w:tcBorders>
              <w:right w:val="single" w:sz="8" w:space="0" w:color="000000"/>
            </w:tcBorders>
            <w:shd w:val="clear" w:color="auto" w:fill="67ED4D"/>
          </w:tcPr>
          <w:p>
            <w:pPr>
              <w:pStyle w:val="TableParagraph"/>
              <w:spacing w:before="7"/>
              <w:ind w:left="27"/>
              <w:rPr>
                <w:sz w:val="12"/>
              </w:rPr>
            </w:pPr>
            <w:r>
              <w:rPr>
                <w:w w:val="104"/>
                <w:sz w:val="12"/>
              </w:rPr>
              <w:t>1</w:t>
            </w:r>
          </w:p>
        </w:tc>
      </w:tr>
      <w:tr>
        <w:trPr>
          <w:trHeight w:val="157" w:hRule="exact"/>
        </w:trPr>
        <w:tc>
          <w:tcPr>
            <w:tcW w:w="652" w:type="dxa"/>
            <w:vMerge/>
            <w:tcBorders>
              <w:left w:val="single" w:sz="4" w:space="0" w:color="000000"/>
            </w:tcBorders>
          </w:tcPr>
          <w:p>
            <w:pPr/>
          </w:p>
        </w:tc>
        <w:tc>
          <w:tcPr>
            <w:tcW w:w="1892" w:type="dxa"/>
          </w:tcPr>
          <w:p>
            <w:pPr>
              <w:pStyle w:val="TableParagraph"/>
              <w:spacing w:before="5"/>
              <w:ind w:left="106"/>
              <w:jc w:val="left"/>
              <w:rPr>
                <w:sz w:val="12"/>
              </w:rPr>
            </w:pPr>
            <w:r>
              <w:rPr>
                <w:w w:val="105"/>
                <w:sz w:val="12"/>
              </w:rPr>
              <w:t>Ingresos por autorización</w:t>
            </w:r>
          </w:p>
        </w:tc>
        <w:tc>
          <w:tcPr>
            <w:tcW w:w="2440" w:type="dxa"/>
          </w:tcPr>
          <w:p>
            <w:pPr>
              <w:pStyle w:val="TableParagraph"/>
              <w:spacing w:before="5"/>
              <w:ind w:left="306"/>
              <w:jc w:val="left"/>
              <w:rPr>
                <w:sz w:val="12"/>
              </w:rPr>
            </w:pPr>
            <w:r>
              <w:rPr>
                <w:w w:val="105"/>
                <w:sz w:val="12"/>
              </w:rPr>
              <w:t>Ingresos al Municipio</w:t>
            </w:r>
          </w:p>
        </w:tc>
        <w:tc>
          <w:tcPr>
            <w:tcW w:w="1596" w:type="dxa"/>
          </w:tcPr>
          <w:p>
            <w:pPr>
              <w:pStyle w:val="TableParagraph"/>
              <w:spacing w:before="5"/>
              <w:ind w:left="703" w:right="181"/>
              <w:rPr>
                <w:sz w:val="12"/>
              </w:rPr>
            </w:pPr>
            <w:r>
              <w:rPr>
                <w:w w:val="105"/>
                <w:sz w:val="12"/>
              </w:rPr>
              <w:t>0.9</w:t>
            </w:r>
          </w:p>
        </w:tc>
        <w:tc>
          <w:tcPr>
            <w:tcW w:w="833" w:type="dxa"/>
          </w:tcPr>
          <w:p>
            <w:pPr/>
          </w:p>
        </w:tc>
        <w:tc>
          <w:tcPr>
            <w:tcW w:w="728" w:type="dxa"/>
          </w:tcPr>
          <w:p>
            <w:pPr>
              <w:pStyle w:val="TableParagraph"/>
              <w:spacing w:before="5"/>
              <w:ind w:left="100" w:right="34"/>
              <w:rPr>
                <w:sz w:val="12"/>
              </w:rPr>
            </w:pPr>
            <w:r>
              <w:rPr>
                <w:w w:val="105"/>
                <w:sz w:val="12"/>
              </w:rPr>
              <w:t>0.9</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52" w:type="dxa"/>
            <w:vMerge/>
            <w:tcBorders>
              <w:left w:val="single" w:sz="4" w:space="0" w:color="000000"/>
            </w:tcBorders>
          </w:tcPr>
          <w:p>
            <w:pPr/>
          </w:p>
        </w:tc>
        <w:tc>
          <w:tcPr>
            <w:tcW w:w="1892" w:type="dxa"/>
          </w:tcPr>
          <w:p>
            <w:pPr/>
          </w:p>
        </w:tc>
        <w:tc>
          <w:tcPr>
            <w:tcW w:w="2440" w:type="dxa"/>
          </w:tcPr>
          <w:p>
            <w:pPr>
              <w:pStyle w:val="TableParagraph"/>
              <w:spacing w:before="5"/>
              <w:ind w:left="306"/>
              <w:jc w:val="left"/>
              <w:rPr>
                <w:sz w:val="12"/>
              </w:rPr>
            </w:pPr>
            <w:r>
              <w:rPr>
                <w:w w:val="105"/>
                <w:sz w:val="12"/>
              </w:rPr>
              <w:t>Ingresos al Desarrollador</w:t>
            </w:r>
          </w:p>
        </w:tc>
        <w:tc>
          <w:tcPr>
            <w:tcW w:w="1596" w:type="dxa"/>
          </w:tcPr>
          <w:p>
            <w:pPr>
              <w:pStyle w:val="TableParagraph"/>
              <w:spacing w:before="5"/>
              <w:ind w:left="703" w:right="181"/>
              <w:rPr>
                <w:sz w:val="12"/>
              </w:rPr>
            </w:pPr>
            <w:r>
              <w:rPr>
                <w:w w:val="105"/>
                <w:sz w:val="12"/>
              </w:rPr>
              <w:t>0.6</w:t>
            </w:r>
          </w:p>
        </w:tc>
        <w:tc>
          <w:tcPr>
            <w:tcW w:w="833" w:type="dxa"/>
          </w:tcPr>
          <w:p>
            <w:pPr/>
          </w:p>
        </w:tc>
        <w:tc>
          <w:tcPr>
            <w:tcW w:w="728" w:type="dxa"/>
          </w:tcPr>
          <w:p>
            <w:pPr>
              <w:pStyle w:val="TableParagraph"/>
              <w:spacing w:before="5"/>
              <w:ind w:left="66"/>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4" w:hRule="exact"/>
        </w:trPr>
        <w:tc>
          <w:tcPr>
            <w:tcW w:w="652" w:type="dxa"/>
            <w:vMerge/>
            <w:tcBorders>
              <w:left w:val="single" w:sz="4" w:space="0" w:color="000000"/>
            </w:tcBorders>
          </w:tcPr>
          <w:p>
            <w:pPr/>
          </w:p>
        </w:tc>
        <w:tc>
          <w:tcPr>
            <w:tcW w:w="1892" w:type="dxa"/>
          </w:tcPr>
          <w:p>
            <w:pPr/>
          </w:p>
        </w:tc>
        <w:tc>
          <w:tcPr>
            <w:tcW w:w="2440" w:type="dxa"/>
          </w:tcPr>
          <w:p>
            <w:pPr/>
          </w:p>
        </w:tc>
        <w:tc>
          <w:tcPr>
            <w:tcW w:w="1596" w:type="dxa"/>
          </w:tcPr>
          <w:p>
            <w:pPr>
              <w:pStyle w:val="TableParagraph"/>
              <w:spacing w:before="5"/>
              <w:ind w:left="696" w:right="181"/>
              <w:rPr>
                <w:sz w:val="12"/>
              </w:rPr>
            </w:pPr>
            <w:r>
              <w:rPr>
                <w:w w:val="105"/>
                <w:sz w:val="12"/>
              </w:rPr>
              <w:t>Subtotal</w:t>
            </w:r>
          </w:p>
        </w:tc>
        <w:tc>
          <w:tcPr>
            <w:tcW w:w="833" w:type="dxa"/>
          </w:tcPr>
          <w:p>
            <w:pPr>
              <w:pStyle w:val="TableParagraph"/>
              <w:tabs>
                <w:tab w:pos="463" w:val="left" w:leader="none"/>
                <w:tab w:pos="892" w:val="left" w:leader="none"/>
              </w:tabs>
              <w:spacing w:before="5"/>
              <w:ind w:left="202" w:right="-60"/>
              <w:jc w:val="left"/>
              <w:rPr>
                <w:sz w:val="12"/>
              </w:rPr>
            </w:pPr>
            <w:r>
              <w:rPr>
                <w:w w:val="104"/>
                <w:sz w:val="12"/>
                <w:shd w:fill="F79646" w:color="auto" w:val="clear"/>
              </w:rPr>
              <w:t> </w:t>
            </w:r>
            <w:r>
              <w:rPr>
                <w:sz w:val="12"/>
                <w:shd w:fill="F79646" w:color="auto" w:val="clear"/>
              </w:rPr>
              <w:tab/>
            </w:r>
            <w:r>
              <w:rPr>
                <w:w w:val="105"/>
                <w:sz w:val="12"/>
                <w:shd w:fill="F79646" w:color="auto" w:val="clear"/>
              </w:rPr>
              <w:t>2.5</w:t>
            </w:r>
            <w:r>
              <w:rPr>
                <w:sz w:val="12"/>
                <w:shd w:fill="F79646" w:color="auto" w:val="clear"/>
              </w:rPr>
              <w:tab/>
            </w:r>
          </w:p>
        </w:tc>
        <w:tc>
          <w:tcPr>
            <w:tcW w:w="728" w:type="dxa"/>
          </w:tcPr>
          <w:p>
            <w:pPr>
              <w:pStyle w:val="TableParagraph"/>
              <w:spacing w:before="5"/>
              <w:ind w:left="100" w:right="34"/>
              <w:rPr>
                <w:sz w:val="12"/>
              </w:rPr>
            </w:pPr>
            <w:r>
              <w:rPr>
                <w:w w:val="105"/>
                <w:sz w:val="12"/>
              </w:rPr>
              <w:t>2.8</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3</w:t>
            </w:r>
          </w:p>
        </w:tc>
      </w:tr>
      <w:tr>
        <w:trPr>
          <w:trHeight w:val="303" w:hRule="exact"/>
        </w:trPr>
        <w:tc>
          <w:tcPr>
            <w:tcW w:w="8821" w:type="dxa"/>
            <w:gridSpan w:val="7"/>
            <w:tcBorders>
              <w:left w:val="single" w:sz="4" w:space="0" w:color="000000"/>
              <w:right w:val="single" w:sz="8" w:space="0" w:color="000000"/>
            </w:tcBorders>
          </w:tcPr>
          <w:p>
            <w:pPr>
              <w:pStyle w:val="TableParagraph"/>
              <w:spacing w:before="70"/>
              <w:ind w:left="52"/>
              <w:jc w:val="left"/>
              <w:rPr>
                <w:sz w:val="12"/>
              </w:rPr>
            </w:pPr>
            <w:r>
              <w:rPr>
                <w:w w:val="105"/>
                <w:sz w:val="12"/>
              </w:rPr>
              <w:t>Económico</w:t>
            </w:r>
          </w:p>
        </w:tc>
      </w:tr>
      <w:tr>
        <w:trPr>
          <w:trHeight w:val="160" w:hRule="exact"/>
        </w:trPr>
        <w:tc>
          <w:tcPr>
            <w:tcW w:w="652" w:type="dxa"/>
            <w:tcBorders>
              <w:left w:val="single" w:sz="4" w:space="0" w:color="000000"/>
            </w:tcBorders>
          </w:tcPr>
          <w:p>
            <w:pPr/>
          </w:p>
        </w:tc>
        <w:tc>
          <w:tcPr>
            <w:tcW w:w="1892" w:type="dxa"/>
          </w:tcPr>
          <w:p>
            <w:pPr/>
          </w:p>
        </w:tc>
        <w:tc>
          <w:tcPr>
            <w:tcW w:w="2440" w:type="dxa"/>
          </w:tcPr>
          <w:p>
            <w:pPr>
              <w:pStyle w:val="TableParagraph"/>
              <w:spacing w:before="7"/>
              <w:ind w:left="306"/>
              <w:jc w:val="left"/>
              <w:rPr>
                <w:sz w:val="12"/>
              </w:rPr>
            </w:pPr>
            <w:r>
              <w:rPr>
                <w:w w:val="105"/>
                <w:sz w:val="12"/>
              </w:rPr>
              <w:t>Pago de CFE</w:t>
            </w:r>
          </w:p>
        </w:tc>
        <w:tc>
          <w:tcPr>
            <w:tcW w:w="1596" w:type="dxa"/>
          </w:tcPr>
          <w:p>
            <w:pPr>
              <w:pStyle w:val="TableParagraph"/>
              <w:spacing w:before="7"/>
              <w:ind w:left="522"/>
              <w:rPr>
                <w:sz w:val="12"/>
              </w:rPr>
            </w:pPr>
            <w:r>
              <w:rPr>
                <w:w w:val="104"/>
                <w:sz w:val="12"/>
              </w:rPr>
              <w:t>1</w:t>
            </w:r>
          </w:p>
        </w:tc>
        <w:tc>
          <w:tcPr>
            <w:tcW w:w="833" w:type="dxa"/>
          </w:tcPr>
          <w:p>
            <w:pPr/>
          </w:p>
        </w:tc>
        <w:tc>
          <w:tcPr>
            <w:tcW w:w="728" w:type="dxa"/>
          </w:tcPr>
          <w:p>
            <w:pPr>
              <w:pStyle w:val="TableParagraph"/>
              <w:spacing w:before="7"/>
              <w:ind w:left="100" w:right="34"/>
              <w:rPr>
                <w:sz w:val="12"/>
              </w:rPr>
            </w:pPr>
            <w:r>
              <w:rPr>
                <w:w w:val="105"/>
                <w:sz w:val="12"/>
              </w:rPr>
              <w:t>0.7</w:t>
            </w:r>
          </w:p>
        </w:tc>
        <w:tc>
          <w:tcPr>
            <w:tcW w:w="680" w:type="dxa"/>
            <w:tcBorders>
              <w:right w:val="single" w:sz="8" w:space="0" w:color="000000"/>
            </w:tcBorders>
            <w:shd w:val="clear" w:color="auto" w:fill="67ED4D"/>
          </w:tcPr>
          <w:p>
            <w:pPr>
              <w:pStyle w:val="TableParagraph"/>
              <w:spacing w:before="7"/>
              <w:ind w:left="27"/>
              <w:rPr>
                <w:sz w:val="12"/>
              </w:rPr>
            </w:pPr>
            <w:r>
              <w:rPr>
                <w:w w:val="104"/>
                <w:sz w:val="12"/>
              </w:rPr>
              <w:t>1</w:t>
            </w:r>
          </w:p>
        </w:tc>
      </w:tr>
      <w:tr>
        <w:trPr>
          <w:trHeight w:val="157" w:hRule="exact"/>
        </w:trPr>
        <w:tc>
          <w:tcPr>
            <w:tcW w:w="652" w:type="dxa"/>
            <w:tcBorders>
              <w:left w:val="single" w:sz="4" w:space="0" w:color="000000"/>
            </w:tcBorders>
          </w:tcPr>
          <w:p>
            <w:pPr/>
          </w:p>
        </w:tc>
        <w:tc>
          <w:tcPr>
            <w:tcW w:w="1892" w:type="dxa"/>
          </w:tcPr>
          <w:p>
            <w:pPr/>
          </w:p>
        </w:tc>
        <w:tc>
          <w:tcPr>
            <w:tcW w:w="2440" w:type="dxa"/>
          </w:tcPr>
          <w:p>
            <w:pPr>
              <w:pStyle w:val="TableParagraph"/>
              <w:spacing w:before="5"/>
              <w:ind w:left="306"/>
              <w:jc w:val="left"/>
              <w:rPr>
                <w:sz w:val="12"/>
              </w:rPr>
            </w:pPr>
            <w:r>
              <w:rPr>
                <w:w w:val="105"/>
                <w:sz w:val="12"/>
              </w:rPr>
              <w:t>Pago de agua</w:t>
            </w:r>
          </w:p>
        </w:tc>
        <w:tc>
          <w:tcPr>
            <w:tcW w:w="1596" w:type="dxa"/>
          </w:tcPr>
          <w:p>
            <w:pPr>
              <w:pStyle w:val="TableParagraph"/>
              <w:spacing w:before="5"/>
              <w:ind w:left="703" w:right="181"/>
              <w:rPr>
                <w:sz w:val="12"/>
              </w:rPr>
            </w:pPr>
            <w:r>
              <w:rPr>
                <w:w w:val="105"/>
                <w:sz w:val="12"/>
              </w:rPr>
              <w:t>0.2</w:t>
            </w:r>
          </w:p>
        </w:tc>
        <w:tc>
          <w:tcPr>
            <w:tcW w:w="833" w:type="dxa"/>
          </w:tcPr>
          <w:p>
            <w:pPr/>
          </w:p>
        </w:tc>
        <w:tc>
          <w:tcPr>
            <w:tcW w:w="728" w:type="dxa"/>
          </w:tcPr>
          <w:p>
            <w:pPr>
              <w:pStyle w:val="TableParagraph"/>
              <w:spacing w:before="5"/>
              <w:ind w:left="100" w:right="34"/>
              <w:rPr>
                <w:sz w:val="12"/>
              </w:rPr>
            </w:pPr>
            <w:r>
              <w:rPr>
                <w:w w:val="105"/>
                <w:sz w:val="12"/>
              </w:rPr>
              <w:t>0.7</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52" w:type="dxa"/>
            <w:tcBorders>
              <w:left w:val="single" w:sz="4" w:space="0" w:color="000000"/>
            </w:tcBorders>
          </w:tcPr>
          <w:p>
            <w:pPr/>
          </w:p>
        </w:tc>
        <w:tc>
          <w:tcPr>
            <w:tcW w:w="1892" w:type="dxa"/>
          </w:tcPr>
          <w:p>
            <w:pPr>
              <w:pStyle w:val="TableParagraph"/>
              <w:spacing w:before="5"/>
              <w:ind w:left="106"/>
              <w:jc w:val="left"/>
              <w:rPr>
                <w:sz w:val="12"/>
              </w:rPr>
            </w:pPr>
            <w:r>
              <w:rPr>
                <w:w w:val="105"/>
                <w:sz w:val="12"/>
              </w:rPr>
              <w:t>Gastos de habitabilidad</w:t>
            </w:r>
          </w:p>
        </w:tc>
        <w:tc>
          <w:tcPr>
            <w:tcW w:w="2440" w:type="dxa"/>
          </w:tcPr>
          <w:p>
            <w:pPr>
              <w:pStyle w:val="TableParagraph"/>
              <w:spacing w:before="5"/>
              <w:ind w:left="306"/>
              <w:jc w:val="left"/>
              <w:rPr>
                <w:sz w:val="12"/>
              </w:rPr>
            </w:pPr>
            <w:r>
              <w:rPr>
                <w:w w:val="105"/>
                <w:sz w:val="12"/>
              </w:rPr>
              <w:t>Pago predial</w:t>
            </w:r>
          </w:p>
        </w:tc>
        <w:tc>
          <w:tcPr>
            <w:tcW w:w="1596" w:type="dxa"/>
          </w:tcPr>
          <w:p>
            <w:pPr>
              <w:pStyle w:val="TableParagraph"/>
              <w:spacing w:before="5"/>
              <w:ind w:left="522"/>
              <w:rPr>
                <w:sz w:val="12"/>
              </w:rPr>
            </w:pPr>
            <w:r>
              <w:rPr>
                <w:w w:val="104"/>
                <w:sz w:val="12"/>
              </w:rPr>
              <w:t>1</w:t>
            </w:r>
          </w:p>
        </w:tc>
        <w:tc>
          <w:tcPr>
            <w:tcW w:w="833" w:type="dxa"/>
          </w:tcPr>
          <w:p>
            <w:pPr/>
          </w:p>
        </w:tc>
        <w:tc>
          <w:tcPr>
            <w:tcW w:w="728" w:type="dxa"/>
          </w:tcPr>
          <w:p>
            <w:pPr>
              <w:pStyle w:val="TableParagraph"/>
              <w:spacing w:before="5"/>
              <w:ind w:left="100" w:right="34"/>
              <w:rPr>
                <w:sz w:val="12"/>
              </w:rPr>
            </w:pPr>
            <w:r>
              <w:rPr>
                <w:w w:val="105"/>
                <w:sz w:val="12"/>
              </w:rPr>
              <w:t>0.7</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52" w:type="dxa"/>
            <w:tcBorders>
              <w:left w:val="single" w:sz="4" w:space="0" w:color="000000"/>
            </w:tcBorders>
          </w:tcPr>
          <w:p>
            <w:pPr/>
          </w:p>
        </w:tc>
        <w:tc>
          <w:tcPr>
            <w:tcW w:w="1892" w:type="dxa"/>
          </w:tcPr>
          <w:p>
            <w:pPr/>
          </w:p>
        </w:tc>
        <w:tc>
          <w:tcPr>
            <w:tcW w:w="2440" w:type="dxa"/>
          </w:tcPr>
          <w:p>
            <w:pPr>
              <w:pStyle w:val="TableParagraph"/>
              <w:spacing w:before="5"/>
              <w:ind w:left="306"/>
              <w:jc w:val="left"/>
              <w:rPr>
                <w:sz w:val="12"/>
              </w:rPr>
            </w:pPr>
            <w:r>
              <w:rPr>
                <w:w w:val="105"/>
                <w:sz w:val="12"/>
              </w:rPr>
              <w:t>Comunicación</w:t>
            </w:r>
          </w:p>
        </w:tc>
        <w:tc>
          <w:tcPr>
            <w:tcW w:w="1596" w:type="dxa"/>
          </w:tcPr>
          <w:p>
            <w:pPr>
              <w:pStyle w:val="TableParagraph"/>
              <w:spacing w:before="5"/>
              <w:ind w:left="703" w:right="181"/>
              <w:rPr>
                <w:sz w:val="12"/>
              </w:rPr>
            </w:pPr>
            <w:r>
              <w:rPr>
                <w:w w:val="105"/>
                <w:sz w:val="12"/>
              </w:rPr>
              <w:t>0.7</w:t>
            </w:r>
          </w:p>
        </w:tc>
        <w:tc>
          <w:tcPr>
            <w:tcW w:w="833" w:type="dxa"/>
          </w:tcPr>
          <w:p>
            <w:pPr/>
          </w:p>
        </w:tc>
        <w:tc>
          <w:tcPr>
            <w:tcW w:w="728" w:type="dxa"/>
          </w:tcPr>
          <w:p>
            <w:pPr>
              <w:pStyle w:val="TableParagraph"/>
              <w:spacing w:before="5"/>
              <w:ind w:left="100" w:right="34"/>
              <w:rPr>
                <w:sz w:val="12"/>
              </w:rPr>
            </w:pPr>
            <w:r>
              <w:rPr>
                <w:w w:val="105"/>
                <w:sz w:val="12"/>
              </w:rPr>
              <w:t>0.7</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52" w:type="dxa"/>
            <w:tcBorders>
              <w:left w:val="single" w:sz="4" w:space="0" w:color="000000"/>
            </w:tcBorders>
          </w:tcPr>
          <w:p>
            <w:pPr/>
          </w:p>
        </w:tc>
        <w:tc>
          <w:tcPr>
            <w:tcW w:w="1892" w:type="dxa"/>
          </w:tcPr>
          <w:p>
            <w:pPr/>
          </w:p>
        </w:tc>
        <w:tc>
          <w:tcPr>
            <w:tcW w:w="2440" w:type="dxa"/>
          </w:tcPr>
          <w:p>
            <w:pPr>
              <w:pStyle w:val="TableParagraph"/>
              <w:spacing w:before="5"/>
              <w:ind w:left="306"/>
              <w:jc w:val="left"/>
              <w:rPr>
                <w:sz w:val="12"/>
              </w:rPr>
            </w:pPr>
            <w:r>
              <w:rPr>
                <w:w w:val="105"/>
                <w:sz w:val="12"/>
              </w:rPr>
              <w:t>Comunidad</w:t>
            </w:r>
          </w:p>
        </w:tc>
        <w:tc>
          <w:tcPr>
            <w:tcW w:w="1596" w:type="dxa"/>
          </w:tcPr>
          <w:p>
            <w:pPr>
              <w:pStyle w:val="TableParagraph"/>
              <w:spacing w:before="5"/>
              <w:ind w:left="522"/>
              <w:rPr>
                <w:sz w:val="12"/>
              </w:rPr>
            </w:pPr>
            <w:r>
              <w:rPr>
                <w:w w:val="104"/>
                <w:sz w:val="12"/>
              </w:rPr>
              <w:t>0</w:t>
            </w:r>
          </w:p>
        </w:tc>
        <w:tc>
          <w:tcPr>
            <w:tcW w:w="833" w:type="dxa"/>
          </w:tcPr>
          <w:p>
            <w:pPr/>
          </w:p>
        </w:tc>
        <w:tc>
          <w:tcPr>
            <w:tcW w:w="728" w:type="dxa"/>
          </w:tcPr>
          <w:p>
            <w:pPr>
              <w:pStyle w:val="TableParagraph"/>
              <w:spacing w:before="5"/>
              <w:ind w:left="100" w:right="34"/>
              <w:rPr>
                <w:sz w:val="12"/>
              </w:rPr>
            </w:pPr>
            <w:r>
              <w:rPr>
                <w:w w:val="105"/>
                <w:sz w:val="12"/>
              </w:rPr>
              <w:t>0.7</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4" w:hRule="exact"/>
        </w:trPr>
        <w:tc>
          <w:tcPr>
            <w:tcW w:w="652" w:type="dxa"/>
            <w:tcBorders>
              <w:left w:val="single" w:sz="4" w:space="0" w:color="000000"/>
            </w:tcBorders>
          </w:tcPr>
          <w:p>
            <w:pPr/>
          </w:p>
        </w:tc>
        <w:tc>
          <w:tcPr>
            <w:tcW w:w="1892" w:type="dxa"/>
          </w:tcPr>
          <w:p>
            <w:pPr/>
          </w:p>
        </w:tc>
        <w:tc>
          <w:tcPr>
            <w:tcW w:w="2440" w:type="dxa"/>
          </w:tcPr>
          <w:p>
            <w:pPr/>
          </w:p>
        </w:tc>
        <w:tc>
          <w:tcPr>
            <w:tcW w:w="1596" w:type="dxa"/>
          </w:tcPr>
          <w:p>
            <w:pPr>
              <w:pStyle w:val="TableParagraph"/>
              <w:spacing w:before="5"/>
              <w:ind w:left="696" w:right="181"/>
              <w:rPr>
                <w:sz w:val="12"/>
              </w:rPr>
            </w:pPr>
            <w:r>
              <w:rPr>
                <w:w w:val="105"/>
                <w:sz w:val="12"/>
              </w:rPr>
              <w:t>Subtotal</w:t>
            </w:r>
          </w:p>
        </w:tc>
        <w:tc>
          <w:tcPr>
            <w:tcW w:w="833" w:type="dxa"/>
          </w:tcPr>
          <w:p>
            <w:pPr>
              <w:pStyle w:val="TableParagraph"/>
              <w:tabs>
                <w:tab w:pos="463" w:val="left" w:leader="none"/>
                <w:tab w:pos="892" w:val="left" w:leader="none"/>
              </w:tabs>
              <w:spacing w:before="5"/>
              <w:ind w:left="202" w:right="-60"/>
              <w:jc w:val="left"/>
              <w:rPr>
                <w:sz w:val="12"/>
              </w:rPr>
            </w:pPr>
            <w:r>
              <w:rPr>
                <w:w w:val="104"/>
                <w:sz w:val="12"/>
                <w:shd w:fill="F79646" w:color="auto" w:val="clear"/>
              </w:rPr>
              <w:t> </w:t>
            </w:r>
            <w:r>
              <w:rPr>
                <w:sz w:val="12"/>
                <w:shd w:fill="F79646" w:color="auto" w:val="clear"/>
              </w:rPr>
              <w:tab/>
            </w:r>
            <w:r>
              <w:rPr>
                <w:w w:val="105"/>
                <w:sz w:val="12"/>
                <w:shd w:fill="F79646" w:color="auto" w:val="clear"/>
              </w:rPr>
              <w:t>2.9</w:t>
            </w:r>
            <w:r>
              <w:rPr>
                <w:sz w:val="12"/>
                <w:shd w:fill="F79646" w:color="auto" w:val="clear"/>
              </w:rPr>
              <w:tab/>
            </w:r>
          </w:p>
        </w:tc>
        <w:tc>
          <w:tcPr>
            <w:tcW w:w="728" w:type="dxa"/>
          </w:tcPr>
          <w:p>
            <w:pPr>
              <w:pStyle w:val="TableParagraph"/>
              <w:spacing w:before="5"/>
              <w:ind w:left="100" w:right="34"/>
              <w:rPr>
                <w:sz w:val="12"/>
              </w:rPr>
            </w:pPr>
            <w:r>
              <w:rPr>
                <w:w w:val="105"/>
                <w:sz w:val="12"/>
              </w:rPr>
              <w:t>4.2</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5</w:t>
            </w:r>
          </w:p>
        </w:tc>
      </w:tr>
      <w:tr>
        <w:trPr>
          <w:trHeight w:val="146" w:hRule="exact"/>
        </w:trPr>
        <w:tc>
          <w:tcPr>
            <w:tcW w:w="8821" w:type="dxa"/>
            <w:gridSpan w:val="7"/>
            <w:tcBorders>
              <w:left w:val="single" w:sz="4" w:space="0" w:color="000000"/>
              <w:right w:val="single" w:sz="8" w:space="0" w:color="000000"/>
            </w:tcBorders>
          </w:tcPr>
          <w:p>
            <w:pPr/>
          </w:p>
        </w:tc>
      </w:tr>
      <w:tr>
        <w:trPr>
          <w:trHeight w:val="160" w:hRule="exact"/>
        </w:trPr>
        <w:tc>
          <w:tcPr>
            <w:tcW w:w="652" w:type="dxa"/>
            <w:tcBorders>
              <w:left w:val="single" w:sz="4" w:space="0" w:color="000000"/>
            </w:tcBorders>
          </w:tcPr>
          <w:p>
            <w:pPr/>
          </w:p>
        </w:tc>
        <w:tc>
          <w:tcPr>
            <w:tcW w:w="1892" w:type="dxa"/>
          </w:tcPr>
          <w:p>
            <w:pPr>
              <w:pStyle w:val="TableParagraph"/>
              <w:spacing w:before="7"/>
              <w:ind w:left="106"/>
              <w:jc w:val="left"/>
              <w:rPr>
                <w:sz w:val="12"/>
              </w:rPr>
            </w:pPr>
            <w:r>
              <w:rPr>
                <w:w w:val="105"/>
                <w:sz w:val="12"/>
              </w:rPr>
              <w:t>Índice para una vida mejor</w:t>
            </w:r>
          </w:p>
        </w:tc>
        <w:tc>
          <w:tcPr>
            <w:tcW w:w="2440" w:type="dxa"/>
          </w:tcPr>
          <w:p>
            <w:pPr>
              <w:pStyle w:val="TableParagraph"/>
              <w:spacing w:before="7"/>
              <w:ind w:left="306"/>
              <w:jc w:val="left"/>
              <w:rPr>
                <w:sz w:val="12"/>
              </w:rPr>
            </w:pPr>
            <w:r>
              <w:rPr>
                <w:w w:val="105"/>
                <w:sz w:val="12"/>
              </w:rPr>
              <w:t>Gasto en vivienda</w:t>
            </w:r>
          </w:p>
        </w:tc>
        <w:tc>
          <w:tcPr>
            <w:tcW w:w="1596" w:type="dxa"/>
          </w:tcPr>
          <w:p>
            <w:pPr>
              <w:pStyle w:val="TableParagraph"/>
              <w:spacing w:before="7"/>
              <w:ind w:left="703" w:right="181"/>
              <w:rPr>
                <w:sz w:val="12"/>
              </w:rPr>
            </w:pPr>
            <w:r>
              <w:rPr>
                <w:w w:val="105"/>
                <w:sz w:val="12"/>
              </w:rPr>
              <w:t>0.6</w:t>
            </w:r>
          </w:p>
        </w:tc>
        <w:tc>
          <w:tcPr>
            <w:tcW w:w="833" w:type="dxa"/>
          </w:tcPr>
          <w:p>
            <w:pPr/>
          </w:p>
        </w:tc>
        <w:tc>
          <w:tcPr>
            <w:tcW w:w="728" w:type="dxa"/>
          </w:tcPr>
          <w:p>
            <w:pPr>
              <w:pStyle w:val="TableParagraph"/>
              <w:spacing w:before="7"/>
              <w:ind w:left="100" w:right="34"/>
              <w:rPr>
                <w:sz w:val="12"/>
              </w:rPr>
            </w:pPr>
            <w:r>
              <w:rPr>
                <w:w w:val="105"/>
                <w:sz w:val="12"/>
              </w:rPr>
              <w:t>0.8</w:t>
            </w:r>
          </w:p>
        </w:tc>
        <w:tc>
          <w:tcPr>
            <w:tcW w:w="680" w:type="dxa"/>
            <w:tcBorders>
              <w:right w:val="single" w:sz="8" w:space="0" w:color="000000"/>
            </w:tcBorders>
            <w:shd w:val="clear" w:color="auto" w:fill="67ED4D"/>
          </w:tcPr>
          <w:p>
            <w:pPr>
              <w:pStyle w:val="TableParagraph"/>
              <w:spacing w:before="7"/>
              <w:ind w:left="27"/>
              <w:rPr>
                <w:sz w:val="12"/>
              </w:rPr>
            </w:pPr>
            <w:r>
              <w:rPr>
                <w:w w:val="104"/>
                <w:sz w:val="12"/>
              </w:rPr>
              <w:t>1</w:t>
            </w:r>
          </w:p>
        </w:tc>
      </w:tr>
      <w:tr>
        <w:trPr>
          <w:trHeight w:val="164" w:hRule="exact"/>
        </w:trPr>
        <w:tc>
          <w:tcPr>
            <w:tcW w:w="652" w:type="dxa"/>
            <w:tcBorders>
              <w:left w:val="single" w:sz="4" w:space="0" w:color="000000"/>
            </w:tcBorders>
          </w:tcPr>
          <w:p>
            <w:pPr/>
          </w:p>
        </w:tc>
        <w:tc>
          <w:tcPr>
            <w:tcW w:w="1892" w:type="dxa"/>
          </w:tcPr>
          <w:p>
            <w:pPr/>
          </w:p>
        </w:tc>
        <w:tc>
          <w:tcPr>
            <w:tcW w:w="2440" w:type="dxa"/>
          </w:tcPr>
          <w:p>
            <w:pPr/>
          </w:p>
        </w:tc>
        <w:tc>
          <w:tcPr>
            <w:tcW w:w="1596" w:type="dxa"/>
          </w:tcPr>
          <w:p>
            <w:pPr>
              <w:pStyle w:val="TableParagraph"/>
              <w:spacing w:before="5"/>
              <w:ind w:left="696" w:right="181"/>
              <w:rPr>
                <w:sz w:val="12"/>
              </w:rPr>
            </w:pPr>
            <w:r>
              <w:rPr>
                <w:w w:val="105"/>
                <w:sz w:val="12"/>
              </w:rPr>
              <w:t>Subtotal</w:t>
            </w:r>
          </w:p>
        </w:tc>
        <w:tc>
          <w:tcPr>
            <w:tcW w:w="833" w:type="dxa"/>
          </w:tcPr>
          <w:p>
            <w:pPr>
              <w:pStyle w:val="TableParagraph"/>
              <w:tabs>
                <w:tab w:pos="463" w:val="left" w:leader="none"/>
                <w:tab w:pos="892" w:val="left" w:leader="none"/>
              </w:tabs>
              <w:spacing w:before="5"/>
              <w:ind w:left="202" w:right="-60"/>
              <w:jc w:val="left"/>
              <w:rPr>
                <w:sz w:val="12"/>
              </w:rPr>
            </w:pPr>
            <w:r>
              <w:rPr>
                <w:w w:val="104"/>
                <w:sz w:val="12"/>
                <w:shd w:fill="F79646" w:color="auto" w:val="clear"/>
              </w:rPr>
              <w:t> </w:t>
            </w:r>
            <w:r>
              <w:rPr>
                <w:sz w:val="12"/>
                <w:shd w:fill="F79646" w:color="auto" w:val="clear"/>
              </w:rPr>
              <w:tab/>
            </w:r>
            <w:r>
              <w:rPr>
                <w:w w:val="105"/>
                <w:sz w:val="12"/>
                <w:shd w:fill="F79646" w:color="auto" w:val="clear"/>
              </w:rPr>
              <w:t>0.6</w:t>
            </w:r>
            <w:r>
              <w:rPr>
                <w:sz w:val="12"/>
                <w:shd w:fill="F79646" w:color="auto" w:val="clear"/>
              </w:rPr>
              <w:tab/>
            </w:r>
          </w:p>
        </w:tc>
        <w:tc>
          <w:tcPr>
            <w:tcW w:w="728" w:type="dxa"/>
          </w:tcPr>
          <w:p>
            <w:pPr>
              <w:pStyle w:val="TableParagraph"/>
              <w:spacing w:before="5"/>
              <w:ind w:left="100" w:right="34"/>
              <w:rPr>
                <w:sz w:val="12"/>
              </w:rPr>
            </w:pPr>
            <w:r>
              <w:rPr>
                <w:w w:val="105"/>
                <w:sz w:val="12"/>
              </w:rPr>
              <w:t>0.8</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46" w:hRule="exact"/>
        </w:trPr>
        <w:tc>
          <w:tcPr>
            <w:tcW w:w="8821" w:type="dxa"/>
            <w:gridSpan w:val="7"/>
            <w:tcBorders>
              <w:left w:val="single" w:sz="4" w:space="0" w:color="000000"/>
              <w:right w:val="single" w:sz="8" w:space="0" w:color="000000"/>
            </w:tcBorders>
          </w:tcPr>
          <w:p>
            <w:pPr/>
          </w:p>
        </w:tc>
      </w:tr>
      <w:tr>
        <w:trPr>
          <w:trHeight w:val="167" w:hRule="exact"/>
        </w:trPr>
        <w:tc>
          <w:tcPr>
            <w:tcW w:w="652" w:type="dxa"/>
            <w:tcBorders>
              <w:left w:val="single" w:sz="4" w:space="0" w:color="000000"/>
            </w:tcBorders>
          </w:tcPr>
          <w:p>
            <w:pPr/>
          </w:p>
        </w:tc>
        <w:tc>
          <w:tcPr>
            <w:tcW w:w="1892" w:type="dxa"/>
          </w:tcPr>
          <w:p>
            <w:pPr/>
          </w:p>
        </w:tc>
        <w:tc>
          <w:tcPr>
            <w:tcW w:w="2440" w:type="dxa"/>
          </w:tcPr>
          <w:p>
            <w:pPr/>
          </w:p>
        </w:tc>
        <w:tc>
          <w:tcPr>
            <w:tcW w:w="1596" w:type="dxa"/>
          </w:tcPr>
          <w:p>
            <w:pPr>
              <w:pStyle w:val="TableParagraph"/>
              <w:spacing w:before="7"/>
              <w:ind w:left="710" w:right="174"/>
              <w:rPr>
                <w:sz w:val="12"/>
              </w:rPr>
            </w:pPr>
            <w:r>
              <w:rPr>
                <w:w w:val="105"/>
                <w:sz w:val="12"/>
              </w:rPr>
              <w:t>Total IE</w:t>
            </w:r>
          </w:p>
        </w:tc>
        <w:tc>
          <w:tcPr>
            <w:tcW w:w="833" w:type="dxa"/>
          </w:tcPr>
          <w:p>
            <w:pPr>
              <w:pStyle w:val="TableParagraph"/>
              <w:tabs>
                <w:tab w:pos="515" w:val="left" w:leader="none"/>
                <w:tab w:pos="892" w:val="left" w:leader="none"/>
              </w:tabs>
              <w:spacing w:before="7"/>
              <w:ind w:left="202" w:right="-60"/>
              <w:jc w:val="left"/>
              <w:rPr>
                <w:sz w:val="12"/>
              </w:rPr>
            </w:pPr>
            <w:r>
              <w:rPr>
                <w:w w:val="104"/>
                <w:sz w:val="12"/>
                <w:shd w:fill="F79646" w:color="auto" w:val="clear"/>
              </w:rPr>
              <w:t> </w:t>
            </w:r>
            <w:r>
              <w:rPr>
                <w:sz w:val="12"/>
                <w:shd w:fill="F79646" w:color="auto" w:val="clear"/>
              </w:rPr>
              <w:tab/>
            </w:r>
            <w:r>
              <w:rPr>
                <w:w w:val="105"/>
                <w:sz w:val="12"/>
                <w:shd w:fill="F79646" w:color="auto" w:val="clear"/>
              </w:rPr>
              <w:t>6</w:t>
            </w:r>
            <w:r>
              <w:rPr>
                <w:sz w:val="12"/>
                <w:shd w:fill="F79646" w:color="auto" w:val="clear"/>
              </w:rPr>
              <w:tab/>
            </w:r>
          </w:p>
        </w:tc>
        <w:tc>
          <w:tcPr>
            <w:tcW w:w="728" w:type="dxa"/>
          </w:tcPr>
          <w:p>
            <w:pPr>
              <w:pStyle w:val="TableParagraph"/>
              <w:spacing w:before="7"/>
              <w:ind w:left="66"/>
              <w:rPr>
                <w:sz w:val="12"/>
              </w:rPr>
            </w:pPr>
            <w:r>
              <w:rPr>
                <w:w w:val="104"/>
                <w:sz w:val="12"/>
              </w:rPr>
              <w:t>9</w:t>
            </w:r>
          </w:p>
        </w:tc>
        <w:tc>
          <w:tcPr>
            <w:tcW w:w="680" w:type="dxa"/>
            <w:tcBorders>
              <w:right w:val="single" w:sz="8" w:space="0" w:color="000000"/>
            </w:tcBorders>
            <w:shd w:val="clear" w:color="auto" w:fill="67ED4D"/>
          </w:tcPr>
          <w:p>
            <w:pPr>
              <w:pStyle w:val="TableParagraph"/>
              <w:spacing w:before="7"/>
              <w:ind w:left="100" w:right="84"/>
              <w:rPr>
                <w:sz w:val="12"/>
              </w:rPr>
            </w:pPr>
            <w:r>
              <w:rPr>
                <w:w w:val="105"/>
                <w:sz w:val="12"/>
              </w:rPr>
              <w:t>11</w:t>
            </w:r>
          </w:p>
        </w:tc>
      </w:tr>
      <w:tr>
        <w:trPr>
          <w:trHeight w:val="157" w:hRule="exact"/>
        </w:trPr>
        <w:tc>
          <w:tcPr>
            <w:tcW w:w="8821" w:type="dxa"/>
            <w:gridSpan w:val="7"/>
            <w:tcBorders>
              <w:left w:val="single" w:sz="4" w:space="0" w:color="000000"/>
              <w:bottom w:val="single" w:sz="8" w:space="0" w:color="000000"/>
              <w:right w:val="single" w:sz="8" w:space="0" w:color="000000"/>
            </w:tcBorders>
          </w:tcPr>
          <w:p>
            <w:pPr/>
          </w:p>
        </w:tc>
      </w:tr>
    </w:tbl>
    <w:p>
      <w:pPr>
        <w:spacing w:before="130"/>
        <w:ind w:left="268" w:right="0" w:firstLine="0"/>
        <w:jc w:val="left"/>
        <w:rPr>
          <w:sz w:val="21"/>
        </w:rPr>
      </w:pPr>
      <w:r>
        <w:rPr/>
        <w:pict>
          <v:group style="position:absolute;margin-left:364.428497pt;margin-top:-95.47123pt;width:74.8pt;height:40.3pt;mso-position-horizontal-relative:page;mso-position-vertical-relative:paragraph;z-index:-1134928" coordorigin="7289,-1909" coordsize="1496,806">
            <v:line style="position:absolute" from="7294,-1904" to="7294,-1737" stroked="true" strokeweight=".523pt" strokecolor="#baf9f5"/>
            <v:rect style="position:absolute;left:7299;top:-1904;width:1485;height:167" filled="true" fillcolor="#baf9f5" stroked="false">
              <v:fill type="solid"/>
            </v:rect>
            <v:line style="position:absolute" from="7294,-1737" to="7294,-1580" stroked="true" strokeweight=".523pt" strokecolor="#baf9f5"/>
            <v:rect style="position:absolute;left:7299;top:-1737;width:1485;height:157" filled="true" fillcolor="#baf9f5" stroked="false">
              <v:fill type="solid"/>
            </v:rect>
            <v:line style="position:absolute" from="7294,-1580" to="7294,-1423" stroked="true" strokeweight=".523pt" strokecolor="#baf9f5"/>
            <v:rect style="position:absolute;left:7299;top:-1580;width:1485;height:157" filled="true" fillcolor="#baf9f5" stroked="false">
              <v:fill type="solid"/>
            </v:rect>
            <v:line style="position:absolute" from="7294,-1423" to="7294,-1266" stroked="true" strokeweight=".523pt" strokecolor="#baf9f5"/>
            <v:rect style="position:absolute;left:7299;top:-1423;width:1485;height:157" filled="true" fillcolor="#baf9f5" stroked="false">
              <v:fill type="solid"/>
            </v:rect>
            <v:line style="position:absolute" from="7294,-1266" to="7294,-1109" stroked="true" strokeweight=".523pt" strokecolor="#baf9f5"/>
            <v:rect style="position:absolute;left:7299;top:-1266;width:1485;height:157" filled="true" fillcolor="#baf9f5" stroked="false">
              <v:fill type="solid"/>
            </v:rect>
            <w10:wrap type="none"/>
          </v:group>
        </w:pict>
      </w:r>
      <w:r>
        <w:rPr/>
        <w:pict>
          <v:shape style="position:absolute;margin-left:472.683014pt;margin-top:-95.196152pt;width:34.550pt;height:47.6pt;mso-position-horizontal-relative:page;mso-position-vertical-relative:paragraph;z-index:-1134904" coordorigin="9454,-1904" coordsize="691,952" path="m10144,-1423l9454,-1423,9454,-1266,9454,-1119,9454,-1109,9454,-952,10144,-952,10144,-1109,10144,-1119,10144,-1266,10144,-1423m10144,-1737l9454,-1737,9454,-1580,9454,-1423,10144,-1423,10144,-1580,10144,-1737m10144,-1904l9454,-1904,9454,-1737,10144,-1737,10144,-1904e" filled="true" fillcolor="#ffff00" stroked="false">
            <v:path arrowok="t"/>
            <v:fill type="solid"/>
            <w10:wrap type="none"/>
          </v:shape>
        </w:pict>
      </w:r>
      <w:r>
        <w:rPr/>
        <w:pict>
          <v:group style="position:absolute;margin-left:364.428497pt;margin-top:-40.552658pt;width:74.8pt;height:8.950pt;mso-position-horizontal-relative:page;mso-position-vertical-relative:paragraph;z-index:-1134880" coordorigin="7289,-811" coordsize="1496,179">
            <v:line style="position:absolute" from="7294,-806" to="7294,-638" stroked="true" strokeweight=".523pt" strokecolor="#baf9f5"/>
            <v:rect style="position:absolute;left:7299;top:-806;width:1485;height:167" filled="true" fillcolor="#baf9f5" stroked="false">
              <v:fill type="solid"/>
            </v:rect>
            <w10:wrap type="none"/>
          </v:group>
        </w:pict>
      </w:r>
      <w:r>
        <w:rPr/>
        <w:pict>
          <v:shape style="position:absolute;margin-left:472.683014pt;margin-top:-40.277149pt;width:34.550pt;height:16.25pt;mso-position-horizontal-relative:page;mso-position-vertical-relative:paragraph;z-index:-1134856" coordorigin="9454,-806" coordsize="691,325" path="m10144,-806l9454,-806,9454,-649,9454,-638,9454,-481,10144,-481,10144,-638,10144,-649,10144,-806e" filled="true" fillcolor="#ffff00" stroked="false">
            <v:path arrowok="t"/>
            <v:fill type="solid"/>
            <w10:wrap type="none"/>
          </v:shape>
        </w:pict>
      </w:r>
      <w:r>
        <w:rPr/>
        <w:pict>
          <v:rect style="position:absolute;margin-left:472.683014pt;margin-top:-16.741686pt;width:34.5117pt;height:8.36856pt;mso-position-horizontal-relative:page;mso-position-vertical-relative:paragraph;z-index:-1134832" filled="true" fillcolor="#ffff00" stroked="false">
            <v:fill type="solid"/>
            <w10:wrap type="none"/>
          </v:rect>
        </w:pict>
      </w:r>
      <w:r>
        <w:rPr>
          <w:w w:val="105"/>
          <w:sz w:val="21"/>
        </w:rPr>
        <w:t>Fuente: Elaboración propia con base al estudio realizado.</w:t>
      </w:r>
    </w:p>
    <w:p>
      <w:pPr>
        <w:pStyle w:val="BodyText"/>
        <w:rPr>
          <w:sz w:val="22"/>
        </w:rPr>
      </w:pPr>
    </w:p>
    <w:p>
      <w:pPr>
        <w:pStyle w:val="BodyText"/>
        <w:rPr>
          <w:sz w:val="22"/>
        </w:rPr>
      </w:pPr>
    </w:p>
    <w:p>
      <w:pPr>
        <w:pStyle w:val="BodyText"/>
        <w:spacing w:before="131" w:after="17"/>
        <w:ind w:left="268"/>
      </w:pPr>
      <w:r>
        <w:rPr/>
        <w:pict>
          <v:group style="position:absolute;margin-left:364.448486pt;margin-top:58.07753pt;width:74.8pt;height:24.65pt;mso-position-horizontal-relative:page;mso-position-vertical-relative:paragraph;z-index:-1134808" coordorigin="7289,1162" coordsize="1496,493">
            <v:shape style="position:absolute;left:7294;top:1167;width:2;height:325" coordorigin="7294,1167" coordsize="0,325" path="m7294,1167l7294,1335m7294,1324l7294,1492e" filled="false" stroked="true" strokeweight=".523pt" strokecolor="#baf9f5">
              <v:path arrowok="t"/>
            </v:shape>
            <v:shape style="position:absolute;left:7300;top:1167;width:1486;height:325" coordorigin="7300,1167" coordsize="1486,325" path="m8785,1167l7300,1167,7300,1324,7300,1335,7300,1492,8785,1492,8785,1335,8785,1324,8785,1167e" filled="true" fillcolor="#baf9f5" stroked="false">
              <v:path arrowok="t"/>
              <v:fill type="solid"/>
            </v:shape>
            <v:line style="position:absolute" from="7294,1492" to="7294,1649" stroked="true" strokeweight=".523pt" strokecolor="#baf9f5"/>
            <v:rect style="position:absolute;left:7300;top:1492;width:1485;height:157" filled="true" fillcolor="#baf9f5" stroked="false">
              <v:fill type="solid"/>
            </v:rect>
            <w10:wrap type="none"/>
          </v:group>
        </w:pict>
      </w:r>
      <w:r>
        <w:rPr/>
        <w:pict>
          <v:shape style="position:absolute;margin-left:472.711029pt;margin-top:58.352852pt;width:34.550pt;height:31.95pt;mso-position-horizontal-relative:page;mso-position-vertical-relative:paragraph;z-index:-1134784" coordorigin="9454,1167" coordsize="691,639" path="m10145,1492l9454,1492,9454,1638,9454,1649,9454,1806,10145,1806,10145,1649,10145,1638,10145,1492m10145,1167l9454,1167,9454,1324,9454,1335,9454,1492,10145,1492,10145,1335,10145,1324,10145,1167e" filled="true" fillcolor="#ffff00" stroked="false">
            <v:path arrowok="t"/>
            <v:fill type="solid"/>
            <w10:wrap type="none"/>
          </v:shape>
        </w:pict>
      </w:r>
      <w:r>
        <w:rPr/>
        <w:pict>
          <v:group style="position:absolute;margin-left:364.448486pt;margin-top:97.337669pt;width:74.8pt;height:16.8pt;mso-position-horizontal-relative:page;mso-position-vertical-relative:paragraph;z-index:-1134760" coordorigin="7289,1947" coordsize="1496,336">
            <v:line style="position:absolute" from="7294,1952" to="7294,2120" stroked="true" strokeweight=".523pt" strokecolor="#baf9f5"/>
            <v:rect style="position:absolute;left:7300;top:1952;width:1485;height:168" filled="true" fillcolor="#baf9f5" stroked="false">
              <v:fill type="solid"/>
            </v:rect>
            <v:line style="position:absolute" from="7294,2120" to="7294,2277" stroked="true" strokeweight=".523pt" strokecolor="#baf9f5"/>
            <v:rect style="position:absolute;left:7300;top:2120;width:1485;height:157" filled="true" fillcolor="#baf9f5" stroked="false">
              <v:fill type="solid"/>
            </v:rect>
            <w10:wrap type="none"/>
          </v:group>
        </w:pict>
      </w:r>
      <w:r>
        <w:rPr/>
        <w:pict>
          <v:shape style="position:absolute;margin-left:472.711029pt;margin-top:97.612854pt;width:34.550pt;height:24.1pt;mso-position-horizontal-relative:page;mso-position-vertical-relative:paragraph;z-index:-1134736" coordorigin="9454,1952" coordsize="691,482" path="m10145,1952l9454,1952,9454,2120,9454,2266,9454,2277,9454,2434,10145,2434,10145,2277,10145,2266,10145,2120,10145,1952e" filled="true" fillcolor="#ffff00" stroked="false">
            <v:path arrowok="t"/>
            <v:fill type="solid"/>
            <w10:wrap type="none"/>
          </v:shape>
        </w:pict>
      </w:r>
      <w:r>
        <w:rPr/>
        <w:pict>
          <v:group style="position:absolute;margin-left:364.448486pt;margin-top:128.744675pt;width:74.8pt;height:16.8pt;mso-position-horizontal-relative:page;mso-position-vertical-relative:paragraph;z-index:-1134712" coordorigin="7289,2575" coordsize="1496,336">
            <v:line style="position:absolute" from="7294,2580" to="7294,2748" stroked="true" strokeweight=".523pt" strokecolor="#baf9f5"/>
            <v:rect style="position:absolute;left:7300;top:2580;width:1485;height:168" filled="true" fillcolor="#baf9f5" stroked="false">
              <v:fill type="solid"/>
            </v:rect>
            <v:line style="position:absolute" from="7294,2748" to="7294,2905" stroked="true" strokeweight=".523pt" strokecolor="#baf9f5"/>
            <v:rect style="position:absolute;left:7300;top:2748;width:1485;height:157" filled="true" fillcolor="#baf9f5" stroked="false">
              <v:fill type="solid"/>
            </v:rect>
            <w10:wrap type="none"/>
          </v:group>
        </w:pict>
      </w:r>
      <w:r>
        <w:rPr/>
        <w:pict>
          <v:shape style="position:absolute;margin-left:472.711029pt;margin-top:129.019852pt;width:34.550pt;height:24.1pt;mso-position-horizontal-relative:page;mso-position-vertical-relative:paragraph;z-index:-1134688" coordorigin="9454,2580" coordsize="691,482" path="m10145,2748l9454,2748,9454,2894,9454,2905,9454,3062,10145,3062,10145,2905,10145,2894,10145,2748m10145,2580l9454,2580,9454,2748,10145,2748,10145,2580e" filled="true" fillcolor="#ffff00" stroked="false">
            <v:path arrowok="t"/>
            <v:fill type="solid"/>
            <w10:wrap type="none"/>
          </v:shape>
        </w:pict>
      </w:r>
      <w:r>
        <w:rPr/>
        <w:pict>
          <v:group style="position:absolute;margin-left:364.448486pt;margin-top:160.152664pt;width:74.8pt;height:16.8pt;mso-position-horizontal-relative:page;mso-position-vertical-relative:paragraph;z-index:-1134664" coordorigin="7289,3203" coordsize="1496,336">
            <v:line style="position:absolute" from="7294,3209" to="7294,3376" stroked="true" strokeweight=".523pt" strokecolor="#baf9f5"/>
            <v:rect style="position:absolute;left:7300;top:3209;width:1485;height:168" filled="true" fillcolor="#baf9f5" stroked="false">
              <v:fill type="solid"/>
            </v:rect>
            <v:line style="position:absolute" from="7294,3376" to="7294,3533" stroked="true" strokeweight=".523pt" strokecolor="#baf9f5"/>
            <v:rect style="position:absolute;left:7300;top:3376;width:1485;height:157" filled="true" fillcolor="#baf9f5" stroked="false">
              <v:fill type="solid"/>
            </v:rect>
            <w10:wrap type="none"/>
          </v:group>
        </w:pict>
      </w:r>
      <w:r>
        <w:rPr/>
        <w:pict>
          <v:shape style="position:absolute;margin-left:472.711029pt;margin-top:160.427856pt;width:34.550pt;height:24.1pt;mso-position-horizontal-relative:page;mso-position-vertical-relative:paragraph;z-index:-1134640" coordorigin="9454,3209" coordsize="691,482" path="m10145,3209l9454,3209,9454,3376,9454,3523,9454,3533,9454,3690,10145,3690,10145,3533,10145,3523,10145,3376,10145,3209e" filled="true" fillcolor="#ffff00" stroked="false">
            <v:path arrowok="t"/>
            <v:fill type="solid"/>
            <w10:wrap type="none"/>
          </v:shape>
        </w:pict>
      </w:r>
      <w:r>
        <w:rPr/>
        <w:t>Tabla 56. IST Valle del Nevado</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52"/>
        <w:gridCol w:w="1920"/>
        <w:gridCol w:w="2556"/>
        <w:gridCol w:w="1453"/>
        <w:gridCol w:w="797"/>
        <w:gridCol w:w="765"/>
        <w:gridCol w:w="680"/>
      </w:tblGrid>
      <w:tr>
        <w:trPr>
          <w:trHeight w:val="434" w:hRule="exact"/>
        </w:trPr>
        <w:tc>
          <w:tcPr>
            <w:tcW w:w="8822" w:type="dxa"/>
            <w:gridSpan w:val="7"/>
            <w:tcBorders>
              <w:bottom w:val="nil"/>
              <w:right w:val="single" w:sz="4" w:space="0" w:color="EEECE1"/>
            </w:tcBorders>
            <w:shd w:val="clear" w:color="auto" w:fill="000000"/>
          </w:tcPr>
          <w:p>
            <w:pPr>
              <w:pStyle w:val="TableParagraph"/>
              <w:spacing w:before="60"/>
              <w:ind w:left="3322" w:right="3315"/>
              <w:rPr>
                <w:b/>
                <w:sz w:val="12"/>
              </w:rPr>
            </w:pPr>
            <w:r>
              <w:rPr>
                <w:b/>
                <w:color w:val="FFFFFF"/>
                <w:w w:val="105"/>
                <w:sz w:val="12"/>
              </w:rPr>
              <w:t>Valle del Nevado</w:t>
            </w:r>
          </w:p>
          <w:p>
            <w:pPr>
              <w:pStyle w:val="TableParagraph"/>
              <w:spacing w:before="19"/>
              <w:ind w:left="3329" w:right="3315"/>
              <w:rPr>
                <w:b/>
                <w:sz w:val="12"/>
              </w:rPr>
            </w:pPr>
            <w:r>
              <w:rPr>
                <w:b/>
                <w:color w:val="FFFFFF"/>
                <w:w w:val="105"/>
                <w:sz w:val="12"/>
              </w:rPr>
              <w:t>Índice de sustentabilidad territorial</w:t>
            </w:r>
          </w:p>
        </w:tc>
      </w:tr>
      <w:tr>
        <w:trPr>
          <w:trHeight w:val="162" w:hRule="exact"/>
        </w:trPr>
        <w:tc>
          <w:tcPr>
            <w:tcW w:w="652" w:type="dxa"/>
            <w:tcBorders>
              <w:top w:val="single" w:sz="4" w:space="0" w:color="FFFFFF"/>
              <w:left w:val="single" w:sz="4" w:space="0" w:color="000000"/>
            </w:tcBorders>
            <w:shd w:val="clear" w:color="auto" w:fill="808080"/>
          </w:tcPr>
          <w:p>
            <w:pPr>
              <w:pStyle w:val="TableParagraph"/>
              <w:spacing w:line="135" w:lineRule="exact"/>
              <w:ind w:left="177"/>
              <w:jc w:val="left"/>
              <w:rPr>
                <w:b/>
                <w:sz w:val="12"/>
              </w:rPr>
            </w:pPr>
            <w:r>
              <w:rPr>
                <w:b/>
                <w:color w:val="FFFFFF"/>
                <w:w w:val="105"/>
                <w:sz w:val="12"/>
              </w:rPr>
              <w:t>Índice</w:t>
            </w:r>
          </w:p>
        </w:tc>
        <w:tc>
          <w:tcPr>
            <w:tcW w:w="1920" w:type="dxa"/>
            <w:tcBorders>
              <w:top w:val="single" w:sz="4" w:space="0" w:color="FFFFFF"/>
            </w:tcBorders>
            <w:shd w:val="clear" w:color="auto" w:fill="808080"/>
          </w:tcPr>
          <w:p>
            <w:pPr>
              <w:pStyle w:val="TableParagraph"/>
              <w:spacing w:line="135" w:lineRule="exact"/>
              <w:ind w:left="106"/>
              <w:jc w:val="left"/>
              <w:rPr>
                <w:b/>
                <w:sz w:val="12"/>
              </w:rPr>
            </w:pPr>
            <w:r>
              <w:rPr>
                <w:b/>
                <w:color w:val="FFFFFF"/>
                <w:w w:val="105"/>
                <w:sz w:val="12"/>
              </w:rPr>
              <w:t>Subíndice</w:t>
            </w:r>
          </w:p>
        </w:tc>
        <w:tc>
          <w:tcPr>
            <w:tcW w:w="2556" w:type="dxa"/>
            <w:tcBorders>
              <w:top w:val="single" w:sz="4" w:space="0" w:color="FFFFFF"/>
            </w:tcBorders>
            <w:shd w:val="clear" w:color="auto" w:fill="808080"/>
          </w:tcPr>
          <w:p>
            <w:pPr>
              <w:pStyle w:val="TableParagraph"/>
              <w:spacing w:line="135" w:lineRule="exact"/>
              <w:ind w:left="278" w:right="518"/>
              <w:jc w:val="left"/>
              <w:rPr>
                <w:b/>
                <w:sz w:val="12"/>
              </w:rPr>
            </w:pPr>
            <w:r>
              <w:rPr>
                <w:b/>
                <w:color w:val="FFFFFF"/>
                <w:w w:val="105"/>
                <w:sz w:val="12"/>
              </w:rPr>
              <w:t>Indicador</w:t>
            </w:r>
          </w:p>
        </w:tc>
        <w:tc>
          <w:tcPr>
            <w:tcW w:w="1453" w:type="dxa"/>
            <w:tcBorders>
              <w:top w:val="single" w:sz="4" w:space="0" w:color="FFFFFF"/>
            </w:tcBorders>
            <w:shd w:val="clear" w:color="auto" w:fill="808080"/>
          </w:tcPr>
          <w:p>
            <w:pPr/>
          </w:p>
        </w:tc>
        <w:tc>
          <w:tcPr>
            <w:tcW w:w="797" w:type="dxa"/>
            <w:tcBorders>
              <w:top w:val="single" w:sz="4" w:space="0" w:color="FFFFFF"/>
            </w:tcBorders>
            <w:shd w:val="clear" w:color="auto" w:fill="808080"/>
          </w:tcPr>
          <w:p>
            <w:pPr>
              <w:pStyle w:val="TableParagraph"/>
              <w:spacing w:line="135" w:lineRule="exact"/>
              <w:ind w:left="264"/>
              <w:jc w:val="left"/>
              <w:rPr>
                <w:b/>
                <w:sz w:val="12"/>
              </w:rPr>
            </w:pPr>
            <w:r>
              <w:rPr>
                <w:b/>
                <w:color w:val="FFFFFF"/>
                <w:w w:val="105"/>
                <w:sz w:val="12"/>
              </w:rPr>
              <w:t>Valores</w:t>
            </w:r>
          </w:p>
        </w:tc>
        <w:tc>
          <w:tcPr>
            <w:tcW w:w="765" w:type="dxa"/>
            <w:tcBorders>
              <w:top w:val="single" w:sz="4" w:space="0" w:color="FFFFFF"/>
            </w:tcBorders>
            <w:shd w:val="clear" w:color="auto" w:fill="808080"/>
          </w:tcPr>
          <w:p>
            <w:pPr/>
          </w:p>
        </w:tc>
        <w:tc>
          <w:tcPr>
            <w:tcW w:w="680" w:type="dxa"/>
            <w:tcBorders>
              <w:top w:val="single" w:sz="4" w:space="0" w:color="FFFFFF"/>
              <w:right w:val="single" w:sz="8" w:space="0" w:color="000000"/>
            </w:tcBorders>
            <w:shd w:val="clear" w:color="auto" w:fill="808080"/>
          </w:tcPr>
          <w:p>
            <w:pPr/>
          </w:p>
        </w:tc>
      </w:tr>
      <w:tr>
        <w:trPr>
          <w:trHeight w:val="147" w:hRule="exact"/>
        </w:trPr>
        <w:tc>
          <w:tcPr>
            <w:tcW w:w="8822" w:type="dxa"/>
            <w:gridSpan w:val="7"/>
            <w:tcBorders>
              <w:left w:val="single" w:sz="4" w:space="0" w:color="000000"/>
              <w:right w:val="single" w:sz="8" w:space="0" w:color="000000"/>
            </w:tcBorders>
          </w:tcPr>
          <w:p>
            <w:pPr/>
          </w:p>
        </w:tc>
      </w:tr>
      <w:tr>
        <w:trPr>
          <w:trHeight w:val="160" w:hRule="exact"/>
        </w:trPr>
        <w:tc>
          <w:tcPr>
            <w:tcW w:w="652" w:type="dxa"/>
            <w:vMerge w:val="restart"/>
            <w:tcBorders>
              <w:left w:val="single" w:sz="4" w:space="0" w:color="000000"/>
            </w:tcBorders>
          </w:tcPr>
          <w:p>
            <w:pPr/>
          </w:p>
        </w:tc>
        <w:tc>
          <w:tcPr>
            <w:tcW w:w="1920" w:type="dxa"/>
          </w:tcPr>
          <w:p>
            <w:pPr/>
          </w:p>
        </w:tc>
        <w:tc>
          <w:tcPr>
            <w:tcW w:w="2556" w:type="dxa"/>
          </w:tcPr>
          <w:p>
            <w:pPr/>
          </w:p>
        </w:tc>
        <w:tc>
          <w:tcPr>
            <w:tcW w:w="1453" w:type="dxa"/>
          </w:tcPr>
          <w:p>
            <w:pPr>
              <w:pStyle w:val="TableParagraph"/>
              <w:spacing w:before="8"/>
              <w:ind w:left="567" w:right="181"/>
              <w:rPr>
                <w:b/>
                <w:sz w:val="12"/>
              </w:rPr>
            </w:pPr>
            <w:r>
              <w:rPr>
                <w:b/>
                <w:w w:val="105"/>
                <w:sz w:val="12"/>
              </w:rPr>
              <w:t>Evaluación</w:t>
            </w:r>
          </w:p>
        </w:tc>
        <w:tc>
          <w:tcPr>
            <w:tcW w:w="797" w:type="dxa"/>
          </w:tcPr>
          <w:p>
            <w:pPr>
              <w:pStyle w:val="TableParagraph"/>
              <w:tabs>
                <w:tab w:pos="892" w:val="left" w:leader="none"/>
              </w:tabs>
              <w:spacing w:before="8"/>
              <w:ind w:left="202" w:right="-96"/>
              <w:jc w:val="left"/>
              <w:rPr>
                <w:b/>
                <w:sz w:val="12"/>
              </w:rPr>
            </w:pPr>
            <w:r>
              <w:rPr>
                <w:b/>
                <w:w w:val="104"/>
                <w:sz w:val="12"/>
                <w:shd w:fill="F79646" w:color="auto" w:val="clear"/>
              </w:rPr>
              <w:t> </w:t>
            </w:r>
            <w:r>
              <w:rPr>
                <w:b/>
                <w:sz w:val="12"/>
                <w:shd w:fill="F79646" w:color="auto" w:val="clear"/>
              </w:rPr>
              <w:t>    </w:t>
            </w:r>
            <w:r>
              <w:rPr>
                <w:b/>
                <w:spacing w:val="7"/>
                <w:sz w:val="12"/>
                <w:shd w:fill="F79646" w:color="auto" w:val="clear"/>
              </w:rPr>
              <w:t> </w:t>
            </w:r>
            <w:r>
              <w:rPr>
                <w:b/>
                <w:w w:val="105"/>
                <w:sz w:val="12"/>
                <w:shd w:fill="F79646" w:color="auto" w:val="clear"/>
              </w:rPr>
              <w:t>Real</w:t>
            </w:r>
            <w:r>
              <w:rPr>
                <w:b/>
                <w:sz w:val="12"/>
                <w:shd w:fill="F79646" w:color="auto" w:val="clear"/>
              </w:rPr>
              <w:tab/>
            </w:r>
          </w:p>
        </w:tc>
        <w:tc>
          <w:tcPr>
            <w:tcW w:w="765" w:type="dxa"/>
          </w:tcPr>
          <w:p>
            <w:pPr>
              <w:pStyle w:val="TableParagraph"/>
              <w:spacing w:before="8"/>
              <w:ind w:left="137" w:right="34"/>
              <w:rPr>
                <w:b/>
                <w:sz w:val="12"/>
              </w:rPr>
            </w:pPr>
            <w:r>
              <w:rPr>
                <w:b/>
                <w:w w:val="105"/>
                <w:sz w:val="12"/>
              </w:rPr>
              <w:t>Deseable</w:t>
            </w:r>
          </w:p>
        </w:tc>
        <w:tc>
          <w:tcPr>
            <w:tcW w:w="680" w:type="dxa"/>
            <w:tcBorders>
              <w:right w:val="single" w:sz="8" w:space="0" w:color="000000"/>
            </w:tcBorders>
            <w:shd w:val="clear" w:color="auto" w:fill="67ED4D"/>
          </w:tcPr>
          <w:p>
            <w:pPr>
              <w:pStyle w:val="TableParagraph"/>
              <w:spacing w:before="8"/>
              <w:ind w:left="104" w:right="84"/>
              <w:rPr>
                <w:b/>
                <w:sz w:val="12"/>
              </w:rPr>
            </w:pPr>
            <w:r>
              <w:rPr>
                <w:b/>
                <w:w w:val="105"/>
                <w:sz w:val="12"/>
              </w:rPr>
              <w:t>Óptimo</w:t>
            </w:r>
          </w:p>
        </w:tc>
      </w:tr>
      <w:tr>
        <w:trPr>
          <w:trHeight w:val="157" w:hRule="exact"/>
        </w:trPr>
        <w:tc>
          <w:tcPr>
            <w:tcW w:w="652" w:type="dxa"/>
            <w:vMerge/>
            <w:tcBorders>
              <w:left w:val="single" w:sz="4" w:space="0" w:color="000000"/>
            </w:tcBorders>
          </w:tcPr>
          <w:p>
            <w:pPr/>
          </w:p>
        </w:tc>
        <w:tc>
          <w:tcPr>
            <w:tcW w:w="1920" w:type="dxa"/>
            <w:vMerge w:val="restart"/>
          </w:tcPr>
          <w:p>
            <w:pPr>
              <w:pStyle w:val="TableParagraph"/>
              <w:spacing w:before="78"/>
              <w:ind w:left="106"/>
              <w:jc w:val="left"/>
              <w:rPr>
                <w:sz w:val="12"/>
              </w:rPr>
            </w:pPr>
            <w:r>
              <w:rPr>
                <w:w w:val="105"/>
                <w:sz w:val="12"/>
              </w:rPr>
              <w:t>Uso de suelo</w:t>
            </w:r>
          </w:p>
        </w:tc>
        <w:tc>
          <w:tcPr>
            <w:tcW w:w="2556" w:type="dxa"/>
            <w:vMerge w:val="restart"/>
          </w:tcPr>
          <w:p>
            <w:pPr>
              <w:pStyle w:val="TableParagraph"/>
              <w:spacing w:line="273" w:lineRule="auto" w:before="5"/>
              <w:ind w:left="278" w:right="518"/>
              <w:jc w:val="left"/>
              <w:rPr>
                <w:sz w:val="12"/>
              </w:rPr>
            </w:pPr>
            <w:r>
              <w:rPr>
                <w:w w:val="105"/>
                <w:sz w:val="12"/>
              </w:rPr>
              <w:t>Clasificación del suelo Densidad de población</w:t>
            </w:r>
          </w:p>
        </w:tc>
        <w:tc>
          <w:tcPr>
            <w:tcW w:w="1453" w:type="dxa"/>
            <w:vMerge w:val="restart"/>
          </w:tcPr>
          <w:p>
            <w:pPr>
              <w:pStyle w:val="TableParagraph"/>
              <w:spacing w:before="5"/>
              <w:ind w:left="829"/>
              <w:jc w:val="left"/>
              <w:rPr>
                <w:sz w:val="12"/>
              </w:rPr>
            </w:pPr>
            <w:r>
              <w:rPr>
                <w:w w:val="105"/>
                <w:sz w:val="12"/>
              </w:rPr>
              <w:t>0.5</w:t>
            </w:r>
          </w:p>
          <w:p>
            <w:pPr>
              <w:pStyle w:val="TableParagraph"/>
              <w:spacing w:before="19"/>
              <w:ind w:left="829"/>
              <w:jc w:val="left"/>
              <w:rPr>
                <w:sz w:val="12"/>
              </w:rPr>
            </w:pPr>
            <w:r>
              <w:rPr>
                <w:w w:val="105"/>
                <w:sz w:val="12"/>
              </w:rPr>
              <w:t>0.5</w:t>
            </w:r>
          </w:p>
        </w:tc>
        <w:tc>
          <w:tcPr>
            <w:tcW w:w="797" w:type="dxa"/>
            <w:vMerge w:val="restart"/>
          </w:tcPr>
          <w:p>
            <w:pPr/>
          </w:p>
        </w:tc>
        <w:tc>
          <w:tcPr>
            <w:tcW w:w="765" w:type="dxa"/>
            <w:vMerge w:val="restart"/>
          </w:tcPr>
          <w:p>
            <w:pPr>
              <w:pStyle w:val="TableParagraph"/>
              <w:spacing w:before="5"/>
              <w:ind w:left="346"/>
              <w:jc w:val="left"/>
              <w:rPr>
                <w:sz w:val="12"/>
              </w:rPr>
            </w:pPr>
            <w:r>
              <w:rPr>
                <w:w w:val="105"/>
                <w:sz w:val="12"/>
              </w:rPr>
              <w:t>0.5</w:t>
            </w:r>
          </w:p>
          <w:p>
            <w:pPr>
              <w:pStyle w:val="TableParagraph"/>
              <w:spacing w:before="19"/>
              <w:ind w:left="346"/>
              <w:jc w:val="left"/>
              <w:rPr>
                <w:sz w:val="12"/>
              </w:rPr>
            </w:pPr>
            <w:r>
              <w:rPr>
                <w:w w:val="105"/>
                <w:sz w:val="12"/>
              </w:rPr>
              <w:t>0.5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52" w:type="dxa"/>
            <w:vMerge/>
            <w:tcBorders>
              <w:left w:val="single" w:sz="4" w:space="0" w:color="000000"/>
            </w:tcBorders>
          </w:tcPr>
          <w:p>
            <w:pPr/>
          </w:p>
        </w:tc>
        <w:tc>
          <w:tcPr>
            <w:tcW w:w="1920" w:type="dxa"/>
            <w:vMerge/>
          </w:tcPr>
          <w:p>
            <w:pPr/>
          </w:p>
        </w:tc>
        <w:tc>
          <w:tcPr>
            <w:tcW w:w="2556" w:type="dxa"/>
            <w:vMerge/>
          </w:tcPr>
          <w:p>
            <w:pPr/>
          </w:p>
        </w:tc>
        <w:tc>
          <w:tcPr>
            <w:tcW w:w="1453" w:type="dxa"/>
            <w:vMerge/>
          </w:tcPr>
          <w:p>
            <w:pPr/>
          </w:p>
        </w:tc>
        <w:tc>
          <w:tcPr>
            <w:tcW w:w="797" w:type="dxa"/>
            <w:vMerge/>
          </w:tcPr>
          <w:p>
            <w:pPr/>
          </w:p>
        </w:tc>
        <w:tc>
          <w:tcPr>
            <w:tcW w:w="765" w:type="dxa"/>
            <w:vMerge/>
          </w:tcPr>
          <w:p>
            <w:pP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5" w:hRule="exact"/>
        </w:trPr>
        <w:tc>
          <w:tcPr>
            <w:tcW w:w="652" w:type="dxa"/>
            <w:vMerge/>
            <w:tcBorders>
              <w:left w:val="single" w:sz="4" w:space="0" w:color="000000"/>
            </w:tcBorders>
          </w:tcPr>
          <w:p>
            <w:pPr/>
          </w:p>
        </w:tc>
        <w:tc>
          <w:tcPr>
            <w:tcW w:w="1920" w:type="dxa"/>
          </w:tcPr>
          <w:p>
            <w:pPr/>
          </w:p>
        </w:tc>
        <w:tc>
          <w:tcPr>
            <w:tcW w:w="2556" w:type="dxa"/>
          </w:tcPr>
          <w:p>
            <w:pPr/>
          </w:p>
        </w:tc>
        <w:tc>
          <w:tcPr>
            <w:tcW w:w="1453" w:type="dxa"/>
          </w:tcPr>
          <w:p>
            <w:pPr>
              <w:pStyle w:val="TableParagraph"/>
              <w:spacing w:before="5"/>
              <w:ind w:left="553" w:right="181"/>
              <w:rPr>
                <w:sz w:val="12"/>
              </w:rPr>
            </w:pPr>
            <w:r>
              <w:rPr>
                <w:w w:val="105"/>
                <w:sz w:val="12"/>
              </w:rPr>
              <w:t>Subtotal</w:t>
            </w:r>
          </w:p>
        </w:tc>
        <w:tc>
          <w:tcPr>
            <w:tcW w:w="797" w:type="dxa"/>
          </w:tcPr>
          <w:p>
            <w:pPr>
              <w:pStyle w:val="TableParagraph"/>
              <w:tabs>
                <w:tab w:pos="515"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1</w:t>
            </w:r>
            <w:r>
              <w:rPr>
                <w:sz w:val="12"/>
                <w:shd w:fill="F79646" w:color="auto" w:val="clear"/>
              </w:rPr>
              <w:tab/>
            </w:r>
          </w:p>
        </w:tc>
        <w:tc>
          <w:tcPr>
            <w:tcW w:w="765" w:type="dxa"/>
          </w:tcPr>
          <w:p>
            <w:pPr>
              <w:pStyle w:val="TableParagraph"/>
              <w:spacing w:before="5"/>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2</w:t>
            </w:r>
          </w:p>
        </w:tc>
      </w:tr>
      <w:tr>
        <w:trPr>
          <w:trHeight w:val="147" w:hRule="exact"/>
        </w:trPr>
        <w:tc>
          <w:tcPr>
            <w:tcW w:w="8822" w:type="dxa"/>
            <w:gridSpan w:val="7"/>
            <w:tcBorders>
              <w:left w:val="single" w:sz="4" w:space="0" w:color="000000"/>
              <w:right w:val="single" w:sz="8" w:space="0" w:color="000000"/>
            </w:tcBorders>
          </w:tcPr>
          <w:p>
            <w:pPr/>
          </w:p>
        </w:tc>
      </w:tr>
      <w:tr>
        <w:trPr>
          <w:trHeight w:val="160" w:hRule="exact"/>
        </w:trPr>
        <w:tc>
          <w:tcPr>
            <w:tcW w:w="652" w:type="dxa"/>
            <w:vMerge w:val="restart"/>
            <w:tcBorders>
              <w:left w:val="single" w:sz="4" w:space="0" w:color="000000"/>
            </w:tcBorders>
          </w:tcPr>
          <w:p>
            <w:pPr/>
          </w:p>
        </w:tc>
        <w:tc>
          <w:tcPr>
            <w:tcW w:w="1920" w:type="dxa"/>
            <w:vMerge w:val="restart"/>
          </w:tcPr>
          <w:p>
            <w:pPr>
              <w:pStyle w:val="TableParagraph"/>
              <w:spacing w:before="81"/>
              <w:ind w:left="106"/>
              <w:jc w:val="left"/>
              <w:rPr>
                <w:sz w:val="12"/>
              </w:rPr>
            </w:pPr>
            <w:r>
              <w:rPr>
                <w:w w:val="105"/>
                <w:sz w:val="12"/>
              </w:rPr>
              <w:t>Vivienda</w:t>
            </w:r>
          </w:p>
        </w:tc>
        <w:tc>
          <w:tcPr>
            <w:tcW w:w="2556" w:type="dxa"/>
            <w:vMerge w:val="restart"/>
          </w:tcPr>
          <w:p>
            <w:pPr>
              <w:pStyle w:val="TableParagraph"/>
              <w:spacing w:line="273" w:lineRule="auto" w:before="8"/>
              <w:ind w:left="278" w:right="1418"/>
              <w:jc w:val="left"/>
              <w:rPr>
                <w:sz w:val="12"/>
              </w:rPr>
            </w:pPr>
            <w:r>
              <w:rPr>
                <w:sz w:val="12"/>
              </w:rPr>
              <w:t>Autorizadas </w:t>
            </w:r>
            <w:r>
              <w:rPr>
                <w:w w:val="105"/>
                <w:sz w:val="12"/>
              </w:rPr>
              <w:t>Tipo</w:t>
            </w:r>
          </w:p>
        </w:tc>
        <w:tc>
          <w:tcPr>
            <w:tcW w:w="1453" w:type="dxa"/>
            <w:vMerge w:val="restart"/>
          </w:tcPr>
          <w:p>
            <w:pPr>
              <w:pStyle w:val="TableParagraph"/>
              <w:spacing w:before="8"/>
              <w:ind w:left="379"/>
              <w:rPr>
                <w:sz w:val="12"/>
              </w:rPr>
            </w:pPr>
            <w:r>
              <w:rPr>
                <w:w w:val="104"/>
                <w:sz w:val="12"/>
              </w:rPr>
              <w:t>1</w:t>
            </w:r>
          </w:p>
          <w:p>
            <w:pPr>
              <w:pStyle w:val="TableParagraph"/>
              <w:spacing w:before="19"/>
              <w:ind w:left="560" w:right="181"/>
              <w:rPr>
                <w:sz w:val="12"/>
              </w:rPr>
            </w:pPr>
            <w:r>
              <w:rPr>
                <w:w w:val="105"/>
                <w:sz w:val="12"/>
              </w:rPr>
              <w:t>0.5</w:t>
            </w:r>
          </w:p>
        </w:tc>
        <w:tc>
          <w:tcPr>
            <w:tcW w:w="797" w:type="dxa"/>
            <w:vMerge w:val="restart"/>
          </w:tcPr>
          <w:p>
            <w:pPr/>
          </w:p>
        </w:tc>
        <w:tc>
          <w:tcPr>
            <w:tcW w:w="765" w:type="dxa"/>
            <w:vMerge w:val="restart"/>
          </w:tcPr>
          <w:p>
            <w:pPr>
              <w:pStyle w:val="TableParagraph"/>
              <w:spacing w:before="8"/>
              <w:ind w:left="102"/>
              <w:rPr>
                <w:sz w:val="12"/>
              </w:rPr>
            </w:pPr>
            <w:r>
              <w:rPr>
                <w:w w:val="104"/>
                <w:sz w:val="12"/>
              </w:rPr>
              <w:t>1</w:t>
            </w:r>
          </w:p>
          <w:p>
            <w:pPr>
              <w:pStyle w:val="TableParagraph"/>
              <w:spacing w:before="19"/>
              <w:ind w:left="136" w:right="34"/>
              <w:rPr>
                <w:sz w:val="12"/>
              </w:rPr>
            </w:pPr>
            <w:r>
              <w:rPr>
                <w:w w:val="105"/>
                <w:sz w:val="12"/>
              </w:rPr>
              <w:t>0.5</w:t>
            </w:r>
          </w:p>
        </w:tc>
        <w:tc>
          <w:tcPr>
            <w:tcW w:w="680" w:type="dxa"/>
            <w:tcBorders>
              <w:right w:val="single" w:sz="8" w:space="0" w:color="000000"/>
            </w:tcBorders>
            <w:shd w:val="clear" w:color="auto" w:fill="67ED4D"/>
          </w:tcPr>
          <w:p>
            <w:pPr>
              <w:pStyle w:val="TableParagraph"/>
              <w:spacing w:before="8"/>
              <w:ind w:left="27"/>
              <w:rPr>
                <w:sz w:val="12"/>
              </w:rPr>
            </w:pPr>
            <w:r>
              <w:rPr>
                <w:w w:val="104"/>
                <w:sz w:val="12"/>
              </w:rPr>
              <w:t>1</w:t>
            </w:r>
          </w:p>
        </w:tc>
      </w:tr>
      <w:tr>
        <w:trPr>
          <w:trHeight w:val="157" w:hRule="exact"/>
        </w:trPr>
        <w:tc>
          <w:tcPr>
            <w:tcW w:w="652" w:type="dxa"/>
            <w:vMerge/>
            <w:tcBorders>
              <w:left w:val="single" w:sz="4" w:space="0" w:color="000000"/>
            </w:tcBorders>
          </w:tcPr>
          <w:p>
            <w:pPr/>
          </w:p>
        </w:tc>
        <w:tc>
          <w:tcPr>
            <w:tcW w:w="1920" w:type="dxa"/>
            <w:vMerge/>
          </w:tcPr>
          <w:p>
            <w:pPr/>
          </w:p>
        </w:tc>
        <w:tc>
          <w:tcPr>
            <w:tcW w:w="2556" w:type="dxa"/>
            <w:vMerge/>
          </w:tcPr>
          <w:p>
            <w:pPr/>
          </w:p>
        </w:tc>
        <w:tc>
          <w:tcPr>
            <w:tcW w:w="1453" w:type="dxa"/>
            <w:vMerge/>
          </w:tcPr>
          <w:p>
            <w:pPr/>
          </w:p>
        </w:tc>
        <w:tc>
          <w:tcPr>
            <w:tcW w:w="797" w:type="dxa"/>
            <w:vMerge/>
          </w:tcPr>
          <w:p>
            <w:pPr/>
          </w:p>
        </w:tc>
        <w:tc>
          <w:tcPr>
            <w:tcW w:w="765" w:type="dxa"/>
            <w:vMerge/>
          </w:tcPr>
          <w:p>
            <w:pP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5" w:hRule="exact"/>
        </w:trPr>
        <w:tc>
          <w:tcPr>
            <w:tcW w:w="652" w:type="dxa"/>
            <w:vMerge/>
            <w:tcBorders>
              <w:left w:val="single" w:sz="4" w:space="0" w:color="000000"/>
            </w:tcBorders>
          </w:tcPr>
          <w:p>
            <w:pPr/>
          </w:p>
        </w:tc>
        <w:tc>
          <w:tcPr>
            <w:tcW w:w="1920" w:type="dxa"/>
          </w:tcPr>
          <w:p>
            <w:pPr/>
          </w:p>
        </w:tc>
        <w:tc>
          <w:tcPr>
            <w:tcW w:w="2556" w:type="dxa"/>
          </w:tcPr>
          <w:p>
            <w:pPr/>
          </w:p>
        </w:tc>
        <w:tc>
          <w:tcPr>
            <w:tcW w:w="1453" w:type="dxa"/>
          </w:tcPr>
          <w:p>
            <w:pPr>
              <w:pStyle w:val="TableParagraph"/>
              <w:spacing w:before="5"/>
              <w:ind w:left="553" w:right="181"/>
              <w:rPr>
                <w:sz w:val="12"/>
              </w:rPr>
            </w:pPr>
            <w:r>
              <w:rPr>
                <w:w w:val="105"/>
                <w:sz w:val="12"/>
              </w:rPr>
              <w:t>Subtotal</w:t>
            </w:r>
          </w:p>
        </w:tc>
        <w:tc>
          <w:tcPr>
            <w:tcW w:w="797" w:type="dxa"/>
          </w:tcPr>
          <w:p>
            <w:pPr>
              <w:pStyle w:val="TableParagraph"/>
              <w:tabs>
                <w:tab w:pos="463"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1.5</w:t>
            </w:r>
            <w:r>
              <w:rPr>
                <w:sz w:val="12"/>
                <w:shd w:fill="F79646" w:color="auto" w:val="clear"/>
              </w:rPr>
              <w:tab/>
            </w:r>
          </w:p>
        </w:tc>
        <w:tc>
          <w:tcPr>
            <w:tcW w:w="765" w:type="dxa"/>
          </w:tcPr>
          <w:p>
            <w:pPr>
              <w:pStyle w:val="TableParagraph"/>
              <w:spacing w:before="5"/>
              <w:ind w:left="136" w:right="34"/>
              <w:rPr>
                <w:sz w:val="12"/>
              </w:rPr>
            </w:pPr>
            <w:r>
              <w:rPr>
                <w:w w:val="105"/>
                <w:sz w:val="12"/>
              </w:rPr>
              <w:t>1.5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2</w:t>
            </w:r>
          </w:p>
        </w:tc>
      </w:tr>
      <w:tr>
        <w:trPr>
          <w:trHeight w:val="147" w:hRule="exact"/>
        </w:trPr>
        <w:tc>
          <w:tcPr>
            <w:tcW w:w="8822" w:type="dxa"/>
            <w:gridSpan w:val="7"/>
            <w:tcBorders>
              <w:left w:val="single" w:sz="4" w:space="0" w:color="000000"/>
              <w:right w:val="single" w:sz="8" w:space="0" w:color="000000"/>
            </w:tcBorders>
          </w:tcPr>
          <w:p>
            <w:pPr/>
          </w:p>
        </w:tc>
      </w:tr>
      <w:tr>
        <w:trPr>
          <w:trHeight w:val="160" w:hRule="exact"/>
        </w:trPr>
        <w:tc>
          <w:tcPr>
            <w:tcW w:w="652" w:type="dxa"/>
            <w:vMerge w:val="restart"/>
            <w:tcBorders>
              <w:left w:val="single" w:sz="4" w:space="0" w:color="000000"/>
            </w:tcBorders>
          </w:tcPr>
          <w:p>
            <w:pPr/>
          </w:p>
        </w:tc>
        <w:tc>
          <w:tcPr>
            <w:tcW w:w="1920" w:type="dxa"/>
            <w:vMerge w:val="restart"/>
          </w:tcPr>
          <w:p>
            <w:pPr>
              <w:pStyle w:val="TableParagraph"/>
              <w:spacing w:before="81"/>
              <w:ind w:left="106"/>
              <w:jc w:val="left"/>
              <w:rPr>
                <w:sz w:val="12"/>
              </w:rPr>
            </w:pPr>
            <w:r>
              <w:rPr>
                <w:w w:val="105"/>
                <w:sz w:val="12"/>
              </w:rPr>
              <w:t>Municipalización</w:t>
            </w:r>
          </w:p>
        </w:tc>
        <w:tc>
          <w:tcPr>
            <w:tcW w:w="2556" w:type="dxa"/>
            <w:vMerge w:val="restart"/>
          </w:tcPr>
          <w:p>
            <w:pPr>
              <w:pStyle w:val="TableParagraph"/>
              <w:spacing w:line="273" w:lineRule="auto" w:before="8"/>
              <w:ind w:left="278" w:right="1872"/>
              <w:jc w:val="left"/>
              <w:rPr>
                <w:sz w:val="12"/>
              </w:rPr>
            </w:pPr>
            <w:r>
              <w:rPr>
                <w:w w:val="105"/>
                <w:sz w:val="12"/>
              </w:rPr>
              <w:t>Parcial</w:t>
            </w:r>
            <w:r>
              <w:rPr>
                <w:w w:val="104"/>
                <w:sz w:val="12"/>
              </w:rPr>
              <w:t> </w:t>
            </w:r>
            <w:r>
              <w:rPr>
                <w:w w:val="105"/>
                <w:sz w:val="12"/>
              </w:rPr>
              <w:t>Total</w:t>
            </w:r>
          </w:p>
        </w:tc>
        <w:tc>
          <w:tcPr>
            <w:tcW w:w="1453" w:type="dxa"/>
            <w:vMerge w:val="restart"/>
          </w:tcPr>
          <w:p>
            <w:pPr>
              <w:pStyle w:val="TableParagraph"/>
              <w:spacing w:before="8"/>
              <w:ind w:left="560" w:right="181"/>
              <w:rPr>
                <w:sz w:val="12"/>
              </w:rPr>
            </w:pPr>
            <w:r>
              <w:rPr>
                <w:w w:val="105"/>
                <w:sz w:val="12"/>
              </w:rPr>
              <w:t>0.5</w:t>
            </w:r>
          </w:p>
          <w:p>
            <w:pPr>
              <w:pStyle w:val="TableParagraph"/>
              <w:spacing w:before="19"/>
              <w:ind w:left="379"/>
              <w:rPr>
                <w:sz w:val="12"/>
              </w:rPr>
            </w:pPr>
            <w:r>
              <w:rPr>
                <w:w w:val="104"/>
                <w:sz w:val="12"/>
              </w:rPr>
              <w:t>0</w:t>
            </w:r>
          </w:p>
        </w:tc>
        <w:tc>
          <w:tcPr>
            <w:tcW w:w="797" w:type="dxa"/>
            <w:vMerge w:val="restart"/>
          </w:tcPr>
          <w:p>
            <w:pPr/>
          </w:p>
        </w:tc>
        <w:tc>
          <w:tcPr>
            <w:tcW w:w="765" w:type="dxa"/>
            <w:vMerge w:val="restart"/>
          </w:tcPr>
          <w:p>
            <w:pPr>
              <w:pStyle w:val="TableParagraph"/>
              <w:spacing w:before="8"/>
              <w:ind w:left="346"/>
              <w:jc w:val="left"/>
              <w:rPr>
                <w:sz w:val="12"/>
              </w:rPr>
            </w:pPr>
            <w:r>
              <w:rPr>
                <w:w w:val="105"/>
                <w:sz w:val="12"/>
              </w:rPr>
              <w:t>0.5</w:t>
            </w:r>
          </w:p>
          <w:p>
            <w:pPr>
              <w:pStyle w:val="TableParagraph"/>
              <w:spacing w:before="19"/>
              <w:ind w:left="346"/>
              <w:jc w:val="left"/>
              <w:rPr>
                <w:sz w:val="12"/>
              </w:rPr>
            </w:pPr>
            <w:r>
              <w:rPr>
                <w:w w:val="105"/>
                <w:sz w:val="12"/>
              </w:rPr>
              <w:t>0.5</w:t>
            </w:r>
          </w:p>
        </w:tc>
        <w:tc>
          <w:tcPr>
            <w:tcW w:w="680" w:type="dxa"/>
            <w:tcBorders>
              <w:right w:val="single" w:sz="8" w:space="0" w:color="000000"/>
            </w:tcBorders>
            <w:shd w:val="clear" w:color="auto" w:fill="67ED4D"/>
          </w:tcPr>
          <w:p>
            <w:pPr>
              <w:pStyle w:val="TableParagraph"/>
              <w:spacing w:before="8"/>
              <w:ind w:left="27"/>
              <w:rPr>
                <w:sz w:val="12"/>
              </w:rPr>
            </w:pPr>
            <w:r>
              <w:rPr>
                <w:w w:val="104"/>
                <w:sz w:val="12"/>
              </w:rPr>
              <w:t>1</w:t>
            </w:r>
          </w:p>
        </w:tc>
      </w:tr>
      <w:tr>
        <w:trPr>
          <w:trHeight w:val="157" w:hRule="exact"/>
        </w:trPr>
        <w:tc>
          <w:tcPr>
            <w:tcW w:w="652" w:type="dxa"/>
            <w:vMerge/>
            <w:tcBorders>
              <w:left w:val="single" w:sz="4" w:space="0" w:color="000000"/>
            </w:tcBorders>
          </w:tcPr>
          <w:p>
            <w:pPr/>
          </w:p>
        </w:tc>
        <w:tc>
          <w:tcPr>
            <w:tcW w:w="1920" w:type="dxa"/>
            <w:vMerge/>
          </w:tcPr>
          <w:p>
            <w:pPr/>
          </w:p>
        </w:tc>
        <w:tc>
          <w:tcPr>
            <w:tcW w:w="2556" w:type="dxa"/>
            <w:vMerge/>
          </w:tcPr>
          <w:p>
            <w:pPr/>
          </w:p>
        </w:tc>
        <w:tc>
          <w:tcPr>
            <w:tcW w:w="1453" w:type="dxa"/>
            <w:vMerge/>
          </w:tcPr>
          <w:p>
            <w:pPr/>
          </w:p>
        </w:tc>
        <w:tc>
          <w:tcPr>
            <w:tcW w:w="797" w:type="dxa"/>
            <w:vMerge/>
          </w:tcPr>
          <w:p>
            <w:pPr/>
          </w:p>
        </w:tc>
        <w:tc>
          <w:tcPr>
            <w:tcW w:w="765" w:type="dxa"/>
            <w:vMerge/>
          </w:tcPr>
          <w:p>
            <w:pP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5" w:hRule="exact"/>
        </w:trPr>
        <w:tc>
          <w:tcPr>
            <w:tcW w:w="652" w:type="dxa"/>
            <w:vMerge/>
            <w:tcBorders>
              <w:left w:val="single" w:sz="4" w:space="0" w:color="000000"/>
            </w:tcBorders>
          </w:tcPr>
          <w:p>
            <w:pPr/>
          </w:p>
        </w:tc>
        <w:tc>
          <w:tcPr>
            <w:tcW w:w="1920" w:type="dxa"/>
          </w:tcPr>
          <w:p>
            <w:pPr/>
          </w:p>
        </w:tc>
        <w:tc>
          <w:tcPr>
            <w:tcW w:w="2556" w:type="dxa"/>
          </w:tcPr>
          <w:p>
            <w:pPr/>
          </w:p>
        </w:tc>
        <w:tc>
          <w:tcPr>
            <w:tcW w:w="1453" w:type="dxa"/>
          </w:tcPr>
          <w:p>
            <w:pPr>
              <w:pStyle w:val="TableParagraph"/>
              <w:spacing w:before="5"/>
              <w:ind w:left="553" w:right="181"/>
              <w:rPr>
                <w:sz w:val="12"/>
              </w:rPr>
            </w:pPr>
            <w:r>
              <w:rPr>
                <w:w w:val="105"/>
                <w:sz w:val="12"/>
              </w:rPr>
              <w:t>Subtotal</w:t>
            </w:r>
          </w:p>
        </w:tc>
        <w:tc>
          <w:tcPr>
            <w:tcW w:w="797" w:type="dxa"/>
          </w:tcPr>
          <w:p>
            <w:pPr>
              <w:pStyle w:val="TableParagraph"/>
              <w:tabs>
                <w:tab w:pos="463"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0.5</w:t>
            </w:r>
            <w:r>
              <w:rPr>
                <w:sz w:val="12"/>
                <w:shd w:fill="F79646" w:color="auto" w:val="clear"/>
              </w:rPr>
              <w:tab/>
            </w:r>
          </w:p>
        </w:tc>
        <w:tc>
          <w:tcPr>
            <w:tcW w:w="765" w:type="dxa"/>
          </w:tcPr>
          <w:p>
            <w:pPr>
              <w:pStyle w:val="TableParagraph"/>
              <w:spacing w:before="5"/>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2</w:t>
            </w:r>
          </w:p>
        </w:tc>
      </w:tr>
      <w:tr>
        <w:trPr>
          <w:trHeight w:val="147" w:hRule="exact"/>
        </w:trPr>
        <w:tc>
          <w:tcPr>
            <w:tcW w:w="8822" w:type="dxa"/>
            <w:gridSpan w:val="7"/>
            <w:tcBorders>
              <w:left w:val="single" w:sz="4" w:space="0" w:color="000000"/>
              <w:right w:val="single" w:sz="8" w:space="0" w:color="000000"/>
            </w:tcBorders>
          </w:tcPr>
          <w:p>
            <w:pPr/>
          </w:p>
        </w:tc>
      </w:tr>
      <w:tr>
        <w:trPr>
          <w:trHeight w:val="160" w:hRule="exact"/>
        </w:trPr>
        <w:tc>
          <w:tcPr>
            <w:tcW w:w="652" w:type="dxa"/>
            <w:vMerge w:val="restart"/>
            <w:tcBorders>
              <w:left w:val="single" w:sz="4" w:space="0" w:color="000000"/>
            </w:tcBorders>
          </w:tcPr>
          <w:p>
            <w:pPr/>
          </w:p>
        </w:tc>
        <w:tc>
          <w:tcPr>
            <w:tcW w:w="1920" w:type="dxa"/>
            <w:vMerge w:val="restart"/>
          </w:tcPr>
          <w:p>
            <w:pPr>
              <w:pStyle w:val="TableParagraph"/>
              <w:spacing w:before="81"/>
              <w:ind w:left="106"/>
              <w:jc w:val="left"/>
              <w:rPr>
                <w:sz w:val="12"/>
              </w:rPr>
            </w:pPr>
            <w:r>
              <w:rPr>
                <w:w w:val="105"/>
                <w:sz w:val="12"/>
              </w:rPr>
              <w:t>Infraestrutura utilizada</w:t>
            </w:r>
          </w:p>
        </w:tc>
        <w:tc>
          <w:tcPr>
            <w:tcW w:w="2556" w:type="dxa"/>
            <w:vMerge w:val="restart"/>
          </w:tcPr>
          <w:p>
            <w:pPr>
              <w:pStyle w:val="TableParagraph"/>
              <w:spacing w:line="273" w:lineRule="auto" w:before="8"/>
              <w:ind w:left="278" w:right="1418"/>
              <w:jc w:val="left"/>
              <w:rPr>
                <w:sz w:val="12"/>
              </w:rPr>
            </w:pPr>
            <w:r>
              <w:rPr>
                <w:w w:val="105"/>
                <w:sz w:val="12"/>
              </w:rPr>
              <w:t>Vialidades Redes</w:t>
            </w:r>
          </w:p>
        </w:tc>
        <w:tc>
          <w:tcPr>
            <w:tcW w:w="1453" w:type="dxa"/>
            <w:vMerge w:val="restart"/>
          </w:tcPr>
          <w:p>
            <w:pPr>
              <w:pStyle w:val="TableParagraph"/>
              <w:spacing w:before="8"/>
              <w:ind w:left="829"/>
              <w:jc w:val="left"/>
              <w:rPr>
                <w:sz w:val="12"/>
              </w:rPr>
            </w:pPr>
            <w:r>
              <w:rPr>
                <w:w w:val="105"/>
                <w:sz w:val="12"/>
              </w:rPr>
              <w:t>0.5</w:t>
            </w:r>
          </w:p>
          <w:p>
            <w:pPr>
              <w:pStyle w:val="TableParagraph"/>
              <w:spacing w:before="19"/>
              <w:ind w:left="829"/>
              <w:jc w:val="left"/>
              <w:rPr>
                <w:sz w:val="12"/>
              </w:rPr>
            </w:pPr>
            <w:r>
              <w:rPr>
                <w:w w:val="105"/>
                <w:sz w:val="12"/>
              </w:rPr>
              <w:t>0.4</w:t>
            </w:r>
          </w:p>
        </w:tc>
        <w:tc>
          <w:tcPr>
            <w:tcW w:w="797" w:type="dxa"/>
            <w:vMerge w:val="restart"/>
          </w:tcPr>
          <w:p>
            <w:pPr/>
          </w:p>
        </w:tc>
        <w:tc>
          <w:tcPr>
            <w:tcW w:w="765" w:type="dxa"/>
            <w:vMerge w:val="restart"/>
          </w:tcPr>
          <w:p>
            <w:pPr>
              <w:pStyle w:val="TableParagraph"/>
              <w:spacing w:before="8"/>
              <w:ind w:left="304"/>
              <w:jc w:val="left"/>
              <w:rPr>
                <w:sz w:val="12"/>
              </w:rPr>
            </w:pPr>
            <w:r>
              <w:rPr>
                <w:w w:val="105"/>
                <w:sz w:val="12"/>
              </w:rPr>
              <w:t>0.75</w:t>
            </w:r>
          </w:p>
          <w:p>
            <w:pPr>
              <w:pStyle w:val="TableParagraph"/>
              <w:spacing w:before="19"/>
              <w:ind w:left="346"/>
              <w:jc w:val="left"/>
              <w:rPr>
                <w:sz w:val="12"/>
              </w:rPr>
            </w:pPr>
            <w:r>
              <w:rPr>
                <w:w w:val="105"/>
                <w:sz w:val="12"/>
              </w:rPr>
              <w:t>0.8</w:t>
            </w:r>
          </w:p>
        </w:tc>
        <w:tc>
          <w:tcPr>
            <w:tcW w:w="680" w:type="dxa"/>
            <w:tcBorders>
              <w:right w:val="single" w:sz="8" w:space="0" w:color="000000"/>
            </w:tcBorders>
            <w:shd w:val="clear" w:color="auto" w:fill="67ED4D"/>
          </w:tcPr>
          <w:p>
            <w:pPr>
              <w:pStyle w:val="TableParagraph"/>
              <w:spacing w:before="8"/>
              <w:ind w:left="27"/>
              <w:rPr>
                <w:sz w:val="12"/>
              </w:rPr>
            </w:pPr>
            <w:r>
              <w:rPr>
                <w:w w:val="104"/>
                <w:sz w:val="12"/>
              </w:rPr>
              <w:t>1</w:t>
            </w:r>
          </w:p>
        </w:tc>
      </w:tr>
      <w:tr>
        <w:trPr>
          <w:trHeight w:val="157" w:hRule="exact"/>
        </w:trPr>
        <w:tc>
          <w:tcPr>
            <w:tcW w:w="652" w:type="dxa"/>
            <w:vMerge/>
            <w:tcBorders>
              <w:left w:val="single" w:sz="4" w:space="0" w:color="000000"/>
            </w:tcBorders>
          </w:tcPr>
          <w:p>
            <w:pPr/>
          </w:p>
        </w:tc>
        <w:tc>
          <w:tcPr>
            <w:tcW w:w="1920" w:type="dxa"/>
            <w:vMerge/>
          </w:tcPr>
          <w:p>
            <w:pPr/>
          </w:p>
        </w:tc>
        <w:tc>
          <w:tcPr>
            <w:tcW w:w="2556" w:type="dxa"/>
            <w:vMerge/>
          </w:tcPr>
          <w:p>
            <w:pPr/>
          </w:p>
        </w:tc>
        <w:tc>
          <w:tcPr>
            <w:tcW w:w="1453" w:type="dxa"/>
            <w:vMerge/>
          </w:tcPr>
          <w:p>
            <w:pPr/>
          </w:p>
        </w:tc>
        <w:tc>
          <w:tcPr>
            <w:tcW w:w="797" w:type="dxa"/>
            <w:vMerge/>
          </w:tcPr>
          <w:p>
            <w:pPr/>
          </w:p>
        </w:tc>
        <w:tc>
          <w:tcPr>
            <w:tcW w:w="765" w:type="dxa"/>
            <w:vMerge/>
          </w:tcPr>
          <w:p>
            <w:pP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5" w:hRule="exact"/>
        </w:trPr>
        <w:tc>
          <w:tcPr>
            <w:tcW w:w="652" w:type="dxa"/>
            <w:vMerge/>
            <w:tcBorders>
              <w:left w:val="single" w:sz="4" w:space="0" w:color="000000"/>
            </w:tcBorders>
          </w:tcPr>
          <w:p>
            <w:pPr/>
          </w:p>
        </w:tc>
        <w:tc>
          <w:tcPr>
            <w:tcW w:w="1920" w:type="dxa"/>
          </w:tcPr>
          <w:p>
            <w:pPr/>
          </w:p>
        </w:tc>
        <w:tc>
          <w:tcPr>
            <w:tcW w:w="2556" w:type="dxa"/>
          </w:tcPr>
          <w:p>
            <w:pPr/>
          </w:p>
        </w:tc>
        <w:tc>
          <w:tcPr>
            <w:tcW w:w="1453" w:type="dxa"/>
          </w:tcPr>
          <w:p>
            <w:pPr>
              <w:pStyle w:val="TableParagraph"/>
              <w:spacing w:before="5"/>
              <w:ind w:left="553" w:right="181"/>
              <w:rPr>
                <w:sz w:val="12"/>
              </w:rPr>
            </w:pPr>
            <w:r>
              <w:rPr>
                <w:w w:val="105"/>
                <w:sz w:val="12"/>
              </w:rPr>
              <w:t>Subtotal</w:t>
            </w:r>
          </w:p>
        </w:tc>
        <w:tc>
          <w:tcPr>
            <w:tcW w:w="797" w:type="dxa"/>
          </w:tcPr>
          <w:p>
            <w:pPr>
              <w:pStyle w:val="TableParagraph"/>
              <w:tabs>
                <w:tab w:pos="463"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0.9</w:t>
            </w:r>
            <w:r>
              <w:rPr>
                <w:sz w:val="12"/>
                <w:shd w:fill="F79646" w:color="auto" w:val="clear"/>
              </w:rPr>
              <w:tab/>
            </w:r>
          </w:p>
        </w:tc>
        <w:tc>
          <w:tcPr>
            <w:tcW w:w="765" w:type="dxa"/>
          </w:tcPr>
          <w:p>
            <w:pPr>
              <w:pStyle w:val="TableParagraph"/>
              <w:spacing w:before="5"/>
              <w:ind w:left="123" w:right="34"/>
              <w:rPr>
                <w:sz w:val="12"/>
              </w:rPr>
            </w:pPr>
            <w:r>
              <w:rPr>
                <w:w w:val="105"/>
                <w:sz w:val="12"/>
              </w:rPr>
              <w:t>1.55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2</w:t>
            </w:r>
          </w:p>
        </w:tc>
      </w:tr>
      <w:tr>
        <w:trPr>
          <w:trHeight w:val="147" w:hRule="exact"/>
        </w:trPr>
        <w:tc>
          <w:tcPr>
            <w:tcW w:w="8822" w:type="dxa"/>
            <w:gridSpan w:val="7"/>
            <w:tcBorders>
              <w:left w:val="single" w:sz="4" w:space="0" w:color="000000"/>
              <w:right w:val="single" w:sz="8" w:space="0" w:color="000000"/>
            </w:tcBorders>
          </w:tcPr>
          <w:p>
            <w:pPr>
              <w:pStyle w:val="TableParagraph"/>
              <w:spacing w:line="135" w:lineRule="exact"/>
              <w:ind w:left="115"/>
              <w:jc w:val="left"/>
              <w:rPr>
                <w:sz w:val="12"/>
              </w:rPr>
            </w:pPr>
            <w:r>
              <w:rPr>
                <w:w w:val="105"/>
                <w:sz w:val="12"/>
              </w:rPr>
              <w:t>Territorio</w:t>
            </w:r>
          </w:p>
        </w:tc>
      </w:tr>
      <w:tr>
        <w:trPr>
          <w:trHeight w:val="317" w:hRule="exact"/>
        </w:trPr>
        <w:tc>
          <w:tcPr>
            <w:tcW w:w="652" w:type="dxa"/>
            <w:tcBorders>
              <w:left w:val="single" w:sz="4" w:space="0" w:color="000000"/>
            </w:tcBorders>
          </w:tcPr>
          <w:p>
            <w:pPr/>
          </w:p>
        </w:tc>
        <w:tc>
          <w:tcPr>
            <w:tcW w:w="1920" w:type="dxa"/>
          </w:tcPr>
          <w:p>
            <w:pPr>
              <w:pStyle w:val="TableParagraph"/>
              <w:spacing w:before="81"/>
              <w:ind w:left="106"/>
              <w:jc w:val="left"/>
              <w:rPr>
                <w:sz w:val="12"/>
              </w:rPr>
            </w:pPr>
            <w:r>
              <w:rPr>
                <w:w w:val="105"/>
                <w:sz w:val="12"/>
              </w:rPr>
              <w:t>Infraestructura desarrollada</w:t>
            </w:r>
          </w:p>
        </w:tc>
        <w:tc>
          <w:tcPr>
            <w:tcW w:w="2556" w:type="dxa"/>
          </w:tcPr>
          <w:p>
            <w:pPr>
              <w:pStyle w:val="TableParagraph"/>
              <w:spacing w:line="273" w:lineRule="auto" w:before="8"/>
              <w:ind w:left="278" w:right="1418"/>
              <w:jc w:val="left"/>
              <w:rPr>
                <w:sz w:val="12"/>
              </w:rPr>
            </w:pPr>
            <w:r>
              <w:rPr>
                <w:w w:val="105"/>
                <w:sz w:val="12"/>
              </w:rPr>
              <w:t>Vialidades Redes</w:t>
            </w:r>
          </w:p>
        </w:tc>
        <w:tc>
          <w:tcPr>
            <w:tcW w:w="1453" w:type="dxa"/>
          </w:tcPr>
          <w:p>
            <w:pPr>
              <w:pStyle w:val="TableParagraph"/>
              <w:spacing w:before="8"/>
              <w:ind w:left="797"/>
              <w:jc w:val="left"/>
              <w:rPr>
                <w:sz w:val="12"/>
              </w:rPr>
            </w:pPr>
            <w:r>
              <w:rPr>
                <w:w w:val="105"/>
                <w:sz w:val="12"/>
              </w:rPr>
              <w:t>0.75</w:t>
            </w:r>
          </w:p>
          <w:p>
            <w:pPr>
              <w:pStyle w:val="TableParagraph"/>
              <w:spacing w:before="19"/>
              <w:ind w:left="797"/>
              <w:jc w:val="left"/>
              <w:rPr>
                <w:sz w:val="12"/>
              </w:rPr>
            </w:pPr>
            <w:r>
              <w:rPr>
                <w:w w:val="105"/>
                <w:sz w:val="12"/>
              </w:rPr>
              <w:t>0.66</w:t>
            </w:r>
          </w:p>
        </w:tc>
        <w:tc>
          <w:tcPr>
            <w:tcW w:w="797" w:type="dxa"/>
          </w:tcPr>
          <w:p>
            <w:pPr/>
          </w:p>
        </w:tc>
        <w:tc>
          <w:tcPr>
            <w:tcW w:w="765" w:type="dxa"/>
          </w:tcPr>
          <w:p>
            <w:pPr>
              <w:pStyle w:val="TableParagraph"/>
              <w:spacing w:before="8"/>
              <w:ind w:left="304"/>
              <w:jc w:val="left"/>
              <w:rPr>
                <w:sz w:val="12"/>
              </w:rPr>
            </w:pPr>
            <w:r>
              <w:rPr>
                <w:w w:val="105"/>
                <w:sz w:val="12"/>
              </w:rPr>
              <w:t>0.75</w:t>
            </w:r>
          </w:p>
          <w:p>
            <w:pPr>
              <w:pStyle w:val="TableParagraph"/>
              <w:spacing w:before="19"/>
              <w:ind w:left="304"/>
              <w:jc w:val="left"/>
              <w:rPr>
                <w:sz w:val="12"/>
              </w:rPr>
            </w:pPr>
            <w:r>
              <w:rPr>
                <w:w w:val="105"/>
                <w:sz w:val="12"/>
              </w:rPr>
              <w:t>0.66</w:t>
            </w:r>
          </w:p>
        </w:tc>
        <w:tc>
          <w:tcPr>
            <w:tcW w:w="680" w:type="dxa"/>
            <w:tcBorders>
              <w:right w:val="single" w:sz="8" w:space="0" w:color="000000"/>
            </w:tcBorders>
            <w:shd w:val="clear" w:color="auto" w:fill="67ED4D"/>
          </w:tcPr>
          <w:p>
            <w:pPr>
              <w:pStyle w:val="TableParagraph"/>
              <w:spacing w:before="8"/>
              <w:ind w:left="27"/>
              <w:rPr>
                <w:sz w:val="12"/>
              </w:rPr>
            </w:pPr>
            <w:r>
              <w:rPr>
                <w:w w:val="104"/>
                <w:sz w:val="12"/>
              </w:rPr>
              <w:t>1</w:t>
            </w:r>
          </w:p>
          <w:p>
            <w:pPr>
              <w:pStyle w:val="TableParagraph"/>
              <w:spacing w:before="19"/>
              <w:ind w:left="27"/>
              <w:rPr>
                <w:sz w:val="12"/>
              </w:rPr>
            </w:pPr>
            <w:r>
              <w:rPr>
                <w:w w:val="104"/>
                <w:sz w:val="12"/>
              </w:rPr>
              <w:t>1</w:t>
            </w:r>
          </w:p>
        </w:tc>
      </w:tr>
      <w:tr>
        <w:trPr>
          <w:trHeight w:val="165" w:hRule="exact"/>
        </w:trPr>
        <w:tc>
          <w:tcPr>
            <w:tcW w:w="652" w:type="dxa"/>
            <w:tcBorders>
              <w:left w:val="single" w:sz="4" w:space="0" w:color="000000"/>
            </w:tcBorders>
          </w:tcPr>
          <w:p>
            <w:pPr/>
          </w:p>
        </w:tc>
        <w:tc>
          <w:tcPr>
            <w:tcW w:w="1920" w:type="dxa"/>
          </w:tcPr>
          <w:p>
            <w:pPr/>
          </w:p>
        </w:tc>
        <w:tc>
          <w:tcPr>
            <w:tcW w:w="2556" w:type="dxa"/>
          </w:tcPr>
          <w:p>
            <w:pPr/>
          </w:p>
        </w:tc>
        <w:tc>
          <w:tcPr>
            <w:tcW w:w="1453" w:type="dxa"/>
          </w:tcPr>
          <w:p>
            <w:pPr>
              <w:pStyle w:val="TableParagraph"/>
              <w:spacing w:before="5"/>
              <w:ind w:left="553" w:right="181"/>
              <w:rPr>
                <w:sz w:val="12"/>
              </w:rPr>
            </w:pPr>
            <w:r>
              <w:rPr>
                <w:w w:val="105"/>
                <w:sz w:val="12"/>
              </w:rPr>
              <w:t>Subtotal</w:t>
            </w:r>
          </w:p>
        </w:tc>
        <w:tc>
          <w:tcPr>
            <w:tcW w:w="797" w:type="dxa"/>
          </w:tcPr>
          <w:p>
            <w:pPr>
              <w:pStyle w:val="TableParagraph"/>
              <w:tabs>
                <w:tab w:pos="892" w:val="left" w:leader="none"/>
              </w:tabs>
              <w:spacing w:before="5"/>
              <w:ind w:left="202" w:right="-96"/>
              <w:jc w:val="left"/>
              <w:rPr>
                <w:sz w:val="12"/>
              </w:rPr>
            </w:pPr>
            <w:r>
              <w:rPr>
                <w:w w:val="104"/>
                <w:sz w:val="12"/>
                <w:shd w:fill="F79646" w:color="auto" w:val="clear"/>
              </w:rPr>
              <w:t> </w:t>
            </w:r>
            <w:r>
              <w:rPr>
                <w:sz w:val="12"/>
                <w:shd w:fill="F79646" w:color="auto" w:val="clear"/>
              </w:rPr>
              <w:t>     </w:t>
            </w:r>
            <w:r>
              <w:rPr>
                <w:spacing w:val="-16"/>
                <w:sz w:val="12"/>
                <w:shd w:fill="F79646" w:color="auto" w:val="clear"/>
              </w:rPr>
              <w:t> </w:t>
            </w:r>
            <w:r>
              <w:rPr>
                <w:w w:val="105"/>
                <w:sz w:val="12"/>
                <w:shd w:fill="F79646" w:color="auto" w:val="clear"/>
              </w:rPr>
              <w:t>1.41</w:t>
            </w:r>
            <w:r>
              <w:rPr>
                <w:sz w:val="12"/>
                <w:shd w:fill="F79646" w:color="auto" w:val="clear"/>
              </w:rPr>
              <w:tab/>
            </w:r>
          </w:p>
        </w:tc>
        <w:tc>
          <w:tcPr>
            <w:tcW w:w="765" w:type="dxa"/>
          </w:tcPr>
          <w:p>
            <w:pPr>
              <w:pStyle w:val="TableParagraph"/>
              <w:spacing w:before="5"/>
              <w:ind w:left="123" w:right="34"/>
              <w:rPr>
                <w:sz w:val="12"/>
              </w:rPr>
            </w:pPr>
            <w:r>
              <w:rPr>
                <w:w w:val="105"/>
                <w:sz w:val="12"/>
              </w:rPr>
              <w:t>1.41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2</w:t>
            </w:r>
          </w:p>
        </w:tc>
      </w:tr>
      <w:tr>
        <w:trPr>
          <w:trHeight w:val="147" w:hRule="exact"/>
        </w:trPr>
        <w:tc>
          <w:tcPr>
            <w:tcW w:w="8822" w:type="dxa"/>
            <w:gridSpan w:val="7"/>
            <w:tcBorders>
              <w:left w:val="single" w:sz="4" w:space="0" w:color="000000"/>
              <w:right w:val="single" w:sz="8" w:space="0" w:color="000000"/>
            </w:tcBorders>
          </w:tcPr>
          <w:p>
            <w:pPr/>
          </w:p>
        </w:tc>
      </w:tr>
      <w:tr>
        <w:trPr>
          <w:trHeight w:val="317" w:hRule="exact"/>
        </w:trPr>
        <w:tc>
          <w:tcPr>
            <w:tcW w:w="652" w:type="dxa"/>
            <w:tcBorders>
              <w:left w:val="single" w:sz="4" w:space="0" w:color="000000"/>
            </w:tcBorders>
          </w:tcPr>
          <w:p>
            <w:pPr/>
          </w:p>
        </w:tc>
        <w:tc>
          <w:tcPr>
            <w:tcW w:w="1920" w:type="dxa"/>
          </w:tcPr>
          <w:p>
            <w:pPr>
              <w:pStyle w:val="TableParagraph"/>
              <w:spacing w:before="81"/>
              <w:ind w:left="106"/>
              <w:jc w:val="left"/>
              <w:rPr>
                <w:sz w:val="12"/>
              </w:rPr>
            </w:pPr>
            <w:r>
              <w:rPr>
                <w:w w:val="105"/>
                <w:sz w:val="12"/>
              </w:rPr>
              <w:t>Equipamiento desarrollado</w:t>
            </w:r>
          </w:p>
        </w:tc>
        <w:tc>
          <w:tcPr>
            <w:tcW w:w="2556" w:type="dxa"/>
          </w:tcPr>
          <w:p>
            <w:pPr>
              <w:pStyle w:val="TableParagraph"/>
              <w:spacing w:line="273" w:lineRule="auto" w:before="8"/>
              <w:ind w:left="278" w:right="1725"/>
              <w:jc w:val="left"/>
              <w:rPr>
                <w:sz w:val="12"/>
              </w:rPr>
            </w:pPr>
            <w:r>
              <w:rPr>
                <w:w w:val="105"/>
                <w:sz w:val="12"/>
              </w:rPr>
              <w:t>Municipal</w:t>
            </w:r>
            <w:r>
              <w:rPr>
                <w:w w:val="104"/>
                <w:sz w:val="12"/>
              </w:rPr>
              <w:t> </w:t>
            </w:r>
            <w:r>
              <w:rPr>
                <w:w w:val="105"/>
                <w:sz w:val="12"/>
              </w:rPr>
              <w:t>Estatal</w:t>
            </w:r>
          </w:p>
        </w:tc>
        <w:tc>
          <w:tcPr>
            <w:tcW w:w="1453" w:type="dxa"/>
          </w:tcPr>
          <w:p>
            <w:pPr>
              <w:pStyle w:val="TableParagraph"/>
              <w:spacing w:before="8"/>
              <w:ind w:left="829"/>
              <w:jc w:val="left"/>
              <w:rPr>
                <w:sz w:val="12"/>
              </w:rPr>
            </w:pPr>
            <w:r>
              <w:rPr>
                <w:w w:val="105"/>
                <w:sz w:val="12"/>
              </w:rPr>
              <w:t>0.6</w:t>
            </w:r>
          </w:p>
          <w:p>
            <w:pPr>
              <w:pStyle w:val="TableParagraph"/>
              <w:spacing w:before="19"/>
              <w:ind w:left="829"/>
              <w:jc w:val="left"/>
              <w:rPr>
                <w:sz w:val="12"/>
              </w:rPr>
            </w:pPr>
            <w:r>
              <w:rPr>
                <w:w w:val="105"/>
                <w:sz w:val="12"/>
              </w:rPr>
              <w:t>0.4</w:t>
            </w:r>
          </w:p>
        </w:tc>
        <w:tc>
          <w:tcPr>
            <w:tcW w:w="797" w:type="dxa"/>
          </w:tcPr>
          <w:p>
            <w:pPr/>
          </w:p>
        </w:tc>
        <w:tc>
          <w:tcPr>
            <w:tcW w:w="765" w:type="dxa"/>
          </w:tcPr>
          <w:p>
            <w:pPr>
              <w:pStyle w:val="TableParagraph"/>
              <w:spacing w:before="8"/>
              <w:ind w:left="346"/>
              <w:jc w:val="left"/>
              <w:rPr>
                <w:sz w:val="12"/>
              </w:rPr>
            </w:pPr>
            <w:r>
              <w:rPr>
                <w:w w:val="105"/>
                <w:sz w:val="12"/>
              </w:rPr>
              <w:t>0.8</w:t>
            </w:r>
          </w:p>
          <w:p>
            <w:pPr>
              <w:pStyle w:val="TableParagraph"/>
              <w:spacing w:before="19"/>
              <w:ind w:left="346"/>
              <w:jc w:val="left"/>
              <w:rPr>
                <w:sz w:val="12"/>
              </w:rPr>
            </w:pPr>
            <w:r>
              <w:rPr>
                <w:w w:val="105"/>
                <w:sz w:val="12"/>
              </w:rPr>
              <w:t>0.6</w:t>
            </w:r>
          </w:p>
        </w:tc>
        <w:tc>
          <w:tcPr>
            <w:tcW w:w="680" w:type="dxa"/>
            <w:tcBorders>
              <w:right w:val="single" w:sz="8" w:space="0" w:color="000000"/>
            </w:tcBorders>
            <w:shd w:val="clear" w:color="auto" w:fill="67ED4D"/>
          </w:tcPr>
          <w:p>
            <w:pPr>
              <w:pStyle w:val="TableParagraph"/>
              <w:spacing w:before="8"/>
              <w:ind w:left="27"/>
              <w:rPr>
                <w:sz w:val="12"/>
              </w:rPr>
            </w:pPr>
            <w:r>
              <w:rPr>
                <w:w w:val="104"/>
                <w:sz w:val="12"/>
              </w:rPr>
              <w:t>1</w:t>
            </w:r>
          </w:p>
          <w:p>
            <w:pPr>
              <w:pStyle w:val="TableParagraph"/>
              <w:spacing w:before="19"/>
              <w:ind w:left="27"/>
              <w:rPr>
                <w:sz w:val="12"/>
              </w:rPr>
            </w:pPr>
            <w:r>
              <w:rPr>
                <w:w w:val="104"/>
                <w:sz w:val="12"/>
              </w:rPr>
              <w:t>1</w:t>
            </w:r>
          </w:p>
        </w:tc>
      </w:tr>
      <w:tr>
        <w:trPr>
          <w:trHeight w:val="165" w:hRule="exact"/>
        </w:trPr>
        <w:tc>
          <w:tcPr>
            <w:tcW w:w="652" w:type="dxa"/>
            <w:tcBorders>
              <w:left w:val="single" w:sz="4" w:space="0" w:color="000000"/>
            </w:tcBorders>
          </w:tcPr>
          <w:p>
            <w:pPr/>
          </w:p>
        </w:tc>
        <w:tc>
          <w:tcPr>
            <w:tcW w:w="1920" w:type="dxa"/>
          </w:tcPr>
          <w:p>
            <w:pPr/>
          </w:p>
        </w:tc>
        <w:tc>
          <w:tcPr>
            <w:tcW w:w="2556" w:type="dxa"/>
          </w:tcPr>
          <w:p>
            <w:pPr/>
          </w:p>
        </w:tc>
        <w:tc>
          <w:tcPr>
            <w:tcW w:w="1453" w:type="dxa"/>
          </w:tcPr>
          <w:p>
            <w:pPr>
              <w:pStyle w:val="TableParagraph"/>
              <w:spacing w:before="5"/>
              <w:ind w:left="553" w:right="181"/>
              <w:rPr>
                <w:sz w:val="12"/>
              </w:rPr>
            </w:pPr>
            <w:r>
              <w:rPr>
                <w:w w:val="105"/>
                <w:sz w:val="12"/>
              </w:rPr>
              <w:t>Subtotal</w:t>
            </w:r>
          </w:p>
        </w:tc>
        <w:tc>
          <w:tcPr>
            <w:tcW w:w="797" w:type="dxa"/>
          </w:tcPr>
          <w:p>
            <w:pPr>
              <w:pStyle w:val="TableParagraph"/>
              <w:tabs>
                <w:tab w:pos="515"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1</w:t>
            </w:r>
            <w:r>
              <w:rPr>
                <w:sz w:val="12"/>
                <w:shd w:fill="F79646" w:color="auto" w:val="clear"/>
              </w:rPr>
              <w:tab/>
            </w:r>
          </w:p>
        </w:tc>
        <w:tc>
          <w:tcPr>
            <w:tcW w:w="765" w:type="dxa"/>
          </w:tcPr>
          <w:p>
            <w:pPr>
              <w:pStyle w:val="TableParagraph"/>
              <w:spacing w:before="5"/>
              <w:ind w:left="136" w:right="34"/>
              <w:rPr>
                <w:sz w:val="12"/>
              </w:rPr>
            </w:pPr>
            <w:r>
              <w:rPr>
                <w:w w:val="105"/>
                <w:sz w:val="12"/>
              </w:rPr>
              <w:t>1.4</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2</w:t>
            </w:r>
          </w:p>
        </w:tc>
      </w:tr>
      <w:tr>
        <w:trPr>
          <w:trHeight w:val="147" w:hRule="exact"/>
        </w:trPr>
        <w:tc>
          <w:tcPr>
            <w:tcW w:w="8822" w:type="dxa"/>
            <w:gridSpan w:val="7"/>
            <w:tcBorders>
              <w:left w:val="single" w:sz="4" w:space="0" w:color="000000"/>
              <w:right w:val="single" w:sz="8" w:space="0" w:color="000000"/>
            </w:tcBorders>
          </w:tcPr>
          <w:p>
            <w:pPr/>
          </w:p>
        </w:tc>
      </w:tr>
      <w:tr>
        <w:trPr>
          <w:trHeight w:val="160" w:hRule="exact"/>
        </w:trPr>
        <w:tc>
          <w:tcPr>
            <w:tcW w:w="652" w:type="dxa"/>
            <w:vMerge w:val="restart"/>
            <w:tcBorders>
              <w:left w:val="single" w:sz="4" w:space="0" w:color="000000"/>
            </w:tcBorders>
          </w:tcPr>
          <w:p>
            <w:pPr/>
          </w:p>
        </w:tc>
        <w:tc>
          <w:tcPr>
            <w:tcW w:w="1920" w:type="dxa"/>
          </w:tcPr>
          <w:p>
            <w:pPr/>
          </w:p>
        </w:tc>
        <w:tc>
          <w:tcPr>
            <w:tcW w:w="2556" w:type="dxa"/>
          </w:tcPr>
          <w:p>
            <w:pPr>
              <w:pStyle w:val="TableParagraph"/>
              <w:spacing w:before="8"/>
              <w:ind w:left="278" w:right="518"/>
              <w:jc w:val="left"/>
              <w:rPr>
                <w:sz w:val="12"/>
              </w:rPr>
            </w:pPr>
            <w:r>
              <w:rPr>
                <w:w w:val="105"/>
                <w:sz w:val="12"/>
              </w:rPr>
              <w:t>Ubicación del conjunto urbano</w:t>
            </w:r>
          </w:p>
        </w:tc>
        <w:tc>
          <w:tcPr>
            <w:tcW w:w="1453" w:type="dxa"/>
          </w:tcPr>
          <w:p>
            <w:pPr>
              <w:pStyle w:val="TableParagraph"/>
              <w:spacing w:before="8"/>
              <w:ind w:left="560" w:right="181"/>
              <w:rPr>
                <w:sz w:val="12"/>
              </w:rPr>
            </w:pPr>
            <w:r>
              <w:rPr>
                <w:w w:val="105"/>
                <w:sz w:val="12"/>
              </w:rPr>
              <w:t>0.4</w:t>
            </w:r>
          </w:p>
        </w:tc>
        <w:tc>
          <w:tcPr>
            <w:tcW w:w="797" w:type="dxa"/>
          </w:tcPr>
          <w:p>
            <w:pPr/>
          </w:p>
        </w:tc>
        <w:tc>
          <w:tcPr>
            <w:tcW w:w="765" w:type="dxa"/>
          </w:tcPr>
          <w:p>
            <w:pPr>
              <w:pStyle w:val="TableParagraph"/>
              <w:spacing w:before="8"/>
              <w:ind w:left="136" w:right="34"/>
              <w:rPr>
                <w:sz w:val="12"/>
              </w:rPr>
            </w:pPr>
            <w:r>
              <w:rPr>
                <w:w w:val="105"/>
                <w:sz w:val="12"/>
              </w:rPr>
              <w:t>0.8</w:t>
            </w:r>
          </w:p>
        </w:tc>
        <w:tc>
          <w:tcPr>
            <w:tcW w:w="680" w:type="dxa"/>
            <w:tcBorders>
              <w:right w:val="single" w:sz="8" w:space="0" w:color="000000"/>
            </w:tcBorders>
            <w:shd w:val="clear" w:color="auto" w:fill="67ED4D"/>
          </w:tcPr>
          <w:p>
            <w:pPr>
              <w:pStyle w:val="TableParagraph"/>
              <w:spacing w:before="8"/>
              <w:ind w:left="27"/>
              <w:rPr>
                <w:sz w:val="12"/>
              </w:rPr>
            </w:pPr>
            <w:r>
              <w:rPr>
                <w:w w:val="104"/>
                <w:sz w:val="12"/>
              </w:rPr>
              <w:t>1</w:t>
            </w:r>
          </w:p>
        </w:tc>
      </w:tr>
      <w:tr>
        <w:trPr>
          <w:trHeight w:val="157" w:hRule="exact"/>
        </w:trPr>
        <w:tc>
          <w:tcPr>
            <w:tcW w:w="652" w:type="dxa"/>
            <w:vMerge/>
            <w:tcBorders>
              <w:left w:val="single" w:sz="4" w:space="0" w:color="000000"/>
            </w:tcBorders>
          </w:tcPr>
          <w:p>
            <w:pPr/>
          </w:p>
        </w:tc>
        <w:tc>
          <w:tcPr>
            <w:tcW w:w="1920" w:type="dxa"/>
          </w:tcPr>
          <w:p>
            <w:pPr/>
          </w:p>
        </w:tc>
        <w:tc>
          <w:tcPr>
            <w:tcW w:w="2556" w:type="dxa"/>
          </w:tcPr>
          <w:p>
            <w:pPr>
              <w:pStyle w:val="TableParagraph"/>
              <w:spacing w:before="5"/>
              <w:ind w:left="278" w:right="518"/>
              <w:jc w:val="left"/>
              <w:rPr>
                <w:sz w:val="12"/>
              </w:rPr>
            </w:pPr>
            <w:r>
              <w:rPr>
                <w:w w:val="105"/>
                <w:sz w:val="12"/>
              </w:rPr>
              <w:t>Abierto</w:t>
            </w:r>
          </w:p>
        </w:tc>
        <w:tc>
          <w:tcPr>
            <w:tcW w:w="1453" w:type="dxa"/>
          </w:tcPr>
          <w:p>
            <w:pPr>
              <w:pStyle w:val="TableParagraph"/>
              <w:spacing w:before="5"/>
              <w:ind w:left="379"/>
              <w:rPr>
                <w:sz w:val="12"/>
              </w:rPr>
            </w:pPr>
            <w:r>
              <w:rPr>
                <w:w w:val="104"/>
                <w:sz w:val="12"/>
              </w:rPr>
              <w:t>1</w:t>
            </w:r>
          </w:p>
        </w:tc>
        <w:tc>
          <w:tcPr>
            <w:tcW w:w="797" w:type="dxa"/>
          </w:tcPr>
          <w:p>
            <w:pPr/>
          </w:p>
        </w:tc>
        <w:tc>
          <w:tcPr>
            <w:tcW w:w="765" w:type="dxa"/>
          </w:tcPr>
          <w:p>
            <w:pPr>
              <w:pStyle w:val="TableParagraph"/>
              <w:spacing w:before="5"/>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52" w:type="dxa"/>
            <w:vMerge/>
            <w:tcBorders>
              <w:left w:val="single" w:sz="4" w:space="0" w:color="000000"/>
            </w:tcBorders>
          </w:tcPr>
          <w:p>
            <w:pPr/>
          </w:p>
        </w:tc>
        <w:tc>
          <w:tcPr>
            <w:tcW w:w="1920" w:type="dxa"/>
          </w:tcPr>
          <w:p>
            <w:pPr>
              <w:pStyle w:val="TableParagraph"/>
              <w:spacing w:before="5"/>
              <w:ind w:left="106"/>
              <w:jc w:val="left"/>
              <w:rPr>
                <w:sz w:val="12"/>
              </w:rPr>
            </w:pPr>
            <w:r>
              <w:rPr>
                <w:w w:val="105"/>
                <w:sz w:val="12"/>
              </w:rPr>
              <w:t>Integración al territorio</w:t>
            </w:r>
          </w:p>
        </w:tc>
        <w:tc>
          <w:tcPr>
            <w:tcW w:w="2556" w:type="dxa"/>
          </w:tcPr>
          <w:p>
            <w:pPr>
              <w:pStyle w:val="TableParagraph"/>
              <w:spacing w:before="5"/>
              <w:ind w:left="278" w:right="518"/>
              <w:jc w:val="left"/>
              <w:rPr>
                <w:sz w:val="12"/>
              </w:rPr>
            </w:pPr>
            <w:r>
              <w:rPr>
                <w:w w:val="105"/>
                <w:sz w:val="12"/>
              </w:rPr>
              <w:t>Integración social</w:t>
            </w:r>
          </w:p>
        </w:tc>
        <w:tc>
          <w:tcPr>
            <w:tcW w:w="1453" w:type="dxa"/>
          </w:tcPr>
          <w:p>
            <w:pPr>
              <w:pStyle w:val="TableParagraph"/>
              <w:spacing w:before="5"/>
              <w:ind w:left="560" w:right="181"/>
              <w:rPr>
                <w:sz w:val="12"/>
              </w:rPr>
            </w:pPr>
            <w:r>
              <w:rPr>
                <w:w w:val="105"/>
                <w:sz w:val="12"/>
              </w:rPr>
              <w:t>0.5</w:t>
            </w:r>
          </w:p>
        </w:tc>
        <w:tc>
          <w:tcPr>
            <w:tcW w:w="797" w:type="dxa"/>
          </w:tcPr>
          <w:p>
            <w:pPr/>
          </w:p>
        </w:tc>
        <w:tc>
          <w:tcPr>
            <w:tcW w:w="765" w:type="dxa"/>
          </w:tcPr>
          <w:p>
            <w:pPr>
              <w:pStyle w:val="TableParagraph"/>
              <w:spacing w:before="5"/>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52" w:type="dxa"/>
            <w:vMerge/>
            <w:tcBorders>
              <w:left w:val="single" w:sz="4" w:space="0" w:color="000000"/>
            </w:tcBorders>
          </w:tcPr>
          <w:p>
            <w:pPr/>
          </w:p>
        </w:tc>
        <w:tc>
          <w:tcPr>
            <w:tcW w:w="1920" w:type="dxa"/>
          </w:tcPr>
          <w:p>
            <w:pPr/>
          </w:p>
        </w:tc>
        <w:tc>
          <w:tcPr>
            <w:tcW w:w="2556" w:type="dxa"/>
          </w:tcPr>
          <w:p>
            <w:pPr>
              <w:pStyle w:val="TableParagraph"/>
              <w:spacing w:before="5"/>
              <w:ind w:left="278" w:right="518"/>
              <w:jc w:val="left"/>
              <w:rPr>
                <w:sz w:val="12"/>
              </w:rPr>
            </w:pPr>
            <w:r>
              <w:rPr>
                <w:w w:val="105"/>
                <w:sz w:val="12"/>
              </w:rPr>
              <w:t>Protección civil</w:t>
            </w:r>
          </w:p>
        </w:tc>
        <w:tc>
          <w:tcPr>
            <w:tcW w:w="1453" w:type="dxa"/>
          </w:tcPr>
          <w:p>
            <w:pPr>
              <w:pStyle w:val="TableParagraph"/>
              <w:spacing w:before="5"/>
              <w:ind w:left="379"/>
              <w:rPr>
                <w:sz w:val="12"/>
              </w:rPr>
            </w:pPr>
            <w:r>
              <w:rPr>
                <w:w w:val="104"/>
                <w:sz w:val="12"/>
              </w:rPr>
              <w:t>0</w:t>
            </w:r>
          </w:p>
        </w:tc>
        <w:tc>
          <w:tcPr>
            <w:tcW w:w="797" w:type="dxa"/>
          </w:tcPr>
          <w:p>
            <w:pPr/>
          </w:p>
        </w:tc>
        <w:tc>
          <w:tcPr>
            <w:tcW w:w="765" w:type="dxa"/>
          </w:tcPr>
          <w:p>
            <w:pPr>
              <w:pStyle w:val="TableParagraph"/>
              <w:spacing w:before="5"/>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52" w:type="dxa"/>
            <w:vMerge/>
            <w:tcBorders>
              <w:left w:val="single" w:sz="4" w:space="0" w:color="000000"/>
            </w:tcBorders>
          </w:tcPr>
          <w:p>
            <w:pPr/>
          </w:p>
        </w:tc>
        <w:tc>
          <w:tcPr>
            <w:tcW w:w="1920" w:type="dxa"/>
          </w:tcPr>
          <w:p>
            <w:pPr/>
          </w:p>
        </w:tc>
        <w:tc>
          <w:tcPr>
            <w:tcW w:w="2556" w:type="dxa"/>
          </w:tcPr>
          <w:p>
            <w:pPr>
              <w:pStyle w:val="TableParagraph"/>
              <w:spacing w:before="5"/>
              <w:ind w:left="278" w:right="518"/>
              <w:jc w:val="left"/>
              <w:rPr>
                <w:sz w:val="12"/>
              </w:rPr>
            </w:pPr>
            <w:r>
              <w:rPr>
                <w:w w:val="105"/>
                <w:sz w:val="12"/>
              </w:rPr>
              <w:t>Seguridad</w:t>
            </w:r>
          </w:p>
        </w:tc>
        <w:tc>
          <w:tcPr>
            <w:tcW w:w="1453" w:type="dxa"/>
          </w:tcPr>
          <w:p>
            <w:pPr>
              <w:pStyle w:val="TableParagraph"/>
              <w:spacing w:before="5"/>
              <w:ind w:left="379"/>
              <w:rPr>
                <w:sz w:val="12"/>
              </w:rPr>
            </w:pPr>
            <w:r>
              <w:rPr>
                <w:w w:val="104"/>
                <w:sz w:val="12"/>
              </w:rPr>
              <w:t>0</w:t>
            </w:r>
          </w:p>
        </w:tc>
        <w:tc>
          <w:tcPr>
            <w:tcW w:w="797" w:type="dxa"/>
          </w:tcPr>
          <w:p>
            <w:pPr/>
          </w:p>
        </w:tc>
        <w:tc>
          <w:tcPr>
            <w:tcW w:w="765" w:type="dxa"/>
          </w:tcPr>
          <w:p>
            <w:pPr>
              <w:pStyle w:val="TableParagraph"/>
              <w:spacing w:before="5"/>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5" w:hRule="exact"/>
        </w:trPr>
        <w:tc>
          <w:tcPr>
            <w:tcW w:w="652" w:type="dxa"/>
            <w:vMerge/>
            <w:tcBorders>
              <w:left w:val="single" w:sz="4" w:space="0" w:color="000000"/>
            </w:tcBorders>
          </w:tcPr>
          <w:p>
            <w:pPr/>
          </w:p>
        </w:tc>
        <w:tc>
          <w:tcPr>
            <w:tcW w:w="1920" w:type="dxa"/>
          </w:tcPr>
          <w:p>
            <w:pPr/>
          </w:p>
        </w:tc>
        <w:tc>
          <w:tcPr>
            <w:tcW w:w="2556" w:type="dxa"/>
          </w:tcPr>
          <w:p>
            <w:pPr/>
          </w:p>
        </w:tc>
        <w:tc>
          <w:tcPr>
            <w:tcW w:w="1453" w:type="dxa"/>
          </w:tcPr>
          <w:p>
            <w:pPr>
              <w:pStyle w:val="TableParagraph"/>
              <w:spacing w:before="5"/>
              <w:ind w:left="553" w:right="181"/>
              <w:rPr>
                <w:sz w:val="12"/>
              </w:rPr>
            </w:pPr>
            <w:r>
              <w:rPr>
                <w:w w:val="105"/>
                <w:sz w:val="12"/>
              </w:rPr>
              <w:t>Subtotal</w:t>
            </w:r>
          </w:p>
        </w:tc>
        <w:tc>
          <w:tcPr>
            <w:tcW w:w="797" w:type="dxa"/>
          </w:tcPr>
          <w:p>
            <w:pPr>
              <w:pStyle w:val="TableParagraph"/>
              <w:tabs>
                <w:tab w:pos="463"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1.9</w:t>
            </w:r>
            <w:r>
              <w:rPr>
                <w:sz w:val="12"/>
                <w:shd w:fill="F79646" w:color="auto" w:val="clear"/>
              </w:rPr>
              <w:tab/>
            </w:r>
          </w:p>
        </w:tc>
        <w:tc>
          <w:tcPr>
            <w:tcW w:w="765" w:type="dxa"/>
          </w:tcPr>
          <w:p>
            <w:pPr>
              <w:pStyle w:val="TableParagraph"/>
              <w:spacing w:before="5"/>
              <w:ind w:left="136" w:right="34"/>
              <w:rPr>
                <w:sz w:val="12"/>
              </w:rPr>
            </w:pPr>
            <w:r>
              <w:rPr>
                <w:w w:val="105"/>
                <w:sz w:val="12"/>
              </w:rPr>
              <w:t>4.8</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5</w:t>
            </w:r>
          </w:p>
        </w:tc>
      </w:tr>
      <w:tr>
        <w:trPr>
          <w:trHeight w:val="471" w:hRule="exact"/>
        </w:trPr>
        <w:tc>
          <w:tcPr>
            <w:tcW w:w="652" w:type="dxa"/>
            <w:tcBorders>
              <w:left w:val="single" w:sz="4" w:space="0" w:color="000000"/>
              <w:bottom w:val="single" w:sz="8" w:space="0" w:color="000000"/>
            </w:tcBorders>
          </w:tcPr>
          <w:p>
            <w:pPr/>
          </w:p>
        </w:tc>
        <w:tc>
          <w:tcPr>
            <w:tcW w:w="1920" w:type="dxa"/>
            <w:tcBorders>
              <w:bottom w:val="single" w:sz="8" w:space="0" w:color="000000"/>
            </w:tcBorders>
          </w:tcPr>
          <w:p>
            <w:pPr/>
          </w:p>
        </w:tc>
        <w:tc>
          <w:tcPr>
            <w:tcW w:w="2556" w:type="dxa"/>
            <w:tcBorders>
              <w:bottom w:val="single" w:sz="8" w:space="0" w:color="000000"/>
            </w:tcBorders>
          </w:tcPr>
          <w:p>
            <w:pPr/>
          </w:p>
        </w:tc>
        <w:tc>
          <w:tcPr>
            <w:tcW w:w="1453" w:type="dxa"/>
            <w:tcBorders>
              <w:bottom w:val="single" w:sz="8" w:space="0" w:color="000000"/>
            </w:tcBorders>
          </w:tcPr>
          <w:p>
            <w:pPr>
              <w:pStyle w:val="TableParagraph"/>
              <w:spacing w:before="4"/>
              <w:jc w:val="left"/>
              <w:rPr>
                <w:sz w:val="13"/>
              </w:rPr>
            </w:pPr>
          </w:p>
          <w:p>
            <w:pPr>
              <w:pStyle w:val="TableParagraph"/>
              <w:spacing w:before="1"/>
              <w:ind w:left="567" w:right="181"/>
              <w:rPr>
                <w:sz w:val="12"/>
              </w:rPr>
            </w:pPr>
            <w:r>
              <w:rPr>
                <w:w w:val="105"/>
                <w:sz w:val="12"/>
              </w:rPr>
              <w:t>Total IT</w:t>
            </w:r>
          </w:p>
        </w:tc>
        <w:tc>
          <w:tcPr>
            <w:tcW w:w="797" w:type="dxa"/>
            <w:tcBorders>
              <w:bottom w:val="single" w:sz="8" w:space="0" w:color="000000"/>
            </w:tcBorders>
          </w:tcPr>
          <w:p>
            <w:pPr>
              <w:pStyle w:val="TableParagraph"/>
              <w:spacing w:before="4"/>
              <w:jc w:val="left"/>
              <w:rPr>
                <w:sz w:val="13"/>
              </w:rPr>
            </w:pPr>
          </w:p>
          <w:p>
            <w:pPr>
              <w:pStyle w:val="TableParagraph"/>
              <w:tabs>
                <w:tab w:pos="892" w:val="left" w:leader="none"/>
              </w:tabs>
              <w:spacing w:before="1"/>
              <w:ind w:left="202" w:right="-96"/>
              <w:jc w:val="left"/>
              <w:rPr>
                <w:sz w:val="12"/>
              </w:rPr>
            </w:pPr>
            <w:r>
              <w:rPr>
                <w:w w:val="104"/>
                <w:sz w:val="12"/>
                <w:shd w:fill="F79646" w:color="auto" w:val="clear"/>
              </w:rPr>
              <w:t> </w:t>
            </w:r>
            <w:r>
              <w:rPr>
                <w:sz w:val="12"/>
                <w:shd w:fill="F79646" w:color="auto" w:val="clear"/>
              </w:rPr>
              <w:t>     </w:t>
            </w:r>
            <w:r>
              <w:rPr>
                <w:spacing w:val="-16"/>
                <w:sz w:val="12"/>
                <w:shd w:fill="F79646" w:color="auto" w:val="clear"/>
              </w:rPr>
              <w:t> </w:t>
            </w:r>
            <w:r>
              <w:rPr>
                <w:w w:val="105"/>
                <w:sz w:val="12"/>
                <w:shd w:fill="F79646" w:color="auto" w:val="clear"/>
              </w:rPr>
              <w:t>8.21</w:t>
            </w:r>
            <w:r>
              <w:rPr>
                <w:sz w:val="12"/>
                <w:shd w:fill="F79646" w:color="auto" w:val="clear"/>
              </w:rPr>
              <w:tab/>
            </w:r>
          </w:p>
        </w:tc>
        <w:tc>
          <w:tcPr>
            <w:tcW w:w="765" w:type="dxa"/>
            <w:tcBorders>
              <w:bottom w:val="single" w:sz="8" w:space="0" w:color="000000"/>
            </w:tcBorders>
          </w:tcPr>
          <w:p>
            <w:pPr>
              <w:pStyle w:val="TableParagraph"/>
              <w:spacing w:before="4"/>
              <w:jc w:val="left"/>
              <w:rPr>
                <w:sz w:val="13"/>
              </w:rPr>
            </w:pPr>
          </w:p>
          <w:p>
            <w:pPr>
              <w:pStyle w:val="TableParagraph"/>
              <w:spacing w:before="1"/>
              <w:ind w:left="85" w:right="-11"/>
              <w:rPr>
                <w:sz w:val="12"/>
              </w:rPr>
            </w:pPr>
            <w:r>
              <w:rPr>
                <w:w w:val="104"/>
                <w:sz w:val="12"/>
                <w:shd w:fill="FFFF00" w:color="auto" w:val="clear"/>
              </w:rPr>
              <w:t> </w:t>
            </w:r>
            <w:r>
              <w:rPr>
                <w:sz w:val="12"/>
                <w:shd w:fill="FFFF00" w:color="auto" w:val="clear"/>
              </w:rPr>
              <w:t>    </w:t>
            </w:r>
            <w:r>
              <w:rPr>
                <w:spacing w:val="-14"/>
                <w:sz w:val="12"/>
                <w:shd w:fill="FFFF00" w:color="auto" w:val="clear"/>
              </w:rPr>
              <w:t> </w:t>
            </w:r>
            <w:r>
              <w:rPr>
                <w:w w:val="105"/>
                <w:sz w:val="12"/>
                <w:shd w:fill="FFFF00" w:color="auto" w:val="clear"/>
              </w:rPr>
              <w:t>12.66</w:t>
            </w:r>
            <w:r>
              <w:rPr>
                <w:spacing w:val="-13"/>
                <w:sz w:val="12"/>
                <w:shd w:fill="FFFF00" w:color="auto" w:val="clear"/>
              </w:rPr>
              <w:t> </w:t>
            </w:r>
          </w:p>
        </w:tc>
        <w:tc>
          <w:tcPr>
            <w:tcW w:w="680" w:type="dxa"/>
            <w:tcBorders>
              <w:bottom w:val="single" w:sz="8" w:space="0" w:color="000000"/>
              <w:right w:val="single" w:sz="8" w:space="0" w:color="000000"/>
            </w:tcBorders>
          </w:tcPr>
          <w:p>
            <w:pPr>
              <w:pStyle w:val="TableParagraph"/>
              <w:spacing w:before="4"/>
              <w:jc w:val="left"/>
              <w:rPr>
                <w:sz w:val="13"/>
              </w:rPr>
            </w:pPr>
          </w:p>
          <w:p>
            <w:pPr>
              <w:pStyle w:val="TableParagraph"/>
              <w:spacing w:before="1"/>
              <w:ind w:left="98" w:right="84"/>
              <w:rPr>
                <w:sz w:val="12"/>
              </w:rPr>
            </w:pPr>
            <w:r>
              <w:rPr>
                <w:w w:val="105"/>
                <w:sz w:val="12"/>
              </w:rPr>
              <w:t>17</w:t>
            </w:r>
          </w:p>
        </w:tc>
      </w:tr>
    </w:tbl>
    <w:p>
      <w:pPr>
        <w:spacing w:before="136"/>
        <w:ind w:left="268" w:right="0" w:firstLine="0"/>
        <w:jc w:val="left"/>
        <w:rPr>
          <w:sz w:val="21"/>
        </w:rPr>
      </w:pPr>
      <w:r>
        <w:rPr/>
        <w:pict>
          <v:group style="position:absolute;margin-left:364.448486pt;margin-top:-134.797318pt;width:74.8pt;height:16.8pt;mso-position-horizontal-relative:page;mso-position-vertical-relative:paragraph;z-index:-1134616" coordorigin="7289,-2696" coordsize="1496,336">
            <v:line style="position:absolute" from="7294,-2690" to="7294,-2523" stroked="true" strokeweight=".523pt" strokecolor="#baf9f5"/>
            <v:rect style="position:absolute;left:7300;top:-2690;width:1485;height:168" filled="true" fillcolor="#baf9f5" stroked="false">
              <v:fill type="solid"/>
            </v:rect>
            <v:line style="position:absolute" from="7294,-2523" to="7294,-2366" stroked="true" strokeweight=".523pt" strokecolor="#baf9f5"/>
            <v:rect style="position:absolute;left:7300;top:-2523;width:1485;height:157" filled="true" fillcolor="#baf9f5" stroked="false">
              <v:fill type="solid"/>
            </v:rect>
            <w10:wrap type="none"/>
          </v:group>
        </w:pict>
      </w:r>
      <w:r>
        <w:rPr/>
        <w:pict>
          <v:shape style="position:absolute;margin-left:472.711029pt;margin-top:-134.522141pt;width:34.550pt;height:24.1pt;mso-position-horizontal-relative:page;mso-position-vertical-relative:paragraph;z-index:-1134592" coordorigin="9454,-2690" coordsize="691,482" path="m10145,-2523l9454,-2523,9454,-2376,9454,-2366,9454,-2209,10145,-2209,10145,-2366,10145,-2376,10145,-2523m10145,-2690l9454,-2690,9454,-2523,10145,-2523,10145,-2690e" filled="true" fillcolor="#ffff00" stroked="false">
            <v:path arrowok="t"/>
            <v:fill type="solid"/>
            <w10:wrap type="none"/>
          </v:shape>
        </w:pict>
      </w:r>
      <w:r>
        <w:rPr/>
        <w:pict>
          <v:group style="position:absolute;margin-left:364.448486pt;margin-top:-103.389328pt;width:74.8pt;height:16.8pt;mso-position-horizontal-relative:page;mso-position-vertical-relative:paragraph;z-index:-1134568" coordorigin="7289,-2068" coordsize="1496,336">
            <v:line style="position:absolute" from="7294,-2062" to="7294,-1895" stroked="true" strokeweight=".523pt" strokecolor="#baf9f5"/>
            <v:rect style="position:absolute;left:7300;top:-2062;width:1485;height:168" filled="true" fillcolor="#baf9f5" stroked="false">
              <v:fill type="solid"/>
            </v:rect>
            <v:line style="position:absolute" from="7294,-1895" to="7294,-1738" stroked="true" strokeweight=".523pt" strokecolor="#baf9f5"/>
            <v:rect style="position:absolute;left:7300;top:-1895;width:1485;height:157" filled="true" fillcolor="#baf9f5" stroked="false">
              <v:fill type="solid"/>
            </v:rect>
            <w10:wrap type="none"/>
          </v:group>
        </w:pict>
      </w:r>
      <w:r>
        <w:rPr/>
        <w:pict>
          <v:shape style="position:absolute;margin-left:472.711029pt;margin-top:-103.114136pt;width:34.550pt;height:24.1pt;mso-position-horizontal-relative:page;mso-position-vertical-relative:paragraph;z-index:-1134544" coordorigin="9454,-2062" coordsize="691,482" path="m10145,-2062l9454,-2062,9454,-1895,9454,-1748,9454,-1738,9454,-1581,10145,-1581,10145,-1738,10145,-1748,10145,-1895,10145,-2062e" filled="true" fillcolor="#ffff00" stroked="false">
            <v:path arrowok="t"/>
            <v:fill type="solid"/>
            <w10:wrap type="none"/>
          </v:shape>
        </w:pict>
      </w:r>
      <w:r>
        <w:rPr/>
        <w:pict>
          <v:group style="position:absolute;margin-left:364.448486pt;margin-top:-71.982323pt;width:74.8pt;height:40.35pt;mso-position-horizontal-relative:page;mso-position-vertical-relative:paragraph;z-index:-1134520" coordorigin="7289,-1440" coordsize="1496,807">
            <v:line style="position:absolute" from="7294,-1434" to="7294,-1267" stroked="true" strokeweight=".523pt" strokecolor="#baf9f5"/>
            <v:rect style="position:absolute;left:7300;top:-1434;width:1485;height:168" filled="true" fillcolor="#baf9f5" stroked="false">
              <v:fill type="solid"/>
            </v:rect>
            <v:line style="position:absolute" from="7294,-1267" to="7294,-1110" stroked="true" strokeweight=".523pt" strokecolor="#baf9f5"/>
            <v:rect style="position:absolute;left:7300;top:-1267;width:1485;height:157" filled="true" fillcolor="#baf9f5" stroked="false">
              <v:fill type="solid"/>
            </v:rect>
            <v:line style="position:absolute" from="7294,-1110" to="7294,-953" stroked="true" strokeweight=".523pt" strokecolor="#baf9f5"/>
            <v:rect style="position:absolute;left:7300;top:-1110;width:1485;height:157" filled="true" fillcolor="#baf9f5" stroked="false">
              <v:fill type="solid"/>
            </v:rect>
            <v:line style="position:absolute" from="7294,-953" to="7294,-796" stroked="true" strokeweight=".523pt" strokecolor="#baf9f5"/>
            <v:rect style="position:absolute;left:7300;top:-953;width:1485;height:157" filled="true" fillcolor="#baf9f5" stroked="false">
              <v:fill type="solid"/>
            </v:rect>
            <v:line style="position:absolute" from="7294,-796" to="7294,-638" stroked="true" strokeweight=".523pt" strokecolor="#baf9f5"/>
            <v:rect style="position:absolute;left:7300;top:-796;width:1485;height:157" filled="true" fillcolor="#baf9f5" stroked="false">
              <v:fill type="solid"/>
            </v:rect>
            <w10:wrap type="none"/>
          </v:group>
        </w:pict>
      </w:r>
      <w:r>
        <w:rPr/>
        <w:pict>
          <v:shape style="position:absolute;margin-left:472.711029pt;margin-top:-71.707130pt;width:34.550pt;height:47.65pt;mso-position-horizontal-relative:page;mso-position-vertical-relative:paragraph;z-index:-1134496" coordorigin="9454,-1434" coordsize="691,953" path="m10145,-796l9454,-796,9454,-649,9454,-638,9454,-481,10145,-481,10145,-638,10145,-649,10145,-796m10145,-953l9454,-953,9454,-796,10145,-796,10145,-953m10145,-1110l9454,-1110,9454,-953,10145,-953,10145,-1110m10145,-1267l9454,-1267,9454,-1110,10145,-1110,10145,-1267m10145,-1434l9454,-1434,9454,-1267,10145,-1267,10145,-1434e" filled="true" fillcolor="#ffff00" stroked="false">
            <v:path arrowok="t"/>
            <v:fill type="solid"/>
            <w10:wrap type="none"/>
          </v:shape>
        </w:pict>
      </w:r>
      <w:r>
        <w:rPr/>
        <w:pict>
          <v:rect style="position:absolute;margin-left:506.701996pt;margin-top:-16.743464pt;width:34.5142pt;height:8.37534pt;mso-position-horizontal-relative:page;mso-position-vertical-relative:paragraph;z-index:-1134472" filled="true" fillcolor="#67ed4d"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rPr>
          <w:sz w:val="20"/>
        </w:rPr>
      </w:pPr>
    </w:p>
    <w:p>
      <w:pPr>
        <w:pStyle w:val="BodyText"/>
        <w:spacing w:before="9"/>
        <w:rPr>
          <w:sz w:val="29"/>
        </w:rPr>
      </w:pPr>
    </w:p>
    <w:p>
      <w:pPr>
        <w:pStyle w:val="BodyText"/>
        <w:spacing w:before="70" w:after="24"/>
        <w:ind w:left="268"/>
      </w:pPr>
      <w:r>
        <w:rPr/>
        <w:pict>
          <v:line style="position:absolute;mso-position-horizontal-relative:page;mso-position-vertical-relative:paragraph;z-index:23584" from="93.199997pt,-37.804146pt" to="546.799997pt,-37.804146pt" stroked="true" strokeweight=".479981pt" strokecolor="#000000">
            <w10:wrap type="none"/>
          </v:line>
        </w:pict>
      </w:r>
      <w:r>
        <w:rPr/>
        <w:t>Tabla 57. Datos Rancho la Providencia</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02"/>
        <w:gridCol w:w="5243"/>
      </w:tblGrid>
      <w:tr>
        <w:trPr>
          <w:trHeight w:val="709" w:hRule="exact"/>
        </w:trPr>
        <w:tc>
          <w:tcPr>
            <w:tcW w:w="7845" w:type="dxa"/>
            <w:gridSpan w:val="2"/>
            <w:tcBorders>
              <w:left w:val="single" w:sz="8" w:space="0" w:color="000000"/>
              <w:bottom w:val="single" w:sz="8" w:space="0" w:color="BFBFBF"/>
              <w:right w:val="single" w:sz="8" w:space="0" w:color="000000"/>
            </w:tcBorders>
            <w:shd w:val="clear" w:color="auto" w:fill="0D0D0D"/>
          </w:tcPr>
          <w:p>
            <w:pPr>
              <w:pStyle w:val="TableParagraph"/>
              <w:spacing w:before="184"/>
              <w:ind w:left="2521"/>
              <w:jc w:val="left"/>
              <w:rPr>
                <w:b/>
                <w:sz w:val="24"/>
              </w:rPr>
            </w:pPr>
            <w:r>
              <w:rPr>
                <w:b/>
                <w:color w:val="FFFFFF"/>
                <w:sz w:val="24"/>
              </w:rPr>
              <w:t>Rancho la Providencia 1</w:t>
            </w:r>
          </w:p>
        </w:tc>
      </w:tr>
      <w:tr>
        <w:trPr>
          <w:trHeight w:val="300" w:hRule="exact"/>
        </w:trPr>
        <w:tc>
          <w:tcPr>
            <w:tcW w:w="2602" w:type="dxa"/>
            <w:tcBorders>
              <w:top w:val="single" w:sz="8" w:space="0" w:color="BFBFBF"/>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Empresa</w:t>
            </w:r>
          </w:p>
        </w:tc>
        <w:tc>
          <w:tcPr>
            <w:tcW w:w="5243" w:type="dxa"/>
            <w:tcBorders>
              <w:top w:val="single" w:sz="8" w:space="0" w:color="BFBFBF"/>
              <w:left w:val="single" w:sz="8" w:space="0" w:color="000000"/>
              <w:bottom w:val="single" w:sz="8" w:space="0" w:color="000000"/>
              <w:right w:val="single" w:sz="8" w:space="0" w:color="000000"/>
            </w:tcBorders>
          </w:tcPr>
          <w:p>
            <w:pPr>
              <w:pStyle w:val="TableParagraph"/>
              <w:spacing w:line="274" w:lineRule="exact"/>
              <w:ind w:left="242" w:right="251"/>
              <w:rPr>
                <w:rFonts w:ascii="Calibri" w:hAnsi="Calibri"/>
                <w:sz w:val="24"/>
              </w:rPr>
            </w:pPr>
            <w:r>
              <w:rPr>
                <w:rFonts w:ascii="Calibri" w:hAnsi="Calibri"/>
                <w:sz w:val="24"/>
              </w:rPr>
              <w:t>Proyectos Inmobiliarios de Culiacán, S.A. de C.V.</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Tipo de vivienda</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26" w:right="251"/>
              <w:rPr>
                <w:rFonts w:ascii="Calibri"/>
                <w:sz w:val="24"/>
              </w:rPr>
            </w:pPr>
            <w:r>
              <w:rPr>
                <w:rFonts w:ascii="Calibri"/>
                <w:sz w:val="24"/>
              </w:rPr>
              <w:t>Medio</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No. de viviendas</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38" w:right="251"/>
              <w:rPr>
                <w:rFonts w:ascii="Calibri"/>
                <w:sz w:val="24"/>
              </w:rPr>
            </w:pPr>
            <w:r>
              <w:rPr>
                <w:rFonts w:ascii="Calibri"/>
                <w:sz w:val="24"/>
              </w:rPr>
              <w:t>310</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V. Medio</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38" w:right="251"/>
              <w:rPr>
                <w:rFonts w:ascii="Calibri"/>
                <w:sz w:val="24"/>
              </w:rPr>
            </w:pPr>
            <w:r>
              <w:rPr>
                <w:rFonts w:ascii="Calibri"/>
                <w:sz w:val="24"/>
              </w:rPr>
              <w:t>310</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V. Interés Social</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right="16"/>
              <w:rPr>
                <w:rFonts w:ascii="Calibri"/>
                <w:sz w:val="24"/>
              </w:rPr>
            </w:pPr>
            <w:r>
              <w:rPr>
                <w:rFonts w:ascii="Calibri"/>
                <w:w w:val="100"/>
                <w:sz w:val="24"/>
              </w:rPr>
              <w:t>0</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V. Residencial</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right="16"/>
              <w:rPr>
                <w:rFonts w:ascii="Calibri"/>
                <w:sz w:val="24"/>
              </w:rPr>
            </w:pPr>
            <w:r>
              <w:rPr>
                <w:rFonts w:ascii="Calibri"/>
                <w:w w:val="100"/>
                <w:sz w:val="24"/>
              </w:rPr>
              <w:t>0</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Manzanas</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37" w:right="251"/>
              <w:rPr>
                <w:rFonts w:ascii="Calibri"/>
                <w:sz w:val="24"/>
              </w:rPr>
            </w:pPr>
            <w:r>
              <w:rPr>
                <w:rFonts w:ascii="Calibri"/>
                <w:sz w:val="24"/>
              </w:rPr>
              <w:t>15</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Lotes</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38" w:right="251"/>
              <w:rPr>
                <w:rFonts w:ascii="Calibri"/>
                <w:sz w:val="24"/>
              </w:rPr>
            </w:pPr>
            <w:r>
              <w:rPr>
                <w:rFonts w:ascii="Calibri"/>
                <w:sz w:val="24"/>
              </w:rPr>
              <w:t>317</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Superficie CU (m2)</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42" w:right="244"/>
              <w:rPr>
                <w:rFonts w:ascii="Calibri"/>
                <w:sz w:val="24"/>
              </w:rPr>
            </w:pPr>
            <w:r>
              <w:rPr>
                <w:rFonts w:ascii="Calibri"/>
                <w:sz w:val="24"/>
              </w:rPr>
              <w:t>132,355.320</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Pob. Beneficiada</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20" w:right="251"/>
              <w:rPr>
                <w:rFonts w:ascii="Calibri"/>
                <w:sz w:val="24"/>
              </w:rPr>
            </w:pPr>
            <w:r>
              <w:rPr>
                <w:rFonts w:ascii="Calibri"/>
                <w:sz w:val="24"/>
              </w:rPr>
              <w:t>1,395</w:t>
            </w:r>
          </w:p>
        </w:tc>
      </w:tr>
      <w:tr>
        <w:trPr>
          <w:trHeight w:val="4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before="24"/>
              <w:ind w:left="40"/>
              <w:jc w:val="left"/>
              <w:rPr>
                <w:b/>
                <w:sz w:val="24"/>
              </w:rPr>
            </w:pPr>
            <w:r>
              <w:rPr>
                <w:b/>
                <w:sz w:val="24"/>
              </w:rPr>
              <w:t>Fecha de publicación</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before="21"/>
              <w:ind w:left="229" w:right="251"/>
              <w:rPr>
                <w:rFonts w:ascii="Calibri"/>
                <w:sz w:val="24"/>
              </w:rPr>
            </w:pPr>
            <w:r>
              <w:rPr>
                <w:rFonts w:ascii="Calibri"/>
                <w:sz w:val="24"/>
              </w:rPr>
              <w:t>23/02/10</w:t>
            </w:r>
          </w:p>
        </w:tc>
      </w:tr>
    </w:tbl>
    <w:p>
      <w:pPr>
        <w:spacing w:before="212"/>
        <w:ind w:left="268" w:right="0" w:firstLine="0"/>
        <w:jc w:val="left"/>
        <w:rPr>
          <w:sz w:val="21"/>
        </w:rPr>
      </w:pPr>
      <w:r>
        <w:rPr>
          <w:w w:val="105"/>
          <w:sz w:val="21"/>
        </w:rPr>
        <w:t>Fuente: Elaboración propia con base al estudio realizado.</w:t>
      </w:r>
    </w:p>
    <w:p>
      <w:pPr>
        <w:pStyle w:val="BodyText"/>
        <w:rPr>
          <w:sz w:val="22"/>
        </w:rPr>
      </w:pPr>
    </w:p>
    <w:p>
      <w:pPr>
        <w:pStyle w:val="BodyText"/>
        <w:rPr>
          <w:sz w:val="22"/>
        </w:rPr>
      </w:pPr>
    </w:p>
    <w:p>
      <w:pPr>
        <w:pStyle w:val="BodyText"/>
        <w:spacing w:before="131" w:after="17"/>
        <w:ind w:left="268"/>
      </w:pPr>
      <w:r>
        <w:rPr/>
        <w:pict>
          <v:group style="position:absolute;margin-left:362.761505pt;margin-top:55.065556pt;width:76.150pt;height:40.5pt;mso-position-horizontal-relative:page;mso-position-vertical-relative:paragraph;z-index:-1134424" coordorigin="7255,1101" coordsize="1523,810">
            <v:line style="position:absolute" from="7261,1107" to="7261,1275" stroked="true" strokeweight=".525pt" strokecolor="#baf9f5"/>
            <v:shape style="position:absolute;left:7266;top:1107;width:1512;height:641" coordorigin="7266,1107" coordsize="1512,641" path="m8777,1107l7266,1107,7266,1264,7266,1275,7266,1432,7266,1590,7266,1748,8777,1748,8777,1590,8777,1432,8777,1275,8777,1264,8777,1107e" filled="true" fillcolor="#baf9f5" stroked="false">
              <v:path arrowok="t"/>
              <v:fill type="solid"/>
            </v:shape>
            <v:line style="position:absolute" from="7261,1264" to="7261,1905" stroked="true" strokeweight=".525pt" strokecolor="#baf9f5"/>
            <v:rect style="position:absolute;left:7266;top:1748;width:1511;height:158" filled="true" fillcolor="#baf9f5" stroked="false">
              <v:fill type="solid"/>
            </v:rect>
            <w10:wrap type="none"/>
          </v:group>
        </w:pict>
      </w:r>
      <w:r>
        <w:rPr/>
        <w:pict>
          <v:group style="position:absolute;margin-left:362.761505pt;margin-top:110.211449pt;width:76.150pt;height:64.1pt;mso-position-horizontal-relative:page;mso-position-vertical-relative:paragraph;z-index:-1134400" coordorigin="7255,2204" coordsize="1523,1282">
            <v:line style="position:absolute" from="7261,2210" to="7261,2378" stroked="true" strokeweight=".525pt" strokecolor="#baf9f5"/>
            <v:rect style="position:absolute;left:7266;top:2210;width:1511;height:168" filled="true" fillcolor="#baf9f5" stroked="false">
              <v:fill type="solid"/>
            </v:rect>
            <v:line style="position:absolute" from="7261,2378" to="7261,2535" stroked="true" strokeweight=".525pt" strokecolor="#baf9f5"/>
            <v:rect style="position:absolute;left:7266;top:2378;width:1511;height:158" filled="true" fillcolor="#baf9f5" stroked="false">
              <v:fill type="solid"/>
            </v:rect>
            <v:line style="position:absolute" from="7261,2535" to="7261,2693" stroked="true" strokeweight=".525pt" strokecolor="#baf9f5"/>
            <v:rect style="position:absolute;left:7266;top:2535;width:1511;height:158" filled="true" fillcolor="#baf9f5" stroked="false">
              <v:fill type="solid"/>
            </v:rect>
            <v:line style="position:absolute" from="7261,2693" to="7261,2850" stroked="true" strokeweight=".525pt" strokecolor="#baf9f5"/>
            <v:rect style="position:absolute;left:7266;top:2693;width:1511;height:158" filled="true" fillcolor="#baf9f5" stroked="false">
              <v:fill type="solid"/>
            </v:rect>
            <v:line style="position:absolute" from="7261,2850" to="7261,3008" stroked="true" strokeweight=".525pt" strokecolor="#baf9f5"/>
            <v:rect style="position:absolute;left:7266;top:2850;width:1511;height:158" filled="true" fillcolor="#baf9f5" stroked="false">
              <v:fill type="solid"/>
            </v:rect>
            <v:line style="position:absolute" from="7261,3008" to="7261,3166" stroked="true" strokeweight=".525pt" strokecolor="#baf9f5"/>
            <v:rect style="position:absolute;left:7266;top:3008;width:1511;height:158" filled="true" fillcolor="#baf9f5" stroked="false">
              <v:fill type="solid"/>
            </v:rect>
            <v:line style="position:absolute" from="7261,3166" to="7261,3323" stroked="true" strokeweight=".525pt" strokecolor="#baf9f5"/>
            <v:rect style="position:absolute;left:7266;top:3166;width:1511;height:158" filled="true" fillcolor="#baf9f5" stroked="false">
              <v:fill type="solid"/>
            </v:rect>
            <v:line style="position:absolute" from="7261,3323" to="7261,3481" stroked="true" strokeweight=".525pt" strokecolor="#baf9f5"/>
            <v:rect style="position:absolute;left:7266;top:3323;width:1511;height:158" filled="true" fillcolor="#baf9f5" stroked="false">
              <v:fill type="solid"/>
            </v:rect>
            <w10:wrap type="none"/>
          </v:group>
        </w:pict>
      </w:r>
      <w:r>
        <w:rPr/>
        <w:pict>
          <v:shape style="position:absolute;margin-left:472.455017pt;margin-top:110.486832pt;width:34.65pt;height:71.45pt;mso-position-horizontal-relative:page;mso-position-vertical-relative:paragraph;z-index:-1134376" coordorigin="9449,2210" coordsize="693,1429" path="m10142,2535l9449,2535,9449,2693,9449,2850,9449,3008,9449,3166,9449,3323,9449,3323,9449,3470,9449,3481,9449,3638,10142,3638,10142,3481,10142,3470,10142,3323,10142,3323,10142,3166,10142,3008,10142,2850,10142,2693,10142,2535m10142,2210l9449,2210,9449,2378,9449,2535,10142,2535,10142,2378,10142,2210e" filled="true" fillcolor="#ffff00" stroked="false">
            <v:path arrowok="t"/>
            <v:fill type="solid"/>
            <w10:wrap type="none"/>
          </v:shape>
        </w:pict>
      </w:r>
      <w:r>
        <w:rPr/>
        <w:t>Tabla 58. ISA Rancho la Providencia</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8"/>
        <w:gridCol w:w="2069"/>
        <w:gridCol w:w="2096"/>
        <w:gridCol w:w="1785"/>
        <w:gridCol w:w="890"/>
        <w:gridCol w:w="683"/>
        <w:gridCol w:w="681"/>
      </w:tblGrid>
      <w:tr>
        <w:trPr>
          <w:trHeight w:val="446" w:hRule="exact"/>
        </w:trPr>
        <w:tc>
          <w:tcPr>
            <w:tcW w:w="8822" w:type="dxa"/>
            <w:gridSpan w:val="7"/>
            <w:tcBorders>
              <w:bottom w:val="nil"/>
              <w:right w:val="single" w:sz="4" w:space="0" w:color="CB5AD4"/>
            </w:tcBorders>
            <w:shd w:val="clear" w:color="auto" w:fill="000000"/>
          </w:tcPr>
          <w:p>
            <w:pPr>
              <w:pStyle w:val="TableParagraph"/>
              <w:spacing w:line="273" w:lineRule="auto" w:before="71"/>
              <w:ind w:left="3468" w:right="3430" w:firstLine="272"/>
              <w:jc w:val="left"/>
              <w:rPr>
                <w:b/>
                <w:sz w:val="12"/>
              </w:rPr>
            </w:pPr>
            <w:r>
              <w:rPr>
                <w:b/>
                <w:color w:val="FFFFFF"/>
                <w:w w:val="105"/>
                <w:sz w:val="12"/>
              </w:rPr>
              <w:t>Rancho la Providencia Índice de sustentabilidad social</w:t>
            </w:r>
          </w:p>
        </w:tc>
      </w:tr>
      <w:tr>
        <w:trPr>
          <w:trHeight w:val="200" w:hRule="exact"/>
        </w:trPr>
        <w:tc>
          <w:tcPr>
            <w:tcW w:w="618" w:type="dxa"/>
            <w:tcBorders>
              <w:top w:val="single" w:sz="4" w:space="0" w:color="FFFFFF"/>
              <w:left w:val="single" w:sz="4" w:space="0" w:color="000000"/>
            </w:tcBorders>
            <w:shd w:val="clear" w:color="auto" w:fill="808080"/>
          </w:tcPr>
          <w:p>
            <w:pPr>
              <w:pStyle w:val="TableParagraph"/>
              <w:spacing w:line="136" w:lineRule="exact"/>
              <w:ind w:left="137" w:right="71"/>
              <w:rPr>
                <w:b/>
                <w:sz w:val="12"/>
              </w:rPr>
            </w:pPr>
            <w:r>
              <w:rPr>
                <w:b/>
                <w:color w:val="FFFFFF"/>
                <w:w w:val="105"/>
                <w:sz w:val="12"/>
              </w:rPr>
              <w:t>Índice</w:t>
            </w:r>
          </w:p>
        </w:tc>
        <w:tc>
          <w:tcPr>
            <w:tcW w:w="2069" w:type="dxa"/>
            <w:tcBorders>
              <w:top w:val="single" w:sz="4" w:space="0" w:color="FFFFFF"/>
            </w:tcBorders>
            <w:shd w:val="clear" w:color="auto" w:fill="808080"/>
          </w:tcPr>
          <w:p>
            <w:pPr>
              <w:pStyle w:val="TableParagraph"/>
              <w:spacing w:line="136" w:lineRule="exact"/>
              <w:ind w:left="90"/>
              <w:jc w:val="left"/>
              <w:rPr>
                <w:b/>
                <w:sz w:val="12"/>
              </w:rPr>
            </w:pPr>
            <w:r>
              <w:rPr>
                <w:b/>
                <w:color w:val="FFFFFF"/>
                <w:w w:val="105"/>
                <w:sz w:val="12"/>
              </w:rPr>
              <w:t>Subíndice</w:t>
            </w:r>
          </w:p>
        </w:tc>
        <w:tc>
          <w:tcPr>
            <w:tcW w:w="2096" w:type="dxa"/>
            <w:tcBorders>
              <w:top w:val="single" w:sz="4" w:space="0" w:color="FFFFFF"/>
            </w:tcBorders>
            <w:shd w:val="clear" w:color="auto" w:fill="808080"/>
          </w:tcPr>
          <w:p>
            <w:pPr>
              <w:pStyle w:val="TableParagraph"/>
              <w:spacing w:line="136" w:lineRule="exact"/>
              <w:ind w:left="121" w:right="740"/>
              <w:jc w:val="left"/>
              <w:rPr>
                <w:b/>
                <w:sz w:val="12"/>
              </w:rPr>
            </w:pPr>
            <w:r>
              <w:rPr>
                <w:b/>
                <w:color w:val="FFFFFF"/>
                <w:w w:val="105"/>
                <w:sz w:val="12"/>
              </w:rPr>
              <w:t>Indicador</w:t>
            </w:r>
          </w:p>
        </w:tc>
        <w:tc>
          <w:tcPr>
            <w:tcW w:w="1785" w:type="dxa"/>
            <w:tcBorders>
              <w:top w:val="single" w:sz="4" w:space="0" w:color="FFFFFF"/>
            </w:tcBorders>
            <w:shd w:val="clear" w:color="auto" w:fill="808080"/>
          </w:tcPr>
          <w:p>
            <w:pPr/>
          </w:p>
        </w:tc>
        <w:tc>
          <w:tcPr>
            <w:tcW w:w="890" w:type="dxa"/>
            <w:tcBorders>
              <w:top w:val="single" w:sz="4" w:space="0" w:color="FFFFFF"/>
            </w:tcBorders>
            <w:shd w:val="clear" w:color="auto" w:fill="808080"/>
          </w:tcPr>
          <w:p>
            <w:pPr>
              <w:pStyle w:val="TableParagraph"/>
              <w:spacing w:line="136" w:lineRule="exact"/>
              <w:ind w:left="260"/>
              <w:jc w:val="left"/>
              <w:rPr>
                <w:b/>
                <w:sz w:val="12"/>
              </w:rPr>
            </w:pPr>
            <w:r>
              <w:rPr>
                <w:b/>
                <w:color w:val="FFFFFF"/>
                <w:w w:val="105"/>
                <w:sz w:val="12"/>
              </w:rPr>
              <w:t>Valores</w:t>
            </w:r>
          </w:p>
        </w:tc>
        <w:tc>
          <w:tcPr>
            <w:tcW w:w="683" w:type="dxa"/>
            <w:tcBorders>
              <w:top w:val="single" w:sz="4" w:space="0" w:color="FFFFFF"/>
            </w:tcBorders>
            <w:shd w:val="clear" w:color="auto" w:fill="808080"/>
          </w:tcPr>
          <w:p>
            <w:pPr/>
          </w:p>
        </w:tc>
        <w:tc>
          <w:tcPr>
            <w:tcW w:w="681" w:type="dxa"/>
            <w:tcBorders>
              <w:top w:val="single" w:sz="4" w:space="0" w:color="FFFFFF"/>
              <w:right w:val="single" w:sz="8" w:space="0" w:color="000000"/>
            </w:tcBorders>
            <w:shd w:val="clear" w:color="auto" w:fill="808080"/>
          </w:tcPr>
          <w:p>
            <w:pPr/>
          </w:p>
        </w:tc>
      </w:tr>
      <w:tr>
        <w:trPr>
          <w:trHeight w:val="199" w:hRule="exact"/>
        </w:trPr>
        <w:tc>
          <w:tcPr>
            <w:tcW w:w="618" w:type="dxa"/>
            <w:vMerge w:val="restart"/>
            <w:tcBorders>
              <w:left w:val="single" w:sz="4" w:space="0" w:color="000000"/>
            </w:tcBorders>
          </w:tcPr>
          <w:p>
            <w:pPr/>
          </w:p>
        </w:tc>
        <w:tc>
          <w:tcPr>
            <w:tcW w:w="2069" w:type="dxa"/>
            <w:vMerge w:val="restart"/>
          </w:tcPr>
          <w:p>
            <w:pPr>
              <w:pStyle w:val="TableParagraph"/>
              <w:jc w:val="left"/>
              <w:rPr>
                <w:sz w:val="12"/>
              </w:rPr>
            </w:pPr>
          </w:p>
          <w:p>
            <w:pPr>
              <w:pStyle w:val="TableParagraph"/>
              <w:jc w:val="left"/>
              <w:rPr>
                <w:sz w:val="12"/>
              </w:rPr>
            </w:pPr>
          </w:p>
          <w:p>
            <w:pPr>
              <w:pStyle w:val="TableParagraph"/>
              <w:spacing w:before="6"/>
              <w:jc w:val="left"/>
              <w:rPr>
                <w:sz w:val="13"/>
              </w:rPr>
            </w:pPr>
          </w:p>
          <w:p>
            <w:pPr>
              <w:pStyle w:val="TableParagraph"/>
              <w:ind w:left="90"/>
              <w:jc w:val="left"/>
              <w:rPr>
                <w:rFonts w:ascii="Calibri"/>
                <w:sz w:val="12"/>
              </w:rPr>
            </w:pPr>
            <w:r>
              <w:rPr>
                <w:rFonts w:ascii="Calibri"/>
                <w:w w:val="105"/>
                <w:sz w:val="12"/>
              </w:rPr>
              <w:t>Habitabilidad</w:t>
            </w:r>
          </w:p>
        </w:tc>
        <w:tc>
          <w:tcPr>
            <w:tcW w:w="2096" w:type="dxa"/>
            <w:vMerge w:val="restart"/>
          </w:tcPr>
          <w:p>
            <w:pPr>
              <w:pStyle w:val="TableParagraph"/>
              <w:spacing w:before="5"/>
              <w:jc w:val="left"/>
              <w:rPr>
                <w:sz w:val="17"/>
              </w:rPr>
            </w:pPr>
          </w:p>
          <w:p>
            <w:pPr>
              <w:pStyle w:val="TableParagraph"/>
              <w:spacing w:line="259" w:lineRule="auto"/>
              <w:ind w:left="121" w:right="740"/>
              <w:jc w:val="left"/>
              <w:rPr>
                <w:rFonts w:ascii="Calibri" w:hAnsi="Calibri"/>
                <w:sz w:val="12"/>
              </w:rPr>
            </w:pPr>
            <w:r>
              <w:rPr>
                <w:rFonts w:ascii="Calibri" w:hAnsi="Calibri"/>
                <w:w w:val="105"/>
                <w:sz w:val="12"/>
              </w:rPr>
              <w:t>Espacios habitables Metros de construcción Metros de terreno Hacinamiento</w:t>
            </w:r>
          </w:p>
        </w:tc>
        <w:tc>
          <w:tcPr>
            <w:tcW w:w="1785" w:type="dxa"/>
            <w:vMerge w:val="restart"/>
          </w:tcPr>
          <w:p>
            <w:pPr>
              <w:pStyle w:val="TableParagraph"/>
              <w:spacing w:before="45"/>
              <w:ind w:left="891" w:right="188"/>
              <w:rPr>
                <w:b/>
                <w:sz w:val="12"/>
              </w:rPr>
            </w:pPr>
            <w:r>
              <w:rPr>
                <w:b/>
                <w:w w:val="105"/>
                <w:sz w:val="12"/>
              </w:rPr>
              <w:t>Evaluación</w:t>
            </w:r>
          </w:p>
          <w:p>
            <w:pPr>
              <w:pStyle w:val="TableParagraph"/>
              <w:spacing w:before="18"/>
              <w:ind w:left="890" w:right="188"/>
              <w:rPr>
                <w:rFonts w:ascii="Calibri"/>
                <w:sz w:val="12"/>
              </w:rPr>
            </w:pPr>
            <w:r>
              <w:rPr>
                <w:rFonts w:ascii="Calibri"/>
                <w:w w:val="105"/>
                <w:sz w:val="12"/>
              </w:rPr>
              <w:t>0.7</w:t>
            </w:r>
          </w:p>
          <w:p>
            <w:pPr>
              <w:pStyle w:val="TableParagraph"/>
              <w:spacing w:before="11"/>
              <w:ind w:left="890" w:right="188"/>
              <w:rPr>
                <w:rFonts w:ascii="Calibri"/>
                <w:sz w:val="12"/>
              </w:rPr>
            </w:pPr>
            <w:r>
              <w:rPr>
                <w:rFonts w:ascii="Calibri"/>
                <w:w w:val="105"/>
                <w:sz w:val="12"/>
              </w:rPr>
              <w:t>0.9</w:t>
            </w:r>
          </w:p>
          <w:p>
            <w:pPr>
              <w:pStyle w:val="TableParagraph"/>
              <w:spacing w:before="11"/>
              <w:ind w:right="502"/>
              <w:jc w:val="right"/>
              <w:rPr>
                <w:rFonts w:ascii="Calibri"/>
                <w:sz w:val="12"/>
              </w:rPr>
            </w:pPr>
            <w:r>
              <w:rPr>
                <w:rFonts w:ascii="Calibri"/>
                <w:w w:val="104"/>
                <w:sz w:val="12"/>
              </w:rPr>
              <w:t>1</w:t>
            </w:r>
          </w:p>
          <w:p>
            <w:pPr>
              <w:pStyle w:val="TableParagraph"/>
              <w:spacing w:before="11"/>
              <w:ind w:right="502"/>
              <w:jc w:val="right"/>
              <w:rPr>
                <w:rFonts w:ascii="Calibri"/>
                <w:sz w:val="12"/>
              </w:rPr>
            </w:pPr>
            <w:r>
              <w:rPr>
                <w:rFonts w:ascii="Calibri"/>
                <w:w w:val="104"/>
                <w:sz w:val="12"/>
              </w:rPr>
              <w:t>1</w:t>
            </w:r>
          </w:p>
          <w:p>
            <w:pPr>
              <w:pStyle w:val="TableParagraph"/>
              <w:spacing w:before="11"/>
              <w:ind w:left="888" w:right="188"/>
              <w:rPr>
                <w:rFonts w:ascii="Calibri"/>
                <w:sz w:val="12"/>
              </w:rPr>
            </w:pPr>
            <w:r>
              <w:rPr>
                <w:rFonts w:ascii="Calibri"/>
                <w:w w:val="105"/>
                <w:sz w:val="12"/>
              </w:rPr>
              <w:t>Subtotal</w:t>
            </w:r>
          </w:p>
        </w:tc>
        <w:tc>
          <w:tcPr>
            <w:tcW w:w="890" w:type="dxa"/>
            <w:vMerge w:val="restart"/>
          </w:tcPr>
          <w:p>
            <w:pPr>
              <w:pStyle w:val="TableParagraph"/>
              <w:tabs>
                <w:tab w:pos="900" w:val="left" w:leader="none"/>
              </w:tabs>
              <w:spacing w:before="45"/>
              <w:ind w:left="208" w:right="-11"/>
              <w:jc w:val="left"/>
              <w:rPr>
                <w:b/>
                <w:sz w:val="12"/>
              </w:rPr>
            </w:pPr>
            <w:r>
              <w:rPr>
                <w:b/>
                <w:w w:val="104"/>
                <w:sz w:val="12"/>
                <w:shd w:fill="F79646" w:color="auto" w:val="clear"/>
              </w:rPr>
              <w:t> </w:t>
            </w:r>
            <w:r>
              <w:rPr>
                <w:b/>
                <w:sz w:val="12"/>
                <w:shd w:fill="F79646" w:color="auto" w:val="clear"/>
              </w:rPr>
              <w:t>    </w:t>
            </w:r>
            <w:r>
              <w:rPr>
                <w:b/>
                <w:spacing w:val="8"/>
                <w:sz w:val="12"/>
                <w:shd w:fill="F79646" w:color="auto" w:val="clear"/>
              </w:rPr>
              <w:t> </w:t>
            </w:r>
            <w:r>
              <w:rPr>
                <w:b/>
                <w:w w:val="105"/>
                <w:sz w:val="12"/>
                <w:shd w:fill="F79646" w:color="auto" w:val="clear"/>
              </w:rPr>
              <w:t>Real</w:t>
            </w:r>
            <w:r>
              <w:rPr>
                <w:b/>
                <w:sz w:val="12"/>
                <w:shd w:fill="F79646" w:color="auto" w:val="clear"/>
              </w:rPr>
              <w:tab/>
            </w: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tabs>
                <w:tab w:pos="470" w:val="left" w:leader="none"/>
                <w:tab w:pos="900" w:val="left" w:leader="none"/>
              </w:tabs>
              <w:spacing w:before="96"/>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3.6</w:t>
            </w:r>
            <w:r>
              <w:rPr>
                <w:rFonts w:ascii="Calibri"/>
                <w:sz w:val="12"/>
                <w:shd w:fill="F79646" w:color="auto" w:val="clear"/>
              </w:rPr>
              <w:tab/>
            </w:r>
          </w:p>
        </w:tc>
        <w:tc>
          <w:tcPr>
            <w:tcW w:w="683" w:type="dxa"/>
            <w:tcBorders>
              <w:right w:val="single" w:sz="4" w:space="0" w:color="FFFFFF"/>
            </w:tcBorders>
            <w:shd w:val="clear" w:color="auto" w:fill="FFFF00"/>
          </w:tcPr>
          <w:p>
            <w:pPr>
              <w:pStyle w:val="TableParagraph"/>
              <w:spacing w:before="45"/>
              <w:ind w:left="53" w:right="31"/>
              <w:rPr>
                <w:b/>
                <w:sz w:val="12"/>
              </w:rPr>
            </w:pPr>
            <w:r>
              <w:rPr>
                <w:b/>
                <w:w w:val="105"/>
                <w:sz w:val="12"/>
              </w:rPr>
              <w:t>Deseable</w:t>
            </w:r>
          </w:p>
        </w:tc>
        <w:tc>
          <w:tcPr>
            <w:tcW w:w="681" w:type="dxa"/>
            <w:tcBorders>
              <w:left w:val="single" w:sz="4" w:space="0" w:color="FFFFFF"/>
              <w:right w:val="single" w:sz="8" w:space="0" w:color="000000"/>
            </w:tcBorders>
            <w:shd w:val="clear" w:color="auto" w:fill="67ED4D"/>
          </w:tcPr>
          <w:p>
            <w:pPr>
              <w:pStyle w:val="TableParagraph"/>
              <w:spacing w:before="45"/>
              <w:ind w:left="99" w:right="85"/>
              <w:rPr>
                <w:b/>
                <w:sz w:val="12"/>
              </w:rPr>
            </w:pPr>
            <w:r>
              <w:rPr>
                <w:b/>
                <w:w w:val="105"/>
                <w:sz w:val="12"/>
              </w:rPr>
              <w:t>Óptimo</w:t>
            </w:r>
          </w:p>
        </w:tc>
      </w:tr>
      <w:tr>
        <w:trPr>
          <w:trHeight w:val="159" w:hRule="exact"/>
        </w:trPr>
        <w:tc>
          <w:tcPr>
            <w:tcW w:w="618" w:type="dxa"/>
            <w:vMerge/>
            <w:tcBorders>
              <w:left w:val="single" w:sz="4" w:space="0" w:color="000000"/>
            </w:tcBorders>
          </w:tcPr>
          <w:p>
            <w:pPr/>
          </w:p>
        </w:tc>
        <w:tc>
          <w:tcPr>
            <w:tcW w:w="2069" w:type="dxa"/>
            <w:vMerge/>
          </w:tcPr>
          <w:p>
            <w:pPr/>
          </w:p>
        </w:tc>
        <w:tc>
          <w:tcPr>
            <w:tcW w:w="2096" w:type="dxa"/>
            <w:vMerge/>
          </w:tcPr>
          <w:p>
            <w:pPr/>
          </w:p>
        </w:tc>
        <w:tc>
          <w:tcPr>
            <w:tcW w:w="1785" w:type="dxa"/>
            <w:vMerge/>
          </w:tcPr>
          <w:p>
            <w:pPr/>
          </w:p>
        </w:tc>
        <w:tc>
          <w:tcPr>
            <w:tcW w:w="890" w:type="dxa"/>
            <w:vMerge/>
          </w:tcPr>
          <w:p>
            <w:pPr/>
          </w:p>
        </w:tc>
        <w:tc>
          <w:tcPr>
            <w:tcW w:w="683" w:type="dxa"/>
            <w:tcBorders>
              <w:right w:val="single" w:sz="4" w:space="0" w:color="FFFFFF"/>
            </w:tcBorders>
            <w:shd w:val="clear" w:color="auto" w:fill="FFFF00"/>
          </w:tcPr>
          <w:p>
            <w:pPr>
              <w:pStyle w:val="TableParagraph"/>
              <w:spacing w:before="1"/>
              <w:ind w:left="37" w:right="31"/>
              <w:rPr>
                <w:rFonts w:ascii="Calibri"/>
                <w:sz w:val="12"/>
              </w:rPr>
            </w:pPr>
            <w:r>
              <w:rPr>
                <w:rFonts w:ascii="Calibri"/>
                <w:w w:val="105"/>
                <w:sz w:val="12"/>
              </w:rPr>
              <w:t>0.7</w:t>
            </w:r>
          </w:p>
        </w:tc>
        <w:tc>
          <w:tcPr>
            <w:tcW w:w="681" w:type="dxa"/>
            <w:tcBorders>
              <w:left w:val="single" w:sz="4" w:space="0" w:color="FFFFFF"/>
              <w:right w:val="single" w:sz="8" w:space="0" w:color="000000"/>
            </w:tcBorders>
            <w:shd w:val="clear" w:color="auto" w:fill="67ED4D"/>
          </w:tcPr>
          <w:p>
            <w:pPr>
              <w:pStyle w:val="TableParagraph"/>
              <w:spacing w:before="1"/>
              <w:ind w:left="15"/>
              <w:rPr>
                <w:rFonts w:ascii="Calibri"/>
                <w:sz w:val="12"/>
              </w:rPr>
            </w:pPr>
            <w:r>
              <w:rPr>
                <w:rFonts w:ascii="Calibri"/>
                <w:w w:val="104"/>
                <w:sz w:val="12"/>
              </w:rPr>
              <w:t>1</w:t>
            </w:r>
          </w:p>
        </w:tc>
      </w:tr>
      <w:tr>
        <w:trPr>
          <w:trHeight w:val="158" w:hRule="exact"/>
        </w:trPr>
        <w:tc>
          <w:tcPr>
            <w:tcW w:w="618" w:type="dxa"/>
            <w:vMerge/>
            <w:tcBorders>
              <w:left w:val="single" w:sz="4" w:space="0" w:color="000000"/>
            </w:tcBorders>
          </w:tcPr>
          <w:p>
            <w:pPr/>
          </w:p>
        </w:tc>
        <w:tc>
          <w:tcPr>
            <w:tcW w:w="2069" w:type="dxa"/>
            <w:vMerge/>
          </w:tcPr>
          <w:p>
            <w:pPr/>
          </w:p>
        </w:tc>
        <w:tc>
          <w:tcPr>
            <w:tcW w:w="2096" w:type="dxa"/>
            <w:vMerge/>
          </w:tcPr>
          <w:p>
            <w:pPr/>
          </w:p>
        </w:tc>
        <w:tc>
          <w:tcPr>
            <w:tcW w:w="1785" w:type="dxa"/>
            <w:vMerge/>
          </w:tcPr>
          <w:p>
            <w:pPr/>
          </w:p>
        </w:tc>
        <w:tc>
          <w:tcPr>
            <w:tcW w:w="890" w:type="dxa"/>
            <w:vMerge/>
          </w:tcPr>
          <w:p>
            <w:pPr/>
          </w:p>
        </w:tc>
        <w:tc>
          <w:tcPr>
            <w:tcW w:w="683" w:type="dxa"/>
            <w:tcBorders>
              <w:right w:val="single" w:sz="4" w:space="0" w:color="FFFFFF"/>
            </w:tcBorders>
            <w:shd w:val="clear" w:color="auto" w:fill="FFFF00"/>
          </w:tcPr>
          <w:p>
            <w:pPr>
              <w:pStyle w:val="TableParagraph"/>
              <w:ind w:left="37" w:right="31"/>
              <w:rPr>
                <w:rFonts w:ascii="Calibri"/>
                <w:sz w:val="12"/>
              </w:rPr>
            </w:pPr>
            <w:r>
              <w:rPr>
                <w:rFonts w:ascii="Calibri"/>
                <w:w w:val="105"/>
                <w:sz w:val="12"/>
              </w:rPr>
              <w:t>0.9</w:t>
            </w:r>
          </w:p>
        </w:tc>
        <w:tc>
          <w:tcPr>
            <w:tcW w:w="681" w:type="dxa"/>
            <w:tcBorders>
              <w:left w:val="single" w:sz="4" w:space="0" w:color="FFFFFF"/>
              <w:right w:val="single" w:sz="8" w:space="0" w:color="000000"/>
            </w:tcBorders>
            <w:shd w:val="clear" w:color="auto" w:fill="67ED4D"/>
          </w:tcPr>
          <w:p>
            <w:pPr>
              <w:pStyle w:val="TableParagraph"/>
              <w:ind w:left="15"/>
              <w:rPr>
                <w:rFonts w:ascii="Calibri"/>
                <w:sz w:val="12"/>
              </w:rPr>
            </w:pPr>
            <w:r>
              <w:rPr>
                <w:rFonts w:ascii="Calibri"/>
                <w:w w:val="104"/>
                <w:sz w:val="12"/>
              </w:rPr>
              <w:t>1</w:t>
            </w:r>
          </w:p>
        </w:tc>
      </w:tr>
      <w:tr>
        <w:trPr>
          <w:trHeight w:val="158" w:hRule="exact"/>
        </w:trPr>
        <w:tc>
          <w:tcPr>
            <w:tcW w:w="618" w:type="dxa"/>
            <w:vMerge/>
            <w:tcBorders>
              <w:left w:val="single" w:sz="4" w:space="0" w:color="000000"/>
            </w:tcBorders>
          </w:tcPr>
          <w:p>
            <w:pPr/>
          </w:p>
        </w:tc>
        <w:tc>
          <w:tcPr>
            <w:tcW w:w="2069" w:type="dxa"/>
            <w:vMerge/>
          </w:tcPr>
          <w:p>
            <w:pPr/>
          </w:p>
        </w:tc>
        <w:tc>
          <w:tcPr>
            <w:tcW w:w="2096" w:type="dxa"/>
            <w:vMerge/>
          </w:tcPr>
          <w:p>
            <w:pPr/>
          </w:p>
        </w:tc>
        <w:tc>
          <w:tcPr>
            <w:tcW w:w="1785" w:type="dxa"/>
            <w:vMerge/>
          </w:tcPr>
          <w:p>
            <w:pPr/>
          </w:p>
        </w:tc>
        <w:tc>
          <w:tcPr>
            <w:tcW w:w="890" w:type="dxa"/>
            <w:vMerge/>
          </w:tcPr>
          <w:p>
            <w:pPr/>
          </w:p>
        </w:tc>
        <w:tc>
          <w:tcPr>
            <w:tcW w:w="683" w:type="dxa"/>
            <w:tcBorders>
              <w:right w:val="single" w:sz="4" w:space="0" w:color="FFFFFF"/>
            </w:tcBorders>
            <w:shd w:val="clear" w:color="auto" w:fill="FFFF00"/>
          </w:tcPr>
          <w:p>
            <w:pPr>
              <w:pStyle w:val="TableParagraph"/>
              <w:ind w:left="37" w:right="31"/>
              <w:rPr>
                <w:rFonts w:ascii="Calibri"/>
                <w:sz w:val="12"/>
              </w:rPr>
            </w:pPr>
            <w:r>
              <w:rPr>
                <w:rFonts w:ascii="Calibri"/>
                <w:w w:val="105"/>
                <w:sz w:val="12"/>
              </w:rPr>
              <w:t>0.8</w:t>
            </w:r>
          </w:p>
        </w:tc>
        <w:tc>
          <w:tcPr>
            <w:tcW w:w="681" w:type="dxa"/>
            <w:tcBorders>
              <w:left w:val="single" w:sz="4" w:space="0" w:color="FFFFFF"/>
              <w:right w:val="single" w:sz="8" w:space="0" w:color="000000"/>
            </w:tcBorders>
            <w:shd w:val="clear" w:color="auto" w:fill="67ED4D"/>
          </w:tcPr>
          <w:p>
            <w:pPr>
              <w:pStyle w:val="TableParagraph"/>
              <w:ind w:left="15"/>
              <w:rPr>
                <w:rFonts w:ascii="Calibri"/>
                <w:sz w:val="12"/>
              </w:rPr>
            </w:pPr>
            <w:r>
              <w:rPr>
                <w:rFonts w:ascii="Calibri"/>
                <w:w w:val="104"/>
                <w:sz w:val="12"/>
              </w:rPr>
              <w:t>1</w:t>
            </w:r>
          </w:p>
        </w:tc>
      </w:tr>
      <w:tr>
        <w:trPr>
          <w:trHeight w:val="158" w:hRule="exact"/>
        </w:trPr>
        <w:tc>
          <w:tcPr>
            <w:tcW w:w="618" w:type="dxa"/>
            <w:vMerge/>
            <w:tcBorders>
              <w:left w:val="single" w:sz="4" w:space="0" w:color="000000"/>
            </w:tcBorders>
          </w:tcPr>
          <w:p>
            <w:pPr/>
          </w:p>
        </w:tc>
        <w:tc>
          <w:tcPr>
            <w:tcW w:w="2069" w:type="dxa"/>
            <w:vMerge/>
          </w:tcPr>
          <w:p>
            <w:pPr/>
          </w:p>
        </w:tc>
        <w:tc>
          <w:tcPr>
            <w:tcW w:w="2096" w:type="dxa"/>
            <w:vMerge/>
          </w:tcPr>
          <w:p>
            <w:pPr/>
          </w:p>
        </w:tc>
        <w:tc>
          <w:tcPr>
            <w:tcW w:w="1785" w:type="dxa"/>
            <w:vMerge/>
          </w:tcPr>
          <w:p>
            <w:pPr/>
          </w:p>
        </w:tc>
        <w:tc>
          <w:tcPr>
            <w:tcW w:w="890" w:type="dxa"/>
            <w:vMerge/>
          </w:tcPr>
          <w:p>
            <w:pPr/>
          </w:p>
        </w:tc>
        <w:tc>
          <w:tcPr>
            <w:tcW w:w="683" w:type="dxa"/>
            <w:tcBorders>
              <w:right w:val="single" w:sz="4" w:space="0" w:color="FFFFFF"/>
            </w:tcBorders>
            <w:shd w:val="clear" w:color="auto" w:fill="FFFF00"/>
          </w:tcPr>
          <w:p>
            <w:pPr>
              <w:pStyle w:val="TableParagraph"/>
              <w:ind w:left="37" w:right="31"/>
              <w:rPr>
                <w:rFonts w:ascii="Calibri"/>
                <w:sz w:val="12"/>
              </w:rPr>
            </w:pPr>
            <w:r>
              <w:rPr>
                <w:rFonts w:ascii="Calibri"/>
                <w:w w:val="105"/>
                <w:sz w:val="12"/>
              </w:rPr>
              <w:t>0.5</w:t>
            </w:r>
          </w:p>
        </w:tc>
        <w:tc>
          <w:tcPr>
            <w:tcW w:w="681" w:type="dxa"/>
            <w:tcBorders>
              <w:left w:val="single" w:sz="4" w:space="0" w:color="FFFFFF"/>
              <w:right w:val="single" w:sz="8" w:space="0" w:color="000000"/>
            </w:tcBorders>
            <w:shd w:val="clear" w:color="auto" w:fill="67ED4D"/>
          </w:tcPr>
          <w:p>
            <w:pPr>
              <w:pStyle w:val="TableParagraph"/>
              <w:ind w:left="15"/>
              <w:rPr>
                <w:rFonts w:ascii="Calibri"/>
                <w:sz w:val="12"/>
              </w:rPr>
            </w:pPr>
            <w:r>
              <w:rPr>
                <w:rFonts w:ascii="Calibri"/>
                <w:w w:val="104"/>
                <w:sz w:val="12"/>
              </w:rPr>
              <w:t>1</w:t>
            </w:r>
          </w:p>
        </w:tc>
      </w:tr>
      <w:tr>
        <w:trPr>
          <w:trHeight w:val="161" w:hRule="exact"/>
        </w:trPr>
        <w:tc>
          <w:tcPr>
            <w:tcW w:w="618" w:type="dxa"/>
            <w:vMerge/>
            <w:tcBorders>
              <w:left w:val="single" w:sz="4" w:space="0" w:color="000000"/>
            </w:tcBorders>
          </w:tcPr>
          <w:p>
            <w:pPr/>
          </w:p>
        </w:tc>
        <w:tc>
          <w:tcPr>
            <w:tcW w:w="2069" w:type="dxa"/>
            <w:vMerge/>
          </w:tcPr>
          <w:p>
            <w:pPr/>
          </w:p>
        </w:tc>
        <w:tc>
          <w:tcPr>
            <w:tcW w:w="2096" w:type="dxa"/>
            <w:vMerge/>
          </w:tcPr>
          <w:p>
            <w:pPr/>
          </w:p>
        </w:tc>
        <w:tc>
          <w:tcPr>
            <w:tcW w:w="1785" w:type="dxa"/>
            <w:vMerge/>
          </w:tcPr>
          <w:p>
            <w:pPr/>
          </w:p>
        </w:tc>
        <w:tc>
          <w:tcPr>
            <w:tcW w:w="890" w:type="dxa"/>
            <w:vMerge/>
          </w:tcPr>
          <w:p>
            <w:pPr/>
          </w:p>
        </w:tc>
        <w:tc>
          <w:tcPr>
            <w:tcW w:w="683" w:type="dxa"/>
            <w:tcBorders>
              <w:right w:val="single" w:sz="4" w:space="0" w:color="FFFFFF"/>
            </w:tcBorders>
            <w:shd w:val="clear" w:color="auto" w:fill="FFFF00"/>
          </w:tcPr>
          <w:p>
            <w:pPr>
              <w:pStyle w:val="TableParagraph"/>
              <w:ind w:left="37" w:right="31"/>
              <w:rPr>
                <w:rFonts w:ascii="Calibri"/>
                <w:sz w:val="12"/>
              </w:rPr>
            </w:pPr>
            <w:r>
              <w:rPr>
                <w:rFonts w:ascii="Calibri"/>
                <w:w w:val="105"/>
                <w:sz w:val="12"/>
              </w:rPr>
              <w:t>2.9</w:t>
            </w:r>
          </w:p>
        </w:tc>
        <w:tc>
          <w:tcPr>
            <w:tcW w:w="681" w:type="dxa"/>
            <w:tcBorders>
              <w:left w:val="single" w:sz="4" w:space="0" w:color="FFFFFF"/>
              <w:right w:val="single" w:sz="8" w:space="0" w:color="000000"/>
            </w:tcBorders>
            <w:shd w:val="clear" w:color="auto" w:fill="67ED4D"/>
          </w:tcPr>
          <w:p>
            <w:pPr>
              <w:pStyle w:val="TableParagraph"/>
              <w:ind w:left="15"/>
              <w:rPr>
                <w:rFonts w:ascii="Calibri"/>
                <w:sz w:val="12"/>
              </w:rPr>
            </w:pPr>
            <w:r>
              <w:rPr>
                <w:rFonts w:ascii="Calibri"/>
                <w:w w:val="104"/>
                <w:sz w:val="12"/>
              </w:rPr>
              <w:t>4</w:t>
            </w:r>
          </w:p>
        </w:tc>
      </w:tr>
      <w:tr>
        <w:trPr>
          <w:trHeight w:val="147" w:hRule="exact"/>
        </w:trPr>
        <w:tc>
          <w:tcPr>
            <w:tcW w:w="8822" w:type="dxa"/>
            <w:gridSpan w:val="7"/>
            <w:tcBorders>
              <w:left w:val="single" w:sz="4" w:space="0" w:color="000000"/>
              <w:right w:val="single" w:sz="8" w:space="0" w:color="000000"/>
            </w:tcBorders>
          </w:tcPr>
          <w:p>
            <w:pPr/>
          </w:p>
        </w:tc>
      </w:tr>
      <w:tr>
        <w:trPr>
          <w:trHeight w:val="164" w:hRule="exact"/>
        </w:trPr>
        <w:tc>
          <w:tcPr>
            <w:tcW w:w="618" w:type="dxa"/>
            <w:tcBorders>
              <w:left w:val="single" w:sz="4" w:space="0" w:color="000000"/>
            </w:tcBorders>
          </w:tcPr>
          <w:p>
            <w:pPr/>
          </w:p>
        </w:tc>
        <w:tc>
          <w:tcPr>
            <w:tcW w:w="2069" w:type="dxa"/>
          </w:tcPr>
          <w:p>
            <w:pPr/>
          </w:p>
        </w:tc>
        <w:tc>
          <w:tcPr>
            <w:tcW w:w="2096" w:type="dxa"/>
          </w:tcPr>
          <w:p>
            <w:pPr>
              <w:pStyle w:val="TableParagraph"/>
              <w:spacing w:before="6"/>
              <w:ind w:left="121" w:right="740"/>
              <w:jc w:val="left"/>
              <w:rPr>
                <w:rFonts w:ascii="Calibri"/>
                <w:sz w:val="12"/>
              </w:rPr>
            </w:pPr>
            <w:r>
              <w:rPr>
                <w:rFonts w:ascii="Calibri"/>
                <w:w w:val="105"/>
                <w:sz w:val="12"/>
              </w:rPr>
              <w:t>Empleo</w:t>
            </w:r>
          </w:p>
        </w:tc>
        <w:tc>
          <w:tcPr>
            <w:tcW w:w="1785" w:type="dxa"/>
          </w:tcPr>
          <w:p>
            <w:pPr>
              <w:pStyle w:val="TableParagraph"/>
              <w:spacing w:before="6"/>
              <w:ind w:left="711"/>
              <w:rPr>
                <w:rFonts w:ascii="Calibri"/>
                <w:sz w:val="12"/>
              </w:rPr>
            </w:pPr>
            <w:r>
              <w:rPr>
                <w:rFonts w:ascii="Calibri"/>
                <w:w w:val="104"/>
                <w:sz w:val="12"/>
              </w:rPr>
              <w:t>0</w:t>
            </w:r>
          </w:p>
        </w:tc>
        <w:tc>
          <w:tcPr>
            <w:tcW w:w="890" w:type="dxa"/>
          </w:tcPr>
          <w:p>
            <w:pPr/>
          </w:p>
        </w:tc>
        <w:tc>
          <w:tcPr>
            <w:tcW w:w="683" w:type="dxa"/>
          </w:tcPr>
          <w:p>
            <w:pPr>
              <w:pStyle w:val="TableParagraph"/>
              <w:spacing w:before="6"/>
              <w:ind w:left="242" w:right="241"/>
              <w:rPr>
                <w:rFonts w:ascii="Calibri"/>
                <w:sz w:val="12"/>
              </w:rPr>
            </w:pPr>
            <w:r>
              <w:rPr>
                <w:rFonts w:ascii="Calibri"/>
                <w:w w:val="105"/>
                <w:sz w:val="12"/>
              </w:rPr>
              <w:t>0.8</w:t>
            </w:r>
          </w:p>
        </w:tc>
        <w:tc>
          <w:tcPr>
            <w:tcW w:w="681" w:type="dxa"/>
            <w:tcBorders>
              <w:right w:val="single" w:sz="8" w:space="0" w:color="000000"/>
            </w:tcBorders>
            <w:shd w:val="clear" w:color="auto" w:fill="67ED4D"/>
          </w:tcPr>
          <w:p>
            <w:pPr>
              <w:pStyle w:val="TableParagraph"/>
              <w:spacing w:before="6"/>
              <w:ind w:left="20"/>
              <w:rPr>
                <w:rFonts w:ascii="Calibri"/>
                <w:sz w:val="12"/>
              </w:rPr>
            </w:pPr>
            <w:r>
              <w:rPr>
                <w:rFonts w:ascii="Calibri"/>
                <w:w w:val="104"/>
                <w:sz w:val="12"/>
              </w:rPr>
              <w:t>1</w:t>
            </w:r>
          </w:p>
        </w:tc>
      </w:tr>
      <w:tr>
        <w:trPr>
          <w:trHeight w:val="158" w:hRule="exact"/>
        </w:trPr>
        <w:tc>
          <w:tcPr>
            <w:tcW w:w="618" w:type="dxa"/>
            <w:tcBorders>
              <w:left w:val="single" w:sz="4" w:space="0" w:color="000000"/>
            </w:tcBorders>
          </w:tcPr>
          <w:p>
            <w:pPr/>
          </w:p>
        </w:tc>
        <w:tc>
          <w:tcPr>
            <w:tcW w:w="2069" w:type="dxa"/>
          </w:tcPr>
          <w:p>
            <w:pPr/>
          </w:p>
        </w:tc>
        <w:tc>
          <w:tcPr>
            <w:tcW w:w="2096" w:type="dxa"/>
          </w:tcPr>
          <w:p>
            <w:pPr>
              <w:pStyle w:val="TableParagraph"/>
              <w:ind w:left="121" w:right="740"/>
              <w:jc w:val="left"/>
              <w:rPr>
                <w:rFonts w:ascii="Calibri" w:hAnsi="Calibri"/>
                <w:sz w:val="12"/>
              </w:rPr>
            </w:pPr>
            <w:r>
              <w:rPr>
                <w:rFonts w:ascii="Calibri" w:hAnsi="Calibri"/>
                <w:w w:val="105"/>
                <w:sz w:val="12"/>
              </w:rPr>
              <w:t>Educación</w:t>
            </w:r>
          </w:p>
        </w:tc>
        <w:tc>
          <w:tcPr>
            <w:tcW w:w="1785" w:type="dxa"/>
          </w:tcPr>
          <w:p>
            <w:pPr>
              <w:pStyle w:val="TableParagraph"/>
              <w:ind w:left="890" w:right="188"/>
              <w:rPr>
                <w:rFonts w:ascii="Calibri"/>
                <w:sz w:val="12"/>
              </w:rPr>
            </w:pPr>
            <w:r>
              <w:rPr>
                <w:rFonts w:ascii="Calibri"/>
                <w:w w:val="105"/>
                <w:sz w:val="12"/>
              </w:rPr>
              <w:t>0.7</w:t>
            </w:r>
          </w:p>
        </w:tc>
        <w:tc>
          <w:tcPr>
            <w:tcW w:w="890" w:type="dxa"/>
          </w:tcPr>
          <w:p>
            <w:pPr/>
          </w:p>
        </w:tc>
        <w:tc>
          <w:tcPr>
            <w:tcW w:w="683" w:type="dxa"/>
          </w:tcPr>
          <w:p>
            <w:pPr>
              <w:pStyle w:val="TableParagraph"/>
              <w:ind w:left="242" w:right="241"/>
              <w:rPr>
                <w:rFonts w:ascii="Calibri"/>
                <w:sz w:val="12"/>
              </w:rPr>
            </w:pPr>
            <w:r>
              <w:rPr>
                <w:rFonts w:ascii="Calibri"/>
                <w:w w:val="105"/>
                <w:sz w:val="12"/>
              </w:rPr>
              <w:t>0.7</w:t>
            </w:r>
          </w:p>
        </w:tc>
        <w:tc>
          <w:tcPr>
            <w:tcW w:w="681" w:type="dxa"/>
            <w:tcBorders>
              <w:right w:val="single" w:sz="8" w:space="0" w:color="000000"/>
            </w:tcBorders>
            <w:shd w:val="clear" w:color="auto" w:fill="67ED4D"/>
          </w:tcPr>
          <w:p>
            <w:pPr>
              <w:pStyle w:val="TableParagraph"/>
              <w:ind w:left="20"/>
              <w:rPr>
                <w:rFonts w:ascii="Calibri"/>
                <w:sz w:val="12"/>
              </w:rPr>
            </w:pPr>
            <w:r>
              <w:rPr>
                <w:rFonts w:ascii="Calibri"/>
                <w:w w:val="104"/>
                <w:sz w:val="12"/>
              </w:rPr>
              <w:t>1</w:t>
            </w:r>
          </w:p>
        </w:tc>
      </w:tr>
      <w:tr>
        <w:trPr>
          <w:trHeight w:val="158" w:hRule="exact"/>
        </w:trPr>
        <w:tc>
          <w:tcPr>
            <w:tcW w:w="618" w:type="dxa"/>
            <w:tcBorders>
              <w:left w:val="single" w:sz="4" w:space="0" w:color="000000"/>
            </w:tcBorders>
          </w:tcPr>
          <w:p>
            <w:pPr/>
          </w:p>
        </w:tc>
        <w:tc>
          <w:tcPr>
            <w:tcW w:w="2069" w:type="dxa"/>
          </w:tcPr>
          <w:p>
            <w:pPr/>
          </w:p>
        </w:tc>
        <w:tc>
          <w:tcPr>
            <w:tcW w:w="2096" w:type="dxa"/>
          </w:tcPr>
          <w:p>
            <w:pPr>
              <w:pStyle w:val="TableParagraph"/>
              <w:ind w:left="121" w:right="740"/>
              <w:jc w:val="left"/>
              <w:rPr>
                <w:rFonts w:ascii="Calibri"/>
                <w:sz w:val="12"/>
              </w:rPr>
            </w:pPr>
            <w:r>
              <w:rPr>
                <w:rFonts w:ascii="Calibri"/>
                <w:w w:val="105"/>
                <w:sz w:val="12"/>
              </w:rPr>
              <w:t>Salud</w:t>
            </w:r>
          </w:p>
        </w:tc>
        <w:tc>
          <w:tcPr>
            <w:tcW w:w="1785" w:type="dxa"/>
          </w:tcPr>
          <w:p>
            <w:pPr>
              <w:pStyle w:val="TableParagraph"/>
              <w:ind w:left="890" w:right="188"/>
              <w:rPr>
                <w:rFonts w:ascii="Calibri"/>
                <w:sz w:val="12"/>
              </w:rPr>
            </w:pPr>
            <w:r>
              <w:rPr>
                <w:rFonts w:ascii="Calibri"/>
                <w:w w:val="105"/>
                <w:sz w:val="12"/>
              </w:rPr>
              <w:t>0.7</w:t>
            </w:r>
          </w:p>
        </w:tc>
        <w:tc>
          <w:tcPr>
            <w:tcW w:w="890" w:type="dxa"/>
          </w:tcPr>
          <w:p>
            <w:pPr/>
          </w:p>
        </w:tc>
        <w:tc>
          <w:tcPr>
            <w:tcW w:w="683" w:type="dxa"/>
          </w:tcPr>
          <w:p>
            <w:pPr>
              <w:pStyle w:val="TableParagraph"/>
              <w:ind w:left="242" w:right="241"/>
              <w:rPr>
                <w:rFonts w:ascii="Calibri"/>
                <w:sz w:val="12"/>
              </w:rPr>
            </w:pPr>
            <w:r>
              <w:rPr>
                <w:rFonts w:ascii="Calibri"/>
                <w:w w:val="105"/>
                <w:sz w:val="12"/>
              </w:rPr>
              <w:t>0.9</w:t>
            </w:r>
          </w:p>
        </w:tc>
        <w:tc>
          <w:tcPr>
            <w:tcW w:w="681" w:type="dxa"/>
            <w:tcBorders>
              <w:right w:val="single" w:sz="8" w:space="0" w:color="000000"/>
            </w:tcBorders>
            <w:shd w:val="clear" w:color="auto" w:fill="67ED4D"/>
          </w:tcPr>
          <w:p>
            <w:pPr>
              <w:pStyle w:val="TableParagraph"/>
              <w:ind w:left="20"/>
              <w:rPr>
                <w:rFonts w:ascii="Calibri"/>
                <w:sz w:val="12"/>
              </w:rPr>
            </w:pPr>
            <w:r>
              <w:rPr>
                <w:rFonts w:ascii="Calibri"/>
                <w:w w:val="104"/>
                <w:sz w:val="12"/>
              </w:rPr>
              <w:t>1</w:t>
            </w:r>
          </w:p>
        </w:tc>
      </w:tr>
      <w:tr>
        <w:trPr>
          <w:trHeight w:val="315" w:hRule="exact"/>
        </w:trPr>
        <w:tc>
          <w:tcPr>
            <w:tcW w:w="618" w:type="dxa"/>
            <w:tcBorders>
              <w:left w:val="single" w:sz="4" w:space="0" w:color="000000"/>
            </w:tcBorders>
          </w:tcPr>
          <w:p>
            <w:pPr/>
          </w:p>
        </w:tc>
        <w:tc>
          <w:tcPr>
            <w:tcW w:w="2069" w:type="dxa"/>
          </w:tcPr>
          <w:p>
            <w:pPr>
              <w:pStyle w:val="TableParagraph"/>
              <w:spacing w:before="73"/>
              <w:ind w:left="90"/>
              <w:jc w:val="left"/>
              <w:rPr>
                <w:rFonts w:ascii="Calibri"/>
                <w:sz w:val="12"/>
              </w:rPr>
            </w:pPr>
            <w:r>
              <w:rPr>
                <w:rFonts w:ascii="Calibri"/>
                <w:w w:val="105"/>
                <w:sz w:val="12"/>
              </w:rPr>
              <w:t>Oportunidades urbanas</w:t>
            </w:r>
          </w:p>
        </w:tc>
        <w:tc>
          <w:tcPr>
            <w:tcW w:w="2096" w:type="dxa"/>
          </w:tcPr>
          <w:p>
            <w:pPr>
              <w:pStyle w:val="TableParagraph"/>
              <w:spacing w:line="259" w:lineRule="auto"/>
              <w:ind w:left="121" w:right="1443"/>
              <w:jc w:val="left"/>
              <w:rPr>
                <w:rFonts w:ascii="Calibri"/>
                <w:sz w:val="12"/>
              </w:rPr>
            </w:pPr>
            <w:r>
              <w:rPr>
                <w:rFonts w:ascii="Calibri"/>
                <w:w w:val="105"/>
                <w:sz w:val="12"/>
              </w:rPr>
              <w:t>Seguridad Abasto</w:t>
            </w:r>
          </w:p>
        </w:tc>
        <w:tc>
          <w:tcPr>
            <w:tcW w:w="1785" w:type="dxa"/>
          </w:tcPr>
          <w:p>
            <w:pPr>
              <w:pStyle w:val="TableParagraph"/>
              <w:ind w:left="1163"/>
              <w:jc w:val="left"/>
              <w:rPr>
                <w:rFonts w:ascii="Calibri"/>
                <w:sz w:val="12"/>
              </w:rPr>
            </w:pPr>
            <w:r>
              <w:rPr>
                <w:rFonts w:ascii="Calibri"/>
                <w:w w:val="105"/>
                <w:sz w:val="12"/>
              </w:rPr>
              <w:t>0.9</w:t>
            </w:r>
          </w:p>
          <w:p>
            <w:pPr>
              <w:pStyle w:val="TableParagraph"/>
              <w:spacing w:before="11"/>
              <w:ind w:left="1163"/>
              <w:jc w:val="left"/>
              <w:rPr>
                <w:rFonts w:ascii="Calibri"/>
                <w:sz w:val="12"/>
              </w:rPr>
            </w:pPr>
            <w:r>
              <w:rPr>
                <w:rFonts w:ascii="Calibri"/>
                <w:w w:val="105"/>
                <w:sz w:val="12"/>
              </w:rPr>
              <w:t>0.9</w:t>
            </w:r>
          </w:p>
        </w:tc>
        <w:tc>
          <w:tcPr>
            <w:tcW w:w="890" w:type="dxa"/>
          </w:tcPr>
          <w:p>
            <w:pPr/>
          </w:p>
        </w:tc>
        <w:tc>
          <w:tcPr>
            <w:tcW w:w="683" w:type="dxa"/>
          </w:tcPr>
          <w:p>
            <w:pPr>
              <w:pStyle w:val="TableParagraph"/>
              <w:ind w:left="242" w:right="241"/>
              <w:rPr>
                <w:rFonts w:ascii="Calibri"/>
                <w:sz w:val="12"/>
              </w:rPr>
            </w:pPr>
            <w:r>
              <w:rPr>
                <w:rFonts w:ascii="Calibri"/>
                <w:w w:val="105"/>
                <w:sz w:val="12"/>
              </w:rPr>
              <w:t>0.9</w:t>
            </w:r>
          </w:p>
          <w:p>
            <w:pPr>
              <w:pStyle w:val="TableParagraph"/>
              <w:spacing w:before="11"/>
              <w:ind w:left="242" w:right="241"/>
              <w:rPr>
                <w:rFonts w:ascii="Calibri"/>
                <w:sz w:val="12"/>
              </w:rPr>
            </w:pPr>
            <w:r>
              <w:rPr>
                <w:rFonts w:ascii="Calibri"/>
                <w:w w:val="105"/>
                <w:sz w:val="12"/>
              </w:rPr>
              <w:t>0.9</w:t>
            </w:r>
          </w:p>
        </w:tc>
        <w:tc>
          <w:tcPr>
            <w:tcW w:w="681" w:type="dxa"/>
            <w:tcBorders>
              <w:right w:val="single" w:sz="8" w:space="0" w:color="000000"/>
            </w:tcBorders>
            <w:shd w:val="clear" w:color="auto" w:fill="67ED4D"/>
          </w:tcPr>
          <w:p>
            <w:pPr>
              <w:pStyle w:val="TableParagraph"/>
              <w:ind w:left="20"/>
              <w:rPr>
                <w:rFonts w:ascii="Calibri"/>
                <w:sz w:val="12"/>
              </w:rPr>
            </w:pPr>
            <w:r>
              <w:rPr>
                <w:rFonts w:ascii="Calibri"/>
                <w:w w:val="104"/>
                <w:sz w:val="12"/>
              </w:rPr>
              <w:t>1</w:t>
            </w:r>
          </w:p>
          <w:p>
            <w:pPr>
              <w:pStyle w:val="TableParagraph"/>
              <w:spacing w:before="11"/>
              <w:ind w:left="20"/>
              <w:rPr>
                <w:rFonts w:ascii="Calibri"/>
                <w:sz w:val="12"/>
              </w:rPr>
            </w:pPr>
            <w:r>
              <w:rPr>
                <w:rFonts w:ascii="Calibri"/>
                <w:w w:val="104"/>
                <w:sz w:val="12"/>
              </w:rPr>
              <w:t>1</w:t>
            </w:r>
          </w:p>
        </w:tc>
      </w:tr>
      <w:tr>
        <w:trPr>
          <w:trHeight w:val="158" w:hRule="exact"/>
        </w:trPr>
        <w:tc>
          <w:tcPr>
            <w:tcW w:w="618" w:type="dxa"/>
            <w:tcBorders>
              <w:left w:val="single" w:sz="4" w:space="0" w:color="000000"/>
            </w:tcBorders>
          </w:tcPr>
          <w:p>
            <w:pPr/>
          </w:p>
        </w:tc>
        <w:tc>
          <w:tcPr>
            <w:tcW w:w="2069" w:type="dxa"/>
          </w:tcPr>
          <w:p>
            <w:pPr/>
          </w:p>
        </w:tc>
        <w:tc>
          <w:tcPr>
            <w:tcW w:w="2096" w:type="dxa"/>
          </w:tcPr>
          <w:p>
            <w:pPr>
              <w:pStyle w:val="TableParagraph"/>
              <w:ind w:left="121" w:right="740"/>
              <w:jc w:val="left"/>
              <w:rPr>
                <w:rFonts w:ascii="Calibri"/>
                <w:sz w:val="12"/>
              </w:rPr>
            </w:pPr>
            <w:r>
              <w:rPr>
                <w:rFonts w:ascii="Calibri"/>
                <w:w w:val="105"/>
                <w:sz w:val="12"/>
              </w:rPr>
              <w:t>Transporte</w:t>
            </w:r>
          </w:p>
        </w:tc>
        <w:tc>
          <w:tcPr>
            <w:tcW w:w="1785" w:type="dxa"/>
          </w:tcPr>
          <w:p>
            <w:pPr>
              <w:pStyle w:val="TableParagraph"/>
              <w:ind w:left="890" w:right="188"/>
              <w:rPr>
                <w:rFonts w:ascii="Calibri"/>
                <w:sz w:val="12"/>
              </w:rPr>
            </w:pPr>
            <w:r>
              <w:rPr>
                <w:rFonts w:ascii="Calibri"/>
                <w:w w:val="105"/>
                <w:sz w:val="12"/>
              </w:rPr>
              <w:t>0.3</w:t>
            </w:r>
          </w:p>
        </w:tc>
        <w:tc>
          <w:tcPr>
            <w:tcW w:w="890" w:type="dxa"/>
          </w:tcPr>
          <w:p>
            <w:pPr/>
          </w:p>
        </w:tc>
        <w:tc>
          <w:tcPr>
            <w:tcW w:w="683" w:type="dxa"/>
          </w:tcPr>
          <w:p>
            <w:pPr>
              <w:pStyle w:val="TableParagraph"/>
              <w:ind w:left="242" w:right="241"/>
              <w:rPr>
                <w:rFonts w:ascii="Calibri"/>
                <w:sz w:val="12"/>
              </w:rPr>
            </w:pPr>
            <w:r>
              <w:rPr>
                <w:rFonts w:ascii="Calibri"/>
                <w:w w:val="105"/>
                <w:sz w:val="12"/>
              </w:rPr>
              <w:t>0.6</w:t>
            </w:r>
          </w:p>
        </w:tc>
        <w:tc>
          <w:tcPr>
            <w:tcW w:w="681" w:type="dxa"/>
            <w:tcBorders>
              <w:right w:val="single" w:sz="8" w:space="0" w:color="000000"/>
            </w:tcBorders>
            <w:shd w:val="clear" w:color="auto" w:fill="67ED4D"/>
          </w:tcPr>
          <w:p>
            <w:pPr>
              <w:pStyle w:val="TableParagraph"/>
              <w:ind w:left="20"/>
              <w:rPr>
                <w:rFonts w:ascii="Calibri"/>
                <w:sz w:val="12"/>
              </w:rPr>
            </w:pPr>
            <w:r>
              <w:rPr>
                <w:rFonts w:ascii="Calibri"/>
                <w:w w:val="104"/>
                <w:sz w:val="12"/>
              </w:rPr>
              <w:t>1</w:t>
            </w:r>
          </w:p>
        </w:tc>
      </w:tr>
      <w:tr>
        <w:trPr>
          <w:trHeight w:val="158" w:hRule="exact"/>
        </w:trPr>
        <w:tc>
          <w:tcPr>
            <w:tcW w:w="618" w:type="dxa"/>
            <w:tcBorders>
              <w:left w:val="single" w:sz="4" w:space="0" w:color="000000"/>
            </w:tcBorders>
          </w:tcPr>
          <w:p>
            <w:pPr>
              <w:pStyle w:val="TableParagraph"/>
              <w:ind w:left="132" w:right="71"/>
              <w:rPr>
                <w:rFonts w:ascii="Calibri"/>
                <w:sz w:val="12"/>
              </w:rPr>
            </w:pPr>
            <w:r>
              <w:rPr>
                <w:rFonts w:ascii="Calibri"/>
                <w:w w:val="105"/>
                <w:sz w:val="12"/>
              </w:rPr>
              <w:t>Social</w:t>
            </w:r>
          </w:p>
        </w:tc>
        <w:tc>
          <w:tcPr>
            <w:tcW w:w="2069" w:type="dxa"/>
          </w:tcPr>
          <w:p>
            <w:pPr/>
          </w:p>
        </w:tc>
        <w:tc>
          <w:tcPr>
            <w:tcW w:w="2096" w:type="dxa"/>
          </w:tcPr>
          <w:p>
            <w:pPr>
              <w:pStyle w:val="TableParagraph"/>
              <w:ind w:left="121" w:right="740"/>
              <w:jc w:val="left"/>
              <w:rPr>
                <w:rFonts w:ascii="Calibri" w:hAnsi="Calibri"/>
                <w:sz w:val="12"/>
              </w:rPr>
            </w:pPr>
            <w:r>
              <w:rPr>
                <w:rFonts w:ascii="Calibri" w:hAnsi="Calibri"/>
                <w:w w:val="105"/>
                <w:sz w:val="12"/>
              </w:rPr>
              <w:t>Recreación</w:t>
            </w:r>
          </w:p>
        </w:tc>
        <w:tc>
          <w:tcPr>
            <w:tcW w:w="1785" w:type="dxa"/>
          </w:tcPr>
          <w:p>
            <w:pPr>
              <w:pStyle w:val="TableParagraph"/>
              <w:ind w:left="890" w:right="188"/>
              <w:rPr>
                <w:rFonts w:ascii="Calibri"/>
                <w:sz w:val="12"/>
              </w:rPr>
            </w:pPr>
            <w:r>
              <w:rPr>
                <w:rFonts w:ascii="Calibri"/>
                <w:w w:val="105"/>
                <w:sz w:val="12"/>
              </w:rPr>
              <w:t>0.9</w:t>
            </w:r>
          </w:p>
        </w:tc>
        <w:tc>
          <w:tcPr>
            <w:tcW w:w="890" w:type="dxa"/>
          </w:tcPr>
          <w:p>
            <w:pPr/>
          </w:p>
        </w:tc>
        <w:tc>
          <w:tcPr>
            <w:tcW w:w="683" w:type="dxa"/>
          </w:tcPr>
          <w:p>
            <w:pPr>
              <w:pStyle w:val="TableParagraph"/>
              <w:ind w:left="242" w:right="241"/>
              <w:rPr>
                <w:rFonts w:ascii="Calibri"/>
                <w:sz w:val="12"/>
              </w:rPr>
            </w:pPr>
            <w:r>
              <w:rPr>
                <w:rFonts w:ascii="Calibri"/>
                <w:w w:val="105"/>
                <w:sz w:val="12"/>
              </w:rPr>
              <w:t>0.8</w:t>
            </w:r>
          </w:p>
        </w:tc>
        <w:tc>
          <w:tcPr>
            <w:tcW w:w="681" w:type="dxa"/>
            <w:tcBorders>
              <w:right w:val="single" w:sz="8" w:space="0" w:color="000000"/>
            </w:tcBorders>
            <w:shd w:val="clear" w:color="auto" w:fill="67ED4D"/>
          </w:tcPr>
          <w:p>
            <w:pPr>
              <w:pStyle w:val="TableParagraph"/>
              <w:ind w:left="20"/>
              <w:rPr>
                <w:rFonts w:ascii="Calibri"/>
                <w:sz w:val="12"/>
              </w:rPr>
            </w:pPr>
            <w:r>
              <w:rPr>
                <w:rFonts w:ascii="Calibri"/>
                <w:w w:val="104"/>
                <w:sz w:val="12"/>
              </w:rPr>
              <w:t>1</w:t>
            </w:r>
          </w:p>
        </w:tc>
      </w:tr>
      <w:tr>
        <w:trPr>
          <w:trHeight w:val="156" w:hRule="exact"/>
        </w:trPr>
        <w:tc>
          <w:tcPr>
            <w:tcW w:w="618" w:type="dxa"/>
            <w:tcBorders>
              <w:left w:val="single" w:sz="4" w:space="0" w:color="000000"/>
            </w:tcBorders>
          </w:tcPr>
          <w:p>
            <w:pPr/>
          </w:p>
        </w:tc>
        <w:tc>
          <w:tcPr>
            <w:tcW w:w="2069" w:type="dxa"/>
          </w:tcPr>
          <w:p>
            <w:pPr/>
          </w:p>
        </w:tc>
        <w:tc>
          <w:tcPr>
            <w:tcW w:w="2096" w:type="dxa"/>
          </w:tcPr>
          <w:p>
            <w:pPr>
              <w:pStyle w:val="TableParagraph"/>
              <w:ind w:left="121"/>
              <w:jc w:val="left"/>
              <w:rPr>
                <w:rFonts w:ascii="Calibri"/>
                <w:sz w:val="12"/>
              </w:rPr>
            </w:pPr>
            <w:r>
              <w:rPr>
                <w:rFonts w:ascii="Calibri"/>
                <w:w w:val="105"/>
                <w:sz w:val="12"/>
              </w:rPr>
              <w:t>Servicios especializados</w:t>
            </w:r>
          </w:p>
        </w:tc>
        <w:tc>
          <w:tcPr>
            <w:tcW w:w="1785" w:type="dxa"/>
          </w:tcPr>
          <w:p>
            <w:pPr>
              <w:pStyle w:val="TableParagraph"/>
              <w:ind w:left="890" w:right="188"/>
              <w:rPr>
                <w:rFonts w:ascii="Calibri"/>
                <w:sz w:val="12"/>
              </w:rPr>
            </w:pPr>
            <w:r>
              <w:rPr>
                <w:rFonts w:ascii="Calibri"/>
                <w:w w:val="105"/>
                <w:sz w:val="12"/>
              </w:rPr>
              <w:t>0.6</w:t>
            </w:r>
          </w:p>
        </w:tc>
        <w:tc>
          <w:tcPr>
            <w:tcW w:w="890" w:type="dxa"/>
          </w:tcPr>
          <w:p>
            <w:pPr/>
          </w:p>
        </w:tc>
        <w:tc>
          <w:tcPr>
            <w:tcW w:w="683" w:type="dxa"/>
          </w:tcPr>
          <w:p>
            <w:pPr>
              <w:pStyle w:val="TableParagraph"/>
              <w:ind w:left="242" w:right="241"/>
              <w:rPr>
                <w:rFonts w:ascii="Calibri"/>
                <w:sz w:val="12"/>
              </w:rPr>
            </w:pPr>
            <w:r>
              <w:rPr>
                <w:rFonts w:ascii="Calibri"/>
                <w:w w:val="105"/>
                <w:sz w:val="12"/>
              </w:rPr>
              <w:t>0.7</w:t>
            </w:r>
          </w:p>
        </w:tc>
        <w:tc>
          <w:tcPr>
            <w:tcW w:w="681" w:type="dxa"/>
            <w:tcBorders>
              <w:right w:val="single" w:sz="8" w:space="0" w:color="000000"/>
            </w:tcBorders>
            <w:shd w:val="clear" w:color="auto" w:fill="67ED4D"/>
          </w:tcPr>
          <w:p>
            <w:pPr>
              <w:pStyle w:val="TableParagraph"/>
              <w:ind w:left="20"/>
              <w:rPr>
                <w:rFonts w:ascii="Calibri"/>
                <w:sz w:val="12"/>
              </w:rPr>
            </w:pPr>
            <w:r>
              <w:rPr>
                <w:rFonts w:ascii="Calibri"/>
                <w:w w:val="104"/>
                <w:sz w:val="12"/>
              </w:rPr>
              <w:t>1</w:t>
            </w:r>
          </w:p>
        </w:tc>
      </w:tr>
      <w:tr>
        <w:trPr>
          <w:trHeight w:val="163" w:hRule="exact"/>
        </w:trPr>
        <w:tc>
          <w:tcPr>
            <w:tcW w:w="618" w:type="dxa"/>
            <w:tcBorders>
              <w:left w:val="single" w:sz="4" w:space="0" w:color="000000"/>
            </w:tcBorders>
          </w:tcPr>
          <w:p>
            <w:pPr/>
          </w:p>
        </w:tc>
        <w:tc>
          <w:tcPr>
            <w:tcW w:w="2069" w:type="dxa"/>
          </w:tcPr>
          <w:p>
            <w:pPr/>
          </w:p>
        </w:tc>
        <w:tc>
          <w:tcPr>
            <w:tcW w:w="2096" w:type="dxa"/>
          </w:tcPr>
          <w:p>
            <w:pPr/>
          </w:p>
        </w:tc>
        <w:tc>
          <w:tcPr>
            <w:tcW w:w="1785" w:type="dxa"/>
          </w:tcPr>
          <w:p>
            <w:pPr>
              <w:pStyle w:val="TableParagraph"/>
              <w:spacing w:before="1"/>
              <w:ind w:left="888" w:right="188"/>
              <w:rPr>
                <w:rFonts w:ascii="Calibri"/>
                <w:sz w:val="12"/>
              </w:rPr>
            </w:pPr>
            <w:r>
              <w:rPr>
                <w:rFonts w:ascii="Calibri"/>
                <w:w w:val="105"/>
                <w:sz w:val="12"/>
              </w:rPr>
              <w:t>Subtotal</w:t>
            </w:r>
          </w:p>
        </w:tc>
        <w:tc>
          <w:tcPr>
            <w:tcW w:w="890" w:type="dxa"/>
          </w:tcPr>
          <w:p>
            <w:pPr>
              <w:pStyle w:val="TableParagraph"/>
              <w:tabs>
                <w:tab w:pos="522" w:val="left" w:leader="none"/>
                <w:tab w:pos="900" w:val="left" w:leader="none"/>
              </w:tabs>
              <w:spacing w:before="1"/>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5</w:t>
            </w:r>
            <w:r>
              <w:rPr>
                <w:rFonts w:ascii="Calibri"/>
                <w:sz w:val="12"/>
                <w:shd w:fill="F79646" w:color="auto" w:val="clear"/>
              </w:rPr>
              <w:tab/>
            </w:r>
          </w:p>
        </w:tc>
        <w:tc>
          <w:tcPr>
            <w:tcW w:w="683" w:type="dxa"/>
          </w:tcPr>
          <w:p>
            <w:pPr>
              <w:pStyle w:val="TableParagraph"/>
              <w:spacing w:before="1"/>
              <w:ind w:left="242" w:right="241"/>
              <w:rPr>
                <w:rFonts w:ascii="Calibri"/>
                <w:sz w:val="12"/>
              </w:rPr>
            </w:pPr>
            <w:r>
              <w:rPr>
                <w:rFonts w:ascii="Calibri"/>
                <w:w w:val="105"/>
                <w:sz w:val="12"/>
              </w:rPr>
              <w:t>6.3</w:t>
            </w:r>
          </w:p>
        </w:tc>
        <w:tc>
          <w:tcPr>
            <w:tcW w:w="681" w:type="dxa"/>
            <w:tcBorders>
              <w:right w:val="single" w:sz="8" w:space="0" w:color="000000"/>
            </w:tcBorders>
            <w:shd w:val="clear" w:color="auto" w:fill="67ED4D"/>
          </w:tcPr>
          <w:p>
            <w:pPr>
              <w:pStyle w:val="TableParagraph"/>
              <w:spacing w:before="1"/>
              <w:ind w:left="20"/>
              <w:rPr>
                <w:rFonts w:ascii="Calibri"/>
                <w:sz w:val="12"/>
              </w:rPr>
            </w:pPr>
            <w:r>
              <w:rPr>
                <w:rFonts w:ascii="Calibri"/>
                <w:w w:val="104"/>
                <w:sz w:val="12"/>
              </w:rPr>
              <w:t>8</w:t>
            </w:r>
          </w:p>
        </w:tc>
      </w:tr>
      <w:tr>
        <w:trPr>
          <w:trHeight w:val="147" w:hRule="exact"/>
        </w:trPr>
        <w:tc>
          <w:tcPr>
            <w:tcW w:w="8822" w:type="dxa"/>
            <w:gridSpan w:val="7"/>
            <w:tcBorders>
              <w:left w:val="single" w:sz="4" w:space="0" w:color="000000"/>
              <w:right w:val="single" w:sz="8" w:space="0" w:color="000000"/>
            </w:tcBorders>
          </w:tcPr>
          <w:p>
            <w:pPr/>
          </w:p>
        </w:tc>
      </w:tr>
      <w:tr>
        <w:trPr>
          <w:trHeight w:val="163" w:hRule="exact"/>
        </w:trPr>
        <w:tc>
          <w:tcPr>
            <w:tcW w:w="618" w:type="dxa"/>
            <w:tcBorders>
              <w:left w:val="single" w:sz="4" w:space="0" w:color="000000"/>
            </w:tcBorders>
          </w:tcPr>
          <w:p>
            <w:pPr/>
          </w:p>
        </w:tc>
        <w:tc>
          <w:tcPr>
            <w:tcW w:w="2069" w:type="dxa"/>
          </w:tcPr>
          <w:p>
            <w:pPr>
              <w:pStyle w:val="TableParagraph"/>
              <w:spacing w:before="6"/>
              <w:ind w:left="90"/>
              <w:jc w:val="left"/>
              <w:rPr>
                <w:rFonts w:ascii="Calibri" w:hAnsi="Calibri"/>
                <w:sz w:val="12"/>
              </w:rPr>
            </w:pPr>
            <w:r>
              <w:rPr>
                <w:rFonts w:ascii="Calibri" w:hAnsi="Calibri"/>
                <w:w w:val="105"/>
                <w:sz w:val="12"/>
              </w:rPr>
              <w:t>Organización vecinal</w:t>
            </w:r>
          </w:p>
        </w:tc>
        <w:tc>
          <w:tcPr>
            <w:tcW w:w="2096" w:type="dxa"/>
          </w:tcPr>
          <w:p>
            <w:pPr>
              <w:pStyle w:val="TableParagraph"/>
              <w:spacing w:before="6"/>
              <w:ind w:left="121"/>
              <w:jc w:val="left"/>
              <w:rPr>
                <w:rFonts w:ascii="Calibri" w:hAnsi="Calibri"/>
                <w:sz w:val="12"/>
              </w:rPr>
            </w:pPr>
            <w:r>
              <w:rPr>
                <w:rFonts w:ascii="Calibri" w:hAnsi="Calibri"/>
                <w:w w:val="105"/>
                <w:sz w:val="12"/>
              </w:rPr>
              <w:t>Administración ciudadana</w:t>
            </w:r>
          </w:p>
        </w:tc>
        <w:tc>
          <w:tcPr>
            <w:tcW w:w="1785" w:type="dxa"/>
          </w:tcPr>
          <w:p>
            <w:pPr>
              <w:pStyle w:val="TableParagraph"/>
              <w:tabs>
                <w:tab w:pos="1163" w:val="left" w:leader="none"/>
                <w:tab w:pos="2003" w:val="left" w:leader="none"/>
              </w:tabs>
              <w:spacing w:before="6"/>
              <w:ind w:left="481" w:right="-219"/>
              <w:rPr>
                <w:rFonts w:ascii="Calibri"/>
                <w:sz w:val="12"/>
              </w:rPr>
            </w:pPr>
            <w:r>
              <w:rPr>
                <w:rFonts w:ascii="Times New Roman"/>
                <w:w w:val="104"/>
                <w:sz w:val="12"/>
                <w:shd w:fill="BAF9F5" w:color="auto" w:val="clear"/>
              </w:rPr>
              <w:t> </w:t>
            </w:r>
            <w:r>
              <w:rPr>
                <w:rFonts w:ascii="Times New Roman"/>
                <w:sz w:val="12"/>
                <w:shd w:fill="BAF9F5" w:color="auto" w:val="clear"/>
              </w:rPr>
              <w:tab/>
            </w:r>
            <w:r>
              <w:rPr>
                <w:rFonts w:ascii="Calibri"/>
                <w:w w:val="105"/>
                <w:sz w:val="12"/>
                <w:shd w:fill="BAF9F5" w:color="auto" w:val="clear"/>
              </w:rPr>
              <w:t>0.9</w:t>
            </w:r>
            <w:r>
              <w:rPr>
                <w:rFonts w:ascii="Calibri"/>
                <w:sz w:val="12"/>
                <w:shd w:fill="BAF9F5" w:color="auto" w:val="clear"/>
              </w:rPr>
              <w:tab/>
            </w:r>
          </w:p>
        </w:tc>
        <w:tc>
          <w:tcPr>
            <w:tcW w:w="890" w:type="dxa"/>
          </w:tcPr>
          <w:p>
            <w:pPr/>
          </w:p>
        </w:tc>
        <w:tc>
          <w:tcPr>
            <w:tcW w:w="683" w:type="dxa"/>
          </w:tcPr>
          <w:p>
            <w:pPr>
              <w:pStyle w:val="TableParagraph"/>
              <w:spacing w:before="6"/>
              <w:ind w:left="242" w:right="241"/>
              <w:rPr>
                <w:rFonts w:ascii="Calibri"/>
                <w:sz w:val="12"/>
              </w:rPr>
            </w:pPr>
            <w:r>
              <w:rPr>
                <w:rFonts w:ascii="Calibri"/>
                <w:w w:val="105"/>
                <w:sz w:val="12"/>
              </w:rPr>
              <w:t>0.8</w:t>
            </w:r>
          </w:p>
        </w:tc>
        <w:tc>
          <w:tcPr>
            <w:tcW w:w="681" w:type="dxa"/>
            <w:tcBorders>
              <w:right w:val="single" w:sz="8" w:space="0" w:color="000000"/>
            </w:tcBorders>
            <w:shd w:val="clear" w:color="auto" w:fill="67ED4D"/>
          </w:tcPr>
          <w:p>
            <w:pPr>
              <w:pStyle w:val="TableParagraph"/>
              <w:spacing w:before="6"/>
              <w:ind w:left="20"/>
              <w:rPr>
                <w:rFonts w:ascii="Calibri"/>
                <w:sz w:val="12"/>
              </w:rPr>
            </w:pPr>
            <w:r>
              <w:rPr>
                <w:rFonts w:ascii="Calibri"/>
                <w:w w:val="104"/>
                <w:sz w:val="12"/>
              </w:rPr>
              <w:t>1</w:t>
            </w:r>
          </w:p>
        </w:tc>
      </w:tr>
      <w:tr>
        <w:trPr>
          <w:trHeight w:val="163" w:hRule="exact"/>
        </w:trPr>
        <w:tc>
          <w:tcPr>
            <w:tcW w:w="618" w:type="dxa"/>
            <w:tcBorders>
              <w:left w:val="single" w:sz="4" w:space="0" w:color="000000"/>
            </w:tcBorders>
          </w:tcPr>
          <w:p>
            <w:pPr/>
          </w:p>
        </w:tc>
        <w:tc>
          <w:tcPr>
            <w:tcW w:w="2069" w:type="dxa"/>
          </w:tcPr>
          <w:p>
            <w:pPr/>
          </w:p>
        </w:tc>
        <w:tc>
          <w:tcPr>
            <w:tcW w:w="2096" w:type="dxa"/>
          </w:tcPr>
          <w:p>
            <w:pPr/>
          </w:p>
        </w:tc>
        <w:tc>
          <w:tcPr>
            <w:tcW w:w="1785" w:type="dxa"/>
          </w:tcPr>
          <w:p>
            <w:pPr>
              <w:pStyle w:val="TableParagraph"/>
              <w:spacing w:before="1"/>
              <w:ind w:left="888" w:right="188"/>
              <w:rPr>
                <w:rFonts w:ascii="Calibri"/>
                <w:sz w:val="12"/>
              </w:rPr>
            </w:pPr>
            <w:r>
              <w:rPr>
                <w:rFonts w:ascii="Calibri"/>
                <w:w w:val="105"/>
                <w:sz w:val="12"/>
              </w:rPr>
              <w:t>Subtotal</w:t>
            </w:r>
          </w:p>
        </w:tc>
        <w:tc>
          <w:tcPr>
            <w:tcW w:w="890" w:type="dxa"/>
          </w:tcPr>
          <w:p>
            <w:pPr>
              <w:pStyle w:val="TableParagraph"/>
              <w:tabs>
                <w:tab w:pos="470" w:val="left" w:leader="none"/>
                <w:tab w:pos="900" w:val="left" w:leader="none"/>
              </w:tabs>
              <w:spacing w:before="1"/>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0.9</w:t>
            </w:r>
            <w:r>
              <w:rPr>
                <w:rFonts w:ascii="Calibri"/>
                <w:sz w:val="12"/>
                <w:shd w:fill="F79646" w:color="auto" w:val="clear"/>
              </w:rPr>
              <w:tab/>
            </w:r>
          </w:p>
        </w:tc>
        <w:tc>
          <w:tcPr>
            <w:tcW w:w="683" w:type="dxa"/>
          </w:tcPr>
          <w:p>
            <w:pPr>
              <w:pStyle w:val="TableParagraph"/>
              <w:spacing w:before="1"/>
              <w:ind w:left="242" w:right="241"/>
              <w:rPr>
                <w:rFonts w:ascii="Calibri"/>
                <w:sz w:val="12"/>
              </w:rPr>
            </w:pPr>
            <w:r>
              <w:rPr>
                <w:rFonts w:ascii="Calibri"/>
                <w:w w:val="105"/>
                <w:sz w:val="12"/>
              </w:rPr>
              <w:t>0.8</w:t>
            </w:r>
          </w:p>
        </w:tc>
        <w:tc>
          <w:tcPr>
            <w:tcW w:w="681" w:type="dxa"/>
            <w:tcBorders>
              <w:right w:val="single" w:sz="8" w:space="0" w:color="000000"/>
            </w:tcBorders>
            <w:shd w:val="clear" w:color="auto" w:fill="67ED4D"/>
          </w:tcPr>
          <w:p>
            <w:pPr>
              <w:pStyle w:val="TableParagraph"/>
              <w:spacing w:before="1"/>
              <w:ind w:left="20"/>
              <w:rPr>
                <w:rFonts w:ascii="Calibri"/>
                <w:sz w:val="12"/>
              </w:rPr>
            </w:pPr>
            <w:r>
              <w:rPr>
                <w:rFonts w:ascii="Calibri"/>
                <w:w w:val="104"/>
                <w:sz w:val="12"/>
              </w:rPr>
              <w:t>1</w:t>
            </w:r>
          </w:p>
        </w:tc>
      </w:tr>
      <w:tr>
        <w:trPr>
          <w:trHeight w:val="147" w:hRule="exact"/>
        </w:trPr>
        <w:tc>
          <w:tcPr>
            <w:tcW w:w="8822" w:type="dxa"/>
            <w:gridSpan w:val="7"/>
            <w:tcBorders>
              <w:left w:val="single" w:sz="4" w:space="0" w:color="000000"/>
              <w:right w:val="single" w:sz="8" w:space="0" w:color="000000"/>
            </w:tcBorders>
          </w:tcPr>
          <w:p>
            <w:pPr/>
          </w:p>
        </w:tc>
      </w:tr>
      <w:tr>
        <w:trPr>
          <w:trHeight w:val="163" w:hRule="exact"/>
        </w:trPr>
        <w:tc>
          <w:tcPr>
            <w:tcW w:w="618" w:type="dxa"/>
            <w:tcBorders>
              <w:left w:val="single" w:sz="4" w:space="0" w:color="000000"/>
            </w:tcBorders>
          </w:tcPr>
          <w:p>
            <w:pPr/>
          </w:p>
        </w:tc>
        <w:tc>
          <w:tcPr>
            <w:tcW w:w="2069" w:type="dxa"/>
          </w:tcPr>
          <w:p>
            <w:pPr>
              <w:pStyle w:val="TableParagraph"/>
              <w:spacing w:before="6"/>
              <w:ind w:left="90"/>
              <w:jc w:val="left"/>
              <w:rPr>
                <w:rFonts w:ascii="Calibri" w:hAnsi="Calibri"/>
                <w:sz w:val="12"/>
              </w:rPr>
            </w:pPr>
            <w:r>
              <w:rPr>
                <w:rFonts w:ascii="Calibri" w:hAnsi="Calibri"/>
                <w:w w:val="105"/>
                <w:sz w:val="12"/>
              </w:rPr>
              <w:t>Índice de satisfacción del acreditado</w:t>
            </w:r>
          </w:p>
        </w:tc>
        <w:tc>
          <w:tcPr>
            <w:tcW w:w="2096" w:type="dxa"/>
          </w:tcPr>
          <w:p>
            <w:pPr>
              <w:pStyle w:val="TableParagraph"/>
              <w:spacing w:before="6"/>
              <w:ind w:left="121" w:right="740"/>
              <w:jc w:val="left"/>
              <w:rPr>
                <w:rFonts w:ascii="Calibri"/>
                <w:sz w:val="12"/>
              </w:rPr>
            </w:pPr>
            <w:r>
              <w:rPr>
                <w:rFonts w:ascii="Calibri"/>
                <w:w w:val="105"/>
                <w:sz w:val="12"/>
              </w:rPr>
              <w:t>Infonavit</w:t>
            </w:r>
          </w:p>
        </w:tc>
        <w:tc>
          <w:tcPr>
            <w:tcW w:w="1785" w:type="dxa"/>
          </w:tcPr>
          <w:p>
            <w:pPr>
              <w:pStyle w:val="TableParagraph"/>
              <w:tabs>
                <w:tab w:pos="1163" w:val="left" w:leader="none"/>
                <w:tab w:pos="2003" w:val="left" w:leader="none"/>
              </w:tabs>
              <w:spacing w:before="6"/>
              <w:ind w:left="481" w:right="-219"/>
              <w:rPr>
                <w:rFonts w:ascii="Calibri"/>
                <w:sz w:val="12"/>
              </w:rPr>
            </w:pPr>
            <w:r>
              <w:rPr>
                <w:rFonts w:ascii="Times New Roman"/>
                <w:w w:val="104"/>
                <w:sz w:val="12"/>
                <w:shd w:fill="BAF9F5" w:color="auto" w:val="clear"/>
              </w:rPr>
              <w:t> </w:t>
            </w:r>
            <w:r>
              <w:rPr>
                <w:rFonts w:ascii="Times New Roman"/>
                <w:sz w:val="12"/>
                <w:shd w:fill="BAF9F5" w:color="auto" w:val="clear"/>
              </w:rPr>
              <w:tab/>
            </w:r>
            <w:r>
              <w:rPr>
                <w:rFonts w:ascii="Calibri"/>
                <w:w w:val="105"/>
                <w:sz w:val="12"/>
                <w:shd w:fill="BAF9F5" w:color="auto" w:val="clear"/>
              </w:rPr>
              <w:t>0.7</w:t>
            </w:r>
            <w:r>
              <w:rPr>
                <w:rFonts w:ascii="Calibri"/>
                <w:sz w:val="12"/>
                <w:shd w:fill="BAF9F5" w:color="auto" w:val="clear"/>
              </w:rPr>
              <w:tab/>
            </w:r>
          </w:p>
        </w:tc>
        <w:tc>
          <w:tcPr>
            <w:tcW w:w="890" w:type="dxa"/>
          </w:tcPr>
          <w:p>
            <w:pPr/>
          </w:p>
        </w:tc>
        <w:tc>
          <w:tcPr>
            <w:tcW w:w="683" w:type="dxa"/>
          </w:tcPr>
          <w:p>
            <w:pPr>
              <w:pStyle w:val="TableParagraph"/>
              <w:spacing w:before="6"/>
              <w:ind w:left="242" w:right="241"/>
              <w:rPr>
                <w:rFonts w:ascii="Calibri"/>
                <w:sz w:val="12"/>
              </w:rPr>
            </w:pPr>
            <w:r>
              <w:rPr>
                <w:rFonts w:ascii="Calibri"/>
                <w:w w:val="105"/>
                <w:sz w:val="12"/>
              </w:rPr>
              <w:t>0.7</w:t>
            </w:r>
          </w:p>
        </w:tc>
        <w:tc>
          <w:tcPr>
            <w:tcW w:w="681" w:type="dxa"/>
            <w:tcBorders>
              <w:right w:val="single" w:sz="8" w:space="0" w:color="000000"/>
            </w:tcBorders>
            <w:shd w:val="clear" w:color="auto" w:fill="67ED4D"/>
          </w:tcPr>
          <w:p>
            <w:pPr>
              <w:pStyle w:val="TableParagraph"/>
              <w:spacing w:before="6"/>
              <w:ind w:left="20"/>
              <w:rPr>
                <w:rFonts w:ascii="Calibri"/>
                <w:sz w:val="12"/>
              </w:rPr>
            </w:pPr>
            <w:r>
              <w:rPr>
                <w:rFonts w:ascii="Calibri"/>
                <w:w w:val="104"/>
                <w:sz w:val="12"/>
              </w:rPr>
              <w:t>1</w:t>
            </w:r>
          </w:p>
        </w:tc>
      </w:tr>
      <w:tr>
        <w:trPr>
          <w:trHeight w:val="163" w:hRule="exact"/>
        </w:trPr>
        <w:tc>
          <w:tcPr>
            <w:tcW w:w="618" w:type="dxa"/>
            <w:tcBorders>
              <w:left w:val="single" w:sz="4" w:space="0" w:color="000000"/>
            </w:tcBorders>
          </w:tcPr>
          <w:p>
            <w:pPr/>
          </w:p>
        </w:tc>
        <w:tc>
          <w:tcPr>
            <w:tcW w:w="2069" w:type="dxa"/>
          </w:tcPr>
          <w:p>
            <w:pPr/>
          </w:p>
        </w:tc>
        <w:tc>
          <w:tcPr>
            <w:tcW w:w="2096" w:type="dxa"/>
          </w:tcPr>
          <w:p>
            <w:pPr/>
          </w:p>
        </w:tc>
        <w:tc>
          <w:tcPr>
            <w:tcW w:w="1785" w:type="dxa"/>
          </w:tcPr>
          <w:p>
            <w:pPr>
              <w:pStyle w:val="TableParagraph"/>
              <w:spacing w:before="1"/>
              <w:ind w:left="888" w:right="188"/>
              <w:rPr>
                <w:rFonts w:ascii="Calibri"/>
                <w:sz w:val="12"/>
              </w:rPr>
            </w:pPr>
            <w:r>
              <w:rPr>
                <w:rFonts w:ascii="Calibri"/>
                <w:w w:val="105"/>
                <w:sz w:val="12"/>
              </w:rPr>
              <w:t>Subtotal</w:t>
            </w:r>
          </w:p>
        </w:tc>
        <w:tc>
          <w:tcPr>
            <w:tcW w:w="890" w:type="dxa"/>
          </w:tcPr>
          <w:p>
            <w:pPr>
              <w:pStyle w:val="TableParagraph"/>
              <w:tabs>
                <w:tab w:pos="470" w:val="left" w:leader="none"/>
                <w:tab w:pos="900" w:val="left" w:leader="none"/>
              </w:tabs>
              <w:spacing w:before="1"/>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0.7</w:t>
            </w:r>
            <w:r>
              <w:rPr>
                <w:rFonts w:ascii="Calibri"/>
                <w:sz w:val="12"/>
                <w:shd w:fill="F79646" w:color="auto" w:val="clear"/>
              </w:rPr>
              <w:tab/>
            </w:r>
          </w:p>
        </w:tc>
        <w:tc>
          <w:tcPr>
            <w:tcW w:w="683" w:type="dxa"/>
          </w:tcPr>
          <w:p>
            <w:pPr>
              <w:pStyle w:val="TableParagraph"/>
              <w:spacing w:before="1"/>
              <w:ind w:left="242" w:right="241"/>
              <w:rPr>
                <w:rFonts w:ascii="Calibri"/>
                <w:sz w:val="12"/>
              </w:rPr>
            </w:pPr>
            <w:r>
              <w:rPr>
                <w:rFonts w:ascii="Calibri"/>
                <w:w w:val="105"/>
                <w:sz w:val="12"/>
              </w:rPr>
              <w:t>0.7</w:t>
            </w:r>
          </w:p>
        </w:tc>
        <w:tc>
          <w:tcPr>
            <w:tcW w:w="681" w:type="dxa"/>
            <w:tcBorders>
              <w:right w:val="single" w:sz="8" w:space="0" w:color="000000"/>
            </w:tcBorders>
            <w:shd w:val="clear" w:color="auto" w:fill="67ED4D"/>
          </w:tcPr>
          <w:p>
            <w:pPr>
              <w:pStyle w:val="TableParagraph"/>
              <w:spacing w:before="1"/>
              <w:ind w:left="20"/>
              <w:rPr>
                <w:rFonts w:ascii="Calibri"/>
                <w:sz w:val="12"/>
              </w:rPr>
            </w:pPr>
            <w:r>
              <w:rPr>
                <w:rFonts w:ascii="Calibri"/>
                <w:w w:val="104"/>
                <w:sz w:val="12"/>
              </w:rPr>
              <w:t>1</w:t>
            </w:r>
          </w:p>
        </w:tc>
      </w:tr>
      <w:tr>
        <w:trPr>
          <w:trHeight w:val="147" w:hRule="exact"/>
        </w:trPr>
        <w:tc>
          <w:tcPr>
            <w:tcW w:w="8822" w:type="dxa"/>
            <w:gridSpan w:val="7"/>
            <w:tcBorders>
              <w:left w:val="single" w:sz="4" w:space="0" w:color="000000"/>
              <w:right w:val="single" w:sz="8" w:space="0" w:color="000000"/>
            </w:tcBorders>
          </w:tcPr>
          <w:p>
            <w:pPr/>
          </w:p>
        </w:tc>
      </w:tr>
      <w:tr>
        <w:trPr>
          <w:trHeight w:val="163" w:hRule="exact"/>
        </w:trPr>
        <w:tc>
          <w:tcPr>
            <w:tcW w:w="618" w:type="dxa"/>
            <w:tcBorders>
              <w:left w:val="single" w:sz="4" w:space="0" w:color="000000"/>
            </w:tcBorders>
          </w:tcPr>
          <w:p>
            <w:pPr/>
          </w:p>
        </w:tc>
        <w:tc>
          <w:tcPr>
            <w:tcW w:w="2069" w:type="dxa"/>
          </w:tcPr>
          <w:p>
            <w:pPr>
              <w:pStyle w:val="TableParagraph"/>
              <w:spacing w:before="6"/>
              <w:ind w:left="90"/>
              <w:jc w:val="left"/>
              <w:rPr>
                <w:rFonts w:ascii="Calibri" w:hAnsi="Calibri"/>
                <w:sz w:val="12"/>
              </w:rPr>
            </w:pPr>
            <w:r>
              <w:rPr>
                <w:rFonts w:ascii="Calibri" w:hAnsi="Calibri"/>
                <w:w w:val="105"/>
                <w:sz w:val="12"/>
              </w:rPr>
              <w:t>Índice de satisfacción residencial</w:t>
            </w:r>
          </w:p>
        </w:tc>
        <w:tc>
          <w:tcPr>
            <w:tcW w:w="2096" w:type="dxa"/>
          </w:tcPr>
          <w:p>
            <w:pPr>
              <w:pStyle w:val="TableParagraph"/>
              <w:spacing w:before="6"/>
              <w:ind w:left="121"/>
              <w:jc w:val="left"/>
              <w:rPr>
                <w:rFonts w:ascii="Calibri"/>
                <w:sz w:val="12"/>
              </w:rPr>
            </w:pPr>
            <w:r>
              <w:rPr>
                <w:rFonts w:ascii="Calibri"/>
                <w:w w:val="105"/>
                <w:sz w:val="12"/>
              </w:rPr>
              <w:t>Sociedad Hipotecaria Federal</w:t>
            </w:r>
          </w:p>
        </w:tc>
        <w:tc>
          <w:tcPr>
            <w:tcW w:w="1785" w:type="dxa"/>
          </w:tcPr>
          <w:p>
            <w:pPr>
              <w:pStyle w:val="TableParagraph"/>
              <w:tabs>
                <w:tab w:pos="1216" w:val="left" w:leader="none"/>
                <w:tab w:pos="2003" w:val="left" w:leader="none"/>
              </w:tabs>
              <w:spacing w:before="6"/>
              <w:ind w:left="481" w:right="-219"/>
              <w:rPr>
                <w:rFonts w:ascii="Calibri"/>
                <w:sz w:val="12"/>
              </w:rPr>
            </w:pPr>
            <w:r>
              <w:rPr>
                <w:rFonts w:ascii="Times New Roman"/>
                <w:w w:val="104"/>
                <w:sz w:val="12"/>
                <w:shd w:fill="BAF9F5" w:color="auto" w:val="clear"/>
              </w:rPr>
              <w:t> </w:t>
            </w:r>
            <w:r>
              <w:rPr>
                <w:rFonts w:ascii="Times New Roman"/>
                <w:sz w:val="12"/>
                <w:shd w:fill="BAF9F5" w:color="auto" w:val="clear"/>
              </w:rPr>
              <w:tab/>
            </w:r>
            <w:r>
              <w:rPr>
                <w:rFonts w:ascii="Calibri"/>
                <w:w w:val="105"/>
                <w:sz w:val="12"/>
                <w:shd w:fill="BAF9F5" w:color="auto" w:val="clear"/>
              </w:rPr>
              <w:t>1</w:t>
            </w:r>
            <w:r>
              <w:rPr>
                <w:rFonts w:ascii="Calibri"/>
                <w:sz w:val="12"/>
                <w:shd w:fill="BAF9F5" w:color="auto" w:val="clear"/>
              </w:rPr>
              <w:tab/>
            </w:r>
          </w:p>
        </w:tc>
        <w:tc>
          <w:tcPr>
            <w:tcW w:w="890" w:type="dxa"/>
          </w:tcPr>
          <w:p>
            <w:pPr/>
          </w:p>
        </w:tc>
        <w:tc>
          <w:tcPr>
            <w:tcW w:w="683" w:type="dxa"/>
          </w:tcPr>
          <w:p>
            <w:pPr>
              <w:pStyle w:val="TableParagraph"/>
              <w:spacing w:before="6"/>
              <w:ind w:left="242" w:right="241"/>
              <w:rPr>
                <w:rFonts w:ascii="Calibri"/>
                <w:sz w:val="12"/>
              </w:rPr>
            </w:pPr>
            <w:r>
              <w:rPr>
                <w:rFonts w:ascii="Calibri"/>
                <w:w w:val="105"/>
                <w:sz w:val="12"/>
              </w:rPr>
              <w:t>0.7</w:t>
            </w:r>
          </w:p>
        </w:tc>
        <w:tc>
          <w:tcPr>
            <w:tcW w:w="681" w:type="dxa"/>
            <w:tcBorders>
              <w:right w:val="single" w:sz="8" w:space="0" w:color="000000"/>
            </w:tcBorders>
            <w:shd w:val="clear" w:color="auto" w:fill="67ED4D"/>
          </w:tcPr>
          <w:p>
            <w:pPr>
              <w:pStyle w:val="TableParagraph"/>
              <w:spacing w:before="6"/>
              <w:ind w:left="20"/>
              <w:rPr>
                <w:rFonts w:ascii="Calibri"/>
                <w:sz w:val="12"/>
              </w:rPr>
            </w:pPr>
            <w:r>
              <w:rPr>
                <w:rFonts w:ascii="Calibri"/>
                <w:w w:val="104"/>
                <w:sz w:val="12"/>
              </w:rPr>
              <w:t>1</w:t>
            </w:r>
          </w:p>
        </w:tc>
      </w:tr>
      <w:tr>
        <w:trPr>
          <w:trHeight w:val="163" w:hRule="exact"/>
        </w:trPr>
        <w:tc>
          <w:tcPr>
            <w:tcW w:w="618" w:type="dxa"/>
            <w:tcBorders>
              <w:left w:val="single" w:sz="4" w:space="0" w:color="000000"/>
            </w:tcBorders>
          </w:tcPr>
          <w:p>
            <w:pPr/>
          </w:p>
        </w:tc>
        <w:tc>
          <w:tcPr>
            <w:tcW w:w="2069" w:type="dxa"/>
          </w:tcPr>
          <w:p>
            <w:pPr/>
          </w:p>
        </w:tc>
        <w:tc>
          <w:tcPr>
            <w:tcW w:w="2096" w:type="dxa"/>
          </w:tcPr>
          <w:p>
            <w:pPr/>
          </w:p>
        </w:tc>
        <w:tc>
          <w:tcPr>
            <w:tcW w:w="1785" w:type="dxa"/>
          </w:tcPr>
          <w:p>
            <w:pPr>
              <w:pStyle w:val="TableParagraph"/>
              <w:spacing w:before="1"/>
              <w:ind w:left="888" w:right="188"/>
              <w:rPr>
                <w:rFonts w:ascii="Calibri"/>
                <w:sz w:val="12"/>
              </w:rPr>
            </w:pPr>
            <w:r>
              <w:rPr>
                <w:rFonts w:ascii="Calibri"/>
                <w:w w:val="105"/>
                <w:sz w:val="12"/>
              </w:rPr>
              <w:t>Subtotal</w:t>
            </w:r>
          </w:p>
        </w:tc>
        <w:tc>
          <w:tcPr>
            <w:tcW w:w="890" w:type="dxa"/>
          </w:tcPr>
          <w:p>
            <w:pPr>
              <w:pStyle w:val="TableParagraph"/>
              <w:tabs>
                <w:tab w:pos="522" w:val="left" w:leader="none"/>
                <w:tab w:pos="900" w:val="left" w:leader="none"/>
              </w:tabs>
              <w:spacing w:before="1"/>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1</w:t>
            </w:r>
            <w:r>
              <w:rPr>
                <w:rFonts w:ascii="Calibri"/>
                <w:sz w:val="12"/>
                <w:shd w:fill="F79646" w:color="auto" w:val="clear"/>
              </w:rPr>
              <w:tab/>
            </w:r>
          </w:p>
        </w:tc>
        <w:tc>
          <w:tcPr>
            <w:tcW w:w="683" w:type="dxa"/>
          </w:tcPr>
          <w:p>
            <w:pPr>
              <w:pStyle w:val="TableParagraph"/>
              <w:spacing w:before="1"/>
              <w:ind w:left="242" w:right="241"/>
              <w:rPr>
                <w:rFonts w:ascii="Calibri"/>
                <w:sz w:val="12"/>
              </w:rPr>
            </w:pPr>
            <w:r>
              <w:rPr>
                <w:rFonts w:ascii="Calibri"/>
                <w:w w:val="105"/>
                <w:sz w:val="12"/>
              </w:rPr>
              <w:t>0.7</w:t>
            </w:r>
          </w:p>
        </w:tc>
        <w:tc>
          <w:tcPr>
            <w:tcW w:w="681" w:type="dxa"/>
            <w:tcBorders>
              <w:right w:val="single" w:sz="8" w:space="0" w:color="000000"/>
            </w:tcBorders>
            <w:shd w:val="clear" w:color="auto" w:fill="67ED4D"/>
          </w:tcPr>
          <w:p>
            <w:pPr>
              <w:pStyle w:val="TableParagraph"/>
              <w:spacing w:before="1"/>
              <w:ind w:left="20"/>
              <w:rPr>
                <w:rFonts w:ascii="Calibri"/>
                <w:sz w:val="12"/>
              </w:rPr>
            </w:pPr>
            <w:r>
              <w:rPr>
                <w:rFonts w:ascii="Calibri"/>
                <w:w w:val="104"/>
                <w:sz w:val="12"/>
              </w:rPr>
              <w:t>1</w:t>
            </w:r>
          </w:p>
        </w:tc>
      </w:tr>
      <w:tr>
        <w:trPr>
          <w:trHeight w:val="473" w:hRule="exact"/>
        </w:trPr>
        <w:tc>
          <w:tcPr>
            <w:tcW w:w="618" w:type="dxa"/>
            <w:tcBorders>
              <w:left w:val="single" w:sz="4" w:space="0" w:color="000000"/>
              <w:bottom w:val="single" w:sz="8" w:space="0" w:color="000000"/>
            </w:tcBorders>
          </w:tcPr>
          <w:p>
            <w:pPr/>
          </w:p>
        </w:tc>
        <w:tc>
          <w:tcPr>
            <w:tcW w:w="2069" w:type="dxa"/>
            <w:tcBorders>
              <w:bottom w:val="single" w:sz="8" w:space="0" w:color="000000"/>
            </w:tcBorders>
          </w:tcPr>
          <w:p>
            <w:pPr/>
          </w:p>
        </w:tc>
        <w:tc>
          <w:tcPr>
            <w:tcW w:w="2096" w:type="dxa"/>
            <w:tcBorders>
              <w:bottom w:val="single" w:sz="8" w:space="0" w:color="000000"/>
            </w:tcBorders>
          </w:tcPr>
          <w:p>
            <w:pPr/>
          </w:p>
        </w:tc>
        <w:tc>
          <w:tcPr>
            <w:tcW w:w="1785" w:type="dxa"/>
            <w:tcBorders>
              <w:bottom w:val="single" w:sz="8" w:space="0" w:color="000000"/>
            </w:tcBorders>
          </w:tcPr>
          <w:p>
            <w:pPr>
              <w:pStyle w:val="TableParagraph"/>
              <w:spacing w:before="4"/>
              <w:jc w:val="left"/>
              <w:rPr>
                <w:sz w:val="13"/>
              </w:rPr>
            </w:pPr>
          </w:p>
          <w:p>
            <w:pPr>
              <w:pStyle w:val="TableParagraph"/>
              <w:ind w:left="891" w:right="181"/>
              <w:rPr>
                <w:rFonts w:ascii="Calibri"/>
                <w:sz w:val="12"/>
              </w:rPr>
            </w:pPr>
            <w:r>
              <w:rPr>
                <w:rFonts w:ascii="Calibri"/>
                <w:w w:val="105"/>
                <w:sz w:val="12"/>
              </w:rPr>
              <w:t>Total IS</w:t>
            </w:r>
          </w:p>
        </w:tc>
        <w:tc>
          <w:tcPr>
            <w:tcW w:w="890" w:type="dxa"/>
            <w:tcBorders>
              <w:bottom w:val="single" w:sz="8" w:space="0" w:color="000000"/>
            </w:tcBorders>
          </w:tcPr>
          <w:p>
            <w:pPr>
              <w:pStyle w:val="TableParagraph"/>
              <w:spacing w:before="4"/>
              <w:jc w:val="left"/>
              <w:rPr>
                <w:sz w:val="13"/>
              </w:rPr>
            </w:pPr>
          </w:p>
          <w:p>
            <w:pPr>
              <w:pStyle w:val="TableParagraph"/>
              <w:tabs>
                <w:tab w:pos="900" w:val="left" w:leader="none"/>
              </w:tabs>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      </w:t>
            </w:r>
            <w:r>
              <w:rPr>
                <w:rFonts w:ascii="Times New Roman"/>
                <w:spacing w:val="-11"/>
                <w:sz w:val="12"/>
                <w:shd w:fill="F79646" w:color="auto" w:val="clear"/>
              </w:rPr>
              <w:t> </w:t>
            </w:r>
            <w:r>
              <w:rPr>
                <w:rFonts w:ascii="Calibri"/>
                <w:w w:val="105"/>
                <w:sz w:val="12"/>
                <w:shd w:fill="F79646" w:color="auto" w:val="clear"/>
              </w:rPr>
              <w:t>11.2</w:t>
            </w:r>
            <w:r>
              <w:rPr>
                <w:rFonts w:ascii="Calibri"/>
                <w:sz w:val="12"/>
                <w:shd w:fill="F79646" w:color="auto" w:val="clear"/>
              </w:rPr>
              <w:tab/>
            </w:r>
          </w:p>
        </w:tc>
        <w:tc>
          <w:tcPr>
            <w:tcW w:w="683" w:type="dxa"/>
            <w:tcBorders>
              <w:bottom w:val="single" w:sz="8" w:space="0" w:color="000000"/>
            </w:tcBorders>
          </w:tcPr>
          <w:p>
            <w:pPr>
              <w:pStyle w:val="TableParagraph"/>
              <w:spacing w:before="4"/>
              <w:jc w:val="left"/>
              <w:rPr>
                <w:sz w:val="13"/>
              </w:rPr>
            </w:pPr>
          </w:p>
          <w:p>
            <w:pPr>
              <w:pStyle w:val="TableParagraph"/>
              <w:tabs>
                <w:tab w:pos="692" w:val="left" w:leader="none"/>
              </w:tabs>
              <w:ind w:left="-1" w:right="-10"/>
              <w:rPr>
                <w:rFonts w:ascii="Calibri"/>
                <w:sz w:val="12"/>
              </w:rPr>
            </w:pPr>
            <w:r>
              <w:rPr>
                <w:rFonts w:ascii="Times New Roman"/>
                <w:w w:val="104"/>
                <w:sz w:val="12"/>
                <w:shd w:fill="FFFF00" w:color="auto" w:val="clear"/>
              </w:rPr>
              <w:t> </w:t>
            </w:r>
            <w:r>
              <w:rPr>
                <w:rFonts w:ascii="Times New Roman"/>
                <w:sz w:val="12"/>
                <w:shd w:fill="FFFF00" w:color="auto" w:val="clear"/>
              </w:rPr>
              <w:t>      </w:t>
            </w:r>
            <w:r>
              <w:rPr>
                <w:rFonts w:ascii="Times New Roman"/>
                <w:spacing w:val="-11"/>
                <w:sz w:val="12"/>
                <w:shd w:fill="FFFF00" w:color="auto" w:val="clear"/>
              </w:rPr>
              <w:t> </w:t>
            </w:r>
            <w:r>
              <w:rPr>
                <w:rFonts w:ascii="Calibri"/>
                <w:w w:val="105"/>
                <w:sz w:val="12"/>
                <w:shd w:fill="FFFF00" w:color="auto" w:val="clear"/>
              </w:rPr>
              <w:t>11.4</w:t>
            </w:r>
            <w:r>
              <w:rPr>
                <w:rFonts w:ascii="Calibri"/>
                <w:sz w:val="12"/>
                <w:shd w:fill="FFFF00" w:color="auto" w:val="clear"/>
              </w:rPr>
              <w:tab/>
            </w:r>
          </w:p>
        </w:tc>
        <w:tc>
          <w:tcPr>
            <w:tcW w:w="681" w:type="dxa"/>
            <w:tcBorders>
              <w:bottom w:val="single" w:sz="8" w:space="0" w:color="000000"/>
              <w:right w:val="single" w:sz="8" w:space="0" w:color="000000"/>
            </w:tcBorders>
          </w:tcPr>
          <w:p>
            <w:pPr>
              <w:pStyle w:val="TableParagraph"/>
              <w:spacing w:before="4"/>
              <w:jc w:val="left"/>
              <w:rPr>
                <w:sz w:val="13"/>
              </w:rPr>
            </w:pPr>
          </w:p>
          <w:p>
            <w:pPr>
              <w:pStyle w:val="TableParagraph"/>
              <w:ind w:left="262" w:right="241"/>
              <w:rPr>
                <w:rFonts w:ascii="Calibri"/>
                <w:sz w:val="12"/>
              </w:rPr>
            </w:pPr>
            <w:r>
              <w:rPr>
                <w:rFonts w:ascii="Calibri"/>
                <w:w w:val="105"/>
                <w:sz w:val="12"/>
              </w:rPr>
              <w:t>15</w:t>
            </w:r>
          </w:p>
        </w:tc>
      </w:tr>
    </w:tbl>
    <w:p>
      <w:pPr>
        <w:spacing w:before="130"/>
        <w:ind w:left="268" w:right="0" w:firstLine="0"/>
        <w:jc w:val="left"/>
        <w:rPr>
          <w:sz w:val="21"/>
        </w:rPr>
      </w:pPr>
      <w:r>
        <w:rPr/>
        <w:pict>
          <v:shape style="position:absolute;margin-left:472.455017pt;margin-top:-87.709137pt;width:34.65pt;height:16.3pt;mso-position-horizontal-relative:page;mso-position-vertical-relative:paragraph;z-index:-1134352" coordorigin="9449,-1754" coordsize="693,326" path="m10142,-1754l9449,-1754,9449,-1597,9449,-1586,9449,-1429,10142,-1429,10142,-1586,10142,-1597,10142,-1754e" filled="true" fillcolor="#ffff00" stroked="false">
            <v:path arrowok="t"/>
            <v:fill type="solid"/>
            <w10:wrap type="none"/>
          </v:shape>
        </w:pict>
      </w:r>
      <w:r>
        <w:rPr/>
        <w:pict>
          <v:shape style="position:absolute;margin-left:472.455017pt;margin-top:-64.075134pt;width:34.65pt;height:16.3pt;mso-position-horizontal-relative:page;mso-position-vertical-relative:paragraph;z-index:-1134328" coordorigin="9449,-1282" coordsize="693,326" path="m10142,-1282l9449,-1282,9449,-1124,9449,-1113,9449,-956,10142,-956,10142,-1113,10142,-1124,10142,-1282e" filled="true" fillcolor="#ffff00" stroked="false">
            <v:path arrowok="t"/>
            <v:fill type="solid"/>
            <w10:wrap type="none"/>
          </v:shape>
        </w:pict>
      </w:r>
      <w:r>
        <w:rPr/>
        <w:pict>
          <v:shape style="position:absolute;margin-left:472.455017pt;margin-top:-40.440136pt;width:34.65pt;height:16.3pt;mso-position-horizontal-relative:page;mso-position-vertical-relative:paragraph;z-index:-1134304" coordorigin="9449,-809" coordsize="693,326" path="m10142,-809l9449,-809,9449,-651,9449,-641,9449,-483,10142,-483,10142,-641,10142,-651,10142,-809e" filled="true" fillcolor="#ffff00" stroked="false">
            <v:path arrowok="t"/>
            <v:fill type="solid"/>
            <w10:wrap type="none"/>
          </v:shape>
        </w:pict>
      </w:r>
      <w:r>
        <w:rPr/>
        <w:pict>
          <v:rect style="position:absolute;margin-left:506.56601pt;margin-top:-16.806406pt;width:34.6361pt;height:8.40328pt;mso-position-horizontal-relative:page;mso-position-vertical-relative:paragraph;z-index:-1134280" filled="true" fillcolor="#67ed4d"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spacing w:before="1"/>
        <w:rPr>
          <w:sz w:val="18"/>
        </w:rPr>
      </w:pPr>
    </w:p>
    <w:p>
      <w:pPr>
        <w:pStyle w:val="BodyText"/>
        <w:spacing w:before="69" w:after="13"/>
        <w:ind w:left="268"/>
      </w:pPr>
      <w:r>
        <w:rPr/>
        <w:pict>
          <v:line style="position:absolute;mso-position-horizontal-relative:page;mso-position-vertical-relative:paragraph;z-index:23776" from="93.199997pt,-19.614155pt" to="546.799997pt,-19.614155pt" stroked="true" strokeweight=".479981pt" strokecolor="#000000">
            <w10:wrap type="none"/>
          </v:line>
        </w:pict>
      </w:r>
      <w:r>
        <w:rPr/>
        <w:pict>
          <v:group style="position:absolute;margin-left:362.763489pt;margin-top:51.735424pt;width:76.150pt;height:40.450pt;mso-position-horizontal-relative:page;mso-position-vertical-relative:paragraph;z-index:-1134232" coordorigin="7255,1035" coordsize="1523,809">
            <v:line style="position:absolute" from="7261,1040" to="7261,1208" stroked="true" strokeweight=".525pt" strokecolor="#baf9f5"/>
            <v:shape style="position:absolute;left:7266;top:1040;width:1512;height:641" coordorigin="7266,1040" coordsize="1512,641" path="m8777,1366l7266,1366,7266,1523,7266,1681,8777,1681,8777,1523,8777,1366m8777,1040l7266,1040,7266,1198,7266,1208,7266,1366,8777,1366,8777,1208,8777,1198,8777,1040e" filled="true" fillcolor="#baf9f5" stroked="false">
              <v:path arrowok="t"/>
              <v:fill type="solid"/>
            </v:shape>
            <v:line style="position:absolute" from="7261,1198" to="7261,1838" stroked="true" strokeweight=".525pt" strokecolor="#baf9f5"/>
            <v:rect style="position:absolute;left:7266;top:1681;width:1511;height:157" filled="true" fillcolor="#baf9f5" stroked="false">
              <v:fill type="solid"/>
            </v:rect>
            <w10:wrap type="none"/>
          </v:group>
        </w:pict>
      </w:r>
      <w:r>
        <w:rPr/>
        <w:pict>
          <v:group style="position:absolute;margin-left:362.763489pt;margin-top:130.480042pt;width:76.150pt;height:56.2pt;mso-position-horizontal-relative:page;mso-position-vertical-relative:paragraph;z-index:-1134208" coordorigin="7255,2610" coordsize="1523,1124">
            <v:line style="position:absolute" from="7261,2615" to="7261,2783" stroked="true" strokeweight=".525pt" strokecolor="#baf9f5"/>
            <v:rect style="position:absolute;left:7266;top:2615;width:1511;height:168" filled="true" fillcolor="#baf9f5" stroked="false">
              <v:fill type="solid"/>
            </v:rect>
            <v:line style="position:absolute" from="7261,2783" to="7261,2941" stroked="true" strokeweight=".525pt" strokecolor="#baf9f5"/>
            <v:rect style="position:absolute;left:7266;top:2783;width:1511;height:157" filled="true" fillcolor="#baf9f5" stroked="false">
              <v:fill type="solid"/>
            </v:rect>
            <v:line style="position:absolute" from="7261,2941" to="7261,3098" stroked="true" strokeweight=".525pt" strokecolor="#baf9f5"/>
            <v:rect style="position:absolute;left:7266;top:2941;width:1511;height:157" filled="true" fillcolor="#baf9f5" stroked="false">
              <v:fill type="solid"/>
            </v:rect>
            <v:line style="position:absolute" from="7261,3098" to="7261,3256" stroked="true" strokeweight=".525pt" strokecolor="#baf9f5"/>
            <v:rect style="position:absolute;left:7266;top:3098;width:1511;height:157" filled="true" fillcolor="#baf9f5" stroked="false">
              <v:fill type="solid"/>
            </v:rect>
            <v:line style="position:absolute" from="7261,3256" to="7261,3413" stroked="true" strokeweight=".525pt" strokecolor="#baf9f5"/>
            <v:rect style="position:absolute;left:7266;top:3256;width:1511;height:157" filled="true" fillcolor="#baf9f5" stroked="false">
              <v:fill type="solid"/>
            </v:rect>
            <v:line style="position:absolute" from="7261,3413" to="7261,3571" stroked="true" strokeweight=".525pt" strokecolor="#baf9f5"/>
            <v:rect style="position:absolute;left:7266;top:3413;width:1511;height:157" filled="true" fillcolor="#baf9f5" stroked="false">
              <v:fill type="solid"/>
            </v:rect>
            <v:line style="position:absolute" from="7261,3571" to="7261,3728" stroked="true" strokeweight=".525pt" strokecolor="#baf9f5"/>
            <v:rect style="position:absolute;left:7266;top:3571;width:1511;height:157" filled="true" fillcolor="#baf9f5" stroked="false">
              <v:fill type="solid"/>
            </v:rect>
            <w10:wrap type="none"/>
          </v:group>
        </w:pict>
      </w:r>
      <w:r>
        <w:rPr/>
        <w:pict>
          <v:shape style="position:absolute;margin-left:472.458008pt;margin-top:107.131805pt;width:34.65pt;height:16.3pt;mso-position-horizontal-relative:page;mso-position-vertical-relative:paragraph;z-index:-1134184" coordorigin="9449,2143" coordsize="693,326" path="m10142,2143l9449,2143,9449,2300,9449,2311,9449,2468,10142,2468,10142,2311,10142,2300,10142,2143e" filled="true" fillcolor="#ffff00" stroked="false">
            <v:path arrowok="t"/>
            <v:fill type="solid"/>
            <w10:wrap type="none"/>
          </v:shape>
        </w:pict>
      </w:r>
      <w:r>
        <w:rPr/>
        <w:pict>
          <v:shape style="position:absolute;margin-left:472.458008pt;margin-top:130.755814pt;width:34.65pt;height:63.55pt;mso-position-horizontal-relative:page;mso-position-vertical-relative:paragraph;z-index:-1134160" coordorigin="9449,2615" coordsize="693,1271" path="m10142,3571l9449,3571,9449,3718,9449,3728,9449,3886,10142,3886,10142,3728,10142,3718,10142,3571m10142,3413l9449,3413,9449,3571,10142,3571,10142,3413m10142,3098l9449,3098,9449,3256,9449,3413,10142,3413,10142,3256,10142,3098m10142,2615l9449,2615,9449,2783,9449,2941,9449,3098,10142,3098,10142,2941,10142,2783,10142,2615e" filled="true" fillcolor="#ffff00" stroked="false">
            <v:path arrowok="t"/>
            <v:fill type="solid"/>
            <w10:wrap type="none"/>
          </v:shape>
        </w:pict>
      </w:r>
      <w:r>
        <w:rPr/>
        <w:t>Tabla 59. ISA Rancho la Providencia</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58"/>
        <w:gridCol w:w="1798"/>
        <w:gridCol w:w="2242"/>
        <w:gridCol w:w="1869"/>
        <w:gridCol w:w="890"/>
        <w:gridCol w:w="683"/>
        <w:gridCol w:w="681"/>
      </w:tblGrid>
      <w:tr>
        <w:trPr>
          <w:trHeight w:val="415" w:hRule="exact"/>
        </w:trPr>
        <w:tc>
          <w:tcPr>
            <w:tcW w:w="8822" w:type="dxa"/>
            <w:gridSpan w:val="7"/>
            <w:tcBorders>
              <w:bottom w:val="nil"/>
              <w:right w:val="single" w:sz="4" w:space="0" w:color="76933C"/>
            </w:tcBorders>
            <w:shd w:val="clear" w:color="auto" w:fill="000000"/>
          </w:tcPr>
          <w:p>
            <w:pPr>
              <w:pStyle w:val="TableParagraph"/>
              <w:spacing w:line="273" w:lineRule="auto" w:before="50"/>
              <w:ind w:left="3353" w:right="3333" w:firstLine="388"/>
              <w:jc w:val="left"/>
              <w:rPr>
                <w:b/>
                <w:sz w:val="12"/>
              </w:rPr>
            </w:pPr>
            <w:r>
              <w:rPr>
                <w:b/>
                <w:color w:val="FFFFFF"/>
                <w:w w:val="105"/>
                <w:sz w:val="12"/>
              </w:rPr>
              <w:t>Rancho la Providencia Índice de sustentabilidad</w:t>
            </w:r>
            <w:r>
              <w:rPr>
                <w:b/>
                <w:color w:val="FFFFFF"/>
                <w:spacing w:val="-3"/>
                <w:w w:val="105"/>
                <w:sz w:val="12"/>
              </w:rPr>
              <w:t> </w:t>
            </w:r>
            <w:r>
              <w:rPr>
                <w:b/>
                <w:color w:val="FFFFFF"/>
                <w:w w:val="105"/>
                <w:sz w:val="12"/>
              </w:rPr>
              <w:t>ambiental</w:t>
            </w:r>
          </w:p>
        </w:tc>
      </w:tr>
      <w:tr>
        <w:trPr>
          <w:trHeight w:val="241" w:hRule="exact"/>
        </w:trPr>
        <w:tc>
          <w:tcPr>
            <w:tcW w:w="658" w:type="dxa"/>
            <w:tcBorders>
              <w:top w:val="single" w:sz="4" w:space="0" w:color="FFFFFF"/>
              <w:left w:val="single" w:sz="4" w:space="0" w:color="000000"/>
            </w:tcBorders>
            <w:shd w:val="clear" w:color="auto" w:fill="808080"/>
          </w:tcPr>
          <w:p>
            <w:pPr>
              <w:pStyle w:val="TableParagraph"/>
              <w:spacing w:before="18"/>
              <w:ind w:left="157"/>
              <w:jc w:val="left"/>
              <w:rPr>
                <w:b/>
                <w:sz w:val="12"/>
              </w:rPr>
            </w:pPr>
            <w:r>
              <w:rPr>
                <w:b/>
                <w:color w:val="FFFFFF"/>
                <w:w w:val="105"/>
                <w:sz w:val="12"/>
              </w:rPr>
              <w:t>Índice</w:t>
            </w:r>
          </w:p>
        </w:tc>
        <w:tc>
          <w:tcPr>
            <w:tcW w:w="1798" w:type="dxa"/>
            <w:tcBorders>
              <w:top w:val="single" w:sz="4" w:space="0" w:color="FFFFFF"/>
            </w:tcBorders>
            <w:shd w:val="clear" w:color="auto" w:fill="808080"/>
          </w:tcPr>
          <w:p>
            <w:pPr>
              <w:pStyle w:val="TableParagraph"/>
              <w:spacing w:before="18"/>
              <w:ind w:left="50"/>
              <w:jc w:val="left"/>
              <w:rPr>
                <w:b/>
                <w:sz w:val="12"/>
              </w:rPr>
            </w:pPr>
            <w:r>
              <w:rPr>
                <w:b/>
                <w:color w:val="FFFFFF"/>
                <w:w w:val="105"/>
                <w:sz w:val="12"/>
              </w:rPr>
              <w:t>Subíndice</w:t>
            </w:r>
          </w:p>
        </w:tc>
        <w:tc>
          <w:tcPr>
            <w:tcW w:w="2242" w:type="dxa"/>
            <w:tcBorders>
              <w:top w:val="single" w:sz="4" w:space="0" w:color="FFFFFF"/>
            </w:tcBorders>
            <w:shd w:val="clear" w:color="auto" w:fill="808080"/>
          </w:tcPr>
          <w:p>
            <w:pPr>
              <w:pStyle w:val="TableParagraph"/>
              <w:spacing w:before="18"/>
              <w:ind w:left="351" w:right="657"/>
              <w:jc w:val="left"/>
              <w:rPr>
                <w:b/>
                <w:sz w:val="12"/>
              </w:rPr>
            </w:pPr>
            <w:r>
              <w:rPr>
                <w:b/>
                <w:color w:val="FFFFFF"/>
                <w:w w:val="105"/>
                <w:sz w:val="12"/>
              </w:rPr>
              <w:t>Indicador</w:t>
            </w:r>
          </w:p>
        </w:tc>
        <w:tc>
          <w:tcPr>
            <w:tcW w:w="1869" w:type="dxa"/>
            <w:tcBorders>
              <w:top w:val="single" w:sz="4" w:space="0" w:color="FFFFFF"/>
            </w:tcBorders>
            <w:shd w:val="clear" w:color="auto" w:fill="808080"/>
          </w:tcPr>
          <w:p>
            <w:pPr/>
          </w:p>
        </w:tc>
        <w:tc>
          <w:tcPr>
            <w:tcW w:w="890" w:type="dxa"/>
            <w:tcBorders>
              <w:top w:val="single" w:sz="4" w:space="0" w:color="FFFFFF"/>
            </w:tcBorders>
            <w:shd w:val="clear" w:color="auto" w:fill="808080"/>
          </w:tcPr>
          <w:p>
            <w:pPr>
              <w:pStyle w:val="TableParagraph"/>
              <w:spacing w:before="18"/>
              <w:ind w:left="260"/>
              <w:jc w:val="left"/>
              <w:rPr>
                <w:b/>
                <w:sz w:val="12"/>
              </w:rPr>
            </w:pPr>
            <w:r>
              <w:rPr>
                <w:b/>
                <w:color w:val="FFFFFF"/>
                <w:w w:val="105"/>
                <w:sz w:val="12"/>
              </w:rPr>
              <w:t>Valores</w:t>
            </w:r>
          </w:p>
        </w:tc>
        <w:tc>
          <w:tcPr>
            <w:tcW w:w="683" w:type="dxa"/>
            <w:tcBorders>
              <w:top w:val="single" w:sz="4" w:space="0" w:color="FFFFFF"/>
            </w:tcBorders>
            <w:shd w:val="clear" w:color="auto" w:fill="808080"/>
          </w:tcPr>
          <w:p>
            <w:pPr/>
          </w:p>
        </w:tc>
        <w:tc>
          <w:tcPr>
            <w:tcW w:w="681" w:type="dxa"/>
            <w:tcBorders>
              <w:top w:val="single" w:sz="4" w:space="0" w:color="FFFFFF"/>
              <w:right w:val="single" w:sz="8" w:space="0" w:color="000000"/>
            </w:tcBorders>
            <w:shd w:val="clear" w:color="auto" w:fill="808080"/>
          </w:tcPr>
          <w:p>
            <w:pPr/>
          </w:p>
        </w:tc>
      </w:tr>
      <w:tr>
        <w:trPr>
          <w:trHeight w:val="189" w:hRule="exact"/>
        </w:trPr>
        <w:tc>
          <w:tcPr>
            <w:tcW w:w="658" w:type="dxa"/>
            <w:vMerge w:val="restart"/>
            <w:tcBorders>
              <w:left w:val="single" w:sz="4" w:space="0" w:color="000000"/>
            </w:tcBorders>
          </w:tcPr>
          <w:p>
            <w:pPr/>
          </w:p>
        </w:tc>
        <w:tc>
          <w:tcPr>
            <w:tcW w:w="1798" w:type="dxa"/>
          </w:tcPr>
          <w:p>
            <w:pPr/>
          </w:p>
        </w:tc>
        <w:tc>
          <w:tcPr>
            <w:tcW w:w="2242" w:type="dxa"/>
          </w:tcPr>
          <w:p>
            <w:pPr/>
          </w:p>
        </w:tc>
        <w:tc>
          <w:tcPr>
            <w:tcW w:w="1869" w:type="dxa"/>
          </w:tcPr>
          <w:p>
            <w:pPr>
              <w:pStyle w:val="TableParagraph"/>
              <w:spacing w:before="34"/>
              <w:ind w:left="975" w:right="188"/>
              <w:rPr>
                <w:b/>
                <w:sz w:val="12"/>
              </w:rPr>
            </w:pPr>
            <w:r>
              <w:rPr>
                <w:b/>
                <w:w w:val="105"/>
                <w:sz w:val="12"/>
              </w:rPr>
              <w:t>Evaluación</w:t>
            </w:r>
          </w:p>
        </w:tc>
        <w:tc>
          <w:tcPr>
            <w:tcW w:w="890" w:type="dxa"/>
          </w:tcPr>
          <w:p>
            <w:pPr>
              <w:pStyle w:val="TableParagraph"/>
              <w:tabs>
                <w:tab w:pos="900" w:val="left" w:leader="none"/>
              </w:tabs>
              <w:spacing w:before="34"/>
              <w:ind w:left="208" w:right="-11"/>
              <w:jc w:val="left"/>
              <w:rPr>
                <w:b/>
                <w:sz w:val="12"/>
              </w:rPr>
            </w:pPr>
            <w:r>
              <w:rPr>
                <w:b/>
                <w:w w:val="104"/>
                <w:sz w:val="12"/>
                <w:shd w:fill="F79646" w:color="auto" w:val="clear"/>
              </w:rPr>
              <w:t> </w:t>
            </w:r>
            <w:r>
              <w:rPr>
                <w:b/>
                <w:sz w:val="12"/>
                <w:shd w:fill="F79646" w:color="auto" w:val="clear"/>
              </w:rPr>
              <w:t>    </w:t>
            </w:r>
            <w:r>
              <w:rPr>
                <w:b/>
                <w:spacing w:val="8"/>
                <w:sz w:val="12"/>
                <w:shd w:fill="F79646" w:color="auto" w:val="clear"/>
              </w:rPr>
              <w:t> </w:t>
            </w:r>
            <w:r>
              <w:rPr>
                <w:b/>
                <w:w w:val="105"/>
                <w:sz w:val="12"/>
                <w:shd w:fill="F79646" w:color="auto" w:val="clear"/>
              </w:rPr>
              <w:t>Real</w:t>
            </w:r>
            <w:r>
              <w:rPr>
                <w:b/>
                <w:sz w:val="12"/>
                <w:shd w:fill="F79646" w:color="auto" w:val="clear"/>
              </w:rPr>
              <w:tab/>
            </w:r>
          </w:p>
        </w:tc>
        <w:tc>
          <w:tcPr>
            <w:tcW w:w="683" w:type="dxa"/>
            <w:tcBorders>
              <w:right w:val="single" w:sz="4" w:space="0" w:color="FFFFFF"/>
            </w:tcBorders>
            <w:shd w:val="clear" w:color="auto" w:fill="FFFF00"/>
          </w:tcPr>
          <w:p>
            <w:pPr>
              <w:pStyle w:val="TableParagraph"/>
              <w:spacing w:before="34"/>
              <w:ind w:left="53" w:right="31"/>
              <w:rPr>
                <w:b/>
                <w:sz w:val="12"/>
              </w:rPr>
            </w:pPr>
            <w:r>
              <w:rPr>
                <w:b/>
                <w:w w:val="105"/>
                <w:sz w:val="12"/>
              </w:rPr>
              <w:t>Deseable</w:t>
            </w:r>
          </w:p>
        </w:tc>
        <w:tc>
          <w:tcPr>
            <w:tcW w:w="681" w:type="dxa"/>
            <w:tcBorders>
              <w:left w:val="single" w:sz="4" w:space="0" w:color="FFFFFF"/>
              <w:right w:val="single" w:sz="8" w:space="0" w:color="000000"/>
            </w:tcBorders>
            <w:shd w:val="clear" w:color="auto" w:fill="67ED4D"/>
          </w:tcPr>
          <w:p>
            <w:pPr>
              <w:pStyle w:val="TableParagraph"/>
              <w:spacing w:before="34"/>
              <w:ind w:left="99" w:right="85"/>
              <w:rPr>
                <w:b/>
                <w:sz w:val="12"/>
              </w:rPr>
            </w:pPr>
            <w:r>
              <w:rPr>
                <w:b/>
                <w:w w:val="105"/>
                <w:sz w:val="12"/>
              </w:rPr>
              <w:t>Óptimo</w:t>
            </w:r>
          </w:p>
        </w:tc>
      </w:tr>
      <w:tr>
        <w:trPr>
          <w:trHeight w:val="159" w:hRule="exact"/>
        </w:trPr>
        <w:tc>
          <w:tcPr>
            <w:tcW w:w="658" w:type="dxa"/>
            <w:vMerge/>
            <w:tcBorders>
              <w:left w:val="single" w:sz="4" w:space="0" w:color="000000"/>
            </w:tcBorders>
          </w:tcPr>
          <w:p>
            <w:pPr/>
          </w:p>
        </w:tc>
        <w:tc>
          <w:tcPr>
            <w:tcW w:w="1798" w:type="dxa"/>
          </w:tcPr>
          <w:p>
            <w:pPr/>
          </w:p>
        </w:tc>
        <w:tc>
          <w:tcPr>
            <w:tcW w:w="2242" w:type="dxa"/>
          </w:tcPr>
          <w:p>
            <w:pPr>
              <w:pStyle w:val="TableParagraph"/>
              <w:spacing w:before="1"/>
              <w:ind w:left="351" w:right="657"/>
              <w:jc w:val="left"/>
              <w:rPr>
                <w:rFonts w:ascii="Calibri"/>
                <w:sz w:val="12"/>
              </w:rPr>
            </w:pPr>
            <w:r>
              <w:rPr>
                <w:rFonts w:ascii="Calibri"/>
                <w:w w:val="105"/>
                <w:sz w:val="12"/>
              </w:rPr>
              <w:t>Tipo de la vivienda</w:t>
            </w:r>
          </w:p>
        </w:tc>
        <w:tc>
          <w:tcPr>
            <w:tcW w:w="1869" w:type="dxa"/>
          </w:tcPr>
          <w:p>
            <w:pPr>
              <w:pStyle w:val="TableParagraph"/>
              <w:spacing w:before="1"/>
              <w:ind w:left="795"/>
              <w:rPr>
                <w:rFonts w:ascii="Calibri"/>
                <w:sz w:val="12"/>
              </w:rPr>
            </w:pPr>
            <w:r>
              <w:rPr>
                <w:rFonts w:ascii="Calibri"/>
                <w:w w:val="104"/>
                <w:sz w:val="12"/>
              </w:rPr>
              <w:t>0</w:t>
            </w:r>
          </w:p>
        </w:tc>
        <w:tc>
          <w:tcPr>
            <w:tcW w:w="890" w:type="dxa"/>
          </w:tcPr>
          <w:p>
            <w:pPr/>
          </w:p>
        </w:tc>
        <w:tc>
          <w:tcPr>
            <w:tcW w:w="683" w:type="dxa"/>
            <w:tcBorders>
              <w:right w:val="single" w:sz="4" w:space="0" w:color="FFFFFF"/>
            </w:tcBorders>
            <w:shd w:val="clear" w:color="auto" w:fill="FFFF00"/>
          </w:tcPr>
          <w:p>
            <w:pPr>
              <w:pStyle w:val="TableParagraph"/>
              <w:spacing w:before="1"/>
              <w:ind w:left="37" w:right="31"/>
              <w:rPr>
                <w:rFonts w:ascii="Calibri"/>
                <w:sz w:val="12"/>
              </w:rPr>
            </w:pPr>
            <w:r>
              <w:rPr>
                <w:rFonts w:ascii="Calibri"/>
                <w:w w:val="105"/>
                <w:sz w:val="12"/>
              </w:rPr>
              <w:t>0.6</w:t>
            </w:r>
          </w:p>
        </w:tc>
        <w:tc>
          <w:tcPr>
            <w:tcW w:w="681" w:type="dxa"/>
            <w:tcBorders>
              <w:left w:val="single" w:sz="4" w:space="0" w:color="FFFFFF"/>
              <w:right w:val="single" w:sz="8" w:space="0" w:color="000000"/>
            </w:tcBorders>
            <w:shd w:val="clear" w:color="auto" w:fill="67ED4D"/>
          </w:tcPr>
          <w:p>
            <w:pPr>
              <w:pStyle w:val="TableParagraph"/>
              <w:spacing w:before="1"/>
              <w:ind w:left="15"/>
              <w:rPr>
                <w:rFonts w:ascii="Calibri"/>
                <w:sz w:val="12"/>
              </w:rPr>
            </w:pPr>
            <w:r>
              <w:rPr>
                <w:rFonts w:ascii="Calibri"/>
                <w:w w:val="104"/>
                <w:sz w:val="12"/>
              </w:rPr>
              <w:t>1</w:t>
            </w:r>
          </w:p>
        </w:tc>
      </w:tr>
      <w:tr>
        <w:trPr>
          <w:trHeight w:val="157" w:hRule="exact"/>
        </w:trPr>
        <w:tc>
          <w:tcPr>
            <w:tcW w:w="658" w:type="dxa"/>
            <w:vMerge/>
            <w:tcBorders>
              <w:left w:val="single" w:sz="4" w:space="0" w:color="000000"/>
            </w:tcBorders>
          </w:tcPr>
          <w:p>
            <w:pPr/>
          </w:p>
        </w:tc>
        <w:tc>
          <w:tcPr>
            <w:tcW w:w="1798" w:type="dxa"/>
            <w:vMerge w:val="restart"/>
          </w:tcPr>
          <w:p>
            <w:pPr>
              <w:pStyle w:val="TableParagraph"/>
              <w:spacing w:before="73"/>
              <w:ind w:left="50"/>
              <w:jc w:val="left"/>
              <w:rPr>
                <w:rFonts w:ascii="Calibri"/>
                <w:sz w:val="12"/>
              </w:rPr>
            </w:pPr>
            <w:r>
              <w:rPr>
                <w:rFonts w:ascii="Calibri"/>
                <w:w w:val="105"/>
                <w:sz w:val="12"/>
              </w:rPr>
              <w:t>Autorizaciones</w:t>
            </w:r>
          </w:p>
        </w:tc>
        <w:tc>
          <w:tcPr>
            <w:tcW w:w="2242" w:type="dxa"/>
            <w:vMerge w:val="restart"/>
          </w:tcPr>
          <w:p>
            <w:pPr>
              <w:pStyle w:val="TableParagraph"/>
              <w:spacing w:line="259" w:lineRule="auto"/>
              <w:ind w:left="351" w:right="657"/>
              <w:jc w:val="left"/>
              <w:rPr>
                <w:rFonts w:ascii="Calibri" w:hAnsi="Calibri"/>
                <w:sz w:val="12"/>
              </w:rPr>
            </w:pPr>
            <w:r>
              <w:rPr>
                <w:rFonts w:ascii="Calibri" w:hAnsi="Calibri"/>
                <w:w w:val="105"/>
                <w:sz w:val="12"/>
              </w:rPr>
              <w:t>Metros de construcción Metros de terreno</w:t>
            </w:r>
          </w:p>
        </w:tc>
        <w:tc>
          <w:tcPr>
            <w:tcW w:w="1869" w:type="dxa"/>
            <w:vMerge w:val="restart"/>
          </w:tcPr>
          <w:p>
            <w:pPr>
              <w:pStyle w:val="TableParagraph"/>
              <w:spacing w:line="146" w:lineRule="exact"/>
              <w:ind w:right="502"/>
              <w:jc w:val="right"/>
              <w:rPr>
                <w:rFonts w:ascii="Calibri"/>
                <w:sz w:val="12"/>
              </w:rPr>
            </w:pPr>
            <w:r>
              <w:rPr>
                <w:rFonts w:ascii="Calibri"/>
                <w:w w:val="104"/>
                <w:sz w:val="12"/>
              </w:rPr>
              <w:t>1</w:t>
            </w:r>
          </w:p>
          <w:p>
            <w:pPr>
              <w:pStyle w:val="TableParagraph"/>
              <w:spacing w:before="11"/>
              <w:ind w:right="502"/>
              <w:jc w:val="right"/>
              <w:rPr>
                <w:rFonts w:ascii="Calibri"/>
                <w:sz w:val="12"/>
              </w:rPr>
            </w:pPr>
            <w:r>
              <w:rPr>
                <w:rFonts w:ascii="Calibri"/>
                <w:w w:val="104"/>
                <w:sz w:val="12"/>
              </w:rPr>
              <w:t>1</w:t>
            </w:r>
          </w:p>
        </w:tc>
        <w:tc>
          <w:tcPr>
            <w:tcW w:w="890" w:type="dxa"/>
            <w:vMerge w:val="restart"/>
          </w:tcPr>
          <w:p>
            <w:pPr/>
          </w:p>
        </w:tc>
        <w:tc>
          <w:tcPr>
            <w:tcW w:w="683" w:type="dxa"/>
            <w:tcBorders>
              <w:right w:val="single" w:sz="4" w:space="0" w:color="FFFFFF"/>
            </w:tcBorders>
            <w:shd w:val="clear" w:color="auto" w:fill="FFFF00"/>
          </w:tcPr>
          <w:p>
            <w:pPr>
              <w:pStyle w:val="TableParagraph"/>
              <w:spacing w:line="146" w:lineRule="exact"/>
              <w:ind w:left="15"/>
              <w:rPr>
                <w:rFonts w:ascii="Calibri"/>
                <w:sz w:val="12"/>
              </w:rPr>
            </w:pPr>
            <w:r>
              <w:rPr>
                <w:rFonts w:ascii="Calibri"/>
                <w:w w:val="104"/>
                <w:sz w:val="12"/>
              </w:rPr>
              <w:t>1</w:t>
            </w:r>
          </w:p>
        </w:tc>
        <w:tc>
          <w:tcPr>
            <w:tcW w:w="681" w:type="dxa"/>
            <w:tcBorders>
              <w:left w:val="single" w:sz="4" w:space="0" w:color="FFFFFF"/>
              <w:right w:val="single" w:sz="8" w:space="0" w:color="000000"/>
            </w:tcBorders>
            <w:shd w:val="clear" w:color="auto" w:fill="67ED4D"/>
          </w:tcPr>
          <w:p>
            <w:pPr>
              <w:pStyle w:val="TableParagraph"/>
              <w:spacing w:line="146" w:lineRule="exact"/>
              <w:ind w:left="15"/>
              <w:rPr>
                <w:rFonts w:ascii="Calibri"/>
                <w:sz w:val="12"/>
              </w:rPr>
            </w:pPr>
            <w:r>
              <w:rPr>
                <w:rFonts w:ascii="Calibri"/>
                <w:w w:val="104"/>
                <w:sz w:val="12"/>
              </w:rPr>
              <w:t>1</w:t>
            </w:r>
          </w:p>
        </w:tc>
      </w:tr>
      <w:tr>
        <w:trPr>
          <w:trHeight w:val="157" w:hRule="exact"/>
        </w:trPr>
        <w:tc>
          <w:tcPr>
            <w:tcW w:w="658" w:type="dxa"/>
            <w:vMerge/>
            <w:tcBorders>
              <w:left w:val="single" w:sz="4" w:space="0" w:color="000000"/>
            </w:tcBorders>
          </w:tcPr>
          <w:p>
            <w:pPr/>
          </w:p>
        </w:tc>
        <w:tc>
          <w:tcPr>
            <w:tcW w:w="1798" w:type="dxa"/>
            <w:vMerge/>
          </w:tcPr>
          <w:p>
            <w:pPr/>
          </w:p>
        </w:tc>
        <w:tc>
          <w:tcPr>
            <w:tcW w:w="2242" w:type="dxa"/>
            <w:vMerge/>
          </w:tcPr>
          <w:p>
            <w:pPr/>
          </w:p>
        </w:tc>
        <w:tc>
          <w:tcPr>
            <w:tcW w:w="1869" w:type="dxa"/>
            <w:vMerge/>
          </w:tcPr>
          <w:p>
            <w:pPr/>
          </w:p>
        </w:tc>
        <w:tc>
          <w:tcPr>
            <w:tcW w:w="890" w:type="dxa"/>
            <w:vMerge/>
          </w:tcPr>
          <w:p>
            <w:pPr/>
          </w:p>
        </w:tc>
        <w:tc>
          <w:tcPr>
            <w:tcW w:w="683" w:type="dxa"/>
            <w:tcBorders>
              <w:right w:val="single" w:sz="4" w:space="0" w:color="FFFFFF"/>
            </w:tcBorders>
            <w:shd w:val="clear" w:color="auto" w:fill="FFFF00"/>
          </w:tcPr>
          <w:p>
            <w:pPr>
              <w:pStyle w:val="TableParagraph"/>
              <w:spacing w:line="146" w:lineRule="exact"/>
              <w:ind w:left="15"/>
              <w:rPr>
                <w:rFonts w:ascii="Calibri"/>
                <w:sz w:val="12"/>
              </w:rPr>
            </w:pPr>
            <w:r>
              <w:rPr>
                <w:rFonts w:ascii="Calibri"/>
                <w:w w:val="104"/>
                <w:sz w:val="12"/>
              </w:rPr>
              <w:t>1</w:t>
            </w:r>
          </w:p>
        </w:tc>
        <w:tc>
          <w:tcPr>
            <w:tcW w:w="681" w:type="dxa"/>
            <w:tcBorders>
              <w:left w:val="single" w:sz="4" w:space="0" w:color="FFFFFF"/>
              <w:right w:val="single" w:sz="8" w:space="0" w:color="000000"/>
            </w:tcBorders>
            <w:shd w:val="clear" w:color="auto" w:fill="67ED4D"/>
          </w:tcPr>
          <w:p>
            <w:pPr>
              <w:pStyle w:val="TableParagraph"/>
              <w:spacing w:line="146" w:lineRule="exact"/>
              <w:ind w:left="15"/>
              <w:rPr>
                <w:rFonts w:ascii="Calibri"/>
                <w:sz w:val="12"/>
              </w:rPr>
            </w:pPr>
            <w:r>
              <w:rPr>
                <w:rFonts w:ascii="Calibri"/>
                <w:w w:val="104"/>
                <w:sz w:val="12"/>
              </w:rPr>
              <w:t>1</w:t>
            </w:r>
          </w:p>
        </w:tc>
      </w:tr>
      <w:tr>
        <w:trPr>
          <w:trHeight w:val="157" w:hRule="exact"/>
        </w:trPr>
        <w:tc>
          <w:tcPr>
            <w:tcW w:w="658" w:type="dxa"/>
            <w:vMerge/>
            <w:tcBorders>
              <w:left w:val="single" w:sz="4" w:space="0" w:color="000000"/>
            </w:tcBorders>
          </w:tcPr>
          <w:p>
            <w:pPr/>
          </w:p>
        </w:tc>
        <w:tc>
          <w:tcPr>
            <w:tcW w:w="1798" w:type="dxa"/>
          </w:tcPr>
          <w:p>
            <w:pPr/>
          </w:p>
        </w:tc>
        <w:tc>
          <w:tcPr>
            <w:tcW w:w="2242" w:type="dxa"/>
          </w:tcPr>
          <w:p>
            <w:pPr>
              <w:pStyle w:val="TableParagraph"/>
              <w:spacing w:line="146" w:lineRule="exact"/>
              <w:ind w:left="351" w:right="657"/>
              <w:jc w:val="left"/>
              <w:rPr>
                <w:rFonts w:ascii="Calibri"/>
                <w:sz w:val="12"/>
              </w:rPr>
            </w:pPr>
            <w:r>
              <w:rPr>
                <w:rFonts w:ascii="Calibri"/>
                <w:w w:val="105"/>
                <w:sz w:val="12"/>
              </w:rPr>
              <w:t>Plan ambiental</w:t>
            </w:r>
          </w:p>
        </w:tc>
        <w:tc>
          <w:tcPr>
            <w:tcW w:w="1869" w:type="dxa"/>
          </w:tcPr>
          <w:p>
            <w:pPr>
              <w:pStyle w:val="TableParagraph"/>
              <w:spacing w:line="146" w:lineRule="exact"/>
              <w:ind w:left="795"/>
              <w:rPr>
                <w:rFonts w:ascii="Calibri"/>
                <w:sz w:val="12"/>
              </w:rPr>
            </w:pPr>
            <w:r>
              <w:rPr>
                <w:rFonts w:ascii="Calibri"/>
                <w:w w:val="104"/>
                <w:sz w:val="12"/>
              </w:rPr>
              <w:t>0</w:t>
            </w:r>
          </w:p>
        </w:tc>
        <w:tc>
          <w:tcPr>
            <w:tcW w:w="890" w:type="dxa"/>
          </w:tcPr>
          <w:p>
            <w:pPr/>
          </w:p>
        </w:tc>
        <w:tc>
          <w:tcPr>
            <w:tcW w:w="683" w:type="dxa"/>
            <w:tcBorders>
              <w:right w:val="single" w:sz="4" w:space="0" w:color="FFFFFF"/>
            </w:tcBorders>
            <w:shd w:val="clear" w:color="auto" w:fill="FFFF00"/>
          </w:tcPr>
          <w:p>
            <w:pPr>
              <w:pStyle w:val="TableParagraph"/>
              <w:spacing w:line="146" w:lineRule="exact"/>
              <w:ind w:left="15"/>
              <w:rPr>
                <w:rFonts w:ascii="Calibri"/>
                <w:sz w:val="12"/>
              </w:rPr>
            </w:pPr>
            <w:r>
              <w:rPr>
                <w:rFonts w:ascii="Calibri"/>
                <w:w w:val="104"/>
                <w:sz w:val="12"/>
              </w:rPr>
              <w:t>1</w:t>
            </w:r>
          </w:p>
        </w:tc>
        <w:tc>
          <w:tcPr>
            <w:tcW w:w="681" w:type="dxa"/>
            <w:tcBorders>
              <w:left w:val="single" w:sz="4" w:space="0" w:color="FFFFFF"/>
              <w:right w:val="single" w:sz="8" w:space="0" w:color="000000"/>
            </w:tcBorders>
            <w:shd w:val="clear" w:color="auto" w:fill="67ED4D"/>
          </w:tcPr>
          <w:p>
            <w:pPr>
              <w:pStyle w:val="TableParagraph"/>
              <w:spacing w:line="146" w:lineRule="exact"/>
              <w:ind w:left="15"/>
              <w:rPr>
                <w:rFonts w:ascii="Calibri"/>
                <w:sz w:val="12"/>
              </w:rPr>
            </w:pPr>
            <w:r>
              <w:rPr>
                <w:rFonts w:ascii="Calibri"/>
                <w:w w:val="104"/>
                <w:sz w:val="12"/>
              </w:rPr>
              <w:t>1</w:t>
            </w:r>
          </w:p>
        </w:tc>
      </w:tr>
      <w:tr>
        <w:trPr>
          <w:trHeight w:val="161" w:hRule="exact"/>
        </w:trPr>
        <w:tc>
          <w:tcPr>
            <w:tcW w:w="658" w:type="dxa"/>
            <w:vMerge/>
            <w:tcBorders>
              <w:left w:val="single" w:sz="4" w:space="0" w:color="000000"/>
            </w:tcBorders>
          </w:tcPr>
          <w:p>
            <w:pPr/>
          </w:p>
        </w:tc>
        <w:tc>
          <w:tcPr>
            <w:tcW w:w="1798" w:type="dxa"/>
          </w:tcPr>
          <w:p>
            <w:pPr/>
          </w:p>
        </w:tc>
        <w:tc>
          <w:tcPr>
            <w:tcW w:w="2242" w:type="dxa"/>
          </w:tcPr>
          <w:p>
            <w:pPr/>
          </w:p>
        </w:tc>
        <w:tc>
          <w:tcPr>
            <w:tcW w:w="1869" w:type="dxa"/>
          </w:tcPr>
          <w:p>
            <w:pPr>
              <w:pStyle w:val="TableParagraph"/>
              <w:spacing w:before="1"/>
              <w:ind w:left="971" w:right="188"/>
              <w:rPr>
                <w:rFonts w:ascii="Calibri"/>
                <w:sz w:val="12"/>
              </w:rPr>
            </w:pPr>
            <w:r>
              <w:rPr>
                <w:rFonts w:ascii="Calibri"/>
                <w:w w:val="105"/>
                <w:sz w:val="12"/>
              </w:rPr>
              <w:t>Subtotal</w:t>
            </w:r>
          </w:p>
        </w:tc>
        <w:tc>
          <w:tcPr>
            <w:tcW w:w="890" w:type="dxa"/>
          </w:tcPr>
          <w:p>
            <w:pPr>
              <w:pStyle w:val="TableParagraph"/>
              <w:tabs>
                <w:tab w:pos="522" w:val="left" w:leader="none"/>
                <w:tab w:pos="900" w:val="left" w:leader="none"/>
              </w:tabs>
              <w:spacing w:before="1"/>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2</w:t>
            </w:r>
            <w:r>
              <w:rPr>
                <w:rFonts w:ascii="Calibri"/>
                <w:sz w:val="12"/>
                <w:shd w:fill="F79646" w:color="auto" w:val="clear"/>
              </w:rPr>
              <w:tab/>
            </w:r>
          </w:p>
        </w:tc>
        <w:tc>
          <w:tcPr>
            <w:tcW w:w="683" w:type="dxa"/>
            <w:tcBorders>
              <w:right w:val="single" w:sz="4" w:space="0" w:color="FFFFFF"/>
            </w:tcBorders>
            <w:shd w:val="clear" w:color="auto" w:fill="FFFF00"/>
          </w:tcPr>
          <w:p>
            <w:pPr>
              <w:pStyle w:val="TableParagraph"/>
              <w:spacing w:line="146" w:lineRule="exact"/>
              <w:ind w:left="37" w:right="31"/>
              <w:rPr>
                <w:rFonts w:ascii="Calibri"/>
                <w:sz w:val="12"/>
              </w:rPr>
            </w:pPr>
            <w:r>
              <w:rPr>
                <w:rFonts w:ascii="Calibri"/>
                <w:w w:val="105"/>
                <w:sz w:val="12"/>
              </w:rPr>
              <w:t>3.6</w:t>
            </w:r>
          </w:p>
        </w:tc>
        <w:tc>
          <w:tcPr>
            <w:tcW w:w="681" w:type="dxa"/>
            <w:tcBorders>
              <w:left w:val="single" w:sz="4" w:space="0" w:color="FFFFFF"/>
              <w:right w:val="single" w:sz="8" w:space="0" w:color="000000"/>
            </w:tcBorders>
            <w:shd w:val="clear" w:color="auto" w:fill="67ED4D"/>
          </w:tcPr>
          <w:p>
            <w:pPr>
              <w:pStyle w:val="TableParagraph"/>
              <w:spacing w:line="146" w:lineRule="exact"/>
              <w:ind w:left="15"/>
              <w:rPr>
                <w:rFonts w:ascii="Calibri"/>
                <w:sz w:val="12"/>
              </w:rPr>
            </w:pPr>
            <w:r>
              <w:rPr>
                <w:rFonts w:ascii="Calibri"/>
                <w:w w:val="104"/>
                <w:sz w:val="12"/>
              </w:rPr>
              <w:t>4</w:t>
            </w:r>
          </w:p>
        </w:tc>
      </w:tr>
      <w:tr>
        <w:trPr>
          <w:trHeight w:val="147" w:hRule="exact"/>
        </w:trPr>
        <w:tc>
          <w:tcPr>
            <w:tcW w:w="8822" w:type="dxa"/>
            <w:gridSpan w:val="7"/>
            <w:tcBorders>
              <w:left w:val="single" w:sz="4" w:space="0" w:color="000000"/>
              <w:right w:val="single" w:sz="8" w:space="0" w:color="000000"/>
            </w:tcBorders>
          </w:tcPr>
          <w:p>
            <w:pPr/>
          </w:p>
        </w:tc>
      </w:tr>
      <w:tr>
        <w:trPr>
          <w:trHeight w:val="163" w:hRule="exact"/>
        </w:trPr>
        <w:tc>
          <w:tcPr>
            <w:tcW w:w="658" w:type="dxa"/>
            <w:tcBorders>
              <w:left w:val="single" w:sz="4" w:space="0" w:color="000000"/>
            </w:tcBorders>
          </w:tcPr>
          <w:p>
            <w:pPr/>
          </w:p>
        </w:tc>
        <w:tc>
          <w:tcPr>
            <w:tcW w:w="1798" w:type="dxa"/>
          </w:tcPr>
          <w:p>
            <w:pPr>
              <w:pStyle w:val="TableParagraph"/>
              <w:spacing w:before="6"/>
              <w:ind w:left="50"/>
              <w:jc w:val="left"/>
              <w:rPr>
                <w:rFonts w:ascii="Calibri"/>
                <w:sz w:val="12"/>
              </w:rPr>
            </w:pPr>
            <w:r>
              <w:rPr>
                <w:rFonts w:ascii="Calibri"/>
                <w:w w:val="105"/>
                <w:sz w:val="12"/>
              </w:rPr>
              <w:t>Agua</w:t>
            </w:r>
          </w:p>
        </w:tc>
        <w:tc>
          <w:tcPr>
            <w:tcW w:w="2242" w:type="dxa"/>
          </w:tcPr>
          <w:p>
            <w:pPr>
              <w:pStyle w:val="TableParagraph"/>
              <w:spacing w:before="6"/>
              <w:ind w:left="351"/>
              <w:jc w:val="left"/>
              <w:rPr>
                <w:rFonts w:ascii="Calibri"/>
                <w:sz w:val="12"/>
              </w:rPr>
            </w:pPr>
            <w:r>
              <w:rPr>
                <w:rFonts w:ascii="Calibri"/>
                <w:w w:val="105"/>
                <w:sz w:val="12"/>
              </w:rPr>
              <w:t>Tipo de abastecimiento</w:t>
            </w:r>
          </w:p>
        </w:tc>
        <w:tc>
          <w:tcPr>
            <w:tcW w:w="1869" w:type="dxa"/>
          </w:tcPr>
          <w:p>
            <w:pPr>
              <w:pStyle w:val="TableParagraph"/>
              <w:tabs>
                <w:tab w:pos="1300" w:val="left" w:leader="none"/>
                <w:tab w:pos="2087" w:val="left" w:leader="none"/>
              </w:tabs>
              <w:spacing w:before="6"/>
              <w:ind w:left="565" w:right="-219"/>
              <w:rPr>
                <w:rFonts w:ascii="Calibri"/>
                <w:sz w:val="12"/>
              </w:rPr>
            </w:pPr>
            <w:r>
              <w:rPr>
                <w:rFonts w:ascii="Times New Roman"/>
                <w:w w:val="104"/>
                <w:sz w:val="12"/>
                <w:shd w:fill="BAF9F5" w:color="auto" w:val="clear"/>
              </w:rPr>
              <w:t> </w:t>
            </w:r>
            <w:r>
              <w:rPr>
                <w:rFonts w:ascii="Times New Roman"/>
                <w:sz w:val="12"/>
                <w:shd w:fill="BAF9F5" w:color="auto" w:val="clear"/>
              </w:rPr>
              <w:tab/>
            </w:r>
            <w:r>
              <w:rPr>
                <w:rFonts w:ascii="Calibri"/>
                <w:w w:val="105"/>
                <w:sz w:val="12"/>
                <w:shd w:fill="BAF9F5" w:color="auto" w:val="clear"/>
              </w:rPr>
              <w:t>1</w:t>
            </w:r>
            <w:r>
              <w:rPr>
                <w:rFonts w:ascii="Calibri"/>
                <w:sz w:val="12"/>
                <w:shd w:fill="BAF9F5" w:color="auto" w:val="clear"/>
              </w:rPr>
              <w:tab/>
            </w:r>
          </w:p>
        </w:tc>
        <w:tc>
          <w:tcPr>
            <w:tcW w:w="890" w:type="dxa"/>
          </w:tcPr>
          <w:p>
            <w:pPr/>
          </w:p>
        </w:tc>
        <w:tc>
          <w:tcPr>
            <w:tcW w:w="683" w:type="dxa"/>
          </w:tcPr>
          <w:p>
            <w:pPr>
              <w:pStyle w:val="TableParagraph"/>
              <w:spacing w:before="6"/>
              <w:ind w:left="242" w:right="241"/>
              <w:rPr>
                <w:rFonts w:ascii="Calibri"/>
                <w:sz w:val="12"/>
              </w:rPr>
            </w:pPr>
            <w:r>
              <w:rPr>
                <w:rFonts w:ascii="Calibri"/>
                <w:w w:val="105"/>
                <w:sz w:val="12"/>
              </w:rPr>
              <w:t>0.7</w:t>
            </w:r>
          </w:p>
        </w:tc>
        <w:tc>
          <w:tcPr>
            <w:tcW w:w="681" w:type="dxa"/>
            <w:tcBorders>
              <w:right w:val="single" w:sz="8" w:space="0" w:color="000000"/>
            </w:tcBorders>
            <w:shd w:val="clear" w:color="auto" w:fill="67ED4D"/>
          </w:tcPr>
          <w:p>
            <w:pPr>
              <w:pStyle w:val="TableParagraph"/>
              <w:spacing w:before="6"/>
              <w:ind w:left="21"/>
              <w:rPr>
                <w:rFonts w:ascii="Calibri"/>
                <w:sz w:val="12"/>
              </w:rPr>
            </w:pPr>
            <w:r>
              <w:rPr>
                <w:rFonts w:ascii="Calibri"/>
                <w:w w:val="104"/>
                <w:sz w:val="12"/>
              </w:rPr>
              <w:t>1</w:t>
            </w:r>
          </w:p>
        </w:tc>
      </w:tr>
      <w:tr>
        <w:trPr>
          <w:trHeight w:val="163" w:hRule="exact"/>
        </w:trPr>
        <w:tc>
          <w:tcPr>
            <w:tcW w:w="658" w:type="dxa"/>
            <w:tcBorders>
              <w:left w:val="single" w:sz="4" w:space="0" w:color="000000"/>
            </w:tcBorders>
          </w:tcPr>
          <w:p>
            <w:pPr/>
          </w:p>
        </w:tc>
        <w:tc>
          <w:tcPr>
            <w:tcW w:w="1798" w:type="dxa"/>
          </w:tcPr>
          <w:p>
            <w:pPr/>
          </w:p>
        </w:tc>
        <w:tc>
          <w:tcPr>
            <w:tcW w:w="2242" w:type="dxa"/>
          </w:tcPr>
          <w:p>
            <w:pPr/>
          </w:p>
        </w:tc>
        <w:tc>
          <w:tcPr>
            <w:tcW w:w="1869" w:type="dxa"/>
          </w:tcPr>
          <w:p>
            <w:pPr>
              <w:pStyle w:val="TableParagraph"/>
              <w:spacing w:before="1"/>
              <w:ind w:left="971" w:right="188"/>
              <w:rPr>
                <w:rFonts w:ascii="Calibri"/>
                <w:sz w:val="12"/>
              </w:rPr>
            </w:pPr>
            <w:r>
              <w:rPr>
                <w:rFonts w:ascii="Calibri"/>
                <w:w w:val="105"/>
                <w:sz w:val="12"/>
              </w:rPr>
              <w:t>Subtotal</w:t>
            </w:r>
          </w:p>
        </w:tc>
        <w:tc>
          <w:tcPr>
            <w:tcW w:w="890" w:type="dxa"/>
          </w:tcPr>
          <w:p>
            <w:pPr>
              <w:pStyle w:val="TableParagraph"/>
              <w:tabs>
                <w:tab w:pos="522" w:val="left" w:leader="none"/>
                <w:tab w:pos="900" w:val="left" w:leader="none"/>
              </w:tabs>
              <w:spacing w:before="1"/>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1</w:t>
            </w:r>
            <w:r>
              <w:rPr>
                <w:rFonts w:ascii="Calibri"/>
                <w:sz w:val="12"/>
                <w:shd w:fill="F79646" w:color="auto" w:val="clear"/>
              </w:rPr>
              <w:tab/>
            </w:r>
          </w:p>
        </w:tc>
        <w:tc>
          <w:tcPr>
            <w:tcW w:w="683" w:type="dxa"/>
          </w:tcPr>
          <w:p>
            <w:pPr>
              <w:pStyle w:val="TableParagraph"/>
              <w:spacing w:before="1"/>
              <w:ind w:left="242" w:right="241"/>
              <w:rPr>
                <w:rFonts w:ascii="Calibri"/>
                <w:sz w:val="12"/>
              </w:rPr>
            </w:pPr>
            <w:r>
              <w:rPr>
                <w:rFonts w:ascii="Calibri"/>
                <w:w w:val="105"/>
                <w:sz w:val="12"/>
              </w:rPr>
              <w:t>0.7</w:t>
            </w:r>
          </w:p>
        </w:tc>
        <w:tc>
          <w:tcPr>
            <w:tcW w:w="681" w:type="dxa"/>
            <w:tcBorders>
              <w:right w:val="single" w:sz="8" w:space="0" w:color="000000"/>
            </w:tcBorders>
            <w:shd w:val="clear" w:color="auto" w:fill="67ED4D"/>
          </w:tcPr>
          <w:p>
            <w:pPr>
              <w:pStyle w:val="TableParagraph"/>
              <w:spacing w:before="1"/>
              <w:ind w:left="21"/>
              <w:rPr>
                <w:rFonts w:ascii="Calibri"/>
                <w:sz w:val="12"/>
              </w:rPr>
            </w:pPr>
            <w:r>
              <w:rPr>
                <w:rFonts w:ascii="Calibri"/>
                <w:w w:val="104"/>
                <w:sz w:val="12"/>
              </w:rPr>
              <w:t>1</w:t>
            </w:r>
          </w:p>
        </w:tc>
      </w:tr>
      <w:tr>
        <w:trPr>
          <w:trHeight w:val="147" w:hRule="exact"/>
        </w:trPr>
        <w:tc>
          <w:tcPr>
            <w:tcW w:w="8822" w:type="dxa"/>
            <w:gridSpan w:val="7"/>
            <w:tcBorders>
              <w:left w:val="single" w:sz="4" w:space="0" w:color="000000"/>
              <w:right w:val="single" w:sz="8" w:space="0" w:color="000000"/>
            </w:tcBorders>
          </w:tcPr>
          <w:p>
            <w:pPr/>
          </w:p>
        </w:tc>
      </w:tr>
      <w:tr>
        <w:trPr>
          <w:trHeight w:val="164" w:hRule="exact"/>
        </w:trPr>
        <w:tc>
          <w:tcPr>
            <w:tcW w:w="658" w:type="dxa"/>
            <w:tcBorders>
              <w:left w:val="single" w:sz="4" w:space="0" w:color="000000"/>
            </w:tcBorders>
          </w:tcPr>
          <w:p>
            <w:pPr/>
          </w:p>
        </w:tc>
        <w:tc>
          <w:tcPr>
            <w:tcW w:w="1798" w:type="dxa"/>
          </w:tcPr>
          <w:p>
            <w:pPr/>
          </w:p>
        </w:tc>
        <w:tc>
          <w:tcPr>
            <w:tcW w:w="2242" w:type="dxa"/>
          </w:tcPr>
          <w:p>
            <w:pPr>
              <w:pStyle w:val="TableParagraph"/>
              <w:spacing w:before="6"/>
              <w:ind w:left="351" w:right="657"/>
              <w:jc w:val="left"/>
              <w:rPr>
                <w:rFonts w:ascii="Calibri"/>
                <w:sz w:val="12"/>
              </w:rPr>
            </w:pPr>
            <w:r>
              <w:rPr>
                <w:rFonts w:ascii="Calibri"/>
                <w:w w:val="105"/>
                <w:sz w:val="12"/>
              </w:rPr>
              <w:t>Agua potable</w:t>
            </w:r>
          </w:p>
        </w:tc>
        <w:tc>
          <w:tcPr>
            <w:tcW w:w="1869" w:type="dxa"/>
          </w:tcPr>
          <w:p>
            <w:pPr>
              <w:pStyle w:val="TableParagraph"/>
              <w:spacing w:before="6"/>
              <w:ind w:left="795"/>
              <w:rPr>
                <w:rFonts w:ascii="Calibri"/>
                <w:sz w:val="12"/>
              </w:rPr>
            </w:pPr>
            <w:r>
              <w:rPr>
                <w:rFonts w:ascii="Calibri"/>
                <w:w w:val="104"/>
                <w:sz w:val="12"/>
              </w:rPr>
              <w:t>0</w:t>
            </w:r>
          </w:p>
        </w:tc>
        <w:tc>
          <w:tcPr>
            <w:tcW w:w="890" w:type="dxa"/>
          </w:tcPr>
          <w:p>
            <w:pPr/>
          </w:p>
        </w:tc>
        <w:tc>
          <w:tcPr>
            <w:tcW w:w="683" w:type="dxa"/>
          </w:tcPr>
          <w:p>
            <w:pPr>
              <w:pStyle w:val="TableParagraph"/>
              <w:spacing w:before="6"/>
              <w:ind w:left="242" w:right="241"/>
              <w:rPr>
                <w:rFonts w:ascii="Calibri"/>
                <w:sz w:val="12"/>
              </w:rPr>
            </w:pPr>
            <w:r>
              <w:rPr>
                <w:rFonts w:ascii="Calibri"/>
                <w:w w:val="105"/>
                <w:sz w:val="12"/>
              </w:rPr>
              <w:t>0.5</w:t>
            </w:r>
          </w:p>
        </w:tc>
        <w:tc>
          <w:tcPr>
            <w:tcW w:w="681" w:type="dxa"/>
            <w:tcBorders>
              <w:right w:val="single" w:sz="8" w:space="0" w:color="000000"/>
            </w:tcBorders>
            <w:shd w:val="clear" w:color="auto" w:fill="67ED4D"/>
          </w:tcPr>
          <w:p>
            <w:pPr>
              <w:pStyle w:val="TableParagraph"/>
              <w:spacing w:before="6"/>
              <w:ind w:left="21"/>
              <w:rPr>
                <w:rFonts w:ascii="Calibri"/>
                <w:sz w:val="12"/>
              </w:rPr>
            </w:pPr>
            <w:r>
              <w:rPr>
                <w:rFonts w:ascii="Calibri"/>
                <w:w w:val="104"/>
                <w:sz w:val="12"/>
              </w:rPr>
              <w:t>1</w:t>
            </w:r>
          </w:p>
        </w:tc>
      </w:tr>
      <w:tr>
        <w:trPr>
          <w:trHeight w:val="157" w:hRule="exact"/>
        </w:trPr>
        <w:tc>
          <w:tcPr>
            <w:tcW w:w="658" w:type="dxa"/>
            <w:tcBorders>
              <w:left w:val="single" w:sz="4" w:space="0" w:color="000000"/>
            </w:tcBorders>
          </w:tcPr>
          <w:p>
            <w:pPr/>
          </w:p>
        </w:tc>
        <w:tc>
          <w:tcPr>
            <w:tcW w:w="1798" w:type="dxa"/>
          </w:tcPr>
          <w:p>
            <w:pPr/>
          </w:p>
        </w:tc>
        <w:tc>
          <w:tcPr>
            <w:tcW w:w="2242" w:type="dxa"/>
          </w:tcPr>
          <w:p>
            <w:pPr>
              <w:pStyle w:val="TableParagraph"/>
              <w:spacing w:line="146" w:lineRule="exact"/>
              <w:ind w:left="351" w:right="657"/>
              <w:jc w:val="left"/>
              <w:rPr>
                <w:rFonts w:ascii="Calibri" w:hAnsi="Calibri"/>
                <w:sz w:val="12"/>
              </w:rPr>
            </w:pPr>
            <w:r>
              <w:rPr>
                <w:rFonts w:ascii="Calibri" w:hAnsi="Calibri"/>
                <w:w w:val="105"/>
                <w:sz w:val="12"/>
              </w:rPr>
              <w:t>Energía eléctrica</w:t>
            </w:r>
          </w:p>
        </w:tc>
        <w:tc>
          <w:tcPr>
            <w:tcW w:w="1869" w:type="dxa"/>
          </w:tcPr>
          <w:p>
            <w:pPr>
              <w:pStyle w:val="TableParagraph"/>
              <w:spacing w:line="146" w:lineRule="exact"/>
              <w:ind w:left="795"/>
              <w:rPr>
                <w:rFonts w:ascii="Calibri"/>
                <w:sz w:val="12"/>
              </w:rPr>
            </w:pPr>
            <w:r>
              <w:rPr>
                <w:rFonts w:ascii="Calibri"/>
                <w:w w:val="104"/>
                <w:sz w:val="12"/>
              </w:rPr>
              <w:t>0</w:t>
            </w:r>
          </w:p>
        </w:tc>
        <w:tc>
          <w:tcPr>
            <w:tcW w:w="890" w:type="dxa"/>
          </w:tcPr>
          <w:p>
            <w:pPr/>
          </w:p>
        </w:tc>
        <w:tc>
          <w:tcPr>
            <w:tcW w:w="683" w:type="dxa"/>
          </w:tcPr>
          <w:p>
            <w:pPr>
              <w:pStyle w:val="TableParagraph"/>
              <w:spacing w:line="146" w:lineRule="exact"/>
              <w:ind w:left="242" w:right="241"/>
              <w:rPr>
                <w:rFonts w:ascii="Calibri"/>
                <w:sz w:val="12"/>
              </w:rPr>
            </w:pPr>
            <w:r>
              <w:rPr>
                <w:rFonts w:ascii="Calibri"/>
                <w:w w:val="105"/>
                <w:sz w:val="12"/>
              </w:rPr>
              <w:t>0.5</w:t>
            </w: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1</w:t>
            </w:r>
          </w:p>
        </w:tc>
      </w:tr>
      <w:tr>
        <w:trPr>
          <w:trHeight w:val="157" w:hRule="exact"/>
        </w:trPr>
        <w:tc>
          <w:tcPr>
            <w:tcW w:w="658" w:type="dxa"/>
            <w:tcBorders>
              <w:left w:val="single" w:sz="4" w:space="0" w:color="000000"/>
            </w:tcBorders>
          </w:tcPr>
          <w:p>
            <w:pPr/>
          </w:p>
        </w:tc>
        <w:tc>
          <w:tcPr>
            <w:tcW w:w="1798" w:type="dxa"/>
          </w:tcPr>
          <w:p>
            <w:pPr/>
          </w:p>
        </w:tc>
        <w:tc>
          <w:tcPr>
            <w:tcW w:w="2242" w:type="dxa"/>
          </w:tcPr>
          <w:p>
            <w:pPr>
              <w:pStyle w:val="TableParagraph"/>
              <w:spacing w:line="146" w:lineRule="exact"/>
              <w:ind w:left="351" w:right="657"/>
              <w:jc w:val="left"/>
              <w:rPr>
                <w:rFonts w:ascii="Calibri"/>
                <w:sz w:val="12"/>
              </w:rPr>
            </w:pPr>
            <w:r>
              <w:rPr>
                <w:rFonts w:ascii="Calibri"/>
                <w:w w:val="105"/>
                <w:sz w:val="12"/>
              </w:rPr>
              <w:t>Drenaje sanitario</w:t>
            </w:r>
          </w:p>
        </w:tc>
        <w:tc>
          <w:tcPr>
            <w:tcW w:w="1869" w:type="dxa"/>
          </w:tcPr>
          <w:p>
            <w:pPr>
              <w:pStyle w:val="TableParagraph"/>
              <w:spacing w:line="146" w:lineRule="exact"/>
              <w:ind w:left="974" w:right="188"/>
              <w:rPr>
                <w:rFonts w:ascii="Calibri"/>
                <w:sz w:val="12"/>
              </w:rPr>
            </w:pPr>
            <w:r>
              <w:rPr>
                <w:rFonts w:ascii="Calibri"/>
                <w:w w:val="105"/>
                <w:sz w:val="12"/>
              </w:rPr>
              <w:t>0.5</w:t>
            </w:r>
          </w:p>
        </w:tc>
        <w:tc>
          <w:tcPr>
            <w:tcW w:w="890" w:type="dxa"/>
          </w:tcPr>
          <w:p>
            <w:pPr/>
          </w:p>
        </w:tc>
        <w:tc>
          <w:tcPr>
            <w:tcW w:w="683" w:type="dxa"/>
          </w:tcPr>
          <w:p>
            <w:pPr>
              <w:pStyle w:val="TableParagraph"/>
              <w:spacing w:line="146" w:lineRule="exact"/>
              <w:ind w:left="242" w:right="241"/>
              <w:rPr>
                <w:rFonts w:ascii="Calibri"/>
                <w:sz w:val="12"/>
              </w:rPr>
            </w:pPr>
            <w:r>
              <w:rPr>
                <w:rFonts w:ascii="Calibri"/>
                <w:w w:val="105"/>
                <w:sz w:val="12"/>
              </w:rPr>
              <w:t>0.5</w:t>
            </w: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1</w:t>
            </w:r>
          </w:p>
        </w:tc>
      </w:tr>
      <w:tr>
        <w:trPr>
          <w:trHeight w:val="157" w:hRule="exact"/>
        </w:trPr>
        <w:tc>
          <w:tcPr>
            <w:tcW w:w="658" w:type="dxa"/>
            <w:tcBorders>
              <w:left w:val="single" w:sz="4" w:space="0" w:color="000000"/>
            </w:tcBorders>
          </w:tcPr>
          <w:p>
            <w:pPr/>
          </w:p>
        </w:tc>
        <w:tc>
          <w:tcPr>
            <w:tcW w:w="1798" w:type="dxa"/>
          </w:tcPr>
          <w:p>
            <w:pPr>
              <w:pStyle w:val="TableParagraph"/>
              <w:spacing w:line="146" w:lineRule="exact"/>
              <w:ind w:left="50"/>
              <w:jc w:val="left"/>
              <w:rPr>
                <w:rFonts w:ascii="Calibri"/>
                <w:sz w:val="12"/>
              </w:rPr>
            </w:pPr>
            <w:r>
              <w:rPr>
                <w:rFonts w:ascii="Calibri"/>
                <w:w w:val="105"/>
                <w:sz w:val="12"/>
              </w:rPr>
              <w:t>Infraestructura</w:t>
            </w:r>
          </w:p>
        </w:tc>
        <w:tc>
          <w:tcPr>
            <w:tcW w:w="2242" w:type="dxa"/>
          </w:tcPr>
          <w:p>
            <w:pPr>
              <w:pStyle w:val="TableParagraph"/>
              <w:spacing w:line="146" w:lineRule="exact"/>
              <w:ind w:left="351" w:right="657"/>
              <w:jc w:val="left"/>
              <w:rPr>
                <w:rFonts w:ascii="Calibri"/>
                <w:sz w:val="12"/>
              </w:rPr>
            </w:pPr>
            <w:r>
              <w:rPr>
                <w:rFonts w:ascii="Calibri"/>
                <w:w w:val="105"/>
                <w:sz w:val="12"/>
              </w:rPr>
              <w:t>Drenaje pluvial</w:t>
            </w:r>
          </w:p>
        </w:tc>
        <w:tc>
          <w:tcPr>
            <w:tcW w:w="1869" w:type="dxa"/>
          </w:tcPr>
          <w:p>
            <w:pPr>
              <w:pStyle w:val="TableParagraph"/>
              <w:spacing w:line="146" w:lineRule="exact"/>
              <w:ind w:left="795"/>
              <w:rPr>
                <w:rFonts w:ascii="Calibri"/>
                <w:sz w:val="12"/>
              </w:rPr>
            </w:pPr>
            <w:r>
              <w:rPr>
                <w:rFonts w:ascii="Calibri"/>
                <w:w w:val="104"/>
                <w:sz w:val="12"/>
              </w:rPr>
              <w:t>0</w:t>
            </w:r>
          </w:p>
        </w:tc>
        <w:tc>
          <w:tcPr>
            <w:tcW w:w="890" w:type="dxa"/>
          </w:tcPr>
          <w:p>
            <w:pPr/>
          </w:p>
        </w:tc>
        <w:tc>
          <w:tcPr>
            <w:tcW w:w="683" w:type="dxa"/>
          </w:tcPr>
          <w:p>
            <w:pPr>
              <w:pStyle w:val="TableParagraph"/>
              <w:spacing w:line="146" w:lineRule="exact"/>
              <w:ind w:left="242" w:right="241"/>
              <w:rPr>
                <w:rFonts w:ascii="Calibri"/>
                <w:sz w:val="12"/>
              </w:rPr>
            </w:pPr>
            <w:r>
              <w:rPr>
                <w:rFonts w:ascii="Calibri"/>
                <w:w w:val="105"/>
                <w:sz w:val="12"/>
              </w:rPr>
              <w:t>0.5</w:t>
            </w: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1</w:t>
            </w:r>
          </w:p>
        </w:tc>
      </w:tr>
      <w:tr>
        <w:trPr>
          <w:trHeight w:val="157" w:hRule="exact"/>
        </w:trPr>
        <w:tc>
          <w:tcPr>
            <w:tcW w:w="658" w:type="dxa"/>
            <w:tcBorders>
              <w:left w:val="single" w:sz="4" w:space="0" w:color="000000"/>
            </w:tcBorders>
          </w:tcPr>
          <w:p>
            <w:pPr/>
          </w:p>
        </w:tc>
        <w:tc>
          <w:tcPr>
            <w:tcW w:w="1798" w:type="dxa"/>
          </w:tcPr>
          <w:p>
            <w:pPr/>
          </w:p>
        </w:tc>
        <w:tc>
          <w:tcPr>
            <w:tcW w:w="2242" w:type="dxa"/>
          </w:tcPr>
          <w:p>
            <w:pPr>
              <w:pStyle w:val="TableParagraph"/>
              <w:spacing w:line="146" w:lineRule="exact"/>
              <w:ind w:left="351"/>
              <w:jc w:val="left"/>
              <w:rPr>
                <w:rFonts w:ascii="Calibri"/>
                <w:sz w:val="12"/>
              </w:rPr>
            </w:pPr>
            <w:r>
              <w:rPr>
                <w:rFonts w:ascii="Calibri"/>
                <w:w w:val="105"/>
                <w:sz w:val="12"/>
              </w:rPr>
              <w:t>Guarniciones y banquetas</w:t>
            </w:r>
          </w:p>
        </w:tc>
        <w:tc>
          <w:tcPr>
            <w:tcW w:w="1869" w:type="dxa"/>
          </w:tcPr>
          <w:p>
            <w:pPr>
              <w:pStyle w:val="TableParagraph"/>
              <w:spacing w:line="146" w:lineRule="exact"/>
              <w:ind w:left="795"/>
              <w:rPr>
                <w:rFonts w:ascii="Calibri"/>
                <w:sz w:val="12"/>
              </w:rPr>
            </w:pPr>
            <w:r>
              <w:rPr>
                <w:rFonts w:ascii="Calibri"/>
                <w:w w:val="104"/>
                <w:sz w:val="12"/>
              </w:rPr>
              <w:t>0</w:t>
            </w:r>
          </w:p>
        </w:tc>
        <w:tc>
          <w:tcPr>
            <w:tcW w:w="890" w:type="dxa"/>
          </w:tcPr>
          <w:p>
            <w:pPr/>
          </w:p>
        </w:tc>
        <w:tc>
          <w:tcPr>
            <w:tcW w:w="683" w:type="dxa"/>
          </w:tcPr>
          <w:p>
            <w:pPr>
              <w:pStyle w:val="TableParagraph"/>
              <w:spacing w:line="146" w:lineRule="exact"/>
              <w:ind w:left="242" w:right="241"/>
              <w:rPr>
                <w:rFonts w:ascii="Calibri"/>
                <w:sz w:val="12"/>
              </w:rPr>
            </w:pPr>
            <w:r>
              <w:rPr>
                <w:rFonts w:ascii="Calibri"/>
                <w:w w:val="105"/>
                <w:sz w:val="12"/>
              </w:rPr>
              <w:t>0.5</w:t>
            </w: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1</w:t>
            </w:r>
          </w:p>
        </w:tc>
      </w:tr>
      <w:tr>
        <w:trPr>
          <w:trHeight w:val="157" w:hRule="exact"/>
        </w:trPr>
        <w:tc>
          <w:tcPr>
            <w:tcW w:w="658" w:type="dxa"/>
            <w:tcBorders>
              <w:left w:val="single" w:sz="4" w:space="0" w:color="000000"/>
            </w:tcBorders>
          </w:tcPr>
          <w:p>
            <w:pPr/>
          </w:p>
        </w:tc>
        <w:tc>
          <w:tcPr>
            <w:tcW w:w="1798" w:type="dxa"/>
          </w:tcPr>
          <w:p>
            <w:pPr/>
          </w:p>
        </w:tc>
        <w:tc>
          <w:tcPr>
            <w:tcW w:w="2242" w:type="dxa"/>
          </w:tcPr>
          <w:p>
            <w:pPr>
              <w:pStyle w:val="TableParagraph"/>
              <w:spacing w:line="146" w:lineRule="exact"/>
              <w:ind w:left="351" w:right="657"/>
              <w:jc w:val="left"/>
              <w:rPr>
                <w:rFonts w:ascii="Calibri"/>
                <w:sz w:val="12"/>
              </w:rPr>
            </w:pPr>
            <w:r>
              <w:rPr>
                <w:rFonts w:ascii="Calibri"/>
                <w:w w:val="105"/>
                <w:sz w:val="12"/>
              </w:rPr>
              <w:t>Vialidades y calles</w:t>
            </w:r>
          </w:p>
        </w:tc>
        <w:tc>
          <w:tcPr>
            <w:tcW w:w="1869" w:type="dxa"/>
          </w:tcPr>
          <w:p>
            <w:pPr>
              <w:pStyle w:val="TableParagraph"/>
              <w:spacing w:line="146" w:lineRule="exact"/>
              <w:ind w:left="795"/>
              <w:rPr>
                <w:rFonts w:ascii="Calibri"/>
                <w:sz w:val="12"/>
              </w:rPr>
            </w:pPr>
            <w:r>
              <w:rPr>
                <w:rFonts w:ascii="Calibri"/>
                <w:w w:val="104"/>
                <w:sz w:val="12"/>
              </w:rPr>
              <w:t>0</w:t>
            </w:r>
          </w:p>
        </w:tc>
        <w:tc>
          <w:tcPr>
            <w:tcW w:w="890" w:type="dxa"/>
          </w:tcPr>
          <w:p>
            <w:pPr/>
          </w:p>
        </w:tc>
        <w:tc>
          <w:tcPr>
            <w:tcW w:w="683" w:type="dxa"/>
          </w:tcPr>
          <w:p>
            <w:pPr>
              <w:pStyle w:val="TableParagraph"/>
              <w:spacing w:line="146" w:lineRule="exact"/>
              <w:ind w:left="242" w:right="241"/>
              <w:rPr>
                <w:rFonts w:ascii="Calibri"/>
                <w:sz w:val="12"/>
              </w:rPr>
            </w:pPr>
            <w:r>
              <w:rPr>
                <w:rFonts w:ascii="Calibri"/>
                <w:w w:val="105"/>
                <w:sz w:val="12"/>
              </w:rPr>
              <w:t>0.5</w:t>
            </w: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1</w:t>
            </w:r>
          </w:p>
        </w:tc>
      </w:tr>
      <w:tr>
        <w:trPr>
          <w:trHeight w:val="156" w:hRule="exact"/>
        </w:trPr>
        <w:tc>
          <w:tcPr>
            <w:tcW w:w="658" w:type="dxa"/>
            <w:tcBorders>
              <w:left w:val="single" w:sz="4" w:space="0" w:color="000000"/>
            </w:tcBorders>
          </w:tcPr>
          <w:p>
            <w:pPr/>
          </w:p>
        </w:tc>
        <w:tc>
          <w:tcPr>
            <w:tcW w:w="1798" w:type="dxa"/>
          </w:tcPr>
          <w:p>
            <w:pPr/>
          </w:p>
        </w:tc>
        <w:tc>
          <w:tcPr>
            <w:tcW w:w="2242" w:type="dxa"/>
          </w:tcPr>
          <w:p>
            <w:pPr>
              <w:pStyle w:val="TableParagraph"/>
              <w:spacing w:line="146" w:lineRule="exact"/>
              <w:ind w:left="351" w:right="657"/>
              <w:jc w:val="left"/>
              <w:rPr>
                <w:rFonts w:ascii="Calibri" w:hAnsi="Calibri"/>
                <w:sz w:val="12"/>
              </w:rPr>
            </w:pPr>
            <w:r>
              <w:rPr>
                <w:rFonts w:ascii="Calibri" w:hAnsi="Calibri"/>
                <w:w w:val="105"/>
                <w:sz w:val="12"/>
              </w:rPr>
              <w:t>Señalización</w:t>
            </w:r>
          </w:p>
        </w:tc>
        <w:tc>
          <w:tcPr>
            <w:tcW w:w="1869" w:type="dxa"/>
          </w:tcPr>
          <w:p>
            <w:pPr>
              <w:pStyle w:val="TableParagraph"/>
              <w:spacing w:line="146" w:lineRule="exact"/>
              <w:ind w:left="795"/>
              <w:rPr>
                <w:rFonts w:ascii="Calibri"/>
                <w:sz w:val="12"/>
              </w:rPr>
            </w:pPr>
            <w:r>
              <w:rPr>
                <w:rFonts w:ascii="Calibri"/>
                <w:w w:val="104"/>
                <w:sz w:val="12"/>
              </w:rPr>
              <w:t>0</w:t>
            </w:r>
          </w:p>
        </w:tc>
        <w:tc>
          <w:tcPr>
            <w:tcW w:w="890" w:type="dxa"/>
          </w:tcPr>
          <w:p>
            <w:pPr/>
          </w:p>
        </w:tc>
        <w:tc>
          <w:tcPr>
            <w:tcW w:w="683" w:type="dxa"/>
          </w:tcPr>
          <w:p>
            <w:pPr>
              <w:pStyle w:val="TableParagraph"/>
              <w:spacing w:line="146" w:lineRule="exact"/>
              <w:ind w:left="242" w:right="241"/>
              <w:rPr>
                <w:rFonts w:ascii="Calibri"/>
                <w:sz w:val="12"/>
              </w:rPr>
            </w:pPr>
            <w:r>
              <w:rPr>
                <w:rFonts w:ascii="Calibri"/>
                <w:w w:val="105"/>
                <w:sz w:val="12"/>
              </w:rPr>
              <w:t>0.5</w:t>
            </w: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1</w:t>
            </w:r>
          </w:p>
        </w:tc>
      </w:tr>
      <w:tr>
        <w:trPr>
          <w:trHeight w:val="163" w:hRule="exact"/>
        </w:trPr>
        <w:tc>
          <w:tcPr>
            <w:tcW w:w="658" w:type="dxa"/>
            <w:tcBorders>
              <w:left w:val="single" w:sz="4" w:space="0" w:color="000000"/>
            </w:tcBorders>
          </w:tcPr>
          <w:p>
            <w:pPr/>
          </w:p>
        </w:tc>
        <w:tc>
          <w:tcPr>
            <w:tcW w:w="1798" w:type="dxa"/>
          </w:tcPr>
          <w:p>
            <w:pPr/>
          </w:p>
        </w:tc>
        <w:tc>
          <w:tcPr>
            <w:tcW w:w="2242" w:type="dxa"/>
          </w:tcPr>
          <w:p>
            <w:pPr/>
          </w:p>
        </w:tc>
        <w:tc>
          <w:tcPr>
            <w:tcW w:w="1869" w:type="dxa"/>
          </w:tcPr>
          <w:p>
            <w:pPr>
              <w:pStyle w:val="TableParagraph"/>
              <w:spacing w:before="1"/>
              <w:ind w:left="971" w:right="188"/>
              <w:rPr>
                <w:rFonts w:ascii="Calibri"/>
                <w:sz w:val="12"/>
              </w:rPr>
            </w:pPr>
            <w:r>
              <w:rPr>
                <w:rFonts w:ascii="Calibri"/>
                <w:w w:val="105"/>
                <w:sz w:val="12"/>
              </w:rPr>
              <w:t>Subtotal</w:t>
            </w:r>
          </w:p>
        </w:tc>
        <w:tc>
          <w:tcPr>
            <w:tcW w:w="890" w:type="dxa"/>
          </w:tcPr>
          <w:p>
            <w:pPr>
              <w:pStyle w:val="TableParagraph"/>
              <w:tabs>
                <w:tab w:pos="470" w:val="left" w:leader="none"/>
                <w:tab w:pos="900" w:val="left" w:leader="none"/>
              </w:tabs>
              <w:spacing w:before="1"/>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0.5</w:t>
            </w:r>
            <w:r>
              <w:rPr>
                <w:rFonts w:ascii="Calibri"/>
                <w:sz w:val="12"/>
                <w:shd w:fill="F79646" w:color="auto" w:val="clear"/>
              </w:rPr>
              <w:tab/>
            </w:r>
          </w:p>
        </w:tc>
        <w:tc>
          <w:tcPr>
            <w:tcW w:w="683" w:type="dxa"/>
          </w:tcPr>
          <w:p>
            <w:pPr>
              <w:pStyle w:val="TableParagraph"/>
              <w:spacing w:before="1"/>
              <w:ind w:left="242" w:right="241"/>
              <w:rPr>
                <w:rFonts w:ascii="Calibri"/>
                <w:sz w:val="12"/>
              </w:rPr>
            </w:pPr>
            <w:r>
              <w:rPr>
                <w:rFonts w:ascii="Calibri"/>
                <w:w w:val="105"/>
                <w:sz w:val="12"/>
              </w:rPr>
              <w:t>3.5</w:t>
            </w:r>
          </w:p>
        </w:tc>
        <w:tc>
          <w:tcPr>
            <w:tcW w:w="681" w:type="dxa"/>
            <w:tcBorders>
              <w:right w:val="single" w:sz="8" w:space="0" w:color="000000"/>
            </w:tcBorders>
            <w:shd w:val="clear" w:color="auto" w:fill="67ED4D"/>
          </w:tcPr>
          <w:p>
            <w:pPr>
              <w:pStyle w:val="TableParagraph"/>
              <w:spacing w:before="1"/>
              <w:ind w:left="21"/>
              <w:rPr>
                <w:rFonts w:ascii="Calibri"/>
                <w:sz w:val="12"/>
              </w:rPr>
            </w:pPr>
            <w:r>
              <w:rPr>
                <w:rFonts w:ascii="Calibri"/>
                <w:w w:val="104"/>
                <w:sz w:val="12"/>
              </w:rPr>
              <w:t>7</w:t>
            </w:r>
          </w:p>
        </w:tc>
      </w:tr>
      <w:tr>
        <w:trPr>
          <w:trHeight w:val="147" w:hRule="exact"/>
        </w:trPr>
        <w:tc>
          <w:tcPr>
            <w:tcW w:w="8822" w:type="dxa"/>
            <w:gridSpan w:val="7"/>
            <w:tcBorders>
              <w:left w:val="single" w:sz="4" w:space="0" w:color="000000"/>
              <w:right w:val="single" w:sz="8" w:space="0" w:color="000000"/>
            </w:tcBorders>
          </w:tcPr>
          <w:p>
            <w:pPr/>
          </w:p>
        </w:tc>
      </w:tr>
      <w:tr>
        <w:trPr>
          <w:trHeight w:val="164" w:hRule="exact"/>
        </w:trPr>
        <w:tc>
          <w:tcPr>
            <w:tcW w:w="658" w:type="dxa"/>
            <w:vMerge w:val="restart"/>
            <w:tcBorders>
              <w:left w:val="single" w:sz="4" w:space="0" w:color="000000"/>
            </w:tcBorders>
          </w:tcPr>
          <w:p>
            <w:pPr>
              <w:pStyle w:val="TableParagraph"/>
              <w:spacing w:before="80"/>
              <w:ind w:left="73"/>
              <w:jc w:val="left"/>
              <w:rPr>
                <w:rFonts w:ascii="Calibri"/>
                <w:sz w:val="12"/>
              </w:rPr>
            </w:pPr>
            <w:r>
              <w:rPr>
                <w:rFonts w:ascii="Calibri"/>
                <w:w w:val="105"/>
                <w:sz w:val="12"/>
              </w:rPr>
              <w:t>Ambiental</w:t>
            </w:r>
          </w:p>
        </w:tc>
        <w:tc>
          <w:tcPr>
            <w:tcW w:w="1798" w:type="dxa"/>
            <w:vMerge w:val="restart"/>
          </w:tcPr>
          <w:p>
            <w:pPr>
              <w:pStyle w:val="TableParagraph"/>
              <w:spacing w:before="3"/>
              <w:jc w:val="left"/>
              <w:rPr>
                <w:sz w:val="14"/>
              </w:rPr>
            </w:pPr>
          </w:p>
          <w:p>
            <w:pPr>
              <w:pStyle w:val="TableParagraph"/>
              <w:ind w:left="50"/>
              <w:jc w:val="left"/>
              <w:rPr>
                <w:rFonts w:ascii="Calibri" w:hAnsi="Calibri"/>
                <w:sz w:val="12"/>
              </w:rPr>
            </w:pPr>
            <w:r>
              <w:rPr>
                <w:rFonts w:ascii="Calibri" w:hAnsi="Calibri"/>
                <w:w w:val="105"/>
                <w:sz w:val="12"/>
              </w:rPr>
              <w:t>Áreas verdes</w:t>
            </w:r>
          </w:p>
        </w:tc>
        <w:tc>
          <w:tcPr>
            <w:tcW w:w="2242" w:type="dxa"/>
            <w:vMerge w:val="restart"/>
          </w:tcPr>
          <w:p>
            <w:pPr>
              <w:pStyle w:val="TableParagraph"/>
              <w:spacing w:line="259" w:lineRule="auto" w:before="6"/>
              <w:ind w:left="351" w:right="1284"/>
              <w:jc w:val="left"/>
              <w:rPr>
                <w:rFonts w:ascii="Calibri" w:hAnsi="Calibri"/>
                <w:sz w:val="12"/>
              </w:rPr>
            </w:pPr>
            <w:r>
              <w:rPr>
                <w:rFonts w:ascii="Calibri" w:hAnsi="Calibri"/>
                <w:w w:val="105"/>
                <w:sz w:val="12"/>
              </w:rPr>
              <w:t>Superficie Índice OMS</w:t>
            </w:r>
          </w:p>
        </w:tc>
        <w:tc>
          <w:tcPr>
            <w:tcW w:w="1869" w:type="dxa"/>
            <w:vMerge w:val="restart"/>
          </w:tcPr>
          <w:p>
            <w:pPr>
              <w:pStyle w:val="TableParagraph"/>
              <w:spacing w:before="6"/>
              <w:ind w:right="502"/>
              <w:jc w:val="right"/>
              <w:rPr>
                <w:rFonts w:ascii="Calibri"/>
                <w:sz w:val="12"/>
              </w:rPr>
            </w:pPr>
            <w:r>
              <w:rPr>
                <w:rFonts w:ascii="Calibri"/>
                <w:w w:val="104"/>
                <w:sz w:val="12"/>
              </w:rPr>
              <w:t>1</w:t>
            </w:r>
          </w:p>
          <w:p>
            <w:pPr>
              <w:pStyle w:val="TableParagraph"/>
              <w:spacing w:before="11"/>
              <w:ind w:right="459"/>
              <w:jc w:val="right"/>
              <w:rPr>
                <w:rFonts w:ascii="Calibri"/>
                <w:sz w:val="12"/>
              </w:rPr>
            </w:pPr>
            <w:r>
              <w:rPr>
                <w:rFonts w:ascii="Calibri"/>
                <w:sz w:val="12"/>
              </w:rPr>
              <w:t>0.5</w:t>
            </w:r>
          </w:p>
        </w:tc>
        <w:tc>
          <w:tcPr>
            <w:tcW w:w="890" w:type="dxa"/>
            <w:vMerge w:val="restart"/>
          </w:tcPr>
          <w:p>
            <w:pPr/>
          </w:p>
        </w:tc>
        <w:tc>
          <w:tcPr>
            <w:tcW w:w="683" w:type="dxa"/>
            <w:vMerge w:val="restart"/>
          </w:tcPr>
          <w:p>
            <w:pPr>
              <w:pStyle w:val="TableParagraph"/>
              <w:spacing w:before="6"/>
              <w:ind w:left="10"/>
              <w:rPr>
                <w:rFonts w:ascii="Calibri"/>
                <w:sz w:val="12"/>
              </w:rPr>
            </w:pPr>
            <w:r>
              <w:rPr>
                <w:rFonts w:ascii="Calibri"/>
                <w:w w:val="104"/>
                <w:sz w:val="12"/>
              </w:rPr>
              <w:t>1</w:t>
            </w:r>
          </w:p>
          <w:p>
            <w:pPr>
              <w:pStyle w:val="TableParagraph"/>
              <w:spacing w:before="11"/>
              <w:ind w:left="242" w:right="241"/>
              <w:rPr>
                <w:rFonts w:ascii="Calibri"/>
                <w:sz w:val="12"/>
              </w:rPr>
            </w:pPr>
            <w:r>
              <w:rPr>
                <w:rFonts w:ascii="Calibri"/>
                <w:w w:val="105"/>
                <w:sz w:val="12"/>
              </w:rPr>
              <w:t>0.8</w:t>
            </w:r>
          </w:p>
        </w:tc>
        <w:tc>
          <w:tcPr>
            <w:tcW w:w="681" w:type="dxa"/>
            <w:tcBorders>
              <w:right w:val="single" w:sz="8" w:space="0" w:color="000000"/>
            </w:tcBorders>
            <w:shd w:val="clear" w:color="auto" w:fill="67ED4D"/>
          </w:tcPr>
          <w:p>
            <w:pPr>
              <w:pStyle w:val="TableParagraph"/>
              <w:spacing w:before="6"/>
              <w:ind w:left="21"/>
              <w:rPr>
                <w:rFonts w:ascii="Calibri"/>
                <w:sz w:val="12"/>
              </w:rPr>
            </w:pPr>
            <w:r>
              <w:rPr>
                <w:rFonts w:ascii="Calibri"/>
                <w:w w:val="104"/>
                <w:sz w:val="12"/>
              </w:rPr>
              <w:t>1</w:t>
            </w:r>
          </w:p>
        </w:tc>
      </w:tr>
      <w:tr>
        <w:trPr>
          <w:trHeight w:val="157" w:hRule="exact"/>
        </w:trPr>
        <w:tc>
          <w:tcPr>
            <w:tcW w:w="658" w:type="dxa"/>
            <w:vMerge/>
            <w:tcBorders>
              <w:left w:val="single" w:sz="4" w:space="0" w:color="000000"/>
            </w:tcBorders>
          </w:tcPr>
          <w:p>
            <w:pPr/>
          </w:p>
        </w:tc>
        <w:tc>
          <w:tcPr>
            <w:tcW w:w="1798" w:type="dxa"/>
            <w:vMerge/>
          </w:tcPr>
          <w:p>
            <w:pPr/>
          </w:p>
        </w:tc>
        <w:tc>
          <w:tcPr>
            <w:tcW w:w="2242" w:type="dxa"/>
            <w:vMerge/>
          </w:tcPr>
          <w:p>
            <w:pPr/>
          </w:p>
        </w:tc>
        <w:tc>
          <w:tcPr>
            <w:tcW w:w="1869" w:type="dxa"/>
            <w:vMerge/>
          </w:tcPr>
          <w:p>
            <w:pPr/>
          </w:p>
        </w:tc>
        <w:tc>
          <w:tcPr>
            <w:tcW w:w="890" w:type="dxa"/>
            <w:vMerge/>
          </w:tcPr>
          <w:p>
            <w:pPr/>
          </w:p>
        </w:tc>
        <w:tc>
          <w:tcPr>
            <w:tcW w:w="683" w:type="dxa"/>
            <w:vMerge/>
          </w:tcPr>
          <w:p>
            <w:pP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1</w:t>
            </w:r>
          </w:p>
        </w:tc>
      </w:tr>
      <w:tr>
        <w:trPr>
          <w:trHeight w:val="157" w:hRule="exact"/>
        </w:trPr>
        <w:tc>
          <w:tcPr>
            <w:tcW w:w="658" w:type="dxa"/>
            <w:tcBorders>
              <w:left w:val="single" w:sz="4" w:space="0" w:color="000000"/>
            </w:tcBorders>
          </w:tcPr>
          <w:p>
            <w:pPr/>
          </w:p>
        </w:tc>
        <w:tc>
          <w:tcPr>
            <w:tcW w:w="1798" w:type="dxa"/>
          </w:tcPr>
          <w:p>
            <w:pPr/>
          </w:p>
        </w:tc>
        <w:tc>
          <w:tcPr>
            <w:tcW w:w="2242" w:type="dxa"/>
          </w:tcPr>
          <w:p>
            <w:pPr>
              <w:pStyle w:val="TableParagraph"/>
              <w:spacing w:line="146" w:lineRule="exact"/>
              <w:ind w:left="351" w:right="657"/>
              <w:jc w:val="left"/>
              <w:rPr>
                <w:rFonts w:ascii="Calibri" w:hAnsi="Calibri"/>
                <w:sz w:val="12"/>
              </w:rPr>
            </w:pPr>
            <w:r>
              <w:rPr>
                <w:rFonts w:ascii="Calibri" w:hAnsi="Calibri"/>
                <w:w w:val="105"/>
                <w:sz w:val="12"/>
              </w:rPr>
              <w:t>Índice ONU</w:t>
            </w:r>
          </w:p>
        </w:tc>
        <w:tc>
          <w:tcPr>
            <w:tcW w:w="1869" w:type="dxa"/>
          </w:tcPr>
          <w:p>
            <w:pPr>
              <w:pStyle w:val="TableParagraph"/>
              <w:spacing w:line="146" w:lineRule="exact"/>
              <w:ind w:left="974" w:right="188"/>
              <w:rPr>
                <w:rFonts w:ascii="Calibri"/>
                <w:sz w:val="12"/>
              </w:rPr>
            </w:pPr>
            <w:r>
              <w:rPr>
                <w:rFonts w:ascii="Calibri"/>
                <w:w w:val="105"/>
                <w:sz w:val="12"/>
              </w:rPr>
              <w:t>0.5</w:t>
            </w:r>
          </w:p>
        </w:tc>
        <w:tc>
          <w:tcPr>
            <w:tcW w:w="890" w:type="dxa"/>
          </w:tcPr>
          <w:p>
            <w:pPr/>
          </w:p>
        </w:tc>
        <w:tc>
          <w:tcPr>
            <w:tcW w:w="683" w:type="dxa"/>
          </w:tcPr>
          <w:p>
            <w:pPr>
              <w:pStyle w:val="TableParagraph"/>
              <w:spacing w:line="146" w:lineRule="exact"/>
              <w:ind w:left="242" w:right="241"/>
              <w:rPr>
                <w:rFonts w:ascii="Calibri"/>
                <w:sz w:val="12"/>
              </w:rPr>
            </w:pPr>
            <w:r>
              <w:rPr>
                <w:rFonts w:ascii="Calibri"/>
                <w:w w:val="105"/>
                <w:sz w:val="12"/>
              </w:rPr>
              <w:t>0.8</w:t>
            </w: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1</w:t>
            </w:r>
          </w:p>
        </w:tc>
      </w:tr>
      <w:tr>
        <w:trPr>
          <w:trHeight w:val="161" w:hRule="exact"/>
        </w:trPr>
        <w:tc>
          <w:tcPr>
            <w:tcW w:w="658" w:type="dxa"/>
            <w:tcBorders>
              <w:left w:val="single" w:sz="4" w:space="0" w:color="000000"/>
            </w:tcBorders>
          </w:tcPr>
          <w:p>
            <w:pPr/>
          </w:p>
        </w:tc>
        <w:tc>
          <w:tcPr>
            <w:tcW w:w="1798" w:type="dxa"/>
          </w:tcPr>
          <w:p>
            <w:pPr/>
          </w:p>
        </w:tc>
        <w:tc>
          <w:tcPr>
            <w:tcW w:w="2242" w:type="dxa"/>
          </w:tcPr>
          <w:p>
            <w:pPr/>
          </w:p>
        </w:tc>
        <w:tc>
          <w:tcPr>
            <w:tcW w:w="1869" w:type="dxa"/>
          </w:tcPr>
          <w:p>
            <w:pPr>
              <w:pStyle w:val="TableParagraph"/>
              <w:spacing w:before="1"/>
              <w:ind w:left="971" w:right="188"/>
              <w:rPr>
                <w:rFonts w:ascii="Calibri"/>
                <w:sz w:val="12"/>
              </w:rPr>
            </w:pPr>
            <w:r>
              <w:rPr>
                <w:rFonts w:ascii="Calibri"/>
                <w:w w:val="105"/>
                <w:sz w:val="12"/>
              </w:rPr>
              <w:t>Subtotal</w:t>
            </w:r>
          </w:p>
        </w:tc>
        <w:tc>
          <w:tcPr>
            <w:tcW w:w="890" w:type="dxa"/>
          </w:tcPr>
          <w:p>
            <w:pPr>
              <w:pStyle w:val="TableParagraph"/>
              <w:tabs>
                <w:tab w:pos="522" w:val="left" w:leader="none"/>
                <w:tab w:pos="900" w:val="left" w:leader="none"/>
              </w:tabs>
              <w:spacing w:before="1"/>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2</w:t>
            </w:r>
            <w:r>
              <w:rPr>
                <w:rFonts w:ascii="Calibri"/>
                <w:sz w:val="12"/>
                <w:shd w:fill="F79646" w:color="auto" w:val="clear"/>
              </w:rPr>
              <w:tab/>
            </w:r>
          </w:p>
        </w:tc>
        <w:tc>
          <w:tcPr>
            <w:tcW w:w="683" w:type="dxa"/>
          </w:tcPr>
          <w:p>
            <w:pPr>
              <w:pStyle w:val="TableParagraph"/>
              <w:spacing w:before="1"/>
              <w:ind w:left="242" w:right="241"/>
              <w:rPr>
                <w:rFonts w:ascii="Calibri"/>
                <w:sz w:val="12"/>
              </w:rPr>
            </w:pPr>
            <w:r>
              <w:rPr>
                <w:rFonts w:ascii="Calibri"/>
                <w:w w:val="105"/>
                <w:sz w:val="12"/>
              </w:rPr>
              <w:t>2.6</w:t>
            </w: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3</w:t>
            </w:r>
          </w:p>
        </w:tc>
      </w:tr>
      <w:tr>
        <w:trPr>
          <w:trHeight w:val="147" w:hRule="exact"/>
        </w:trPr>
        <w:tc>
          <w:tcPr>
            <w:tcW w:w="8822" w:type="dxa"/>
            <w:gridSpan w:val="7"/>
            <w:tcBorders>
              <w:left w:val="single" w:sz="4" w:space="0" w:color="000000"/>
              <w:right w:val="single" w:sz="8" w:space="0" w:color="000000"/>
            </w:tcBorders>
          </w:tcPr>
          <w:p>
            <w:pPr/>
          </w:p>
        </w:tc>
      </w:tr>
      <w:tr>
        <w:trPr>
          <w:trHeight w:val="164" w:hRule="exact"/>
        </w:trPr>
        <w:tc>
          <w:tcPr>
            <w:tcW w:w="658" w:type="dxa"/>
            <w:vMerge w:val="restart"/>
            <w:tcBorders>
              <w:left w:val="single" w:sz="4" w:space="0" w:color="000000"/>
            </w:tcBorders>
          </w:tcPr>
          <w:p>
            <w:pPr/>
          </w:p>
        </w:tc>
        <w:tc>
          <w:tcPr>
            <w:tcW w:w="1798" w:type="dxa"/>
          </w:tcPr>
          <w:p>
            <w:pPr/>
          </w:p>
        </w:tc>
        <w:tc>
          <w:tcPr>
            <w:tcW w:w="2242" w:type="dxa"/>
          </w:tcPr>
          <w:p>
            <w:pPr>
              <w:pStyle w:val="TableParagraph"/>
              <w:spacing w:before="6"/>
              <w:ind w:left="351" w:right="657"/>
              <w:jc w:val="left"/>
              <w:rPr>
                <w:rFonts w:ascii="Calibri" w:hAnsi="Calibri"/>
                <w:sz w:val="12"/>
              </w:rPr>
            </w:pPr>
            <w:r>
              <w:rPr>
                <w:rFonts w:ascii="Calibri" w:hAnsi="Calibri"/>
                <w:w w:val="105"/>
                <w:sz w:val="12"/>
              </w:rPr>
              <w:t>Separación</w:t>
            </w:r>
          </w:p>
        </w:tc>
        <w:tc>
          <w:tcPr>
            <w:tcW w:w="1869" w:type="dxa"/>
          </w:tcPr>
          <w:p>
            <w:pPr>
              <w:pStyle w:val="TableParagraph"/>
              <w:spacing w:before="6"/>
              <w:ind w:left="795"/>
              <w:rPr>
                <w:rFonts w:ascii="Calibri"/>
                <w:sz w:val="12"/>
              </w:rPr>
            </w:pPr>
            <w:r>
              <w:rPr>
                <w:rFonts w:ascii="Calibri"/>
                <w:w w:val="104"/>
                <w:sz w:val="12"/>
              </w:rPr>
              <w:t>0</w:t>
            </w:r>
          </w:p>
        </w:tc>
        <w:tc>
          <w:tcPr>
            <w:tcW w:w="890" w:type="dxa"/>
          </w:tcPr>
          <w:p>
            <w:pPr/>
          </w:p>
        </w:tc>
        <w:tc>
          <w:tcPr>
            <w:tcW w:w="683" w:type="dxa"/>
          </w:tcPr>
          <w:p>
            <w:pPr>
              <w:pStyle w:val="TableParagraph"/>
              <w:spacing w:before="6"/>
              <w:ind w:left="10"/>
              <w:rPr>
                <w:rFonts w:ascii="Calibri"/>
                <w:sz w:val="12"/>
              </w:rPr>
            </w:pPr>
            <w:r>
              <w:rPr>
                <w:rFonts w:ascii="Calibri"/>
                <w:w w:val="104"/>
                <w:sz w:val="12"/>
              </w:rPr>
              <w:t>1</w:t>
            </w:r>
          </w:p>
        </w:tc>
        <w:tc>
          <w:tcPr>
            <w:tcW w:w="681" w:type="dxa"/>
            <w:tcBorders>
              <w:right w:val="single" w:sz="8" w:space="0" w:color="000000"/>
            </w:tcBorders>
            <w:shd w:val="clear" w:color="auto" w:fill="67ED4D"/>
          </w:tcPr>
          <w:p>
            <w:pPr>
              <w:pStyle w:val="TableParagraph"/>
              <w:spacing w:before="6"/>
              <w:ind w:left="21"/>
              <w:rPr>
                <w:rFonts w:ascii="Calibri"/>
                <w:sz w:val="12"/>
              </w:rPr>
            </w:pPr>
            <w:r>
              <w:rPr>
                <w:rFonts w:ascii="Calibri"/>
                <w:w w:val="104"/>
                <w:sz w:val="12"/>
              </w:rPr>
              <w:t>1</w:t>
            </w:r>
          </w:p>
        </w:tc>
      </w:tr>
      <w:tr>
        <w:trPr>
          <w:trHeight w:val="157" w:hRule="exact"/>
        </w:trPr>
        <w:tc>
          <w:tcPr>
            <w:tcW w:w="658" w:type="dxa"/>
            <w:vMerge/>
            <w:tcBorders>
              <w:left w:val="single" w:sz="4" w:space="0" w:color="000000"/>
            </w:tcBorders>
          </w:tcPr>
          <w:p>
            <w:pPr/>
          </w:p>
        </w:tc>
        <w:tc>
          <w:tcPr>
            <w:tcW w:w="1798" w:type="dxa"/>
          </w:tcPr>
          <w:p>
            <w:pPr>
              <w:pStyle w:val="TableParagraph"/>
              <w:spacing w:line="146" w:lineRule="exact"/>
              <w:ind w:left="50"/>
              <w:jc w:val="left"/>
              <w:rPr>
                <w:rFonts w:ascii="Calibri"/>
                <w:sz w:val="12"/>
              </w:rPr>
            </w:pPr>
            <w:r>
              <w:rPr>
                <w:rFonts w:ascii="Calibri"/>
                <w:w w:val="105"/>
                <w:sz w:val="12"/>
              </w:rPr>
              <w:t>Manejo de residuos solidos</w:t>
            </w:r>
          </w:p>
        </w:tc>
        <w:tc>
          <w:tcPr>
            <w:tcW w:w="2242" w:type="dxa"/>
          </w:tcPr>
          <w:p>
            <w:pPr>
              <w:pStyle w:val="TableParagraph"/>
              <w:spacing w:line="146" w:lineRule="exact"/>
              <w:ind w:left="351" w:right="657"/>
              <w:jc w:val="left"/>
              <w:rPr>
                <w:rFonts w:ascii="Calibri" w:hAnsi="Calibri"/>
                <w:sz w:val="12"/>
              </w:rPr>
            </w:pPr>
            <w:r>
              <w:rPr>
                <w:rFonts w:ascii="Calibri" w:hAnsi="Calibri"/>
                <w:w w:val="105"/>
                <w:sz w:val="12"/>
              </w:rPr>
              <w:t>Recolección</w:t>
            </w:r>
          </w:p>
        </w:tc>
        <w:tc>
          <w:tcPr>
            <w:tcW w:w="1869" w:type="dxa"/>
          </w:tcPr>
          <w:p>
            <w:pPr>
              <w:pStyle w:val="TableParagraph"/>
              <w:spacing w:line="146" w:lineRule="exact"/>
              <w:ind w:left="795"/>
              <w:rPr>
                <w:rFonts w:ascii="Calibri"/>
                <w:sz w:val="12"/>
              </w:rPr>
            </w:pPr>
            <w:r>
              <w:rPr>
                <w:rFonts w:ascii="Calibri"/>
                <w:w w:val="104"/>
                <w:sz w:val="12"/>
              </w:rPr>
              <w:t>1</w:t>
            </w:r>
          </w:p>
        </w:tc>
        <w:tc>
          <w:tcPr>
            <w:tcW w:w="890" w:type="dxa"/>
          </w:tcPr>
          <w:p>
            <w:pPr/>
          </w:p>
        </w:tc>
        <w:tc>
          <w:tcPr>
            <w:tcW w:w="683" w:type="dxa"/>
          </w:tcPr>
          <w:p>
            <w:pPr>
              <w:pStyle w:val="TableParagraph"/>
              <w:spacing w:line="146" w:lineRule="exact"/>
              <w:ind w:left="10"/>
              <w:rPr>
                <w:rFonts w:ascii="Calibri"/>
                <w:sz w:val="12"/>
              </w:rPr>
            </w:pPr>
            <w:r>
              <w:rPr>
                <w:rFonts w:ascii="Calibri"/>
                <w:w w:val="104"/>
                <w:sz w:val="12"/>
              </w:rPr>
              <w:t>1</w:t>
            </w: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1</w:t>
            </w:r>
          </w:p>
        </w:tc>
      </w:tr>
      <w:tr>
        <w:trPr>
          <w:trHeight w:val="157" w:hRule="exact"/>
        </w:trPr>
        <w:tc>
          <w:tcPr>
            <w:tcW w:w="658" w:type="dxa"/>
            <w:vMerge/>
            <w:tcBorders>
              <w:left w:val="single" w:sz="4" w:space="0" w:color="000000"/>
            </w:tcBorders>
          </w:tcPr>
          <w:p>
            <w:pPr/>
          </w:p>
        </w:tc>
        <w:tc>
          <w:tcPr>
            <w:tcW w:w="1798" w:type="dxa"/>
          </w:tcPr>
          <w:p>
            <w:pPr/>
          </w:p>
        </w:tc>
        <w:tc>
          <w:tcPr>
            <w:tcW w:w="2242" w:type="dxa"/>
          </w:tcPr>
          <w:p>
            <w:pPr>
              <w:pStyle w:val="TableParagraph"/>
              <w:spacing w:line="146" w:lineRule="exact"/>
              <w:ind w:left="351" w:right="657"/>
              <w:jc w:val="left"/>
              <w:rPr>
                <w:rFonts w:ascii="Calibri" w:hAnsi="Calibri"/>
                <w:sz w:val="12"/>
              </w:rPr>
            </w:pPr>
            <w:r>
              <w:rPr>
                <w:rFonts w:ascii="Calibri" w:hAnsi="Calibri"/>
                <w:w w:val="105"/>
                <w:sz w:val="12"/>
              </w:rPr>
              <w:t>Disposición</w:t>
            </w:r>
          </w:p>
        </w:tc>
        <w:tc>
          <w:tcPr>
            <w:tcW w:w="1869" w:type="dxa"/>
          </w:tcPr>
          <w:p>
            <w:pPr>
              <w:pStyle w:val="TableParagraph"/>
              <w:spacing w:line="146" w:lineRule="exact"/>
              <w:ind w:left="974" w:right="188"/>
              <w:rPr>
                <w:rFonts w:ascii="Calibri"/>
                <w:sz w:val="12"/>
              </w:rPr>
            </w:pPr>
            <w:r>
              <w:rPr>
                <w:rFonts w:ascii="Calibri"/>
                <w:w w:val="105"/>
                <w:sz w:val="12"/>
              </w:rPr>
              <w:t>0.5</w:t>
            </w:r>
          </w:p>
        </w:tc>
        <w:tc>
          <w:tcPr>
            <w:tcW w:w="890" w:type="dxa"/>
          </w:tcPr>
          <w:p>
            <w:pPr/>
          </w:p>
        </w:tc>
        <w:tc>
          <w:tcPr>
            <w:tcW w:w="683" w:type="dxa"/>
          </w:tcPr>
          <w:p>
            <w:pPr>
              <w:pStyle w:val="TableParagraph"/>
              <w:spacing w:line="146" w:lineRule="exact"/>
              <w:ind w:left="242" w:right="241"/>
              <w:rPr>
                <w:rFonts w:ascii="Calibri"/>
                <w:sz w:val="12"/>
              </w:rPr>
            </w:pPr>
            <w:r>
              <w:rPr>
                <w:rFonts w:ascii="Calibri"/>
                <w:w w:val="105"/>
                <w:sz w:val="12"/>
              </w:rPr>
              <w:t>0.8</w:t>
            </w: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1</w:t>
            </w:r>
          </w:p>
        </w:tc>
      </w:tr>
      <w:tr>
        <w:trPr>
          <w:trHeight w:val="161" w:hRule="exact"/>
        </w:trPr>
        <w:tc>
          <w:tcPr>
            <w:tcW w:w="658" w:type="dxa"/>
            <w:vMerge/>
            <w:tcBorders>
              <w:left w:val="single" w:sz="4" w:space="0" w:color="000000"/>
            </w:tcBorders>
          </w:tcPr>
          <w:p>
            <w:pPr/>
          </w:p>
        </w:tc>
        <w:tc>
          <w:tcPr>
            <w:tcW w:w="1798" w:type="dxa"/>
          </w:tcPr>
          <w:p>
            <w:pPr/>
          </w:p>
        </w:tc>
        <w:tc>
          <w:tcPr>
            <w:tcW w:w="2242" w:type="dxa"/>
          </w:tcPr>
          <w:p>
            <w:pPr/>
          </w:p>
        </w:tc>
        <w:tc>
          <w:tcPr>
            <w:tcW w:w="1869" w:type="dxa"/>
          </w:tcPr>
          <w:p>
            <w:pPr>
              <w:pStyle w:val="TableParagraph"/>
              <w:spacing w:before="1"/>
              <w:ind w:left="971" w:right="188"/>
              <w:rPr>
                <w:rFonts w:ascii="Calibri"/>
                <w:sz w:val="12"/>
              </w:rPr>
            </w:pPr>
            <w:r>
              <w:rPr>
                <w:rFonts w:ascii="Calibri"/>
                <w:w w:val="105"/>
                <w:sz w:val="12"/>
              </w:rPr>
              <w:t>Subtotal</w:t>
            </w:r>
          </w:p>
        </w:tc>
        <w:tc>
          <w:tcPr>
            <w:tcW w:w="890" w:type="dxa"/>
          </w:tcPr>
          <w:p>
            <w:pPr>
              <w:pStyle w:val="TableParagraph"/>
              <w:tabs>
                <w:tab w:pos="470" w:val="left" w:leader="none"/>
                <w:tab w:pos="900" w:val="left" w:leader="none"/>
              </w:tabs>
              <w:spacing w:before="1"/>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1.5</w:t>
            </w:r>
            <w:r>
              <w:rPr>
                <w:rFonts w:ascii="Calibri"/>
                <w:sz w:val="12"/>
                <w:shd w:fill="F79646" w:color="auto" w:val="clear"/>
              </w:rPr>
              <w:tab/>
            </w:r>
          </w:p>
        </w:tc>
        <w:tc>
          <w:tcPr>
            <w:tcW w:w="683" w:type="dxa"/>
          </w:tcPr>
          <w:p>
            <w:pPr>
              <w:pStyle w:val="TableParagraph"/>
              <w:spacing w:before="1"/>
              <w:ind w:left="242" w:right="241"/>
              <w:rPr>
                <w:rFonts w:ascii="Calibri"/>
                <w:sz w:val="12"/>
              </w:rPr>
            </w:pPr>
            <w:r>
              <w:rPr>
                <w:rFonts w:ascii="Calibri"/>
                <w:w w:val="105"/>
                <w:sz w:val="12"/>
              </w:rPr>
              <w:t>2.8</w:t>
            </w: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3</w:t>
            </w:r>
          </w:p>
        </w:tc>
      </w:tr>
      <w:tr>
        <w:trPr>
          <w:trHeight w:val="147" w:hRule="exact"/>
        </w:trPr>
        <w:tc>
          <w:tcPr>
            <w:tcW w:w="8822" w:type="dxa"/>
            <w:gridSpan w:val="7"/>
            <w:tcBorders>
              <w:left w:val="single" w:sz="4" w:space="0" w:color="000000"/>
              <w:right w:val="single" w:sz="8" w:space="0" w:color="000000"/>
            </w:tcBorders>
          </w:tcPr>
          <w:p>
            <w:pPr/>
          </w:p>
        </w:tc>
      </w:tr>
      <w:tr>
        <w:trPr>
          <w:trHeight w:val="164" w:hRule="exact"/>
        </w:trPr>
        <w:tc>
          <w:tcPr>
            <w:tcW w:w="658" w:type="dxa"/>
            <w:vMerge w:val="restart"/>
            <w:tcBorders>
              <w:left w:val="single" w:sz="4" w:space="0" w:color="000000"/>
            </w:tcBorders>
          </w:tcPr>
          <w:p>
            <w:pPr/>
          </w:p>
        </w:tc>
        <w:tc>
          <w:tcPr>
            <w:tcW w:w="1798" w:type="dxa"/>
          </w:tcPr>
          <w:p>
            <w:pPr/>
          </w:p>
        </w:tc>
        <w:tc>
          <w:tcPr>
            <w:tcW w:w="2242" w:type="dxa"/>
          </w:tcPr>
          <w:p>
            <w:pPr>
              <w:pStyle w:val="TableParagraph"/>
              <w:spacing w:before="6"/>
              <w:ind w:left="351" w:right="657"/>
              <w:jc w:val="left"/>
              <w:rPr>
                <w:rFonts w:ascii="Calibri"/>
                <w:sz w:val="12"/>
              </w:rPr>
            </w:pPr>
            <w:r>
              <w:rPr>
                <w:rFonts w:ascii="Calibri"/>
                <w:w w:val="105"/>
                <w:sz w:val="12"/>
              </w:rPr>
              <w:t>Vivienda</w:t>
            </w:r>
          </w:p>
        </w:tc>
        <w:tc>
          <w:tcPr>
            <w:tcW w:w="1869" w:type="dxa"/>
          </w:tcPr>
          <w:p>
            <w:pPr>
              <w:pStyle w:val="TableParagraph"/>
              <w:spacing w:before="6"/>
              <w:ind w:left="974" w:right="188"/>
              <w:rPr>
                <w:rFonts w:ascii="Calibri"/>
                <w:sz w:val="12"/>
              </w:rPr>
            </w:pPr>
            <w:r>
              <w:rPr>
                <w:rFonts w:ascii="Calibri"/>
                <w:w w:val="105"/>
                <w:sz w:val="12"/>
              </w:rPr>
              <w:t>0.2</w:t>
            </w:r>
          </w:p>
        </w:tc>
        <w:tc>
          <w:tcPr>
            <w:tcW w:w="890" w:type="dxa"/>
          </w:tcPr>
          <w:p>
            <w:pPr/>
          </w:p>
        </w:tc>
        <w:tc>
          <w:tcPr>
            <w:tcW w:w="683" w:type="dxa"/>
          </w:tcPr>
          <w:p>
            <w:pPr>
              <w:pStyle w:val="TableParagraph"/>
              <w:spacing w:before="6"/>
              <w:ind w:left="242" w:right="241"/>
              <w:rPr>
                <w:rFonts w:ascii="Calibri"/>
                <w:sz w:val="12"/>
              </w:rPr>
            </w:pPr>
            <w:r>
              <w:rPr>
                <w:rFonts w:ascii="Calibri"/>
                <w:w w:val="105"/>
                <w:sz w:val="12"/>
              </w:rPr>
              <w:t>0.6</w:t>
            </w:r>
          </w:p>
        </w:tc>
        <w:tc>
          <w:tcPr>
            <w:tcW w:w="681" w:type="dxa"/>
            <w:tcBorders>
              <w:right w:val="single" w:sz="8" w:space="0" w:color="000000"/>
            </w:tcBorders>
            <w:shd w:val="clear" w:color="auto" w:fill="67ED4D"/>
          </w:tcPr>
          <w:p>
            <w:pPr>
              <w:pStyle w:val="TableParagraph"/>
              <w:spacing w:before="6"/>
              <w:ind w:left="21"/>
              <w:rPr>
                <w:rFonts w:ascii="Calibri"/>
                <w:sz w:val="12"/>
              </w:rPr>
            </w:pPr>
            <w:r>
              <w:rPr>
                <w:rFonts w:ascii="Calibri"/>
                <w:w w:val="104"/>
                <w:sz w:val="12"/>
              </w:rPr>
              <w:t>1</w:t>
            </w:r>
          </w:p>
        </w:tc>
      </w:tr>
      <w:tr>
        <w:trPr>
          <w:trHeight w:val="157" w:hRule="exact"/>
        </w:trPr>
        <w:tc>
          <w:tcPr>
            <w:tcW w:w="658" w:type="dxa"/>
            <w:vMerge/>
            <w:tcBorders>
              <w:left w:val="single" w:sz="4" w:space="0" w:color="000000"/>
            </w:tcBorders>
          </w:tcPr>
          <w:p>
            <w:pPr/>
          </w:p>
        </w:tc>
        <w:tc>
          <w:tcPr>
            <w:tcW w:w="1798" w:type="dxa"/>
            <w:vMerge w:val="restart"/>
          </w:tcPr>
          <w:p>
            <w:pPr>
              <w:pStyle w:val="TableParagraph"/>
              <w:spacing w:before="73"/>
              <w:ind w:left="50"/>
              <w:jc w:val="left"/>
              <w:rPr>
                <w:rFonts w:ascii="Calibri" w:hAnsi="Calibri"/>
                <w:sz w:val="12"/>
              </w:rPr>
            </w:pPr>
            <w:r>
              <w:rPr>
                <w:rFonts w:ascii="Calibri" w:hAnsi="Calibri"/>
                <w:w w:val="105"/>
                <w:sz w:val="12"/>
              </w:rPr>
              <w:t>Ecotegnologías</w:t>
            </w:r>
          </w:p>
        </w:tc>
        <w:tc>
          <w:tcPr>
            <w:tcW w:w="2242" w:type="dxa"/>
            <w:vMerge w:val="restart"/>
          </w:tcPr>
          <w:p>
            <w:pPr>
              <w:pStyle w:val="TableParagraph"/>
              <w:spacing w:line="259" w:lineRule="auto"/>
              <w:ind w:left="351" w:right="1154"/>
              <w:jc w:val="left"/>
              <w:rPr>
                <w:rFonts w:ascii="Calibri" w:hAnsi="Calibri"/>
                <w:sz w:val="12"/>
              </w:rPr>
            </w:pPr>
            <w:r>
              <w:rPr>
                <w:rFonts w:ascii="Calibri" w:hAnsi="Calibri"/>
                <w:w w:val="105"/>
                <w:sz w:val="12"/>
              </w:rPr>
              <w:t>Urbanización Equipamiento</w:t>
            </w:r>
          </w:p>
        </w:tc>
        <w:tc>
          <w:tcPr>
            <w:tcW w:w="1869" w:type="dxa"/>
            <w:vMerge w:val="restart"/>
          </w:tcPr>
          <w:p>
            <w:pPr>
              <w:pStyle w:val="TableParagraph"/>
              <w:spacing w:line="146" w:lineRule="exact"/>
              <w:ind w:right="502"/>
              <w:jc w:val="right"/>
              <w:rPr>
                <w:rFonts w:ascii="Calibri"/>
                <w:sz w:val="12"/>
              </w:rPr>
            </w:pPr>
            <w:r>
              <w:rPr>
                <w:rFonts w:ascii="Calibri"/>
                <w:w w:val="104"/>
                <w:sz w:val="12"/>
              </w:rPr>
              <w:t>0</w:t>
            </w:r>
          </w:p>
          <w:p>
            <w:pPr>
              <w:pStyle w:val="TableParagraph"/>
              <w:spacing w:before="11"/>
              <w:ind w:right="502"/>
              <w:jc w:val="right"/>
              <w:rPr>
                <w:rFonts w:ascii="Calibri"/>
                <w:sz w:val="12"/>
              </w:rPr>
            </w:pPr>
            <w:r>
              <w:rPr>
                <w:rFonts w:ascii="Calibri"/>
                <w:w w:val="104"/>
                <w:sz w:val="12"/>
              </w:rPr>
              <w:t>0</w:t>
            </w:r>
          </w:p>
        </w:tc>
        <w:tc>
          <w:tcPr>
            <w:tcW w:w="890" w:type="dxa"/>
            <w:vMerge w:val="restart"/>
          </w:tcPr>
          <w:p>
            <w:pPr/>
          </w:p>
        </w:tc>
        <w:tc>
          <w:tcPr>
            <w:tcW w:w="683" w:type="dxa"/>
            <w:vMerge w:val="restart"/>
          </w:tcPr>
          <w:p>
            <w:pPr>
              <w:pStyle w:val="TableParagraph"/>
              <w:spacing w:line="146" w:lineRule="exact"/>
              <w:ind w:left="242" w:right="241"/>
              <w:rPr>
                <w:rFonts w:ascii="Calibri"/>
                <w:sz w:val="12"/>
              </w:rPr>
            </w:pPr>
            <w:r>
              <w:rPr>
                <w:rFonts w:ascii="Calibri"/>
                <w:w w:val="105"/>
                <w:sz w:val="12"/>
              </w:rPr>
              <w:t>0.5</w:t>
            </w:r>
          </w:p>
          <w:p>
            <w:pPr>
              <w:pStyle w:val="TableParagraph"/>
              <w:spacing w:before="11"/>
              <w:ind w:left="10"/>
              <w:rPr>
                <w:rFonts w:ascii="Calibri"/>
                <w:sz w:val="12"/>
              </w:rPr>
            </w:pPr>
            <w:r>
              <w:rPr>
                <w:rFonts w:ascii="Calibri"/>
                <w:w w:val="104"/>
                <w:sz w:val="12"/>
              </w:rPr>
              <w:t>1</w:t>
            </w: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1</w:t>
            </w:r>
          </w:p>
        </w:tc>
      </w:tr>
      <w:tr>
        <w:trPr>
          <w:trHeight w:val="157" w:hRule="exact"/>
        </w:trPr>
        <w:tc>
          <w:tcPr>
            <w:tcW w:w="658" w:type="dxa"/>
            <w:vMerge/>
            <w:tcBorders>
              <w:left w:val="single" w:sz="4" w:space="0" w:color="000000"/>
            </w:tcBorders>
          </w:tcPr>
          <w:p>
            <w:pPr/>
          </w:p>
        </w:tc>
        <w:tc>
          <w:tcPr>
            <w:tcW w:w="1798" w:type="dxa"/>
            <w:vMerge/>
          </w:tcPr>
          <w:p>
            <w:pPr/>
          </w:p>
        </w:tc>
        <w:tc>
          <w:tcPr>
            <w:tcW w:w="2242" w:type="dxa"/>
            <w:vMerge/>
          </w:tcPr>
          <w:p>
            <w:pPr/>
          </w:p>
        </w:tc>
        <w:tc>
          <w:tcPr>
            <w:tcW w:w="1869" w:type="dxa"/>
            <w:vMerge/>
          </w:tcPr>
          <w:p>
            <w:pPr/>
          </w:p>
        </w:tc>
        <w:tc>
          <w:tcPr>
            <w:tcW w:w="890" w:type="dxa"/>
            <w:vMerge/>
          </w:tcPr>
          <w:p>
            <w:pPr/>
          </w:p>
        </w:tc>
        <w:tc>
          <w:tcPr>
            <w:tcW w:w="683" w:type="dxa"/>
            <w:vMerge/>
          </w:tcPr>
          <w:p>
            <w:pP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1</w:t>
            </w:r>
          </w:p>
        </w:tc>
      </w:tr>
      <w:tr>
        <w:trPr>
          <w:trHeight w:val="157" w:hRule="exact"/>
        </w:trPr>
        <w:tc>
          <w:tcPr>
            <w:tcW w:w="658" w:type="dxa"/>
            <w:vMerge/>
            <w:tcBorders>
              <w:left w:val="single" w:sz="4" w:space="0" w:color="000000"/>
            </w:tcBorders>
          </w:tcPr>
          <w:p>
            <w:pPr/>
          </w:p>
        </w:tc>
        <w:tc>
          <w:tcPr>
            <w:tcW w:w="1798" w:type="dxa"/>
          </w:tcPr>
          <w:p>
            <w:pPr/>
          </w:p>
        </w:tc>
        <w:tc>
          <w:tcPr>
            <w:tcW w:w="2242" w:type="dxa"/>
          </w:tcPr>
          <w:p>
            <w:pPr>
              <w:pStyle w:val="TableParagraph"/>
              <w:spacing w:line="146" w:lineRule="exact"/>
              <w:ind w:left="351" w:right="657"/>
              <w:jc w:val="left"/>
              <w:rPr>
                <w:rFonts w:ascii="Calibri"/>
                <w:sz w:val="12"/>
              </w:rPr>
            </w:pPr>
            <w:r>
              <w:rPr>
                <w:rFonts w:ascii="Calibri"/>
                <w:w w:val="105"/>
                <w:sz w:val="12"/>
              </w:rPr>
              <w:t>Mobiliario</w:t>
            </w:r>
          </w:p>
        </w:tc>
        <w:tc>
          <w:tcPr>
            <w:tcW w:w="1869" w:type="dxa"/>
          </w:tcPr>
          <w:p>
            <w:pPr>
              <w:pStyle w:val="TableParagraph"/>
              <w:spacing w:line="146" w:lineRule="exact"/>
              <w:ind w:left="795"/>
              <w:rPr>
                <w:rFonts w:ascii="Calibri"/>
                <w:sz w:val="12"/>
              </w:rPr>
            </w:pPr>
            <w:r>
              <w:rPr>
                <w:rFonts w:ascii="Calibri"/>
                <w:w w:val="104"/>
                <w:sz w:val="12"/>
              </w:rPr>
              <w:t>0</w:t>
            </w:r>
          </w:p>
        </w:tc>
        <w:tc>
          <w:tcPr>
            <w:tcW w:w="890" w:type="dxa"/>
          </w:tcPr>
          <w:p>
            <w:pPr/>
          </w:p>
        </w:tc>
        <w:tc>
          <w:tcPr>
            <w:tcW w:w="683" w:type="dxa"/>
          </w:tcPr>
          <w:p>
            <w:pPr>
              <w:pStyle w:val="TableParagraph"/>
              <w:spacing w:line="146" w:lineRule="exact"/>
              <w:ind w:left="10"/>
              <w:rPr>
                <w:rFonts w:ascii="Calibri"/>
                <w:sz w:val="12"/>
              </w:rPr>
            </w:pPr>
            <w:r>
              <w:rPr>
                <w:rFonts w:ascii="Calibri"/>
                <w:w w:val="104"/>
                <w:sz w:val="12"/>
              </w:rPr>
              <w:t>1</w:t>
            </w: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1</w:t>
            </w:r>
          </w:p>
        </w:tc>
      </w:tr>
      <w:tr>
        <w:trPr>
          <w:trHeight w:val="161" w:hRule="exact"/>
        </w:trPr>
        <w:tc>
          <w:tcPr>
            <w:tcW w:w="658" w:type="dxa"/>
            <w:vMerge/>
            <w:tcBorders>
              <w:left w:val="single" w:sz="4" w:space="0" w:color="000000"/>
            </w:tcBorders>
          </w:tcPr>
          <w:p>
            <w:pPr/>
          </w:p>
        </w:tc>
        <w:tc>
          <w:tcPr>
            <w:tcW w:w="1798" w:type="dxa"/>
          </w:tcPr>
          <w:p>
            <w:pPr/>
          </w:p>
        </w:tc>
        <w:tc>
          <w:tcPr>
            <w:tcW w:w="2242" w:type="dxa"/>
          </w:tcPr>
          <w:p>
            <w:pPr/>
          </w:p>
        </w:tc>
        <w:tc>
          <w:tcPr>
            <w:tcW w:w="1869" w:type="dxa"/>
          </w:tcPr>
          <w:p>
            <w:pPr>
              <w:pStyle w:val="TableParagraph"/>
              <w:spacing w:before="1"/>
              <w:ind w:left="971" w:right="188"/>
              <w:rPr>
                <w:rFonts w:ascii="Calibri"/>
                <w:sz w:val="12"/>
              </w:rPr>
            </w:pPr>
            <w:r>
              <w:rPr>
                <w:rFonts w:ascii="Calibri"/>
                <w:w w:val="105"/>
                <w:sz w:val="12"/>
              </w:rPr>
              <w:t>Subtotal</w:t>
            </w:r>
          </w:p>
        </w:tc>
        <w:tc>
          <w:tcPr>
            <w:tcW w:w="890" w:type="dxa"/>
          </w:tcPr>
          <w:p>
            <w:pPr>
              <w:pStyle w:val="TableParagraph"/>
              <w:tabs>
                <w:tab w:pos="470" w:val="left" w:leader="none"/>
                <w:tab w:pos="900" w:val="left" w:leader="none"/>
              </w:tabs>
              <w:spacing w:before="1"/>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0.2</w:t>
            </w:r>
            <w:r>
              <w:rPr>
                <w:rFonts w:ascii="Calibri"/>
                <w:sz w:val="12"/>
                <w:shd w:fill="F79646" w:color="auto" w:val="clear"/>
              </w:rPr>
              <w:tab/>
            </w:r>
          </w:p>
        </w:tc>
        <w:tc>
          <w:tcPr>
            <w:tcW w:w="683" w:type="dxa"/>
          </w:tcPr>
          <w:p>
            <w:pPr>
              <w:pStyle w:val="TableParagraph"/>
              <w:spacing w:before="1"/>
              <w:ind w:left="242" w:right="241"/>
              <w:rPr>
                <w:rFonts w:ascii="Calibri"/>
                <w:sz w:val="12"/>
              </w:rPr>
            </w:pPr>
            <w:r>
              <w:rPr>
                <w:rFonts w:ascii="Calibri"/>
                <w:w w:val="105"/>
                <w:sz w:val="12"/>
              </w:rPr>
              <w:t>3.1</w:t>
            </w: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4</w:t>
            </w:r>
          </w:p>
        </w:tc>
      </w:tr>
      <w:tr>
        <w:trPr>
          <w:trHeight w:val="147" w:hRule="exact"/>
        </w:trPr>
        <w:tc>
          <w:tcPr>
            <w:tcW w:w="8822" w:type="dxa"/>
            <w:gridSpan w:val="7"/>
            <w:tcBorders>
              <w:left w:val="single" w:sz="4" w:space="0" w:color="000000"/>
              <w:right w:val="single" w:sz="8" w:space="0" w:color="000000"/>
            </w:tcBorders>
          </w:tcPr>
          <w:p>
            <w:pPr/>
          </w:p>
        </w:tc>
      </w:tr>
      <w:tr>
        <w:trPr>
          <w:trHeight w:val="320" w:hRule="exact"/>
        </w:trPr>
        <w:tc>
          <w:tcPr>
            <w:tcW w:w="658" w:type="dxa"/>
            <w:tcBorders>
              <w:left w:val="single" w:sz="4" w:space="0" w:color="000000"/>
            </w:tcBorders>
          </w:tcPr>
          <w:p>
            <w:pPr/>
          </w:p>
        </w:tc>
        <w:tc>
          <w:tcPr>
            <w:tcW w:w="1798" w:type="dxa"/>
          </w:tcPr>
          <w:p>
            <w:pPr>
              <w:pStyle w:val="TableParagraph"/>
              <w:spacing w:before="80"/>
              <w:ind w:left="50"/>
              <w:jc w:val="left"/>
              <w:rPr>
                <w:rFonts w:ascii="Calibri" w:hAnsi="Calibri"/>
                <w:sz w:val="12"/>
              </w:rPr>
            </w:pPr>
            <w:r>
              <w:rPr>
                <w:rFonts w:ascii="Calibri" w:hAnsi="Calibri"/>
                <w:w w:val="105"/>
                <w:sz w:val="12"/>
              </w:rPr>
              <w:t>Educación ambiental</w:t>
            </w:r>
          </w:p>
        </w:tc>
        <w:tc>
          <w:tcPr>
            <w:tcW w:w="2242" w:type="dxa"/>
          </w:tcPr>
          <w:p>
            <w:pPr>
              <w:pStyle w:val="TableParagraph"/>
              <w:spacing w:line="259" w:lineRule="auto" w:before="6"/>
              <w:ind w:left="351" w:right="1321"/>
              <w:jc w:val="left"/>
              <w:rPr>
                <w:rFonts w:ascii="Calibri"/>
                <w:sz w:val="12"/>
              </w:rPr>
            </w:pPr>
            <w:r>
              <w:rPr>
                <w:rFonts w:ascii="Calibri"/>
                <w:w w:val="105"/>
                <w:sz w:val="12"/>
              </w:rPr>
              <w:t>Planes Programas</w:t>
            </w:r>
          </w:p>
        </w:tc>
        <w:tc>
          <w:tcPr>
            <w:tcW w:w="1869" w:type="dxa"/>
          </w:tcPr>
          <w:p>
            <w:pPr>
              <w:pStyle w:val="TableParagraph"/>
              <w:spacing w:before="6"/>
              <w:ind w:right="502"/>
              <w:jc w:val="right"/>
              <w:rPr>
                <w:rFonts w:ascii="Calibri"/>
                <w:sz w:val="12"/>
              </w:rPr>
            </w:pPr>
            <w:r>
              <w:rPr>
                <w:rFonts w:ascii="Calibri"/>
                <w:w w:val="104"/>
                <w:sz w:val="12"/>
              </w:rPr>
              <w:t>0</w:t>
            </w:r>
          </w:p>
          <w:p>
            <w:pPr>
              <w:pStyle w:val="TableParagraph"/>
              <w:spacing w:before="11"/>
              <w:ind w:right="502"/>
              <w:jc w:val="right"/>
              <w:rPr>
                <w:rFonts w:ascii="Calibri"/>
                <w:sz w:val="12"/>
              </w:rPr>
            </w:pPr>
            <w:r>
              <w:rPr>
                <w:rFonts w:ascii="Calibri"/>
                <w:w w:val="104"/>
                <w:sz w:val="12"/>
              </w:rPr>
              <w:t>0</w:t>
            </w:r>
          </w:p>
        </w:tc>
        <w:tc>
          <w:tcPr>
            <w:tcW w:w="890" w:type="dxa"/>
          </w:tcPr>
          <w:p>
            <w:pPr/>
          </w:p>
        </w:tc>
        <w:tc>
          <w:tcPr>
            <w:tcW w:w="683" w:type="dxa"/>
          </w:tcPr>
          <w:p>
            <w:pPr>
              <w:pStyle w:val="TableParagraph"/>
              <w:spacing w:before="6"/>
              <w:ind w:left="10"/>
              <w:rPr>
                <w:rFonts w:ascii="Calibri"/>
                <w:sz w:val="12"/>
              </w:rPr>
            </w:pPr>
            <w:r>
              <w:rPr>
                <w:rFonts w:ascii="Calibri"/>
                <w:w w:val="104"/>
                <w:sz w:val="12"/>
              </w:rPr>
              <w:t>1</w:t>
            </w:r>
          </w:p>
          <w:p>
            <w:pPr>
              <w:pStyle w:val="TableParagraph"/>
              <w:spacing w:before="11"/>
              <w:ind w:left="10"/>
              <w:rPr>
                <w:rFonts w:ascii="Calibri"/>
                <w:sz w:val="12"/>
              </w:rPr>
            </w:pPr>
            <w:r>
              <w:rPr>
                <w:rFonts w:ascii="Calibri"/>
                <w:w w:val="104"/>
                <w:sz w:val="12"/>
              </w:rPr>
              <w:t>1</w:t>
            </w:r>
          </w:p>
        </w:tc>
        <w:tc>
          <w:tcPr>
            <w:tcW w:w="681" w:type="dxa"/>
            <w:tcBorders>
              <w:right w:val="single" w:sz="8" w:space="0" w:color="000000"/>
            </w:tcBorders>
            <w:shd w:val="clear" w:color="auto" w:fill="67ED4D"/>
          </w:tcPr>
          <w:p>
            <w:pPr>
              <w:pStyle w:val="TableParagraph"/>
              <w:spacing w:before="6"/>
              <w:ind w:left="21"/>
              <w:rPr>
                <w:rFonts w:ascii="Calibri"/>
                <w:sz w:val="12"/>
              </w:rPr>
            </w:pPr>
            <w:r>
              <w:rPr>
                <w:rFonts w:ascii="Calibri"/>
                <w:w w:val="104"/>
                <w:sz w:val="12"/>
              </w:rPr>
              <w:t>1</w:t>
            </w:r>
          </w:p>
          <w:p>
            <w:pPr>
              <w:pStyle w:val="TableParagraph"/>
              <w:spacing w:before="11"/>
              <w:ind w:left="21"/>
              <w:rPr>
                <w:rFonts w:ascii="Calibri"/>
                <w:sz w:val="12"/>
              </w:rPr>
            </w:pPr>
            <w:r>
              <w:rPr>
                <w:rFonts w:ascii="Calibri"/>
                <w:w w:val="104"/>
                <w:sz w:val="12"/>
              </w:rPr>
              <w:t>1</w:t>
            </w:r>
          </w:p>
        </w:tc>
      </w:tr>
      <w:tr>
        <w:trPr>
          <w:trHeight w:val="163" w:hRule="exact"/>
        </w:trPr>
        <w:tc>
          <w:tcPr>
            <w:tcW w:w="658" w:type="dxa"/>
            <w:tcBorders>
              <w:left w:val="single" w:sz="4" w:space="0" w:color="000000"/>
            </w:tcBorders>
          </w:tcPr>
          <w:p>
            <w:pPr/>
          </w:p>
        </w:tc>
        <w:tc>
          <w:tcPr>
            <w:tcW w:w="1798" w:type="dxa"/>
          </w:tcPr>
          <w:p>
            <w:pPr/>
          </w:p>
        </w:tc>
        <w:tc>
          <w:tcPr>
            <w:tcW w:w="2242" w:type="dxa"/>
          </w:tcPr>
          <w:p>
            <w:pPr/>
          </w:p>
        </w:tc>
        <w:tc>
          <w:tcPr>
            <w:tcW w:w="1869" w:type="dxa"/>
          </w:tcPr>
          <w:p>
            <w:pPr>
              <w:pStyle w:val="TableParagraph"/>
              <w:spacing w:before="1"/>
              <w:ind w:left="971" w:right="188"/>
              <w:rPr>
                <w:rFonts w:ascii="Calibri"/>
                <w:sz w:val="12"/>
              </w:rPr>
            </w:pPr>
            <w:r>
              <w:rPr>
                <w:rFonts w:ascii="Calibri"/>
                <w:w w:val="105"/>
                <w:sz w:val="12"/>
              </w:rPr>
              <w:t>Subtotal</w:t>
            </w:r>
          </w:p>
        </w:tc>
        <w:tc>
          <w:tcPr>
            <w:tcW w:w="890" w:type="dxa"/>
          </w:tcPr>
          <w:p>
            <w:pPr>
              <w:pStyle w:val="TableParagraph"/>
              <w:tabs>
                <w:tab w:pos="522" w:val="left" w:leader="none"/>
                <w:tab w:pos="900" w:val="left" w:leader="none"/>
              </w:tabs>
              <w:spacing w:before="1"/>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0</w:t>
            </w:r>
            <w:r>
              <w:rPr>
                <w:rFonts w:ascii="Calibri"/>
                <w:sz w:val="12"/>
                <w:shd w:fill="F79646" w:color="auto" w:val="clear"/>
              </w:rPr>
              <w:tab/>
            </w:r>
          </w:p>
        </w:tc>
        <w:tc>
          <w:tcPr>
            <w:tcW w:w="683" w:type="dxa"/>
          </w:tcPr>
          <w:p>
            <w:pPr>
              <w:pStyle w:val="TableParagraph"/>
              <w:spacing w:before="1"/>
              <w:ind w:left="10"/>
              <w:rPr>
                <w:rFonts w:ascii="Calibri"/>
                <w:sz w:val="12"/>
              </w:rPr>
            </w:pPr>
            <w:r>
              <w:rPr>
                <w:rFonts w:ascii="Calibri"/>
                <w:w w:val="104"/>
                <w:sz w:val="12"/>
              </w:rPr>
              <w:t>2</w:t>
            </w:r>
          </w:p>
        </w:tc>
        <w:tc>
          <w:tcPr>
            <w:tcW w:w="681" w:type="dxa"/>
            <w:tcBorders>
              <w:right w:val="single" w:sz="8" w:space="0" w:color="000000"/>
            </w:tcBorders>
            <w:shd w:val="clear" w:color="auto" w:fill="67ED4D"/>
          </w:tcPr>
          <w:p>
            <w:pPr>
              <w:pStyle w:val="TableParagraph"/>
              <w:spacing w:before="1"/>
              <w:ind w:left="21"/>
              <w:rPr>
                <w:rFonts w:ascii="Calibri"/>
                <w:sz w:val="12"/>
              </w:rPr>
            </w:pPr>
            <w:r>
              <w:rPr>
                <w:rFonts w:ascii="Calibri"/>
                <w:w w:val="104"/>
                <w:sz w:val="12"/>
              </w:rPr>
              <w:t>2</w:t>
            </w:r>
          </w:p>
        </w:tc>
      </w:tr>
      <w:tr>
        <w:trPr>
          <w:trHeight w:val="472" w:hRule="exact"/>
        </w:trPr>
        <w:tc>
          <w:tcPr>
            <w:tcW w:w="658" w:type="dxa"/>
            <w:tcBorders>
              <w:left w:val="single" w:sz="4" w:space="0" w:color="000000"/>
              <w:bottom w:val="single" w:sz="8" w:space="0" w:color="000000"/>
            </w:tcBorders>
          </w:tcPr>
          <w:p>
            <w:pPr/>
          </w:p>
        </w:tc>
        <w:tc>
          <w:tcPr>
            <w:tcW w:w="1798" w:type="dxa"/>
            <w:tcBorders>
              <w:bottom w:val="single" w:sz="8" w:space="0" w:color="000000"/>
            </w:tcBorders>
          </w:tcPr>
          <w:p>
            <w:pPr/>
          </w:p>
        </w:tc>
        <w:tc>
          <w:tcPr>
            <w:tcW w:w="2242" w:type="dxa"/>
            <w:tcBorders>
              <w:bottom w:val="single" w:sz="8" w:space="0" w:color="000000"/>
            </w:tcBorders>
          </w:tcPr>
          <w:p>
            <w:pPr/>
          </w:p>
        </w:tc>
        <w:tc>
          <w:tcPr>
            <w:tcW w:w="1869" w:type="dxa"/>
            <w:tcBorders>
              <w:bottom w:val="single" w:sz="8" w:space="0" w:color="000000"/>
            </w:tcBorders>
          </w:tcPr>
          <w:p>
            <w:pPr>
              <w:pStyle w:val="TableParagraph"/>
              <w:spacing w:before="4"/>
              <w:jc w:val="left"/>
              <w:rPr>
                <w:sz w:val="13"/>
              </w:rPr>
            </w:pPr>
          </w:p>
          <w:p>
            <w:pPr>
              <w:pStyle w:val="TableParagraph"/>
              <w:ind w:left="975" w:right="188"/>
              <w:rPr>
                <w:rFonts w:ascii="Calibri"/>
                <w:sz w:val="12"/>
              </w:rPr>
            </w:pPr>
            <w:r>
              <w:rPr>
                <w:rFonts w:ascii="Calibri"/>
                <w:w w:val="105"/>
                <w:sz w:val="12"/>
              </w:rPr>
              <w:t>Total IA</w:t>
            </w:r>
          </w:p>
        </w:tc>
        <w:tc>
          <w:tcPr>
            <w:tcW w:w="890" w:type="dxa"/>
            <w:tcBorders>
              <w:bottom w:val="single" w:sz="8" w:space="0" w:color="000000"/>
            </w:tcBorders>
          </w:tcPr>
          <w:p>
            <w:pPr>
              <w:pStyle w:val="TableParagraph"/>
              <w:spacing w:before="4"/>
              <w:jc w:val="left"/>
              <w:rPr>
                <w:sz w:val="13"/>
              </w:rPr>
            </w:pPr>
          </w:p>
          <w:p>
            <w:pPr>
              <w:pStyle w:val="TableParagraph"/>
              <w:tabs>
                <w:tab w:pos="470" w:val="left" w:leader="none"/>
                <w:tab w:pos="900" w:val="left" w:leader="none"/>
              </w:tabs>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7.2</w:t>
            </w:r>
            <w:r>
              <w:rPr>
                <w:rFonts w:ascii="Calibri"/>
                <w:sz w:val="12"/>
                <w:shd w:fill="F79646" w:color="auto" w:val="clear"/>
              </w:rPr>
              <w:tab/>
            </w:r>
          </w:p>
        </w:tc>
        <w:tc>
          <w:tcPr>
            <w:tcW w:w="683" w:type="dxa"/>
            <w:tcBorders>
              <w:bottom w:val="single" w:sz="8" w:space="0" w:color="000000"/>
            </w:tcBorders>
          </w:tcPr>
          <w:p>
            <w:pPr>
              <w:pStyle w:val="TableParagraph"/>
              <w:spacing w:before="4"/>
              <w:jc w:val="left"/>
              <w:rPr>
                <w:sz w:val="13"/>
              </w:rPr>
            </w:pPr>
          </w:p>
          <w:p>
            <w:pPr>
              <w:pStyle w:val="TableParagraph"/>
              <w:tabs>
                <w:tab w:pos="692" w:val="left" w:leader="none"/>
              </w:tabs>
              <w:ind w:right="-10"/>
              <w:rPr>
                <w:rFonts w:ascii="Calibri"/>
                <w:sz w:val="12"/>
              </w:rPr>
            </w:pPr>
            <w:r>
              <w:rPr>
                <w:rFonts w:ascii="Times New Roman"/>
                <w:w w:val="104"/>
                <w:sz w:val="12"/>
                <w:shd w:fill="FFFF00" w:color="auto" w:val="clear"/>
              </w:rPr>
              <w:t> </w:t>
            </w:r>
            <w:r>
              <w:rPr>
                <w:rFonts w:ascii="Times New Roman"/>
                <w:sz w:val="12"/>
                <w:shd w:fill="FFFF00" w:color="auto" w:val="clear"/>
              </w:rPr>
              <w:t>      </w:t>
            </w:r>
            <w:r>
              <w:rPr>
                <w:rFonts w:ascii="Times New Roman"/>
                <w:spacing w:val="-11"/>
                <w:sz w:val="12"/>
                <w:shd w:fill="FFFF00" w:color="auto" w:val="clear"/>
              </w:rPr>
              <w:t> </w:t>
            </w:r>
            <w:r>
              <w:rPr>
                <w:rFonts w:ascii="Calibri"/>
                <w:w w:val="105"/>
                <w:sz w:val="12"/>
                <w:shd w:fill="FFFF00" w:color="auto" w:val="clear"/>
              </w:rPr>
              <w:t>18.3</w:t>
            </w:r>
            <w:r>
              <w:rPr>
                <w:rFonts w:ascii="Calibri"/>
                <w:sz w:val="12"/>
                <w:shd w:fill="FFFF00" w:color="auto" w:val="clear"/>
              </w:rPr>
              <w:tab/>
            </w:r>
          </w:p>
        </w:tc>
        <w:tc>
          <w:tcPr>
            <w:tcW w:w="681" w:type="dxa"/>
            <w:tcBorders>
              <w:bottom w:val="single" w:sz="8" w:space="0" w:color="000000"/>
              <w:right w:val="single" w:sz="8" w:space="0" w:color="000000"/>
            </w:tcBorders>
          </w:tcPr>
          <w:p>
            <w:pPr>
              <w:pStyle w:val="TableParagraph"/>
              <w:spacing w:before="4"/>
              <w:jc w:val="left"/>
              <w:rPr>
                <w:sz w:val="13"/>
              </w:rPr>
            </w:pPr>
          </w:p>
          <w:p>
            <w:pPr>
              <w:pStyle w:val="TableParagraph"/>
              <w:ind w:left="262" w:right="241"/>
              <w:rPr>
                <w:rFonts w:ascii="Calibri"/>
                <w:sz w:val="12"/>
              </w:rPr>
            </w:pPr>
            <w:r>
              <w:rPr>
                <w:rFonts w:ascii="Calibri"/>
                <w:w w:val="105"/>
                <w:sz w:val="12"/>
              </w:rPr>
              <w:t>24</w:t>
            </w:r>
          </w:p>
        </w:tc>
      </w:tr>
    </w:tbl>
    <w:p>
      <w:pPr>
        <w:spacing w:before="129"/>
        <w:ind w:left="268" w:right="0" w:firstLine="0"/>
        <w:jc w:val="left"/>
        <w:rPr>
          <w:sz w:val="21"/>
        </w:rPr>
      </w:pPr>
      <w:r>
        <w:rPr/>
        <w:pict>
          <v:group style="position:absolute;margin-left:362.763489pt;margin-top:-174.577042pt;width:76.150pt;height:24.7pt;mso-position-horizontal-relative:page;mso-position-vertical-relative:paragraph;z-index:-1134136" coordorigin="7255,-3492" coordsize="1523,494">
            <v:line style="position:absolute" from="7261,-3486" to="7261,-3318" stroked="true" strokeweight=".525pt" strokecolor="#baf9f5"/>
            <v:rect style="position:absolute;left:7266;top:-3486;width:1511;height:168" filled="true" fillcolor="#baf9f5" stroked="false">
              <v:fill type="solid"/>
            </v:rect>
            <v:line style="position:absolute" from="7261,-3318" to="7261,-3161" stroked="true" strokeweight=".525pt" strokecolor="#baf9f5"/>
            <v:rect style="position:absolute;left:7266;top:-3318;width:1511;height:157" filled="true" fillcolor="#baf9f5" stroked="false">
              <v:fill type="solid"/>
            </v:rect>
            <v:line style="position:absolute" from="7261,-3161" to="7261,-3003" stroked="true" strokeweight=".525pt" strokecolor="#baf9f5"/>
            <v:rect style="position:absolute;left:7266;top:-3161;width:1511;height:157" filled="true" fillcolor="#baf9f5" stroked="false">
              <v:fill type="solid"/>
            </v:rect>
            <w10:wrap type="none"/>
          </v:group>
        </w:pict>
      </w:r>
      <w:r>
        <w:rPr/>
        <w:pict>
          <v:shape style="position:absolute;margin-left:472.458008pt;margin-top:-174.301163pt;width:34.65pt;height:32.0500pt;mso-position-horizontal-relative:page;mso-position-vertical-relative:paragraph;z-index:-1134112" coordorigin="9449,-3486" coordsize="693,641" path="m10142,-3161l9449,-3161,9449,-3014,9449,-3003,9449,-2846,10142,-2846,10142,-3003,10142,-3014,10142,-3161m10142,-3486l9449,-3486,9449,-3318,9449,-3161,10142,-3161,10142,-3318,10142,-3486e" filled="true" fillcolor="#ffff00" stroked="false">
            <v:path arrowok="t"/>
            <v:fill type="solid"/>
            <w10:wrap type="none"/>
          </v:shape>
        </w:pict>
      </w:r>
      <w:r>
        <w:rPr/>
        <w:pict>
          <v:group style="position:absolute;margin-left:362.763489pt;margin-top:-135.205032pt;width:76.150pt;height:24.7pt;mso-position-horizontal-relative:page;mso-position-vertical-relative:paragraph;z-index:-1134088" coordorigin="7255,-2704" coordsize="1523,494">
            <v:line style="position:absolute" from="7261,-2699" to="7261,-2531" stroked="true" strokeweight=".525pt" strokecolor="#baf9f5"/>
            <v:rect style="position:absolute;left:7266;top:-2699;width:1511;height:168" filled="true" fillcolor="#baf9f5" stroked="false">
              <v:fill type="solid"/>
            </v:rect>
            <v:line style="position:absolute" from="7261,-2531" to="7261,-2373" stroked="true" strokeweight=".525pt" strokecolor="#baf9f5"/>
            <v:rect style="position:absolute;left:7266;top:-2531;width:1511;height:157" filled="true" fillcolor="#baf9f5" stroked="false">
              <v:fill type="solid"/>
            </v:rect>
            <v:line style="position:absolute" from="7261,-2373" to="7261,-2216" stroked="true" strokeweight=".525pt" strokecolor="#baf9f5"/>
            <v:rect style="position:absolute;left:7266;top:-2373;width:1511;height:157" filled="true" fillcolor="#baf9f5" stroked="false">
              <v:fill type="solid"/>
            </v:rect>
            <w10:wrap type="none"/>
          </v:group>
        </w:pict>
      </w:r>
      <w:r>
        <w:rPr/>
        <w:pict>
          <v:shape style="position:absolute;margin-left:472.458008pt;margin-top:-134.929153pt;width:34.65pt;height:32.0500pt;mso-position-horizontal-relative:page;mso-position-vertical-relative:paragraph;z-index:-1134064" coordorigin="9449,-2699" coordsize="693,641" path="m10142,-2373l9449,-2373,9449,-2226,9449,-2216,9449,-2058,10142,-2058,10142,-2216,10142,-2226,10142,-2373m10142,-2699l9449,-2699,9449,-2531,9449,-2373,10142,-2373,10142,-2531,10142,-2699e" filled="true" fillcolor="#ffff00" stroked="false">
            <v:path arrowok="t"/>
            <v:fill type="solid"/>
            <w10:wrap type="none"/>
          </v:shape>
        </w:pict>
      </w:r>
      <w:r>
        <w:rPr/>
        <w:pict>
          <v:group style="position:absolute;margin-left:362.763489pt;margin-top:-95.833038pt;width:76.150pt;height:32.6pt;mso-position-horizontal-relative:page;mso-position-vertical-relative:paragraph;z-index:-1134040" coordorigin="7255,-1917" coordsize="1523,652">
            <v:line style="position:absolute" from="7261,-1911" to="7261,-1743" stroked="true" strokeweight=".525pt" strokecolor="#baf9f5"/>
            <v:rect style="position:absolute;left:7266;top:-1911;width:1511;height:168" filled="true" fillcolor="#baf9f5" stroked="false">
              <v:fill type="solid"/>
            </v:rect>
            <v:line style="position:absolute" from="7261,-1743" to="7261,-1586" stroked="true" strokeweight=".525pt" strokecolor="#baf9f5"/>
            <v:rect style="position:absolute;left:7266;top:-1743;width:1511;height:157" filled="true" fillcolor="#baf9f5" stroked="false">
              <v:fill type="solid"/>
            </v:rect>
            <v:line style="position:absolute" from="7261,-1586" to="7261,-1428" stroked="true" strokeweight=".525pt" strokecolor="#baf9f5"/>
            <v:rect style="position:absolute;left:7266;top:-1586;width:1511;height:157" filled="true" fillcolor="#baf9f5" stroked="false">
              <v:fill type="solid"/>
            </v:rect>
            <v:line style="position:absolute" from="7261,-1428" to="7261,-1271" stroked="true" strokeweight=".525pt" strokecolor="#baf9f5"/>
            <v:rect style="position:absolute;left:7266;top:-1428;width:1511;height:157" filled="true" fillcolor="#baf9f5" stroked="false">
              <v:fill type="solid"/>
            </v:rect>
            <w10:wrap type="none"/>
          </v:group>
        </w:pict>
      </w:r>
      <w:r>
        <w:rPr/>
        <w:pict>
          <v:shape style="position:absolute;margin-left:472.458008pt;margin-top:-95.557159pt;width:34.65pt;height:39.9pt;mso-position-horizontal-relative:page;mso-position-vertical-relative:paragraph;z-index:-1134016" coordorigin="9449,-1911" coordsize="693,798" path="m10142,-1428l9449,-1428,9449,-1281,9449,-1271,9449,-1113,10142,-1113,10142,-1271,10142,-1281,10142,-1428m10142,-1586l9449,-1586,9449,-1428,10142,-1428,10142,-1586m10142,-1911l9449,-1911,9449,-1743,9449,-1586,10142,-1586,10142,-1743,10142,-1911e" filled="true" fillcolor="#ffff00" stroked="false">
            <v:path arrowok="t"/>
            <v:fill type="solid"/>
            <w10:wrap type="none"/>
          </v:shape>
        </w:pict>
      </w:r>
      <w:r>
        <w:rPr/>
        <w:pict>
          <v:group style="position:absolute;margin-left:362.763489pt;margin-top:-48.586037pt;width:76.150pt;height:16.850pt;mso-position-horizontal-relative:page;mso-position-vertical-relative:paragraph;z-index:-1133992" coordorigin="7255,-972" coordsize="1523,337">
            <v:line style="position:absolute" from="7261,-966" to="7261,-798" stroked="true" strokeweight=".525pt" strokecolor="#baf9f5"/>
            <v:rect style="position:absolute;left:7266;top:-966;width:1511;height:168" filled="true" fillcolor="#baf9f5" stroked="false">
              <v:fill type="solid"/>
            </v:rect>
            <v:line style="position:absolute" from="7261,-798" to="7261,-641" stroked="true" strokeweight=".525pt" strokecolor="#baf9f5"/>
            <v:rect style="position:absolute;left:7266;top:-798;width:1511;height:157" filled="true" fillcolor="#baf9f5" stroked="false">
              <v:fill type="solid"/>
            </v:rect>
            <w10:wrap type="none"/>
          </v:group>
        </w:pict>
      </w:r>
      <w:r>
        <w:rPr/>
        <w:pict>
          <v:shape style="position:absolute;margin-left:472.458008pt;margin-top:-48.310154pt;width:34.65pt;height:24.15pt;mso-position-horizontal-relative:page;mso-position-vertical-relative:paragraph;z-index:-1133968" coordorigin="9449,-966" coordsize="693,483" path="m10142,-966l9449,-966,9449,-798,9449,-651,9449,-641,9449,-483,10142,-483,10142,-641,10142,-651,10142,-798,10142,-966e" filled="true" fillcolor="#ffff00" stroked="false">
            <v:path arrowok="t"/>
            <v:fill type="solid"/>
            <w10:wrap type="none"/>
          </v:shape>
        </w:pict>
      </w:r>
      <w:r>
        <w:rPr/>
        <w:pict>
          <v:rect style="position:absolute;margin-left:506.569pt;margin-top:-16.812546pt;width:34.6364pt;height:8.39941pt;mso-position-horizontal-relative:page;mso-position-vertical-relative:paragraph;z-index:-1133944" filled="true" fillcolor="#67ed4d"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spacing w:before="1"/>
        <w:rPr>
          <w:sz w:val="18"/>
        </w:rPr>
      </w:pPr>
    </w:p>
    <w:p>
      <w:pPr>
        <w:pStyle w:val="BodyText"/>
        <w:spacing w:before="69" w:after="13"/>
        <w:ind w:left="268"/>
      </w:pPr>
      <w:r>
        <w:rPr/>
        <w:pict>
          <v:line style="position:absolute;mso-position-horizontal-relative:page;mso-position-vertical-relative:paragraph;z-index:24112" from="93.199997pt,-19.614155pt" to="546.799997pt,-19.614155pt" stroked="true" strokeweight=".479981pt" strokecolor="#000000">
            <w10:wrap type="none"/>
          </v:line>
        </w:pict>
      </w:r>
      <w:r>
        <w:rPr/>
        <w:pict>
          <v:group style="position:absolute;margin-left:362.777496pt;margin-top:50.718304pt;width:76.150pt;height:16.850pt;mso-position-horizontal-relative:page;mso-position-vertical-relative:paragraph;z-index:-1133896" coordorigin="7256,1014" coordsize="1523,337">
            <v:shape style="position:absolute;left:7261;top:1020;width:2;height:326" coordorigin="7261,1020" coordsize="0,326" path="m7261,1020l7261,1188m7261,1177l7261,1346e" filled="false" stroked="true" strokeweight=".525pt" strokecolor="#baf9f5">
              <v:path arrowok="t"/>
            </v:shape>
            <v:shape style="position:absolute;left:7266;top:1020;width:1512;height:326" coordorigin="7266,1020" coordsize="1512,326" path="m8778,1020l7266,1020,7266,1177,7266,1188,7266,1346,8778,1346,8778,1188,8778,1177,8778,1020e" filled="true" fillcolor="#baf9f5" stroked="false">
              <v:path arrowok="t"/>
              <v:fill type="solid"/>
            </v:shape>
            <w10:wrap type="none"/>
          </v:group>
        </w:pict>
      </w:r>
      <w:r>
        <w:rPr/>
        <w:pict>
          <v:shape style="position:absolute;margin-left:472.478027pt;margin-top:82.521805pt;width:34.65pt;height:16.3pt;mso-position-horizontal-relative:page;mso-position-vertical-relative:paragraph;z-index:-1133872" coordorigin="9450,1650" coordsize="693,326" path="m10142,1650l9450,1650,9450,1808,9450,1819,9450,1976,10142,1976,10142,1819,10142,1808,10142,1650e" filled="true" fillcolor="#ffff00" stroked="false">
            <v:path arrowok="t"/>
            <v:fill type="solid"/>
            <w10:wrap type="none"/>
          </v:shape>
        </w:pict>
      </w:r>
      <w:r>
        <w:rPr/>
        <w:pict>
          <v:group style="position:absolute;margin-left:362.777496pt;margin-top:105.892303pt;width:76.150pt;height:24.75pt;mso-position-horizontal-relative:page;mso-position-vertical-relative:paragraph;z-index:-1133848" coordorigin="7256,2118" coordsize="1523,495">
            <v:shape style="position:absolute;left:7266;top:2123;width:1512;height:326" coordorigin="7266,2123" coordsize="1512,326" path="m8778,2123l7266,2123,7266,2291,7266,2449,8778,2449,8778,2291,8778,2123e" filled="true" fillcolor="#baf9f5" stroked="false">
              <v:path arrowok="t"/>
              <v:fill type="solid"/>
            </v:shape>
            <v:line style="position:absolute" from="7261,2123" to="7261,2607" stroked="true" strokeweight=".525pt" strokecolor="#baf9f5"/>
            <v:rect style="position:absolute;left:7266;top:2449;width:1511;height:158" filled="true" fillcolor="#baf9f5" stroked="false">
              <v:fill type="solid"/>
            </v:rect>
            <w10:wrap type="none"/>
          </v:group>
        </w:pict>
      </w:r>
      <w:r>
        <w:rPr/>
        <w:pict>
          <v:shape style="position:absolute;margin-left:472.478027pt;margin-top:106.167809pt;width:34.65pt;height:32.1pt;mso-position-horizontal-relative:page;mso-position-vertical-relative:paragraph;z-index:-1133824" coordorigin="9450,2123" coordsize="693,642" path="m10142,2123l9450,2123,9450,2291,9450,2449,9450,2596,9450,2607,9450,2764,10142,2764,10142,2607,10142,2596,10142,2449,10142,2291,10142,2123e" filled="true" fillcolor="#ffff00" stroked="false">
            <v:path arrowok="t"/>
            <v:fill type="solid"/>
            <w10:wrap type="none"/>
          </v:shape>
        </w:pict>
      </w:r>
      <w:r>
        <w:rPr/>
        <w:t>Tabla 60. ISE Rancho la Providencia</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8"/>
        <w:gridCol w:w="1822"/>
        <w:gridCol w:w="2233"/>
        <w:gridCol w:w="1895"/>
        <w:gridCol w:w="890"/>
        <w:gridCol w:w="683"/>
        <w:gridCol w:w="681"/>
      </w:tblGrid>
      <w:tr>
        <w:trPr>
          <w:trHeight w:val="436" w:hRule="exact"/>
        </w:trPr>
        <w:tc>
          <w:tcPr>
            <w:tcW w:w="8822" w:type="dxa"/>
            <w:gridSpan w:val="7"/>
            <w:tcBorders>
              <w:bottom w:val="nil"/>
              <w:right w:val="single" w:sz="4" w:space="0" w:color="FBF111"/>
            </w:tcBorders>
            <w:shd w:val="clear" w:color="auto" w:fill="000000"/>
          </w:tcPr>
          <w:p>
            <w:pPr>
              <w:pStyle w:val="TableParagraph"/>
              <w:spacing w:before="50"/>
              <w:ind w:left="3291" w:right="3274"/>
              <w:rPr>
                <w:b/>
                <w:sz w:val="12"/>
              </w:rPr>
            </w:pPr>
            <w:r>
              <w:rPr>
                <w:b/>
                <w:color w:val="FFFFFF"/>
                <w:w w:val="105"/>
                <w:sz w:val="12"/>
              </w:rPr>
              <w:t>Rancho la Providencia</w:t>
            </w:r>
          </w:p>
          <w:p>
            <w:pPr>
              <w:pStyle w:val="TableParagraph"/>
              <w:spacing w:before="19"/>
              <w:ind w:left="3291" w:right="3287"/>
              <w:rPr>
                <w:b/>
                <w:sz w:val="12"/>
              </w:rPr>
            </w:pPr>
            <w:r>
              <w:rPr>
                <w:b/>
                <w:color w:val="FFFFFF"/>
                <w:w w:val="105"/>
                <w:sz w:val="12"/>
              </w:rPr>
              <w:t>Índice de sustentabilidad económica</w:t>
            </w:r>
          </w:p>
        </w:tc>
      </w:tr>
      <w:tr>
        <w:trPr>
          <w:trHeight w:val="194" w:hRule="exact"/>
        </w:trPr>
        <w:tc>
          <w:tcPr>
            <w:tcW w:w="618" w:type="dxa"/>
            <w:tcBorders>
              <w:top w:val="single" w:sz="4" w:space="0" w:color="FFFFFF"/>
              <w:left w:val="single" w:sz="4" w:space="0" w:color="000000"/>
            </w:tcBorders>
            <w:shd w:val="clear" w:color="auto" w:fill="808080"/>
          </w:tcPr>
          <w:p>
            <w:pPr>
              <w:pStyle w:val="TableParagraph"/>
              <w:spacing w:line="136" w:lineRule="exact"/>
              <w:ind w:left="157"/>
              <w:jc w:val="left"/>
              <w:rPr>
                <w:b/>
                <w:sz w:val="12"/>
              </w:rPr>
            </w:pPr>
            <w:r>
              <w:rPr>
                <w:b/>
                <w:color w:val="FFFFFF"/>
                <w:w w:val="105"/>
                <w:sz w:val="12"/>
              </w:rPr>
              <w:t>Índice</w:t>
            </w:r>
          </w:p>
        </w:tc>
        <w:tc>
          <w:tcPr>
            <w:tcW w:w="1822" w:type="dxa"/>
            <w:tcBorders>
              <w:top w:val="single" w:sz="4" w:space="0" w:color="FFFFFF"/>
            </w:tcBorders>
            <w:shd w:val="clear" w:color="auto" w:fill="808080"/>
          </w:tcPr>
          <w:p>
            <w:pPr>
              <w:pStyle w:val="TableParagraph"/>
              <w:spacing w:line="136" w:lineRule="exact"/>
              <w:ind w:left="90"/>
              <w:jc w:val="left"/>
              <w:rPr>
                <w:b/>
                <w:sz w:val="12"/>
              </w:rPr>
            </w:pPr>
            <w:r>
              <w:rPr>
                <w:b/>
                <w:color w:val="FFFFFF"/>
                <w:w w:val="105"/>
                <w:sz w:val="12"/>
              </w:rPr>
              <w:t>Subíndice</w:t>
            </w:r>
          </w:p>
        </w:tc>
        <w:tc>
          <w:tcPr>
            <w:tcW w:w="2233" w:type="dxa"/>
            <w:tcBorders>
              <w:top w:val="single" w:sz="4" w:space="0" w:color="FFFFFF"/>
            </w:tcBorders>
            <w:shd w:val="clear" w:color="auto" w:fill="808080"/>
          </w:tcPr>
          <w:p>
            <w:pPr>
              <w:pStyle w:val="TableParagraph"/>
              <w:spacing w:line="136" w:lineRule="exact"/>
              <w:ind w:left="368" w:right="571"/>
              <w:jc w:val="left"/>
              <w:rPr>
                <w:b/>
                <w:sz w:val="12"/>
              </w:rPr>
            </w:pPr>
            <w:r>
              <w:rPr>
                <w:b/>
                <w:color w:val="FFFFFF"/>
                <w:w w:val="105"/>
                <w:sz w:val="12"/>
              </w:rPr>
              <w:t>Indicador</w:t>
            </w:r>
          </w:p>
        </w:tc>
        <w:tc>
          <w:tcPr>
            <w:tcW w:w="1895" w:type="dxa"/>
            <w:tcBorders>
              <w:top w:val="single" w:sz="4" w:space="0" w:color="FFFFFF"/>
            </w:tcBorders>
            <w:shd w:val="clear" w:color="auto" w:fill="808080"/>
          </w:tcPr>
          <w:p>
            <w:pPr/>
          </w:p>
        </w:tc>
        <w:tc>
          <w:tcPr>
            <w:tcW w:w="890" w:type="dxa"/>
            <w:tcBorders>
              <w:top w:val="single" w:sz="4" w:space="0" w:color="FFFFFF"/>
            </w:tcBorders>
            <w:shd w:val="clear" w:color="auto" w:fill="808080"/>
          </w:tcPr>
          <w:p>
            <w:pPr>
              <w:pStyle w:val="TableParagraph"/>
              <w:spacing w:line="136" w:lineRule="exact"/>
              <w:ind w:left="260"/>
              <w:jc w:val="left"/>
              <w:rPr>
                <w:b/>
                <w:sz w:val="12"/>
              </w:rPr>
            </w:pPr>
            <w:r>
              <w:rPr>
                <w:b/>
                <w:color w:val="FFFFFF"/>
                <w:w w:val="105"/>
                <w:sz w:val="12"/>
              </w:rPr>
              <w:t>Valores</w:t>
            </w:r>
          </w:p>
        </w:tc>
        <w:tc>
          <w:tcPr>
            <w:tcW w:w="683" w:type="dxa"/>
            <w:tcBorders>
              <w:top w:val="single" w:sz="4" w:space="0" w:color="FFFFFF"/>
            </w:tcBorders>
            <w:shd w:val="clear" w:color="auto" w:fill="808080"/>
          </w:tcPr>
          <w:p>
            <w:pPr/>
          </w:p>
        </w:tc>
        <w:tc>
          <w:tcPr>
            <w:tcW w:w="681" w:type="dxa"/>
            <w:tcBorders>
              <w:top w:val="single" w:sz="4" w:space="0" w:color="FFFFFF"/>
              <w:right w:val="single" w:sz="8" w:space="0" w:color="000000"/>
            </w:tcBorders>
            <w:shd w:val="clear" w:color="auto" w:fill="808080"/>
          </w:tcPr>
          <w:p>
            <w:pPr/>
          </w:p>
        </w:tc>
      </w:tr>
      <w:tr>
        <w:trPr>
          <w:trHeight w:val="194" w:hRule="exact"/>
        </w:trPr>
        <w:tc>
          <w:tcPr>
            <w:tcW w:w="618" w:type="dxa"/>
            <w:vMerge w:val="restart"/>
            <w:tcBorders>
              <w:left w:val="single" w:sz="4" w:space="0" w:color="000000"/>
            </w:tcBorders>
          </w:tcPr>
          <w:p>
            <w:pPr/>
          </w:p>
        </w:tc>
        <w:tc>
          <w:tcPr>
            <w:tcW w:w="1822" w:type="dxa"/>
            <w:vMerge w:val="restart"/>
          </w:tcPr>
          <w:p>
            <w:pPr>
              <w:pStyle w:val="TableParagraph"/>
              <w:jc w:val="left"/>
              <w:rPr>
                <w:sz w:val="17"/>
              </w:rPr>
            </w:pPr>
          </w:p>
          <w:p>
            <w:pPr>
              <w:pStyle w:val="TableParagraph"/>
              <w:ind w:left="90"/>
              <w:jc w:val="left"/>
              <w:rPr>
                <w:rFonts w:ascii="Calibri" w:hAnsi="Calibri"/>
                <w:sz w:val="12"/>
              </w:rPr>
            </w:pPr>
            <w:r>
              <w:rPr>
                <w:rFonts w:ascii="Calibri" w:hAnsi="Calibri"/>
                <w:w w:val="105"/>
                <w:sz w:val="12"/>
              </w:rPr>
              <w:t>Situación de la vivienda</w:t>
            </w:r>
          </w:p>
        </w:tc>
        <w:tc>
          <w:tcPr>
            <w:tcW w:w="2233" w:type="dxa"/>
            <w:vMerge w:val="restart"/>
          </w:tcPr>
          <w:p>
            <w:pPr>
              <w:pStyle w:val="TableParagraph"/>
              <w:jc w:val="left"/>
              <w:rPr>
                <w:sz w:val="17"/>
              </w:rPr>
            </w:pPr>
          </w:p>
          <w:p>
            <w:pPr>
              <w:pStyle w:val="TableParagraph"/>
              <w:ind w:left="368" w:right="571"/>
              <w:jc w:val="left"/>
              <w:rPr>
                <w:rFonts w:ascii="Calibri"/>
                <w:sz w:val="12"/>
              </w:rPr>
            </w:pPr>
            <w:r>
              <w:rPr>
                <w:rFonts w:ascii="Calibri"/>
                <w:w w:val="105"/>
                <w:sz w:val="12"/>
              </w:rPr>
              <w:t>Precio</w:t>
            </w:r>
          </w:p>
        </w:tc>
        <w:tc>
          <w:tcPr>
            <w:tcW w:w="1895" w:type="dxa"/>
            <w:vMerge w:val="restart"/>
          </w:tcPr>
          <w:p>
            <w:pPr>
              <w:pStyle w:val="TableParagraph"/>
              <w:spacing w:before="40"/>
              <w:ind w:left="1001" w:right="188"/>
              <w:rPr>
                <w:b/>
                <w:sz w:val="12"/>
              </w:rPr>
            </w:pPr>
            <w:r>
              <w:rPr>
                <w:b/>
                <w:w w:val="105"/>
                <w:sz w:val="12"/>
              </w:rPr>
              <w:t>Evaluación</w:t>
            </w:r>
          </w:p>
          <w:p>
            <w:pPr>
              <w:pStyle w:val="TableParagraph"/>
              <w:spacing w:before="18"/>
              <w:ind w:right="502"/>
              <w:jc w:val="right"/>
              <w:rPr>
                <w:rFonts w:ascii="Calibri"/>
                <w:sz w:val="12"/>
              </w:rPr>
            </w:pPr>
            <w:r>
              <w:rPr>
                <w:rFonts w:ascii="Calibri"/>
                <w:w w:val="104"/>
                <w:sz w:val="12"/>
              </w:rPr>
              <w:t>1</w:t>
            </w:r>
          </w:p>
          <w:p>
            <w:pPr>
              <w:pStyle w:val="TableParagraph"/>
              <w:spacing w:before="11"/>
              <w:ind w:left="997" w:right="188"/>
              <w:rPr>
                <w:rFonts w:ascii="Calibri"/>
                <w:sz w:val="12"/>
              </w:rPr>
            </w:pPr>
            <w:r>
              <w:rPr>
                <w:rFonts w:ascii="Calibri"/>
                <w:w w:val="105"/>
                <w:sz w:val="12"/>
              </w:rPr>
              <w:t>Subtotal</w:t>
            </w:r>
          </w:p>
        </w:tc>
        <w:tc>
          <w:tcPr>
            <w:tcW w:w="890" w:type="dxa"/>
            <w:vMerge w:val="restart"/>
          </w:tcPr>
          <w:p>
            <w:pPr>
              <w:pStyle w:val="TableParagraph"/>
              <w:tabs>
                <w:tab w:pos="900" w:val="left" w:leader="none"/>
              </w:tabs>
              <w:spacing w:before="40"/>
              <w:ind w:left="208" w:right="-11"/>
              <w:jc w:val="left"/>
              <w:rPr>
                <w:b/>
                <w:sz w:val="12"/>
              </w:rPr>
            </w:pPr>
            <w:r>
              <w:rPr>
                <w:b/>
                <w:w w:val="104"/>
                <w:sz w:val="12"/>
                <w:shd w:fill="F79646" w:color="auto" w:val="clear"/>
              </w:rPr>
              <w:t> </w:t>
            </w:r>
            <w:r>
              <w:rPr>
                <w:b/>
                <w:sz w:val="12"/>
                <w:shd w:fill="F79646" w:color="auto" w:val="clear"/>
              </w:rPr>
              <w:t>    </w:t>
            </w:r>
            <w:r>
              <w:rPr>
                <w:b/>
                <w:spacing w:val="8"/>
                <w:sz w:val="12"/>
                <w:shd w:fill="F79646" w:color="auto" w:val="clear"/>
              </w:rPr>
              <w:t> </w:t>
            </w:r>
            <w:r>
              <w:rPr>
                <w:b/>
                <w:w w:val="105"/>
                <w:sz w:val="12"/>
                <w:shd w:fill="F79646" w:color="auto" w:val="clear"/>
              </w:rPr>
              <w:t>Real</w:t>
            </w:r>
            <w:r>
              <w:rPr>
                <w:b/>
                <w:sz w:val="12"/>
                <w:shd w:fill="F79646" w:color="auto" w:val="clear"/>
              </w:rPr>
              <w:tab/>
            </w:r>
          </w:p>
          <w:p>
            <w:pPr>
              <w:pStyle w:val="TableParagraph"/>
              <w:spacing w:before="3"/>
              <w:jc w:val="left"/>
              <w:rPr>
                <w:sz w:val="15"/>
              </w:rPr>
            </w:pPr>
          </w:p>
          <w:p>
            <w:pPr>
              <w:pStyle w:val="TableParagraph"/>
              <w:tabs>
                <w:tab w:pos="522" w:val="left" w:leader="none"/>
                <w:tab w:pos="900" w:val="left" w:leader="none"/>
              </w:tabs>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1</w:t>
            </w:r>
            <w:r>
              <w:rPr>
                <w:rFonts w:ascii="Calibri"/>
                <w:sz w:val="12"/>
                <w:shd w:fill="F79646" w:color="auto" w:val="clear"/>
              </w:rPr>
              <w:tab/>
            </w:r>
          </w:p>
        </w:tc>
        <w:tc>
          <w:tcPr>
            <w:tcW w:w="683" w:type="dxa"/>
            <w:tcBorders>
              <w:right w:val="single" w:sz="4" w:space="0" w:color="FFFFFF"/>
            </w:tcBorders>
            <w:shd w:val="clear" w:color="auto" w:fill="FFFF00"/>
          </w:tcPr>
          <w:p>
            <w:pPr>
              <w:pStyle w:val="TableParagraph"/>
              <w:spacing w:before="40"/>
              <w:ind w:left="53" w:right="31"/>
              <w:rPr>
                <w:b/>
                <w:sz w:val="12"/>
              </w:rPr>
            </w:pPr>
            <w:r>
              <w:rPr>
                <w:b/>
                <w:w w:val="105"/>
                <w:sz w:val="12"/>
              </w:rPr>
              <w:t>Deseable</w:t>
            </w:r>
          </w:p>
        </w:tc>
        <w:tc>
          <w:tcPr>
            <w:tcW w:w="681" w:type="dxa"/>
            <w:tcBorders>
              <w:left w:val="single" w:sz="4" w:space="0" w:color="FFFFFF"/>
              <w:right w:val="single" w:sz="8" w:space="0" w:color="000000"/>
            </w:tcBorders>
            <w:shd w:val="clear" w:color="auto" w:fill="67ED4D"/>
          </w:tcPr>
          <w:p>
            <w:pPr>
              <w:pStyle w:val="TableParagraph"/>
              <w:spacing w:before="40"/>
              <w:ind w:left="99" w:right="85"/>
              <w:rPr>
                <w:b/>
                <w:sz w:val="12"/>
              </w:rPr>
            </w:pPr>
            <w:r>
              <w:rPr>
                <w:b/>
                <w:w w:val="105"/>
                <w:sz w:val="12"/>
              </w:rPr>
              <w:t>Óptimo</w:t>
            </w:r>
          </w:p>
        </w:tc>
      </w:tr>
      <w:tr>
        <w:trPr>
          <w:trHeight w:val="160" w:hRule="exact"/>
        </w:trPr>
        <w:tc>
          <w:tcPr>
            <w:tcW w:w="618" w:type="dxa"/>
            <w:vMerge/>
            <w:tcBorders>
              <w:left w:val="single" w:sz="4" w:space="0" w:color="000000"/>
            </w:tcBorders>
          </w:tcPr>
          <w:p>
            <w:pPr/>
          </w:p>
        </w:tc>
        <w:tc>
          <w:tcPr>
            <w:tcW w:w="1822" w:type="dxa"/>
            <w:vMerge/>
          </w:tcPr>
          <w:p>
            <w:pPr/>
          </w:p>
        </w:tc>
        <w:tc>
          <w:tcPr>
            <w:tcW w:w="2233" w:type="dxa"/>
            <w:vMerge/>
          </w:tcPr>
          <w:p>
            <w:pPr/>
          </w:p>
        </w:tc>
        <w:tc>
          <w:tcPr>
            <w:tcW w:w="1895" w:type="dxa"/>
            <w:vMerge/>
          </w:tcPr>
          <w:p>
            <w:pPr/>
          </w:p>
        </w:tc>
        <w:tc>
          <w:tcPr>
            <w:tcW w:w="890" w:type="dxa"/>
            <w:vMerge/>
          </w:tcPr>
          <w:p>
            <w:pPr/>
          </w:p>
        </w:tc>
        <w:tc>
          <w:tcPr>
            <w:tcW w:w="683" w:type="dxa"/>
            <w:tcBorders>
              <w:right w:val="single" w:sz="4" w:space="0" w:color="FFFFFF"/>
            </w:tcBorders>
            <w:shd w:val="clear" w:color="auto" w:fill="FFFF00"/>
          </w:tcPr>
          <w:p>
            <w:pPr>
              <w:pStyle w:val="TableParagraph"/>
              <w:spacing w:before="1"/>
              <w:ind w:left="37" w:right="31"/>
              <w:rPr>
                <w:rFonts w:ascii="Calibri"/>
                <w:sz w:val="12"/>
              </w:rPr>
            </w:pPr>
            <w:r>
              <w:rPr>
                <w:rFonts w:ascii="Calibri"/>
                <w:w w:val="105"/>
                <w:sz w:val="12"/>
              </w:rPr>
              <w:t>0.5</w:t>
            </w:r>
          </w:p>
        </w:tc>
        <w:tc>
          <w:tcPr>
            <w:tcW w:w="681" w:type="dxa"/>
            <w:tcBorders>
              <w:left w:val="single" w:sz="4" w:space="0" w:color="FFFFFF"/>
              <w:right w:val="single" w:sz="8" w:space="0" w:color="000000"/>
            </w:tcBorders>
            <w:shd w:val="clear" w:color="auto" w:fill="67ED4D"/>
          </w:tcPr>
          <w:p>
            <w:pPr>
              <w:pStyle w:val="TableParagraph"/>
              <w:spacing w:before="1"/>
              <w:ind w:left="15"/>
              <w:rPr>
                <w:rFonts w:ascii="Calibri"/>
                <w:sz w:val="12"/>
              </w:rPr>
            </w:pPr>
            <w:r>
              <w:rPr>
                <w:rFonts w:ascii="Calibri"/>
                <w:w w:val="104"/>
                <w:sz w:val="12"/>
              </w:rPr>
              <w:t>1</w:t>
            </w:r>
          </w:p>
        </w:tc>
      </w:tr>
      <w:tr>
        <w:trPr>
          <w:trHeight w:val="161" w:hRule="exact"/>
        </w:trPr>
        <w:tc>
          <w:tcPr>
            <w:tcW w:w="618" w:type="dxa"/>
            <w:vMerge/>
            <w:tcBorders>
              <w:left w:val="single" w:sz="4" w:space="0" w:color="000000"/>
            </w:tcBorders>
          </w:tcPr>
          <w:p>
            <w:pPr/>
          </w:p>
        </w:tc>
        <w:tc>
          <w:tcPr>
            <w:tcW w:w="1822" w:type="dxa"/>
            <w:vMerge/>
          </w:tcPr>
          <w:p>
            <w:pPr/>
          </w:p>
        </w:tc>
        <w:tc>
          <w:tcPr>
            <w:tcW w:w="2233" w:type="dxa"/>
            <w:vMerge/>
          </w:tcPr>
          <w:p>
            <w:pPr/>
          </w:p>
        </w:tc>
        <w:tc>
          <w:tcPr>
            <w:tcW w:w="1895" w:type="dxa"/>
            <w:vMerge/>
          </w:tcPr>
          <w:p>
            <w:pPr/>
          </w:p>
        </w:tc>
        <w:tc>
          <w:tcPr>
            <w:tcW w:w="890" w:type="dxa"/>
            <w:vMerge/>
          </w:tcPr>
          <w:p>
            <w:pPr/>
          </w:p>
        </w:tc>
        <w:tc>
          <w:tcPr>
            <w:tcW w:w="683" w:type="dxa"/>
            <w:tcBorders>
              <w:right w:val="single" w:sz="4" w:space="0" w:color="FFFFFF"/>
            </w:tcBorders>
            <w:shd w:val="clear" w:color="auto" w:fill="FFFF00"/>
          </w:tcPr>
          <w:p>
            <w:pPr>
              <w:pStyle w:val="TableParagraph"/>
              <w:ind w:left="37" w:right="31"/>
              <w:rPr>
                <w:rFonts w:ascii="Calibri"/>
                <w:sz w:val="12"/>
              </w:rPr>
            </w:pPr>
            <w:r>
              <w:rPr>
                <w:rFonts w:ascii="Calibri"/>
                <w:w w:val="105"/>
                <w:sz w:val="12"/>
              </w:rPr>
              <w:t>0.5</w:t>
            </w:r>
          </w:p>
        </w:tc>
        <w:tc>
          <w:tcPr>
            <w:tcW w:w="681" w:type="dxa"/>
            <w:tcBorders>
              <w:left w:val="single" w:sz="4" w:space="0" w:color="FFFFFF"/>
              <w:right w:val="single" w:sz="8" w:space="0" w:color="000000"/>
            </w:tcBorders>
            <w:shd w:val="clear" w:color="auto" w:fill="67ED4D"/>
          </w:tcPr>
          <w:p>
            <w:pPr>
              <w:pStyle w:val="TableParagraph"/>
              <w:ind w:left="15"/>
              <w:rPr>
                <w:rFonts w:ascii="Calibri"/>
                <w:sz w:val="12"/>
              </w:rPr>
            </w:pPr>
            <w:r>
              <w:rPr>
                <w:rFonts w:ascii="Calibri"/>
                <w:w w:val="104"/>
                <w:sz w:val="12"/>
              </w:rPr>
              <w:t>1</w:t>
            </w:r>
          </w:p>
        </w:tc>
      </w:tr>
      <w:tr>
        <w:trPr>
          <w:trHeight w:val="147" w:hRule="exact"/>
        </w:trPr>
        <w:tc>
          <w:tcPr>
            <w:tcW w:w="8822" w:type="dxa"/>
            <w:gridSpan w:val="7"/>
            <w:tcBorders>
              <w:left w:val="single" w:sz="4" w:space="0" w:color="000000"/>
              <w:right w:val="single" w:sz="8" w:space="0" w:color="000000"/>
            </w:tcBorders>
          </w:tcPr>
          <w:p>
            <w:pPr/>
          </w:p>
        </w:tc>
      </w:tr>
      <w:tr>
        <w:trPr>
          <w:trHeight w:val="163" w:hRule="exact"/>
        </w:trPr>
        <w:tc>
          <w:tcPr>
            <w:tcW w:w="618" w:type="dxa"/>
            <w:tcBorders>
              <w:left w:val="single" w:sz="4" w:space="0" w:color="000000"/>
            </w:tcBorders>
          </w:tcPr>
          <w:p>
            <w:pPr/>
          </w:p>
        </w:tc>
        <w:tc>
          <w:tcPr>
            <w:tcW w:w="1822" w:type="dxa"/>
          </w:tcPr>
          <w:p>
            <w:pPr>
              <w:pStyle w:val="TableParagraph"/>
              <w:spacing w:before="6"/>
              <w:ind w:left="90"/>
              <w:jc w:val="left"/>
              <w:rPr>
                <w:rFonts w:ascii="Calibri"/>
                <w:sz w:val="12"/>
              </w:rPr>
            </w:pPr>
            <w:r>
              <w:rPr>
                <w:rFonts w:ascii="Calibri"/>
                <w:w w:val="105"/>
                <w:sz w:val="12"/>
              </w:rPr>
              <w:t>INEX</w:t>
            </w:r>
          </w:p>
        </w:tc>
        <w:tc>
          <w:tcPr>
            <w:tcW w:w="2233" w:type="dxa"/>
          </w:tcPr>
          <w:p>
            <w:pPr>
              <w:pStyle w:val="TableParagraph"/>
              <w:spacing w:before="6"/>
              <w:ind w:left="368" w:right="571"/>
              <w:jc w:val="left"/>
              <w:rPr>
                <w:rFonts w:ascii="Calibri"/>
                <w:sz w:val="12"/>
              </w:rPr>
            </w:pPr>
            <w:r>
              <w:rPr>
                <w:rFonts w:ascii="Calibri"/>
                <w:w w:val="105"/>
                <w:sz w:val="12"/>
              </w:rPr>
              <w:t>Infonavit</w:t>
            </w:r>
          </w:p>
        </w:tc>
        <w:tc>
          <w:tcPr>
            <w:tcW w:w="1895" w:type="dxa"/>
          </w:tcPr>
          <w:p>
            <w:pPr>
              <w:pStyle w:val="TableParagraph"/>
              <w:tabs>
                <w:tab w:pos="1325" w:val="left" w:leader="none"/>
                <w:tab w:pos="2113" w:val="left" w:leader="none"/>
              </w:tabs>
              <w:spacing w:before="6"/>
              <w:ind w:left="591" w:right="-219"/>
              <w:rPr>
                <w:rFonts w:ascii="Calibri"/>
                <w:sz w:val="12"/>
              </w:rPr>
            </w:pPr>
            <w:r>
              <w:rPr>
                <w:rFonts w:ascii="Times New Roman"/>
                <w:w w:val="104"/>
                <w:sz w:val="12"/>
                <w:shd w:fill="BAF9F5" w:color="auto" w:val="clear"/>
              </w:rPr>
              <w:t> </w:t>
            </w:r>
            <w:r>
              <w:rPr>
                <w:rFonts w:ascii="Times New Roman"/>
                <w:sz w:val="12"/>
                <w:shd w:fill="BAF9F5" w:color="auto" w:val="clear"/>
              </w:rPr>
              <w:tab/>
            </w:r>
            <w:r>
              <w:rPr>
                <w:rFonts w:ascii="Calibri"/>
                <w:w w:val="105"/>
                <w:sz w:val="12"/>
                <w:shd w:fill="BAF9F5" w:color="auto" w:val="clear"/>
              </w:rPr>
              <w:t>0</w:t>
            </w:r>
            <w:r>
              <w:rPr>
                <w:rFonts w:ascii="Calibri"/>
                <w:sz w:val="12"/>
                <w:shd w:fill="BAF9F5" w:color="auto" w:val="clear"/>
              </w:rPr>
              <w:tab/>
            </w:r>
          </w:p>
        </w:tc>
        <w:tc>
          <w:tcPr>
            <w:tcW w:w="890" w:type="dxa"/>
          </w:tcPr>
          <w:p>
            <w:pPr/>
          </w:p>
        </w:tc>
        <w:tc>
          <w:tcPr>
            <w:tcW w:w="683" w:type="dxa"/>
          </w:tcPr>
          <w:p>
            <w:pPr>
              <w:pStyle w:val="TableParagraph"/>
              <w:spacing w:before="6"/>
              <w:ind w:left="242" w:right="241"/>
              <w:rPr>
                <w:rFonts w:ascii="Calibri"/>
                <w:sz w:val="12"/>
              </w:rPr>
            </w:pPr>
            <w:r>
              <w:rPr>
                <w:rFonts w:ascii="Calibri"/>
                <w:w w:val="105"/>
                <w:sz w:val="12"/>
              </w:rPr>
              <w:t>0.7</w:t>
            </w:r>
          </w:p>
        </w:tc>
        <w:tc>
          <w:tcPr>
            <w:tcW w:w="681" w:type="dxa"/>
            <w:tcBorders>
              <w:right w:val="single" w:sz="8" w:space="0" w:color="000000"/>
            </w:tcBorders>
            <w:shd w:val="clear" w:color="auto" w:fill="67ED4D"/>
          </w:tcPr>
          <w:p>
            <w:pPr>
              <w:pStyle w:val="TableParagraph"/>
              <w:spacing w:before="6"/>
              <w:ind w:left="20"/>
              <w:rPr>
                <w:rFonts w:ascii="Calibri"/>
                <w:sz w:val="12"/>
              </w:rPr>
            </w:pPr>
            <w:r>
              <w:rPr>
                <w:rFonts w:ascii="Calibri"/>
                <w:w w:val="104"/>
                <w:sz w:val="12"/>
              </w:rPr>
              <w:t>1</w:t>
            </w:r>
          </w:p>
        </w:tc>
      </w:tr>
      <w:tr>
        <w:trPr>
          <w:trHeight w:val="163" w:hRule="exact"/>
        </w:trPr>
        <w:tc>
          <w:tcPr>
            <w:tcW w:w="618" w:type="dxa"/>
            <w:tcBorders>
              <w:left w:val="single" w:sz="4" w:space="0" w:color="000000"/>
            </w:tcBorders>
          </w:tcPr>
          <w:p>
            <w:pPr/>
          </w:p>
        </w:tc>
        <w:tc>
          <w:tcPr>
            <w:tcW w:w="1822" w:type="dxa"/>
          </w:tcPr>
          <w:p>
            <w:pPr/>
          </w:p>
        </w:tc>
        <w:tc>
          <w:tcPr>
            <w:tcW w:w="2233" w:type="dxa"/>
          </w:tcPr>
          <w:p>
            <w:pPr/>
          </w:p>
        </w:tc>
        <w:tc>
          <w:tcPr>
            <w:tcW w:w="1895" w:type="dxa"/>
          </w:tcPr>
          <w:p>
            <w:pPr>
              <w:pStyle w:val="TableParagraph"/>
              <w:spacing w:before="1"/>
              <w:ind w:left="997" w:right="188"/>
              <w:rPr>
                <w:rFonts w:ascii="Calibri"/>
                <w:sz w:val="12"/>
              </w:rPr>
            </w:pPr>
            <w:r>
              <w:rPr>
                <w:rFonts w:ascii="Calibri"/>
                <w:w w:val="105"/>
                <w:sz w:val="12"/>
              </w:rPr>
              <w:t>Subtotal</w:t>
            </w:r>
          </w:p>
        </w:tc>
        <w:tc>
          <w:tcPr>
            <w:tcW w:w="890" w:type="dxa"/>
          </w:tcPr>
          <w:p>
            <w:pPr>
              <w:pStyle w:val="TableParagraph"/>
              <w:tabs>
                <w:tab w:pos="522" w:val="left" w:leader="none"/>
                <w:tab w:pos="900" w:val="left" w:leader="none"/>
              </w:tabs>
              <w:spacing w:before="1"/>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0</w:t>
            </w:r>
            <w:r>
              <w:rPr>
                <w:rFonts w:ascii="Calibri"/>
                <w:sz w:val="12"/>
                <w:shd w:fill="F79646" w:color="auto" w:val="clear"/>
              </w:rPr>
              <w:tab/>
            </w:r>
          </w:p>
        </w:tc>
        <w:tc>
          <w:tcPr>
            <w:tcW w:w="683" w:type="dxa"/>
          </w:tcPr>
          <w:p>
            <w:pPr>
              <w:pStyle w:val="TableParagraph"/>
              <w:spacing w:before="1"/>
              <w:ind w:left="242" w:right="241"/>
              <w:rPr>
                <w:rFonts w:ascii="Calibri"/>
                <w:sz w:val="12"/>
              </w:rPr>
            </w:pPr>
            <w:r>
              <w:rPr>
                <w:rFonts w:ascii="Calibri"/>
                <w:w w:val="105"/>
                <w:sz w:val="12"/>
              </w:rPr>
              <w:t>0.7</w:t>
            </w:r>
          </w:p>
        </w:tc>
        <w:tc>
          <w:tcPr>
            <w:tcW w:w="681" w:type="dxa"/>
            <w:tcBorders>
              <w:right w:val="single" w:sz="8" w:space="0" w:color="000000"/>
            </w:tcBorders>
            <w:shd w:val="clear" w:color="auto" w:fill="67ED4D"/>
          </w:tcPr>
          <w:p>
            <w:pPr>
              <w:pStyle w:val="TableParagraph"/>
              <w:spacing w:before="1"/>
              <w:ind w:left="20"/>
              <w:rPr>
                <w:rFonts w:ascii="Calibri"/>
                <w:sz w:val="12"/>
              </w:rPr>
            </w:pPr>
            <w:r>
              <w:rPr>
                <w:rFonts w:ascii="Calibri"/>
                <w:w w:val="104"/>
                <w:sz w:val="12"/>
              </w:rPr>
              <w:t>1</w:t>
            </w:r>
          </w:p>
        </w:tc>
      </w:tr>
      <w:tr>
        <w:trPr>
          <w:trHeight w:val="147" w:hRule="exact"/>
        </w:trPr>
        <w:tc>
          <w:tcPr>
            <w:tcW w:w="8822" w:type="dxa"/>
            <w:gridSpan w:val="7"/>
            <w:tcBorders>
              <w:left w:val="single" w:sz="4" w:space="0" w:color="000000"/>
              <w:right w:val="single" w:sz="8" w:space="0" w:color="000000"/>
            </w:tcBorders>
          </w:tcPr>
          <w:p>
            <w:pPr/>
          </w:p>
        </w:tc>
      </w:tr>
      <w:tr>
        <w:trPr>
          <w:trHeight w:val="164" w:hRule="exact"/>
        </w:trPr>
        <w:tc>
          <w:tcPr>
            <w:tcW w:w="618" w:type="dxa"/>
            <w:vMerge w:val="restart"/>
            <w:tcBorders>
              <w:left w:val="single" w:sz="4" w:space="0" w:color="000000"/>
            </w:tcBorders>
          </w:tcPr>
          <w:p>
            <w:pPr/>
          </w:p>
        </w:tc>
        <w:tc>
          <w:tcPr>
            <w:tcW w:w="1822" w:type="dxa"/>
            <w:vMerge w:val="restart"/>
          </w:tcPr>
          <w:p>
            <w:pPr>
              <w:pStyle w:val="TableParagraph"/>
              <w:spacing w:before="3"/>
              <w:jc w:val="left"/>
              <w:rPr>
                <w:sz w:val="14"/>
              </w:rPr>
            </w:pPr>
          </w:p>
          <w:p>
            <w:pPr>
              <w:pStyle w:val="TableParagraph"/>
              <w:ind w:left="90"/>
              <w:jc w:val="left"/>
              <w:rPr>
                <w:rFonts w:ascii="Calibri" w:hAnsi="Calibri"/>
                <w:sz w:val="12"/>
              </w:rPr>
            </w:pPr>
            <w:r>
              <w:rPr>
                <w:rFonts w:ascii="Calibri" w:hAnsi="Calibri"/>
                <w:w w:val="105"/>
                <w:sz w:val="12"/>
              </w:rPr>
              <w:t>Ingresos por autorización</w:t>
            </w:r>
          </w:p>
        </w:tc>
        <w:tc>
          <w:tcPr>
            <w:tcW w:w="2233" w:type="dxa"/>
            <w:vMerge w:val="restart"/>
          </w:tcPr>
          <w:p>
            <w:pPr>
              <w:pStyle w:val="TableParagraph"/>
              <w:spacing w:line="259" w:lineRule="auto" w:before="6"/>
              <w:ind w:left="368" w:right="571"/>
              <w:jc w:val="left"/>
              <w:rPr>
                <w:rFonts w:ascii="Calibri"/>
                <w:sz w:val="12"/>
              </w:rPr>
            </w:pPr>
            <w:r>
              <w:rPr>
                <w:rFonts w:ascii="Calibri"/>
                <w:w w:val="105"/>
                <w:sz w:val="12"/>
              </w:rPr>
              <w:t>Ingresos al Estado Ingresos al Municipio Ingresos al Desarrollador</w:t>
            </w:r>
          </w:p>
        </w:tc>
        <w:tc>
          <w:tcPr>
            <w:tcW w:w="1895" w:type="dxa"/>
            <w:vMerge w:val="restart"/>
          </w:tcPr>
          <w:p>
            <w:pPr>
              <w:pStyle w:val="TableParagraph"/>
              <w:spacing w:before="6"/>
              <w:ind w:right="502"/>
              <w:jc w:val="right"/>
              <w:rPr>
                <w:rFonts w:ascii="Calibri"/>
                <w:sz w:val="12"/>
              </w:rPr>
            </w:pPr>
            <w:r>
              <w:rPr>
                <w:rFonts w:ascii="Calibri"/>
                <w:w w:val="104"/>
                <w:sz w:val="12"/>
              </w:rPr>
              <w:t>1</w:t>
            </w:r>
          </w:p>
          <w:p>
            <w:pPr>
              <w:pStyle w:val="TableParagraph"/>
              <w:spacing w:before="11"/>
              <w:ind w:right="459"/>
              <w:jc w:val="right"/>
              <w:rPr>
                <w:rFonts w:ascii="Calibri"/>
                <w:sz w:val="12"/>
              </w:rPr>
            </w:pPr>
            <w:r>
              <w:rPr>
                <w:rFonts w:ascii="Calibri"/>
                <w:w w:val="105"/>
                <w:sz w:val="12"/>
              </w:rPr>
              <w:t>0.9</w:t>
            </w:r>
          </w:p>
          <w:p>
            <w:pPr>
              <w:pStyle w:val="TableParagraph"/>
              <w:spacing w:before="11"/>
              <w:ind w:right="459"/>
              <w:jc w:val="right"/>
              <w:rPr>
                <w:rFonts w:ascii="Calibri"/>
                <w:sz w:val="12"/>
              </w:rPr>
            </w:pPr>
            <w:r>
              <w:rPr>
                <w:rFonts w:ascii="Calibri"/>
                <w:w w:val="105"/>
                <w:sz w:val="12"/>
              </w:rPr>
              <w:t>0.6</w:t>
            </w:r>
          </w:p>
          <w:p>
            <w:pPr>
              <w:pStyle w:val="TableParagraph"/>
              <w:spacing w:before="11"/>
              <w:ind w:left="997" w:right="188"/>
              <w:rPr>
                <w:rFonts w:ascii="Calibri"/>
                <w:sz w:val="12"/>
              </w:rPr>
            </w:pPr>
            <w:r>
              <w:rPr>
                <w:rFonts w:ascii="Calibri"/>
                <w:w w:val="105"/>
                <w:sz w:val="12"/>
              </w:rPr>
              <w:t>Subtotal</w:t>
            </w:r>
          </w:p>
        </w:tc>
        <w:tc>
          <w:tcPr>
            <w:tcW w:w="890" w:type="dxa"/>
            <w:vMerge w:val="restart"/>
          </w:tcPr>
          <w:p>
            <w:pPr>
              <w:pStyle w:val="TableParagraph"/>
              <w:jc w:val="left"/>
              <w:rPr>
                <w:sz w:val="12"/>
              </w:rPr>
            </w:pPr>
          </w:p>
          <w:p>
            <w:pPr>
              <w:pStyle w:val="TableParagraph"/>
              <w:jc w:val="left"/>
              <w:rPr>
                <w:sz w:val="12"/>
              </w:rPr>
            </w:pPr>
          </w:p>
          <w:p>
            <w:pPr>
              <w:pStyle w:val="TableParagraph"/>
              <w:spacing w:before="8"/>
              <w:jc w:val="left"/>
              <w:rPr>
                <w:sz w:val="17"/>
              </w:rPr>
            </w:pPr>
          </w:p>
          <w:p>
            <w:pPr>
              <w:pStyle w:val="TableParagraph"/>
              <w:tabs>
                <w:tab w:pos="470" w:val="left" w:leader="none"/>
                <w:tab w:pos="900" w:val="left" w:leader="none"/>
              </w:tabs>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2.5</w:t>
            </w:r>
            <w:r>
              <w:rPr>
                <w:rFonts w:ascii="Calibri"/>
                <w:sz w:val="12"/>
                <w:shd w:fill="F79646" w:color="auto" w:val="clear"/>
              </w:rPr>
              <w:tab/>
            </w:r>
          </w:p>
        </w:tc>
        <w:tc>
          <w:tcPr>
            <w:tcW w:w="683" w:type="dxa"/>
            <w:vMerge w:val="restart"/>
          </w:tcPr>
          <w:p>
            <w:pPr>
              <w:pStyle w:val="TableParagraph"/>
              <w:spacing w:before="6"/>
              <w:ind w:left="242" w:right="241"/>
              <w:rPr>
                <w:rFonts w:ascii="Calibri"/>
                <w:sz w:val="12"/>
              </w:rPr>
            </w:pPr>
            <w:r>
              <w:rPr>
                <w:rFonts w:ascii="Calibri"/>
                <w:w w:val="105"/>
                <w:sz w:val="12"/>
              </w:rPr>
              <w:t>0.9</w:t>
            </w:r>
          </w:p>
          <w:p>
            <w:pPr>
              <w:pStyle w:val="TableParagraph"/>
              <w:spacing w:before="11"/>
              <w:ind w:left="242" w:right="241"/>
              <w:rPr>
                <w:rFonts w:ascii="Calibri"/>
                <w:sz w:val="12"/>
              </w:rPr>
            </w:pPr>
            <w:r>
              <w:rPr>
                <w:rFonts w:ascii="Calibri"/>
                <w:w w:val="105"/>
                <w:sz w:val="12"/>
              </w:rPr>
              <w:t>0.9</w:t>
            </w:r>
          </w:p>
          <w:p>
            <w:pPr>
              <w:pStyle w:val="TableParagraph"/>
              <w:spacing w:before="11"/>
              <w:ind w:left="10"/>
              <w:rPr>
                <w:rFonts w:ascii="Calibri"/>
                <w:sz w:val="12"/>
              </w:rPr>
            </w:pPr>
            <w:r>
              <w:rPr>
                <w:rFonts w:ascii="Calibri"/>
                <w:w w:val="104"/>
                <w:sz w:val="12"/>
              </w:rPr>
              <w:t>1</w:t>
            </w:r>
          </w:p>
          <w:p>
            <w:pPr>
              <w:pStyle w:val="TableParagraph"/>
              <w:spacing w:before="11"/>
              <w:ind w:left="242" w:right="241"/>
              <w:rPr>
                <w:rFonts w:ascii="Calibri"/>
                <w:sz w:val="12"/>
              </w:rPr>
            </w:pPr>
            <w:r>
              <w:rPr>
                <w:rFonts w:ascii="Calibri"/>
                <w:w w:val="105"/>
                <w:sz w:val="12"/>
              </w:rPr>
              <w:t>2.8</w:t>
            </w:r>
          </w:p>
        </w:tc>
        <w:tc>
          <w:tcPr>
            <w:tcW w:w="681" w:type="dxa"/>
            <w:tcBorders>
              <w:right w:val="single" w:sz="8" w:space="0" w:color="000000"/>
            </w:tcBorders>
            <w:shd w:val="clear" w:color="auto" w:fill="67ED4D"/>
          </w:tcPr>
          <w:p>
            <w:pPr>
              <w:pStyle w:val="TableParagraph"/>
              <w:spacing w:before="6"/>
              <w:ind w:left="20"/>
              <w:rPr>
                <w:rFonts w:ascii="Calibri"/>
                <w:sz w:val="12"/>
              </w:rPr>
            </w:pPr>
            <w:r>
              <w:rPr>
                <w:rFonts w:ascii="Calibri"/>
                <w:w w:val="104"/>
                <w:sz w:val="12"/>
              </w:rPr>
              <w:t>1</w:t>
            </w:r>
          </w:p>
        </w:tc>
      </w:tr>
      <w:tr>
        <w:trPr>
          <w:trHeight w:val="158" w:hRule="exact"/>
        </w:trPr>
        <w:tc>
          <w:tcPr>
            <w:tcW w:w="618" w:type="dxa"/>
            <w:vMerge/>
            <w:tcBorders>
              <w:left w:val="single" w:sz="4" w:space="0" w:color="000000"/>
            </w:tcBorders>
          </w:tcPr>
          <w:p>
            <w:pPr/>
          </w:p>
        </w:tc>
        <w:tc>
          <w:tcPr>
            <w:tcW w:w="1822" w:type="dxa"/>
            <w:vMerge/>
          </w:tcPr>
          <w:p>
            <w:pPr/>
          </w:p>
        </w:tc>
        <w:tc>
          <w:tcPr>
            <w:tcW w:w="2233" w:type="dxa"/>
            <w:vMerge/>
          </w:tcPr>
          <w:p>
            <w:pPr/>
          </w:p>
        </w:tc>
        <w:tc>
          <w:tcPr>
            <w:tcW w:w="1895" w:type="dxa"/>
            <w:vMerge/>
          </w:tcPr>
          <w:p>
            <w:pPr/>
          </w:p>
        </w:tc>
        <w:tc>
          <w:tcPr>
            <w:tcW w:w="890" w:type="dxa"/>
            <w:vMerge/>
          </w:tcPr>
          <w:p>
            <w:pPr/>
          </w:p>
        </w:tc>
        <w:tc>
          <w:tcPr>
            <w:tcW w:w="683" w:type="dxa"/>
            <w:vMerge/>
          </w:tcPr>
          <w:p>
            <w:pPr/>
          </w:p>
        </w:tc>
        <w:tc>
          <w:tcPr>
            <w:tcW w:w="681" w:type="dxa"/>
            <w:tcBorders>
              <w:right w:val="single" w:sz="8" w:space="0" w:color="000000"/>
            </w:tcBorders>
            <w:shd w:val="clear" w:color="auto" w:fill="67ED4D"/>
          </w:tcPr>
          <w:p>
            <w:pPr>
              <w:pStyle w:val="TableParagraph"/>
              <w:ind w:left="20"/>
              <w:rPr>
                <w:rFonts w:ascii="Calibri"/>
                <w:sz w:val="12"/>
              </w:rPr>
            </w:pPr>
            <w:r>
              <w:rPr>
                <w:rFonts w:ascii="Calibri"/>
                <w:w w:val="104"/>
                <w:sz w:val="12"/>
              </w:rPr>
              <w:t>1</w:t>
            </w:r>
          </w:p>
        </w:tc>
      </w:tr>
      <w:tr>
        <w:trPr>
          <w:trHeight w:val="158" w:hRule="exact"/>
        </w:trPr>
        <w:tc>
          <w:tcPr>
            <w:tcW w:w="618" w:type="dxa"/>
            <w:vMerge/>
            <w:tcBorders>
              <w:left w:val="single" w:sz="4" w:space="0" w:color="000000"/>
            </w:tcBorders>
          </w:tcPr>
          <w:p>
            <w:pPr/>
          </w:p>
        </w:tc>
        <w:tc>
          <w:tcPr>
            <w:tcW w:w="1822" w:type="dxa"/>
            <w:vMerge/>
          </w:tcPr>
          <w:p>
            <w:pPr/>
          </w:p>
        </w:tc>
        <w:tc>
          <w:tcPr>
            <w:tcW w:w="2233" w:type="dxa"/>
            <w:vMerge/>
          </w:tcPr>
          <w:p>
            <w:pPr/>
          </w:p>
        </w:tc>
        <w:tc>
          <w:tcPr>
            <w:tcW w:w="1895" w:type="dxa"/>
            <w:vMerge/>
          </w:tcPr>
          <w:p>
            <w:pPr/>
          </w:p>
        </w:tc>
        <w:tc>
          <w:tcPr>
            <w:tcW w:w="890" w:type="dxa"/>
            <w:vMerge/>
          </w:tcPr>
          <w:p>
            <w:pPr/>
          </w:p>
        </w:tc>
        <w:tc>
          <w:tcPr>
            <w:tcW w:w="683" w:type="dxa"/>
            <w:vMerge/>
          </w:tcPr>
          <w:p>
            <w:pPr/>
          </w:p>
        </w:tc>
        <w:tc>
          <w:tcPr>
            <w:tcW w:w="681" w:type="dxa"/>
            <w:tcBorders>
              <w:right w:val="single" w:sz="8" w:space="0" w:color="000000"/>
            </w:tcBorders>
            <w:shd w:val="clear" w:color="auto" w:fill="67ED4D"/>
          </w:tcPr>
          <w:p>
            <w:pPr>
              <w:pStyle w:val="TableParagraph"/>
              <w:ind w:left="20"/>
              <w:rPr>
                <w:rFonts w:ascii="Calibri"/>
                <w:sz w:val="12"/>
              </w:rPr>
            </w:pPr>
            <w:r>
              <w:rPr>
                <w:rFonts w:ascii="Calibri"/>
                <w:w w:val="104"/>
                <w:sz w:val="12"/>
              </w:rPr>
              <w:t>1</w:t>
            </w:r>
          </w:p>
        </w:tc>
      </w:tr>
      <w:tr>
        <w:trPr>
          <w:trHeight w:val="161" w:hRule="exact"/>
        </w:trPr>
        <w:tc>
          <w:tcPr>
            <w:tcW w:w="618" w:type="dxa"/>
            <w:vMerge/>
            <w:tcBorders>
              <w:left w:val="single" w:sz="4" w:space="0" w:color="000000"/>
            </w:tcBorders>
          </w:tcPr>
          <w:p>
            <w:pPr/>
          </w:p>
        </w:tc>
        <w:tc>
          <w:tcPr>
            <w:tcW w:w="1822" w:type="dxa"/>
            <w:vMerge/>
          </w:tcPr>
          <w:p>
            <w:pPr/>
          </w:p>
        </w:tc>
        <w:tc>
          <w:tcPr>
            <w:tcW w:w="2233" w:type="dxa"/>
            <w:vMerge/>
          </w:tcPr>
          <w:p>
            <w:pPr/>
          </w:p>
        </w:tc>
        <w:tc>
          <w:tcPr>
            <w:tcW w:w="1895" w:type="dxa"/>
            <w:vMerge/>
          </w:tcPr>
          <w:p>
            <w:pPr/>
          </w:p>
        </w:tc>
        <w:tc>
          <w:tcPr>
            <w:tcW w:w="890" w:type="dxa"/>
            <w:vMerge/>
          </w:tcPr>
          <w:p>
            <w:pPr/>
          </w:p>
        </w:tc>
        <w:tc>
          <w:tcPr>
            <w:tcW w:w="683" w:type="dxa"/>
            <w:vMerge/>
          </w:tcPr>
          <w:p>
            <w:pPr/>
          </w:p>
        </w:tc>
        <w:tc>
          <w:tcPr>
            <w:tcW w:w="681" w:type="dxa"/>
            <w:tcBorders>
              <w:right w:val="single" w:sz="8" w:space="0" w:color="000000"/>
            </w:tcBorders>
            <w:shd w:val="clear" w:color="auto" w:fill="67ED4D"/>
          </w:tcPr>
          <w:p>
            <w:pPr>
              <w:pStyle w:val="TableParagraph"/>
              <w:ind w:left="20"/>
              <w:rPr>
                <w:rFonts w:ascii="Calibri"/>
                <w:sz w:val="12"/>
              </w:rPr>
            </w:pPr>
            <w:r>
              <w:rPr>
                <w:rFonts w:ascii="Calibri"/>
                <w:w w:val="104"/>
                <w:sz w:val="12"/>
              </w:rPr>
              <w:t>3</w:t>
            </w:r>
          </w:p>
        </w:tc>
      </w:tr>
      <w:tr>
        <w:trPr>
          <w:trHeight w:val="147" w:hRule="exact"/>
        </w:trPr>
        <w:tc>
          <w:tcPr>
            <w:tcW w:w="8822" w:type="dxa"/>
            <w:gridSpan w:val="7"/>
            <w:tcBorders>
              <w:left w:val="single" w:sz="4" w:space="0" w:color="000000"/>
              <w:right w:val="single" w:sz="8" w:space="0" w:color="000000"/>
            </w:tcBorders>
          </w:tcPr>
          <w:p>
            <w:pPr>
              <w:pStyle w:val="TableParagraph"/>
              <w:spacing w:line="143" w:lineRule="exact"/>
              <w:ind w:left="52"/>
              <w:jc w:val="left"/>
              <w:rPr>
                <w:rFonts w:ascii="Calibri" w:hAnsi="Calibri"/>
                <w:sz w:val="12"/>
              </w:rPr>
            </w:pPr>
            <w:r>
              <w:rPr>
                <w:rFonts w:ascii="Calibri" w:hAnsi="Calibri"/>
                <w:w w:val="105"/>
                <w:sz w:val="12"/>
              </w:rPr>
              <w:t>Económico</w:t>
            </w:r>
          </w:p>
        </w:tc>
      </w:tr>
      <w:tr>
        <w:trPr>
          <w:trHeight w:val="164" w:hRule="exact"/>
        </w:trPr>
        <w:tc>
          <w:tcPr>
            <w:tcW w:w="618" w:type="dxa"/>
            <w:tcBorders>
              <w:left w:val="single" w:sz="4" w:space="0" w:color="000000"/>
            </w:tcBorders>
          </w:tcPr>
          <w:p>
            <w:pPr/>
          </w:p>
        </w:tc>
        <w:tc>
          <w:tcPr>
            <w:tcW w:w="1822" w:type="dxa"/>
          </w:tcPr>
          <w:p>
            <w:pPr/>
          </w:p>
        </w:tc>
        <w:tc>
          <w:tcPr>
            <w:tcW w:w="2233" w:type="dxa"/>
          </w:tcPr>
          <w:p>
            <w:pPr>
              <w:pStyle w:val="TableParagraph"/>
              <w:spacing w:before="6"/>
              <w:ind w:left="368" w:right="571"/>
              <w:jc w:val="left"/>
              <w:rPr>
                <w:rFonts w:ascii="Calibri"/>
                <w:sz w:val="12"/>
              </w:rPr>
            </w:pPr>
            <w:r>
              <w:rPr>
                <w:rFonts w:ascii="Calibri"/>
                <w:w w:val="105"/>
                <w:sz w:val="12"/>
              </w:rPr>
              <w:t>Pago de CFE</w:t>
            </w:r>
          </w:p>
        </w:tc>
        <w:tc>
          <w:tcPr>
            <w:tcW w:w="1895" w:type="dxa"/>
          </w:tcPr>
          <w:p>
            <w:pPr>
              <w:pStyle w:val="TableParagraph"/>
              <w:spacing w:before="6"/>
              <w:ind w:left="821"/>
              <w:rPr>
                <w:rFonts w:ascii="Calibri"/>
                <w:sz w:val="12"/>
              </w:rPr>
            </w:pPr>
            <w:r>
              <w:rPr>
                <w:rFonts w:ascii="Calibri"/>
                <w:w w:val="104"/>
                <w:sz w:val="12"/>
              </w:rPr>
              <w:t>0</w:t>
            </w:r>
          </w:p>
        </w:tc>
        <w:tc>
          <w:tcPr>
            <w:tcW w:w="890" w:type="dxa"/>
          </w:tcPr>
          <w:p>
            <w:pPr/>
          </w:p>
        </w:tc>
        <w:tc>
          <w:tcPr>
            <w:tcW w:w="683" w:type="dxa"/>
          </w:tcPr>
          <w:p>
            <w:pPr>
              <w:pStyle w:val="TableParagraph"/>
              <w:spacing w:before="6"/>
              <w:ind w:left="242" w:right="241"/>
              <w:rPr>
                <w:rFonts w:ascii="Calibri"/>
                <w:sz w:val="12"/>
              </w:rPr>
            </w:pPr>
            <w:r>
              <w:rPr>
                <w:rFonts w:ascii="Calibri"/>
                <w:w w:val="105"/>
                <w:sz w:val="12"/>
              </w:rPr>
              <w:t>0.7</w:t>
            </w:r>
          </w:p>
        </w:tc>
        <w:tc>
          <w:tcPr>
            <w:tcW w:w="681" w:type="dxa"/>
            <w:tcBorders>
              <w:right w:val="single" w:sz="8" w:space="0" w:color="000000"/>
            </w:tcBorders>
            <w:shd w:val="clear" w:color="auto" w:fill="67ED4D"/>
          </w:tcPr>
          <w:p>
            <w:pPr>
              <w:pStyle w:val="TableParagraph"/>
              <w:spacing w:before="6"/>
              <w:ind w:left="20"/>
              <w:rPr>
                <w:rFonts w:ascii="Calibri"/>
                <w:sz w:val="12"/>
              </w:rPr>
            </w:pPr>
            <w:r>
              <w:rPr>
                <w:rFonts w:ascii="Calibri"/>
                <w:w w:val="104"/>
                <w:sz w:val="12"/>
              </w:rPr>
              <w:t>1</w:t>
            </w:r>
          </w:p>
        </w:tc>
      </w:tr>
      <w:tr>
        <w:trPr>
          <w:trHeight w:val="158" w:hRule="exact"/>
        </w:trPr>
        <w:tc>
          <w:tcPr>
            <w:tcW w:w="618" w:type="dxa"/>
            <w:tcBorders>
              <w:left w:val="single" w:sz="4" w:space="0" w:color="000000"/>
            </w:tcBorders>
          </w:tcPr>
          <w:p>
            <w:pPr/>
          </w:p>
        </w:tc>
        <w:tc>
          <w:tcPr>
            <w:tcW w:w="1822" w:type="dxa"/>
          </w:tcPr>
          <w:p>
            <w:pPr/>
          </w:p>
        </w:tc>
        <w:tc>
          <w:tcPr>
            <w:tcW w:w="2233" w:type="dxa"/>
          </w:tcPr>
          <w:p>
            <w:pPr>
              <w:pStyle w:val="TableParagraph"/>
              <w:ind w:left="368" w:right="571"/>
              <w:jc w:val="left"/>
              <w:rPr>
                <w:rFonts w:ascii="Calibri"/>
                <w:sz w:val="12"/>
              </w:rPr>
            </w:pPr>
            <w:r>
              <w:rPr>
                <w:rFonts w:ascii="Calibri"/>
                <w:w w:val="105"/>
                <w:sz w:val="12"/>
              </w:rPr>
              <w:t>Pago de agua</w:t>
            </w:r>
          </w:p>
        </w:tc>
        <w:tc>
          <w:tcPr>
            <w:tcW w:w="1895" w:type="dxa"/>
          </w:tcPr>
          <w:p>
            <w:pPr>
              <w:pStyle w:val="TableParagraph"/>
              <w:ind w:left="821"/>
              <w:rPr>
                <w:rFonts w:ascii="Calibri"/>
                <w:sz w:val="12"/>
              </w:rPr>
            </w:pPr>
            <w:r>
              <w:rPr>
                <w:rFonts w:ascii="Calibri"/>
                <w:w w:val="104"/>
                <w:sz w:val="12"/>
              </w:rPr>
              <w:t>0</w:t>
            </w:r>
          </w:p>
        </w:tc>
        <w:tc>
          <w:tcPr>
            <w:tcW w:w="890" w:type="dxa"/>
          </w:tcPr>
          <w:p>
            <w:pPr/>
          </w:p>
        </w:tc>
        <w:tc>
          <w:tcPr>
            <w:tcW w:w="683" w:type="dxa"/>
          </w:tcPr>
          <w:p>
            <w:pPr>
              <w:pStyle w:val="TableParagraph"/>
              <w:ind w:left="242" w:right="241"/>
              <w:rPr>
                <w:rFonts w:ascii="Calibri"/>
                <w:sz w:val="12"/>
              </w:rPr>
            </w:pPr>
            <w:r>
              <w:rPr>
                <w:rFonts w:ascii="Calibri"/>
                <w:w w:val="105"/>
                <w:sz w:val="12"/>
              </w:rPr>
              <w:t>0.7</w:t>
            </w:r>
          </w:p>
        </w:tc>
        <w:tc>
          <w:tcPr>
            <w:tcW w:w="681" w:type="dxa"/>
            <w:tcBorders>
              <w:right w:val="single" w:sz="8" w:space="0" w:color="000000"/>
            </w:tcBorders>
            <w:shd w:val="clear" w:color="auto" w:fill="67ED4D"/>
          </w:tcPr>
          <w:p>
            <w:pPr>
              <w:pStyle w:val="TableParagraph"/>
              <w:ind w:left="20"/>
              <w:rPr>
                <w:rFonts w:ascii="Calibri"/>
                <w:sz w:val="12"/>
              </w:rPr>
            </w:pPr>
            <w:r>
              <w:rPr>
                <w:rFonts w:ascii="Calibri"/>
                <w:w w:val="104"/>
                <w:sz w:val="12"/>
              </w:rPr>
              <w:t>1</w:t>
            </w:r>
          </w:p>
        </w:tc>
      </w:tr>
      <w:tr>
        <w:trPr>
          <w:trHeight w:val="158" w:hRule="exact"/>
        </w:trPr>
        <w:tc>
          <w:tcPr>
            <w:tcW w:w="618" w:type="dxa"/>
            <w:tcBorders>
              <w:left w:val="single" w:sz="4" w:space="0" w:color="000000"/>
            </w:tcBorders>
          </w:tcPr>
          <w:p>
            <w:pPr/>
          </w:p>
        </w:tc>
        <w:tc>
          <w:tcPr>
            <w:tcW w:w="1822" w:type="dxa"/>
          </w:tcPr>
          <w:p>
            <w:pPr>
              <w:pStyle w:val="TableParagraph"/>
              <w:ind w:left="90"/>
              <w:jc w:val="left"/>
              <w:rPr>
                <w:rFonts w:ascii="Calibri"/>
                <w:sz w:val="12"/>
              </w:rPr>
            </w:pPr>
            <w:r>
              <w:rPr>
                <w:rFonts w:ascii="Calibri"/>
                <w:w w:val="105"/>
                <w:sz w:val="12"/>
              </w:rPr>
              <w:t>Gastos de habitabilidad</w:t>
            </w:r>
          </w:p>
        </w:tc>
        <w:tc>
          <w:tcPr>
            <w:tcW w:w="2233" w:type="dxa"/>
          </w:tcPr>
          <w:p>
            <w:pPr>
              <w:pStyle w:val="TableParagraph"/>
              <w:ind w:left="368" w:right="571"/>
              <w:jc w:val="left"/>
              <w:rPr>
                <w:rFonts w:ascii="Calibri"/>
                <w:sz w:val="12"/>
              </w:rPr>
            </w:pPr>
            <w:r>
              <w:rPr>
                <w:rFonts w:ascii="Calibri"/>
                <w:w w:val="105"/>
                <w:sz w:val="12"/>
              </w:rPr>
              <w:t>Pago predial</w:t>
            </w:r>
          </w:p>
        </w:tc>
        <w:tc>
          <w:tcPr>
            <w:tcW w:w="1895" w:type="dxa"/>
          </w:tcPr>
          <w:p>
            <w:pPr>
              <w:pStyle w:val="TableParagraph"/>
              <w:ind w:left="999" w:right="188"/>
              <w:rPr>
                <w:rFonts w:ascii="Calibri"/>
                <w:sz w:val="12"/>
              </w:rPr>
            </w:pPr>
            <w:r>
              <w:rPr>
                <w:rFonts w:ascii="Calibri"/>
                <w:w w:val="105"/>
                <w:sz w:val="12"/>
              </w:rPr>
              <w:t>0.2</w:t>
            </w:r>
          </w:p>
        </w:tc>
        <w:tc>
          <w:tcPr>
            <w:tcW w:w="890" w:type="dxa"/>
          </w:tcPr>
          <w:p>
            <w:pPr/>
          </w:p>
        </w:tc>
        <w:tc>
          <w:tcPr>
            <w:tcW w:w="683" w:type="dxa"/>
          </w:tcPr>
          <w:p>
            <w:pPr>
              <w:pStyle w:val="TableParagraph"/>
              <w:ind w:left="242" w:right="241"/>
              <w:rPr>
                <w:rFonts w:ascii="Calibri"/>
                <w:sz w:val="12"/>
              </w:rPr>
            </w:pPr>
            <w:r>
              <w:rPr>
                <w:rFonts w:ascii="Calibri"/>
                <w:w w:val="105"/>
                <w:sz w:val="12"/>
              </w:rPr>
              <w:t>0.7</w:t>
            </w:r>
          </w:p>
        </w:tc>
        <w:tc>
          <w:tcPr>
            <w:tcW w:w="681" w:type="dxa"/>
            <w:tcBorders>
              <w:right w:val="single" w:sz="8" w:space="0" w:color="000000"/>
            </w:tcBorders>
            <w:shd w:val="clear" w:color="auto" w:fill="67ED4D"/>
          </w:tcPr>
          <w:p>
            <w:pPr>
              <w:pStyle w:val="TableParagraph"/>
              <w:ind w:left="20"/>
              <w:rPr>
                <w:rFonts w:ascii="Calibri"/>
                <w:sz w:val="12"/>
              </w:rPr>
            </w:pPr>
            <w:r>
              <w:rPr>
                <w:rFonts w:ascii="Calibri"/>
                <w:w w:val="104"/>
                <w:sz w:val="12"/>
              </w:rPr>
              <w:t>1</w:t>
            </w:r>
          </w:p>
        </w:tc>
      </w:tr>
      <w:tr>
        <w:trPr>
          <w:trHeight w:val="158" w:hRule="exact"/>
        </w:trPr>
        <w:tc>
          <w:tcPr>
            <w:tcW w:w="618" w:type="dxa"/>
            <w:tcBorders>
              <w:left w:val="single" w:sz="4" w:space="0" w:color="000000"/>
            </w:tcBorders>
          </w:tcPr>
          <w:p>
            <w:pPr/>
          </w:p>
        </w:tc>
        <w:tc>
          <w:tcPr>
            <w:tcW w:w="1822" w:type="dxa"/>
          </w:tcPr>
          <w:p>
            <w:pPr/>
          </w:p>
        </w:tc>
        <w:tc>
          <w:tcPr>
            <w:tcW w:w="2233" w:type="dxa"/>
          </w:tcPr>
          <w:p>
            <w:pPr>
              <w:pStyle w:val="TableParagraph"/>
              <w:ind w:left="368" w:right="571"/>
              <w:jc w:val="left"/>
              <w:rPr>
                <w:rFonts w:ascii="Calibri" w:hAnsi="Calibri"/>
                <w:sz w:val="12"/>
              </w:rPr>
            </w:pPr>
            <w:r>
              <w:rPr>
                <w:rFonts w:ascii="Calibri" w:hAnsi="Calibri"/>
                <w:w w:val="105"/>
                <w:sz w:val="12"/>
              </w:rPr>
              <w:t>Comunicación</w:t>
            </w:r>
          </w:p>
        </w:tc>
        <w:tc>
          <w:tcPr>
            <w:tcW w:w="1895" w:type="dxa"/>
          </w:tcPr>
          <w:p>
            <w:pPr>
              <w:pStyle w:val="TableParagraph"/>
              <w:ind w:left="999" w:right="188"/>
              <w:rPr>
                <w:rFonts w:ascii="Calibri"/>
                <w:sz w:val="12"/>
              </w:rPr>
            </w:pPr>
            <w:r>
              <w:rPr>
                <w:rFonts w:ascii="Calibri"/>
                <w:w w:val="105"/>
                <w:sz w:val="12"/>
              </w:rPr>
              <w:t>0.7</w:t>
            </w:r>
          </w:p>
        </w:tc>
        <w:tc>
          <w:tcPr>
            <w:tcW w:w="890" w:type="dxa"/>
          </w:tcPr>
          <w:p>
            <w:pPr/>
          </w:p>
        </w:tc>
        <w:tc>
          <w:tcPr>
            <w:tcW w:w="683" w:type="dxa"/>
          </w:tcPr>
          <w:p>
            <w:pPr>
              <w:pStyle w:val="TableParagraph"/>
              <w:ind w:left="242" w:right="241"/>
              <w:rPr>
                <w:rFonts w:ascii="Calibri"/>
                <w:sz w:val="12"/>
              </w:rPr>
            </w:pPr>
            <w:r>
              <w:rPr>
                <w:rFonts w:ascii="Calibri"/>
                <w:w w:val="105"/>
                <w:sz w:val="12"/>
              </w:rPr>
              <w:t>0.7</w:t>
            </w:r>
          </w:p>
        </w:tc>
        <w:tc>
          <w:tcPr>
            <w:tcW w:w="681" w:type="dxa"/>
            <w:tcBorders>
              <w:right w:val="single" w:sz="8" w:space="0" w:color="000000"/>
            </w:tcBorders>
            <w:shd w:val="clear" w:color="auto" w:fill="67ED4D"/>
          </w:tcPr>
          <w:p>
            <w:pPr>
              <w:pStyle w:val="TableParagraph"/>
              <w:ind w:left="20"/>
              <w:rPr>
                <w:rFonts w:ascii="Calibri"/>
                <w:sz w:val="12"/>
              </w:rPr>
            </w:pPr>
            <w:r>
              <w:rPr>
                <w:rFonts w:ascii="Calibri"/>
                <w:w w:val="104"/>
                <w:sz w:val="12"/>
              </w:rPr>
              <w:t>1</w:t>
            </w:r>
          </w:p>
        </w:tc>
      </w:tr>
      <w:tr>
        <w:trPr>
          <w:trHeight w:val="156" w:hRule="exact"/>
        </w:trPr>
        <w:tc>
          <w:tcPr>
            <w:tcW w:w="618" w:type="dxa"/>
            <w:tcBorders>
              <w:left w:val="single" w:sz="4" w:space="0" w:color="000000"/>
            </w:tcBorders>
          </w:tcPr>
          <w:p>
            <w:pPr/>
          </w:p>
        </w:tc>
        <w:tc>
          <w:tcPr>
            <w:tcW w:w="1822" w:type="dxa"/>
          </w:tcPr>
          <w:p>
            <w:pPr/>
          </w:p>
        </w:tc>
        <w:tc>
          <w:tcPr>
            <w:tcW w:w="2233" w:type="dxa"/>
          </w:tcPr>
          <w:p>
            <w:pPr>
              <w:pStyle w:val="TableParagraph"/>
              <w:ind w:left="368" w:right="571"/>
              <w:jc w:val="left"/>
              <w:rPr>
                <w:rFonts w:ascii="Calibri"/>
                <w:sz w:val="12"/>
              </w:rPr>
            </w:pPr>
            <w:r>
              <w:rPr>
                <w:rFonts w:ascii="Calibri"/>
                <w:w w:val="105"/>
                <w:sz w:val="12"/>
              </w:rPr>
              <w:t>Comunidad</w:t>
            </w:r>
          </w:p>
        </w:tc>
        <w:tc>
          <w:tcPr>
            <w:tcW w:w="1895" w:type="dxa"/>
          </w:tcPr>
          <w:p>
            <w:pPr>
              <w:pStyle w:val="TableParagraph"/>
              <w:ind w:left="821"/>
              <w:rPr>
                <w:rFonts w:ascii="Calibri"/>
                <w:sz w:val="12"/>
              </w:rPr>
            </w:pPr>
            <w:r>
              <w:rPr>
                <w:rFonts w:ascii="Calibri"/>
                <w:w w:val="104"/>
                <w:sz w:val="12"/>
              </w:rPr>
              <w:t>1</w:t>
            </w:r>
          </w:p>
        </w:tc>
        <w:tc>
          <w:tcPr>
            <w:tcW w:w="890" w:type="dxa"/>
          </w:tcPr>
          <w:p>
            <w:pPr/>
          </w:p>
        </w:tc>
        <w:tc>
          <w:tcPr>
            <w:tcW w:w="683" w:type="dxa"/>
          </w:tcPr>
          <w:p>
            <w:pPr>
              <w:pStyle w:val="TableParagraph"/>
              <w:ind w:left="242" w:right="241"/>
              <w:rPr>
                <w:rFonts w:ascii="Calibri"/>
                <w:sz w:val="12"/>
              </w:rPr>
            </w:pPr>
            <w:r>
              <w:rPr>
                <w:rFonts w:ascii="Calibri"/>
                <w:w w:val="105"/>
                <w:sz w:val="12"/>
              </w:rPr>
              <w:t>0.7</w:t>
            </w:r>
          </w:p>
        </w:tc>
        <w:tc>
          <w:tcPr>
            <w:tcW w:w="681" w:type="dxa"/>
            <w:tcBorders>
              <w:right w:val="single" w:sz="8" w:space="0" w:color="000000"/>
            </w:tcBorders>
            <w:shd w:val="clear" w:color="auto" w:fill="67ED4D"/>
          </w:tcPr>
          <w:p>
            <w:pPr>
              <w:pStyle w:val="TableParagraph"/>
              <w:ind w:left="20"/>
              <w:rPr>
                <w:rFonts w:ascii="Calibri"/>
                <w:sz w:val="12"/>
              </w:rPr>
            </w:pPr>
            <w:r>
              <w:rPr>
                <w:rFonts w:ascii="Calibri"/>
                <w:w w:val="104"/>
                <w:sz w:val="12"/>
              </w:rPr>
              <w:t>1</w:t>
            </w:r>
          </w:p>
        </w:tc>
      </w:tr>
      <w:tr>
        <w:trPr>
          <w:trHeight w:val="163" w:hRule="exact"/>
        </w:trPr>
        <w:tc>
          <w:tcPr>
            <w:tcW w:w="618" w:type="dxa"/>
            <w:tcBorders>
              <w:left w:val="single" w:sz="4" w:space="0" w:color="000000"/>
            </w:tcBorders>
          </w:tcPr>
          <w:p>
            <w:pPr/>
          </w:p>
        </w:tc>
        <w:tc>
          <w:tcPr>
            <w:tcW w:w="1822" w:type="dxa"/>
          </w:tcPr>
          <w:p>
            <w:pPr/>
          </w:p>
        </w:tc>
        <w:tc>
          <w:tcPr>
            <w:tcW w:w="2233" w:type="dxa"/>
          </w:tcPr>
          <w:p>
            <w:pPr/>
          </w:p>
        </w:tc>
        <w:tc>
          <w:tcPr>
            <w:tcW w:w="1895" w:type="dxa"/>
          </w:tcPr>
          <w:p>
            <w:pPr>
              <w:pStyle w:val="TableParagraph"/>
              <w:spacing w:before="1"/>
              <w:ind w:left="997" w:right="188"/>
              <w:rPr>
                <w:rFonts w:ascii="Calibri"/>
                <w:sz w:val="12"/>
              </w:rPr>
            </w:pPr>
            <w:r>
              <w:rPr>
                <w:rFonts w:ascii="Calibri"/>
                <w:w w:val="105"/>
                <w:sz w:val="12"/>
              </w:rPr>
              <w:t>Subtotal</w:t>
            </w:r>
          </w:p>
        </w:tc>
        <w:tc>
          <w:tcPr>
            <w:tcW w:w="890" w:type="dxa"/>
          </w:tcPr>
          <w:p>
            <w:pPr>
              <w:pStyle w:val="TableParagraph"/>
              <w:tabs>
                <w:tab w:pos="470" w:val="left" w:leader="none"/>
                <w:tab w:pos="900" w:val="left" w:leader="none"/>
              </w:tabs>
              <w:spacing w:before="1"/>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1.9</w:t>
            </w:r>
            <w:r>
              <w:rPr>
                <w:rFonts w:ascii="Calibri"/>
                <w:sz w:val="12"/>
                <w:shd w:fill="F79646" w:color="auto" w:val="clear"/>
              </w:rPr>
              <w:tab/>
            </w:r>
          </w:p>
        </w:tc>
        <w:tc>
          <w:tcPr>
            <w:tcW w:w="683" w:type="dxa"/>
          </w:tcPr>
          <w:p>
            <w:pPr>
              <w:pStyle w:val="TableParagraph"/>
              <w:spacing w:before="1"/>
              <w:ind w:left="242" w:right="241"/>
              <w:rPr>
                <w:rFonts w:ascii="Calibri"/>
                <w:sz w:val="12"/>
              </w:rPr>
            </w:pPr>
            <w:r>
              <w:rPr>
                <w:rFonts w:ascii="Calibri"/>
                <w:w w:val="105"/>
                <w:sz w:val="12"/>
              </w:rPr>
              <w:t>4.2</w:t>
            </w:r>
          </w:p>
        </w:tc>
        <w:tc>
          <w:tcPr>
            <w:tcW w:w="681" w:type="dxa"/>
            <w:tcBorders>
              <w:right w:val="single" w:sz="8" w:space="0" w:color="000000"/>
            </w:tcBorders>
            <w:shd w:val="clear" w:color="auto" w:fill="67ED4D"/>
          </w:tcPr>
          <w:p>
            <w:pPr>
              <w:pStyle w:val="TableParagraph"/>
              <w:spacing w:before="1"/>
              <w:ind w:left="20"/>
              <w:rPr>
                <w:rFonts w:ascii="Calibri"/>
                <w:sz w:val="12"/>
              </w:rPr>
            </w:pPr>
            <w:r>
              <w:rPr>
                <w:rFonts w:ascii="Calibri"/>
                <w:w w:val="104"/>
                <w:sz w:val="12"/>
              </w:rPr>
              <w:t>5</w:t>
            </w:r>
          </w:p>
        </w:tc>
      </w:tr>
      <w:tr>
        <w:trPr>
          <w:trHeight w:val="147" w:hRule="exact"/>
        </w:trPr>
        <w:tc>
          <w:tcPr>
            <w:tcW w:w="8822" w:type="dxa"/>
            <w:gridSpan w:val="7"/>
            <w:tcBorders>
              <w:left w:val="single" w:sz="4" w:space="0" w:color="000000"/>
              <w:right w:val="single" w:sz="8" w:space="0" w:color="000000"/>
            </w:tcBorders>
          </w:tcPr>
          <w:p>
            <w:pPr/>
          </w:p>
        </w:tc>
      </w:tr>
      <w:tr>
        <w:trPr>
          <w:trHeight w:val="163" w:hRule="exact"/>
        </w:trPr>
        <w:tc>
          <w:tcPr>
            <w:tcW w:w="618" w:type="dxa"/>
            <w:tcBorders>
              <w:left w:val="single" w:sz="4" w:space="0" w:color="000000"/>
            </w:tcBorders>
          </w:tcPr>
          <w:p>
            <w:pPr/>
          </w:p>
        </w:tc>
        <w:tc>
          <w:tcPr>
            <w:tcW w:w="1822" w:type="dxa"/>
          </w:tcPr>
          <w:p>
            <w:pPr>
              <w:pStyle w:val="TableParagraph"/>
              <w:spacing w:before="6"/>
              <w:ind w:left="90"/>
              <w:jc w:val="left"/>
              <w:rPr>
                <w:rFonts w:ascii="Calibri" w:hAnsi="Calibri"/>
                <w:sz w:val="12"/>
              </w:rPr>
            </w:pPr>
            <w:r>
              <w:rPr>
                <w:rFonts w:ascii="Calibri" w:hAnsi="Calibri"/>
                <w:w w:val="105"/>
                <w:sz w:val="12"/>
              </w:rPr>
              <w:t>Índice para una vida mejor</w:t>
            </w:r>
          </w:p>
        </w:tc>
        <w:tc>
          <w:tcPr>
            <w:tcW w:w="2233" w:type="dxa"/>
          </w:tcPr>
          <w:p>
            <w:pPr>
              <w:pStyle w:val="TableParagraph"/>
              <w:spacing w:before="6"/>
              <w:ind w:left="368" w:right="571"/>
              <w:jc w:val="left"/>
              <w:rPr>
                <w:rFonts w:ascii="Calibri"/>
                <w:sz w:val="12"/>
              </w:rPr>
            </w:pPr>
            <w:r>
              <w:rPr>
                <w:rFonts w:ascii="Calibri"/>
                <w:w w:val="105"/>
                <w:sz w:val="12"/>
              </w:rPr>
              <w:t>Gasto en vivienda</w:t>
            </w:r>
          </w:p>
        </w:tc>
        <w:tc>
          <w:tcPr>
            <w:tcW w:w="1895" w:type="dxa"/>
          </w:tcPr>
          <w:p>
            <w:pPr>
              <w:pStyle w:val="TableParagraph"/>
              <w:tabs>
                <w:tab w:pos="1273" w:val="left" w:leader="none"/>
                <w:tab w:pos="2113" w:val="left" w:leader="none"/>
              </w:tabs>
              <w:spacing w:before="6"/>
              <w:ind w:left="591" w:right="-219"/>
              <w:rPr>
                <w:rFonts w:ascii="Calibri"/>
                <w:sz w:val="12"/>
              </w:rPr>
            </w:pPr>
            <w:r>
              <w:rPr>
                <w:rFonts w:ascii="Times New Roman"/>
                <w:w w:val="104"/>
                <w:sz w:val="12"/>
                <w:shd w:fill="BAF9F5" w:color="auto" w:val="clear"/>
              </w:rPr>
              <w:t> </w:t>
            </w:r>
            <w:r>
              <w:rPr>
                <w:rFonts w:ascii="Times New Roman"/>
                <w:sz w:val="12"/>
                <w:shd w:fill="BAF9F5" w:color="auto" w:val="clear"/>
              </w:rPr>
              <w:tab/>
            </w:r>
            <w:r>
              <w:rPr>
                <w:rFonts w:ascii="Calibri"/>
                <w:w w:val="105"/>
                <w:sz w:val="12"/>
                <w:shd w:fill="BAF9F5" w:color="auto" w:val="clear"/>
              </w:rPr>
              <w:t>0.6</w:t>
            </w:r>
            <w:r>
              <w:rPr>
                <w:rFonts w:ascii="Calibri"/>
                <w:sz w:val="12"/>
                <w:shd w:fill="BAF9F5" w:color="auto" w:val="clear"/>
              </w:rPr>
              <w:tab/>
            </w:r>
          </w:p>
        </w:tc>
        <w:tc>
          <w:tcPr>
            <w:tcW w:w="890" w:type="dxa"/>
          </w:tcPr>
          <w:p>
            <w:pPr/>
          </w:p>
        </w:tc>
        <w:tc>
          <w:tcPr>
            <w:tcW w:w="683" w:type="dxa"/>
          </w:tcPr>
          <w:p>
            <w:pPr>
              <w:pStyle w:val="TableParagraph"/>
              <w:spacing w:before="6"/>
              <w:ind w:left="242" w:right="241"/>
              <w:rPr>
                <w:rFonts w:ascii="Calibri"/>
                <w:sz w:val="12"/>
              </w:rPr>
            </w:pPr>
            <w:r>
              <w:rPr>
                <w:rFonts w:ascii="Calibri"/>
                <w:w w:val="105"/>
                <w:sz w:val="12"/>
              </w:rPr>
              <w:t>0.8</w:t>
            </w:r>
          </w:p>
        </w:tc>
        <w:tc>
          <w:tcPr>
            <w:tcW w:w="681" w:type="dxa"/>
            <w:tcBorders>
              <w:right w:val="single" w:sz="8" w:space="0" w:color="000000"/>
            </w:tcBorders>
            <w:shd w:val="clear" w:color="auto" w:fill="67ED4D"/>
          </w:tcPr>
          <w:p>
            <w:pPr>
              <w:pStyle w:val="TableParagraph"/>
              <w:spacing w:before="6"/>
              <w:ind w:left="20"/>
              <w:rPr>
                <w:rFonts w:ascii="Calibri"/>
                <w:sz w:val="12"/>
              </w:rPr>
            </w:pPr>
            <w:r>
              <w:rPr>
                <w:rFonts w:ascii="Calibri"/>
                <w:w w:val="104"/>
                <w:sz w:val="12"/>
              </w:rPr>
              <w:t>1</w:t>
            </w:r>
          </w:p>
        </w:tc>
      </w:tr>
      <w:tr>
        <w:trPr>
          <w:trHeight w:val="163" w:hRule="exact"/>
        </w:trPr>
        <w:tc>
          <w:tcPr>
            <w:tcW w:w="618" w:type="dxa"/>
            <w:tcBorders>
              <w:left w:val="single" w:sz="4" w:space="0" w:color="000000"/>
            </w:tcBorders>
          </w:tcPr>
          <w:p>
            <w:pPr/>
          </w:p>
        </w:tc>
        <w:tc>
          <w:tcPr>
            <w:tcW w:w="1822" w:type="dxa"/>
          </w:tcPr>
          <w:p>
            <w:pPr/>
          </w:p>
        </w:tc>
        <w:tc>
          <w:tcPr>
            <w:tcW w:w="2233" w:type="dxa"/>
          </w:tcPr>
          <w:p>
            <w:pPr/>
          </w:p>
        </w:tc>
        <w:tc>
          <w:tcPr>
            <w:tcW w:w="1895" w:type="dxa"/>
          </w:tcPr>
          <w:p>
            <w:pPr>
              <w:pStyle w:val="TableParagraph"/>
              <w:spacing w:before="1"/>
              <w:ind w:left="997" w:right="188"/>
              <w:rPr>
                <w:rFonts w:ascii="Calibri"/>
                <w:sz w:val="12"/>
              </w:rPr>
            </w:pPr>
            <w:r>
              <w:rPr>
                <w:rFonts w:ascii="Calibri"/>
                <w:w w:val="105"/>
                <w:sz w:val="12"/>
              </w:rPr>
              <w:t>Subtotal</w:t>
            </w:r>
          </w:p>
        </w:tc>
        <w:tc>
          <w:tcPr>
            <w:tcW w:w="890" w:type="dxa"/>
          </w:tcPr>
          <w:p>
            <w:pPr>
              <w:pStyle w:val="TableParagraph"/>
              <w:tabs>
                <w:tab w:pos="470" w:val="left" w:leader="none"/>
                <w:tab w:pos="900" w:val="left" w:leader="none"/>
              </w:tabs>
              <w:spacing w:before="1"/>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0.6</w:t>
            </w:r>
            <w:r>
              <w:rPr>
                <w:rFonts w:ascii="Calibri"/>
                <w:sz w:val="12"/>
                <w:shd w:fill="F79646" w:color="auto" w:val="clear"/>
              </w:rPr>
              <w:tab/>
            </w:r>
          </w:p>
        </w:tc>
        <w:tc>
          <w:tcPr>
            <w:tcW w:w="683" w:type="dxa"/>
          </w:tcPr>
          <w:p>
            <w:pPr>
              <w:pStyle w:val="TableParagraph"/>
              <w:spacing w:before="1"/>
              <w:ind w:left="242" w:right="241"/>
              <w:rPr>
                <w:rFonts w:ascii="Calibri"/>
                <w:sz w:val="12"/>
              </w:rPr>
            </w:pPr>
            <w:r>
              <w:rPr>
                <w:rFonts w:ascii="Calibri"/>
                <w:w w:val="105"/>
                <w:sz w:val="12"/>
              </w:rPr>
              <w:t>0.8</w:t>
            </w:r>
          </w:p>
        </w:tc>
        <w:tc>
          <w:tcPr>
            <w:tcW w:w="681" w:type="dxa"/>
            <w:tcBorders>
              <w:right w:val="single" w:sz="8" w:space="0" w:color="000000"/>
            </w:tcBorders>
            <w:shd w:val="clear" w:color="auto" w:fill="67ED4D"/>
          </w:tcPr>
          <w:p>
            <w:pPr>
              <w:pStyle w:val="TableParagraph"/>
              <w:spacing w:before="1"/>
              <w:ind w:left="20"/>
              <w:rPr>
                <w:rFonts w:ascii="Calibri"/>
                <w:sz w:val="12"/>
              </w:rPr>
            </w:pPr>
            <w:r>
              <w:rPr>
                <w:rFonts w:ascii="Calibri"/>
                <w:w w:val="104"/>
                <w:sz w:val="12"/>
              </w:rPr>
              <w:t>1</w:t>
            </w:r>
          </w:p>
        </w:tc>
      </w:tr>
      <w:tr>
        <w:trPr>
          <w:trHeight w:val="473" w:hRule="exact"/>
        </w:trPr>
        <w:tc>
          <w:tcPr>
            <w:tcW w:w="618" w:type="dxa"/>
            <w:tcBorders>
              <w:left w:val="single" w:sz="4" w:space="0" w:color="000000"/>
              <w:bottom w:val="single" w:sz="8" w:space="0" w:color="000000"/>
            </w:tcBorders>
          </w:tcPr>
          <w:p>
            <w:pPr/>
          </w:p>
        </w:tc>
        <w:tc>
          <w:tcPr>
            <w:tcW w:w="1822" w:type="dxa"/>
            <w:tcBorders>
              <w:bottom w:val="single" w:sz="8" w:space="0" w:color="000000"/>
            </w:tcBorders>
          </w:tcPr>
          <w:p>
            <w:pPr/>
          </w:p>
        </w:tc>
        <w:tc>
          <w:tcPr>
            <w:tcW w:w="2233" w:type="dxa"/>
            <w:tcBorders>
              <w:bottom w:val="single" w:sz="8" w:space="0" w:color="000000"/>
            </w:tcBorders>
          </w:tcPr>
          <w:p>
            <w:pPr/>
          </w:p>
        </w:tc>
        <w:tc>
          <w:tcPr>
            <w:tcW w:w="1895" w:type="dxa"/>
            <w:tcBorders>
              <w:bottom w:val="single" w:sz="8" w:space="0" w:color="000000"/>
            </w:tcBorders>
          </w:tcPr>
          <w:p>
            <w:pPr>
              <w:pStyle w:val="TableParagraph"/>
              <w:spacing w:before="4"/>
              <w:jc w:val="left"/>
              <w:rPr>
                <w:sz w:val="13"/>
              </w:rPr>
            </w:pPr>
          </w:p>
          <w:p>
            <w:pPr>
              <w:pStyle w:val="TableParagraph"/>
              <w:ind w:left="990" w:right="188"/>
              <w:rPr>
                <w:rFonts w:ascii="Calibri"/>
                <w:sz w:val="12"/>
              </w:rPr>
            </w:pPr>
            <w:r>
              <w:rPr>
                <w:rFonts w:ascii="Calibri"/>
                <w:w w:val="105"/>
                <w:sz w:val="12"/>
              </w:rPr>
              <w:t>Total IE</w:t>
            </w:r>
          </w:p>
        </w:tc>
        <w:tc>
          <w:tcPr>
            <w:tcW w:w="890" w:type="dxa"/>
            <w:tcBorders>
              <w:bottom w:val="single" w:sz="8" w:space="0" w:color="000000"/>
            </w:tcBorders>
          </w:tcPr>
          <w:p>
            <w:pPr>
              <w:pStyle w:val="TableParagraph"/>
              <w:spacing w:before="4"/>
              <w:jc w:val="left"/>
              <w:rPr>
                <w:sz w:val="13"/>
              </w:rPr>
            </w:pPr>
          </w:p>
          <w:p>
            <w:pPr>
              <w:pStyle w:val="TableParagraph"/>
              <w:tabs>
                <w:tab w:pos="522" w:val="left" w:leader="none"/>
                <w:tab w:pos="900" w:val="left" w:leader="none"/>
              </w:tabs>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6</w:t>
            </w:r>
            <w:r>
              <w:rPr>
                <w:rFonts w:ascii="Calibri"/>
                <w:sz w:val="12"/>
                <w:shd w:fill="F79646" w:color="auto" w:val="clear"/>
              </w:rPr>
              <w:tab/>
            </w:r>
          </w:p>
        </w:tc>
        <w:tc>
          <w:tcPr>
            <w:tcW w:w="683" w:type="dxa"/>
            <w:tcBorders>
              <w:bottom w:val="single" w:sz="8" w:space="0" w:color="000000"/>
            </w:tcBorders>
          </w:tcPr>
          <w:p>
            <w:pPr>
              <w:pStyle w:val="TableParagraph"/>
              <w:spacing w:before="4"/>
              <w:jc w:val="left"/>
              <w:rPr>
                <w:sz w:val="13"/>
              </w:rPr>
            </w:pPr>
          </w:p>
          <w:p>
            <w:pPr>
              <w:pStyle w:val="TableParagraph"/>
              <w:tabs>
                <w:tab w:pos="314" w:val="left" w:leader="none"/>
                <w:tab w:pos="692" w:val="left" w:leader="none"/>
              </w:tabs>
              <w:ind w:right="-10"/>
              <w:rPr>
                <w:rFonts w:ascii="Calibri"/>
                <w:sz w:val="12"/>
              </w:rPr>
            </w:pPr>
            <w:r>
              <w:rPr>
                <w:rFonts w:ascii="Times New Roman"/>
                <w:w w:val="104"/>
                <w:sz w:val="12"/>
                <w:shd w:fill="FFFF00" w:color="auto" w:val="clear"/>
              </w:rPr>
              <w:t> </w:t>
            </w:r>
            <w:r>
              <w:rPr>
                <w:rFonts w:ascii="Times New Roman"/>
                <w:sz w:val="12"/>
                <w:shd w:fill="FFFF00" w:color="auto" w:val="clear"/>
              </w:rPr>
              <w:tab/>
            </w:r>
            <w:r>
              <w:rPr>
                <w:rFonts w:ascii="Calibri"/>
                <w:w w:val="105"/>
                <w:sz w:val="12"/>
                <w:shd w:fill="FFFF00" w:color="auto" w:val="clear"/>
              </w:rPr>
              <w:t>9</w:t>
            </w:r>
            <w:r>
              <w:rPr>
                <w:rFonts w:ascii="Calibri"/>
                <w:sz w:val="12"/>
                <w:shd w:fill="FFFF00" w:color="auto" w:val="clear"/>
              </w:rPr>
              <w:tab/>
            </w:r>
          </w:p>
        </w:tc>
        <w:tc>
          <w:tcPr>
            <w:tcW w:w="681" w:type="dxa"/>
            <w:tcBorders>
              <w:bottom w:val="single" w:sz="8" w:space="0" w:color="000000"/>
              <w:right w:val="single" w:sz="8" w:space="0" w:color="000000"/>
            </w:tcBorders>
          </w:tcPr>
          <w:p>
            <w:pPr>
              <w:pStyle w:val="TableParagraph"/>
              <w:spacing w:before="4"/>
              <w:jc w:val="left"/>
              <w:rPr>
                <w:sz w:val="13"/>
              </w:rPr>
            </w:pPr>
          </w:p>
          <w:p>
            <w:pPr>
              <w:pStyle w:val="TableParagraph"/>
              <w:ind w:left="262" w:right="241"/>
              <w:rPr>
                <w:rFonts w:ascii="Calibri"/>
                <w:sz w:val="12"/>
              </w:rPr>
            </w:pPr>
            <w:r>
              <w:rPr>
                <w:rFonts w:ascii="Calibri"/>
                <w:w w:val="105"/>
                <w:sz w:val="12"/>
              </w:rPr>
              <w:t>11</w:t>
            </w:r>
          </w:p>
        </w:tc>
      </w:tr>
    </w:tbl>
    <w:p>
      <w:pPr>
        <w:spacing w:before="130"/>
        <w:ind w:left="268" w:right="0" w:firstLine="0"/>
        <w:jc w:val="left"/>
        <w:rPr>
          <w:sz w:val="21"/>
        </w:rPr>
      </w:pPr>
      <w:r>
        <w:rPr/>
        <w:pict>
          <v:group style="position:absolute;margin-left:362.777496pt;margin-top:-95.934624pt;width:76.150pt;height:40.5pt;mso-position-horizontal-relative:page;mso-position-vertical-relative:paragraph;z-index:-1133800" coordorigin="7256,-1919" coordsize="1523,810">
            <v:line style="position:absolute" from="7261,-1913" to="7261,-1745" stroked="true" strokeweight=".525pt" strokecolor="#baf9f5"/>
            <v:rect style="position:absolute;left:7266;top:-1913;width:1511;height:168" filled="true" fillcolor="#baf9f5" stroked="false">
              <v:fill type="solid"/>
            </v:rect>
            <v:line style="position:absolute" from="7261,-1745" to="7261,-1587" stroked="true" strokeweight=".525pt" strokecolor="#baf9f5"/>
            <v:rect style="position:absolute;left:7266;top:-1745;width:1511;height:158" filled="true" fillcolor="#baf9f5" stroked="false">
              <v:fill type="solid"/>
            </v:rect>
            <v:line style="position:absolute" from="7261,-1587" to="7261,-1430" stroked="true" strokeweight=".525pt" strokecolor="#baf9f5"/>
            <v:rect style="position:absolute;left:7266;top:-1587;width:1511;height:158" filled="true" fillcolor="#baf9f5" stroked="false">
              <v:fill type="solid"/>
            </v:rect>
            <v:line style="position:absolute" from="7261,-1430" to="7261,-1272" stroked="true" strokeweight=".525pt" strokecolor="#baf9f5"/>
            <v:rect style="position:absolute;left:7266;top:-1430;width:1511;height:158" filled="true" fillcolor="#baf9f5" stroked="false">
              <v:fill type="solid"/>
            </v:rect>
            <v:line style="position:absolute" from="7261,-1272" to="7261,-1114" stroked="true" strokeweight=".525pt" strokecolor="#baf9f5"/>
            <v:rect style="position:absolute;left:7266;top:-1272;width:1511;height:158" filled="true" fillcolor="#baf9f5" stroked="false">
              <v:fill type="solid"/>
            </v:rect>
            <w10:wrap type="none"/>
          </v:group>
        </w:pict>
      </w:r>
      <w:r>
        <w:rPr/>
        <w:pict>
          <v:shape style="position:absolute;margin-left:472.478027pt;margin-top:-95.659149pt;width:34.65pt;height:47.85pt;mso-position-horizontal-relative:page;mso-position-vertical-relative:paragraph;z-index:-1133776" coordorigin="9450,-1913" coordsize="693,957" path="m10142,-1272l9450,-1272,9450,-1125,9450,-1114,9450,-957,10142,-957,10142,-1114,10142,-1125,10142,-1272m10142,-1913l9450,-1913,9450,-1745,9450,-1587,9450,-1430,9450,-1272,10142,-1272,10142,-1430,10142,-1587,10142,-1745,10142,-1913e" filled="true" fillcolor="#ffff00" stroked="false">
            <v:path arrowok="t"/>
            <v:fill type="solid"/>
            <w10:wrap type="none"/>
          </v:shape>
        </w:pict>
      </w:r>
      <w:r>
        <w:rPr/>
        <w:pict>
          <v:shape style="position:absolute;margin-left:472.478027pt;margin-top:-40.485146pt;width:34.65pt;height:16.3pt;mso-position-horizontal-relative:page;mso-position-vertical-relative:paragraph;z-index:-1133752" coordorigin="9450,-810" coordsize="693,326" path="m10142,-810l9450,-810,9450,-652,9450,-642,9450,-484,10142,-484,10142,-642,10142,-652,10142,-810e" filled="true" fillcolor="#ffff00" stroked="false">
            <v:path arrowok="t"/>
            <v:fill type="solid"/>
            <w10:wrap type="none"/>
          </v:shape>
        </w:pict>
      </w:r>
      <w:r>
        <w:rPr/>
        <w:pict>
          <v:rect style="position:absolute;margin-left:506.591003pt;margin-top:-16.839651pt;width:34.6382pt;height:8.40753pt;mso-position-horizontal-relative:page;mso-position-vertical-relative:paragraph;z-index:-1133728" filled="true" fillcolor="#67ed4d" stroked="false">
            <v:fill type="solid"/>
            <w10:wrap type="none"/>
          </v:rect>
        </w:pict>
      </w:r>
      <w:r>
        <w:rPr>
          <w:w w:val="105"/>
          <w:sz w:val="21"/>
        </w:rPr>
        <w:t>Fuente: Elaboración propia con base al estudio realizado.</w:t>
      </w:r>
    </w:p>
    <w:p>
      <w:pPr>
        <w:pStyle w:val="BodyText"/>
        <w:spacing w:before="2"/>
        <w:rPr>
          <w:sz w:val="21"/>
        </w:rPr>
      </w:pPr>
    </w:p>
    <w:p>
      <w:pPr>
        <w:pStyle w:val="BodyText"/>
        <w:spacing w:after="17"/>
        <w:ind w:left="268"/>
      </w:pPr>
      <w:r>
        <w:rPr/>
        <w:pict>
          <v:group style="position:absolute;margin-left:362.756989pt;margin-top:47.961319pt;width:76.150pt;height:24.7pt;mso-position-horizontal-relative:page;mso-position-vertical-relative:paragraph;z-index:-1133704" coordorigin="7255,959" coordsize="1523,494">
            <v:line style="position:absolute" from="7261,965" to="7261,1133" stroked="true" strokeweight=".524pt" strokecolor="#baf9f5"/>
            <v:shape style="position:absolute;left:7266;top:965;width:1512;height:326" coordorigin="7266,965" coordsize="1512,326" path="m8777,965l7266,965,7266,1122,7266,1133,7266,1290,8777,1290,8777,1133,8777,1122,8777,965e" filled="true" fillcolor="#baf9f5" stroked="false">
              <v:path arrowok="t"/>
              <v:fill type="solid"/>
            </v:shape>
            <v:line style="position:absolute" from="7261,1122" to="7261,1448" stroked="true" strokeweight=".524pt" strokecolor="#baf9f5"/>
            <v:rect style="position:absolute;left:7266;top:1290;width:1511;height:157" filled="true" fillcolor="#baf9f5" stroked="false">
              <v:fill type="solid"/>
            </v:rect>
            <w10:wrap type="none"/>
          </v:group>
        </w:pict>
      </w:r>
      <w:r>
        <w:rPr/>
        <w:pict>
          <v:group style="position:absolute;margin-left:362.756989pt;margin-top:87.319565pt;width:76.150pt;height:16.850pt;mso-position-horizontal-relative:page;mso-position-vertical-relative:paragraph;z-index:-1133680" coordorigin="7255,1746" coordsize="1523,337">
            <v:line style="position:absolute" from="7261,1752" to="7261,1920" stroked="true" strokeweight=".524pt" strokecolor="#baf9f5"/>
            <v:rect style="position:absolute;left:7266;top:1752;width:1511;height:168" filled="true" fillcolor="#baf9f5" stroked="false">
              <v:fill type="solid"/>
            </v:rect>
            <v:line style="position:absolute" from="7261,1920" to="7261,2077" stroked="true" strokeweight=".524pt" strokecolor="#baf9f5"/>
            <v:rect style="position:absolute;left:7266;top:1920;width:1511;height:157" filled="true" fillcolor="#baf9f5" stroked="false">
              <v:fill type="solid"/>
            </v:rect>
            <w10:wrap type="none"/>
          </v:group>
        </w:pict>
      </w:r>
      <w:r>
        <w:rPr/>
        <w:pict>
          <v:shape style="position:absolute;margin-left:472.449036pt;margin-top:87.594849pt;width:34.65pt;height:24.15pt;mso-position-horizontal-relative:page;mso-position-vertical-relative:paragraph;z-index:-1133656" coordorigin="9449,1752" coordsize="693,483" path="m10142,1752l9449,1752,9449,1920,9449,2067,9449,2077,9449,2235,10142,2235,10142,2077,10142,2067,10142,1920,10142,1752e" filled="true" fillcolor="#ffff00" stroked="false">
            <v:path arrowok="t"/>
            <v:fill type="solid"/>
            <w10:wrap type="none"/>
          </v:shape>
        </w:pict>
      </w:r>
      <w:r>
        <w:rPr/>
        <w:pict>
          <v:group style="position:absolute;margin-left:362.756989pt;margin-top:118.806564pt;width:76.150pt;height:16.850pt;mso-position-horizontal-relative:page;mso-position-vertical-relative:paragraph;z-index:-1133632" coordorigin="7255,2376" coordsize="1523,337">
            <v:line style="position:absolute" from="7261,2382" to="7261,2550" stroked="true" strokeweight=".524pt" strokecolor="#baf9f5"/>
            <v:rect style="position:absolute;left:7266;top:2382;width:1511;height:168" filled="true" fillcolor="#baf9f5" stroked="false">
              <v:fill type="solid"/>
            </v:rect>
            <v:line style="position:absolute" from="7261,2550" to="7261,2707" stroked="true" strokeweight=".524pt" strokecolor="#baf9f5"/>
            <v:rect style="position:absolute;left:7266;top:2550;width:1511;height:157" filled="true" fillcolor="#baf9f5" stroked="false">
              <v:fill type="solid"/>
            </v:rect>
            <w10:wrap type="none"/>
          </v:group>
        </w:pict>
      </w:r>
      <w:r>
        <w:rPr/>
        <w:pict>
          <v:shape style="position:absolute;margin-left:472.449036pt;margin-top:119.081856pt;width:34.65pt;height:24.15pt;mso-position-horizontal-relative:page;mso-position-vertical-relative:paragraph;z-index:-1133608" coordorigin="9449,2382" coordsize="693,483" path="m10142,2382l9449,2382,9449,2550,9449,2697,9449,2707,9449,2864,10142,2864,10142,2707,10142,2697,10142,2550,10142,2382e" filled="true" fillcolor="#ffff00" stroked="false">
            <v:path arrowok="t"/>
            <v:fill type="solid"/>
            <w10:wrap type="none"/>
          </v:shape>
        </w:pict>
      </w:r>
      <w:r>
        <w:rPr/>
        <w:pict>
          <v:group style="position:absolute;margin-left:362.756989pt;margin-top:150.293564pt;width:76.150pt;height:16.850pt;mso-position-horizontal-relative:page;mso-position-vertical-relative:paragraph;z-index:-1133584" coordorigin="7255,3006" coordsize="1523,337">
            <v:line style="position:absolute" from="7261,3011" to="7261,3179" stroked="true" strokeweight=".524pt" strokecolor="#baf9f5"/>
            <v:rect style="position:absolute;left:7266;top:3011;width:1511;height:168" filled="true" fillcolor="#baf9f5" stroked="false">
              <v:fill type="solid"/>
            </v:rect>
            <v:line style="position:absolute" from="7261,3179" to="7261,3337" stroked="true" strokeweight=".524pt" strokecolor="#baf9f5"/>
            <v:rect style="position:absolute;left:7266;top:3179;width:1511;height:157" filled="true" fillcolor="#baf9f5" stroked="false">
              <v:fill type="solid"/>
            </v:rect>
            <w10:wrap type="none"/>
          </v:group>
        </w:pict>
      </w:r>
      <w:r>
        <w:rPr/>
        <w:pict>
          <v:shape style="position:absolute;margin-left:472.449036pt;margin-top:150.568848pt;width:34.65pt;height:24.15pt;mso-position-horizontal-relative:page;mso-position-vertical-relative:paragraph;z-index:-1133560" coordorigin="9449,3011" coordsize="693,483" path="m10142,3011l9449,3011,9449,3179,9449,3326,9449,3337,9449,3494,10142,3494,10142,3337,10142,3326,10142,3179,10142,3011e" filled="true" fillcolor="#ffff00" stroked="false">
            <v:path arrowok="t"/>
            <v:fill type="solid"/>
            <w10:wrap type="none"/>
          </v:shape>
        </w:pict>
      </w:r>
      <w:r>
        <w:rPr/>
        <w:t>Tabla 61. IST Rancho la Providencia</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8"/>
        <w:gridCol w:w="1859"/>
        <w:gridCol w:w="2561"/>
        <w:gridCol w:w="1529"/>
        <w:gridCol w:w="890"/>
        <w:gridCol w:w="683"/>
        <w:gridCol w:w="681"/>
      </w:tblGrid>
      <w:tr>
        <w:trPr>
          <w:trHeight w:val="436" w:hRule="exact"/>
        </w:trPr>
        <w:tc>
          <w:tcPr>
            <w:tcW w:w="8822" w:type="dxa"/>
            <w:gridSpan w:val="7"/>
            <w:tcBorders>
              <w:bottom w:val="nil"/>
              <w:right w:val="single" w:sz="4" w:space="0" w:color="EEECE1"/>
            </w:tcBorders>
            <w:shd w:val="clear" w:color="auto" w:fill="000000"/>
          </w:tcPr>
          <w:p>
            <w:pPr>
              <w:pStyle w:val="TableParagraph"/>
              <w:spacing w:line="273" w:lineRule="auto" w:before="60"/>
              <w:ind w:left="3363" w:right="3357" w:firstLine="377"/>
              <w:jc w:val="left"/>
              <w:rPr>
                <w:b/>
                <w:sz w:val="12"/>
              </w:rPr>
            </w:pPr>
            <w:r>
              <w:rPr>
                <w:b/>
                <w:color w:val="FFFFFF"/>
                <w:w w:val="105"/>
                <w:sz w:val="12"/>
              </w:rPr>
              <w:t>Rancho la Providencia Índice de sustentabilidad</w:t>
            </w:r>
            <w:r>
              <w:rPr>
                <w:b/>
                <w:color w:val="FFFFFF"/>
                <w:spacing w:val="-3"/>
                <w:w w:val="105"/>
                <w:sz w:val="12"/>
              </w:rPr>
              <w:t> </w:t>
            </w:r>
            <w:r>
              <w:rPr>
                <w:b/>
                <w:color w:val="FFFFFF"/>
                <w:w w:val="105"/>
                <w:sz w:val="12"/>
              </w:rPr>
              <w:t>territorial</w:t>
            </w:r>
          </w:p>
        </w:tc>
      </w:tr>
      <w:tr>
        <w:trPr>
          <w:trHeight w:val="199" w:hRule="exact"/>
        </w:trPr>
        <w:tc>
          <w:tcPr>
            <w:tcW w:w="618" w:type="dxa"/>
            <w:tcBorders>
              <w:top w:val="single" w:sz="4" w:space="0" w:color="FFFFFF"/>
              <w:left w:val="single" w:sz="4" w:space="0" w:color="000000"/>
            </w:tcBorders>
            <w:shd w:val="clear" w:color="auto" w:fill="808080"/>
          </w:tcPr>
          <w:p>
            <w:pPr>
              <w:pStyle w:val="TableParagraph"/>
              <w:spacing w:line="136" w:lineRule="exact"/>
              <w:ind w:left="157"/>
              <w:jc w:val="left"/>
              <w:rPr>
                <w:b/>
                <w:sz w:val="12"/>
              </w:rPr>
            </w:pPr>
            <w:r>
              <w:rPr>
                <w:b/>
                <w:color w:val="FFFFFF"/>
                <w:w w:val="105"/>
                <w:sz w:val="12"/>
              </w:rPr>
              <w:t>Índice</w:t>
            </w:r>
          </w:p>
        </w:tc>
        <w:tc>
          <w:tcPr>
            <w:tcW w:w="1859" w:type="dxa"/>
            <w:tcBorders>
              <w:top w:val="single" w:sz="4" w:space="0" w:color="FFFFFF"/>
            </w:tcBorders>
            <w:shd w:val="clear" w:color="auto" w:fill="808080"/>
          </w:tcPr>
          <w:p>
            <w:pPr>
              <w:pStyle w:val="TableParagraph"/>
              <w:spacing w:line="136" w:lineRule="exact"/>
              <w:ind w:left="90"/>
              <w:jc w:val="left"/>
              <w:rPr>
                <w:b/>
                <w:sz w:val="12"/>
              </w:rPr>
            </w:pPr>
            <w:r>
              <w:rPr>
                <w:b/>
                <w:color w:val="FFFFFF"/>
                <w:w w:val="105"/>
                <w:sz w:val="12"/>
              </w:rPr>
              <w:t>Subíndice</w:t>
            </w:r>
          </w:p>
        </w:tc>
        <w:tc>
          <w:tcPr>
            <w:tcW w:w="2561" w:type="dxa"/>
            <w:tcBorders>
              <w:top w:val="single" w:sz="4" w:space="0" w:color="FFFFFF"/>
            </w:tcBorders>
            <w:shd w:val="clear" w:color="auto" w:fill="808080"/>
          </w:tcPr>
          <w:p>
            <w:pPr>
              <w:pStyle w:val="TableParagraph"/>
              <w:spacing w:line="136" w:lineRule="exact"/>
              <w:ind w:left="331" w:right="1044"/>
              <w:jc w:val="left"/>
              <w:rPr>
                <w:b/>
                <w:sz w:val="12"/>
              </w:rPr>
            </w:pPr>
            <w:r>
              <w:rPr>
                <w:b/>
                <w:color w:val="FFFFFF"/>
                <w:w w:val="105"/>
                <w:sz w:val="12"/>
              </w:rPr>
              <w:t>Indicador</w:t>
            </w:r>
          </w:p>
        </w:tc>
        <w:tc>
          <w:tcPr>
            <w:tcW w:w="1529" w:type="dxa"/>
            <w:tcBorders>
              <w:top w:val="single" w:sz="4" w:space="0" w:color="FFFFFF"/>
            </w:tcBorders>
            <w:shd w:val="clear" w:color="auto" w:fill="808080"/>
          </w:tcPr>
          <w:p>
            <w:pPr/>
          </w:p>
        </w:tc>
        <w:tc>
          <w:tcPr>
            <w:tcW w:w="890" w:type="dxa"/>
            <w:tcBorders>
              <w:top w:val="single" w:sz="4" w:space="0" w:color="FFFFFF"/>
            </w:tcBorders>
            <w:shd w:val="clear" w:color="auto" w:fill="808080"/>
          </w:tcPr>
          <w:p>
            <w:pPr>
              <w:pStyle w:val="TableParagraph"/>
              <w:spacing w:line="136" w:lineRule="exact"/>
              <w:ind w:left="260"/>
              <w:jc w:val="left"/>
              <w:rPr>
                <w:b/>
                <w:sz w:val="12"/>
              </w:rPr>
            </w:pPr>
            <w:r>
              <w:rPr>
                <w:b/>
                <w:color w:val="FFFFFF"/>
                <w:w w:val="105"/>
                <w:sz w:val="12"/>
              </w:rPr>
              <w:t>Valores</w:t>
            </w:r>
          </w:p>
        </w:tc>
        <w:tc>
          <w:tcPr>
            <w:tcW w:w="683" w:type="dxa"/>
            <w:tcBorders>
              <w:top w:val="single" w:sz="4" w:space="0" w:color="FFFFFF"/>
            </w:tcBorders>
            <w:shd w:val="clear" w:color="auto" w:fill="808080"/>
          </w:tcPr>
          <w:p>
            <w:pPr/>
          </w:p>
        </w:tc>
        <w:tc>
          <w:tcPr>
            <w:tcW w:w="681" w:type="dxa"/>
            <w:tcBorders>
              <w:top w:val="single" w:sz="4" w:space="0" w:color="FFFFFF"/>
              <w:right w:val="single" w:sz="8" w:space="0" w:color="000000"/>
            </w:tcBorders>
            <w:shd w:val="clear" w:color="auto" w:fill="808080"/>
          </w:tcPr>
          <w:p>
            <w:pPr/>
          </w:p>
        </w:tc>
      </w:tr>
      <w:tr>
        <w:trPr>
          <w:trHeight w:val="199" w:hRule="exact"/>
        </w:trPr>
        <w:tc>
          <w:tcPr>
            <w:tcW w:w="618" w:type="dxa"/>
            <w:vMerge w:val="restart"/>
            <w:tcBorders>
              <w:left w:val="single" w:sz="4" w:space="0" w:color="000000"/>
            </w:tcBorders>
          </w:tcPr>
          <w:p>
            <w:pPr/>
          </w:p>
        </w:tc>
        <w:tc>
          <w:tcPr>
            <w:tcW w:w="1859" w:type="dxa"/>
          </w:tcPr>
          <w:p>
            <w:pPr/>
          </w:p>
        </w:tc>
        <w:tc>
          <w:tcPr>
            <w:tcW w:w="2561" w:type="dxa"/>
          </w:tcPr>
          <w:p>
            <w:pPr/>
          </w:p>
        </w:tc>
        <w:tc>
          <w:tcPr>
            <w:tcW w:w="1529" w:type="dxa"/>
          </w:tcPr>
          <w:p>
            <w:pPr>
              <w:pStyle w:val="TableParagraph"/>
              <w:spacing w:before="45"/>
              <w:ind w:right="206"/>
              <w:jc w:val="right"/>
              <w:rPr>
                <w:b/>
                <w:sz w:val="12"/>
              </w:rPr>
            </w:pPr>
            <w:r>
              <w:rPr>
                <w:b/>
                <w:sz w:val="12"/>
              </w:rPr>
              <w:t>Evaluación</w:t>
            </w:r>
          </w:p>
        </w:tc>
        <w:tc>
          <w:tcPr>
            <w:tcW w:w="890" w:type="dxa"/>
          </w:tcPr>
          <w:p>
            <w:pPr>
              <w:pStyle w:val="TableParagraph"/>
              <w:tabs>
                <w:tab w:pos="900" w:val="left" w:leader="none"/>
              </w:tabs>
              <w:spacing w:before="45"/>
              <w:ind w:left="208" w:right="-11"/>
              <w:jc w:val="left"/>
              <w:rPr>
                <w:b/>
                <w:sz w:val="12"/>
              </w:rPr>
            </w:pPr>
            <w:r>
              <w:rPr>
                <w:b/>
                <w:w w:val="104"/>
                <w:sz w:val="12"/>
                <w:shd w:fill="F79646" w:color="auto" w:val="clear"/>
              </w:rPr>
              <w:t> </w:t>
            </w:r>
            <w:r>
              <w:rPr>
                <w:b/>
                <w:sz w:val="12"/>
                <w:shd w:fill="F79646" w:color="auto" w:val="clear"/>
              </w:rPr>
              <w:t>    </w:t>
            </w:r>
            <w:r>
              <w:rPr>
                <w:b/>
                <w:spacing w:val="8"/>
                <w:sz w:val="12"/>
                <w:shd w:fill="F79646" w:color="auto" w:val="clear"/>
              </w:rPr>
              <w:t> </w:t>
            </w:r>
            <w:r>
              <w:rPr>
                <w:b/>
                <w:w w:val="105"/>
                <w:sz w:val="12"/>
                <w:shd w:fill="F79646" w:color="auto" w:val="clear"/>
              </w:rPr>
              <w:t>Real</w:t>
            </w:r>
            <w:r>
              <w:rPr>
                <w:b/>
                <w:sz w:val="12"/>
                <w:shd w:fill="F79646" w:color="auto" w:val="clear"/>
              </w:rPr>
              <w:tab/>
            </w:r>
          </w:p>
        </w:tc>
        <w:tc>
          <w:tcPr>
            <w:tcW w:w="683" w:type="dxa"/>
            <w:tcBorders>
              <w:right w:val="single" w:sz="4" w:space="0" w:color="FFFFFF"/>
            </w:tcBorders>
            <w:shd w:val="clear" w:color="auto" w:fill="FFFF00"/>
          </w:tcPr>
          <w:p>
            <w:pPr>
              <w:pStyle w:val="TableParagraph"/>
              <w:spacing w:before="45"/>
              <w:ind w:left="53" w:right="31"/>
              <w:rPr>
                <w:b/>
                <w:sz w:val="12"/>
              </w:rPr>
            </w:pPr>
            <w:r>
              <w:rPr>
                <w:b/>
                <w:w w:val="105"/>
                <w:sz w:val="12"/>
              </w:rPr>
              <w:t>Deseable</w:t>
            </w:r>
          </w:p>
        </w:tc>
        <w:tc>
          <w:tcPr>
            <w:tcW w:w="681" w:type="dxa"/>
            <w:tcBorders>
              <w:left w:val="single" w:sz="4" w:space="0" w:color="FFFFFF"/>
              <w:right w:val="single" w:sz="8" w:space="0" w:color="000000"/>
            </w:tcBorders>
            <w:shd w:val="clear" w:color="auto" w:fill="67ED4D"/>
          </w:tcPr>
          <w:p>
            <w:pPr>
              <w:pStyle w:val="TableParagraph"/>
              <w:spacing w:before="45"/>
              <w:ind w:left="99" w:right="85"/>
              <w:rPr>
                <w:b/>
                <w:sz w:val="12"/>
              </w:rPr>
            </w:pPr>
            <w:r>
              <w:rPr>
                <w:b/>
                <w:w w:val="105"/>
                <w:sz w:val="12"/>
              </w:rPr>
              <w:t>Óptimo</w:t>
            </w:r>
          </w:p>
        </w:tc>
      </w:tr>
      <w:tr>
        <w:trPr>
          <w:trHeight w:val="159" w:hRule="exact"/>
        </w:trPr>
        <w:tc>
          <w:tcPr>
            <w:tcW w:w="618" w:type="dxa"/>
            <w:vMerge/>
            <w:tcBorders>
              <w:left w:val="single" w:sz="4" w:space="0" w:color="000000"/>
            </w:tcBorders>
          </w:tcPr>
          <w:p>
            <w:pPr/>
          </w:p>
        </w:tc>
        <w:tc>
          <w:tcPr>
            <w:tcW w:w="1859" w:type="dxa"/>
            <w:vMerge w:val="restart"/>
          </w:tcPr>
          <w:p>
            <w:pPr>
              <w:pStyle w:val="TableParagraph"/>
              <w:spacing w:before="75"/>
              <w:ind w:left="90"/>
              <w:jc w:val="left"/>
              <w:rPr>
                <w:rFonts w:ascii="Calibri"/>
                <w:sz w:val="12"/>
              </w:rPr>
            </w:pPr>
            <w:r>
              <w:rPr>
                <w:rFonts w:ascii="Calibri"/>
                <w:w w:val="105"/>
                <w:sz w:val="12"/>
              </w:rPr>
              <w:t>Uso de suelo</w:t>
            </w:r>
          </w:p>
        </w:tc>
        <w:tc>
          <w:tcPr>
            <w:tcW w:w="2561" w:type="dxa"/>
            <w:vMerge w:val="restart"/>
          </w:tcPr>
          <w:p>
            <w:pPr>
              <w:pStyle w:val="TableParagraph"/>
              <w:spacing w:line="256" w:lineRule="auto" w:before="1"/>
              <w:ind w:left="331" w:right="1044"/>
              <w:jc w:val="left"/>
              <w:rPr>
                <w:rFonts w:ascii="Calibri" w:hAnsi="Calibri"/>
                <w:sz w:val="12"/>
              </w:rPr>
            </w:pPr>
            <w:r>
              <w:rPr>
                <w:rFonts w:ascii="Calibri" w:hAnsi="Calibri"/>
                <w:w w:val="105"/>
                <w:sz w:val="12"/>
              </w:rPr>
              <w:t>Clasificación del suelo Densidad de población</w:t>
            </w:r>
          </w:p>
        </w:tc>
        <w:tc>
          <w:tcPr>
            <w:tcW w:w="1529" w:type="dxa"/>
            <w:vMerge w:val="restart"/>
          </w:tcPr>
          <w:p>
            <w:pPr>
              <w:pStyle w:val="TableParagraph"/>
              <w:spacing w:before="1"/>
              <w:ind w:left="960"/>
              <w:jc w:val="left"/>
              <w:rPr>
                <w:rFonts w:ascii="Calibri"/>
                <w:sz w:val="12"/>
              </w:rPr>
            </w:pPr>
            <w:r>
              <w:rPr>
                <w:rFonts w:ascii="Calibri"/>
                <w:w w:val="104"/>
                <w:sz w:val="12"/>
              </w:rPr>
              <w:t>0</w:t>
            </w:r>
          </w:p>
          <w:p>
            <w:pPr>
              <w:pStyle w:val="TableParagraph"/>
              <w:spacing w:before="11"/>
              <w:ind w:left="908"/>
              <w:jc w:val="left"/>
              <w:rPr>
                <w:rFonts w:ascii="Calibri"/>
                <w:sz w:val="12"/>
              </w:rPr>
            </w:pPr>
            <w:r>
              <w:rPr>
                <w:rFonts w:ascii="Calibri"/>
                <w:w w:val="105"/>
                <w:sz w:val="12"/>
              </w:rPr>
              <w:t>0.5</w:t>
            </w:r>
          </w:p>
        </w:tc>
        <w:tc>
          <w:tcPr>
            <w:tcW w:w="890" w:type="dxa"/>
            <w:vMerge w:val="restart"/>
          </w:tcPr>
          <w:p>
            <w:pPr/>
          </w:p>
        </w:tc>
        <w:tc>
          <w:tcPr>
            <w:tcW w:w="683" w:type="dxa"/>
            <w:tcBorders>
              <w:right w:val="single" w:sz="4" w:space="0" w:color="FFFFFF"/>
            </w:tcBorders>
            <w:shd w:val="clear" w:color="auto" w:fill="FFFF00"/>
          </w:tcPr>
          <w:p>
            <w:pPr>
              <w:pStyle w:val="TableParagraph"/>
              <w:spacing w:before="1"/>
              <w:ind w:left="37" w:right="31"/>
              <w:rPr>
                <w:rFonts w:ascii="Calibri"/>
                <w:sz w:val="12"/>
              </w:rPr>
            </w:pPr>
            <w:r>
              <w:rPr>
                <w:rFonts w:ascii="Calibri"/>
                <w:w w:val="105"/>
                <w:sz w:val="12"/>
              </w:rPr>
              <w:t>0.5</w:t>
            </w:r>
          </w:p>
        </w:tc>
        <w:tc>
          <w:tcPr>
            <w:tcW w:w="681" w:type="dxa"/>
            <w:tcBorders>
              <w:left w:val="single" w:sz="4" w:space="0" w:color="FFFFFF"/>
              <w:right w:val="single" w:sz="8" w:space="0" w:color="000000"/>
            </w:tcBorders>
            <w:shd w:val="clear" w:color="auto" w:fill="67ED4D"/>
          </w:tcPr>
          <w:p>
            <w:pPr>
              <w:pStyle w:val="TableParagraph"/>
              <w:spacing w:before="1"/>
              <w:ind w:left="15"/>
              <w:rPr>
                <w:rFonts w:ascii="Calibri"/>
                <w:sz w:val="12"/>
              </w:rPr>
            </w:pPr>
            <w:r>
              <w:rPr>
                <w:rFonts w:ascii="Calibri"/>
                <w:w w:val="104"/>
                <w:sz w:val="12"/>
              </w:rPr>
              <w:t>1</w:t>
            </w:r>
          </w:p>
        </w:tc>
      </w:tr>
      <w:tr>
        <w:trPr>
          <w:trHeight w:val="157" w:hRule="exact"/>
        </w:trPr>
        <w:tc>
          <w:tcPr>
            <w:tcW w:w="618" w:type="dxa"/>
            <w:vMerge/>
            <w:tcBorders>
              <w:left w:val="single" w:sz="4" w:space="0" w:color="000000"/>
            </w:tcBorders>
          </w:tcPr>
          <w:p>
            <w:pPr/>
          </w:p>
        </w:tc>
        <w:tc>
          <w:tcPr>
            <w:tcW w:w="1859" w:type="dxa"/>
            <w:vMerge/>
          </w:tcPr>
          <w:p>
            <w:pPr/>
          </w:p>
        </w:tc>
        <w:tc>
          <w:tcPr>
            <w:tcW w:w="2561" w:type="dxa"/>
            <w:vMerge/>
          </w:tcPr>
          <w:p>
            <w:pPr/>
          </w:p>
        </w:tc>
        <w:tc>
          <w:tcPr>
            <w:tcW w:w="1529" w:type="dxa"/>
            <w:vMerge/>
          </w:tcPr>
          <w:p>
            <w:pPr/>
          </w:p>
        </w:tc>
        <w:tc>
          <w:tcPr>
            <w:tcW w:w="890" w:type="dxa"/>
            <w:vMerge/>
          </w:tcPr>
          <w:p>
            <w:pPr/>
          </w:p>
        </w:tc>
        <w:tc>
          <w:tcPr>
            <w:tcW w:w="683" w:type="dxa"/>
            <w:tcBorders>
              <w:right w:val="single" w:sz="4" w:space="0" w:color="FFFFFF"/>
            </w:tcBorders>
            <w:shd w:val="clear" w:color="auto" w:fill="FFFF00"/>
          </w:tcPr>
          <w:p>
            <w:pPr>
              <w:pStyle w:val="TableParagraph"/>
              <w:spacing w:line="146" w:lineRule="exact"/>
              <w:ind w:left="37" w:right="31"/>
              <w:rPr>
                <w:rFonts w:ascii="Calibri"/>
                <w:sz w:val="12"/>
              </w:rPr>
            </w:pPr>
            <w:r>
              <w:rPr>
                <w:rFonts w:ascii="Calibri"/>
                <w:w w:val="105"/>
                <w:sz w:val="12"/>
              </w:rPr>
              <w:t>0.5</w:t>
            </w:r>
          </w:p>
        </w:tc>
        <w:tc>
          <w:tcPr>
            <w:tcW w:w="681" w:type="dxa"/>
            <w:tcBorders>
              <w:left w:val="single" w:sz="4" w:space="0" w:color="FFFFFF"/>
              <w:right w:val="single" w:sz="8" w:space="0" w:color="000000"/>
            </w:tcBorders>
            <w:shd w:val="clear" w:color="auto" w:fill="67ED4D"/>
          </w:tcPr>
          <w:p>
            <w:pPr>
              <w:pStyle w:val="TableParagraph"/>
              <w:spacing w:line="146" w:lineRule="exact"/>
              <w:ind w:left="15"/>
              <w:rPr>
                <w:rFonts w:ascii="Calibri"/>
                <w:sz w:val="12"/>
              </w:rPr>
            </w:pPr>
            <w:r>
              <w:rPr>
                <w:rFonts w:ascii="Calibri"/>
                <w:w w:val="104"/>
                <w:sz w:val="12"/>
              </w:rPr>
              <w:t>1</w:t>
            </w:r>
          </w:p>
        </w:tc>
      </w:tr>
      <w:tr>
        <w:trPr>
          <w:trHeight w:val="161" w:hRule="exact"/>
        </w:trPr>
        <w:tc>
          <w:tcPr>
            <w:tcW w:w="618" w:type="dxa"/>
            <w:vMerge/>
            <w:tcBorders>
              <w:left w:val="single" w:sz="4" w:space="0" w:color="000000"/>
            </w:tcBorders>
          </w:tcPr>
          <w:p>
            <w:pPr/>
          </w:p>
        </w:tc>
        <w:tc>
          <w:tcPr>
            <w:tcW w:w="1859" w:type="dxa"/>
          </w:tcPr>
          <w:p>
            <w:pPr/>
          </w:p>
        </w:tc>
        <w:tc>
          <w:tcPr>
            <w:tcW w:w="2561" w:type="dxa"/>
          </w:tcPr>
          <w:p>
            <w:pPr/>
          </w:p>
        </w:tc>
        <w:tc>
          <w:tcPr>
            <w:tcW w:w="1529" w:type="dxa"/>
          </w:tcPr>
          <w:p>
            <w:pPr>
              <w:pStyle w:val="TableParagraph"/>
              <w:spacing w:before="1"/>
              <w:ind w:right="325"/>
              <w:jc w:val="right"/>
              <w:rPr>
                <w:rFonts w:ascii="Calibri"/>
                <w:sz w:val="12"/>
              </w:rPr>
            </w:pPr>
            <w:r>
              <w:rPr>
                <w:rFonts w:ascii="Calibri"/>
                <w:w w:val="105"/>
                <w:sz w:val="12"/>
              </w:rPr>
              <w:t>Subtotal</w:t>
            </w:r>
          </w:p>
        </w:tc>
        <w:tc>
          <w:tcPr>
            <w:tcW w:w="890" w:type="dxa"/>
          </w:tcPr>
          <w:p>
            <w:pPr>
              <w:pStyle w:val="TableParagraph"/>
              <w:tabs>
                <w:tab w:pos="470" w:val="left" w:leader="none"/>
                <w:tab w:pos="900" w:val="left" w:leader="none"/>
              </w:tabs>
              <w:spacing w:before="1"/>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0.5</w:t>
            </w:r>
            <w:r>
              <w:rPr>
                <w:rFonts w:ascii="Calibri"/>
                <w:sz w:val="12"/>
                <w:shd w:fill="F79646" w:color="auto" w:val="clear"/>
              </w:rPr>
              <w:tab/>
            </w:r>
          </w:p>
        </w:tc>
        <w:tc>
          <w:tcPr>
            <w:tcW w:w="683" w:type="dxa"/>
            <w:tcBorders>
              <w:right w:val="single" w:sz="4" w:space="0" w:color="FFFFFF"/>
            </w:tcBorders>
            <w:shd w:val="clear" w:color="auto" w:fill="FFFF00"/>
          </w:tcPr>
          <w:p>
            <w:pPr>
              <w:pStyle w:val="TableParagraph"/>
              <w:spacing w:line="146" w:lineRule="exact"/>
              <w:ind w:left="15"/>
              <w:rPr>
                <w:rFonts w:ascii="Calibri"/>
                <w:sz w:val="12"/>
              </w:rPr>
            </w:pPr>
            <w:r>
              <w:rPr>
                <w:rFonts w:ascii="Calibri"/>
                <w:w w:val="104"/>
                <w:sz w:val="12"/>
              </w:rPr>
              <w:t>1</w:t>
            </w:r>
          </w:p>
        </w:tc>
        <w:tc>
          <w:tcPr>
            <w:tcW w:w="681" w:type="dxa"/>
            <w:tcBorders>
              <w:left w:val="single" w:sz="4" w:space="0" w:color="FFFFFF"/>
              <w:right w:val="single" w:sz="8" w:space="0" w:color="000000"/>
            </w:tcBorders>
            <w:shd w:val="clear" w:color="auto" w:fill="67ED4D"/>
          </w:tcPr>
          <w:p>
            <w:pPr>
              <w:pStyle w:val="TableParagraph"/>
              <w:spacing w:line="146" w:lineRule="exact"/>
              <w:ind w:left="15"/>
              <w:rPr>
                <w:rFonts w:ascii="Calibri"/>
                <w:sz w:val="12"/>
              </w:rPr>
            </w:pPr>
            <w:r>
              <w:rPr>
                <w:rFonts w:ascii="Calibri"/>
                <w:w w:val="104"/>
                <w:sz w:val="12"/>
              </w:rPr>
              <w:t>2</w:t>
            </w:r>
          </w:p>
        </w:tc>
      </w:tr>
      <w:tr>
        <w:trPr>
          <w:trHeight w:val="147" w:hRule="exact"/>
        </w:trPr>
        <w:tc>
          <w:tcPr>
            <w:tcW w:w="8822" w:type="dxa"/>
            <w:gridSpan w:val="7"/>
            <w:tcBorders>
              <w:left w:val="single" w:sz="4" w:space="0" w:color="000000"/>
              <w:right w:val="single" w:sz="8" w:space="0" w:color="000000"/>
            </w:tcBorders>
          </w:tcPr>
          <w:p>
            <w:pPr/>
          </w:p>
        </w:tc>
      </w:tr>
      <w:tr>
        <w:trPr>
          <w:trHeight w:val="164" w:hRule="exact"/>
        </w:trPr>
        <w:tc>
          <w:tcPr>
            <w:tcW w:w="618" w:type="dxa"/>
            <w:vMerge w:val="restart"/>
            <w:tcBorders>
              <w:left w:val="single" w:sz="4" w:space="0" w:color="000000"/>
            </w:tcBorders>
          </w:tcPr>
          <w:p>
            <w:pPr/>
          </w:p>
        </w:tc>
        <w:tc>
          <w:tcPr>
            <w:tcW w:w="1859" w:type="dxa"/>
            <w:vMerge w:val="restart"/>
          </w:tcPr>
          <w:p>
            <w:pPr>
              <w:pStyle w:val="TableParagraph"/>
              <w:spacing w:before="80"/>
              <w:ind w:left="90"/>
              <w:jc w:val="left"/>
              <w:rPr>
                <w:rFonts w:ascii="Calibri"/>
                <w:sz w:val="12"/>
              </w:rPr>
            </w:pPr>
            <w:r>
              <w:rPr>
                <w:rFonts w:ascii="Calibri"/>
                <w:w w:val="105"/>
                <w:sz w:val="12"/>
              </w:rPr>
              <w:t>Vivienda</w:t>
            </w:r>
          </w:p>
        </w:tc>
        <w:tc>
          <w:tcPr>
            <w:tcW w:w="2561" w:type="dxa"/>
            <w:vMerge w:val="restart"/>
          </w:tcPr>
          <w:p>
            <w:pPr>
              <w:pStyle w:val="TableParagraph"/>
              <w:spacing w:line="256" w:lineRule="auto" w:before="6"/>
              <w:ind w:left="331" w:right="1603"/>
              <w:jc w:val="left"/>
              <w:rPr>
                <w:rFonts w:ascii="Calibri"/>
                <w:sz w:val="12"/>
              </w:rPr>
            </w:pPr>
            <w:r>
              <w:rPr>
                <w:rFonts w:ascii="Calibri"/>
                <w:w w:val="105"/>
                <w:sz w:val="12"/>
              </w:rPr>
              <w:t>Autorizadas Tipo</w:t>
            </w:r>
          </w:p>
        </w:tc>
        <w:tc>
          <w:tcPr>
            <w:tcW w:w="1529" w:type="dxa"/>
            <w:vMerge w:val="restart"/>
          </w:tcPr>
          <w:p>
            <w:pPr>
              <w:pStyle w:val="TableParagraph"/>
              <w:spacing w:before="6"/>
              <w:ind w:left="960"/>
              <w:jc w:val="left"/>
              <w:rPr>
                <w:rFonts w:ascii="Calibri"/>
                <w:sz w:val="12"/>
              </w:rPr>
            </w:pPr>
            <w:r>
              <w:rPr>
                <w:rFonts w:ascii="Calibri"/>
                <w:w w:val="104"/>
                <w:sz w:val="12"/>
              </w:rPr>
              <w:t>1</w:t>
            </w:r>
          </w:p>
          <w:p>
            <w:pPr>
              <w:pStyle w:val="TableParagraph"/>
              <w:spacing w:before="11"/>
              <w:ind w:left="960"/>
              <w:jc w:val="left"/>
              <w:rPr>
                <w:rFonts w:ascii="Calibri"/>
                <w:sz w:val="12"/>
              </w:rPr>
            </w:pPr>
            <w:r>
              <w:rPr>
                <w:rFonts w:ascii="Calibri"/>
                <w:w w:val="104"/>
                <w:sz w:val="12"/>
              </w:rPr>
              <w:t>0</w:t>
            </w:r>
          </w:p>
        </w:tc>
        <w:tc>
          <w:tcPr>
            <w:tcW w:w="890" w:type="dxa"/>
            <w:vMerge w:val="restart"/>
          </w:tcPr>
          <w:p>
            <w:pPr/>
          </w:p>
        </w:tc>
        <w:tc>
          <w:tcPr>
            <w:tcW w:w="683" w:type="dxa"/>
            <w:vMerge w:val="restart"/>
          </w:tcPr>
          <w:p>
            <w:pPr>
              <w:pStyle w:val="TableParagraph"/>
              <w:spacing w:before="6"/>
              <w:ind w:left="10"/>
              <w:rPr>
                <w:rFonts w:ascii="Calibri"/>
                <w:sz w:val="12"/>
              </w:rPr>
            </w:pPr>
            <w:r>
              <w:rPr>
                <w:rFonts w:ascii="Calibri"/>
                <w:w w:val="104"/>
                <w:sz w:val="12"/>
              </w:rPr>
              <w:t>1</w:t>
            </w:r>
          </w:p>
          <w:p>
            <w:pPr>
              <w:pStyle w:val="TableParagraph"/>
              <w:spacing w:before="11"/>
              <w:ind w:left="209" w:right="208"/>
              <w:rPr>
                <w:rFonts w:ascii="Calibri"/>
                <w:sz w:val="12"/>
              </w:rPr>
            </w:pPr>
            <w:r>
              <w:rPr>
                <w:rFonts w:ascii="Calibri"/>
                <w:w w:val="105"/>
                <w:sz w:val="12"/>
              </w:rPr>
              <w:t>0.5</w:t>
            </w:r>
          </w:p>
        </w:tc>
        <w:tc>
          <w:tcPr>
            <w:tcW w:w="681" w:type="dxa"/>
            <w:tcBorders>
              <w:right w:val="single" w:sz="8" w:space="0" w:color="000000"/>
            </w:tcBorders>
            <w:shd w:val="clear" w:color="auto" w:fill="67ED4D"/>
          </w:tcPr>
          <w:p>
            <w:pPr>
              <w:pStyle w:val="TableParagraph"/>
              <w:spacing w:before="6"/>
              <w:ind w:left="21"/>
              <w:rPr>
                <w:rFonts w:ascii="Calibri"/>
                <w:sz w:val="12"/>
              </w:rPr>
            </w:pPr>
            <w:r>
              <w:rPr>
                <w:rFonts w:ascii="Calibri"/>
                <w:w w:val="104"/>
                <w:sz w:val="12"/>
              </w:rPr>
              <w:t>1</w:t>
            </w:r>
          </w:p>
        </w:tc>
      </w:tr>
      <w:tr>
        <w:trPr>
          <w:trHeight w:val="157" w:hRule="exact"/>
        </w:trPr>
        <w:tc>
          <w:tcPr>
            <w:tcW w:w="618" w:type="dxa"/>
            <w:vMerge/>
            <w:tcBorders>
              <w:left w:val="single" w:sz="4" w:space="0" w:color="000000"/>
            </w:tcBorders>
          </w:tcPr>
          <w:p>
            <w:pPr/>
          </w:p>
        </w:tc>
        <w:tc>
          <w:tcPr>
            <w:tcW w:w="1859" w:type="dxa"/>
            <w:vMerge/>
          </w:tcPr>
          <w:p>
            <w:pPr/>
          </w:p>
        </w:tc>
        <w:tc>
          <w:tcPr>
            <w:tcW w:w="2561" w:type="dxa"/>
            <w:vMerge/>
          </w:tcPr>
          <w:p>
            <w:pPr/>
          </w:p>
        </w:tc>
        <w:tc>
          <w:tcPr>
            <w:tcW w:w="1529" w:type="dxa"/>
            <w:vMerge/>
          </w:tcPr>
          <w:p>
            <w:pPr/>
          </w:p>
        </w:tc>
        <w:tc>
          <w:tcPr>
            <w:tcW w:w="890" w:type="dxa"/>
            <w:vMerge/>
          </w:tcPr>
          <w:p>
            <w:pPr/>
          </w:p>
        </w:tc>
        <w:tc>
          <w:tcPr>
            <w:tcW w:w="683" w:type="dxa"/>
            <w:vMerge/>
          </w:tcPr>
          <w:p>
            <w:pP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1</w:t>
            </w:r>
          </w:p>
        </w:tc>
      </w:tr>
      <w:tr>
        <w:trPr>
          <w:trHeight w:val="161" w:hRule="exact"/>
        </w:trPr>
        <w:tc>
          <w:tcPr>
            <w:tcW w:w="618" w:type="dxa"/>
            <w:vMerge/>
            <w:tcBorders>
              <w:left w:val="single" w:sz="4" w:space="0" w:color="000000"/>
            </w:tcBorders>
          </w:tcPr>
          <w:p>
            <w:pPr/>
          </w:p>
        </w:tc>
        <w:tc>
          <w:tcPr>
            <w:tcW w:w="1859" w:type="dxa"/>
          </w:tcPr>
          <w:p>
            <w:pPr/>
          </w:p>
        </w:tc>
        <w:tc>
          <w:tcPr>
            <w:tcW w:w="2561" w:type="dxa"/>
          </w:tcPr>
          <w:p>
            <w:pPr/>
          </w:p>
        </w:tc>
        <w:tc>
          <w:tcPr>
            <w:tcW w:w="1529" w:type="dxa"/>
          </w:tcPr>
          <w:p>
            <w:pPr>
              <w:pStyle w:val="TableParagraph"/>
              <w:spacing w:before="1"/>
              <w:ind w:right="325"/>
              <w:jc w:val="right"/>
              <w:rPr>
                <w:rFonts w:ascii="Calibri"/>
                <w:sz w:val="12"/>
              </w:rPr>
            </w:pPr>
            <w:r>
              <w:rPr>
                <w:rFonts w:ascii="Calibri"/>
                <w:w w:val="105"/>
                <w:sz w:val="12"/>
              </w:rPr>
              <w:t>Subtotal</w:t>
            </w:r>
          </w:p>
        </w:tc>
        <w:tc>
          <w:tcPr>
            <w:tcW w:w="890" w:type="dxa"/>
          </w:tcPr>
          <w:p>
            <w:pPr>
              <w:pStyle w:val="TableParagraph"/>
              <w:tabs>
                <w:tab w:pos="522" w:val="left" w:leader="none"/>
                <w:tab w:pos="900" w:val="left" w:leader="none"/>
              </w:tabs>
              <w:spacing w:before="1"/>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1</w:t>
            </w:r>
            <w:r>
              <w:rPr>
                <w:rFonts w:ascii="Calibri"/>
                <w:sz w:val="12"/>
                <w:shd w:fill="F79646" w:color="auto" w:val="clear"/>
              </w:rPr>
              <w:tab/>
            </w:r>
          </w:p>
        </w:tc>
        <w:tc>
          <w:tcPr>
            <w:tcW w:w="683" w:type="dxa"/>
          </w:tcPr>
          <w:p>
            <w:pPr>
              <w:pStyle w:val="TableParagraph"/>
              <w:spacing w:before="1"/>
              <w:ind w:left="209" w:right="208"/>
              <w:rPr>
                <w:rFonts w:ascii="Calibri"/>
                <w:sz w:val="12"/>
              </w:rPr>
            </w:pPr>
            <w:r>
              <w:rPr>
                <w:rFonts w:ascii="Calibri"/>
                <w:w w:val="105"/>
                <w:sz w:val="12"/>
              </w:rPr>
              <w:t>1.5</w:t>
            </w: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2</w:t>
            </w:r>
          </w:p>
        </w:tc>
      </w:tr>
      <w:tr>
        <w:trPr>
          <w:trHeight w:val="147" w:hRule="exact"/>
        </w:trPr>
        <w:tc>
          <w:tcPr>
            <w:tcW w:w="8822" w:type="dxa"/>
            <w:gridSpan w:val="7"/>
            <w:tcBorders>
              <w:left w:val="single" w:sz="4" w:space="0" w:color="000000"/>
              <w:right w:val="single" w:sz="8" w:space="0" w:color="000000"/>
            </w:tcBorders>
          </w:tcPr>
          <w:p>
            <w:pPr/>
          </w:p>
        </w:tc>
      </w:tr>
      <w:tr>
        <w:trPr>
          <w:trHeight w:val="164" w:hRule="exact"/>
        </w:trPr>
        <w:tc>
          <w:tcPr>
            <w:tcW w:w="618" w:type="dxa"/>
            <w:vMerge w:val="restart"/>
            <w:tcBorders>
              <w:left w:val="single" w:sz="4" w:space="0" w:color="000000"/>
            </w:tcBorders>
          </w:tcPr>
          <w:p>
            <w:pPr/>
          </w:p>
        </w:tc>
        <w:tc>
          <w:tcPr>
            <w:tcW w:w="1859" w:type="dxa"/>
            <w:vMerge w:val="restart"/>
          </w:tcPr>
          <w:p>
            <w:pPr>
              <w:pStyle w:val="TableParagraph"/>
              <w:spacing w:before="80"/>
              <w:ind w:left="90"/>
              <w:jc w:val="left"/>
              <w:rPr>
                <w:rFonts w:ascii="Calibri" w:hAnsi="Calibri"/>
                <w:sz w:val="12"/>
              </w:rPr>
            </w:pPr>
            <w:r>
              <w:rPr>
                <w:rFonts w:ascii="Calibri" w:hAnsi="Calibri"/>
                <w:w w:val="105"/>
                <w:sz w:val="12"/>
              </w:rPr>
              <w:t>Municipalización</w:t>
            </w:r>
          </w:p>
        </w:tc>
        <w:tc>
          <w:tcPr>
            <w:tcW w:w="2561" w:type="dxa"/>
            <w:vMerge w:val="restart"/>
          </w:tcPr>
          <w:p>
            <w:pPr>
              <w:pStyle w:val="TableParagraph"/>
              <w:spacing w:line="256" w:lineRule="auto" w:before="6"/>
              <w:ind w:left="331" w:right="1869"/>
              <w:jc w:val="left"/>
              <w:rPr>
                <w:rFonts w:ascii="Calibri"/>
                <w:sz w:val="12"/>
              </w:rPr>
            </w:pPr>
            <w:r>
              <w:rPr>
                <w:rFonts w:ascii="Calibri"/>
                <w:w w:val="105"/>
                <w:sz w:val="12"/>
              </w:rPr>
              <w:t>Parcial Total</w:t>
            </w:r>
          </w:p>
        </w:tc>
        <w:tc>
          <w:tcPr>
            <w:tcW w:w="1529" w:type="dxa"/>
            <w:vMerge w:val="restart"/>
          </w:tcPr>
          <w:p>
            <w:pPr>
              <w:pStyle w:val="TableParagraph"/>
              <w:spacing w:before="6"/>
              <w:ind w:left="960"/>
              <w:jc w:val="left"/>
              <w:rPr>
                <w:rFonts w:ascii="Calibri"/>
                <w:sz w:val="12"/>
              </w:rPr>
            </w:pPr>
            <w:r>
              <w:rPr>
                <w:rFonts w:ascii="Calibri"/>
                <w:w w:val="104"/>
                <w:sz w:val="12"/>
              </w:rPr>
              <w:t>0</w:t>
            </w:r>
          </w:p>
          <w:p>
            <w:pPr>
              <w:pStyle w:val="TableParagraph"/>
              <w:spacing w:before="11"/>
              <w:ind w:left="960"/>
              <w:jc w:val="left"/>
              <w:rPr>
                <w:rFonts w:ascii="Calibri"/>
                <w:sz w:val="12"/>
              </w:rPr>
            </w:pPr>
            <w:r>
              <w:rPr>
                <w:rFonts w:ascii="Calibri"/>
                <w:w w:val="104"/>
                <w:sz w:val="12"/>
              </w:rPr>
              <w:t>0</w:t>
            </w:r>
          </w:p>
        </w:tc>
        <w:tc>
          <w:tcPr>
            <w:tcW w:w="890" w:type="dxa"/>
            <w:vMerge w:val="restart"/>
          </w:tcPr>
          <w:p>
            <w:pPr/>
          </w:p>
        </w:tc>
        <w:tc>
          <w:tcPr>
            <w:tcW w:w="683" w:type="dxa"/>
            <w:vMerge w:val="restart"/>
          </w:tcPr>
          <w:p>
            <w:pPr>
              <w:pStyle w:val="TableParagraph"/>
              <w:spacing w:before="6"/>
              <w:ind w:left="209" w:right="208"/>
              <w:rPr>
                <w:rFonts w:ascii="Calibri"/>
                <w:sz w:val="12"/>
              </w:rPr>
            </w:pPr>
            <w:r>
              <w:rPr>
                <w:rFonts w:ascii="Calibri"/>
                <w:w w:val="105"/>
                <w:sz w:val="12"/>
              </w:rPr>
              <w:t>0.5</w:t>
            </w:r>
          </w:p>
          <w:p>
            <w:pPr>
              <w:pStyle w:val="TableParagraph"/>
              <w:spacing w:before="11"/>
              <w:ind w:left="209" w:right="208"/>
              <w:rPr>
                <w:rFonts w:ascii="Calibri"/>
                <w:sz w:val="12"/>
              </w:rPr>
            </w:pPr>
            <w:r>
              <w:rPr>
                <w:rFonts w:ascii="Calibri"/>
                <w:w w:val="105"/>
                <w:sz w:val="12"/>
              </w:rPr>
              <w:t>0.5</w:t>
            </w:r>
          </w:p>
        </w:tc>
        <w:tc>
          <w:tcPr>
            <w:tcW w:w="681" w:type="dxa"/>
            <w:tcBorders>
              <w:right w:val="single" w:sz="8" w:space="0" w:color="000000"/>
            </w:tcBorders>
            <w:shd w:val="clear" w:color="auto" w:fill="67ED4D"/>
          </w:tcPr>
          <w:p>
            <w:pPr>
              <w:pStyle w:val="TableParagraph"/>
              <w:spacing w:before="6"/>
              <w:ind w:left="21"/>
              <w:rPr>
                <w:rFonts w:ascii="Calibri"/>
                <w:sz w:val="12"/>
              </w:rPr>
            </w:pPr>
            <w:r>
              <w:rPr>
                <w:rFonts w:ascii="Calibri"/>
                <w:w w:val="104"/>
                <w:sz w:val="12"/>
              </w:rPr>
              <w:t>1</w:t>
            </w:r>
          </w:p>
        </w:tc>
      </w:tr>
      <w:tr>
        <w:trPr>
          <w:trHeight w:val="157" w:hRule="exact"/>
        </w:trPr>
        <w:tc>
          <w:tcPr>
            <w:tcW w:w="618" w:type="dxa"/>
            <w:vMerge/>
            <w:tcBorders>
              <w:left w:val="single" w:sz="4" w:space="0" w:color="000000"/>
            </w:tcBorders>
          </w:tcPr>
          <w:p>
            <w:pPr/>
          </w:p>
        </w:tc>
        <w:tc>
          <w:tcPr>
            <w:tcW w:w="1859" w:type="dxa"/>
            <w:vMerge/>
          </w:tcPr>
          <w:p>
            <w:pPr/>
          </w:p>
        </w:tc>
        <w:tc>
          <w:tcPr>
            <w:tcW w:w="2561" w:type="dxa"/>
            <w:vMerge/>
          </w:tcPr>
          <w:p>
            <w:pPr/>
          </w:p>
        </w:tc>
        <w:tc>
          <w:tcPr>
            <w:tcW w:w="1529" w:type="dxa"/>
            <w:vMerge/>
          </w:tcPr>
          <w:p>
            <w:pPr/>
          </w:p>
        </w:tc>
        <w:tc>
          <w:tcPr>
            <w:tcW w:w="890" w:type="dxa"/>
            <w:vMerge/>
          </w:tcPr>
          <w:p>
            <w:pPr/>
          </w:p>
        </w:tc>
        <w:tc>
          <w:tcPr>
            <w:tcW w:w="683" w:type="dxa"/>
            <w:vMerge/>
          </w:tcPr>
          <w:p>
            <w:pP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1</w:t>
            </w:r>
          </w:p>
        </w:tc>
      </w:tr>
      <w:tr>
        <w:trPr>
          <w:trHeight w:val="161" w:hRule="exact"/>
        </w:trPr>
        <w:tc>
          <w:tcPr>
            <w:tcW w:w="618" w:type="dxa"/>
            <w:vMerge/>
            <w:tcBorders>
              <w:left w:val="single" w:sz="4" w:space="0" w:color="000000"/>
            </w:tcBorders>
          </w:tcPr>
          <w:p>
            <w:pPr/>
          </w:p>
        </w:tc>
        <w:tc>
          <w:tcPr>
            <w:tcW w:w="1859" w:type="dxa"/>
          </w:tcPr>
          <w:p>
            <w:pPr/>
          </w:p>
        </w:tc>
        <w:tc>
          <w:tcPr>
            <w:tcW w:w="2561" w:type="dxa"/>
          </w:tcPr>
          <w:p>
            <w:pPr/>
          </w:p>
        </w:tc>
        <w:tc>
          <w:tcPr>
            <w:tcW w:w="1529" w:type="dxa"/>
          </w:tcPr>
          <w:p>
            <w:pPr>
              <w:pStyle w:val="TableParagraph"/>
              <w:spacing w:before="1"/>
              <w:ind w:right="325"/>
              <w:jc w:val="right"/>
              <w:rPr>
                <w:rFonts w:ascii="Calibri"/>
                <w:sz w:val="12"/>
              </w:rPr>
            </w:pPr>
            <w:r>
              <w:rPr>
                <w:rFonts w:ascii="Calibri"/>
                <w:w w:val="105"/>
                <w:sz w:val="12"/>
              </w:rPr>
              <w:t>Subtotal</w:t>
            </w:r>
          </w:p>
        </w:tc>
        <w:tc>
          <w:tcPr>
            <w:tcW w:w="890" w:type="dxa"/>
          </w:tcPr>
          <w:p>
            <w:pPr>
              <w:pStyle w:val="TableParagraph"/>
              <w:tabs>
                <w:tab w:pos="522" w:val="left" w:leader="none"/>
                <w:tab w:pos="900" w:val="left" w:leader="none"/>
              </w:tabs>
              <w:spacing w:before="1"/>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0</w:t>
            </w:r>
            <w:r>
              <w:rPr>
                <w:rFonts w:ascii="Calibri"/>
                <w:sz w:val="12"/>
                <w:shd w:fill="F79646" w:color="auto" w:val="clear"/>
              </w:rPr>
              <w:tab/>
            </w:r>
          </w:p>
        </w:tc>
        <w:tc>
          <w:tcPr>
            <w:tcW w:w="683" w:type="dxa"/>
          </w:tcPr>
          <w:p>
            <w:pPr>
              <w:pStyle w:val="TableParagraph"/>
              <w:spacing w:before="1"/>
              <w:ind w:left="10"/>
              <w:rPr>
                <w:rFonts w:ascii="Calibri"/>
                <w:sz w:val="12"/>
              </w:rPr>
            </w:pPr>
            <w:r>
              <w:rPr>
                <w:rFonts w:ascii="Calibri"/>
                <w:w w:val="104"/>
                <w:sz w:val="12"/>
              </w:rPr>
              <w:t>1</w:t>
            </w: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2</w:t>
            </w:r>
          </w:p>
        </w:tc>
      </w:tr>
      <w:tr>
        <w:trPr>
          <w:trHeight w:val="147" w:hRule="exact"/>
        </w:trPr>
        <w:tc>
          <w:tcPr>
            <w:tcW w:w="8822" w:type="dxa"/>
            <w:gridSpan w:val="7"/>
            <w:tcBorders>
              <w:left w:val="single" w:sz="4" w:space="0" w:color="000000"/>
              <w:right w:val="single" w:sz="8" w:space="0" w:color="000000"/>
            </w:tcBorders>
          </w:tcPr>
          <w:p>
            <w:pPr/>
          </w:p>
        </w:tc>
      </w:tr>
      <w:tr>
        <w:trPr>
          <w:trHeight w:val="164" w:hRule="exact"/>
        </w:trPr>
        <w:tc>
          <w:tcPr>
            <w:tcW w:w="618" w:type="dxa"/>
            <w:vMerge w:val="restart"/>
            <w:tcBorders>
              <w:left w:val="single" w:sz="4" w:space="0" w:color="000000"/>
            </w:tcBorders>
          </w:tcPr>
          <w:p>
            <w:pPr/>
          </w:p>
        </w:tc>
        <w:tc>
          <w:tcPr>
            <w:tcW w:w="1859" w:type="dxa"/>
            <w:vMerge w:val="restart"/>
          </w:tcPr>
          <w:p>
            <w:pPr>
              <w:pStyle w:val="TableParagraph"/>
              <w:spacing w:before="80"/>
              <w:ind w:left="90"/>
              <w:jc w:val="left"/>
              <w:rPr>
                <w:rFonts w:ascii="Calibri"/>
                <w:sz w:val="12"/>
              </w:rPr>
            </w:pPr>
            <w:r>
              <w:rPr>
                <w:rFonts w:ascii="Calibri"/>
                <w:w w:val="105"/>
                <w:sz w:val="12"/>
              </w:rPr>
              <w:t>Infraestrutura utilizada</w:t>
            </w:r>
          </w:p>
        </w:tc>
        <w:tc>
          <w:tcPr>
            <w:tcW w:w="2561" w:type="dxa"/>
            <w:vMerge w:val="restart"/>
          </w:tcPr>
          <w:p>
            <w:pPr>
              <w:pStyle w:val="TableParagraph"/>
              <w:spacing w:line="256" w:lineRule="auto" w:before="6"/>
              <w:ind w:left="331" w:right="1686"/>
              <w:jc w:val="left"/>
              <w:rPr>
                <w:rFonts w:ascii="Calibri"/>
                <w:sz w:val="12"/>
              </w:rPr>
            </w:pPr>
            <w:r>
              <w:rPr>
                <w:rFonts w:ascii="Calibri"/>
                <w:w w:val="105"/>
                <w:sz w:val="12"/>
              </w:rPr>
              <w:t>Vialidades Redes</w:t>
            </w:r>
          </w:p>
        </w:tc>
        <w:tc>
          <w:tcPr>
            <w:tcW w:w="1529" w:type="dxa"/>
            <w:vMerge w:val="restart"/>
          </w:tcPr>
          <w:p>
            <w:pPr>
              <w:pStyle w:val="TableParagraph"/>
              <w:spacing w:before="6"/>
              <w:ind w:left="876"/>
              <w:jc w:val="left"/>
              <w:rPr>
                <w:rFonts w:ascii="Calibri"/>
                <w:sz w:val="12"/>
              </w:rPr>
            </w:pPr>
            <w:r>
              <w:rPr>
                <w:rFonts w:ascii="Calibri"/>
                <w:w w:val="105"/>
                <w:sz w:val="12"/>
              </w:rPr>
              <w:t>0.25</w:t>
            </w:r>
          </w:p>
          <w:p>
            <w:pPr>
              <w:pStyle w:val="TableParagraph"/>
              <w:spacing w:before="11"/>
              <w:ind w:left="908"/>
              <w:jc w:val="left"/>
              <w:rPr>
                <w:rFonts w:ascii="Calibri"/>
                <w:sz w:val="12"/>
              </w:rPr>
            </w:pPr>
            <w:r>
              <w:rPr>
                <w:rFonts w:ascii="Calibri"/>
                <w:w w:val="105"/>
                <w:sz w:val="12"/>
              </w:rPr>
              <w:t>0.8</w:t>
            </w:r>
          </w:p>
        </w:tc>
        <w:tc>
          <w:tcPr>
            <w:tcW w:w="890" w:type="dxa"/>
            <w:vMerge w:val="restart"/>
          </w:tcPr>
          <w:p>
            <w:pPr/>
          </w:p>
        </w:tc>
        <w:tc>
          <w:tcPr>
            <w:tcW w:w="683" w:type="dxa"/>
            <w:vMerge w:val="restart"/>
          </w:tcPr>
          <w:p>
            <w:pPr>
              <w:pStyle w:val="TableParagraph"/>
              <w:spacing w:before="6"/>
              <w:ind w:left="210" w:right="208"/>
              <w:rPr>
                <w:rFonts w:ascii="Calibri"/>
                <w:sz w:val="12"/>
              </w:rPr>
            </w:pPr>
            <w:r>
              <w:rPr>
                <w:rFonts w:ascii="Calibri"/>
                <w:w w:val="105"/>
                <w:sz w:val="12"/>
              </w:rPr>
              <w:t>0.75</w:t>
            </w:r>
          </w:p>
          <w:p>
            <w:pPr>
              <w:pStyle w:val="TableParagraph"/>
              <w:spacing w:before="11"/>
              <w:ind w:left="209" w:right="208"/>
              <w:rPr>
                <w:rFonts w:ascii="Calibri"/>
                <w:sz w:val="12"/>
              </w:rPr>
            </w:pPr>
            <w:r>
              <w:rPr>
                <w:rFonts w:ascii="Calibri"/>
                <w:w w:val="105"/>
                <w:sz w:val="12"/>
              </w:rPr>
              <w:t>0.8</w:t>
            </w:r>
          </w:p>
        </w:tc>
        <w:tc>
          <w:tcPr>
            <w:tcW w:w="681" w:type="dxa"/>
            <w:tcBorders>
              <w:right w:val="single" w:sz="8" w:space="0" w:color="000000"/>
            </w:tcBorders>
            <w:shd w:val="clear" w:color="auto" w:fill="67ED4D"/>
          </w:tcPr>
          <w:p>
            <w:pPr>
              <w:pStyle w:val="TableParagraph"/>
              <w:spacing w:before="6"/>
              <w:ind w:left="21"/>
              <w:rPr>
                <w:rFonts w:ascii="Calibri"/>
                <w:sz w:val="12"/>
              </w:rPr>
            </w:pPr>
            <w:r>
              <w:rPr>
                <w:rFonts w:ascii="Calibri"/>
                <w:w w:val="104"/>
                <w:sz w:val="12"/>
              </w:rPr>
              <w:t>1</w:t>
            </w:r>
          </w:p>
        </w:tc>
      </w:tr>
      <w:tr>
        <w:trPr>
          <w:trHeight w:val="157" w:hRule="exact"/>
        </w:trPr>
        <w:tc>
          <w:tcPr>
            <w:tcW w:w="618" w:type="dxa"/>
            <w:vMerge/>
            <w:tcBorders>
              <w:left w:val="single" w:sz="4" w:space="0" w:color="000000"/>
            </w:tcBorders>
          </w:tcPr>
          <w:p>
            <w:pPr/>
          </w:p>
        </w:tc>
        <w:tc>
          <w:tcPr>
            <w:tcW w:w="1859" w:type="dxa"/>
            <w:vMerge/>
          </w:tcPr>
          <w:p>
            <w:pPr/>
          </w:p>
        </w:tc>
        <w:tc>
          <w:tcPr>
            <w:tcW w:w="2561" w:type="dxa"/>
            <w:vMerge/>
          </w:tcPr>
          <w:p>
            <w:pPr/>
          </w:p>
        </w:tc>
        <w:tc>
          <w:tcPr>
            <w:tcW w:w="1529" w:type="dxa"/>
            <w:vMerge/>
          </w:tcPr>
          <w:p>
            <w:pPr/>
          </w:p>
        </w:tc>
        <w:tc>
          <w:tcPr>
            <w:tcW w:w="890" w:type="dxa"/>
            <w:vMerge/>
          </w:tcPr>
          <w:p>
            <w:pPr/>
          </w:p>
        </w:tc>
        <w:tc>
          <w:tcPr>
            <w:tcW w:w="683" w:type="dxa"/>
            <w:vMerge/>
          </w:tcPr>
          <w:p>
            <w:pP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1</w:t>
            </w:r>
          </w:p>
        </w:tc>
      </w:tr>
      <w:tr>
        <w:trPr>
          <w:trHeight w:val="161" w:hRule="exact"/>
        </w:trPr>
        <w:tc>
          <w:tcPr>
            <w:tcW w:w="618" w:type="dxa"/>
            <w:vMerge/>
            <w:tcBorders>
              <w:left w:val="single" w:sz="4" w:space="0" w:color="000000"/>
            </w:tcBorders>
          </w:tcPr>
          <w:p>
            <w:pPr/>
          </w:p>
        </w:tc>
        <w:tc>
          <w:tcPr>
            <w:tcW w:w="1859" w:type="dxa"/>
          </w:tcPr>
          <w:p>
            <w:pPr/>
          </w:p>
        </w:tc>
        <w:tc>
          <w:tcPr>
            <w:tcW w:w="2561" w:type="dxa"/>
          </w:tcPr>
          <w:p>
            <w:pPr/>
          </w:p>
        </w:tc>
        <w:tc>
          <w:tcPr>
            <w:tcW w:w="1529" w:type="dxa"/>
          </w:tcPr>
          <w:p>
            <w:pPr>
              <w:pStyle w:val="TableParagraph"/>
              <w:spacing w:before="1"/>
              <w:ind w:right="325"/>
              <w:jc w:val="right"/>
              <w:rPr>
                <w:rFonts w:ascii="Calibri"/>
                <w:sz w:val="12"/>
              </w:rPr>
            </w:pPr>
            <w:r>
              <w:rPr>
                <w:rFonts w:ascii="Calibri"/>
                <w:w w:val="105"/>
                <w:sz w:val="12"/>
              </w:rPr>
              <w:t>Subtotal</w:t>
            </w:r>
          </w:p>
        </w:tc>
        <w:tc>
          <w:tcPr>
            <w:tcW w:w="890" w:type="dxa"/>
          </w:tcPr>
          <w:p>
            <w:pPr>
              <w:pStyle w:val="TableParagraph"/>
              <w:tabs>
                <w:tab w:pos="900" w:val="left" w:leader="none"/>
              </w:tabs>
              <w:spacing w:before="1"/>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      </w:t>
            </w:r>
            <w:r>
              <w:rPr>
                <w:rFonts w:ascii="Times New Roman"/>
                <w:spacing w:val="-11"/>
                <w:sz w:val="12"/>
                <w:shd w:fill="F79646" w:color="auto" w:val="clear"/>
              </w:rPr>
              <w:t> </w:t>
            </w:r>
            <w:r>
              <w:rPr>
                <w:rFonts w:ascii="Calibri"/>
                <w:w w:val="105"/>
                <w:sz w:val="12"/>
                <w:shd w:fill="F79646" w:color="auto" w:val="clear"/>
              </w:rPr>
              <w:t>1.05</w:t>
            </w:r>
            <w:r>
              <w:rPr>
                <w:rFonts w:ascii="Calibri"/>
                <w:sz w:val="12"/>
                <w:shd w:fill="F79646" w:color="auto" w:val="clear"/>
              </w:rPr>
              <w:tab/>
            </w:r>
          </w:p>
        </w:tc>
        <w:tc>
          <w:tcPr>
            <w:tcW w:w="683" w:type="dxa"/>
          </w:tcPr>
          <w:p>
            <w:pPr>
              <w:pStyle w:val="TableParagraph"/>
              <w:spacing w:before="1"/>
              <w:ind w:left="210" w:right="208"/>
              <w:rPr>
                <w:rFonts w:ascii="Calibri"/>
                <w:sz w:val="12"/>
              </w:rPr>
            </w:pPr>
            <w:r>
              <w:rPr>
                <w:rFonts w:ascii="Calibri"/>
                <w:w w:val="105"/>
                <w:sz w:val="12"/>
              </w:rPr>
              <w:t>1.55</w:t>
            </w: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2</w:t>
            </w:r>
          </w:p>
        </w:tc>
      </w:tr>
      <w:tr>
        <w:trPr>
          <w:trHeight w:val="147" w:hRule="exact"/>
        </w:trPr>
        <w:tc>
          <w:tcPr>
            <w:tcW w:w="8822" w:type="dxa"/>
            <w:gridSpan w:val="7"/>
            <w:tcBorders>
              <w:left w:val="single" w:sz="4" w:space="0" w:color="000000"/>
              <w:right w:val="single" w:sz="8" w:space="0" w:color="000000"/>
            </w:tcBorders>
          </w:tcPr>
          <w:p>
            <w:pPr>
              <w:pStyle w:val="TableParagraph"/>
              <w:spacing w:line="142" w:lineRule="exact"/>
              <w:ind w:left="94"/>
              <w:jc w:val="left"/>
              <w:rPr>
                <w:rFonts w:ascii="Calibri"/>
                <w:sz w:val="12"/>
              </w:rPr>
            </w:pPr>
            <w:r>
              <w:rPr>
                <w:rFonts w:ascii="Calibri"/>
                <w:w w:val="105"/>
                <w:sz w:val="12"/>
              </w:rPr>
              <w:t>Territorio</w:t>
            </w:r>
          </w:p>
        </w:tc>
      </w:tr>
      <w:tr>
        <w:trPr>
          <w:trHeight w:val="320" w:hRule="exact"/>
        </w:trPr>
        <w:tc>
          <w:tcPr>
            <w:tcW w:w="618" w:type="dxa"/>
            <w:tcBorders>
              <w:left w:val="single" w:sz="4" w:space="0" w:color="000000"/>
            </w:tcBorders>
          </w:tcPr>
          <w:p>
            <w:pPr/>
          </w:p>
        </w:tc>
        <w:tc>
          <w:tcPr>
            <w:tcW w:w="1859" w:type="dxa"/>
          </w:tcPr>
          <w:p>
            <w:pPr>
              <w:pStyle w:val="TableParagraph"/>
              <w:spacing w:before="80"/>
              <w:ind w:left="90"/>
              <w:jc w:val="left"/>
              <w:rPr>
                <w:rFonts w:ascii="Calibri"/>
                <w:sz w:val="12"/>
              </w:rPr>
            </w:pPr>
            <w:r>
              <w:rPr>
                <w:rFonts w:ascii="Calibri"/>
                <w:w w:val="105"/>
                <w:sz w:val="12"/>
              </w:rPr>
              <w:t>Infraestructura desarrollada</w:t>
            </w:r>
          </w:p>
        </w:tc>
        <w:tc>
          <w:tcPr>
            <w:tcW w:w="2561" w:type="dxa"/>
          </w:tcPr>
          <w:p>
            <w:pPr>
              <w:pStyle w:val="TableParagraph"/>
              <w:spacing w:line="256" w:lineRule="auto" w:before="6"/>
              <w:ind w:left="331" w:right="1686"/>
              <w:jc w:val="left"/>
              <w:rPr>
                <w:rFonts w:ascii="Calibri"/>
                <w:sz w:val="12"/>
              </w:rPr>
            </w:pPr>
            <w:r>
              <w:rPr>
                <w:rFonts w:ascii="Calibri"/>
                <w:w w:val="105"/>
                <w:sz w:val="12"/>
              </w:rPr>
              <w:t>Vialidades Redes</w:t>
            </w:r>
          </w:p>
        </w:tc>
        <w:tc>
          <w:tcPr>
            <w:tcW w:w="1529" w:type="dxa"/>
          </w:tcPr>
          <w:p>
            <w:pPr>
              <w:pStyle w:val="TableParagraph"/>
              <w:spacing w:before="6"/>
              <w:ind w:left="908"/>
              <w:jc w:val="left"/>
              <w:rPr>
                <w:rFonts w:ascii="Calibri"/>
                <w:sz w:val="12"/>
              </w:rPr>
            </w:pPr>
            <w:r>
              <w:rPr>
                <w:rFonts w:ascii="Calibri"/>
                <w:w w:val="105"/>
                <w:sz w:val="12"/>
              </w:rPr>
              <w:t>0.5</w:t>
            </w:r>
          </w:p>
          <w:p>
            <w:pPr>
              <w:pStyle w:val="TableParagraph"/>
              <w:spacing w:before="11"/>
              <w:ind w:left="876"/>
              <w:jc w:val="left"/>
              <w:rPr>
                <w:rFonts w:ascii="Calibri"/>
                <w:sz w:val="12"/>
              </w:rPr>
            </w:pPr>
            <w:r>
              <w:rPr>
                <w:rFonts w:ascii="Calibri"/>
                <w:w w:val="105"/>
                <w:sz w:val="12"/>
              </w:rPr>
              <w:t>0.66</w:t>
            </w:r>
          </w:p>
        </w:tc>
        <w:tc>
          <w:tcPr>
            <w:tcW w:w="890" w:type="dxa"/>
          </w:tcPr>
          <w:p>
            <w:pPr/>
          </w:p>
        </w:tc>
        <w:tc>
          <w:tcPr>
            <w:tcW w:w="683" w:type="dxa"/>
          </w:tcPr>
          <w:p>
            <w:pPr>
              <w:pStyle w:val="TableParagraph"/>
              <w:spacing w:before="6"/>
              <w:ind w:left="210" w:right="208"/>
              <w:rPr>
                <w:rFonts w:ascii="Calibri"/>
                <w:sz w:val="12"/>
              </w:rPr>
            </w:pPr>
            <w:r>
              <w:rPr>
                <w:rFonts w:ascii="Calibri"/>
                <w:w w:val="105"/>
                <w:sz w:val="12"/>
              </w:rPr>
              <w:t>0.75</w:t>
            </w:r>
          </w:p>
          <w:p>
            <w:pPr>
              <w:pStyle w:val="TableParagraph"/>
              <w:spacing w:before="11"/>
              <w:ind w:left="210" w:right="208"/>
              <w:rPr>
                <w:rFonts w:ascii="Calibri"/>
                <w:sz w:val="12"/>
              </w:rPr>
            </w:pPr>
            <w:r>
              <w:rPr>
                <w:rFonts w:ascii="Calibri"/>
                <w:w w:val="105"/>
                <w:sz w:val="12"/>
              </w:rPr>
              <w:t>0.66</w:t>
            </w:r>
          </w:p>
        </w:tc>
        <w:tc>
          <w:tcPr>
            <w:tcW w:w="681" w:type="dxa"/>
            <w:tcBorders>
              <w:right w:val="single" w:sz="8" w:space="0" w:color="000000"/>
            </w:tcBorders>
            <w:shd w:val="clear" w:color="auto" w:fill="67ED4D"/>
          </w:tcPr>
          <w:p>
            <w:pPr>
              <w:pStyle w:val="TableParagraph"/>
              <w:spacing w:before="6"/>
              <w:ind w:left="21"/>
              <w:rPr>
                <w:rFonts w:ascii="Calibri"/>
                <w:sz w:val="12"/>
              </w:rPr>
            </w:pPr>
            <w:r>
              <w:rPr>
                <w:rFonts w:ascii="Calibri"/>
                <w:w w:val="104"/>
                <w:sz w:val="12"/>
              </w:rPr>
              <w:t>1</w:t>
            </w:r>
          </w:p>
          <w:p>
            <w:pPr>
              <w:pStyle w:val="TableParagraph"/>
              <w:spacing w:before="11"/>
              <w:ind w:left="21"/>
              <w:rPr>
                <w:rFonts w:ascii="Calibri"/>
                <w:sz w:val="12"/>
              </w:rPr>
            </w:pPr>
            <w:r>
              <w:rPr>
                <w:rFonts w:ascii="Calibri"/>
                <w:w w:val="104"/>
                <w:sz w:val="12"/>
              </w:rPr>
              <w:t>1</w:t>
            </w:r>
          </w:p>
        </w:tc>
      </w:tr>
      <w:tr>
        <w:trPr>
          <w:trHeight w:val="163" w:hRule="exact"/>
        </w:trPr>
        <w:tc>
          <w:tcPr>
            <w:tcW w:w="618" w:type="dxa"/>
            <w:tcBorders>
              <w:left w:val="single" w:sz="4" w:space="0" w:color="000000"/>
            </w:tcBorders>
          </w:tcPr>
          <w:p>
            <w:pPr/>
          </w:p>
        </w:tc>
        <w:tc>
          <w:tcPr>
            <w:tcW w:w="1859" w:type="dxa"/>
          </w:tcPr>
          <w:p>
            <w:pPr/>
          </w:p>
        </w:tc>
        <w:tc>
          <w:tcPr>
            <w:tcW w:w="2561" w:type="dxa"/>
          </w:tcPr>
          <w:p>
            <w:pPr/>
          </w:p>
        </w:tc>
        <w:tc>
          <w:tcPr>
            <w:tcW w:w="1529" w:type="dxa"/>
          </w:tcPr>
          <w:p>
            <w:pPr>
              <w:pStyle w:val="TableParagraph"/>
              <w:spacing w:before="1"/>
              <w:ind w:right="325"/>
              <w:jc w:val="right"/>
              <w:rPr>
                <w:rFonts w:ascii="Calibri"/>
                <w:sz w:val="12"/>
              </w:rPr>
            </w:pPr>
            <w:r>
              <w:rPr>
                <w:rFonts w:ascii="Calibri"/>
                <w:w w:val="105"/>
                <w:sz w:val="12"/>
              </w:rPr>
              <w:t>Subtotal</w:t>
            </w:r>
          </w:p>
        </w:tc>
        <w:tc>
          <w:tcPr>
            <w:tcW w:w="890" w:type="dxa"/>
          </w:tcPr>
          <w:p>
            <w:pPr>
              <w:pStyle w:val="TableParagraph"/>
              <w:tabs>
                <w:tab w:pos="900" w:val="left" w:leader="none"/>
              </w:tabs>
              <w:spacing w:before="1"/>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      </w:t>
            </w:r>
            <w:r>
              <w:rPr>
                <w:rFonts w:ascii="Times New Roman"/>
                <w:spacing w:val="-11"/>
                <w:sz w:val="12"/>
                <w:shd w:fill="F79646" w:color="auto" w:val="clear"/>
              </w:rPr>
              <w:t> </w:t>
            </w:r>
            <w:r>
              <w:rPr>
                <w:rFonts w:ascii="Calibri"/>
                <w:w w:val="105"/>
                <w:sz w:val="12"/>
                <w:shd w:fill="F79646" w:color="auto" w:val="clear"/>
              </w:rPr>
              <w:t>1.16</w:t>
            </w:r>
            <w:r>
              <w:rPr>
                <w:rFonts w:ascii="Calibri"/>
                <w:sz w:val="12"/>
                <w:shd w:fill="F79646" w:color="auto" w:val="clear"/>
              </w:rPr>
              <w:tab/>
            </w:r>
          </w:p>
        </w:tc>
        <w:tc>
          <w:tcPr>
            <w:tcW w:w="683" w:type="dxa"/>
          </w:tcPr>
          <w:p>
            <w:pPr>
              <w:pStyle w:val="TableParagraph"/>
              <w:spacing w:before="1"/>
              <w:ind w:left="210" w:right="208"/>
              <w:rPr>
                <w:rFonts w:ascii="Calibri"/>
                <w:sz w:val="12"/>
              </w:rPr>
            </w:pPr>
            <w:r>
              <w:rPr>
                <w:rFonts w:ascii="Calibri"/>
                <w:w w:val="105"/>
                <w:sz w:val="12"/>
              </w:rPr>
              <w:t>1.41</w:t>
            </w:r>
          </w:p>
        </w:tc>
        <w:tc>
          <w:tcPr>
            <w:tcW w:w="681" w:type="dxa"/>
            <w:tcBorders>
              <w:right w:val="single" w:sz="8" w:space="0" w:color="000000"/>
            </w:tcBorders>
            <w:shd w:val="clear" w:color="auto" w:fill="67ED4D"/>
          </w:tcPr>
          <w:p>
            <w:pPr>
              <w:pStyle w:val="TableParagraph"/>
              <w:spacing w:before="1"/>
              <w:ind w:left="21"/>
              <w:rPr>
                <w:rFonts w:ascii="Calibri"/>
                <w:sz w:val="12"/>
              </w:rPr>
            </w:pPr>
            <w:r>
              <w:rPr>
                <w:rFonts w:ascii="Calibri"/>
                <w:w w:val="104"/>
                <w:sz w:val="12"/>
              </w:rPr>
              <w:t>2</w:t>
            </w:r>
          </w:p>
        </w:tc>
      </w:tr>
      <w:tr>
        <w:trPr>
          <w:trHeight w:val="147" w:hRule="exact"/>
        </w:trPr>
        <w:tc>
          <w:tcPr>
            <w:tcW w:w="8822" w:type="dxa"/>
            <w:gridSpan w:val="7"/>
            <w:tcBorders>
              <w:left w:val="single" w:sz="4" w:space="0" w:color="000000"/>
              <w:right w:val="single" w:sz="8" w:space="0" w:color="000000"/>
            </w:tcBorders>
          </w:tcPr>
          <w:p>
            <w:pPr/>
          </w:p>
        </w:tc>
      </w:tr>
      <w:tr>
        <w:trPr>
          <w:trHeight w:val="320" w:hRule="exact"/>
        </w:trPr>
        <w:tc>
          <w:tcPr>
            <w:tcW w:w="618" w:type="dxa"/>
            <w:tcBorders>
              <w:left w:val="single" w:sz="4" w:space="0" w:color="000000"/>
            </w:tcBorders>
          </w:tcPr>
          <w:p>
            <w:pPr/>
          </w:p>
        </w:tc>
        <w:tc>
          <w:tcPr>
            <w:tcW w:w="1859" w:type="dxa"/>
          </w:tcPr>
          <w:p>
            <w:pPr>
              <w:pStyle w:val="TableParagraph"/>
              <w:spacing w:before="80"/>
              <w:ind w:left="90"/>
              <w:jc w:val="left"/>
              <w:rPr>
                <w:rFonts w:ascii="Calibri"/>
                <w:sz w:val="12"/>
              </w:rPr>
            </w:pPr>
            <w:r>
              <w:rPr>
                <w:rFonts w:ascii="Calibri"/>
                <w:w w:val="105"/>
                <w:sz w:val="12"/>
              </w:rPr>
              <w:t>Equipamiento desarrollado</w:t>
            </w:r>
          </w:p>
        </w:tc>
        <w:tc>
          <w:tcPr>
            <w:tcW w:w="2561" w:type="dxa"/>
          </w:tcPr>
          <w:p>
            <w:pPr>
              <w:pStyle w:val="TableParagraph"/>
              <w:spacing w:line="256" w:lineRule="auto" w:before="6"/>
              <w:ind w:left="331" w:right="1703"/>
              <w:jc w:val="left"/>
              <w:rPr>
                <w:rFonts w:ascii="Calibri"/>
                <w:sz w:val="12"/>
              </w:rPr>
            </w:pPr>
            <w:r>
              <w:rPr>
                <w:rFonts w:ascii="Calibri"/>
                <w:w w:val="105"/>
                <w:sz w:val="12"/>
              </w:rPr>
              <w:t>Municipal Estatal</w:t>
            </w:r>
          </w:p>
        </w:tc>
        <w:tc>
          <w:tcPr>
            <w:tcW w:w="1529" w:type="dxa"/>
          </w:tcPr>
          <w:p>
            <w:pPr>
              <w:pStyle w:val="TableParagraph"/>
              <w:spacing w:before="6"/>
              <w:ind w:left="908"/>
              <w:jc w:val="left"/>
              <w:rPr>
                <w:rFonts w:ascii="Calibri"/>
                <w:sz w:val="12"/>
              </w:rPr>
            </w:pPr>
            <w:r>
              <w:rPr>
                <w:rFonts w:ascii="Calibri"/>
                <w:w w:val="105"/>
                <w:sz w:val="12"/>
              </w:rPr>
              <w:t>0.2</w:t>
            </w:r>
          </w:p>
          <w:p>
            <w:pPr>
              <w:pStyle w:val="TableParagraph"/>
              <w:spacing w:before="11"/>
              <w:ind w:left="960"/>
              <w:jc w:val="left"/>
              <w:rPr>
                <w:rFonts w:ascii="Calibri"/>
                <w:sz w:val="12"/>
              </w:rPr>
            </w:pPr>
            <w:r>
              <w:rPr>
                <w:rFonts w:ascii="Calibri"/>
                <w:w w:val="104"/>
                <w:sz w:val="12"/>
              </w:rPr>
              <w:t>0</w:t>
            </w:r>
          </w:p>
        </w:tc>
        <w:tc>
          <w:tcPr>
            <w:tcW w:w="890" w:type="dxa"/>
          </w:tcPr>
          <w:p>
            <w:pPr/>
          </w:p>
        </w:tc>
        <w:tc>
          <w:tcPr>
            <w:tcW w:w="683" w:type="dxa"/>
          </w:tcPr>
          <w:p>
            <w:pPr>
              <w:pStyle w:val="TableParagraph"/>
              <w:spacing w:before="6"/>
              <w:ind w:left="209" w:right="208"/>
              <w:rPr>
                <w:rFonts w:ascii="Calibri"/>
                <w:sz w:val="12"/>
              </w:rPr>
            </w:pPr>
            <w:r>
              <w:rPr>
                <w:rFonts w:ascii="Calibri"/>
                <w:w w:val="105"/>
                <w:sz w:val="12"/>
              </w:rPr>
              <w:t>0.8</w:t>
            </w:r>
          </w:p>
          <w:p>
            <w:pPr>
              <w:pStyle w:val="TableParagraph"/>
              <w:spacing w:before="11"/>
              <w:ind w:left="209" w:right="208"/>
              <w:rPr>
                <w:rFonts w:ascii="Calibri"/>
                <w:sz w:val="12"/>
              </w:rPr>
            </w:pPr>
            <w:r>
              <w:rPr>
                <w:rFonts w:ascii="Calibri"/>
                <w:w w:val="105"/>
                <w:sz w:val="12"/>
              </w:rPr>
              <w:t>0.6</w:t>
            </w:r>
          </w:p>
        </w:tc>
        <w:tc>
          <w:tcPr>
            <w:tcW w:w="681" w:type="dxa"/>
            <w:tcBorders>
              <w:right w:val="single" w:sz="8" w:space="0" w:color="000000"/>
            </w:tcBorders>
            <w:shd w:val="clear" w:color="auto" w:fill="67ED4D"/>
          </w:tcPr>
          <w:p>
            <w:pPr>
              <w:pStyle w:val="TableParagraph"/>
              <w:spacing w:before="6"/>
              <w:ind w:left="21"/>
              <w:rPr>
                <w:rFonts w:ascii="Calibri"/>
                <w:sz w:val="12"/>
              </w:rPr>
            </w:pPr>
            <w:r>
              <w:rPr>
                <w:rFonts w:ascii="Calibri"/>
                <w:w w:val="104"/>
                <w:sz w:val="12"/>
              </w:rPr>
              <w:t>1</w:t>
            </w:r>
          </w:p>
          <w:p>
            <w:pPr>
              <w:pStyle w:val="TableParagraph"/>
              <w:spacing w:before="11"/>
              <w:ind w:left="21"/>
              <w:rPr>
                <w:rFonts w:ascii="Calibri"/>
                <w:sz w:val="12"/>
              </w:rPr>
            </w:pPr>
            <w:r>
              <w:rPr>
                <w:rFonts w:ascii="Calibri"/>
                <w:w w:val="104"/>
                <w:sz w:val="12"/>
              </w:rPr>
              <w:t>1</w:t>
            </w:r>
          </w:p>
        </w:tc>
      </w:tr>
      <w:tr>
        <w:trPr>
          <w:trHeight w:val="163" w:hRule="exact"/>
        </w:trPr>
        <w:tc>
          <w:tcPr>
            <w:tcW w:w="618" w:type="dxa"/>
            <w:tcBorders>
              <w:left w:val="single" w:sz="4" w:space="0" w:color="000000"/>
            </w:tcBorders>
          </w:tcPr>
          <w:p>
            <w:pPr/>
          </w:p>
        </w:tc>
        <w:tc>
          <w:tcPr>
            <w:tcW w:w="1859" w:type="dxa"/>
          </w:tcPr>
          <w:p>
            <w:pPr/>
          </w:p>
        </w:tc>
        <w:tc>
          <w:tcPr>
            <w:tcW w:w="2561" w:type="dxa"/>
          </w:tcPr>
          <w:p>
            <w:pPr/>
          </w:p>
        </w:tc>
        <w:tc>
          <w:tcPr>
            <w:tcW w:w="1529" w:type="dxa"/>
          </w:tcPr>
          <w:p>
            <w:pPr>
              <w:pStyle w:val="TableParagraph"/>
              <w:spacing w:before="1"/>
              <w:ind w:right="325"/>
              <w:jc w:val="right"/>
              <w:rPr>
                <w:rFonts w:ascii="Calibri"/>
                <w:sz w:val="12"/>
              </w:rPr>
            </w:pPr>
            <w:r>
              <w:rPr>
                <w:rFonts w:ascii="Calibri"/>
                <w:w w:val="105"/>
                <w:sz w:val="12"/>
              </w:rPr>
              <w:t>Subtotal</w:t>
            </w:r>
          </w:p>
        </w:tc>
        <w:tc>
          <w:tcPr>
            <w:tcW w:w="890" w:type="dxa"/>
          </w:tcPr>
          <w:p>
            <w:pPr>
              <w:pStyle w:val="TableParagraph"/>
              <w:tabs>
                <w:tab w:pos="470" w:val="left" w:leader="none"/>
                <w:tab w:pos="900" w:val="left" w:leader="none"/>
              </w:tabs>
              <w:spacing w:before="1"/>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0.2</w:t>
            </w:r>
            <w:r>
              <w:rPr>
                <w:rFonts w:ascii="Calibri"/>
                <w:sz w:val="12"/>
                <w:shd w:fill="F79646" w:color="auto" w:val="clear"/>
              </w:rPr>
              <w:tab/>
            </w:r>
          </w:p>
        </w:tc>
        <w:tc>
          <w:tcPr>
            <w:tcW w:w="683" w:type="dxa"/>
          </w:tcPr>
          <w:p>
            <w:pPr>
              <w:pStyle w:val="TableParagraph"/>
              <w:spacing w:before="1"/>
              <w:ind w:left="209" w:right="208"/>
              <w:rPr>
                <w:rFonts w:ascii="Calibri"/>
                <w:sz w:val="12"/>
              </w:rPr>
            </w:pPr>
            <w:r>
              <w:rPr>
                <w:rFonts w:ascii="Calibri"/>
                <w:w w:val="105"/>
                <w:sz w:val="12"/>
              </w:rPr>
              <w:t>1.4</w:t>
            </w:r>
          </w:p>
        </w:tc>
        <w:tc>
          <w:tcPr>
            <w:tcW w:w="681" w:type="dxa"/>
            <w:tcBorders>
              <w:right w:val="single" w:sz="8" w:space="0" w:color="000000"/>
            </w:tcBorders>
            <w:shd w:val="clear" w:color="auto" w:fill="67ED4D"/>
          </w:tcPr>
          <w:p>
            <w:pPr>
              <w:pStyle w:val="TableParagraph"/>
              <w:spacing w:before="1"/>
              <w:ind w:left="21"/>
              <w:rPr>
                <w:rFonts w:ascii="Calibri"/>
                <w:sz w:val="12"/>
              </w:rPr>
            </w:pPr>
            <w:r>
              <w:rPr>
                <w:rFonts w:ascii="Calibri"/>
                <w:w w:val="104"/>
                <w:sz w:val="12"/>
              </w:rPr>
              <w:t>2</w:t>
            </w:r>
          </w:p>
        </w:tc>
      </w:tr>
      <w:tr>
        <w:trPr>
          <w:trHeight w:val="147" w:hRule="exact"/>
        </w:trPr>
        <w:tc>
          <w:tcPr>
            <w:tcW w:w="8822" w:type="dxa"/>
            <w:gridSpan w:val="7"/>
            <w:tcBorders>
              <w:left w:val="single" w:sz="4" w:space="0" w:color="000000"/>
              <w:right w:val="single" w:sz="8" w:space="0" w:color="000000"/>
            </w:tcBorders>
          </w:tcPr>
          <w:p>
            <w:pPr/>
          </w:p>
        </w:tc>
      </w:tr>
      <w:tr>
        <w:trPr>
          <w:trHeight w:val="164" w:hRule="exact"/>
        </w:trPr>
        <w:tc>
          <w:tcPr>
            <w:tcW w:w="618" w:type="dxa"/>
            <w:vMerge w:val="restart"/>
            <w:tcBorders>
              <w:left w:val="single" w:sz="4" w:space="0" w:color="000000"/>
            </w:tcBorders>
          </w:tcPr>
          <w:p>
            <w:pPr/>
          </w:p>
        </w:tc>
        <w:tc>
          <w:tcPr>
            <w:tcW w:w="1859" w:type="dxa"/>
          </w:tcPr>
          <w:p>
            <w:pPr/>
          </w:p>
        </w:tc>
        <w:tc>
          <w:tcPr>
            <w:tcW w:w="2561" w:type="dxa"/>
          </w:tcPr>
          <w:p>
            <w:pPr>
              <w:pStyle w:val="TableParagraph"/>
              <w:spacing w:before="6"/>
              <w:ind w:left="331"/>
              <w:jc w:val="left"/>
              <w:rPr>
                <w:rFonts w:ascii="Calibri" w:hAnsi="Calibri"/>
                <w:sz w:val="12"/>
              </w:rPr>
            </w:pPr>
            <w:r>
              <w:rPr>
                <w:rFonts w:ascii="Calibri" w:hAnsi="Calibri"/>
                <w:w w:val="105"/>
                <w:sz w:val="12"/>
              </w:rPr>
              <w:t>Ubicación del conjunto urbano</w:t>
            </w:r>
          </w:p>
        </w:tc>
        <w:tc>
          <w:tcPr>
            <w:tcW w:w="1529" w:type="dxa"/>
          </w:tcPr>
          <w:p>
            <w:pPr>
              <w:pStyle w:val="TableParagraph"/>
              <w:spacing w:before="6"/>
              <w:ind w:left="908"/>
              <w:jc w:val="left"/>
              <w:rPr>
                <w:rFonts w:ascii="Calibri"/>
                <w:sz w:val="12"/>
              </w:rPr>
            </w:pPr>
            <w:r>
              <w:rPr>
                <w:rFonts w:ascii="Calibri"/>
                <w:w w:val="105"/>
                <w:sz w:val="12"/>
              </w:rPr>
              <w:t>0.2</w:t>
            </w:r>
          </w:p>
        </w:tc>
        <w:tc>
          <w:tcPr>
            <w:tcW w:w="890" w:type="dxa"/>
          </w:tcPr>
          <w:p>
            <w:pPr/>
          </w:p>
        </w:tc>
        <w:tc>
          <w:tcPr>
            <w:tcW w:w="683" w:type="dxa"/>
          </w:tcPr>
          <w:p>
            <w:pPr>
              <w:pStyle w:val="TableParagraph"/>
              <w:spacing w:before="6"/>
              <w:ind w:left="209" w:right="208"/>
              <w:rPr>
                <w:rFonts w:ascii="Calibri"/>
                <w:sz w:val="12"/>
              </w:rPr>
            </w:pPr>
            <w:r>
              <w:rPr>
                <w:rFonts w:ascii="Calibri"/>
                <w:w w:val="105"/>
                <w:sz w:val="12"/>
              </w:rPr>
              <w:t>0.8</w:t>
            </w:r>
          </w:p>
        </w:tc>
        <w:tc>
          <w:tcPr>
            <w:tcW w:w="681" w:type="dxa"/>
            <w:tcBorders>
              <w:right w:val="single" w:sz="8" w:space="0" w:color="000000"/>
            </w:tcBorders>
            <w:shd w:val="clear" w:color="auto" w:fill="67ED4D"/>
          </w:tcPr>
          <w:p>
            <w:pPr>
              <w:pStyle w:val="TableParagraph"/>
              <w:spacing w:before="6"/>
              <w:ind w:left="21"/>
              <w:rPr>
                <w:rFonts w:ascii="Calibri"/>
                <w:sz w:val="12"/>
              </w:rPr>
            </w:pPr>
            <w:r>
              <w:rPr>
                <w:rFonts w:ascii="Calibri"/>
                <w:w w:val="104"/>
                <w:sz w:val="12"/>
              </w:rPr>
              <w:t>1</w:t>
            </w:r>
          </w:p>
        </w:tc>
      </w:tr>
      <w:tr>
        <w:trPr>
          <w:trHeight w:val="157" w:hRule="exact"/>
        </w:trPr>
        <w:tc>
          <w:tcPr>
            <w:tcW w:w="618" w:type="dxa"/>
            <w:vMerge/>
            <w:tcBorders>
              <w:left w:val="single" w:sz="4" w:space="0" w:color="000000"/>
            </w:tcBorders>
          </w:tcPr>
          <w:p>
            <w:pPr/>
          </w:p>
        </w:tc>
        <w:tc>
          <w:tcPr>
            <w:tcW w:w="1859" w:type="dxa"/>
          </w:tcPr>
          <w:p>
            <w:pPr/>
          </w:p>
        </w:tc>
        <w:tc>
          <w:tcPr>
            <w:tcW w:w="2561" w:type="dxa"/>
          </w:tcPr>
          <w:p>
            <w:pPr>
              <w:pStyle w:val="TableParagraph"/>
              <w:spacing w:line="146" w:lineRule="exact"/>
              <w:ind w:left="331" w:right="1044"/>
              <w:jc w:val="left"/>
              <w:rPr>
                <w:rFonts w:ascii="Calibri"/>
                <w:sz w:val="12"/>
              </w:rPr>
            </w:pPr>
            <w:r>
              <w:rPr>
                <w:rFonts w:ascii="Calibri"/>
                <w:w w:val="105"/>
                <w:sz w:val="12"/>
              </w:rPr>
              <w:t>Abierto</w:t>
            </w:r>
          </w:p>
        </w:tc>
        <w:tc>
          <w:tcPr>
            <w:tcW w:w="1529" w:type="dxa"/>
          </w:tcPr>
          <w:p>
            <w:pPr>
              <w:pStyle w:val="TableParagraph"/>
              <w:spacing w:line="146" w:lineRule="exact"/>
              <w:ind w:left="908"/>
              <w:jc w:val="left"/>
              <w:rPr>
                <w:rFonts w:ascii="Calibri"/>
                <w:sz w:val="12"/>
              </w:rPr>
            </w:pPr>
            <w:r>
              <w:rPr>
                <w:rFonts w:ascii="Calibri"/>
                <w:w w:val="105"/>
                <w:sz w:val="12"/>
              </w:rPr>
              <w:t>0.5</w:t>
            </w:r>
          </w:p>
        </w:tc>
        <w:tc>
          <w:tcPr>
            <w:tcW w:w="890" w:type="dxa"/>
          </w:tcPr>
          <w:p>
            <w:pPr/>
          </w:p>
        </w:tc>
        <w:tc>
          <w:tcPr>
            <w:tcW w:w="683" w:type="dxa"/>
          </w:tcPr>
          <w:p>
            <w:pPr>
              <w:pStyle w:val="TableParagraph"/>
              <w:spacing w:line="146" w:lineRule="exact"/>
              <w:ind w:left="10"/>
              <w:rPr>
                <w:rFonts w:ascii="Calibri"/>
                <w:sz w:val="12"/>
              </w:rPr>
            </w:pPr>
            <w:r>
              <w:rPr>
                <w:rFonts w:ascii="Calibri"/>
                <w:w w:val="104"/>
                <w:sz w:val="12"/>
              </w:rPr>
              <w:t>1</w:t>
            </w: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1</w:t>
            </w:r>
          </w:p>
        </w:tc>
      </w:tr>
      <w:tr>
        <w:trPr>
          <w:trHeight w:val="157" w:hRule="exact"/>
        </w:trPr>
        <w:tc>
          <w:tcPr>
            <w:tcW w:w="618" w:type="dxa"/>
            <w:vMerge/>
            <w:tcBorders>
              <w:left w:val="single" w:sz="4" w:space="0" w:color="000000"/>
            </w:tcBorders>
          </w:tcPr>
          <w:p>
            <w:pPr/>
          </w:p>
        </w:tc>
        <w:tc>
          <w:tcPr>
            <w:tcW w:w="1859" w:type="dxa"/>
          </w:tcPr>
          <w:p>
            <w:pPr>
              <w:pStyle w:val="TableParagraph"/>
              <w:spacing w:line="146" w:lineRule="exact"/>
              <w:ind w:left="90"/>
              <w:jc w:val="left"/>
              <w:rPr>
                <w:rFonts w:ascii="Calibri" w:hAnsi="Calibri"/>
                <w:sz w:val="12"/>
              </w:rPr>
            </w:pPr>
            <w:r>
              <w:rPr>
                <w:rFonts w:ascii="Calibri" w:hAnsi="Calibri"/>
                <w:w w:val="105"/>
                <w:sz w:val="12"/>
              </w:rPr>
              <w:t>Integración al territorio</w:t>
            </w:r>
          </w:p>
        </w:tc>
        <w:tc>
          <w:tcPr>
            <w:tcW w:w="2561" w:type="dxa"/>
          </w:tcPr>
          <w:p>
            <w:pPr>
              <w:pStyle w:val="TableParagraph"/>
              <w:spacing w:line="146" w:lineRule="exact"/>
              <w:ind w:left="331" w:right="1044"/>
              <w:jc w:val="left"/>
              <w:rPr>
                <w:rFonts w:ascii="Calibri" w:hAnsi="Calibri"/>
                <w:sz w:val="12"/>
              </w:rPr>
            </w:pPr>
            <w:r>
              <w:rPr>
                <w:rFonts w:ascii="Calibri" w:hAnsi="Calibri"/>
                <w:w w:val="105"/>
                <w:sz w:val="12"/>
              </w:rPr>
              <w:t>Integración social</w:t>
            </w:r>
          </w:p>
        </w:tc>
        <w:tc>
          <w:tcPr>
            <w:tcW w:w="1529" w:type="dxa"/>
          </w:tcPr>
          <w:p>
            <w:pPr>
              <w:pStyle w:val="TableParagraph"/>
              <w:spacing w:line="146" w:lineRule="exact"/>
              <w:ind w:left="960"/>
              <w:jc w:val="left"/>
              <w:rPr>
                <w:rFonts w:ascii="Calibri"/>
                <w:sz w:val="12"/>
              </w:rPr>
            </w:pPr>
            <w:r>
              <w:rPr>
                <w:rFonts w:ascii="Calibri"/>
                <w:w w:val="104"/>
                <w:sz w:val="12"/>
              </w:rPr>
              <w:t>0</w:t>
            </w:r>
          </w:p>
        </w:tc>
        <w:tc>
          <w:tcPr>
            <w:tcW w:w="890" w:type="dxa"/>
          </w:tcPr>
          <w:p>
            <w:pPr/>
          </w:p>
        </w:tc>
        <w:tc>
          <w:tcPr>
            <w:tcW w:w="683" w:type="dxa"/>
          </w:tcPr>
          <w:p>
            <w:pPr>
              <w:pStyle w:val="TableParagraph"/>
              <w:spacing w:line="146" w:lineRule="exact"/>
              <w:ind w:left="10"/>
              <w:rPr>
                <w:rFonts w:ascii="Calibri"/>
                <w:sz w:val="12"/>
              </w:rPr>
            </w:pPr>
            <w:r>
              <w:rPr>
                <w:rFonts w:ascii="Calibri"/>
                <w:w w:val="104"/>
                <w:sz w:val="12"/>
              </w:rPr>
              <w:t>1</w:t>
            </w: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1</w:t>
            </w:r>
          </w:p>
        </w:tc>
      </w:tr>
      <w:tr>
        <w:trPr>
          <w:trHeight w:val="157" w:hRule="exact"/>
        </w:trPr>
        <w:tc>
          <w:tcPr>
            <w:tcW w:w="618" w:type="dxa"/>
            <w:vMerge/>
            <w:tcBorders>
              <w:left w:val="single" w:sz="4" w:space="0" w:color="000000"/>
            </w:tcBorders>
          </w:tcPr>
          <w:p>
            <w:pPr/>
          </w:p>
        </w:tc>
        <w:tc>
          <w:tcPr>
            <w:tcW w:w="1859" w:type="dxa"/>
          </w:tcPr>
          <w:p>
            <w:pPr/>
          </w:p>
        </w:tc>
        <w:tc>
          <w:tcPr>
            <w:tcW w:w="2561" w:type="dxa"/>
          </w:tcPr>
          <w:p>
            <w:pPr>
              <w:pStyle w:val="TableParagraph"/>
              <w:spacing w:line="146" w:lineRule="exact"/>
              <w:ind w:left="331" w:right="1044"/>
              <w:jc w:val="left"/>
              <w:rPr>
                <w:rFonts w:ascii="Calibri" w:hAnsi="Calibri"/>
                <w:sz w:val="12"/>
              </w:rPr>
            </w:pPr>
            <w:r>
              <w:rPr>
                <w:rFonts w:ascii="Calibri" w:hAnsi="Calibri"/>
                <w:w w:val="105"/>
                <w:sz w:val="12"/>
              </w:rPr>
              <w:t>Protección civil</w:t>
            </w:r>
          </w:p>
        </w:tc>
        <w:tc>
          <w:tcPr>
            <w:tcW w:w="1529" w:type="dxa"/>
          </w:tcPr>
          <w:p>
            <w:pPr>
              <w:pStyle w:val="TableParagraph"/>
              <w:spacing w:line="146" w:lineRule="exact"/>
              <w:ind w:left="960"/>
              <w:jc w:val="left"/>
              <w:rPr>
                <w:rFonts w:ascii="Calibri"/>
                <w:sz w:val="12"/>
              </w:rPr>
            </w:pPr>
            <w:r>
              <w:rPr>
                <w:rFonts w:ascii="Calibri"/>
                <w:w w:val="104"/>
                <w:sz w:val="12"/>
              </w:rPr>
              <w:t>0</w:t>
            </w:r>
          </w:p>
        </w:tc>
        <w:tc>
          <w:tcPr>
            <w:tcW w:w="890" w:type="dxa"/>
          </w:tcPr>
          <w:p>
            <w:pPr/>
          </w:p>
        </w:tc>
        <w:tc>
          <w:tcPr>
            <w:tcW w:w="683" w:type="dxa"/>
          </w:tcPr>
          <w:p>
            <w:pPr>
              <w:pStyle w:val="TableParagraph"/>
              <w:spacing w:line="146" w:lineRule="exact"/>
              <w:ind w:left="10"/>
              <w:rPr>
                <w:rFonts w:ascii="Calibri"/>
                <w:sz w:val="12"/>
              </w:rPr>
            </w:pPr>
            <w:r>
              <w:rPr>
                <w:rFonts w:ascii="Calibri"/>
                <w:w w:val="104"/>
                <w:sz w:val="12"/>
              </w:rPr>
              <w:t>1</w:t>
            </w: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1</w:t>
            </w:r>
          </w:p>
        </w:tc>
      </w:tr>
      <w:tr>
        <w:trPr>
          <w:trHeight w:val="157" w:hRule="exact"/>
        </w:trPr>
        <w:tc>
          <w:tcPr>
            <w:tcW w:w="618" w:type="dxa"/>
            <w:vMerge/>
            <w:tcBorders>
              <w:left w:val="single" w:sz="4" w:space="0" w:color="000000"/>
            </w:tcBorders>
          </w:tcPr>
          <w:p>
            <w:pPr/>
          </w:p>
        </w:tc>
        <w:tc>
          <w:tcPr>
            <w:tcW w:w="1859" w:type="dxa"/>
          </w:tcPr>
          <w:p>
            <w:pPr/>
          </w:p>
        </w:tc>
        <w:tc>
          <w:tcPr>
            <w:tcW w:w="2561" w:type="dxa"/>
          </w:tcPr>
          <w:p>
            <w:pPr>
              <w:pStyle w:val="TableParagraph"/>
              <w:spacing w:line="146" w:lineRule="exact"/>
              <w:ind w:left="331" w:right="1044"/>
              <w:jc w:val="left"/>
              <w:rPr>
                <w:rFonts w:ascii="Calibri"/>
                <w:sz w:val="12"/>
              </w:rPr>
            </w:pPr>
            <w:r>
              <w:rPr>
                <w:rFonts w:ascii="Calibri"/>
                <w:w w:val="105"/>
                <w:sz w:val="12"/>
              </w:rPr>
              <w:t>Seguridad</w:t>
            </w:r>
          </w:p>
        </w:tc>
        <w:tc>
          <w:tcPr>
            <w:tcW w:w="1529" w:type="dxa"/>
          </w:tcPr>
          <w:p>
            <w:pPr>
              <w:pStyle w:val="TableParagraph"/>
              <w:spacing w:line="146" w:lineRule="exact"/>
              <w:ind w:left="908"/>
              <w:jc w:val="left"/>
              <w:rPr>
                <w:rFonts w:ascii="Calibri"/>
                <w:sz w:val="12"/>
              </w:rPr>
            </w:pPr>
            <w:r>
              <w:rPr>
                <w:rFonts w:ascii="Calibri"/>
                <w:w w:val="105"/>
                <w:sz w:val="12"/>
              </w:rPr>
              <w:t>0.5</w:t>
            </w:r>
          </w:p>
        </w:tc>
        <w:tc>
          <w:tcPr>
            <w:tcW w:w="890" w:type="dxa"/>
          </w:tcPr>
          <w:p>
            <w:pPr/>
          </w:p>
        </w:tc>
        <w:tc>
          <w:tcPr>
            <w:tcW w:w="683" w:type="dxa"/>
          </w:tcPr>
          <w:p>
            <w:pPr>
              <w:pStyle w:val="TableParagraph"/>
              <w:spacing w:line="146" w:lineRule="exact"/>
              <w:ind w:left="10"/>
              <w:rPr>
                <w:rFonts w:ascii="Calibri"/>
                <w:sz w:val="12"/>
              </w:rPr>
            </w:pPr>
            <w:r>
              <w:rPr>
                <w:rFonts w:ascii="Calibri"/>
                <w:w w:val="104"/>
                <w:sz w:val="12"/>
              </w:rPr>
              <w:t>1</w:t>
            </w: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1</w:t>
            </w:r>
          </w:p>
        </w:tc>
      </w:tr>
      <w:tr>
        <w:trPr>
          <w:trHeight w:val="161" w:hRule="exact"/>
        </w:trPr>
        <w:tc>
          <w:tcPr>
            <w:tcW w:w="618" w:type="dxa"/>
            <w:vMerge/>
            <w:tcBorders>
              <w:left w:val="single" w:sz="4" w:space="0" w:color="000000"/>
            </w:tcBorders>
          </w:tcPr>
          <w:p>
            <w:pPr/>
          </w:p>
        </w:tc>
        <w:tc>
          <w:tcPr>
            <w:tcW w:w="1859" w:type="dxa"/>
          </w:tcPr>
          <w:p>
            <w:pPr/>
          </w:p>
        </w:tc>
        <w:tc>
          <w:tcPr>
            <w:tcW w:w="2561" w:type="dxa"/>
          </w:tcPr>
          <w:p>
            <w:pPr/>
          </w:p>
        </w:tc>
        <w:tc>
          <w:tcPr>
            <w:tcW w:w="1529" w:type="dxa"/>
          </w:tcPr>
          <w:p>
            <w:pPr>
              <w:pStyle w:val="TableParagraph"/>
              <w:spacing w:before="1"/>
              <w:ind w:right="325"/>
              <w:jc w:val="right"/>
              <w:rPr>
                <w:rFonts w:ascii="Calibri"/>
                <w:sz w:val="12"/>
              </w:rPr>
            </w:pPr>
            <w:r>
              <w:rPr>
                <w:rFonts w:ascii="Calibri"/>
                <w:w w:val="105"/>
                <w:sz w:val="12"/>
              </w:rPr>
              <w:t>Subtotal</w:t>
            </w:r>
          </w:p>
        </w:tc>
        <w:tc>
          <w:tcPr>
            <w:tcW w:w="890" w:type="dxa"/>
          </w:tcPr>
          <w:p>
            <w:pPr>
              <w:pStyle w:val="TableParagraph"/>
              <w:tabs>
                <w:tab w:pos="470" w:val="left" w:leader="none"/>
                <w:tab w:pos="900" w:val="left" w:leader="none"/>
              </w:tabs>
              <w:spacing w:before="1"/>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ab/>
            </w:r>
            <w:r>
              <w:rPr>
                <w:rFonts w:ascii="Calibri"/>
                <w:w w:val="105"/>
                <w:sz w:val="12"/>
                <w:shd w:fill="F79646" w:color="auto" w:val="clear"/>
              </w:rPr>
              <w:t>1.2</w:t>
            </w:r>
            <w:r>
              <w:rPr>
                <w:rFonts w:ascii="Calibri"/>
                <w:sz w:val="12"/>
                <w:shd w:fill="F79646" w:color="auto" w:val="clear"/>
              </w:rPr>
              <w:tab/>
            </w:r>
          </w:p>
        </w:tc>
        <w:tc>
          <w:tcPr>
            <w:tcW w:w="683" w:type="dxa"/>
          </w:tcPr>
          <w:p>
            <w:pPr>
              <w:pStyle w:val="TableParagraph"/>
              <w:spacing w:before="1"/>
              <w:ind w:left="209" w:right="208"/>
              <w:rPr>
                <w:rFonts w:ascii="Calibri"/>
                <w:sz w:val="12"/>
              </w:rPr>
            </w:pPr>
            <w:r>
              <w:rPr>
                <w:rFonts w:ascii="Calibri"/>
                <w:w w:val="105"/>
                <w:sz w:val="12"/>
              </w:rPr>
              <w:t>4.8</w:t>
            </w:r>
          </w:p>
        </w:tc>
        <w:tc>
          <w:tcPr>
            <w:tcW w:w="681" w:type="dxa"/>
            <w:tcBorders>
              <w:right w:val="single" w:sz="8" w:space="0" w:color="000000"/>
            </w:tcBorders>
            <w:shd w:val="clear" w:color="auto" w:fill="67ED4D"/>
          </w:tcPr>
          <w:p>
            <w:pPr>
              <w:pStyle w:val="TableParagraph"/>
              <w:spacing w:line="146" w:lineRule="exact"/>
              <w:ind w:left="21"/>
              <w:rPr>
                <w:rFonts w:ascii="Calibri"/>
                <w:sz w:val="12"/>
              </w:rPr>
            </w:pPr>
            <w:r>
              <w:rPr>
                <w:rFonts w:ascii="Calibri"/>
                <w:w w:val="104"/>
                <w:sz w:val="12"/>
              </w:rPr>
              <w:t>5</w:t>
            </w:r>
          </w:p>
        </w:tc>
      </w:tr>
      <w:tr>
        <w:trPr>
          <w:trHeight w:val="472" w:hRule="exact"/>
        </w:trPr>
        <w:tc>
          <w:tcPr>
            <w:tcW w:w="618" w:type="dxa"/>
            <w:tcBorders>
              <w:left w:val="single" w:sz="4" w:space="0" w:color="000000"/>
              <w:bottom w:val="single" w:sz="8" w:space="0" w:color="000000"/>
            </w:tcBorders>
          </w:tcPr>
          <w:p>
            <w:pPr/>
          </w:p>
        </w:tc>
        <w:tc>
          <w:tcPr>
            <w:tcW w:w="1859" w:type="dxa"/>
            <w:tcBorders>
              <w:bottom w:val="single" w:sz="8" w:space="0" w:color="000000"/>
            </w:tcBorders>
          </w:tcPr>
          <w:p>
            <w:pPr/>
          </w:p>
        </w:tc>
        <w:tc>
          <w:tcPr>
            <w:tcW w:w="2561" w:type="dxa"/>
            <w:tcBorders>
              <w:bottom w:val="single" w:sz="8" w:space="0" w:color="000000"/>
            </w:tcBorders>
          </w:tcPr>
          <w:p>
            <w:pPr/>
          </w:p>
        </w:tc>
        <w:tc>
          <w:tcPr>
            <w:tcW w:w="1529" w:type="dxa"/>
            <w:tcBorders>
              <w:bottom w:val="single" w:sz="8" w:space="0" w:color="000000"/>
            </w:tcBorders>
          </w:tcPr>
          <w:p>
            <w:pPr>
              <w:pStyle w:val="TableParagraph"/>
              <w:spacing w:before="3"/>
              <w:jc w:val="left"/>
              <w:rPr>
                <w:sz w:val="13"/>
              </w:rPr>
            </w:pPr>
          </w:p>
          <w:p>
            <w:pPr>
              <w:pStyle w:val="TableParagraph"/>
              <w:spacing w:before="1"/>
              <w:ind w:right="353"/>
              <w:jc w:val="right"/>
              <w:rPr>
                <w:rFonts w:ascii="Calibri"/>
                <w:sz w:val="12"/>
              </w:rPr>
            </w:pPr>
            <w:r>
              <w:rPr>
                <w:rFonts w:ascii="Calibri"/>
                <w:w w:val="105"/>
                <w:sz w:val="12"/>
              </w:rPr>
              <w:t>Total IT</w:t>
            </w:r>
          </w:p>
        </w:tc>
        <w:tc>
          <w:tcPr>
            <w:tcW w:w="890" w:type="dxa"/>
            <w:tcBorders>
              <w:bottom w:val="single" w:sz="8" w:space="0" w:color="000000"/>
            </w:tcBorders>
          </w:tcPr>
          <w:p>
            <w:pPr>
              <w:pStyle w:val="TableParagraph"/>
              <w:spacing w:before="3"/>
              <w:jc w:val="left"/>
              <w:rPr>
                <w:sz w:val="13"/>
              </w:rPr>
            </w:pPr>
          </w:p>
          <w:p>
            <w:pPr>
              <w:pStyle w:val="TableParagraph"/>
              <w:tabs>
                <w:tab w:pos="900" w:val="left" w:leader="none"/>
              </w:tabs>
              <w:spacing w:before="1"/>
              <w:ind w:left="208" w:right="-11"/>
              <w:jc w:val="left"/>
              <w:rPr>
                <w:rFonts w:ascii="Calibri"/>
                <w:sz w:val="12"/>
              </w:rPr>
            </w:pPr>
            <w:r>
              <w:rPr>
                <w:rFonts w:ascii="Times New Roman"/>
                <w:w w:val="104"/>
                <w:sz w:val="12"/>
                <w:shd w:fill="F79646" w:color="auto" w:val="clear"/>
              </w:rPr>
              <w:t> </w:t>
            </w:r>
            <w:r>
              <w:rPr>
                <w:rFonts w:ascii="Times New Roman"/>
                <w:sz w:val="12"/>
                <w:shd w:fill="F79646" w:color="auto" w:val="clear"/>
              </w:rPr>
              <w:t>      </w:t>
            </w:r>
            <w:r>
              <w:rPr>
                <w:rFonts w:ascii="Times New Roman"/>
                <w:spacing w:val="-11"/>
                <w:sz w:val="12"/>
                <w:shd w:fill="F79646" w:color="auto" w:val="clear"/>
              </w:rPr>
              <w:t> </w:t>
            </w:r>
            <w:r>
              <w:rPr>
                <w:rFonts w:ascii="Calibri"/>
                <w:w w:val="105"/>
                <w:sz w:val="12"/>
                <w:shd w:fill="F79646" w:color="auto" w:val="clear"/>
              </w:rPr>
              <w:t>5.11</w:t>
            </w:r>
            <w:r>
              <w:rPr>
                <w:rFonts w:ascii="Calibri"/>
                <w:sz w:val="12"/>
                <w:shd w:fill="F79646" w:color="auto" w:val="clear"/>
              </w:rPr>
              <w:tab/>
            </w:r>
          </w:p>
        </w:tc>
        <w:tc>
          <w:tcPr>
            <w:tcW w:w="683" w:type="dxa"/>
            <w:tcBorders>
              <w:bottom w:val="single" w:sz="8" w:space="0" w:color="000000"/>
            </w:tcBorders>
          </w:tcPr>
          <w:p>
            <w:pPr>
              <w:pStyle w:val="TableParagraph"/>
              <w:spacing w:before="3"/>
              <w:jc w:val="left"/>
              <w:rPr>
                <w:sz w:val="13"/>
              </w:rPr>
            </w:pPr>
          </w:p>
          <w:p>
            <w:pPr>
              <w:pStyle w:val="TableParagraph"/>
              <w:tabs>
                <w:tab w:pos="692" w:val="left" w:leader="none"/>
              </w:tabs>
              <w:spacing w:before="1"/>
              <w:ind w:right="-10"/>
              <w:rPr>
                <w:rFonts w:ascii="Calibri"/>
                <w:sz w:val="12"/>
              </w:rPr>
            </w:pPr>
            <w:r>
              <w:rPr>
                <w:rFonts w:ascii="Times New Roman"/>
                <w:w w:val="104"/>
                <w:sz w:val="12"/>
                <w:shd w:fill="FFFF00" w:color="auto" w:val="clear"/>
              </w:rPr>
              <w:t> </w:t>
            </w:r>
            <w:r>
              <w:rPr>
                <w:rFonts w:ascii="Times New Roman"/>
                <w:sz w:val="12"/>
                <w:shd w:fill="FFFF00" w:color="auto" w:val="clear"/>
              </w:rPr>
              <w:t>     </w:t>
            </w:r>
            <w:r>
              <w:rPr>
                <w:rFonts w:ascii="Times New Roman"/>
                <w:spacing w:val="-13"/>
                <w:sz w:val="12"/>
                <w:shd w:fill="FFFF00" w:color="auto" w:val="clear"/>
              </w:rPr>
              <w:t> </w:t>
            </w:r>
            <w:r>
              <w:rPr>
                <w:rFonts w:ascii="Calibri"/>
                <w:w w:val="105"/>
                <w:sz w:val="12"/>
                <w:shd w:fill="FFFF00" w:color="auto" w:val="clear"/>
              </w:rPr>
              <w:t>12.66</w:t>
            </w:r>
            <w:r>
              <w:rPr>
                <w:rFonts w:ascii="Calibri"/>
                <w:sz w:val="12"/>
                <w:shd w:fill="FFFF00" w:color="auto" w:val="clear"/>
              </w:rPr>
              <w:tab/>
            </w:r>
          </w:p>
        </w:tc>
        <w:tc>
          <w:tcPr>
            <w:tcW w:w="681" w:type="dxa"/>
            <w:tcBorders>
              <w:bottom w:val="single" w:sz="8" w:space="0" w:color="000000"/>
              <w:right w:val="single" w:sz="8" w:space="0" w:color="000000"/>
            </w:tcBorders>
          </w:tcPr>
          <w:p>
            <w:pPr>
              <w:pStyle w:val="TableParagraph"/>
              <w:spacing w:before="3"/>
              <w:jc w:val="left"/>
              <w:rPr>
                <w:sz w:val="13"/>
              </w:rPr>
            </w:pPr>
          </w:p>
          <w:p>
            <w:pPr>
              <w:pStyle w:val="TableParagraph"/>
              <w:spacing w:before="1"/>
              <w:ind w:left="262" w:right="241"/>
              <w:rPr>
                <w:rFonts w:ascii="Calibri"/>
                <w:sz w:val="12"/>
              </w:rPr>
            </w:pPr>
            <w:r>
              <w:rPr>
                <w:rFonts w:ascii="Calibri"/>
                <w:w w:val="105"/>
                <w:sz w:val="12"/>
              </w:rPr>
              <w:t>17</w:t>
            </w:r>
          </w:p>
        </w:tc>
      </w:tr>
    </w:tbl>
    <w:p>
      <w:pPr>
        <w:spacing w:before="131"/>
        <w:ind w:left="268" w:right="0" w:firstLine="0"/>
        <w:jc w:val="left"/>
        <w:rPr>
          <w:sz w:val="21"/>
        </w:rPr>
      </w:pPr>
      <w:r>
        <w:rPr/>
        <w:pict>
          <v:group style="position:absolute;margin-left:362.756989pt;margin-top:-135.156418pt;width:76.150pt;height:16.850pt;mso-position-horizontal-relative:page;mso-position-vertical-relative:paragraph;z-index:-1133536" coordorigin="7255,-2703" coordsize="1523,337">
            <v:line style="position:absolute" from="7261,-2698" to="7261,-2530" stroked="true" strokeweight=".524pt" strokecolor="#baf9f5"/>
            <v:rect style="position:absolute;left:7266;top:-2698;width:1511;height:168" filled="true" fillcolor="#baf9f5" stroked="false">
              <v:fill type="solid"/>
            </v:rect>
            <v:line style="position:absolute" from="7261,-2530" to="7261,-2372" stroked="true" strokeweight=".524pt" strokecolor="#baf9f5"/>
            <v:rect style="position:absolute;left:7266;top:-2530;width:1511;height:157" filled="true" fillcolor="#baf9f5" stroked="false">
              <v:fill type="solid"/>
            </v:rect>
            <w10:wrap type="none"/>
          </v:group>
        </w:pict>
      </w:r>
      <w:r>
        <w:rPr/>
        <w:pict>
          <v:shape style="position:absolute;margin-left:472.449036pt;margin-top:-134.881134pt;width:34.65pt;height:24.15pt;mso-position-horizontal-relative:page;mso-position-vertical-relative:paragraph;z-index:-1133512" coordorigin="9449,-2698" coordsize="693,483" path="m10142,-2698l9449,-2698,9449,-2530,9449,-2383,9449,-2372,9449,-2215,10142,-2215,10142,-2372,10142,-2383,10142,-2530,10142,-2698e" filled="true" fillcolor="#ffff00" stroked="false">
            <v:path arrowok="t"/>
            <v:fill type="solid"/>
            <w10:wrap type="none"/>
          </v:shape>
        </w:pict>
      </w:r>
      <w:r>
        <w:rPr/>
        <w:pict>
          <v:group style="position:absolute;margin-left:362.756989pt;margin-top:-103.669426pt;width:76.150pt;height:16.850pt;mso-position-horizontal-relative:page;mso-position-vertical-relative:paragraph;z-index:-1133488" coordorigin="7255,-2073" coordsize="1523,337">
            <v:line style="position:absolute" from="7261,-2068" to="7261,-1900" stroked="true" strokeweight=".524pt" strokecolor="#baf9f5"/>
            <v:rect style="position:absolute;left:7266;top:-2068;width:1511;height:168" filled="true" fillcolor="#baf9f5" stroked="false">
              <v:fill type="solid"/>
            </v:rect>
            <v:line style="position:absolute" from="7261,-1900" to="7261,-1743" stroked="true" strokeweight=".524pt" strokecolor="#baf9f5"/>
            <v:rect style="position:absolute;left:7266;top:-1900;width:1511;height:157" filled="true" fillcolor="#baf9f5" stroked="false">
              <v:fill type="solid"/>
            </v:rect>
            <w10:wrap type="none"/>
          </v:group>
        </w:pict>
      </w:r>
      <w:r>
        <w:rPr/>
        <w:pict>
          <v:shape style="position:absolute;margin-left:472.449036pt;margin-top:-103.394135pt;width:34.65pt;height:24.15pt;mso-position-horizontal-relative:page;mso-position-vertical-relative:paragraph;z-index:-1133464" coordorigin="9449,-2068" coordsize="693,483" path="m10142,-2068l9449,-2068,9449,-1900,9449,-1753,9449,-1743,9449,-1585,10142,-1585,10142,-1743,10142,-1753,10142,-1900,10142,-2068e" filled="true" fillcolor="#ffff00" stroked="false">
            <v:path arrowok="t"/>
            <v:fill type="solid"/>
            <w10:wrap type="none"/>
          </v:shape>
        </w:pict>
      </w:r>
      <w:r>
        <w:rPr/>
        <w:pict>
          <v:group style="position:absolute;margin-left:362.756989pt;margin-top:-72.182426pt;width:76.150pt;height:40.450pt;mso-position-horizontal-relative:page;mso-position-vertical-relative:paragraph;z-index:-1133440" coordorigin="7255,-1444" coordsize="1523,809">
            <v:line style="position:absolute" from="7261,-1438" to="7261,-1270" stroked="true" strokeweight=".524pt" strokecolor="#baf9f5"/>
            <v:rect style="position:absolute;left:7266;top:-1438;width:1511;height:168" filled="true" fillcolor="#baf9f5" stroked="false">
              <v:fill type="solid"/>
            </v:rect>
            <v:line style="position:absolute" from="7261,-1270" to="7261,-1113" stroked="true" strokeweight=".524pt" strokecolor="#baf9f5"/>
            <v:rect style="position:absolute;left:7266;top:-1270;width:1511;height:157" filled="true" fillcolor="#baf9f5" stroked="false">
              <v:fill type="solid"/>
            </v:rect>
            <v:line style="position:absolute" from="7261,-1113" to="7261,-955" stroked="true" strokeweight=".524pt" strokecolor="#baf9f5"/>
            <v:rect style="position:absolute;left:7266;top:-1113;width:1511;height:157" filled="true" fillcolor="#baf9f5" stroked="false">
              <v:fill type="solid"/>
            </v:rect>
            <v:line style="position:absolute" from="7261,-955" to="7261,-798" stroked="true" strokeweight=".524pt" strokecolor="#baf9f5"/>
            <v:rect style="position:absolute;left:7266;top:-955;width:1511;height:157" filled="true" fillcolor="#baf9f5" stroked="false">
              <v:fill type="solid"/>
            </v:rect>
            <v:line style="position:absolute" from="7261,-798" to="7261,-640" stroked="true" strokeweight=".524pt" strokecolor="#baf9f5"/>
            <v:rect style="position:absolute;left:7266;top:-798;width:1511;height:157" filled="true" fillcolor="#baf9f5" stroked="false">
              <v:fill type="solid"/>
            </v:rect>
            <w10:wrap type="none"/>
          </v:group>
        </w:pict>
      </w:r>
      <w:r>
        <w:rPr/>
        <w:pict>
          <v:shape style="position:absolute;margin-left:472.449036pt;margin-top:-71.907135pt;width:34.65pt;height:47.8pt;mso-position-horizontal-relative:page;mso-position-vertical-relative:paragraph;z-index:-1133416" coordorigin="9449,-1438" coordsize="693,956" path="m10142,-955l9449,-955,9449,-798,9449,-651,9449,-640,9449,-483,10142,-483,10142,-640,10142,-651,10142,-798,10142,-955m10142,-1113l9449,-1113,9449,-955,10142,-955,10142,-1113m10142,-1270l9449,-1270,9449,-1113,10142,-1113,10142,-1270m10142,-1438l9449,-1438,9449,-1270,10142,-1270,10142,-1438e" filled="true" fillcolor="#ffff00" stroked="false">
            <v:path arrowok="t"/>
            <v:fill type="solid"/>
            <w10:wrap type="none"/>
          </v:shape>
        </w:pict>
      </w:r>
      <w:r>
        <w:rPr/>
        <w:pict>
          <v:rect style="position:absolute;margin-left:506.559998pt;margin-top:-16.804653pt;width:34.6355pt;height:8.39653pt;mso-position-horizontal-relative:page;mso-position-vertical-relative:paragraph;z-index:-1133392" filled="true" fillcolor="#67ed4d"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spacing w:before="1"/>
        <w:rPr>
          <w:sz w:val="18"/>
        </w:rPr>
      </w:pPr>
    </w:p>
    <w:p>
      <w:pPr>
        <w:pStyle w:val="BodyText"/>
        <w:spacing w:before="69" w:after="22"/>
        <w:ind w:left="268"/>
      </w:pPr>
      <w:r>
        <w:rPr/>
        <w:pict>
          <v:line style="position:absolute;mso-position-horizontal-relative:page;mso-position-vertical-relative:paragraph;z-index:24664" from="93.199997pt,-19.614155pt" to="546.799997pt,-19.614155pt" stroked="true" strokeweight=".479981pt" strokecolor="#000000">
            <w10:wrap type="none"/>
          </v:line>
        </w:pict>
      </w:r>
      <w:r>
        <w:rPr/>
        <w:t>Tabla 62. Datos URBI Hacienda Lomas</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02"/>
        <w:gridCol w:w="5243"/>
      </w:tblGrid>
      <w:tr>
        <w:trPr>
          <w:trHeight w:val="709" w:hRule="exact"/>
        </w:trPr>
        <w:tc>
          <w:tcPr>
            <w:tcW w:w="7845" w:type="dxa"/>
            <w:gridSpan w:val="2"/>
            <w:tcBorders>
              <w:left w:val="single" w:sz="8" w:space="0" w:color="000000"/>
              <w:bottom w:val="single" w:sz="8" w:space="0" w:color="BFBFBF"/>
              <w:right w:val="single" w:sz="8" w:space="0" w:color="000000"/>
            </w:tcBorders>
            <w:shd w:val="clear" w:color="auto" w:fill="0D0D0D"/>
          </w:tcPr>
          <w:p>
            <w:pPr>
              <w:pStyle w:val="TableParagraph"/>
              <w:spacing w:before="184"/>
              <w:ind w:left="2603" w:right="2619"/>
              <w:rPr>
                <w:b/>
                <w:sz w:val="24"/>
              </w:rPr>
            </w:pPr>
            <w:r>
              <w:rPr>
                <w:b/>
                <w:color w:val="FFFFFF"/>
                <w:sz w:val="24"/>
              </w:rPr>
              <w:t>URBI Hacienda Lomas</w:t>
            </w:r>
          </w:p>
        </w:tc>
      </w:tr>
      <w:tr>
        <w:trPr>
          <w:trHeight w:val="300" w:hRule="exact"/>
        </w:trPr>
        <w:tc>
          <w:tcPr>
            <w:tcW w:w="2602" w:type="dxa"/>
            <w:tcBorders>
              <w:top w:val="single" w:sz="8" w:space="0" w:color="BFBFBF"/>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Empresa</w:t>
            </w:r>
          </w:p>
        </w:tc>
        <w:tc>
          <w:tcPr>
            <w:tcW w:w="5243" w:type="dxa"/>
            <w:tcBorders>
              <w:top w:val="single" w:sz="8" w:space="0" w:color="BFBFBF"/>
              <w:left w:val="single" w:sz="8" w:space="0" w:color="000000"/>
              <w:bottom w:val="single" w:sz="8" w:space="0" w:color="000000"/>
              <w:right w:val="single" w:sz="8" w:space="0" w:color="000000"/>
            </w:tcBorders>
          </w:tcPr>
          <w:p>
            <w:pPr>
              <w:pStyle w:val="TableParagraph"/>
              <w:spacing w:line="274" w:lineRule="exact"/>
              <w:ind w:left="242" w:right="247"/>
              <w:rPr>
                <w:rFonts w:ascii="Calibri" w:hAnsi="Calibri"/>
                <w:sz w:val="24"/>
              </w:rPr>
            </w:pPr>
            <w:r>
              <w:rPr>
                <w:rFonts w:ascii="Calibri" w:hAnsi="Calibri"/>
                <w:sz w:val="24"/>
              </w:rPr>
              <w:t>Promoción y Desarrollos URBI, S.A. de C.V.</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Tipo de vivienda</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26" w:right="251"/>
              <w:rPr>
                <w:rFonts w:ascii="Calibri"/>
                <w:sz w:val="24"/>
              </w:rPr>
            </w:pPr>
            <w:r>
              <w:rPr>
                <w:rFonts w:ascii="Calibri"/>
                <w:sz w:val="24"/>
              </w:rPr>
              <w:t>Medio</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No. de viviendas</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38" w:right="251"/>
              <w:rPr>
                <w:rFonts w:ascii="Calibri"/>
                <w:sz w:val="24"/>
              </w:rPr>
            </w:pPr>
            <w:r>
              <w:rPr>
                <w:rFonts w:ascii="Calibri"/>
                <w:sz w:val="24"/>
              </w:rPr>
              <w:t>325</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V. Medio</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38" w:right="251"/>
              <w:rPr>
                <w:rFonts w:ascii="Calibri"/>
                <w:sz w:val="24"/>
              </w:rPr>
            </w:pPr>
            <w:r>
              <w:rPr>
                <w:rFonts w:ascii="Calibri"/>
                <w:sz w:val="24"/>
              </w:rPr>
              <w:t>325</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V. Interés Social</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right="16"/>
              <w:rPr>
                <w:rFonts w:ascii="Calibri"/>
                <w:sz w:val="24"/>
              </w:rPr>
            </w:pPr>
            <w:r>
              <w:rPr>
                <w:rFonts w:ascii="Calibri"/>
                <w:w w:val="100"/>
                <w:sz w:val="24"/>
              </w:rPr>
              <w:t>0</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V. Residencial</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right="16"/>
              <w:rPr>
                <w:rFonts w:ascii="Calibri"/>
                <w:sz w:val="24"/>
              </w:rPr>
            </w:pPr>
            <w:r>
              <w:rPr>
                <w:rFonts w:ascii="Calibri"/>
                <w:w w:val="100"/>
                <w:sz w:val="24"/>
              </w:rPr>
              <w:t>0</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Manzanas</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37" w:right="251"/>
              <w:rPr>
                <w:rFonts w:ascii="Calibri"/>
                <w:sz w:val="24"/>
              </w:rPr>
            </w:pPr>
            <w:r>
              <w:rPr>
                <w:rFonts w:ascii="Calibri"/>
                <w:sz w:val="24"/>
              </w:rPr>
              <w:t>23</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Lotes</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38" w:right="251"/>
              <w:rPr>
                <w:rFonts w:ascii="Calibri"/>
                <w:sz w:val="24"/>
              </w:rPr>
            </w:pPr>
            <w:r>
              <w:rPr>
                <w:rFonts w:ascii="Calibri"/>
                <w:sz w:val="24"/>
              </w:rPr>
              <w:t>329</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Superficie CU (m2)</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42" w:right="246"/>
              <w:rPr>
                <w:rFonts w:ascii="Calibri"/>
                <w:sz w:val="24"/>
              </w:rPr>
            </w:pPr>
            <w:r>
              <w:rPr>
                <w:rFonts w:ascii="Calibri"/>
                <w:sz w:val="24"/>
              </w:rPr>
              <w:t>80,326.709</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Pob. Beneficiada</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20" w:right="251"/>
              <w:rPr>
                <w:rFonts w:ascii="Calibri"/>
                <w:sz w:val="24"/>
              </w:rPr>
            </w:pPr>
            <w:r>
              <w:rPr>
                <w:rFonts w:ascii="Calibri"/>
                <w:sz w:val="24"/>
              </w:rPr>
              <w:t>1,463</w:t>
            </w:r>
          </w:p>
        </w:tc>
      </w:tr>
      <w:tr>
        <w:trPr>
          <w:trHeight w:val="4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before="24"/>
              <w:ind w:left="40"/>
              <w:jc w:val="left"/>
              <w:rPr>
                <w:b/>
                <w:sz w:val="24"/>
              </w:rPr>
            </w:pPr>
            <w:r>
              <w:rPr>
                <w:b/>
                <w:sz w:val="24"/>
              </w:rPr>
              <w:t>Fecha de publicación</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before="21"/>
              <w:ind w:left="229" w:right="251"/>
              <w:rPr>
                <w:rFonts w:ascii="Calibri"/>
                <w:sz w:val="24"/>
              </w:rPr>
            </w:pPr>
            <w:r>
              <w:rPr>
                <w:rFonts w:ascii="Calibri"/>
                <w:sz w:val="24"/>
              </w:rPr>
              <w:t>10/09/10</w:t>
            </w:r>
          </w:p>
        </w:tc>
      </w:tr>
    </w:tbl>
    <w:p>
      <w:pPr>
        <w:spacing w:before="131"/>
        <w:ind w:left="268" w:right="0" w:firstLine="0"/>
        <w:jc w:val="left"/>
        <w:rPr>
          <w:sz w:val="21"/>
        </w:rPr>
      </w:pPr>
      <w:r>
        <w:rPr>
          <w:w w:val="105"/>
          <w:sz w:val="21"/>
        </w:rPr>
        <w:t>Fuente: Elaboración propia con base al estudio realizado.</w:t>
      </w:r>
    </w:p>
    <w:p>
      <w:pPr>
        <w:pStyle w:val="BodyText"/>
        <w:rPr>
          <w:sz w:val="22"/>
        </w:rPr>
      </w:pPr>
    </w:p>
    <w:p>
      <w:pPr>
        <w:pStyle w:val="BodyText"/>
        <w:rPr>
          <w:sz w:val="22"/>
        </w:rPr>
      </w:pPr>
    </w:p>
    <w:p>
      <w:pPr>
        <w:pStyle w:val="BodyText"/>
        <w:spacing w:before="131" w:after="15"/>
        <w:ind w:left="268"/>
      </w:pPr>
      <w:r>
        <w:rPr/>
        <w:pict>
          <v:group style="position:absolute;margin-left:363.389008pt;margin-top:62.404724pt;width:75.25pt;height:40.550pt;mso-position-horizontal-relative:page;mso-position-vertical-relative:paragraph;z-index:-1133344" coordorigin="7268,1248" coordsize="1505,811">
            <v:line style="position:absolute" from="7273,1254" to="7273,1422" stroked="true" strokeweight=".526pt" strokecolor="#baf9f5"/>
            <v:shape style="position:absolute;left:7279;top:1254;width:1494;height:642" coordorigin="7279,1254" coordsize="1494,642" path="m8772,1738l7279,1738,7279,1896,8772,1896,8772,1738m8772,1580l7279,1580,7279,1738,8772,1738,8772,1580m8772,1254l7279,1254,7279,1411,7279,1422,7279,1580,8772,1580,8772,1422,8772,1411,8772,1254e" filled="true" fillcolor="#baf9f5" stroked="false">
              <v:path arrowok="t"/>
              <v:fill type="solid"/>
            </v:shape>
            <v:line style="position:absolute" from="7273,1411" to="7273,2053" stroked="true" strokeweight=".526pt" strokecolor="#baf9f5"/>
            <v:rect style="position:absolute;left:7279;top:1896;width:1494;height:158" filled="true" fillcolor="#baf9f5" stroked="false">
              <v:fill type="solid"/>
            </v:rect>
            <w10:wrap type="none"/>
          </v:group>
        </w:pict>
      </w:r>
      <w:r>
        <w:rPr/>
        <w:pict>
          <v:shape style="position:absolute;margin-left:472.291016pt;margin-top:62.679836pt;width:34.75pt;height:47.9pt;mso-position-horizontal-relative:page;mso-position-vertical-relative:paragraph;z-index:-1133320" coordorigin="9446,1254" coordsize="695,958" path="m10140,1738l9446,1738,9446,1896,9446,2043,9446,2053,9446,2211,10140,2211,10140,2053,10140,2043,10140,1896,10140,1738m10140,1580l9446,1580,9446,1738,10140,1738,10140,1580m10140,1254l9446,1254,9446,1411,9446,1422,9446,1580,10140,1580,10140,1422,10140,1411,10140,1254e" filled="true" fillcolor="#ffff00" stroked="false">
            <v:path arrowok="t"/>
            <v:fill type="solid"/>
            <w10:wrap type="none"/>
          </v:shape>
        </w:pict>
      </w:r>
      <w:r>
        <w:rPr/>
        <w:pict>
          <v:group style="position:absolute;margin-left:363.389008pt;margin-top:117.654755pt;width:75.25pt;height:64.25pt;mso-position-horizontal-relative:page;mso-position-vertical-relative:paragraph;z-index:-1133296" coordorigin="7268,2353" coordsize="1505,1285">
            <v:line style="position:absolute" from="7273,2359" to="7273,2527" stroked="true" strokeweight=".526pt" strokecolor="#baf9f5"/>
            <v:rect style="position:absolute;left:7279;top:2359;width:1494;height:168" filled="true" fillcolor="#baf9f5" stroked="false">
              <v:fill type="solid"/>
            </v:rect>
            <v:line style="position:absolute" from="7273,2527" to="7273,2685" stroked="true" strokeweight=".526pt" strokecolor="#baf9f5"/>
            <v:rect style="position:absolute;left:7279;top:2527;width:1494;height:158" filled="true" fillcolor="#baf9f5" stroked="false">
              <v:fill type="solid"/>
            </v:rect>
            <v:line style="position:absolute" from="7273,2685" to="7273,2843" stroked="true" strokeweight=".526pt" strokecolor="#baf9f5"/>
            <v:rect style="position:absolute;left:7279;top:2685;width:1494;height:158" filled="true" fillcolor="#baf9f5" stroked="false">
              <v:fill type="solid"/>
            </v:rect>
            <v:line style="position:absolute" from="7273,2843" to="7273,3001" stroked="true" strokeweight=".526pt" strokecolor="#baf9f5"/>
            <v:rect style="position:absolute;left:7279;top:2843;width:1494;height:158" filled="true" fillcolor="#baf9f5" stroked="false">
              <v:fill type="solid"/>
            </v:rect>
            <v:line style="position:absolute" from="7273,3001" to="7273,3158" stroked="true" strokeweight=".526pt" strokecolor="#baf9f5"/>
            <v:rect style="position:absolute;left:7279;top:3001;width:1494;height:158" filled="true" fillcolor="#baf9f5" stroked="false">
              <v:fill type="solid"/>
            </v:rect>
            <v:line style="position:absolute" from="7273,3158" to="7273,3316" stroked="true" strokeweight=".526pt" strokecolor="#baf9f5"/>
            <v:rect style="position:absolute;left:7279;top:3158;width:1494;height:158" filled="true" fillcolor="#baf9f5" stroked="false">
              <v:fill type="solid"/>
            </v:rect>
            <v:line style="position:absolute" from="7273,3316" to="7273,3474" stroked="true" strokeweight=".526pt" strokecolor="#baf9f5"/>
            <v:rect style="position:absolute;left:7279;top:3316;width:1494;height:158" filled="true" fillcolor="#baf9f5" stroked="false">
              <v:fill type="solid"/>
            </v:rect>
            <v:line style="position:absolute" from="7273,3474" to="7273,3632" stroked="true" strokeweight=".526pt" strokecolor="#baf9f5"/>
            <v:rect style="position:absolute;left:7279;top:3474;width:1494;height:158" filled="true" fillcolor="#baf9f5" stroked="false">
              <v:fill type="solid"/>
            </v:rect>
            <w10:wrap type="none"/>
          </v:group>
        </w:pict>
      </w:r>
      <w:r>
        <w:rPr/>
        <w:pict>
          <v:shape style="position:absolute;margin-left:472.291016pt;margin-top:117.92984pt;width:34.75pt;height:71.6pt;mso-position-horizontal-relative:page;mso-position-vertical-relative:paragraph;z-index:-1133272" coordorigin="9446,2359" coordsize="695,1432" path="m10140,3316l9446,3316,9446,3474,9446,3621,9446,3632,9446,3790,10140,3790,10140,3632,10140,3621,10140,3474,10140,3316m10140,3158l9446,3158,9446,3316,10140,3316,10140,3158m10140,3001l9446,3001,9446,3158,10140,3158,10140,3001m10140,2843l9446,2843,9446,3001,10140,3001,10140,2843m10140,2685l9446,2685,9446,2843,10140,2843,10140,2685m10140,2527l9446,2527,9446,2685,10140,2685,10140,2527m10140,2359l9446,2359,9446,2527,10140,2527,10140,2359e" filled="true" fillcolor="#ffff00" stroked="false">
            <v:path arrowok="t"/>
            <v:fill type="solid"/>
            <w10:wrap type="none"/>
          </v:shape>
        </w:pict>
      </w:r>
      <w:r>
        <w:rPr/>
        <w:t>Tabla 63. ISS URBI Hacienda Lomas</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9"/>
        <w:gridCol w:w="2161"/>
        <w:gridCol w:w="2097"/>
        <w:gridCol w:w="1690"/>
        <w:gridCol w:w="801"/>
        <w:gridCol w:w="770"/>
        <w:gridCol w:w="684"/>
      </w:tblGrid>
      <w:tr>
        <w:trPr>
          <w:trHeight w:val="521" w:hRule="exact"/>
        </w:trPr>
        <w:tc>
          <w:tcPr>
            <w:tcW w:w="8822" w:type="dxa"/>
            <w:gridSpan w:val="7"/>
            <w:tcBorders>
              <w:bottom w:val="nil"/>
              <w:right w:val="single" w:sz="4" w:space="0" w:color="CB5AD4"/>
            </w:tcBorders>
            <w:shd w:val="clear" w:color="auto" w:fill="000000"/>
          </w:tcPr>
          <w:p>
            <w:pPr>
              <w:pStyle w:val="TableParagraph"/>
              <w:spacing w:line="273" w:lineRule="auto" w:before="103"/>
              <w:ind w:left="3466" w:right="3432" w:firstLine="305"/>
              <w:jc w:val="left"/>
              <w:rPr>
                <w:b/>
                <w:sz w:val="12"/>
              </w:rPr>
            </w:pPr>
            <w:r>
              <w:rPr>
                <w:b/>
                <w:color w:val="FFFFFF"/>
                <w:w w:val="105"/>
                <w:sz w:val="12"/>
              </w:rPr>
              <w:t>Urbi Hacienda Lomas Índice de sustentabilidad social</w:t>
            </w:r>
          </w:p>
        </w:tc>
      </w:tr>
      <w:tr>
        <w:trPr>
          <w:trHeight w:val="163" w:hRule="exact"/>
        </w:trPr>
        <w:tc>
          <w:tcPr>
            <w:tcW w:w="619" w:type="dxa"/>
            <w:tcBorders>
              <w:top w:val="single" w:sz="4" w:space="0" w:color="FFFFFF"/>
              <w:left w:val="single" w:sz="4" w:space="0" w:color="000000"/>
            </w:tcBorders>
            <w:shd w:val="clear" w:color="auto" w:fill="808080"/>
          </w:tcPr>
          <w:p>
            <w:pPr>
              <w:pStyle w:val="TableParagraph"/>
              <w:spacing w:line="136" w:lineRule="exact"/>
              <w:ind w:left="137" w:right="71"/>
              <w:rPr>
                <w:b/>
                <w:sz w:val="12"/>
              </w:rPr>
            </w:pPr>
            <w:r>
              <w:rPr>
                <w:b/>
                <w:color w:val="FFFFFF"/>
                <w:w w:val="105"/>
                <w:sz w:val="12"/>
              </w:rPr>
              <w:t>Índice</w:t>
            </w:r>
          </w:p>
        </w:tc>
        <w:tc>
          <w:tcPr>
            <w:tcW w:w="2161" w:type="dxa"/>
            <w:tcBorders>
              <w:top w:val="single" w:sz="4" w:space="0" w:color="FFFFFF"/>
            </w:tcBorders>
            <w:shd w:val="clear" w:color="auto" w:fill="808080"/>
          </w:tcPr>
          <w:p>
            <w:pPr>
              <w:pStyle w:val="TableParagraph"/>
              <w:spacing w:line="136" w:lineRule="exact"/>
              <w:ind w:left="91"/>
              <w:jc w:val="left"/>
              <w:rPr>
                <w:b/>
                <w:sz w:val="12"/>
              </w:rPr>
            </w:pPr>
            <w:r>
              <w:rPr>
                <w:b/>
                <w:color w:val="FFFFFF"/>
                <w:w w:val="105"/>
                <w:sz w:val="12"/>
              </w:rPr>
              <w:t>Subíndice</w:t>
            </w:r>
          </w:p>
        </w:tc>
        <w:tc>
          <w:tcPr>
            <w:tcW w:w="2097" w:type="dxa"/>
            <w:tcBorders>
              <w:top w:val="single" w:sz="4" w:space="0" w:color="FFFFFF"/>
            </w:tcBorders>
            <w:shd w:val="clear" w:color="auto" w:fill="808080"/>
          </w:tcPr>
          <w:p>
            <w:pPr>
              <w:pStyle w:val="TableParagraph"/>
              <w:spacing w:line="136" w:lineRule="exact"/>
              <w:ind w:left="34" w:right="740"/>
              <w:jc w:val="left"/>
              <w:rPr>
                <w:b/>
                <w:sz w:val="12"/>
              </w:rPr>
            </w:pPr>
            <w:r>
              <w:rPr>
                <w:b/>
                <w:color w:val="FFFFFF"/>
                <w:w w:val="105"/>
                <w:sz w:val="12"/>
              </w:rPr>
              <w:t>Indicador</w:t>
            </w:r>
          </w:p>
        </w:tc>
        <w:tc>
          <w:tcPr>
            <w:tcW w:w="1690" w:type="dxa"/>
            <w:tcBorders>
              <w:top w:val="single" w:sz="4" w:space="0" w:color="FFFFFF"/>
            </w:tcBorders>
            <w:shd w:val="clear" w:color="auto" w:fill="808080"/>
          </w:tcPr>
          <w:p>
            <w:pPr/>
          </w:p>
        </w:tc>
        <w:tc>
          <w:tcPr>
            <w:tcW w:w="801" w:type="dxa"/>
            <w:tcBorders>
              <w:top w:val="single" w:sz="4" w:space="0" w:color="FFFFFF"/>
            </w:tcBorders>
            <w:shd w:val="clear" w:color="auto" w:fill="808080"/>
          </w:tcPr>
          <w:p>
            <w:pPr>
              <w:pStyle w:val="TableParagraph"/>
              <w:spacing w:line="136" w:lineRule="exact"/>
              <w:ind w:left="266" w:right="-97"/>
              <w:jc w:val="left"/>
              <w:rPr>
                <w:b/>
                <w:sz w:val="12"/>
              </w:rPr>
            </w:pPr>
            <w:r>
              <w:rPr>
                <w:b/>
                <w:color w:val="FFFFFF"/>
                <w:w w:val="105"/>
                <w:sz w:val="12"/>
              </w:rPr>
              <w:t>Valores</w:t>
            </w:r>
          </w:p>
        </w:tc>
        <w:tc>
          <w:tcPr>
            <w:tcW w:w="770" w:type="dxa"/>
            <w:tcBorders>
              <w:top w:val="single" w:sz="4" w:space="0" w:color="FFFFFF"/>
            </w:tcBorders>
            <w:shd w:val="clear" w:color="auto" w:fill="808080"/>
          </w:tcPr>
          <w:p>
            <w:pPr/>
          </w:p>
        </w:tc>
        <w:tc>
          <w:tcPr>
            <w:tcW w:w="684" w:type="dxa"/>
            <w:tcBorders>
              <w:top w:val="single" w:sz="4" w:space="0" w:color="FFFFFF"/>
              <w:right w:val="single" w:sz="8" w:space="0" w:color="000000"/>
            </w:tcBorders>
            <w:shd w:val="clear" w:color="auto" w:fill="808080"/>
          </w:tcPr>
          <w:p>
            <w:pPr/>
          </w:p>
        </w:tc>
      </w:tr>
      <w:tr>
        <w:trPr>
          <w:trHeight w:val="147" w:hRule="exact"/>
        </w:trPr>
        <w:tc>
          <w:tcPr>
            <w:tcW w:w="8822" w:type="dxa"/>
            <w:gridSpan w:val="7"/>
            <w:tcBorders>
              <w:left w:val="single" w:sz="4" w:space="0" w:color="000000"/>
              <w:right w:val="single" w:sz="8" w:space="0" w:color="000000"/>
            </w:tcBorders>
          </w:tcPr>
          <w:p>
            <w:pPr/>
          </w:p>
        </w:tc>
      </w:tr>
      <w:tr>
        <w:trPr>
          <w:trHeight w:val="161" w:hRule="exact"/>
        </w:trPr>
        <w:tc>
          <w:tcPr>
            <w:tcW w:w="619" w:type="dxa"/>
            <w:vMerge w:val="restart"/>
            <w:tcBorders>
              <w:left w:val="single" w:sz="4" w:space="0" w:color="000000"/>
            </w:tcBorders>
          </w:tcPr>
          <w:p>
            <w:pPr/>
          </w:p>
        </w:tc>
        <w:tc>
          <w:tcPr>
            <w:tcW w:w="2161" w:type="dxa"/>
            <w:vMerge w:val="restart"/>
          </w:tcPr>
          <w:p>
            <w:pPr>
              <w:pStyle w:val="TableParagraph"/>
              <w:jc w:val="left"/>
              <w:rPr>
                <w:sz w:val="12"/>
              </w:rPr>
            </w:pPr>
          </w:p>
          <w:p>
            <w:pPr>
              <w:pStyle w:val="TableParagraph"/>
              <w:jc w:val="left"/>
              <w:rPr>
                <w:sz w:val="12"/>
              </w:rPr>
            </w:pPr>
          </w:p>
          <w:p>
            <w:pPr>
              <w:pStyle w:val="TableParagraph"/>
              <w:spacing w:before="6"/>
              <w:jc w:val="left"/>
              <w:rPr>
                <w:sz w:val="10"/>
              </w:rPr>
            </w:pPr>
          </w:p>
          <w:p>
            <w:pPr>
              <w:pStyle w:val="TableParagraph"/>
              <w:spacing w:before="1"/>
              <w:ind w:left="91"/>
              <w:jc w:val="left"/>
              <w:rPr>
                <w:sz w:val="12"/>
              </w:rPr>
            </w:pPr>
            <w:r>
              <w:rPr>
                <w:w w:val="105"/>
                <w:sz w:val="12"/>
              </w:rPr>
              <w:t>Habitabilidad</w:t>
            </w:r>
          </w:p>
        </w:tc>
        <w:tc>
          <w:tcPr>
            <w:tcW w:w="2097" w:type="dxa"/>
            <w:vMerge w:val="restart"/>
          </w:tcPr>
          <w:p>
            <w:pPr>
              <w:pStyle w:val="TableParagraph"/>
              <w:spacing w:before="5"/>
              <w:jc w:val="left"/>
              <w:rPr>
                <w:sz w:val="14"/>
              </w:rPr>
            </w:pPr>
          </w:p>
          <w:p>
            <w:pPr>
              <w:pStyle w:val="TableParagraph"/>
              <w:spacing w:line="273" w:lineRule="auto"/>
              <w:ind w:left="34" w:right="740"/>
              <w:jc w:val="left"/>
              <w:rPr>
                <w:sz w:val="12"/>
              </w:rPr>
            </w:pPr>
            <w:r>
              <w:rPr>
                <w:w w:val="105"/>
                <w:sz w:val="12"/>
              </w:rPr>
              <w:t>Espacios habitables Metros de construcción Metros de terreno Hacinamiento</w:t>
            </w:r>
          </w:p>
        </w:tc>
        <w:tc>
          <w:tcPr>
            <w:tcW w:w="1690" w:type="dxa"/>
            <w:vMerge w:val="restart"/>
          </w:tcPr>
          <w:p>
            <w:pPr>
              <w:pStyle w:val="TableParagraph"/>
              <w:spacing w:before="8"/>
              <w:ind w:left="800" w:right="184"/>
              <w:rPr>
                <w:b/>
                <w:sz w:val="12"/>
              </w:rPr>
            </w:pPr>
            <w:r>
              <w:rPr>
                <w:b/>
                <w:w w:val="105"/>
                <w:sz w:val="12"/>
              </w:rPr>
              <w:t>Evaluación</w:t>
            </w:r>
          </w:p>
          <w:p>
            <w:pPr>
              <w:pStyle w:val="TableParagraph"/>
              <w:spacing w:before="20"/>
              <w:ind w:left="793" w:right="184"/>
              <w:rPr>
                <w:sz w:val="12"/>
              </w:rPr>
            </w:pPr>
            <w:r>
              <w:rPr>
                <w:w w:val="105"/>
                <w:sz w:val="12"/>
              </w:rPr>
              <w:t>0.6</w:t>
            </w:r>
          </w:p>
          <w:p>
            <w:pPr>
              <w:pStyle w:val="TableParagraph"/>
              <w:spacing w:before="20"/>
              <w:ind w:left="793" w:right="184"/>
              <w:rPr>
                <w:sz w:val="12"/>
              </w:rPr>
            </w:pPr>
            <w:r>
              <w:rPr>
                <w:w w:val="105"/>
                <w:sz w:val="12"/>
              </w:rPr>
              <w:t>0.6</w:t>
            </w:r>
          </w:p>
          <w:p>
            <w:pPr>
              <w:pStyle w:val="TableParagraph"/>
              <w:spacing w:before="20"/>
              <w:ind w:left="609"/>
              <w:rPr>
                <w:sz w:val="12"/>
              </w:rPr>
            </w:pPr>
            <w:r>
              <w:rPr>
                <w:w w:val="105"/>
                <w:sz w:val="12"/>
              </w:rPr>
              <w:t>1</w:t>
            </w:r>
          </w:p>
          <w:p>
            <w:pPr>
              <w:pStyle w:val="TableParagraph"/>
              <w:spacing w:before="20"/>
              <w:ind w:left="609"/>
              <w:rPr>
                <w:sz w:val="12"/>
              </w:rPr>
            </w:pPr>
            <w:r>
              <w:rPr>
                <w:w w:val="105"/>
                <w:sz w:val="12"/>
              </w:rPr>
              <w:t>1</w:t>
            </w:r>
          </w:p>
          <w:p>
            <w:pPr>
              <w:pStyle w:val="TableParagraph"/>
              <w:spacing w:before="20"/>
              <w:ind w:left="786" w:right="184"/>
              <w:rPr>
                <w:sz w:val="12"/>
              </w:rPr>
            </w:pPr>
            <w:r>
              <w:rPr>
                <w:w w:val="105"/>
                <w:sz w:val="12"/>
              </w:rPr>
              <w:t>Subtotal</w:t>
            </w:r>
          </w:p>
        </w:tc>
        <w:tc>
          <w:tcPr>
            <w:tcW w:w="801" w:type="dxa"/>
            <w:vMerge w:val="restart"/>
          </w:tcPr>
          <w:p>
            <w:pPr>
              <w:pStyle w:val="TableParagraph"/>
              <w:tabs>
                <w:tab w:pos="897" w:val="left" w:leader="none"/>
              </w:tabs>
              <w:spacing w:before="8"/>
              <w:ind w:left="203" w:right="-97"/>
              <w:jc w:val="left"/>
              <w:rPr>
                <w:b/>
                <w:sz w:val="12"/>
              </w:rPr>
            </w:pPr>
            <w:r>
              <w:rPr>
                <w:b/>
                <w:w w:val="105"/>
                <w:sz w:val="12"/>
                <w:shd w:fill="F79646" w:color="auto" w:val="clear"/>
              </w:rPr>
              <w:t> </w:t>
            </w:r>
            <w:r>
              <w:rPr>
                <w:b/>
                <w:sz w:val="12"/>
                <w:shd w:fill="F79646" w:color="auto" w:val="clear"/>
              </w:rPr>
              <w:t>    </w:t>
            </w:r>
            <w:r>
              <w:rPr>
                <w:b/>
                <w:spacing w:val="8"/>
                <w:sz w:val="12"/>
                <w:shd w:fill="F79646" w:color="auto" w:val="clear"/>
              </w:rPr>
              <w:t> </w:t>
            </w:r>
            <w:r>
              <w:rPr>
                <w:b/>
                <w:w w:val="105"/>
                <w:sz w:val="12"/>
                <w:shd w:fill="F79646" w:color="auto" w:val="clear"/>
              </w:rPr>
              <w:t>Real</w:t>
            </w:r>
            <w:r>
              <w:rPr>
                <w:b/>
                <w:sz w:val="12"/>
                <w:shd w:fill="F79646" w:color="auto" w:val="clear"/>
              </w:rPr>
              <w:tab/>
            </w: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tabs>
                <w:tab w:pos="466" w:val="left" w:leader="none"/>
                <w:tab w:pos="897" w:val="left" w:leader="none"/>
              </w:tabs>
              <w:spacing w:before="99"/>
              <w:ind w:left="203" w:right="-97"/>
              <w:jc w:val="left"/>
              <w:rPr>
                <w:sz w:val="12"/>
              </w:rPr>
            </w:pPr>
            <w:r>
              <w:rPr>
                <w:w w:val="105"/>
                <w:sz w:val="12"/>
                <w:shd w:fill="F79646" w:color="auto" w:val="clear"/>
              </w:rPr>
              <w:t> </w:t>
            </w:r>
            <w:r>
              <w:rPr>
                <w:sz w:val="12"/>
                <w:shd w:fill="F79646" w:color="auto" w:val="clear"/>
              </w:rPr>
              <w:tab/>
            </w:r>
            <w:r>
              <w:rPr>
                <w:w w:val="105"/>
                <w:sz w:val="12"/>
                <w:shd w:fill="F79646" w:color="auto" w:val="clear"/>
              </w:rPr>
              <w:t>3.2</w:t>
            </w:r>
            <w:r>
              <w:rPr>
                <w:sz w:val="12"/>
                <w:shd w:fill="F79646" w:color="auto" w:val="clear"/>
              </w:rPr>
              <w:tab/>
            </w:r>
          </w:p>
        </w:tc>
        <w:tc>
          <w:tcPr>
            <w:tcW w:w="770" w:type="dxa"/>
            <w:vMerge w:val="restart"/>
          </w:tcPr>
          <w:p>
            <w:pPr>
              <w:pStyle w:val="TableParagraph"/>
              <w:spacing w:before="8"/>
              <w:ind w:left="139" w:right="36"/>
              <w:rPr>
                <w:b/>
                <w:sz w:val="12"/>
              </w:rPr>
            </w:pPr>
            <w:r>
              <w:rPr>
                <w:b/>
                <w:w w:val="105"/>
                <w:sz w:val="12"/>
              </w:rPr>
              <w:t>Deseable</w:t>
            </w:r>
          </w:p>
          <w:p>
            <w:pPr>
              <w:pStyle w:val="TableParagraph"/>
              <w:spacing w:before="20"/>
              <w:ind w:left="139" w:right="36"/>
              <w:rPr>
                <w:sz w:val="12"/>
              </w:rPr>
            </w:pPr>
            <w:r>
              <w:rPr>
                <w:w w:val="105"/>
                <w:sz w:val="12"/>
              </w:rPr>
              <w:t>0.7</w:t>
            </w:r>
          </w:p>
          <w:p>
            <w:pPr>
              <w:pStyle w:val="TableParagraph"/>
              <w:spacing w:before="20"/>
              <w:ind w:left="139" w:right="36"/>
              <w:rPr>
                <w:sz w:val="12"/>
              </w:rPr>
            </w:pPr>
            <w:r>
              <w:rPr>
                <w:w w:val="105"/>
                <w:sz w:val="12"/>
              </w:rPr>
              <w:t>0.9</w:t>
            </w:r>
          </w:p>
          <w:p>
            <w:pPr>
              <w:pStyle w:val="TableParagraph"/>
              <w:spacing w:before="20"/>
              <w:ind w:left="139" w:right="36"/>
              <w:rPr>
                <w:sz w:val="12"/>
              </w:rPr>
            </w:pPr>
            <w:r>
              <w:rPr>
                <w:w w:val="105"/>
                <w:sz w:val="12"/>
              </w:rPr>
              <w:t>0.8</w:t>
            </w:r>
          </w:p>
          <w:p>
            <w:pPr>
              <w:pStyle w:val="TableParagraph"/>
              <w:spacing w:before="20"/>
              <w:ind w:left="139" w:right="36"/>
              <w:rPr>
                <w:sz w:val="12"/>
              </w:rPr>
            </w:pPr>
            <w:r>
              <w:rPr>
                <w:w w:val="105"/>
                <w:sz w:val="12"/>
              </w:rPr>
              <w:t>0.5</w:t>
            </w:r>
          </w:p>
          <w:p>
            <w:pPr>
              <w:pStyle w:val="TableParagraph"/>
              <w:spacing w:before="20"/>
              <w:ind w:left="139" w:right="36"/>
              <w:rPr>
                <w:sz w:val="12"/>
              </w:rPr>
            </w:pPr>
            <w:r>
              <w:rPr>
                <w:w w:val="105"/>
                <w:sz w:val="12"/>
              </w:rPr>
              <w:t>2.9</w:t>
            </w:r>
          </w:p>
        </w:tc>
        <w:tc>
          <w:tcPr>
            <w:tcW w:w="684" w:type="dxa"/>
            <w:tcBorders>
              <w:right w:val="single" w:sz="8" w:space="0" w:color="000000"/>
            </w:tcBorders>
            <w:shd w:val="clear" w:color="auto" w:fill="67ED4D"/>
          </w:tcPr>
          <w:p>
            <w:pPr>
              <w:pStyle w:val="TableParagraph"/>
              <w:spacing w:before="8"/>
              <w:ind w:left="106" w:right="86"/>
              <w:rPr>
                <w:b/>
                <w:sz w:val="12"/>
              </w:rPr>
            </w:pPr>
            <w:r>
              <w:rPr>
                <w:b/>
                <w:w w:val="105"/>
                <w:sz w:val="12"/>
              </w:rPr>
              <w:t>Óptimo</w:t>
            </w:r>
          </w:p>
        </w:tc>
      </w:tr>
      <w:tr>
        <w:trPr>
          <w:trHeight w:val="158" w:hRule="exact"/>
        </w:trPr>
        <w:tc>
          <w:tcPr>
            <w:tcW w:w="619" w:type="dxa"/>
            <w:vMerge/>
            <w:tcBorders>
              <w:left w:val="single" w:sz="4" w:space="0" w:color="000000"/>
            </w:tcBorders>
          </w:tcPr>
          <w:p>
            <w:pPr/>
          </w:p>
        </w:tc>
        <w:tc>
          <w:tcPr>
            <w:tcW w:w="2161" w:type="dxa"/>
            <w:vMerge/>
          </w:tcPr>
          <w:p>
            <w:pPr/>
          </w:p>
        </w:tc>
        <w:tc>
          <w:tcPr>
            <w:tcW w:w="2097" w:type="dxa"/>
            <w:vMerge/>
          </w:tcPr>
          <w:p>
            <w:pPr/>
          </w:p>
        </w:tc>
        <w:tc>
          <w:tcPr>
            <w:tcW w:w="1690" w:type="dxa"/>
            <w:vMerge/>
          </w:tcPr>
          <w:p>
            <w:pPr/>
          </w:p>
        </w:tc>
        <w:tc>
          <w:tcPr>
            <w:tcW w:w="801" w:type="dxa"/>
            <w:vMerge/>
          </w:tcPr>
          <w:p>
            <w:pPr/>
          </w:p>
        </w:tc>
        <w:tc>
          <w:tcPr>
            <w:tcW w:w="770" w:type="dxa"/>
            <w:vMerge/>
          </w:tcPr>
          <w:p>
            <w:pP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58" w:hRule="exact"/>
        </w:trPr>
        <w:tc>
          <w:tcPr>
            <w:tcW w:w="619" w:type="dxa"/>
            <w:vMerge/>
            <w:tcBorders>
              <w:left w:val="single" w:sz="4" w:space="0" w:color="000000"/>
            </w:tcBorders>
          </w:tcPr>
          <w:p>
            <w:pPr/>
          </w:p>
        </w:tc>
        <w:tc>
          <w:tcPr>
            <w:tcW w:w="2161" w:type="dxa"/>
            <w:vMerge/>
          </w:tcPr>
          <w:p>
            <w:pPr/>
          </w:p>
        </w:tc>
        <w:tc>
          <w:tcPr>
            <w:tcW w:w="2097" w:type="dxa"/>
            <w:vMerge/>
          </w:tcPr>
          <w:p>
            <w:pPr/>
          </w:p>
        </w:tc>
        <w:tc>
          <w:tcPr>
            <w:tcW w:w="1690" w:type="dxa"/>
            <w:vMerge/>
          </w:tcPr>
          <w:p>
            <w:pPr/>
          </w:p>
        </w:tc>
        <w:tc>
          <w:tcPr>
            <w:tcW w:w="801" w:type="dxa"/>
            <w:vMerge/>
          </w:tcPr>
          <w:p>
            <w:pPr/>
          </w:p>
        </w:tc>
        <w:tc>
          <w:tcPr>
            <w:tcW w:w="770" w:type="dxa"/>
            <w:vMerge/>
          </w:tcPr>
          <w:p>
            <w:pP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58" w:hRule="exact"/>
        </w:trPr>
        <w:tc>
          <w:tcPr>
            <w:tcW w:w="619" w:type="dxa"/>
            <w:vMerge/>
            <w:tcBorders>
              <w:left w:val="single" w:sz="4" w:space="0" w:color="000000"/>
            </w:tcBorders>
          </w:tcPr>
          <w:p>
            <w:pPr/>
          </w:p>
        </w:tc>
        <w:tc>
          <w:tcPr>
            <w:tcW w:w="2161" w:type="dxa"/>
            <w:vMerge/>
          </w:tcPr>
          <w:p>
            <w:pPr/>
          </w:p>
        </w:tc>
        <w:tc>
          <w:tcPr>
            <w:tcW w:w="2097" w:type="dxa"/>
            <w:vMerge/>
          </w:tcPr>
          <w:p>
            <w:pPr/>
          </w:p>
        </w:tc>
        <w:tc>
          <w:tcPr>
            <w:tcW w:w="1690" w:type="dxa"/>
            <w:vMerge/>
          </w:tcPr>
          <w:p>
            <w:pPr/>
          </w:p>
        </w:tc>
        <w:tc>
          <w:tcPr>
            <w:tcW w:w="801" w:type="dxa"/>
            <w:vMerge/>
          </w:tcPr>
          <w:p>
            <w:pPr/>
          </w:p>
        </w:tc>
        <w:tc>
          <w:tcPr>
            <w:tcW w:w="770" w:type="dxa"/>
            <w:vMerge/>
          </w:tcPr>
          <w:p>
            <w:pP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58" w:hRule="exact"/>
        </w:trPr>
        <w:tc>
          <w:tcPr>
            <w:tcW w:w="619" w:type="dxa"/>
            <w:vMerge/>
            <w:tcBorders>
              <w:left w:val="single" w:sz="4" w:space="0" w:color="000000"/>
            </w:tcBorders>
          </w:tcPr>
          <w:p>
            <w:pPr/>
          </w:p>
        </w:tc>
        <w:tc>
          <w:tcPr>
            <w:tcW w:w="2161" w:type="dxa"/>
            <w:vMerge/>
          </w:tcPr>
          <w:p>
            <w:pPr/>
          </w:p>
        </w:tc>
        <w:tc>
          <w:tcPr>
            <w:tcW w:w="2097" w:type="dxa"/>
            <w:vMerge/>
          </w:tcPr>
          <w:p>
            <w:pPr/>
          </w:p>
        </w:tc>
        <w:tc>
          <w:tcPr>
            <w:tcW w:w="1690" w:type="dxa"/>
            <w:vMerge/>
          </w:tcPr>
          <w:p>
            <w:pPr/>
          </w:p>
        </w:tc>
        <w:tc>
          <w:tcPr>
            <w:tcW w:w="801" w:type="dxa"/>
            <w:vMerge/>
          </w:tcPr>
          <w:p>
            <w:pPr/>
          </w:p>
        </w:tc>
        <w:tc>
          <w:tcPr>
            <w:tcW w:w="770" w:type="dxa"/>
            <w:vMerge/>
          </w:tcPr>
          <w:p>
            <w:pP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65" w:hRule="exact"/>
        </w:trPr>
        <w:tc>
          <w:tcPr>
            <w:tcW w:w="619" w:type="dxa"/>
            <w:vMerge/>
            <w:tcBorders>
              <w:left w:val="single" w:sz="4" w:space="0" w:color="000000"/>
            </w:tcBorders>
          </w:tcPr>
          <w:p>
            <w:pPr/>
          </w:p>
        </w:tc>
        <w:tc>
          <w:tcPr>
            <w:tcW w:w="2161" w:type="dxa"/>
            <w:vMerge/>
          </w:tcPr>
          <w:p>
            <w:pPr/>
          </w:p>
        </w:tc>
        <w:tc>
          <w:tcPr>
            <w:tcW w:w="2097" w:type="dxa"/>
            <w:vMerge/>
          </w:tcPr>
          <w:p>
            <w:pPr/>
          </w:p>
        </w:tc>
        <w:tc>
          <w:tcPr>
            <w:tcW w:w="1690" w:type="dxa"/>
            <w:vMerge/>
          </w:tcPr>
          <w:p>
            <w:pPr/>
          </w:p>
        </w:tc>
        <w:tc>
          <w:tcPr>
            <w:tcW w:w="801" w:type="dxa"/>
            <w:vMerge/>
          </w:tcPr>
          <w:p>
            <w:pPr/>
          </w:p>
        </w:tc>
        <w:tc>
          <w:tcPr>
            <w:tcW w:w="770" w:type="dxa"/>
            <w:vMerge/>
          </w:tcPr>
          <w:p>
            <w:pPr/>
          </w:p>
        </w:tc>
        <w:tc>
          <w:tcPr>
            <w:tcW w:w="684" w:type="dxa"/>
            <w:tcBorders>
              <w:right w:val="single" w:sz="8" w:space="0" w:color="000000"/>
            </w:tcBorders>
            <w:shd w:val="clear" w:color="auto" w:fill="67ED4D"/>
          </w:tcPr>
          <w:p>
            <w:pPr>
              <w:pStyle w:val="TableParagraph"/>
              <w:spacing w:before="5"/>
              <w:ind w:left="28"/>
              <w:rPr>
                <w:sz w:val="12"/>
              </w:rPr>
            </w:pPr>
            <w:r>
              <w:rPr>
                <w:w w:val="105"/>
                <w:sz w:val="12"/>
              </w:rPr>
              <w:t>4</w:t>
            </w:r>
          </w:p>
        </w:tc>
      </w:tr>
      <w:tr>
        <w:trPr>
          <w:trHeight w:val="147" w:hRule="exact"/>
        </w:trPr>
        <w:tc>
          <w:tcPr>
            <w:tcW w:w="8822" w:type="dxa"/>
            <w:gridSpan w:val="7"/>
            <w:tcBorders>
              <w:left w:val="single" w:sz="4" w:space="0" w:color="000000"/>
              <w:right w:val="single" w:sz="8" w:space="0" w:color="000000"/>
            </w:tcBorders>
          </w:tcPr>
          <w:p>
            <w:pPr/>
          </w:p>
        </w:tc>
      </w:tr>
      <w:tr>
        <w:trPr>
          <w:trHeight w:val="161" w:hRule="exact"/>
        </w:trPr>
        <w:tc>
          <w:tcPr>
            <w:tcW w:w="619" w:type="dxa"/>
            <w:tcBorders>
              <w:left w:val="single" w:sz="4" w:space="0" w:color="000000"/>
            </w:tcBorders>
          </w:tcPr>
          <w:p>
            <w:pPr/>
          </w:p>
        </w:tc>
        <w:tc>
          <w:tcPr>
            <w:tcW w:w="2161" w:type="dxa"/>
          </w:tcPr>
          <w:p>
            <w:pPr/>
          </w:p>
        </w:tc>
        <w:tc>
          <w:tcPr>
            <w:tcW w:w="2097" w:type="dxa"/>
          </w:tcPr>
          <w:p>
            <w:pPr>
              <w:pStyle w:val="TableParagraph"/>
              <w:spacing w:before="8"/>
              <w:ind w:left="34" w:right="740"/>
              <w:jc w:val="left"/>
              <w:rPr>
                <w:sz w:val="12"/>
              </w:rPr>
            </w:pPr>
            <w:r>
              <w:rPr>
                <w:w w:val="105"/>
                <w:sz w:val="12"/>
              </w:rPr>
              <w:t>Empleo</w:t>
            </w:r>
          </w:p>
        </w:tc>
        <w:tc>
          <w:tcPr>
            <w:tcW w:w="1690" w:type="dxa"/>
          </w:tcPr>
          <w:p>
            <w:pPr>
              <w:pStyle w:val="TableParagraph"/>
              <w:spacing w:before="8"/>
              <w:ind w:left="793" w:right="184"/>
              <w:rPr>
                <w:sz w:val="12"/>
              </w:rPr>
            </w:pPr>
            <w:r>
              <w:rPr>
                <w:w w:val="105"/>
                <w:sz w:val="12"/>
              </w:rPr>
              <w:t>0.6</w:t>
            </w:r>
          </w:p>
        </w:tc>
        <w:tc>
          <w:tcPr>
            <w:tcW w:w="801" w:type="dxa"/>
          </w:tcPr>
          <w:p>
            <w:pPr/>
          </w:p>
        </w:tc>
        <w:tc>
          <w:tcPr>
            <w:tcW w:w="770" w:type="dxa"/>
          </w:tcPr>
          <w:p>
            <w:pPr>
              <w:pStyle w:val="TableParagraph"/>
              <w:spacing w:before="8"/>
              <w:ind w:left="139" w:right="36"/>
              <w:rPr>
                <w:sz w:val="12"/>
              </w:rPr>
            </w:pPr>
            <w:r>
              <w:rPr>
                <w:w w:val="105"/>
                <w:sz w:val="12"/>
              </w:rPr>
              <w:t>0.8</w:t>
            </w:r>
          </w:p>
        </w:tc>
        <w:tc>
          <w:tcPr>
            <w:tcW w:w="684" w:type="dxa"/>
            <w:tcBorders>
              <w:right w:val="single" w:sz="8" w:space="0" w:color="000000"/>
            </w:tcBorders>
            <w:shd w:val="clear" w:color="auto" w:fill="67ED4D"/>
          </w:tcPr>
          <w:p>
            <w:pPr>
              <w:pStyle w:val="TableParagraph"/>
              <w:spacing w:before="8"/>
              <w:ind w:left="28"/>
              <w:rPr>
                <w:sz w:val="12"/>
              </w:rPr>
            </w:pPr>
            <w:r>
              <w:rPr>
                <w:w w:val="105"/>
                <w:sz w:val="12"/>
              </w:rPr>
              <w:t>1</w:t>
            </w:r>
          </w:p>
        </w:tc>
      </w:tr>
      <w:tr>
        <w:trPr>
          <w:trHeight w:val="158" w:hRule="exact"/>
        </w:trPr>
        <w:tc>
          <w:tcPr>
            <w:tcW w:w="619" w:type="dxa"/>
            <w:tcBorders>
              <w:left w:val="single" w:sz="4" w:space="0" w:color="000000"/>
            </w:tcBorders>
          </w:tcPr>
          <w:p>
            <w:pPr/>
          </w:p>
        </w:tc>
        <w:tc>
          <w:tcPr>
            <w:tcW w:w="2161" w:type="dxa"/>
          </w:tcPr>
          <w:p>
            <w:pPr/>
          </w:p>
        </w:tc>
        <w:tc>
          <w:tcPr>
            <w:tcW w:w="2097" w:type="dxa"/>
          </w:tcPr>
          <w:p>
            <w:pPr>
              <w:pStyle w:val="TableParagraph"/>
              <w:spacing w:before="5"/>
              <w:ind w:left="34" w:right="740"/>
              <w:jc w:val="left"/>
              <w:rPr>
                <w:sz w:val="12"/>
              </w:rPr>
            </w:pPr>
            <w:r>
              <w:rPr>
                <w:w w:val="105"/>
                <w:sz w:val="12"/>
              </w:rPr>
              <w:t>Educación</w:t>
            </w:r>
          </w:p>
        </w:tc>
        <w:tc>
          <w:tcPr>
            <w:tcW w:w="1690" w:type="dxa"/>
          </w:tcPr>
          <w:p>
            <w:pPr>
              <w:pStyle w:val="TableParagraph"/>
              <w:spacing w:before="5"/>
              <w:ind w:left="793" w:right="184"/>
              <w:rPr>
                <w:sz w:val="12"/>
              </w:rPr>
            </w:pPr>
            <w:r>
              <w:rPr>
                <w:w w:val="105"/>
                <w:sz w:val="12"/>
              </w:rPr>
              <w:t>0.7</w:t>
            </w:r>
          </w:p>
        </w:tc>
        <w:tc>
          <w:tcPr>
            <w:tcW w:w="801" w:type="dxa"/>
          </w:tcPr>
          <w:p>
            <w:pPr/>
          </w:p>
        </w:tc>
        <w:tc>
          <w:tcPr>
            <w:tcW w:w="770" w:type="dxa"/>
          </w:tcPr>
          <w:p>
            <w:pPr>
              <w:pStyle w:val="TableParagraph"/>
              <w:spacing w:before="5"/>
              <w:ind w:left="139" w:right="36"/>
              <w:rPr>
                <w:sz w:val="12"/>
              </w:rPr>
            </w:pPr>
            <w:r>
              <w:rPr>
                <w:w w:val="105"/>
                <w:sz w:val="12"/>
              </w:rPr>
              <w:t>0.7</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58" w:hRule="exact"/>
        </w:trPr>
        <w:tc>
          <w:tcPr>
            <w:tcW w:w="619" w:type="dxa"/>
            <w:tcBorders>
              <w:left w:val="single" w:sz="4" w:space="0" w:color="000000"/>
            </w:tcBorders>
          </w:tcPr>
          <w:p>
            <w:pPr/>
          </w:p>
        </w:tc>
        <w:tc>
          <w:tcPr>
            <w:tcW w:w="2161" w:type="dxa"/>
          </w:tcPr>
          <w:p>
            <w:pPr/>
          </w:p>
        </w:tc>
        <w:tc>
          <w:tcPr>
            <w:tcW w:w="2097" w:type="dxa"/>
          </w:tcPr>
          <w:p>
            <w:pPr>
              <w:pStyle w:val="TableParagraph"/>
              <w:spacing w:before="5"/>
              <w:ind w:left="34" w:right="740"/>
              <w:jc w:val="left"/>
              <w:rPr>
                <w:sz w:val="12"/>
              </w:rPr>
            </w:pPr>
            <w:r>
              <w:rPr>
                <w:w w:val="105"/>
                <w:sz w:val="12"/>
              </w:rPr>
              <w:t>Salud</w:t>
            </w:r>
          </w:p>
        </w:tc>
        <w:tc>
          <w:tcPr>
            <w:tcW w:w="1690" w:type="dxa"/>
          </w:tcPr>
          <w:p>
            <w:pPr>
              <w:pStyle w:val="TableParagraph"/>
              <w:spacing w:before="5"/>
              <w:ind w:left="793" w:right="184"/>
              <w:rPr>
                <w:sz w:val="12"/>
              </w:rPr>
            </w:pPr>
            <w:r>
              <w:rPr>
                <w:w w:val="105"/>
                <w:sz w:val="12"/>
              </w:rPr>
              <w:t>0.7</w:t>
            </w:r>
          </w:p>
        </w:tc>
        <w:tc>
          <w:tcPr>
            <w:tcW w:w="801" w:type="dxa"/>
          </w:tcPr>
          <w:p>
            <w:pPr/>
          </w:p>
        </w:tc>
        <w:tc>
          <w:tcPr>
            <w:tcW w:w="770" w:type="dxa"/>
          </w:tcPr>
          <w:p>
            <w:pPr>
              <w:pStyle w:val="TableParagraph"/>
              <w:spacing w:before="5"/>
              <w:ind w:left="139" w:right="36"/>
              <w:rPr>
                <w:sz w:val="12"/>
              </w:rPr>
            </w:pPr>
            <w:r>
              <w:rPr>
                <w:w w:val="105"/>
                <w:sz w:val="12"/>
              </w:rPr>
              <w:t>0.9</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316" w:hRule="exact"/>
        </w:trPr>
        <w:tc>
          <w:tcPr>
            <w:tcW w:w="619" w:type="dxa"/>
            <w:tcBorders>
              <w:left w:val="single" w:sz="4" w:space="0" w:color="000000"/>
            </w:tcBorders>
          </w:tcPr>
          <w:p>
            <w:pPr/>
          </w:p>
        </w:tc>
        <w:tc>
          <w:tcPr>
            <w:tcW w:w="2161" w:type="dxa"/>
          </w:tcPr>
          <w:p>
            <w:pPr>
              <w:pStyle w:val="TableParagraph"/>
              <w:spacing w:before="79"/>
              <w:ind w:left="91"/>
              <w:jc w:val="left"/>
              <w:rPr>
                <w:sz w:val="12"/>
              </w:rPr>
            </w:pPr>
            <w:r>
              <w:rPr>
                <w:w w:val="105"/>
                <w:sz w:val="12"/>
              </w:rPr>
              <w:t>Oportunidades urbanas</w:t>
            </w:r>
          </w:p>
        </w:tc>
        <w:tc>
          <w:tcPr>
            <w:tcW w:w="2097" w:type="dxa"/>
          </w:tcPr>
          <w:p>
            <w:pPr>
              <w:pStyle w:val="TableParagraph"/>
              <w:spacing w:line="273" w:lineRule="auto" w:before="5"/>
              <w:ind w:left="34" w:right="1468"/>
              <w:jc w:val="left"/>
              <w:rPr>
                <w:sz w:val="12"/>
              </w:rPr>
            </w:pPr>
            <w:r>
              <w:rPr>
                <w:w w:val="105"/>
                <w:sz w:val="12"/>
              </w:rPr>
              <w:t>Seguridad Abasto</w:t>
            </w:r>
          </w:p>
        </w:tc>
        <w:tc>
          <w:tcPr>
            <w:tcW w:w="1690" w:type="dxa"/>
          </w:tcPr>
          <w:p>
            <w:pPr>
              <w:pStyle w:val="TableParagraph"/>
              <w:spacing w:before="5"/>
              <w:ind w:left="1062"/>
              <w:jc w:val="left"/>
              <w:rPr>
                <w:sz w:val="12"/>
              </w:rPr>
            </w:pPr>
            <w:r>
              <w:rPr>
                <w:w w:val="105"/>
                <w:sz w:val="12"/>
              </w:rPr>
              <w:t>0.9</w:t>
            </w:r>
          </w:p>
          <w:p>
            <w:pPr>
              <w:pStyle w:val="TableParagraph"/>
              <w:spacing w:before="20"/>
              <w:ind w:left="1062"/>
              <w:jc w:val="left"/>
              <w:rPr>
                <w:sz w:val="12"/>
              </w:rPr>
            </w:pPr>
            <w:r>
              <w:rPr>
                <w:w w:val="105"/>
                <w:sz w:val="12"/>
              </w:rPr>
              <w:t>0.9</w:t>
            </w:r>
          </w:p>
        </w:tc>
        <w:tc>
          <w:tcPr>
            <w:tcW w:w="801" w:type="dxa"/>
          </w:tcPr>
          <w:p>
            <w:pPr/>
          </w:p>
        </w:tc>
        <w:tc>
          <w:tcPr>
            <w:tcW w:w="770" w:type="dxa"/>
          </w:tcPr>
          <w:p>
            <w:pPr>
              <w:pStyle w:val="TableParagraph"/>
              <w:spacing w:before="5"/>
              <w:ind w:left="348"/>
              <w:jc w:val="left"/>
              <w:rPr>
                <w:sz w:val="12"/>
              </w:rPr>
            </w:pPr>
            <w:r>
              <w:rPr>
                <w:w w:val="105"/>
                <w:sz w:val="12"/>
              </w:rPr>
              <w:t>0.9</w:t>
            </w:r>
          </w:p>
          <w:p>
            <w:pPr>
              <w:pStyle w:val="TableParagraph"/>
              <w:spacing w:before="20"/>
              <w:ind w:left="348"/>
              <w:jc w:val="left"/>
              <w:rPr>
                <w:sz w:val="12"/>
              </w:rPr>
            </w:pPr>
            <w:r>
              <w:rPr>
                <w:w w:val="105"/>
                <w:sz w:val="12"/>
              </w:rPr>
              <w:t>0.9</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p>
            <w:pPr>
              <w:pStyle w:val="TableParagraph"/>
              <w:spacing w:before="20"/>
              <w:ind w:left="28"/>
              <w:rPr>
                <w:sz w:val="12"/>
              </w:rPr>
            </w:pPr>
            <w:r>
              <w:rPr>
                <w:w w:val="105"/>
                <w:sz w:val="12"/>
              </w:rPr>
              <w:t>1</w:t>
            </w:r>
          </w:p>
        </w:tc>
      </w:tr>
      <w:tr>
        <w:trPr>
          <w:trHeight w:val="158" w:hRule="exact"/>
        </w:trPr>
        <w:tc>
          <w:tcPr>
            <w:tcW w:w="619" w:type="dxa"/>
            <w:tcBorders>
              <w:left w:val="single" w:sz="4" w:space="0" w:color="000000"/>
            </w:tcBorders>
          </w:tcPr>
          <w:p>
            <w:pPr/>
          </w:p>
        </w:tc>
        <w:tc>
          <w:tcPr>
            <w:tcW w:w="2161" w:type="dxa"/>
          </w:tcPr>
          <w:p>
            <w:pPr/>
          </w:p>
        </w:tc>
        <w:tc>
          <w:tcPr>
            <w:tcW w:w="2097" w:type="dxa"/>
          </w:tcPr>
          <w:p>
            <w:pPr>
              <w:pStyle w:val="TableParagraph"/>
              <w:spacing w:before="5"/>
              <w:ind w:left="34" w:right="740"/>
              <w:jc w:val="left"/>
              <w:rPr>
                <w:sz w:val="12"/>
              </w:rPr>
            </w:pPr>
            <w:r>
              <w:rPr>
                <w:w w:val="105"/>
                <w:sz w:val="12"/>
              </w:rPr>
              <w:t>Transporte</w:t>
            </w:r>
          </w:p>
        </w:tc>
        <w:tc>
          <w:tcPr>
            <w:tcW w:w="1690" w:type="dxa"/>
          </w:tcPr>
          <w:p>
            <w:pPr>
              <w:pStyle w:val="TableParagraph"/>
              <w:spacing w:before="5"/>
              <w:ind w:left="793" w:right="184"/>
              <w:rPr>
                <w:sz w:val="12"/>
              </w:rPr>
            </w:pPr>
            <w:r>
              <w:rPr>
                <w:w w:val="105"/>
                <w:sz w:val="12"/>
              </w:rPr>
              <w:t>0.6</w:t>
            </w:r>
          </w:p>
        </w:tc>
        <w:tc>
          <w:tcPr>
            <w:tcW w:w="801" w:type="dxa"/>
          </w:tcPr>
          <w:p>
            <w:pPr/>
          </w:p>
        </w:tc>
        <w:tc>
          <w:tcPr>
            <w:tcW w:w="770" w:type="dxa"/>
          </w:tcPr>
          <w:p>
            <w:pPr>
              <w:pStyle w:val="TableParagraph"/>
              <w:spacing w:before="5"/>
              <w:ind w:left="139" w:right="36"/>
              <w:rPr>
                <w:sz w:val="12"/>
              </w:rPr>
            </w:pPr>
            <w:r>
              <w:rPr>
                <w:w w:val="105"/>
                <w:sz w:val="12"/>
              </w:rPr>
              <w:t>0.6</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58" w:hRule="exact"/>
        </w:trPr>
        <w:tc>
          <w:tcPr>
            <w:tcW w:w="619" w:type="dxa"/>
            <w:tcBorders>
              <w:left w:val="single" w:sz="4" w:space="0" w:color="000000"/>
            </w:tcBorders>
          </w:tcPr>
          <w:p>
            <w:pPr>
              <w:pStyle w:val="TableParagraph"/>
              <w:spacing w:before="5"/>
              <w:ind w:left="137" w:right="71"/>
              <w:rPr>
                <w:sz w:val="12"/>
              </w:rPr>
            </w:pPr>
            <w:r>
              <w:rPr>
                <w:w w:val="105"/>
                <w:sz w:val="12"/>
              </w:rPr>
              <w:t>Social</w:t>
            </w:r>
          </w:p>
        </w:tc>
        <w:tc>
          <w:tcPr>
            <w:tcW w:w="2161" w:type="dxa"/>
          </w:tcPr>
          <w:p>
            <w:pPr/>
          </w:p>
        </w:tc>
        <w:tc>
          <w:tcPr>
            <w:tcW w:w="2097" w:type="dxa"/>
          </w:tcPr>
          <w:p>
            <w:pPr>
              <w:pStyle w:val="TableParagraph"/>
              <w:spacing w:before="5"/>
              <w:ind w:left="34" w:right="740"/>
              <w:jc w:val="left"/>
              <w:rPr>
                <w:sz w:val="12"/>
              </w:rPr>
            </w:pPr>
            <w:r>
              <w:rPr>
                <w:w w:val="105"/>
                <w:sz w:val="12"/>
              </w:rPr>
              <w:t>Recreación</w:t>
            </w:r>
          </w:p>
        </w:tc>
        <w:tc>
          <w:tcPr>
            <w:tcW w:w="1690" w:type="dxa"/>
          </w:tcPr>
          <w:p>
            <w:pPr>
              <w:pStyle w:val="TableParagraph"/>
              <w:spacing w:before="5"/>
              <w:ind w:left="793" w:right="184"/>
              <w:rPr>
                <w:sz w:val="12"/>
              </w:rPr>
            </w:pPr>
            <w:r>
              <w:rPr>
                <w:w w:val="105"/>
                <w:sz w:val="12"/>
              </w:rPr>
              <w:t>0.9</w:t>
            </w:r>
          </w:p>
        </w:tc>
        <w:tc>
          <w:tcPr>
            <w:tcW w:w="801" w:type="dxa"/>
          </w:tcPr>
          <w:p>
            <w:pPr/>
          </w:p>
        </w:tc>
        <w:tc>
          <w:tcPr>
            <w:tcW w:w="770" w:type="dxa"/>
          </w:tcPr>
          <w:p>
            <w:pPr>
              <w:pStyle w:val="TableParagraph"/>
              <w:spacing w:before="5"/>
              <w:ind w:left="139" w:right="36"/>
              <w:rPr>
                <w:sz w:val="12"/>
              </w:rPr>
            </w:pPr>
            <w:r>
              <w:rPr>
                <w:w w:val="105"/>
                <w:sz w:val="12"/>
              </w:rPr>
              <w:t>0.8</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58" w:hRule="exact"/>
        </w:trPr>
        <w:tc>
          <w:tcPr>
            <w:tcW w:w="619" w:type="dxa"/>
            <w:tcBorders>
              <w:left w:val="single" w:sz="4" w:space="0" w:color="000000"/>
            </w:tcBorders>
          </w:tcPr>
          <w:p>
            <w:pPr/>
          </w:p>
        </w:tc>
        <w:tc>
          <w:tcPr>
            <w:tcW w:w="2161" w:type="dxa"/>
          </w:tcPr>
          <w:p>
            <w:pPr/>
          </w:p>
        </w:tc>
        <w:tc>
          <w:tcPr>
            <w:tcW w:w="2097" w:type="dxa"/>
          </w:tcPr>
          <w:p>
            <w:pPr>
              <w:pStyle w:val="TableParagraph"/>
              <w:spacing w:before="5"/>
              <w:ind w:left="34"/>
              <w:jc w:val="left"/>
              <w:rPr>
                <w:sz w:val="12"/>
              </w:rPr>
            </w:pPr>
            <w:r>
              <w:rPr>
                <w:w w:val="105"/>
                <w:sz w:val="12"/>
              </w:rPr>
              <w:t>Servicios especializados</w:t>
            </w:r>
          </w:p>
        </w:tc>
        <w:tc>
          <w:tcPr>
            <w:tcW w:w="1690" w:type="dxa"/>
          </w:tcPr>
          <w:p>
            <w:pPr>
              <w:pStyle w:val="TableParagraph"/>
              <w:spacing w:before="5"/>
              <w:ind w:left="793" w:right="184"/>
              <w:rPr>
                <w:sz w:val="12"/>
              </w:rPr>
            </w:pPr>
            <w:r>
              <w:rPr>
                <w:w w:val="105"/>
                <w:sz w:val="12"/>
              </w:rPr>
              <w:t>0.6</w:t>
            </w:r>
          </w:p>
        </w:tc>
        <w:tc>
          <w:tcPr>
            <w:tcW w:w="801" w:type="dxa"/>
          </w:tcPr>
          <w:p>
            <w:pPr/>
          </w:p>
        </w:tc>
        <w:tc>
          <w:tcPr>
            <w:tcW w:w="770" w:type="dxa"/>
          </w:tcPr>
          <w:p>
            <w:pPr>
              <w:pStyle w:val="TableParagraph"/>
              <w:spacing w:before="5"/>
              <w:ind w:left="139" w:right="36"/>
              <w:rPr>
                <w:sz w:val="12"/>
              </w:rPr>
            </w:pPr>
            <w:r>
              <w:rPr>
                <w:w w:val="105"/>
                <w:sz w:val="12"/>
              </w:rPr>
              <w:t>0.7</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65" w:hRule="exact"/>
        </w:trPr>
        <w:tc>
          <w:tcPr>
            <w:tcW w:w="619" w:type="dxa"/>
            <w:tcBorders>
              <w:left w:val="single" w:sz="4" w:space="0" w:color="000000"/>
            </w:tcBorders>
          </w:tcPr>
          <w:p>
            <w:pPr/>
          </w:p>
        </w:tc>
        <w:tc>
          <w:tcPr>
            <w:tcW w:w="2161" w:type="dxa"/>
          </w:tcPr>
          <w:p>
            <w:pPr/>
          </w:p>
        </w:tc>
        <w:tc>
          <w:tcPr>
            <w:tcW w:w="2097" w:type="dxa"/>
          </w:tcPr>
          <w:p>
            <w:pPr/>
          </w:p>
        </w:tc>
        <w:tc>
          <w:tcPr>
            <w:tcW w:w="1690" w:type="dxa"/>
          </w:tcPr>
          <w:p>
            <w:pPr>
              <w:pStyle w:val="TableParagraph"/>
              <w:spacing w:before="5"/>
              <w:ind w:left="786" w:right="184"/>
              <w:rPr>
                <w:sz w:val="12"/>
              </w:rPr>
            </w:pPr>
            <w:r>
              <w:rPr>
                <w:w w:val="105"/>
                <w:sz w:val="12"/>
              </w:rPr>
              <w:t>Subtotal</w:t>
            </w:r>
          </w:p>
        </w:tc>
        <w:tc>
          <w:tcPr>
            <w:tcW w:w="801" w:type="dxa"/>
          </w:tcPr>
          <w:p>
            <w:pPr>
              <w:pStyle w:val="TableParagraph"/>
              <w:tabs>
                <w:tab w:pos="466" w:val="left" w:leader="none"/>
                <w:tab w:pos="897" w:val="left" w:leader="none"/>
              </w:tabs>
              <w:spacing w:before="5"/>
              <w:ind w:left="203" w:right="-97"/>
              <w:jc w:val="left"/>
              <w:rPr>
                <w:sz w:val="12"/>
              </w:rPr>
            </w:pPr>
            <w:r>
              <w:rPr>
                <w:w w:val="105"/>
                <w:sz w:val="12"/>
                <w:shd w:fill="F79646" w:color="auto" w:val="clear"/>
              </w:rPr>
              <w:t> </w:t>
            </w:r>
            <w:r>
              <w:rPr>
                <w:sz w:val="12"/>
                <w:shd w:fill="F79646" w:color="auto" w:val="clear"/>
              </w:rPr>
              <w:tab/>
            </w:r>
            <w:r>
              <w:rPr>
                <w:w w:val="105"/>
                <w:sz w:val="12"/>
                <w:shd w:fill="F79646" w:color="auto" w:val="clear"/>
              </w:rPr>
              <w:t>5.9</w:t>
            </w:r>
            <w:r>
              <w:rPr>
                <w:sz w:val="12"/>
                <w:shd w:fill="F79646" w:color="auto" w:val="clear"/>
              </w:rPr>
              <w:tab/>
            </w:r>
          </w:p>
        </w:tc>
        <w:tc>
          <w:tcPr>
            <w:tcW w:w="770" w:type="dxa"/>
          </w:tcPr>
          <w:p>
            <w:pPr>
              <w:pStyle w:val="TableParagraph"/>
              <w:spacing w:before="5"/>
              <w:ind w:left="139" w:right="36"/>
              <w:rPr>
                <w:sz w:val="12"/>
              </w:rPr>
            </w:pPr>
            <w:r>
              <w:rPr>
                <w:w w:val="105"/>
                <w:sz w:val="12"/>
              </w:rPr>
              <w:t>6.3</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8</w:t>
            </w:r>
          </w:p>
        </w:tc>
      </w:tr>
      <w:tr>
        <w:trPr>
          <w:trHeight w:val="147" w:hRule="exact"/>
        </w:trPr>
        <w:tc>
          <w:tcPr>
            <w:tcW w:w="8822" w:type="dxa"/>
            <w:gridSpan w:val="7"/>
            <w:tcBorders>
              <w:left w:val="single" w:sz="4" w:space="0" w:color="000000"/>
              <w:right w:val="single" w:sz="8" w:space="0" w:color="000000"/>
            </w:tcBorders>
          </w:tcPr>
          <w:p>
            <w:pPr/>
          </w:p>
        </w:tc>
      </w:tr>
      <w:tr>
        <w:trPr>
          <w:trHeight w:val="161" w:hRule="exact"/>
        </w:trPr>
        <w:tc>
          <w:tcPr>
            <w:tcW w:w="619" w:type="dxa"/>
            <w:tcBorders>
              <w:left w:val="single" w:sz="4" w:space="0" w:color="000000"/>
            </w:tcBorders>
          </w:tcPr>
          <w:p>
            <w:pPr/>
          </w:p>
        </w:tc>
        <w:tc>
          <w:tcPr>
            <w:tcW w:w="2161" w:type="dxa"/>
          </w:tcPr>
          <w:p>
            <w:pPr>
              <w:pStyle w:val="TableParagraph"/>
              <w:spacing w:before="8"/>
              <w:ind w:left="91"/>
              <w:jc w:val="left"/>
              <w:rPr>
                <w:sz w:val="12"/>
              </w:rPr>
            </w:pPr>
            <w:r>
              <w:rPr>
                <w:w w:val="105"/>
                <w:sz w:val="12"/>
              </w:rPr>
              <w:t>Organización vecinal</w:t>
            </w:r>
          </w:p>
        </w:tc>
        <w:tc>
          <w:tcPr>
            <w:tcW w:w="2097" w:type="dxa"/>
          </w:tcPr>
          <w:p>
            <w:pPr>
              <w:pStyle w:val="TableParagraph"/>
              <w:spacing w:before="8"/>
              <w:ind w:left="34"/>
              <w:jc w:val="left"/>
              <w:rPr>
                <w:sz w:val="12"/>
              </w:rPr>
            </w:pPr>
            <w:r>
              <w:rPr>
                <w:w w:val="105"/>
                <w:sz w:val="12"/>
              </w:rPr>
              <w:t>Administración ciudadana</w:t>
            </w:r>
          </w:p>
        </w:tc>
        <w:tc>
          <w:tcPr>
            <w:tcW w:w="1690" w:type="dxa"/>
          </w:tcPr>
          <w:p>
            <w:pPr>
              <w:pStyle w:val="TableParagraph"/>
              <w:tabs>
                <w:tab w:pos="1061" w:val="left" w:leader="none"/>
                <w:tab w:pos="1903" w:val="left" w:leader="none"/>
              </w:tabs>
              <w:spacing w:before="8"/>
              <w:ind w:left="399" w:right="-214"/>
              <w:rPr>
                <w:sz w:val="12"/>
              </w:rPr>
            </w:pPr>
            <w:r>
              <w:rPr>
                <w:w w:val="105"/>
                <w:sz w:val="12"/>
                <w:shd w:fill="BAF9F5" w:color="auto" w:val="clear"/>
              </w:rPr>
              <w:t> </w:t>
            </w:r>
            <w:r>
              <w:rPr>
                <w:sz w:val="12"/>
                <w:shd w:fill="BAF9F5" w:color="auto" w:val="clear"/>
              </w:rPr>
              <w:tab/>
            </w:r>
            <w:r>
              <w:rPr>
                <w:w w:val="105"/>
                <w:sz w:val="12"/>
                <w:shd w:fill="BAF9F5" w:color="auto" w:val="clear"/>
              </w:rPr>
              <w:t>0.8</w:t>
            </w:r>
            <w:r>
              <w:rPr>
                <w:sz w:val="12"/>
                <w:shd w:fill="BAF9F5" w:color="auto" w:val="clear"/>
              </w:rPr>
              <w:tab/>
            </w:r>
          </w:p>
        </w:tc>
        <w:tc>
          <w:tcPr>
            <w:tcW w:w="801" w:type="dxa"/>
          </w:tcPr>
          <w:p>
            <w:pPr/>
          </w:p>
        </w:tc>
        <w:tc>
          <w:tcPr>
            <w:tcW w:w="770" w:type="dxa"/>
          </w:tcPr>
          <w:p>
            <w:pPr>
              <w:pStyle w:val="TableParagraph"/>
              <w:spacing w:before="8"/>
              <w:ind w:left="139" w:right="36"/>
              <w:rPr>
                <w:sz w:val="12"/>
              </w:rPr>
            </w:pPr>
            <w:r>
              <w:rPr>
                <w:w w:val="105"/>
                <w:sz w:val="12"/>
              </w:rPr>
              <w:t>0.8</w:t>
            </w:r>
          </w:p>
        </w:tc>
        <w:tc>
          <w:tcPr>
            <w:tcW w:w="684" w:type="dxa"/>
            <w:tcBorders>
              <w:right w:val="single" w:sz="8" w:space="0" w:color="000000"/>
            </w:tcBorders>
            <w:shd w:val="clear" w:color="auto" w:fill="67ED4D"/>
          </w:tcPr>
          <w:p>
            <w:pPr>
              <w:pStyle w:val="TableParagraph"/>
              <w:spacing w:before="8"/>
              <w:ind w:left="28"/>
              <w:rPr>
                <w:sz w:val="12"/>
              </w:rPr>
            </w:pPr>
            <w:r>
              <w:rPr>
                <w:w w:val="105"/>
                <w:sz w:val="12"/>
              </w:rPr>
              <w:t>1</w:t>
            </w:r>
          </w:p>
        </w:tc>
      </w:tr>
      <w:tr>
        <w:trPr>
          <w:trHeight w:val="165" w:hRule="exact"/>
        </w:trPr>
        <w:tc>
          <w:tcPr>
            <w:tcW w:w="619" w:type="dxa"/>
            <w:tcBorders>
              <w:left w:val="single" w:sz="4" w:space="0" w:color="000000"/>
            </w:tcBorders>
          </w:tcPr>
          <w:p>
            <w:pPr/>
          </w:p>
        </w:tc>
        <w:tc>
          <w:tcPr>
            <w:tcW w:w="2161" w:type="dxa"/>
          </w:tcPr>
          <w:p>
            <w:pPr/>
          </w:p>
        </w:tc>
        <w:tc>
          <w:tcPr>
            <w:tcW w:w="2097" w:type="dxa"/>
          </w:tcPr>
          <w:p>
            <w:pPr/>
          </w:p>
        </w:tc>
        <w:tc>
          <w:tcPr>
            <w:tcW w:w="1690" w:type="dxa"/>
          </w:tcPr>
          <w:p>
            <w:pPr>
              <w:pStyle w:val="TableParagraph"/>
              <w:spacing w:before="5"/>
              <w:ind w:left="786" w:right="184"/>
              <w:rPr>
                <w:sz w:val="12"/>
              </w:rPr>
            </w:pPr>
            <w:r>
              <w:rPr>
                <w:w w:val="105"/>
                <w:sz w:val="12"/>
              </w:rPr>
              <w:t>Subtotal</w:t>
            </w:r>
          </w:p>
        </w:tc>
        <w:tc>
          <w:tcPr>
            <w:tcW w:w="801" w:type="dxa"/>
          </w:tcPr>
          <w:p>
            <w:pPr>
              <w:pStyle w:val="TableParagraph"/>
              <w:tabs>
                <w:tab w:pos="466" w:val="left" w:leader="none"/>
                <w:tab w:pos="897" w:val="left" w:leader="none"/>
              </w:tabs>
              <w:spacing w:before="5"/>
              <w:ind w:left="203" w:right="-97"/>
              <w:jc w:val="left"/>
              <w:rPr>
                <w:sz w:val="12"/>
              </w:rPr>
            </w:pPr>
            <w:r>
              <w:rPr>
                <w:w w:val="105"/>
                <w:sz w:val="12"/>
                <w:shd w:fill="F79646" w:color="auto" w:val="clear"/>
              </w:rPr>
              <w:t> </w:t>
            </w:r>
            <w:r>
              <w:rPr>
                <w:sz w:val="12"/>
                <w:shd w:fill="F79646" w:color="auto" w:val="clear"/>
              </w:rPr>
              <w:tab/>
            </w:r>
            <w:r>
              <w:rPr>
                <w:w w:val="105"/>
                <w:sz w:val="12"/>
                <w:shd w:fill="F79646" w:color="auto" w:val="clear"/>
              </w:rPr>
              <w:t>0.8</w:t>
            </w:r>
            <w:r>
              <w:rPr>
                <w:sz w:val="12"/>
                <w:shd w:fill="F79646" w:color="auto" w:val="clear"/>
              </w:rPr>
              <w:tab/>
            </w:r>
          </w:p>
        </w:tc>
        <w:tc>
          <w:tcPr>
            <w:tcW w:w="770" w:type="dxa"/>
          </w:tcPr>
          <w:p>
            <w:pPr>
              <w:pStyle w:val="TableParagraph"/>
              <w:spacing w:before="5"/>
              <w:ind w:left="139" w:right="36"/>
              <w:rPr>
                <w:sz w:val="12"/>
              </w:rPr>
            </w:pPr>
            <w:r>
              <w:rPr>
                <w:w w:val="105"/>
                <w:sz w:val="12"/>
              </w:rPr>
              <w:t>0.8</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47" w:hRule="exact"/>
        </w:trPr>
        <w:tc>
          <w:tcPr>
            <w:tcW w:w="8822" w:type="dxa"/>
            <w:gridSpan w:val="7"/>
            <w:tcBorders>
              <w:left w:val="single" w:sz="4" w:space="0" w:color="000000"/>
              <w:right w:val="single" w:sz="8" w:space="0" w:color="000000"/>
            </w:tcBorders>
          </w:tcPr>
          <w:p>
            <w:pPr/>
          </w:p>
        </w:tc>
      </w:tr>
      <w:tr>
        <w:trPr>
          <w:trHeight w:val="161" w:hRule="exact"/>
        </w:trPr>
        <w:tc>
          <w:tcPr>
            <w:tcW w:w="619" w:type="dxa"/>
            <w:tcBorders>
              <w:left w:val="single" w:sz="4" w:space="0" w:color="000000"/>
            </w:tcBorders>
          </w:tcPr>
          <w:p>
            <w:pPr/>
          </w:p>
        </w:tc>
        <w:tc>
          <w:tcPr>
            <w:tcW w:w="2161" w:type="dxa"/>
          </w:tcPr>
          <w:p>
            <w:pPr>
              <w:pStyle w:val="TableParagraph"/>
              <w:spacing w:before="8"/>
              <w:ind w:left="91"/>
              <w:jc w:val="left"/>
              <w:rPr>
                <w:sz w:val="12"/>
              </w:rPr>
            </w:pPr>
            <w:r>
              <w:rPr>
                <w:w w:val="105"/>
                <w:sz w:val="12"/>
              </w:rPr>
              <w:t>Índice de satisfacción del acreditado</w:t>
            </w:r>
          </w:p>
        </w:tc>
        <w:tc>
          <w:tcPr>
            <w:tcW w:w="2097" w:type="dxa"/>
          </w:tcPr>
          <w:p>
            <w:pPr>
              <w:pStyle w:val="TableParagraph"/>
              <w:spacing w:before="8"/>
              <w:ind w:left="34" w:right="740"/>
              <w:jc w:val="left"/>
              <w:rPr>
                <w:sz w:val="12"/>
              </w:rPr>
            </w:pPr>
            <w:r>
              <w:rPr>
                <w:w w:val="105"/>
                <w:sz w:val="12"/>
              </w:rPr>
              <w:t>Infonavit</w:t>
            </w:r>
          </w:p>
        </w:tc>
        <w:tc>
          <w:tcPr>
            <w:tcW w:w="1690" w:type="dxa"/>
          </w:tcPr>
          <w:p>
            <w:pPr>
              <w:pStyle w:val="TableParagraph"/>
              <w:tabs>
                <w:tab w:pos="1061" w:val="left" w:leader="none"/>
                <w:tab w:pos="1903" w:val="left" w:leader="none"/>
              </w:tabs>
              <w:spacing w:before="8"/>
              <w:ind w:left="399" w:right="-214"/>
              <w:rPr>
                <w:sz w:val="12"/>
              </w:rPr>
            </w:pPr>
            <w:r>
              <w:rPr>
                <w:w w:val="105"/>
                <w:sz w:val="12"/>
                <w:shd w:fill="BAF9F5" w:color="auto" w:val="clear"/>
              </w:rPr>
              <w:t> </w:t>
            </w:r>
            <w:r>
              <w:rPr>
                <w:sz w:val="12"/>
                <w:shd w:fill="BAF9F5" w:color="auto" w:val="clear"/>
              </w:rPr>
              <w:tab/>
            </w:r>
            <w:r>
              <w:rPr>
                <w:w w:val="105"/>
                <w:sz w:val="12"/>
                <w:shd w:fill="BAF9F5" w:color="auto" w:val="clear"/>
              </w:rPr>
              <w:t>0.7</w:t>
            </w:r>
            <w:r>
              <w:rPr>
                <w:sz w:val="12"/>
                <w:shd w:fill="BAF9F5" w:color="auto" w:val="clear"/>
              </w:rPr>
              <w:tab/>
            </w:r>
          </w:p>
        </w:tc>
        <w:tc>
          <w:tcPr>
            <w:tcW w:w="801" w:type="dxa"/>
          </w:tcPr>
          <w:p>
            <w:pPr/>
          </w:p>
        </w:tc>
        <w:tc>
          <w:tcPr>
            <w:tcW w:w="770" w:type="dxa"/>
          </w:tcPr>
          <w:p>
            <w:pPr>
              <w:pStyle w:val="TableParagraph"/>
              <w:spacing w:before="8"/>
              <w:ind w:left="139" w:right="36"/>
              <w:rPr>
                <w:sz w:val="12"/>
              </w:rPr>
            </w:pPr>
            <w:r>
              <w:rPr>
                <w:w w:val="105"/>
                <w:sz w:val="12"/>
              </w:rPr>
              <w:t>0.7</w:t>
            </w:r>
          </w:p>
        </w:tc>
        <w:tc>
          <w:tcPr>
            <w:tcW w:w="684" w:type="dxa"/>
            <w:tcBorders>
              <w:right w:val="single" w:sz="8" w:space="0" w:color="000000"/>
            </w:tcBorders>
            <w:shd w:val="clear" w:color="auto" w:fill="67ED4D"/>
          </w:tcPr>
          <w:p>
            <w:pPr>
              <w:pStyle w:val="TableParagraph"/>
              <w:spacing w:before="8"/>
              <w:ind w:left="28"/>
              <w:rPr>
                <w:sz w:val="12"/>
              </w:rPr>
            </w:pPr>
            <w:r>
              <w:rPr>
                <w:w w:val="105"/>
                <w:sz w:val="12"/>
              </w:rPr>
              <w:t>1</w:t>
            </w:r>
          </w:p>
        </w:tc>
      </w:tr>
      <w:tr>
        <w:trPr>
          <w:trHeight w:val="165" w:hRule="exact"/>
        </w:trPr>
        <w:tc>
          <w:tcPr>
            <w:tcW w:w="619" w:type="dxa"/>
            <w:tcBorders>
              <w:left w:val="single" w:sz="4" w:space="0" w:color="000000"/>
            </w:tcBorders>
          </w:tcPr>
          <w:p>
            <w:pPr/>
          </w:p>
        </w:tc>
        <w:tc>
          <w:tcPr>
            <w:tcW w:w="2161" w:type="dxa"/>
          </w:tcPr>
          <w:p>
            <w:pPr/>
          </w:p>
        </w:tc>
        <w:tc>
          <w:tcPr>
            <w:tcW w:w="2097" w:type="dxa"/>
          </w:tcPr>
          <w:p>
            <w:pPr/>
          </w:p>
        </w:tc>
        <w:tc>
          <w:tcPr>
            <w:tcW w:w="1690" w:type="dxa"/>
          </w:tcPr>
          <w:p>
            <w:pPr>
              <w:pStyle w:val="TableParagraph"/>
              <w:spacing w:before="5"/>
              <w:ind w:left="786" w:right="184"/>
              <w:rPr>
                <w:sz w:val="12"/>
              </w:rPr>
            </w:pPr>
            <w:r>
              <w:rPr>
                <w:w w:val="105"/>
                <w:sz w:val="12"/>
              </w:rPr>
              <w:t>Subtotal</w:t>
            </w:r>
          </w:p>
        </w:tc>
        <w:tc>
          <w:tcPr>
            <w:tcW w:w="801" w:type="dxa"/>
          </w:tcPr>
          <w:p>
            <w:pPr>
              <w:pStyle w:val="TableParagraph"/>
              <w:tabs>
                <w:tab w:pos="466" w:val="left" w:leader="none"/>
                <w:tab w:pos="897" w:val="left" w:leader="none"/>
              </w:tabs>
              <w:spacing w:before="5"/>
              <w:ind w:left="203" w:right="-97"/>
              <w:jc w:val="left"/>
              <w:rPr>
                <w:sz w:val="12"/>
              </w:rPr>
            </w:pPr>
            <w:r>
              <w:rPr>
                <w:w w:val="105"/>
                <w:sz w:val="12"/>
                <w:shd w:fill="F79646" w:color="auto" w:val="clear"/>
              </w:rPr>
              <w:t> </w:t>
            </w:r>
            <w:r>
              <w:rPr>
                <w:sz w:val="12"/>
                <w:shd w:fill="F79646" w:color="auto" w:val="clear"/>
              </w:rPr>
              <w:tab/>
            </w:r>
            <w:r>
              <w:rPr>
                <w:w w:val="105"/>
                <w:sz w:val="12"/>
                <w:shd w:fill="F79646" w:color="auto" w:val="clear"/>
              </w:rPr>
              <w:t>0.7</w:t>
            </w:r>
            <w:r>
              <w:rPr>
                <w:sz w:val="12"/>
                <w:shd w:fill="F79646" w:color="auto" w:val="clear"/>
              </w:rPr>
              <w:tab/>
            </w:r>
          </w:p>
        </w:tc>
        <w:tc>
          <w:tcPr>
            <w:tcW w:w="770" w:type="dxa"/>
          </w:tcPr>
          <w:p>
            <w:pPr>
              <w:pStyle w:val="TableParagraph"/>
              <w:spacing w:before="5"/>
              <w:ind w:left="139" w:right="36"/>
              <w:rPr>
                <w:sz w:val="12"/>
              </w:rPr>
            </w:pPr>
            <w:r>
              <w:rPr>
                <w:w w:val="105"/>
                <w:sz w:val="12"/>
              </w:rPr>
              <w:t>0.7</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47" w:hRule="exact"/>
        </w:trPr>
        <w:tc>
          <w:tcPr>
            <w:tcW w:w="8822" w:type="dxa"/>
            <w:gridSpan w:val="7"/>
            <w:tcBorders>
              <w:left w:val="single" w:sz="4" w:space="0" w:color="000000"/>
              <w:right w:val="single" w:sz="8" w:space="0" w:color="000000"/>
            </w:tcBorders>
          </w:tcPr>
          <w:p>
            <w:pPr/>
          </w:p>
        </w:tc>
      </w:tr>
      <w:tr>
        <w:trPr>
          <w:trHeight w:val="161" w:hRule="exact"/>
        </w:trPr>
        <w:tc>
          <w:tcPr>
            <w:tcW w:w="619" w:type="dxa"/>
            <w:tcBorders>
              <w:left w:val="single" w:sz="4" w:space="0" w:color="000000"/>
            </w:tcBorders>
          </w:tcPr>
          <w:p>
            <w:pPr/>
          </w:p>
        </w:tc>
        <w:tc>
          <w:tcPr>
            <w:tcW w:w="2161" w:type="dxa"/>
          </w:tcPr>
          <w:p>
            <w:pPr>
              <w:pStyle w:val="TableParagraph"/>
              <w:spacing w:before="8"/>
              <w:ind w:left="91"/>
              <w:jc w:val="left"/>
              <w:rPr>
                <w:sz w:val="12"/>
              </w:rPr>
            </w:pPr>
            <w:r>
              <w:rPr>
                <w:w w:val="105"/>
                <w:sz w:val="12"/>
              </w:rPr>
              <w:t>Índice de satisfacción residencial</w:t>
            </w:r>
          </w:p>
        </w:tc>
        <w:tc>
          <w:tcPr>
            <w:tcW w:w="2097" w:type="dxa"/>
          </w:tcPr>
          <w:p>
            <w:pPr>
              <w:pStyle w:val="TableParagraph"/>
              <w:spacing w:before="8"/>
              <w:ind w:left="34"/>
              <w:jc w:val="left"/>
              <w:rPr>
                <w:sz w:val="12"/>
              </w:rPr>
            </w:pPr>
            <w:r>
              <w:rPr>
                <w:w w:val="105"/>
                <w:sz w:val="12"/>
              </w:rPr>
              <w:t>Sociedad Hipotecaria Federal</w:t>
            </w:r>
          </w:p>
        </w:tc>
        <w:tc>
          <w:tcPr>
            <w:tcW w:w="1690" w:type="dxa"/>
          </w:tcPr>
          <w:p>
            <w:pPr>
              <w:pStyle w:val="TableParagraph"/>
              <w:tabs>
                <w:tab w:pos="1114" w:val="left" w:leader="none"/>
                <w:tab w:pos="1903" w:val="left" w:leader="none"/>
              </w:tabs>
              <w:spacing w:before="8"/>
              <w:ind w:left="399" w:right="-214"/>
              <w:rPr>
                <w:sz w:val="12"/>
              </w:rPr>
            </w:pPr>
            <w:r>
              <w:rPr>
                <w:w w:val="105"/>
                <w:sz w:val="12"/>
                <w:shd w:fill="BAF9F5" w:color="auto" w:val="clear"/>
              </w:rPr>
              <w:t> </w:t>
            </w:r>
            <w:r>
              <w:rPr>
                <w:sz w:val="12"/>
                <w:shd w:fill="BAF9F5" w:color="auto" w:val="clear"/>
              </w:rPr>
              <w:tab/>
            </w:r>
            <w:r>
              <w:rPr>
                <w:w w:val="105"/>
                <w:sz w:val="12"/>
                <w:shd w:fill="BAF9F5" w:color="auto" w:val="clear"/>
              </w:rPr>
              <w:t>1</w:t>
            </w:r>
            <w:r>
              <w:rPr>
                <w:sz w:val="12"/>
                <w:shd w:fill="BAF9F5" w:color="auto" w:val="clear"/>
              </w:rPr>
              <w:tab/>
            </w:r>
          </w:p>
        </w:tc>
        <w:tc>
          <w:tcPr>
            <w:tcW w:w="801" w:type="dxa"/>
          </w:tcPr>
          <w:p>
            <w:pPr/>
          </w:p>
        </w:tc>
        <w:tc>
          <w:tcPr>
            <w:tcW w:w="770" w:type="dxa"/>
          </w:tcPr>
          <w:p>
            <w:pPr>
              <w:pStyle w:val="TableParagraph"/>
              <w:spacing w:before="8"/>
              <w:ind w:left="139" w:right="36"/>
              <w:rPr>
                <w:sz w:val="12"/>
              </w:rPr>
            </w:pPr>
            <w:r>
              <w:rPr>
                <w:w w:val="105"/>
                <w:sz w:val="12"/>
              </w:rPr>
              <w:t>0.7</w:t>
            </w:r>
          </w:p>
        </w:tc>
        <w:tc>
          <w:tcPr>
            <w:tcW w:w="684" w:type="dxa"/>
            <w:tcBorders>
              <w:right w:val="single" w:sz="8" w:space="0" w:color="000000"/>
            </w:tcBorders>
            <w:shd w:val="clear" w:color="auto" w:fill="67ED4D"/>
          </w:tcPr>
          <w:p>
            <w:pPr>
              <w:pStyle w:val="TableParagraph"/>
              <w:spacing w:before="8"/>
              <w:ind w:left="28"/>
              <w:rPr>
                <w:sz w:val="12"/>
              </w:rPr>
            </w:pPr>
            <w:r>
              <w:rPr>
                <w:w w:val="105"/>
                <w:sz w:val="12"/>
              </w:rPr>
              <w:t>1</w:t>
            </w:r>
          </w:p>
        </w:tc>
      </w:tr>
      <w:tr>
        <w:trPr>
          <w:trHeight w:val="165" w:hRule="exact"/>
        </w:trPr>
        <w:tc>
          <w:tcPr>
            <w:tcW w:w="619" w:type="dxa"/>
            <w:tcBorders>
              <w:left w:val="single" w:sz="4" w:space="0" w:color="000000"/>
            </w:tcBorders>
          </w:tcPr>
          <w:p>
            <w:pPr/>
          </w:p>
        </w:tc>
        <w:tc>
          <w:tcPr>
            <w:tcW w:w="2161" w:type="dxa"/>
          </w:tcPr>
          <w:p>
            <w:pPr/>
          </w:p>
        </w:tc>
        <w:tc>
          <w:tcPr>
            <w:tcW w:w="2097" w:type="dxa"/>
          </w:tcPr>
          <w:p>
            <w:pPr/>
          </w:p>
        </w:tc>
        <w:tc>
          <w:tcPr>
            <w:tcW w:w="1690" w:type="dxa"/>
          </w:tcPr>
          <w:p>
            <w:pPr>
              <w:pStyle w:val="TableParagraph"/>
              <w:spacing w:before="5"/>
              <w:ind w:left="786" w:right="184"/>
              <w:rPr>
                <w:sz w:val="12"/>
              </w:rPr>
            </w:pPr>
            <w:r>
              <w:rPr>
                <w:w w:val="105"/>
                <w:sz w:val="12"/>
              </w:rPr>
              <w:t>Subtotal</w:t>
            </w:r>
          </w:p>
        </w:tc>
        <w:tc>
          <w:tcPr>
            <w:tcW w:w="801" w:type="dxa"/>
          </w:tcPr>
          <w:p>
            <w:pPr>
              <w:pStyle w:val="TableParagraph"/>
              <w:tabs>
                <w:tab w:pos="518" w:val="left" w:leader="none"/>
                <w:tab w:pos="897" w:val="left" w:leader="none"/>
              </w:tabs>
              <w:spacing w:before="5"/>
              <w:ind w:left="203" w:right="-97"/>
              <w:jc w:val="left"/>
              <w:rPr>
                <w:sz w:val="12"/>
              </w:rPr>
            </w:pPr>
            <w:r>
              <w:rPr>
                <w:w w:val="105"/>
                <w:sz w:val="12"/>
                <w:shd w:fill="F79646" w:color="auto" w:val="clear"/>
              </w:rPr>
              <w:t> </w:t>
            </w:r>
            <w:r>
              <w:rPr>
                <w:sz w:val="12"/>
                <w:shd w:fill="F79646" w:color="auto" w:val="clear"/>
              </w:rPr>
              <w:tab/>
            </w:r>
            <w:r>
              <w:rPr>
                <w:w w:val="105"/>
                <w:sz w:val="12"/>
                <w:shd w:fill="F79646" w:color="auto" w:val="clear"/>
              </w:rPr>
              <w:t>1</w:t>
            </w:r>
            <w:r>
              <w:rPr>
                <w:sz w:val="12"/>
                <w:shd w:fill="F79646" w:color="auto" w:val="clear"/>
              </w:rPr>
              <w:tab/>
            </w:r>
          </w:p>
        </w:tc>
        <w:tc>
          <w:tcPr>
            <w:tcW w:w="770" w:type="dxa"/>
          </w:tcPr>
          <w:p>
            <w:pPr>
              <w:pStyle w:val="TableParagraph"/>
              <w:spacing w:before="5"/>
              <w:ind w:left="139" w:right="36"/>
              <w:rPr>
                <w:sz w:val="12"/>
              </w:rPr>
            </w:pPr>
            <w:r>
              <w:rPr>
                <w:w w:val="105"/>
                <w:sz w:val="12"/>
              </w:rPr>
              <w:t>0.7</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474" w:hRule="exact"/>
        </w:trPr>
        <w:tc>
          <w:tcPr>
            <w:tcW w:w="619" w:type="dxa"/>
            <w:tcBorders>
              <w:left w:val="single" w:sz="4" w:space="0" w:color="000000"/>
              <w:bottom w:val="single" w:sz="8" w:space="0" w:color="000000"/>
            </w:tcBorders>
          </w:tcPr>
          <w:p>
            <w:pPr/>
          </w:p>
        </w:tc>
        <w:tc>
          <w:tcPr>
            <w:tcW w:w="2161" w:type="dxa"/>
            <w:tcBorders>
              <w:bottom w:val="single" w:sz="8" w:space="0" w:color="000000"/>
            </w:tcBorders>
          </w:tcPr>
          <w:p>
            <w:pPr/>
          </w:p>
        </w:tc>
        <w:tc>
          <w:tcPr>
            <w:tcW w:w="2097" w:type="dxa"/>
            <w:tcBorders>
              <w:bottom w:val="single" w:sz="8" w:space="0" w:color="000000"/>
            </w:tcBorders>
          </w:tcPr>
          <w:p>
            <w:pPr/>
          </w:p>
        </w:tc>
        <w:tc>
          <w:tcPr>
            <w:tcW w:w="1690" w:type="dxa"/>
            <w:tcBorders>
              <w:bottom w:val="single" w:sz="8" w:space="0" w:color="000000"/>
            </w:tcBorders>
          </w:tcPr>
          <w:p>
            <w:pPr>
              <w:pStyle w:val="TableParagraph"/>
              <w:spacing w:before="6"/>
              <w:jc w:val="left"/>
              <w:rPr>
                <w:sz w:val="13"/>
              </w:rPr>
            </w:pPr>
          </w:p>
          <w:p>
            <w:pPr>
              <w:pStyle w:val="TableParagraph"/>
              <w:ind w:left="800" w:right="177"/>
              <w:rPr>
                <w:sz w:val="12"/>
              </w:rPr>
            </w:pPr>
            <w:r>
              <w:rPr>
                <w:w w:val="105"/>
                <w:sz w:val="12"/>
              </w:rPr>
              <w:t>Total IS</w:t>
            </w:r>
          </w:p>
        </w:tc>
        <w:tc>
          <w:tcPr>
            <w:tcW w:w="801" w:type="dxa"/>
            <w:tcBorders>
              <w:bottom w:val="single" w:sz="8" w:space="0" w:color="000000"/>
            </w:tcBorders>
          </w:tcPr>
          <w:p>
            <w:pPr>
              <w:pStyle w:val="TableParagraph"/>
              <w:spacing w:before="6"/>
              <w:jc w:val="left"/>
              <w:rPr>
                <w:sz w:val="13"/>
              </w:rPr>
            </w:pPr>
          </w:p>
          <w:p>
            <w:pPr>
              <w:pStyle w:val="TableParagraph"/>
              <w:tabs>
                <w:tab w:pos="897" w:val="left" w:leader="none"/>
              </w:tabs>
              <w:ind w:left="203" w:right="-97"/>
              <w:jc w:val="left"/>
              <w:rPr>
                <w:sz w:val="12"/>
              </w:rPr>
            </w:pPr>
            <w:r>
              <w:rPr>
                <w:w w:val="105"/>
                <w:sz w:val="12"/>
                <w:shd w:fill="F79646" w:color="auto" w:val="clear"/>
              </w:rPr>
              <w:t> </w:t>
            </w:r>
            <w:r>
              <w:rPr>
                <w:sz w:val="12"/>
                <w:shd w:fill="F79646" w:color="auto" w:val="clear"/>
              </w:rPr>
              <w:t>     </w:t>
            </w:r>
            <w:r>
              <w:rPr>
                <w:spacing w:val="-4"/>
                <w:sz w:val="12"/>
                <w:shd w:fill="F79646" w:color="auto" w:val="clear"/>
              </w:rPr>
              <w:t> </w:t>
            </w:r>
            <w:r>
              <w:rPr>
                <w:spacing w:val="-3"/>
                <w:w w:val="105"/>
                <w:sz w:val="12"/>
                <w:shd w:fill="F79646" w:color="auto" w:val="clear"/>
              </w:rPr>
              <w:t>11.6</w:t>
            </w:r>
            <w:r>
              <w:rPr>
                <w:spacing w:val="-3"/>
                <w:sz w:val="12"/>
                <w:shd w:fill="F79646" w:color="auto" w:val="clear"/>
              </w:rPr>
              <w:tab/>
            </w:r>
          </w:p>
        </w:tc>
        <w:tc>
          <w:tcPr>
            <w:tcW w:w="770" w:type="dxa"/>
            <w:tcBorders>
              <w:bottom w:val="single" w:sz="8" w:space="0" w:color="000000"/>
            </w:tcBorders>
          </w:tcPr>
          <w:p>
            <w:pPr>
              <w:pStyle w:val="TableParagraph"/>
              <w:spacing w:before="6"/>
              <w:jc w:val="left"/>
              <w:rPr>
                <w:sz w:val="13"/>
              </w:rPr>
            </w:pPr>
          </w:p>
          <w:p>
            <w:pPr>
              <w:pStyle w:val="TableParagraph"/>
              <w:tabs>
                <w:tab w:pos="780" w:val="left" w:leader="none"/>
              </w:tabs>
              <w:ind w:left="85" w:right="-11"/>
              <w:rPr>
                <w:sz w:val="12"/>
              </w:rPr>
            </w:pPr>
            <w:r>
              <w:rPr>
                <w:w w:val="105"/>
                <w:sz w:val="12"/>
                <w:shd w:fill="FFFF00" w:color="auto" w:val="clear"/>
              </w:rPr>
              <w:t> </w:t>
            </w:r>
            <w:r>
              <w:rPr>
                <w:sz w:val="12"/>
                <w:shd w:fill="FFFF00" w:color="auto" w:val="clear"/>
              </w:rPr>
              <w:t>     </w:t>
            </w:r>
            <w:r>
              <w:rPr>
                <w:spacing w:val="-4"/>
                <w:sz w:val="12"/>
                <w:shd w:fill="FFFF00" w:color="auto" w:val="clear"/>
              </w:rPr>
              <w:t> </w:t>
            </w:r>
            <w:r>
              <w:rPr>
                <w:spacing w:val="-3"/>
                <w:w w:val="105"/>
                <w:sz w:val="12"/>
                <w:shd w:fill="FFFF00" w:color="auto" w:val="clear"/>
              </w:rPr>
              <w:t>11.4</w:t>
            </w:r>
            <w:r>
              <w:rPr>
                <w:spacing w:val="-3"/>
                <w:sz w:val="12"/>
                <w:shd w:fill="FFFF00" w:color="auto" w:val="clear"/>
              </w:rPr>
              <w:tab/>
            </w:r>
          </w:p>
        </w:tc>
        <w:tc>
          <w:tcPr>
            <w:tcW w:w="684" w:type="dxa"/>
            <w:tcBorders>
              <w:bottom w:val="single" w:sz="8" w:space="0" w:color="000000"/>
              <w:right w:val="single" w:sz="8" w:space="0" w:color="000000"/>
            </w:tcBorders>
          </w:tcPr>
          <w:p>
            <w:pPr>
              <w:pStyle w:val="TableParagraph"/>
              <w:spacing w:before="6"/>
              <w:jc w:val="left"/>
              <w:rPr>
                <w:sz w:val="13"/>
              </w:rPr>
            </w:pPr>
          </w:p>
          <w:p>
            <w:pPr>
              <w:pStyle w:val="TableParagraph"/>
              <w:ind w:left="100" w:right="86"/>
              <w:rPr>
                <w:sz w:val="12"/>
              </w:rPr>
            </w:pPr>
            <w:r>
              <w:rPr>
                <w:w w:val="105"/>
                <w:sz w:val="12"/>
              </w:rPr>
              <w:t>15</w:t>
            </w:r>
          </w:p>
        </w:tc>
      </w:tr>
    </w:tbl>
    <w:p>
      <w:pPr>
        <w:spacing w:before="128"/>
        <w:ind w:left="268" w:right="0" w:firstLine="0"/>
        <w:jc w:val="left"/>
        <w:rPr>
          <w:sz w:val="21"/>
        </w:rPr>
      </w:pPr>
      <w:r>
        <w:rPr/>
        <w:pict>
          <v:shape style="position:absolute;margin-left:472.291016pt;margin-top:-87.89814pt;width:34.75pt;height:16.3500pt;mso-position-horizontal-relative:page;mso-position-vertical-relative:paragraph;z-index:-1133248" coordorigin="9446,-1758" coordsize="695,327" path="m10140,-1758l9446,-1758,9446,-1600,9446,-1590,9446,-1432,10140,-1432,10140,-1590,10140,-1600,10140,-1758e" filled="true" fillcolor="#ffff00" stroked="false">
            <v:path arrowok="t"/>
            <v:fill type="solid"/>
            <w10:wrap type="none"/>
          </v:shape>
        </w:pict>
      </w:r>
      <w:r>
        <w:rPr/>
        <w:pict>
          <v:shape style="position:absolute;margin-left:472.291016pt;margin-top:-64.219139pt;width:34.75pt;height:16.3500pt;mso-position-horizontal-relative:page;mso-position-vertical-relative:paragraph;z-index:-1133224" coordorigin="9446,-1284" coordsize="695,327" path="m10140,-1284l9446,-1284,9446,-1127,9446,-1116,9446,-958,10140,-958,10140,-1116,10140,-1127,10140,-1284e" filled="true" fillcolor="#ffff00" stroked="false">
            <v:path arrowok="t"/>
            <v:fill type="solid"/>
            <w10:wrap type="none"/>
          </v:shape>
        </w:pict>
      </w:r>
      <w:r>
        <w:rPr/>
        <w:pict>
          <v:shape style="position:absolute;margin-left:472.291016pt;margin-top:-40.540134pt;width:34.75pt;height:16.3500pt;mso-position-horizontal-relative:page;mso-position-vertical-relative:paragraph;z-index:-1133200" coordorigin="9446,-811" coordsize="695,327" path="m10140,-811l9446,-811,9446,-653,9446,-642,9446,-485,10140,-485,10140,-642,10140,-653,10140,-811e" filled="true" fillcolor="#ffff00" stroked="false">
            <v:path arrowok="t"/>
            <v:fill type="solid"/>
            <w10:wrap type="none"/>
          </v:shape>
        </w:pict>
      </w:r>
      <w:r>
        <w:rPr/>
        <w:pict>
          <v:rect style="position:absolute;margin-left:506.483002pt;margin-top:-16.861237pt;width:34.7185pt;height:8.41911pt;mso-position-horizontal-relative:page;mso-position-vertical-relative:paragraph;z-index:-1133176" filled="true" fillcolor="#67ed4d"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spacing w:before="1"/>
        <w:rPr>
          <w:sz w:val="18"/>
        </w:rPr>
      </w:pPr>
    </w:p>
    <w:p>
      <w:pPr>
        <w:pStyle w:val="BodyText"/>
        <w:spacing w:before="69"/>
        <w:ind w:left="268"/>
      </w:pPr>
      <w:r>
        <w:rPr/>
        <w:pict>
          <v:line style="position:absolute;mso-position-horizontal-relative:page;mso-position-vertical-relative:paragraph;z-index:24880" from="93.199997pt,-19.614155pt" to="546.799997pt,-19.614155pt" stroked="true" strokeweight=".479981pt" strokecolor="#000000">
            <w10:wrap type="none"/>
          </v:line>
        </w:pict>
      </w:r>
      <w:r>
        <w:rPr/>
        <w:pict>
          <v:group style="position:absolute;margin-left:363.401001pt;margin-top:66.654068pt;width:75.25pt;height:40.550pt;mso-position-horizontal-relative:page;mso-position-vertical-relative:paragraph;z-index:-1133128" coordorigin="7268,1333" coordsize="1505,811">
            <v:line style="position:absolute" from="7274,1339" to="7274,1507" stroked="true" strokeweight=".526pt" strokecolor="#baf9f5"/>
            <v:shape style="position:absolute;left:7279;top:1339;width:1494;height:642" coordorigin="7279,1339" coordsize="1494,642" path="m8773,1822l7279,1822,7279,1980,8773,1980,8773,1822m8773,1665l7279,1665,7279,1822,8773,1822,8773,1665m8773,1339l7279,1339,7279,1496,7279,1507,7279,1665,8773,1665,8773,1507,8773,1496,8773,1339e" filled="true" fillcolor="#baf9f5" stroked="false">
              <v:path arrowok="t"/>
              <v:fill type="solid"/>
            </v:shape>
            <v:line style="position:absolute" from="7274,1496" to="7274,2138" stroked="true" strokeweight=".526pt" strokecolor="#baf9f5"/>
            <v:rect style="position:absolute;left:7279;top:1980;width:1494;height:158" filled="true" fillcolor="#baf9f5" stroked="false">
              <v:fill type="solid"/>
            </v:rect>
            <w10:wrap type="none"/>
          </v:group>
        </w:pict>
      </w:r>
      <w:r>
        <w:rPr/>
        <w:pict>
          <v:shape style="position:absolute;margin-left:472.308014pt;margin-top:66.929802pt;width:34.75pt;height:47.9pt;mso-position-horizontal-relative:page;mso-position-vertical-relative:paragraph;z-index:-1133104" coordorigin="9446,1339" coordsize="695,958" path="m10141,1822l9446,1822,9446,1980,9446,2128,9446,2138,9446,2296,10141,2296,10141,2138,10141,2128,10141,1980,10141,1822m10141,1665l9446,1665,9446,1822,10141,1822,10141,1665m10141,1339l9446,1339,9446,1496,9446,1507,9446,1665,10141,1665,10141,1507,10141,1496,10141,1339e" filled="true" fillcolor="#ffff00" stroked="false">
            <v:path arrowok="t"/>
            <v:fill type="solid"/>
            <w10:wrap type="none"/>
          </v:shape>
        </w:pict>
      </w:r>
      <w:r>
        <w:rPr/>
        <w:pict>
          <v:group style="position:absolute;margin-left:363.401001pt;margin-top:145.551331pt;width:75.25pt;height:56.35pt;mso-position-horizontal-relative:page;mso-position-vertical-relative:paragraph;z-index:-1133080" coordorigin="7268,2911" coordsize="1505,1127">
            <v:line style="position:absolute" from="7274,2917" to="7274,3085" stroked="true" strokeweight=".526pt" strokecolor="#baf9f5"/>
            <v:rect style="position:absolute;left:7279;top:2917;width:1494;height:168" filled="true" fillcolor="#baf9f5" stroked="false">
              <v:fill type="solid"/>
            </v:rect>
            <v:line style="position:absolute" from="7274,3085" to="7274,3243" stroked="true" strokeweight=".526pt" strokecolor="#baf9f5"/>
            <v:rect style="position:absolute;left:7279;top:3085;width:1494;height:158" filled="true" fillcolor="#baf9f5" stroked="false">
              <v:fill type="solid"/>
            </v:rect>
            <v:line style="position:absolute" from="7274,3243" to="7274,3400" stroked="true" strokeweight=".526pt" strokecolor="#baf9f5"/>
            <v:rect style="position:absolute;left:7279;top:3243;width:1494;height:158" filled="true" fillcolor="#baf9f5" stroked="false">
              <v:fill type="solid"/>
            </v:rect>
            <v:line style="position:absolute" from="7274,3400" to="7274,3558" stroked="true" strokeweight=".526pt" strokecolor="#baf9f5"/>
            <v:rect style="position:absolute;left:7279;top:3400;width:1494;height:158" filled="true" fillcolor="#baf9f5" stroked="false">
              <v:fill type="solid"/>
            </v:rect>
            <v:line style="position:absolute" from="7274,3558" to="7274,3716" stroked="true" strokeweight=".526pt" strokecolor="#baf9f5"/>
            <v:rect style="position:absolute;left:7279;top:3558;width:1494;height:158" filled="true" fillcolor="#baf9f5" stroked="false">
              <v:fill type="solid"/>
            </v:rect>
            <v:line style="position:absolute" from="7274,3716" to="7274,3874" stroked="true" strokeweight=".526pt" strokecolor="#baf9f5"/>
            <v:rect style="position:absolute;left:7279;top:3716;width:1494;height:158" filled="true" fillcolor="#baf9f5" stroked="false">
              <v:fill type="solid"/>
            </v:rect>
            <v:line style="position:absolute" from="7274,3874" to="7274,4032" stroked="true" strokeweight=".526pt" strokecolor="#baf9f5"/>
            <v:rect style="position:absolute;left:7279;top:3874;width:1494;height:158" filled="true" fillcolor="#baf9f5" stroked="false">
              <v:fill type="solid"/>
            </v:rect>
            <w10:wrap type="none"/>
          </v:group>
        </w:pict>
      </w:r>
      <w:r>
        <w:rPr/>
        <w:pict>
          <v:shape style="position:absolute;margin-left:472.308014pt;margin-top:122.157806pt;width:34.75pt;height:16.3500pt;mso-position-horizontal-relative:page;mso-position-vertical-relative:paragraph;z-index:-1133056" coordorigin="9446,2443" coordsize="695,327" path="m10141,2443l9446,2443,9446,2601,9446,2611,9446,2769,10141,2769,10141,2611,10141,2601,10141,2443e" filled="true" fillcolor="#ffff00" stroked="false">
            <v:path arrowok="t"/>
            <v:fill type="solid"/>
            <w10:wrap type="none"/>
          </v:shape>
        </w:pict>
      </w:r>
      <w:r>
        <w:rPr/>
        <w:pict>
          <v:shape style="position:absolute;margin-left:472.308014pt;margin-top:145.826813pt;width:34.75pt;height:63.65pt;mso-position-horizontal-relative:page;mso-position-vertical-relative:paragraph;z-index:-1133032" coordorigin="9446,2917" coordsize="695,1273" path="m10141,3874l9446,3874,9446,4021,9446,4032,9446,4189,10141,4189,10141,4032,10141,4021,10141,3874m10141,3558l9446,3558,9446,3716,9446,3874,10141,3874,10141,3716,10141,3558m10141,3400l9446,3400,9446,3558,10141,3558,10141,3400m10141,3243l9446,3243,9446,3400,10141,3400,10141,3243m10141,3085l9446,3085,9446,3243,10141,3243,10141,3085m10141,2917l9446,2917,9446,3085,10141,3085,10141,2917e" filled="true" fillcolor="#ffff00" stroked="false">
            <v:path arrowok="t"/>
            <v:fill type="solid"/>
            <w10:wrap type="none"/>
          </v:shape>
        </w:pict>
      </w:r>
      <w:r>
        <w:rPr/>
        <w:t>Tabla 64. ISA URBI Hacienda Lomas</w:t>
      </w:r>
    </w:p>
    <w:p>
      <w:pPr>
        <w:pStyle w:val="BodyText"/>
        <w:spacing w:before="1"/>
        <w:rPr>
          <w:sz w:val="25"/>
        </w:rPr>
      </w:pP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5"/>
        <w:gridCol w:w="1863"/>
        <w:gridCol w:w="2252"/>
        <w:gridCol w:w="1788"/>
        <w:gridCol w:w="801"/>
        <w:gridCol w:w="770"/>
        <w:gridCol w:w="684"/>
      </w:tblGrid>
      <w:tr>
        <w:trPr>
          <w:trHeight w:val="479" w:hRule="exact"/>
        </w:trPr>
        <w:tc>
          <w:tcPr>
            <w:tcW w:w="8822" w:type="dxa"/>
            <w:gridSpan w:val="7"/>
            <w:tcBorders>
              <w:bottom w:val="nil"/>
              <w:right w:val="single" w:sz="4" w:space="0" w:color="76933C"/>
            </w:tcBorders>
            <w:shd w:val="clear" w:color="auto" w:fill="000000"/>
          </w:tcPr>
          <w:p>
            <w:pPr>
              <w:pStyle w:val="TableParagraph"/>
              <w:spacing w:before="71"/>
              <w:ind w:left="3332" w:right="3314"/>
              <w:rPr>
                <w:b/>
                <w:sz w:val="12"/>
              </w:rPr>
            </w:pPr>
            <w:r>
              <w:rPr>
                <w:b/>
                <w:color w:val="FFFFFF"/>
                <w:w w:val="105"/>
                <w:sz w:val="12"/>
              </w:rPr>
              <w:t>Urbi Hacienda Lomas</w:t>
            </w:r>
          </w:p>
          <w:p>
            <w:pPr>
              <w:pStyle w:val="TableParagraph"/>
              <w:spacing w:before="19"/>
              <w:ind w:left="3332" w:right="3315"/>
              <w:rPr>
                <w:b/>
                <w:sz w:val="12"/>
              </w:rPr>
            </w:pPr>
            <w:r>
              <w:rPr>
                <w:b/>
                <w:color w:val="FFFFFF"/>
                <w:w w:val="105"/>
                <w:sz w:val="12"/>
              </w:rPr>
              <w:t>Índice de sustentabilidad ambiental</w:t>
            </w:r>
          </w:p>
        </w:tc>
      </w:tr>
      <w:tr>
        <w:trPr>
          <w:trHeight w:val="163" w:hRule="exact"/>
        </w:trPr>
        <w:tc>
          <w:tcPr>
            <w:tcW w:w="665" w:type="dxa"/>
            <w:tcBorders>
              <w:top w:val="single" w:sz="4" w:space="0" w:color="FFFFFF"/>
              <w:left w:val="single" w:sz="4" w:space="0" w:color="000000"/>
            </w:tcBorders>
            <w:shd w:val="clear" w:color="auto" w:fill="808080"/>
          </w:tcPr>
          <w:p>
            <w:pPr>
              <w:pStyle w:val="TableParagraph"/>
              <w:spacing w:line="136" w:lineRule="exact"/>
              <w:ind w:left="157"/>
              <w:jc w:val="left"/>
              <w:rPr>
                <w:b/>
                <w:sz w:val="12"/>
              </w:rPr>
            </w:pPr>
            <w:r>
              <w:rPr>
                <w:b/>
                <w:color w:val="FFFFFF"/>
                <w:w w:val="105"/>
                <w:sz w:val="12"/>
              </w:rPr>
              <w:t>Índice</w:t>
            </w:r>
          </w:p>
        </w:tc>
        <w:tc>
          <w:tcPr>
            <w:tcW w:w="1863" w:type="dxa"/>
            <w:tcBorders>
              <w:top w:val="single" w:sz="4" w:space="0" w:color="FFFFFF"/>
            </w:tcBorders>
            <w:shd w:val="clear" w:color="auto" w:fill="808080"/>
          </w:tcPr>
          <w:p>
            <w:pPr>
              <w:pStyle w:val="TableParagraph"/>
              <w:spacing w:line="136" w:lineRule="exact"/>
              <w:ind w:left="45"/>
              <w:jc w:val="left"/>
              <w:rPr>
                <w:b/>
                <w:sz w:val="12"/>
              </w:rPr>
            </w:pPr>
            <w:r>
              <w:rPr>
                <w:b/>
                <w:color w:val="FFFFFF"/>
                <w:w w:val="105"/>
                <w:sz w:val="12"/>
              </w:rPr>
              <w:t>Subíndice</w:t>
            </w:r>
          </w:p>
        </w:tc>
        <w:tc>
          <w:tcPr>
            <w:tcW w:w="2252" w:type="dxa"/>
            <w:tcBorders>
              <w:top w:val="single" w:sz="4" w:space="0" w:color="FFFFFF"/>
            </w:tcBorders>
            <w:shd w:val="clear" w:color="auto" w:fill="808080"/>
          </w:tcPr>
          <w:p>
            <w:pPr>
              <w:pStyle w:val="TableParagraph"/>
              <w:spacing w:line="136" w:lineRule="exact"/>
              <w:ind w:left="287" w:right="642"/>
              <w:jc w:val="left"/>
              <w:rPr>
                <w:b/>
                <w:sz w:val="12"/>
              </w:rPr>
            </w:pPr>
            <w:r>
              <w:rPr>
                <w:b/>
                <w:color w:val="FFFFFF"/>
                <w:w w:val="105"/>
                <w:sz w:val="12"/>
              </w:rPr>
              <w:t>Indicador</w:t>
            </w:r>
          </w:p>
        </w:tc>
        <w:tc>
          <w:tcPr>
            <w:tcW w:w="1788" w:type="dxa"/>
            <w:tcBorders>
              <w:top w:val="single" w:sz="4" w:space="0" w:color="FFFFFF"/>
            </w:tcBorders>
            <w:shd w:val="clear" w:color="auto" w:fill="808080"/>
          </w:tcPr>
          <w:p>
            <w:pPr/>
          </w:p>
        </w:tc>
        <w:tc>
          <w:tcPr>
            <w:tcW w:w="801" w:type="dxa"/>
            <w:tcBorders>
              <w:top w:val="single" w:sz="4" w:space="0" w:color="FFFFFF"/>
            </w:tcBorders>
            <w:shd w:val="clear" w:color="auto" w:fill="808080"/>
          </w:tcPr>
          <w:p>
            <w:pPr>
              <w:pStyle w:val="TableParagraph"/>
              <w:spacing w:line="136" w:lineRule="exact"/>
              <w:ind w:left="266" w:right="-97"/>
              <w:jc w:val="left"/>
              <w:rPr>
                <w:b/>
                <w:sz w:val="12"/>
              </w:rPr>
            </w:pPr>
            <w:r>
              <w:rPr>
                <w:b/>
                <w:color w:val="FFFFFF"/>
                <w:w w:val="105"/>
                <w:sz w:val="12"/>
              </w:rPr>
              <w:t>Valores</w:t>
            </w:r>
          </w:p>
        </w:tc>
        <w:tc>
          <w:tcPr>
            <w:tcW w:w="770" w:type="dxa"/>
            <w:tcBorders>
              <w:top w:val="single" w:sz="4" w:space="0" w:color="FFFFFF"/>
            </w:tcBorders>
            <w:shd w:val="clear" w:color="auto" w:fill="808080"/>
          </w:tcPr>
          <w:p>
            <w:pPr/>
          </w:p>
        </w:tc>
        <w:tc>
          <w:tcPr>
            <w:tcW w:w="684" w:type="dxa"/>
            <w:tcBorders>
              <w:top w:val="single" w:sz="4" w:space="0" w:color="FFFFFF"/>
              <w:right w:val="single" w:sz="8" w:space="0" w:color="000000"/>
            </w:tcBorders>
            <w:shd w:val="clear" w:color="auto" w:fill="808080"/>
          </w:tcPr>
          <w:p>
            <w:pPr/>
          </w:p>
        </w:tc>
      </w:tr>
      <w:tr>
        <w:trPr>
          <w:trHeight w:val="63" w:hRule="exact"/>
        </w:trPr>
        <w:tc>
          <w:tcPr>
            <w:tcW w:w="8822" w:type="dxa"/>
            <w:gridSpan w:val="7"/>
            <w:tcBorders>
              <w:left w:val="single" w:sz="4" w:space="0" w:color="000000"/>
              <w:right w:val="single" w:sz="8" w:space="0" w:color="000000"/>
            </w:tcBorders>
            <w:shd w:val="clear" w:color="auto" w:fill="808080"/>
          </w:tcPr>
          <w:p>
            <w:pPr/>
          </w:p>
        </w:tc>
      </w:tr>
      <w:tr>
        <w:trPr>
          <w:trHeight w:val="161" w:hRule="exact"/>
        </w:trPr>
        <w:tc>
          <w:tcPr>
            <w:tcW w:w="665" w:type="dxa"/>
            <w:vMerge w:val="restart"/>
            <w:tcBorders>
              <w:left w:val="single" w:sz="4" w:space="0" w:color="000000"/>
            </w:tcBorders>
          </w:tcPr>
          <w:p>
            <w:pPr/>
          </w:p>
        </w:tc>
        <w:tc>
          <w:tcPr>
            <w:tcW w:w="1863" w:type="dxa"/>
          </w:tcPr>
          <w:p>
            <w:pPr/>
          </w:p>
        </w:tc>
        <w:tc>
          <w:tcPr>
            <w:tcW w:w="2252" w:type="dxa"/>
          </w:tcPr>
          <w:p>
            <w:pPr/>
          </w:p>
        </w:tc>
        <w:tc>
          <w:tcPr>
            <w:tcW w:w="1788" w:type="dxa"/>
          </w:tcPr>
          <w:p>
            <w:pPr>
              <w:pStyle w:val="TableParagraph"/>
              <w:spacing w:before="8"/>
              <w:ind w:left="899" w:right="184"/>
              <w:rPr>
                <w:b/>
                <w:sz w:val="12"/>
              </w:rPr>
            </w:pPr>
            <w:r>
              <w:rPr>
                <w:b/>
                <w:w w:val="105"/>
                <w:sz w:val="12"/>
              </w:rPr>
              <w:t>Evaluación</w:t>
            </w:r>
          </w:p>
        </w:tc>
        <w:tc>
          <w:tcPr>
            <w:tcW w:w="801" w:type="dxa"/>
          </w:tcPr>
          <w:p>
            <w:pPr>
              <w:pStyle w:val="TableParagraph"/>
              <w:tabs>
                <w:tab w:pos="897" w:val="left" w:leader="none"/>
              </w:tabs>
              <w:spacing w:before="8"/>
              <w:ind w:left="203" w:right="-97"/>
              <w:jc w:val="left"/>
              <w:rPr>
                <w:b/>
                <w:sz w:val="12"/>
              </w:rPr>
            </w:pPr>
            <w:r>
              <w:rPr>
                <w:b/>
                <w:w w:val="105"/>
                <w:sz w:val="12"/>
                <w:shd w:fill="F79646" w:color="auto" w:val="clear"/>
              </w:rPr>
              <w:t> </w:t>
            </w:r>
            <w:r>
              <w:rPr>
                <w:b/>
                <w:sz w:val="12"/>
                <w:shd w:fill="F79646" w:color="auto" w:val="clear"/>
              </w:rPr>
              <w:t>    </w:t>
            </w:r>
            <w:r>
              <w:rPr>
                <w:b/>
                <w:spacing w:val="8"/>
                <w:sz w:val="12"/>
                <w:shd w:fill="F79646" w:color="auto" w:val="clear"/>
              </w:rPr>
              <w:t> </w:t>
            </w:r>
            <w:r>
              <w:rPr>
                <w:b/>
                <w:w w:val="105"/>
                <w:sz w:val="12"/>
                <w:shd w:fill="F79646" w:color="auto" w:val="clear"/>
              </w:rPr>
              <w:t>Real</w:t>
            </w:r>
            <w:r>
              <w:rPr>
                <w:b/>
                <w:sz w:val="12"/>
                <w:shd w:fill="F79646" w:color="auto" w:val="clear"/>
              </w:rPr>
              <w:tab/>
            </w:r>
          </w:p>
        </w:tc>
        <w:tc>
          <w:tcPr>
            <w:tcW w:w="770" w:type="dxa"/>
          </w:tcPr>
          <w:p>
            <w:pPr>
              <w:pStyle w:val="TableParagraph"/>
              <w:spacing w:before="8"/>
              <w:ind w:left="159"/>
              <w:jc w:val="left"/>
              <w:rPr>
                <w:b/>
                <w:sz w:val="12"/>
              </w:rPr>
            </w:pPr>
            <w:r>
              <w:rPr>
                <w:b/>
                <w:w w:val="105"/>
                <w:sz w:val="12"/>
              </w:rPr>
              <w:t>Deseable</w:t>
            </w:r>
          </w:p>
        </w:tc>
        <w:tc>
          <w:tcPr>
            <w:tcW w:w="684" w:type="dxa"/>
            <w:tcBorders>
              <w:right w:val="single" w:sz="8" w:space="0" w:color="000000"/>
            </w:tcBorders>
            <w:shd w:val="clear" w:color="auto" w:fill="67ED4D"/>
          </w:tcPr>
          <w:p>
            <w:pPr>
              <w:pStyle w:val="TableParagraph"/>
              <w:spacing w:before="8"/>
              <w:ind w:left="106" w:right="86"/>
              <w:rPr>
                <w:b/>
                <w:sz w:val="12"/>
              </w:rPr>
            </w:pPr>
            <w:r>
              <w:rPr>
                <w:b/>
                <w:w w:val="105"/>
                <w:sz w:val="12"/>
              </w:rPr>
              <w:t>Óptimo</w:t>
            </w:r>
          </w:p>
        </w:tc>
      </w:tr>
      <w:tr>
        <w:trPr>
          <w:trHeight w:val="158" w:hRule="exact"/>
        </w:trPr>
        <w:tc>
          <w:tcPr>
            <w:tcW w:w="665" w:type="dxa"/>
            <w:vMerge/>
            <w:tcBorders>
              <w:left w:val="single" w:sz="4" w:space="0" w:color="000000"/>
            </w:tcBorders>
          </w:tcPr>
          <w:p>
            <w:pPr/>
          </w:p>
        </w:tc>
        <w:tc>
          <w:tcPr>
            <w:tcW w:w="1863" w:type="dxa"/>
          </w:tcPr>
          <w:p>
            <w:pPr/>
          </w:p>
        </w:tc>
        <w:tc>
          <w:tcPr>
            <w:tcW w:w="2252" w:type="dxa"/>
          </w:tcPr>
          <w:p>
            <w:pPr>
              <w:pStyle w:val="TableParagraph"/>
              <w:spacing w:before="5"/>
              <w:ind w:left="287" w:right="642"/>
              <w:jc w:val="left"/>
              <w:rPr>
                <w:sz w:val="12"/>
              </w:rPr>
            </w:pPr>
            <w:r>
              <w:rPr>
                <w:w w:val="105"/>
                <w:sz w:val="12"/>
              </w:rPr>
              <w:t>Tipo de la vivienda</w:t>
            </w:r>
          </w:p>
        </w:tc>
        <w:tc>
          <w:tcPr>
            <w:tcW w:w="1788" w:type="dxa"/>
          </w:tcPr>
          <w:p>
            <w:pPr>
              <w:pStyle w:val="TableParagraph"/>
              <w:spacing w:before="5"/>
              <w:ind w:left="891" w:right="184"/>
              <w:rPr>
                <w:sz w:val="12"/>
              </w:rPr>
            </w:pPr>
            <w:r>
              <w:rPr>
                <w:w w:val="105"/>
                <w:sz w:val="12"/>
              </w:rPr>
              <w:t>0.6</w:t>
            </w:r>
          </w:p>
        </w:tc>
        <w:tc>
          <w:tcPr>
            <w:tcW w:w="801" w:type="dxa"/>
          </w:tcPr>
          <w:p>
            <w:pPr/>
          </w:p>
        </w:tc>
        <w:tc>
          <w:tcPr>
            <w:tcW w:w="770" w:type="dxa"/>
          </w:tcPr>
          <w:p>
            <w:pPr>
              <w:pStyle w:val="TableParagraph"/>
              <w:spacing w:before="5"/>
              <w:ind w:left="348"/>
              <w:jc w:val="left"/>
              <w:rPr>
                <w:sz w:val="12"/>
              </w:rPr>
            </w:pPr>
            <w:r>
              <w:rPr>
                <w:w w:val="105"/>
                <w:sz w:val="12"/>
              </w:rPr>
              <w:t>0.6</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58" w:hRule="exact"/>
        </w:trPr>
        <w:tc>
          <w:tcPr>
            <w:tcW w:w="665" w:type="dxa"/>
            <w:vMerge/>
            <w:tcBorders>
              <w:left w:val="single" w:sz="4" w:space="0" w:color="000000"/>
            </w:tcBorders>
          </w:tcPr>
          <w:p>
            <w:pPr/>
          </w:p>
        </w:tc>
        <w:tc>
          <w:tcPr>
            <w:tcW w:w="1863" w:type="dxa"/>
            <w:vMerge w:val="restart"/>
          </w:tcPr>
          <w:p>
            <w:pPr>
              <w:pStyle w:val="TableParagraph"/>
              <w:spacing w:before="79"/>
              <w:ind w:left="45"/>
              <w:jc w:val="left"/>
              <w:rPr>
                <w:sz w:val="12"/>
              </w:rPr>
            </w:pPr>
            <w:r>
              <w:rPr>
                <w:w w:val="105"/>
                <w:sz w:val="12"/>
              </w:rPr>
              <w:t>Autorizaciones</w:t>
            </w:r>
          </w:p>
        </w:tc>
        <w:tc>
          <w:tcPr>
            <w:tcW w:w="2252" w:type="dxa"/>
            <w:vMerge w:val="restart"/>
          </w:tcPr>
          <w:p>
            <w:pPr>
              <w:pStyle w:val="TableParagraph"/>
              <w:spacing w:line="273" w:lineRule="auto" w:before="5"/>
              <w:ind w:left="287" w:right="642"/>
              <w:jc w:val="left"/>
              <w:rPr>
                <w:sz w:val="12"/>
              </w:rPr>
            </w:pPr>
            <w:r>
              <w:rPr>
                <w:w w:val="105"/>
                <w:sz w:val="12"/>
              </w:rPr>
              <w:t>Metros de construcción Metros de terreno</w:t>
            </w:r>
          </w:p>
        </w:tc>
        <w:tc>
          <w:tcPr>
            <w:tcW w:w="1788" w:type="dxa"/>
            <w:vMerge w:val="restart"/>
          </w:tcPr>
          <w:p>
            <w:pPr>
              <w:pStyle w:val="TableParagraph"/>
              <w:spacing w:before="5"/>
              <w:ind w:right="503"/>
              <w:jc w:val="right"/>
              <w:rPr>
                <w:sz w:val="12"/>
              </w:rPr>
            </w:pPr>
            <w:r>
              <w:rPr>
                <w:w w:val="105"/>
                <w:sz w:val="12"/>
              </w:rPr>
              <w:t>1</w:t>
            </w:r>
          </w:p>
          <w:p>
            <w:pPr>
              <w:pStyle w:val="TableParagraph"/>
              <w:spacing w:before="20"/>
              <w:ind w:right="503"/>
              <w:jc w:val="right"/>
              <w:rPr>
                <w:sz w:val="12"/>
              </w:rPr>
            </w:pPr>
            <w:r>
              <w:rPr>
                <w:w w:val="105"/>
                <w:sz w:val="12"/>
              </w:rPr>
              <w:t>1</w:t>
            </w:r>
          </w:p>
        </w:tc>
        <w:tc>
          <w:tcPr>
            <w:tcW w:w="801" w:type="dxa"/>
            <w:vMerge w:val="restart"/>
          </w:tcPr>
          <w:p>
            <w:pPr/>
          </w:p>
        </w:tc>
        <w:tc>
          <w:tcPr>
            <w:tcW w:w="770" w:type="dxa"/>
            <w:vMerge w:val="restart"/>
          </w:tcPr>
          <w:p>
            <w:pPr>
              <w:pStyle w:val="TableParagraph"/>
              <w:spacing w:before="5"/>
              <w:ind w:left="103"/>
              <w:rPr>
                <w:sz w:val="12"/>
              </w:rPr>
            </w:pPr>
            <w:r>
              <w:rPr>
                <w:w w:val="105"/>
                <w:sz w:val="12"/>
              </w:rPr>
              <w:t>1</w:t>
            </w:r>
          </w:p>
          <w:p>
            <w:pPr>
              <w:pStyle w:val="TableParagraph"/>
              <w:spacing w:before="20"/>
              <w:ind w:left="103"/>
              <w:rPr>
                <w:sz w:val="12"/>
              </w:rPr>
            </w:pPr>
            <w:r>
              <w:rPr>
                <w:w w:val="105"/>
                <w:sz w:val="12"/>
              </w:rPr>
              <w:t>1</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58" w:hRule="exact"/>
        </w:trPr>
        <w:tc>
          <w:tcPr>
            <w:tcW w:w="665" w:type="dxa"/>
            <w:vMerge/>
            <w:tcBorders>
              <w:left w:val="single" w:sz="4" w:space="0" w:color="000000"/>
            </w:tcBorders>
          </w:tcPr>
          <w:p>
            <w:pPr/>
          </w:p>
        </w:tc>
        <w:tc>
          <w:tcPr>
            <w:tcW w:w="1863" w:type="dxa"/>
            <w:vMerge/>
          </w:tcPr>
          <w:p>
            <w:pPr/>
          </w:p>
        </w:tc>
        <w:tc>
          <w:tcPr>
            <w:tcW w:w="2252" w:type="dxa"/>
            <w:vMerge/>
          </w:tcPr>
          <w:p>
            <w:pPr/>
          </w:p>
        </w:tc>
        <w:tc>
          <w:tcPr>
            <w:tcW w:w="1788" w:type="dxa"/>
            <w:vMerge/>
          </w:tcPr>
          <w:p>
            <w:pPr/>
          </w:p>
        </w:tc>
        <w:tc>
          <w:tcPr>
            <w:tcW w:w="801" w:type="dxa"/>
            <w:vMerge/>
          </w:tcPr>
          <w:p>
            <w:pPr/>
          </w:p>
        </w:tc>
        <w:tc>
          <w:tcPr>
            <w:tcW w:w="770" w:type="dxa"/>
            <w:vMerge/>
          </w:tcPr>
          <w:p>
            <w:pP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58" w:hRule="exact"/>
        </w:trPr>
        <w:tc>
          <w:tcPr>
            <w:tcW w:w="665" w:type="dxa"/>
            <w:vMerge/>
            <w:tcBorders>
              <w:left w:val="single" w:sz="4" w:space="0" w:color="000000"/>
            </w:tcBorders>
          </w:tcPr>
          <w:p>
            <w:pPr/>
          </w:p>
        </w:tc>
        <w:tc>
          <w:tcPr>
            <w:tcW w:w="1863" w:type="dxa"/>
          </w:tcPr>
          <w:p>
            <w:pPr/>
          </w:p>
        </w:tc>
        <w:tc>
          <w:tcPr>
            <w:tcW w:w="2252" w:type="dxa"/>
          </w:tcPr>
          <w:p>
            <w:pPr>
              <w:pStyle w:val="TableParagraph"/>
              <w:spacing w:before="5"/>
              <w:ind w:left="287" w:right="642"/>
              <w:jc w:val="left"/>
              <w:rPr>
                <w:sz w:val="12"/>
              </w:rPr>
            </w:pPr>
            <w:r>
              <w:rPr>
                <w:w w:val="105"/>
                <w:sz w:val="12"/>
              </w:rPr>
              <w:t>Plan ambiental</w:t>
            </w:r>
          </w:p>
        </w:tc>
        <w:tc>
          <w:tcPr>
            <w:tcW w:w="1788" w:type="dxa"/>
          </w:tcPr>
          <w:p>
            <w:pPr>
              <w:pStyle w:val="TableParagraph"/>
              <w:spacing w:before="5"/>
              <w:ind w:left="707"/>
              <w:rPr>
                <w:sz w:val="12"/>
              </w:rPr>
            </w:pPr>
            <w:r>
              <w:rPr>
                <w:w w:val="105"/>
                <w:sz w:val="12"/>
              </w:rPr>
              <w:t>0</w:t>
            </w:r>
          </w:p>
        </w:tc>
        <w:tc>
          <w:tcPr>
            <w:tcW w:w="801" w:type="dxa"/>
          </w:tcPr>
          <w:p>
            <w:pPr/>
          </w:p>
        </w:tc>
        <w:tc>
          <w:tcPr>
            <w:tcW w:w="770" w:type="dxa"/>
          </w:tcPr>
          <w:p>
            <w:pPr>
              <w:pStyle w:val="TableParagraph"/>
              <w:spacing w:before="5"/>
              <w:ind w:left="103"/>
              <w:rPr>
                <w:sz w:val="12"/>
              </w:rPr>
            </w:pPr>
            <w:r>
              <w:rPr>
                <w:w w:val="105"/>
                <w:sz w:val="12"/>
              </w:rPr>
              <w:t>1</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65" w:hRule="exact"/>
        </w:trPr>
        <w:tc>
          <w:tcPr>
            <w:tcW w:w="665" w:type="dxa"/>
            <w:vMerge/>
            <w:tcBorders>
              <w:left w:val="single" w:sz="4" w:space="0" w:color="000000"/>
            </w:tcBorders>
          </w:tcPr>
          <w:p>
            <w:pPr/>
          </w:p>
        </w:tc>
        <w:tc>
          <w:tcPr>
            <w:tcW w:w="1863" w:type="dxa"/>
          </w:tcPr>
          <w:p>
            <w:pPr/>
          </w:p>
        </w:tc>
        <w:tc>
          <w:tcPr>
            <w:tcW w:w="2252" w:type="dxa"/>
          </w:tcPr>
          <w:p>
            <w:pPr/>
          </w:p>
        </w:tc>
        <w:tc>
          <w:tcPr>
            <w:tcW w:w="1788" w:type="dxa"/>
          </w:tcPr>
          <w:p>
            <w:pPr>
              <w:pStyle w:val="TableParagraph"/>
              <w:spacing w:before="5"/>
              <w:ind w:left="885" w:right="184"/>
              <w:rPr>
                <w:sz w:val="12"/>
              </w:rPr>
            </w:pPr>
            <w:r>
              <w:rPr>
                <w:w w:val="105"/>
                <w:sz w:val="12"/>
              </w:rPr>
              <w:t>Subtotal</w:t>
            </w:r>
          </w:p>
        </w:tc>
        <w:tc>
          <w:tcPr>
            <w:tcW w:w="801" w:type="dxa"/>
          </w:tcPr>
          <w:p>
            <w:pPr>
              <w:pStyle w:val="TableParagraph"/>
              <w:tabs>
                <w:tab w:pos="466" w:val="left" w:leader="none"/>
                <w:tab w:pos="897" w:val="left" w:leader="none"/>
              </w:tabs>
              <w:spacing w:before="5"/>
              <w:ind w:left="203" w:right="-97"/>
              <w:jc w:val="left"/>
              <w:rPr>
                <w:sz w:val="12"/>
              </w:rPr>
            </w:pPr>
            <w:r>
              <w:rPr>
                <w:w w:val="105"/>
                <w:sz w:val="12"/>
                <w:shd w:fill="F79646" w:color="auto" w:val="clear"/>
              </w:rPr>
              <w:t> </w:t>
            </w:r>
            <w:r>
              <w:rPr>
                <w:sz w:val="12"/>
                <w:shd w:fill="F79646" w:color="auto" w:val="clear"/>
              </w:rPr>
              <w:tab/>
            </w:r>
            <w:r>
              <w:rPr>
                <w:w w:val="105"/>
                <w:sz w:val="12"/>
                <w:shd w:fill="F79646" w:color="auto" w:val="clear"/>
              </w:rPr>
              <w:t>2.6</w:t>
            </w:r>
            <w:r>
              <w:rPr>
                <w:sz w:val="12"/>
                <w:shd w:fill="F79646" w:color="auto" w:val="clear"/>
              </w:rPr>
              <w:tab/>
            </w:r>
          </w:p>
        </w:tc>
        <w:tc>
          <w:tcPr>
            <w:tcW w:w="770" w:type="dxa"/>
          </w:tcPr>
          <w:p>
            <w:pPr>
              <w:pStyle w:val="TableParagraph"/>
              <w:spacing w:before="5"/>
              <w:ind w:left="348"/>
              <w:jc w:val="left"/>
              <w:rPr>
                <w:sz w:val="12"/>
              </w:rPr>
            </w:pPr>
            <w:r>
              <w:rPr>
                <w:w w:val="105"/>
                <w:sz w:val="12"/>
              </w:rPr>
              <w:t>3.6</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4</w:t>
            </w:r>
          </w:p>
        </w:tc>
      </w:tr>
      <w:tr>
        <w:trPr>
          <w:trHeight w:val="147" w:hRule="exact"/>
        </w:trPr>
        <w:tc>
          <w:tcPr>
            <w:tcW w:w="8822" w:type="dxa"/>
            <w:gridSpan w:val="7"/>
            <w:tcBorders>
              <w:left w:val="single" w:sz="4" w:space="0" w:color="000000"/>
              <w:right w:val="single" w:sz="8" w:space="0" w:color="000000"/>
            </w:tcBorders>
          </w:tcPr>
          <w:p>
            <w:pPr/>
          </w:p>
        </w:tc>
      </w:tr>
      <w:tr>
        <w:trPr>
          <w:trHeight w:val="161" w:hRule="exact"/>
        </w:trPr>
        <w:tc>
          <w:tcPr>
            <w:tcW w:w="665" w:type="dxa"/>
            <w:tcBorders>
              <w:left w:val="single" w:sz="4" w:space="0" w:color="000000"/>
            </w:tcBorders>
          </w:tcPr>
          <w:p>
            <w:pPr/>
          </w:p>
        </w:tc>
        <w:tc>
          <w:tcPr>
            <w:tcW w:w="1863" w:type="dxa"/>
          </w:tcPr>
          <w:p>
            <w:pPr>
              <w:pStyle w:val="TableParagraph"/>
              <w:spacing w:before="8"/>
              <w:ind w:left="45"/>
              <w:jc w:val="left"/>
              <w:rPr>
                <w:sz w:val="12"/>
              </w:rPr>
            </w:pPr>
            <w:r>
              <w:rPr>
                <w:w w:val="105"/>
                <w:sz w:val="12"/>
              </w:rPr>
              <w:t>Agua</w:t>
            </w:r>
          </w:p>
        </w:tc>
        <w:tc>
          <w:tcPr>
            <w:tcW w:w="2252" w:type="dxa"/>
          </w:tcPr>
          <w:p>
            <w:pPr>
              <w:pStyle w:val="TableParagraph"/>
              <w:spacing w:before="8"/>
              <w:ind w:left="287"/>
              <w:jc w:val="left"/>
              <w:rPr>
                <w:sz w:val="12"/>
              </w:rPr>
            </w:pPr>
            <w:r>
              <w:rPr>
                <w:w w:val="105"/>
                <w:sz w:val="12"/>
              </w:rPr>
              <w:t>Tipo de abastecimiento</w:t>
            </w:r>
          </w:p>
        </w:tc>
        <w:tc>
          <w:tcPr>
            <w:tcW w:w="1788" w:type="dxa"/>
          </w:tcPr>
          <w:p>
            <w:pPr>
              <w:pStyle w:val="TableParagraph"/>
              <w:tabs>
                <w:tab w:pos="1212" w:val="left" w:leader="none"/>
                <w:tab w:pos="2001" w:val="left" w:leader="none"/>
              </w:tabs>
              <w:spacing w:before="8"/>
              <w:ind w:left="497" w:right="-214"/>
              <w:rPr>
                <w:sz w:val="12"/>
              </w:rPr>
            </w:pPr>
            <w:r>
              <w:rPr>
                <w:w w:val="105"/>
                <w:sz w:val="12"/>
                <w:shd w:fill="BAF9F5" w:color="auto" w:val="clear"/>
              </w:rPr>
              <w:t> </w:t>
            </w:r>
            <w:r>
              <w:rPr>
                <w:sz w:val="12"/>
                <w:shd w:fill="BAF9F5" w:color="auto" w:val="clear"/>
              </w:rPr>
              <w:tab/>
            </w:r>
            <w:r>
              <w:rPr>
                <w:w w:val="105"/>
                <w:sz w:val="12"/>
                <w:shd w:fill="BAF9F5" w:color="auto" w:val="clear"/>
              </w:rPr>
              <w:t>1</w:t>
            </w:r>
            <w:r>
              <w:rPr>
                <w:sz w:val="12"/>
                <w:shd w:fill="BAF9F5" w:color="auto" w:val="clear"/>
              </w:rPr>
              <w:tab/>
            </w:r>
          </w:p>
        </w:tc>
        <w:tc>
          <w:tcPr>
            <w:tcW w:w="801" w:type="dxa"/>
          </w:tcPr>
          <w:p>
            <w:pPr/>
          </w:p>
        </w:tc>
        <w:tc>
          <w:tcPr>
            <w:tcW w:w="770" w:type="dxa"/>
          </w:tcPr>
          <w:p>
            <w:pPr>
              <w:pStyle w:val="TableParagraph"/>
              <w:spacing w:before="8"/>
              <w:ind w:left="348"/>
              <w:jc w:val="left"/>
              <w:rPr>
                <w:sz w:val="12"/>
              </w:rPr>
            </w:pPr>
            <w:r>
              <w:rPr>
                <w:w w:val="105"/>
                <w:sz w:val="12"/>
              </w:rPr>
              <w:t>0.7</w:t>
            </w:r>
          </w:p>
        </w:tc>
        <w:tc>
          <w:tcPr>
            <w:tcW w:w="684" w:type="dxa"/>
            <w:tcBorders>
              <w:right w:val="single" w:sz="8" w:space="0" w:color="000000"/>
            </w:tcBorders>
            <w:shd w:val="clear" w:color="auto" w:fill="67ED4D"/>
          </w:tcPr>
          <w:p>
            <w:pPr>
              <w:pStyle w:val="TableParagraph"/>
              <w:spacing w:before="8"/>
              <w:ind w:left="28"/>
              <w:rPr>
                <w:sz w:val="12"/>
              </w:rPr>
            </w:pPr>
            <w:r>
              <w:rPr>
                <w:w w:val="105"/>
                <w:sz w:val="12"/>
              </w:rPr>
              <w:t>1</w:t>
            </w:r>
          </w:p>
        </w:tc>
      </w:tr>
      <w:tr>
        <w:trPr>
          <w:trHeight w:val="165" w:hRule="exact"/>
        </w:trPr>
        <w:tc>
          <w:tcPr>
            <w:tcW w:w="665" w:type="dxa"/>
            <w:tcBorders>
              <w:left w:val="single" w:sz="4" w:space="0" w:color="000000"/>
            </w:tcBorders>
          </w:tcPr>
          <w:p>
            <w:pPr/>
          </w:p>
        </w:tc>
        <w:tc>
          <w:tcPr>
            <w:tcW w:w="1863" w:type="dxa"/>
          </w:tcPr>
          <w:p>
            <w:pPr/>
          </w:p>
        </w:tc>
        <w:tc>
          <w:tcPr>
            <w:tcW w:w="2252" w:type="dxa"/>
          </w:tcPr>
          <w:p>
            <w:pPr/>
          </w:p>
        </w:tc>
        <w:tc>
          <w:tcPr>
            <w:tcW w:w="1788" w:type="dxa"/>
          </w:tcPr>
          <w:p>
            <w:pPr>
              <w:pStyle w:val="TableParagraph"/>
              <w:spacing w:before="5"/>
              <w:ind w:left="885" w:right="184"/>
              <w:rPr>
                <w:sz w:val="12"/>
              </w:rPr>
            </w:pPr>
            <w:r>
              <w:rPr>
                <w:w w:val="105"/>
                <w:sz w:val="12"/>
              </w:rPr>
              <w:t>Subtotal</w:t>
            </w:r>
          </w:p>
        </w:tc>
        <w:tc>
          <w:tcPr>
            <w:tcW w:w="801" w:type="dxa"/>
          </w:tcPr>
          <w:p>
            <w:pPr>
              <w:pStyle w:val="TableParagraph"/>
              <w:tabs>
                <w:tab w:pos="518" w:val="left" w:leader="none"/>
                <w:tab w:pos="897" w:val="left" w:leader="none"/>
              </w:tabs>
              <w:spacing w:before="5"/>
              <w:ind w:left="203" w:right="-97"/>
              <w:jc w:val="left"/>
              <w:rPr>
                <w:sz w:val="12"/>
              </w:rPr>
            </w:pPr>
            <w:r>
              <w:rPr>
                <w:w w:val="105"/>
                <w:sz w:val="12"/>
                <w:shd w:fill="F79646" w:color="auto" w:val="clear"/>
              </w:rPr>
              <w:t> </w:t>
            </w:r>
            <w:r>
              <w:rPr>
                <w:sz w:val="12"/>
                <w:shd w:fill="F79646" w:color="auto" w:val="clear"/>
              </w:rPr>
              <w:tab/>
            </w:r>
            <w:r>
              <w:rPr>
                <w:w w:val="105"/>
                <w:sz w:val="12"/>
                <w:shd w:fill="F79646" w:color="auto" w:val="clear"/>
              </w:rPr>
              <w:t>1</w:t>
            </w:r>
            <w:r>
              <w:rPr>
                <w:sz w:val="12"/>
                <w:shd w:fill="F79646" w:color="auto" w:val="clear"/>
              </w:rPr>
              <w:tab/>
            </w:r>
          </w:p>
        </w:tc>
        <w:tc>
          <w:tcPr>
            <w:tcW w:w="770" w:type="dxa"/>
          </w:tcPr>
          <w:p>
            <w:pPr>
              <w:pStyle w:val="TableParagraph"/>
              <w:spacing w:before="5"/>
              <w:ind w:left="348"/>
              <w:jc w:val="left"/>
              <w:rPr>
                <w:sz w:val="12"/>
              </w:rPr>
            </w:pPr>
            <w:r>
              <w:rPr>
                <w:w w:val="105"/>
                <w:sz w:val="12"/>
              </w:rPr>
              <w:t>0.7</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47" w:hRule="exact"/>
        </w:trPr>
        <w:tc>
          <w:tcPr>
            <w:tcW w:w="8822" w:type="dxa"/>
            <w:gridSpan w:val="7"/>
            <w:tcBorders>
              <w:left w:val="single" w:sz="4" w:space="0" w:color="000000"/>
              <w:right w:val="single" w:sz="8" w:space="0" w:color="000000"/>
            </w:tcBorders>
          </w:tcPr>
          <w:p>
            <w:pPr/>
          </w:p>
        </w:tc>
      </w:tr>
      <w:tr>
        <w:trPr>
          <w:trHeight w:val="161" w:hRule="exact"/>
        </w:trPr>
        <w:tc>
          <w:tcPr>
            <w:tcW w:w="665" w:type="dxa"/>
            <w:tcBorders>
              <w:left w:val="single" w:sz="4" w:space="0" w:color="000000"/>
            </w:tcBorders>
          </w:tcPr>
          <w:p>
            <w:pPr/>
          </w:p>
        </w:tc>
        <w:tc>
          <w:tcPr>
            <w:tcW w:w="1863" w:type="dxa"/>
          </w:tcPr>
          <w:p>
            <w:pPr/>
          </w:p>
        </w:tc>
        <w:tc>
          <w:tcPr>
            <w:tcW w:w="2252" w:type="dxa"/>
          </w:tcPr>
          <w:p>
            <w:pPr>
              <w:pStyle w:val="TableParagraph"/>
              <w:spacing w:before="8"/>
              <w:ind w:left="287" w:right="642"/>
              <w:jc w:val="left"/>
              <w:rPr>
                <w:sz w:val="12"/>
              </w:rPr>
            </w:pPr>
            <w:r>
              <w:rPr>
                <w:w w:val="105"/>
                <w:sz w:val="12"/>
              </w:rPr>
              <w:t>Agua potable</w:t>
            </w:r>
          </w:p>
        </w:tc>
        <w:tc>
          <w:tcPr>
            <w:tcW w:w="1788" w:type="dxa"/>
          </w:tcPr>
          <w:p>
            <w:pPr>
              <w:pStyle w:val="TableParagraph"/>
              <w:spacing w:before="8"/>
              <w:ind w:left="707"/>
              <w:rPr>
                <w:sz w:val="12"/>
              </w:rPr>
            </w:pPr>
            <w:r>
              <w:rPr>
                <w:w w:val="105"/>
                <w:sz w:val="12"/>
              </w:rPr>
              <w:t>0</w:t>
            </w:r>
          </w:p>
        </w:tc>
        <w:tc>
          <w:tcPr>
            <w:tcW w:w="801" w:type="dxa"/>
          </w:tcPr>
          <w:p>
            <w:pPr/>
          </w:p>
        </w:tc>
        <w:tc>
          <w:tcPr>
            <w:tcW w:w="770" w:type="dxa"/>
          </w:tcPr>
          <w:p>
            <w:pPr>
              <w:pStyle w:val="TableParagraph"/>
              <w:spacing w:before="8"/>
              <w:ind w:left="348"/>
              <w:jc w:val="left"/>
              <w:rPr>
                <w:sz w:val="12"/>
              </w:rPr>
            </w:pPr>
            <w:r>
              <w:rPr>
                <w:w w:val="105"/>
                <w:sz w:val="12"/>
              </w:rPr>
              <w:t>0.5</w:t>
            </w:r>
          </w:p>
        </w:tc>
        <w:tc>
          <w:tcPr>
            <w:tcW w:w="684" w:type="dxa"/>
            <w:tcBorders>
              <w:right w:val="single" w:sz="8" w:space="0" w:color="000000"/>
            </w:tcBorders>
            <w:shd w:val="clear" w:color="auto" w:fill="67ED4D"/>
          </w:tcPr>
          <w:p>
            <w:pPr>
              <w:pStyle w:val="TableParagraph"/>
              <w:spacing w:before="8"/>
              <w:ind w:left="28"/>
              <w:rPr>
                <w:sz w:val="12"/>
              </w:rPr>
            </w:pPr>
            <w:r>
              <w:rPr>
                <w:w w:val="105"/>
                <w:sz w:val="12"/>
              </w:rPr>
              <w:t>1</w:t>
            </w:r>
          </w:p>
        </w:tc>
      </w:tr>
      <w:tr>
        <w:trPr>
          <w:trHeight w:val="158" w:hRule="exact"/>
        </w:trPr>
        <w:tc>
          <w:tcPr>
            <w:tcW w:w="665" w:type="dxa"/>
            <w:tcBorders>
              <w:left w:val="single" w:sz="4" w:space="0" w:color="000000"/>
            </w:tcBorders>
          </w:tcPr>
          <w:p>
            <w:pPr/>
          </w:p>
        </w:tc>
        <w:tc>
          <w:tcPr>
            <w:tcW w:w="1863" w:type="dxa"/>
          </w:tcPr>
          <w:p>
            <w:pPr/>
          </w:p>
        </w:tc>
        <w:tc>
          <w:tcPr>
            <w:tcW w:w="2252" w:type="dxa"/>
          </w:tcPr>
          <w:p>
            <w:pPr>
              <w:pStyle w:val="TableParagraph"/>
              <w:spacing w:before="5"/>
              <w:ind w:left="287" w:right="642"/>
              <w:jc w:val="left"/>
              <w:rPr>
                <w:sz w:val="12"/>
              </w:rPr>
            </w:pPr>
            <w:r>
              <w:rPr>
                <w:w w:val="105"/>
                <w:sz w:val="12"/>
              </w:rPr>
              <w:t>Energía eléctrica</w:t>
            </w:r>
          </w:p>
        </w:tc>
        <w:tc>
          <w:tcPr>
            <w:tcW w:w="1788" w:type="dxa"/>
          </w:tcPr>
          <w:p>
            <w:pPr>
              <w:pStyle w:val="TableParagraph"/>
              <w:spacing w:before="5"/>
              <w:ind w:left="891" w:right="184"/>
              <w:rPr>
                <w:sz w:val="12"/>
              </w:rPr>
            </w:pPr>
            <w:r>
              <w:rPr>
                <w:w w:val="105"/>
                <w:sz w:val="12"/>
              </w:rPr>
              <w:t>0.5</w:t>
            </w:r>
          </w:p>
        </w:tc>
        <w:tc>
          <w:tcPr>
            <w:tcW w:w="801" w:type="dxa"/>
          </w:tcPr>
          <w:p>
            <w:pPr/>
          </w:p>
        </w:tc>
        <w:tc>
          <w:tcPr>
            <w:tcW w:w="770" w:type="dxa"/>
          </w:tcPr>
          <w:p>
            <w:pPr>
              <w:pStyle w:val="TableParagraph"/>
              <w:spacing w:before="5"/>
              <w:ind w:left="348"/>
              <w:jc w:val="left"/>
              <w:rPr>
                <w:sz w:val="12"/>
              </w:rPr>
            </w:pPr>
            <w:r>
              <w:rPr>
                <w:w w:val="105"/>
                <w:sz w:val="12"/>
              </w:rPr>
              <w:t>0.5</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58" w:hRule="exact"/>
        </w:trPr>
        <w:tc>
          <w:tcPr>
            <w:tcW w:w="665" w:type="dxa"/>
            <w:tcBorders>
              <w:left w:val="single" w:sz="4" w:space="0" w:color="000000"/>
            </w:tcBorders>
          </w:tcPr>
          <w:p>
            <w:pPr/>
          </w:p>
        </w:tc>
        <w:tc>
          <w:tcPr>
            <w:tcW w:w="1863" w:type="dxa"/>
          </w:tcPr>
          <w:p>
            <w:pPr/>
          </w:p>
        </w:tc>
        <w:tc>
          <w:tcPr>
            <w:tcW w:w="2252" w:type="dxa"/>
          </w:tcPr>
          <w:p>
            <w:pPr>
              <w:pStyle w:val="TableParagraph"/>
              <w:spacing w:before="5"/>
              <w:ind w:left="287" w:right="642"/>
              <w:jc w:val="left"/>
              <w:rPr>
                <w:sz w:val="12"/>
              </w:rPr>
            </w:pPr>
            <w:r>
              <w:rPr>
                <w:w w:val="105"/>
                <w:sz w:val="12"/>
              </w:rPr>
              <w:t>Drenaje sanitario</w:t>
            </w:r>
          </w:p>
        </w:tc>
        <w:tc>
          <w:tcPr>
            <w:tcW w:w="1788" w:type="dxa"/>
          </w:tcPr>
          <w:p>
            <w:pPr>
              <w:pStyle w:val="TableParagraph"/>
              <w:spacing w:before="5"/>
              <w:ind w:left="707"/>
              <w:rPr>
                <w:sz w:val="12"/>
              </w:rPr>
            </w:pPr>
            <w:r>
              <w:rPr>
                <w:w w:val="105"/>
                <w:sz w:val="12"/>
              </w:rPr>
              <w:t>0</w:t>
            </w:r>
          </w:p>
        </w:tc>
        <w:tc>
          <w:tcPr>
            <w:tcW w:w="801" w:type="dxa"/>
          </w:tcPr>
          <w:p>
            <w:pPr/>
          </w:p>
        </w:tc>
        <w:tc>
          <w:tcPr>
            <w:tcW w:w="770" w:type="dxa"/>
          </w:tcPr>
          <w:p>
            <w:pPr>
              <w:pStyle w:val="TableParagraph"/>
              <w:spacing w:before="5"/>
              <w:ind w:left="348"/>
              <w:jc w:val="left"/>
              <w:rPr>
                <w:sz w:val="12"/>
              </w:rPr>
            </w:pPr>
            <w:r>
              <w:rPr>
                <w:w w:val="105"/>
                <w:sz w:val="12"/>
              </w:rPr>
              <w:t>0.5</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58" w:hRule="exact"/>
        </w:trPr>
        <w:tc>
          <w:tcPr>
            <w:tcW w:w="665" w:type="dxa"/>
            <w:tcBorders>
              <w:left w:val="single" w:sz="4" w:space="0" w:color="000000"/>
            </w:tcBorders>
          </w:tcPr>
          <w:p>
            <w:pPr/>
          </w:p>
        </w:tc>
        <w:tc>
          <w:tcPr>
            <w:tcW w:w="1863" w:type="dxa"/>
          </w:tcPr>
          <w:p>
            <w:pPr>
              <w:pStyle w:val="TableParagraph"/>
              <w:spacing w:before="5"/>
              <w:ind w:left="45"/>
              <w:jc w:val="left"/>
              <w:rPr>
                <w:sz w:val="12"/>
              </w:rPr>
            </w:pPr>
            <w:r>
              <w:rPr>
                <w:w w:val="105"/>
                <w:sz w:val="12"/>
              </w:rPr>
              <w:t>Infraestructura</w:t>
            </w:r>
          </w:p>
        </w:tc>
        <w:tc>
          <w:tcPr>
            <w:tcW w:w="2252" w:type="dxa"/>
          </w:tcPr>
          <w:p>
            <w:pPr>
              <w:pStyle w:val="TableParagraph"/>
              <w:spacing w:before="5"/>
              <w:ind w:left="287" w:right="642"/>
              <w:jc w:val="left"/>
              <w:rPr>
                <w:sz w:val="12"/>
              </w:rPr>
            </w:pPr>
            <w:r>
              <w:rPr>
                <w:w w:val="105"/>
                <w:sz w:val="12"/>
              </w:rPr>
              <w:t>Drenaje pluvial</w:t>
            </w:r>
          </w:p>
        </w:tc>
        <w:tc>
          <w:tcPr>
            <w:tcW w:w="1788" w:type="dxa"/>
          </w:tcPr>
          <w:p>
            <w:pPr>
              <w:pStyle w:val="TableParagraph"/>
              <w:spacing w:before="5"/>
              <w:ind w:left="707"/>
              <w:rPr>
                <w:sz w:val="12"/>
              </w:rPr>
            </w:pPr>
            <w:r>
              <w:rPr>
                <w:w w:val="105"/>
                <w:sz w:val="12"/>
              </w:rPr>
              <w:t>0</w:t>
            </w:r>
          </w:p>
        </w:tc>
        <w:tc>
          <w:tcPr>
            <w:tcW w:w="801" w:type="dxa"/>
          </w:tcPr>
          <w:p>
            <w:pPr/>
          </w:p>
        </w:tc>
        <w:tc>
          <w:tcPr>
            <w:tcW w:w="770" w:type="dxa"/>
          </w:tcPr>
          <w:p>
            <w:pPr>
              <w:pStyle w:val="TableParagraph"/>
              <w:spacing w:before="5"/>
              <w:ind w:left="348"/>
              <w:jc w:val="left"/>
              <w:rPr>
                <w:sz w:val="12"/>
              </w:rPr>
            </w:pPr>
            <w:r>
              <w:rPr>
                <w:w w:val="105"/>
                <w:sz w:val="12"/>
              </w:rPr>
              <w:t>0.5</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58" w:hRule="exact"/>
        </w:trPr>
        <w:tc>
          <w:tcPr>
            <w:tcW w:w="665" w:type="dxa"/>
            <w:tcBorders>
              <w:left w:val="single" w:sz="4" w:space="0" w:color="000000"/>
            </w:tcBorders>
          </w:tcPr>
          <w:p>
            <w:pPr/>
          </w:p>
        </w:tc>
        <w:tc>
          <w:tcPr>
            <w:tcW w:w="1863" w:type="dxa"/>
          </w:tcPr>
          <w:p>
            <w:pPr/>
          </w:p>
        </w:tc>
        <w:tc>
          <w:tcPr>
            <w:tcW w:w="2252" w:type="dxa"/>
          </w:tcPr>
          <w:p>
            <w:pPr>
              <w:pStyle w:val="TableParagraph"/>
              <w:spacing w:before="5"/>
              <w:ind w:left="287"/>
              <w:jc w:val="left"/>
              <w:rPr>
                <w:sz w:val="12"/>
              </w:rPr>
            </w:pPr>
            <w:r>
              <w:rPr>
                <w:w w:val="105"/>
                <w:sz w:val="12"/>
              </w:rPr>
              <w:t>Guarniciones y banquetas</w:t>
            </w:r>
          </w:p>
        </w:tc>
        <w:tc>
          <w:tcPr>
            <w:tcW w:w="1788" w:type="dxa"/>
          </w:tcPr>
          <w:p>
            <w:pPr>
              <w:pStyle w:val="TableParagraph"/>
              <w:spacing w:before="5"/>
              <w:ind w:left="707"/>
              <w:rPr>
                <w:sz w:val="12"/>
              </w:rPr>
            </w:pPr>
            <w:r>
              <w:rPr>
                <w:w w:val="105"/>
                <w:sz w:val="12"/>
              </w:rPr>
              <w:t>0</w:t>
            </w:r>
          </w:p>
        </w:tc>
        <w:tc>
          <w:tcPr>
            <w:tcW w:w="801" w:type="dxa"/>
          </w:tcPr>
          <w:p>
            <w:pPr/>
          </w:p>
        </w:tc>
        <w:tc>
          <w:tcPr>
            <w:tcW w:w="770" w:type="dxa"/>
          </w:tcPr>
          <w:p>
            <w:pPr>
              <w:pStyle w:val="TableParagraph"/>
              <w:spacing w:before="5"/>
              <w:ind w:left="348"/>
              <w:jc w:val="left"/>
              <w:rPr>
                <w:sz w:val="12"/>
              </w:rPr>
            </w:pPr>
            <w:r>
              <w:rPr>
                <w:w w:val="105"/>
                <w:sz w:val="12"/>
              </w:rPr>
              <w:t>0.5</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58" w:hRule="exact"/>
        </w:trPr>
        <w:tc>
          <w:tcPr>
            <w:tcW w:w="665" w:type="dxa"/>
            <w:tcBorders>
              <w:left w:val="single" w:sz="4" w:space="0" w:color="000000"/>
            </w:tcBorders>
          </w:tcPr>
          <w:p>
            <w:pPr/>
          </w:p>
        </w:tc>
        <w:tc>
          <w:tcPr>
            <w:tcW w:w="1863" w:type="dxa"/>
          </w:tcPr>
          <w:p>
            <w:pPr/>
          </w:p>
        </w:tc>
        <w:tc>
          <w:tcPr>
            <w:tcW w:w="2252" w:type="dxa"/>
          </w:tcPr>
          <w:p>
            <w:pPr>
              <w:pStyle w:val="TableParagraph"/>
              <w:spacing w:before="5"/>
              <w:ind w:left="287" w:right="642"/>
              <w:jc w:val="left"/>
              <w:rPr>
                <w:sz w:val="12"/>
              </w:rPr>
            </w:pPr>
            <w:r>
              <w:rPr>
                <w:w w:val="105"/>
                <w:sz w:val="12"/>
              </w:rPr>
              <w:t>Vialidades y calles</w:t>
            </w:r>
          </w:p>
        </w:tc>
        <w:tc>
          <w:tcPr>
            <w:tcW w:w="1788" w:type="dxa"/>
          </w:tcPr>
          <w:p>
            <w:pPr>
              <w:pStyle w:val="TableParagraph"/>
              <w:spacing w:before="5"/>
              <w:ind w:left="707"/>
              <w:rPr>
                <w:sz w:val="12"/>
              </w:rPr>
            </w:pPr>
            <w:r>
              <w:rPr>
                <w:w w:val="105"/>
                <w:sz w:val="12"/>
              </w:rPr>
              <w:t>0</w:t>
            </w:r>
          </w:p>
        </w:tc>
        <w:tc>
          <w:tcPr>
            <w:tcW w:w="801" w:type="dxa"/>
          </w:tcPr>
          <w:p>
            <w:pPr/>
          </w:p>
        </w:tc>
        <w:tc>
          <w:tcPr>
            <w:tcW w:w="770" w:type="dxa"/>
          </w:tcPr>
          <w:p>
            <w:pPr>
              <w:pStyle w:val="TableParagraph"/>
              <w:spacing w:before="5"/>
              <w:ind w:left="348"/>
              <w:jc w:val="left"/>
              <w:rPr>
                <w:sz w:val="12"/>
              </w:rPr>
            </w:pPr>
            <w:r>
              <w:rPr>
                <w:w w:val="105"/>
                <w:sz w:val="12"/>
              </w:rPr>
              <w:t>0.5</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58" w:hRule="exact"/>
        </w:trPr>
        <w:tc>
          <w:tcPr>
            <w:tcW w:w="665" w:type="dxa"/>
            <w:tcBorders>
              <w:left w:val="single" w:sz="4" w:space="0" w:color="000000"/>
            </w:tcBorders>
          </w:tcPr>
          <w:p>
            <w:pPr/>
          </w:p>
        </w:tc>
        <w:tc>
          <w:tcPr>
            <w:tcW w:w="1863" w:type="dxa"/>
          </w:tcPr>
          <w:p>
            <w:pPr/>
          </w:p>
        </w:tc>
        <w:tc>
          <w:tcPr>
            <w:tcW w:w="2252" w:type="dxa"/>
          </w:tcPr>
          <w:p>
            <w:pPr>
              <w:pStyle w:val="TableParagraph"/>
              <w:spacing w:before="5"/>
              <w:ind w:left="287" w:right="642"/>
              <w:jc w:val="left"/>
              <w:rPr>
                <w:sz w:val="12"/>
              </w:rPr>
            </w:pPr>
            <w:r>
              <w:rPr>
                <w:w w:val="105"/>
                <w:sz w:val="12"/>
              </w:rPr>
              <w:t>Señalización</w:t>
            </w:r>
          </w:p>
        </w:tc>
        <w:tc>
          <w:tcPr>
            <w:tcW w:w="1788" w:type="dxa"/>
          </w:tcPr>
          <w:p>
            <w:pPr>
              <w:pStyle w:val="TableParagraph"/>
              <w:spacing w:before="5"/>
              <w:ind w:left="891" w:right="184"/>
              <w:rPr>
                <w:sz w:val="12"/>
              </w:rPr>
            </w:pPr>
            <w:r>
              <w:rPr>
                <w:w w:val="105"/>
                <w:sz w:val="12"/>
              </w:rPr>
              <w:t>0.5</w:t>
            </w:r>
          </w:p>
        </w:tc>
        <w:tc>
          <w:tcPr>
            <w:tcW w:w="801" w:type="dxa"/>
          </w:tcPr>
          <w:p>
            <w:pPr/>
          </w:p>
        </w:tc>
        <w:tc>
          <w:tcPr>
            <w:tcW w:w="770" w:type="dxa"/>
          </w:tcPr>
          <w:p>
            <w:pPr>
              <w:pStyle w:val="TableParagraph"/>
              <w:spacing w:before="5"/>
              <w:ind w:left="348"/>
              <w:jc w:val="left"/>
              <w:rPr>
                <w:sz w:val="12"/>
              </w:rPr>
            </w:pPr>
            <w:r>
              <w:rPr>
                <w:w w:val="105"/>
                <w:sz w:val="12"/>
              </w:rPr>
              <w:t>0.5</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65" w:hRule="exact"/>
        </w:trPr>
        <w:tc>
          <w:tcPr>
            <w:tcW w:w="665" w:type="dxa"/>
            <w:tcBorders>
              <w:left w:val="single" w:sz="4" w:space="0" w:color="000000"/>
            </w:tcBorders>
          </w:tcPr>
          <w:p>
            <w:pPr/>
          </w:p>
        </w:tc>
        <w:tc>
          <w:tcPr>
            <w:tcW w:w="1863" w:type="dxa"/>
          </w:tcPr>
          <w:p>
            <w:pPr/>
          </w:p>
        </w:tc>
        <w:tc>
          <w:tcPr>
            <w:tcW w:w="2252" w:type="dxa"/>
          </w:tcPr>
          <w:p>
            <w:pPr/>
          </w:p>
        </w:tc>
        <w:tc>
          <w:tcPr>
            <w:tcW w:w="1788" w:type="dxa"/>
          </w:tcPr>
          <w:p>
            <w:pPr>
              <w:pStyle w:val="TableParagraph"/>
              <w:spacing w:before="5"/>
              <w:ind w:left="885" w:right="184"/>
              <w:rPr>
                <w:sz w:val="12"/>
              </w:rPr>
            </w:pPr>
            <w:r>
              <w:rPr>
                <w:w w:val="105"/>
                <w:sz w:val="12"/>
              </w:rPr>
              <w:t>Subtotal</w:t>
            </w:r>
          </w:p>
        </w:tc>
        <w:tc>
          <w:tcPr>
            <w:tcW w:w="801" w:type="dxa"/>
          </w:tcPr>
          <w:p>
            <w:pPr>
              <w:pStyle w:val="TableParagraph"/>
              <w:tabs>
                <w:tab w:pos="518" w:val="left" w:leader="none"/>
                <w:tab w:pos="897" w:val="left" w:leader="none"/>
              </w:tabs>
              <w:spacing w:before="5"/>
              <w:ind w:left="203" w:right="-97"/>
              <w:jc w:val="left"/>
              <w:rPr>
                <w:sz w:val="12"/>
              </w:rPr>
            </w:pPr>
            <w:r>
              <w:rPr>
                <w:w w:val="105"/>
                <w:sz w:val="12"/>
                <w:shd w:fill="F79646" w:color="auto" w:val="clear"/>
              </w:rPr>
              <w:t> </w:t>
            </w:r>
            <w:r>
              <w:rPr>
                <w:sz w:val="12"/>
                <w:shd w:fill="F79646" w:color="auto" w:val="clear"/>
              </w:rPr>
              <w:tab/>
            </w:r>
            <w:r>
              <w:rPr>
                <w:w w:val="105"/>
                <w:sz w:val="12"/>
                <w:shd w:fill="F79646" w:color="auto" w:val="clear"/>
              </w:rPr>
              <w:t>1</w:t>
            </w:r>
            <w:r>
              <w:rPr>
                <w:sz w:val="12"/>
                <w:shd w:fill="F79646" w:color="auto" w:val="clear"/>
              </w:rPr>
              <w:tab/>
            </w:r>
          </w:p>
        </w:tc>
        <w:tc>
          <w:tcPr>
            <w:tcW w:w="770" w:type="dxa"/>
          </w:tcPr>
          <w:p>
            <w:pPr>
              <w:pStyle w:val="TableParagraph"/>
              <w:spacing w:before="5"/>
              <w:ind w:left="348"/>
              <w:jc w:val="left"/>
              <w:rPr>
                <w:sz w:val="12"/>
              </w:rPr>
            </w:pPr>
            <w:r>
              <w:rPr>
                <w:w w:val="105"/>
                <w:sz w:val="12"/>
              </w:rPr>
              <w:t>3.5</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7</w:t>
            </w:r>
          </w:p>
        </w:tc>
      </w:tr>
      <w:tr>
        <w:trPr>
          <w:trHeight w:val="147" w:hRule="exact"/>
        </w:trPr>
        <w:tc>
          <w:tcPr>
            <w:tcW w:w="8822" w:type="dxa"/>
            <w:gridSpan w:val="7"/>
            <w:tcBorders>
              <w:left w:val="single" w:sz="4" w:space="0" w:color="000000"/>
              <w:right w:val="single" w:sz="8" w:space="0" w:color="000000"/>
            </w:tcBorders>
          </w:tcPr>
          <w:p>
            <w:pPr/>
          </w:p>
        </w:tc>
      </w:tr>
      <w:tr>
        <w:trPr>
          <w:trHeight w:val="161" w:hRule="exact"/>
        </w:trPr>
        <w:tc>
          <w:tcPr>
            <w:tcW w:w="665" w:type="dxa"/>
            <w:vMerge w:val="restart"/>
            <w:tcBorders>
              <w:left w:val="single" w:sz="4" w:space="0" w:color="000000"/>
            </w:tcBorders>
          </w:tcPr>
          <w:p>
            <w:pPr>
              <w:pStyle w:val="TableParagraph"/>
              <w:spacing w:before="82"/>
              <w:ind w:left="52"/>
              <w:jc w:val="left"/>
              <w:rPr>
                <w:sz w:val="12"/>
              </w:rPr>
            </w:pPr>
            <w:r>
              <w:rPr>
                <w:w w:val="105"/>
                <w:sz w:val="12"/>
              </w:rPr>
              <w:t>Ambiental</w:t>
            </w:r>
          </w:p>
        </w:tc>
        <w:tc>
          <w:tcPr>
            <w:tcW w:w="1863" w:type="dxa"/>
            <w:vMerge w:val="restart"/>
          </w:tcPr>
          <w:p>
            <w:pPr>
              <w:pStyle w:val="TableParagraph"/>
              <w:spacing w:before="5"/>
              <w:jc w:val="left"/>
              <w:rPr>
                <w:sz w:val="14"/>
              </w:rPr>
            </w:pPr>
          </w:p>
          <w:p>
            <w:pPr>
              <w:pStyle w:val="TableParagraph"/>
              <w:ind w:left="45"/>
              <w:jc w:val="left"/>
              <w:rPr>
                <w:sz w:val="12"/>
              </w:rPr>
            </w:pPr>
            <w:r>
              <w:rPr>
                <w:w w:val="105"/>
                <w:sz w:val="12"/>
              </w:rPr>
              <w:t>Áreas verdes</w:t>
            </w:r>
          </w:p>
        </w:tc>
        <w:tc>
          <w:tcPr>
            <w:tcW w:w="2252" w:type="dxa"/>
            <w:vMerge w:val="restart"/>
          </w:tcPr>
          <w:p>
            <w:pPr>
              <w:pStyle w:val="TableParagraph"/>
              <w:spacing w:line="273" w:lineRule="auto" w:before="8"/>
              <w:ind w:left="287" w:right="1286"/>
              <w:jc w:val="left"/>
              <w:rPr>
                <w:sz w:val="12"/>
              </w:rPr>
            </w:pPr>
            <w:r>
              <w:rPr>
                <w:w w:val="105"/>
                <w:sz w:val="12"/>
              </w:rPr>
              <w:t>Superficie Índice OMS</w:t>
            </w:r>
          </w:p>
        </w:tc>
        <w:tc>
          <w:tcPr>
            <w:tcW w:w="1788" w:type="dxa"/>
            <w:vMerge w:val="restart"/>
          </w:tcPr>
          <w:p>
            <w:pPr>
              <w:pStyle w:val="TableParagraph"/>
              <w:spacing w:before="8"/>
              <w:ind w:right="503"/>
              <w:jc w:val="right"/>
              <w:rPr>
                <w:sz w:val="12"/>
              </w:rPr>
            </w:pPr>
            <w:r>
              <w:rPr>
                <w:w w:val="105"/>
                <w:sz w:val="12"/>
              </w:rPr>
              <w:t>1</w:t>
            </w:r>
          </w:p>
          <w:p>
            <w:pPr>
              <w:pStyle w:val="TableParagraph"/>
              <w:spacing w:before="19"/>
              <w:ind w:right="450"/>
              <w:jc w:val="right"/>
              <w:rPr>
                <w:sz w:val="12"/>
              </w:rPr>
            </w:pPr>
            <w:r>
              <w:rPr>
                <w:w w:val="105"/>
                <w:sz w:val="12"/>
              </w:rPr>
              <w:t>0.5</w:t>
            </w:r>
          </w:p>
        </w:tc>
        <w:tc>
          <w:tcPr>
            <w:tcW w:w="801" w:type="dxa"/>
            <w:vMerge w:val="restart"/>
          </w:tcPr>
          <w:p>
            <w:pPr/>
          </w:p>
        </w:tc>
        <w:tc>
          <w:tcPr>
            <w:tcW w:w="770" w:type="dxa"/>
            <w:vMerge w:val="restart"/>
          </w:tcPr>
          <w:p>
            <w:pPr>
              <w:pStyle w:val="TableParagraph"/>
              <w:spacing w:before="8"/>
              <w:ind w:left="103"/>
              <w:rPr>
                <w:sz w:val="12"/>
              </w:rPr>
            </w:pPr>
            <w:r>
              <w:rPr>
                <w:w w:val="105"/>
                <w:sz w:val="12"/>
              </w:rPr>
              <w:t>1</w:t>
            </w:r>
          </w:p>
          <w:p>
            <w:pPr>
              <w:pStyle w:val="TableParagraph"/>
              <w:spacing w:before="19"/>
              <w:ind w:left="328" w:right="225"/>
              <w:rPr>
                <w:sz w:val="12"/>
              </w:rPr>
            </w:pPr>
            <w:r>
              <w:rPr>
                <w:w w:val="105"/>
                <w:sz w:val="12"/>
              </w:rPr>
              <w:t>0.8</w:t>
            </w:r>
          </w:p>
        </w:tc>
        <w:tc>
          <w:tcPr>
            <w:tcW w:w="684" w:type="dxa"/>
            <w:tcBorders>
              <w:right w:val="single" w:sz="8" w:space="0" w:color="000000"/>
            </w:tcBorders>
            <w:shd w:val="clear" w:color="auto" w:fill="67ED4D"/>
          </w:tcPr>
          <w:p>
            <w:pPr>
              <w:pStyle w:val="TableParagraph"/>
              <w:spacing w:before="8"/>
              <w:ind w:left="28"/>
              <w:rPr>
                <w:sz w:val="12"/>
              </w:rPr>
            </w:pPr>
            <w:r>
              <w:rPr>
                <w:w w:val="105"/>
                <w:sz w:val="12"/>
              </w:rPr>
              <w:t>1</w:t>
            </w:r>
          </w:p>
        </w:tc>
      </w:tr>
      <w:tr>
        <w:trPr>
          <w:trHeight w:val="158" w:hRule="exact"/>
        </w:trPr>
        <w:tc>
          <w:tcPr>
            <w:tcW w:w="665" w:type="dxa"/>
            <w:vMerge/>
            <w:tcBorders>
              <w:left w:val="single" w:sz="4" w:space="0" w:color="000000"/>
            </w:tcBorders>
          </w:tcPr>
          <w:p>
            <w:pPr/>
          </w:p>
        </w:tc>
        <w:tc>
          <w:tcPr>
            <w:tcW w:w="1863" w:type="dxa"/>
            <w:vMerge/>
          </w:tcPr>
          <w:p>
            <w:pPr/>
          </w:p>
        </w:tc>
        <w:tc>
          <w:tcPr>
            <w:tcW w:w="2252" w:type="dxa"/>
            <w:vMerge/>
          </w:tcPr>
          <w:p>
            <w:pPr/>
          </w:p>
        </w:tc>
        <w:tc>
          <w:tcPr>
            <w:tcW w:w="1788" w:type="dxa"/>
            <w:vMerge/>
          </w:tcPr>
          <w:p>
            <w:pPr/>
          </w:p>
        </w:tc>
        <w:tc>
          <w:tcPr>
            <w:tcW w:w="801" w:type="dxa"/>
            <w:vMerge/>
          </w:tcPr>
          <w:p>
            <w:pPr/>
          </w:p>
        </w:tc>
        <w:tc>
          <w:tcPr>
            <w:tcW w:w="770" w:type="dxa"/>
            <w:vMerge/>
          </w:tcPr>
          <w:p>
            <w:pP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58" w:hRule="exact"/>
        </w:trPr>
        <w:tc>
          <w:tcPr>
            <w:tcW w:w="665" w:type="dxa"/>
            <w:tcBorders>
              <w:left w:val="single" w:sz="4" w:space="0" w:color="000000"/>
            </w:tcBorders>
          </w:tcPr>
          <w:p>
            <w:pPr/>
          </w:p>
        </w:tc>
        <w:tc>
          <w:tcPr>
            <w:tcW w:w="1863" w:type="dxa"/>
          </w:tcPr>
          <w:p>
            <w:pPr/>
          </w:p>
        </w:tc>
        <w:tc>
          <w:tcPr>
            <w:tcW w:w="2252" w:type="dxa"/>
          </w:tcPr>
          <w:p>
            <w:pPr>
              <w:pStyle w:val="TableParagraph"/>
              <w:spacing w:before="5"/>
              <w:ind w:left="287" w:right="642"/>
              <w:jc w:val="left"/>
              <w:rPr>
                <w:sz w:val="12"/>
              </w:rPr>
            </w:pPr>
            <w:r>
              <w:rPr>
                <w:w w:val="105"/>
                <w:sz w:val="12"/>
              </w:rPr>
              <w:t>Índice ONU</w:t>
            </w:r>
          </w:p>
        </w:tc>
        <w:tc>
          <w:tcPr>
            <w:tcW w:w="1788" w:type="dxa"/>
          </w:tcPr>
          <w:p>
            <w:pPr>
              <w:pStyle w:val="TableParagraph"/>
              <w:spacing w:before="5"/>
              <w:ind w:left="891" w:right="184"/>
              <w:rPr>
                <w:sz w:val="12"/>
              </w:rPr>
            </w:pPr>
            <w:r>
              <w:rPr>
                <w:w w:val="105"/>
                <w:sz w:val="12"/>
              </w:rPr>
              <w:t>0.5</w:t>
            </w:r>
          </w:p>
        </w:tc>
        <w:tc>
          <w:tcPr>
            <w:tcW w:w="801" w:type="dxa"/>
          </w:tcPr>
          <w:p>
            <w:pPr/>
          </w:p>
        </w:tc>
        <w:tc>
          <w:tcPr>
            <w:tcW w:w="770" w:type="dxa"/>
          </w:tcPr>
          <w:p>
            <w:pPr>
              <w:pStyle w:val="TableParagraph"/>
              <w:spacing w:before="5"/>
              <w:ind w:left="348"/>
              <w:jc w:val="left"/>
              <w:rPr>
                <w:sz w:val="12"/>
              </w:rPr>
            </w:pPr>
            <w:r>
              <w:rPr>
                <w:w w:val="105"/>
                <w:sz w:val="12"/>
              </w:rPr>
              <w:t>0.8</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65" w:hRule="exact"/>
        </w:trPr>
        <w:tc>
          <w:tcPr>
            <w:tcW w:w="665" w:type="dxa"/>
            <w:tcBorders>
              <w:left w:val="single" w:sz="4" w:space="0" w:color="000000"/>
            </w:tcBorders>
          </w:tcPr>
          <w:p>
            <w:pPr/>
          </w:p>
        </w:tc>
        <w:tc>
          <w:tcPr>
            <w:tcW w:w="1863" w:type="dxa"/>
          </w:tcPr>
          <w:p>
            <w:pPr/>
          </w:p>
        </w:tc>
        <w:tc>
          <w:tcPr>
            <w:tcW w:w="2252" w:type="dxa"/>
          </w:tcPr>
          <w:p>
            <w:pPr/>
          </w:p>
        </w:tc>
        <w:tc>
          <w:tcPr>
            <w:tcW w:w="1788" w:type="dxa"/>
          </w:tcPr>
          <w:p>
            <w:pPr>
              <w:pStyle w:val="TableParagraph"/>
              <w:spacing w:before="5"/>
              <w:ind w:left="885" w:right="184"/>
              <w:rPr>
                <w:sz w:val="12"/>
              </w:rPr>
            </w:pPr>
            <w:r>
              <w:rPr>
                <w:w w:val="105"/>
                <w:sz w:val="12"/>
              </w:rPr>
              <w:t>Subtotal</w:t>
            </w:r>
          </w:p>
        </w:tc>
        <w:tc>
          <w:tcPr>
            <w:tcW w:w="801" w:type="dxa"/>
          </w:tcPr>
          <w:p>
            <w:pPr>
              <w:pStyle w:val="TableParagraph"/>
              <w:tabs>
                <w:tab w:pos="518" w:val="left" w:leader="none"/>
                <w:tab w:pos="897" w:val="left" w:leader="none"/>
              </w:tabs>
              <w:spacing w:before="5"/>
              <w:ind w:left="203" w:right="-97"/>
              <w:jc w:val="left"/>
              <w:rPr>
                <w:sz w:val="12"/>
              </w:rPr>
            </w:pPr>
            <w:r>
              <w:rPr>
                <w:w w:val="105"/>
                <w:sz w:val="12"/>
                <w:shd w:fill="F79646" w:color="auto" w:val="clear"/>
              </w:rPr>
              <w:t> </w:t>
            </w:r>
            <w:r>
              <w:rPr>
                <w:sz w:val="12"/>
                <w:shd w:fill="F79646" w:color="auto" w:val="clear"/>
              </w:rPr>
              <w:tab/>
            </w:r>
            <w:r>
              <w:rPr>
                <w:w w:val="105"/>
                <w:sz w:val="12"/>
                <w:shd w:fill="F79646" w:color="auto" w:val="clear"/>
              </w:rPr>
              <w:t>2</w:t>
            </w:r>
            <w:r>
              <w:rPr>
                <w:sz w:val="12"/>
                <w:shd w:fill="F79646" w:color="auto" w:val="clear"/>
              </w:rPr>
              <w:tab/>
            </w:r>
          </w:p>
        </w:tc>
        <w:tc>
          <w:tcPr>
            <w:tcW w:w="770" w:type="dxa"/>
          </w:tcPr>
          <w:p>
            <w:pPr>
              <w:pStyle w:val="TableParagraph"/>
              <w:spacing w:before="5"/>
              <w:ind w:left="348"/>
              <w:jc w:val="left"/>
              <w:rPr>
                <w:sz w:val="12"/>
              </w:rPr>
            </w:pPr>
            <w:r>
              <w:rPr>
                <w:w w:val="105"/>
                <w:sz w:val="12"/>
              </w:rPr>
              <w:t>2.6</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3</w:t>
            </w:r>
          </w:p>
        </w:tc>
      </w:tr>
      <w:tr>
        <w:trPr>
          <w:trHeight w:val="147" w:hRule="exact"/>
        </w:trPr>
        <w:tc>
          <w:tcPr>
            <w:tcW w:w="8822" w:type="dxa"/>
            <w:gridSpan w:val="7"/>
            <w:tcBorders>
              <w:left w:val="single" w:sz="4" w:space="0" w:color="000000"/>
              <w:right w:val="single" w:sz="8" w:space="0" w:color="000000"/>
            </w:tcBorders>
          </w:tcPr>
          <w:p>
            <w:pPr/>
          </w:p>
        </w:tc>
      </w:tr>
      <w:tr>
        <w:trPr>
          <w:trHeight w:val="161" w:hRule="exact"/>
        </w:trPr>
        <w:tc>
          <w:tcPr>
            <w:tcW w:w="665" w:type="dxa"/>
            <w:vMerge w:val="restart"/>
            <w:tcBorders>
              <w:left w:val="single" w:sz="4" w:space="0" w:color="000000"/>
            </w:tcBorders>
          </w:tcPr>
          <w:p>
            <w:pPr/>
          </w:p>
        </w:tc>
        <w:tc>
          <w:tcPr>
            <w:tcW w:w="1863" w:type="dxa"/>
          </w:tcPr>
          <w:p>
            <w:pPr/>
          </w:p>
        </w:tc>
        <w:tc>
          <w:tcPr>
            <w:tcW w:w="2252" w:type="dxa"/>
          </w:tcPr>
          <w:p>
            <w:pPr>
              <w:pStyle w:val="TableParagraph"/>
              <w:spacing w:before="8"/>
              <w:ind w:left="287" w:right="642"/>
              <w:jc w:val="left"/>
              <w:rPr>
                <w:sz w:val="12"/>
              </w:rPr>
            </w:pPr>
            <w:r>
              <w:rPr>
                <w:w w:val="105"/>
                <w:sz w:val="12"/>
              </w:rPr>
              <w:t>Separación</w:t>
            </w:r>
          </w:p>
        </w:tc>
        <w:tc>
          <w:tcPr>
            <w:tcW w:w="1788" w:type="dxa"/>
          </w:tcPr>
          <w:p>
            <w:pPr>
              <w:pStyle w:val="TableParagraph"/>
              <w:spacing w:before="8"/>
              <w:ind w:left="707"/>
              <w:rPr>
                <w:sz w:val="12"/>
              </w:rPr>
            </w:pPr>
            <w:r>
              <w:rPr>
                <w:w w:val="105"/>
                <w:sz w:val="12"/>
              </w:rPr>
              <w:t>0</w:t>
            </w:r>
          </w:p>
        </w:tc>
        <w:tc>
          <w:tcPr>
            <w:tcW w:w="801" w:type="dxa"/>
          </w:tcPr>
          <w:p>
            <w:pPr/>
          </w:p>
        </w:tc>
        <w:tc>
          <w:tcPr>
            <w:tcW w:w="770" w:type="dxa"/>
          </w:tcPr>
          <w:p>
            <w:pPr>
              <w:pStyle w:val="TableParagraph"/>
              <w:spacing w:before="8"/>
              <w:ind w:left="103"/>
              <w:rPr>
                <w:sz w:val="12"/>
              </w:rPr>
            </w:pPr>
            <w:r>
              <w:rPr>
                <w:w w:val="105"/>
                <w:sz w:val="12"/>
              </w:rPr>
              <w:t>1</w:t>
            </w:r>
          </w:p>
        </w:tc>
        <w:tc>
          <w:tcPr>
            <w:tcW w:w="684" w:type="dxa"/>
            <w:tcBorders>
              <w:right w:val="single" w:sz="8" w:space="0" w:color="000000"/>
            </w:tcBorders>
            <w:shd w:val="clear" w:color="auto" w:fill="67ED4D"/>
          </w:tcPr>
          <w:p>
            <w:pPr>
              <w:pStyle w:val="TableParagraph"/>
              <w:spacing w:before="8"/>
              <w:ind w:left="28"/>
              <w:rPr>
                <w:sz w:val="12"/>
              </w:rPr>
            </w:pPr>
            <w:r>
              <w:rPr>
                <w:w w:val="105"/>
                <w:sz w:val="12"/>
              </w:rPr>
              <w:t>1</w:t>
            </w:r>
          </w:p>
        </w:tc>
      </w:tr>
      <w:tr>
        <w:trPr>
          <w:trHeight w:val="158" w:hRule="exact"/>
        </w:trPr>
        <w:tc>
          <w:tcPr>
            <w:tcW w:w="665" w:type="dxa"/>
            <w:vMerge/>
            <w:tcBorders>
              <w:left w:val="single" w:sz="4" w:space="0" w:color="000000"/>
            </w:tcBorders>
          </w:tcPr>
          <w:p>
            <w:pPr/>
          </w:p>
        </w:tc>
        <w:tc>
          <w:tcPr>
            <w:tcW w:w="1863" w:type="dxa"/>
          </w:tcPr>
          <w:p>
            <w:pPr>
              <w:pStyle w:val="TableParagraph"/>
              <w:spacing w:before="5"/>
              <w:ind w:left="45"/>
              <w:jc w:val="left"/>
              <w:rPr>
                <w:sz w:val="12"/>
              </w:rPr>
            </w:pPr>
            <w:r>
              <w:rPr>
                <w:w w:val="105"/>
                <w:sz w:val="12"/>
              </w:rPr>
              <w:t>Manejo de residuos solidos</w:t>
            </w:r>
          </w:p>
        </w:tc>
        <w:tc>
          <w:tcPr>
            <w:tcW w:w="2252" w:type="dxa"/>
          </w:tcPr>
          <w:p>
            <w:pPr>
              <w:pStyle w:val="TableParagraph"/>
              <w:spacing w:before="5"/>
              <w:ind w:left="287" w:right="642"/>
              <w:jc w:val="left"/>
              <w:rPr>
                <w:sz w:val="12"/>
              </w:rPr>
            </w:pPr>
            <w:r>
              <w:rPr>
                <w:w w:val="105"/>
                <w:sz w:val="12"/>
              </w:rPr>
              <w:t>Recolección</w:t>
            </w:r>
          </w:p>
        </w:tc>
        <w:tc>
          <w:tcPr>
            <w:tcW w:w="1788" w:type="dxa"/>
          </w:tcPr>
          <w:p>
            <w:pPr>
              <w:pStyle w:val="TableParagraph"/>
              <w:spacing w:before="5"/>
              <w:ind w:left="707"/>
              <w:rPr>
                <w:sz w:val="12"/>
              </w:rPr>
            </w:pPr>
            <w:r>
              <w:rPr>
                <w:w w:val="105"/>
                <w:sz w:val="12"/>
              </w:rPr>
              <w:t>1</w:t>
            </w:r>
          </w:p>
        </w:tc>
        <w:tc>
          <w:tcPr>
            <w:tcW w:w="801" w:type="dxa"/>
          </w:tcPr>
          <w:p>
            <w:pPr/>
          </w:p>
        </w:tc>
        <w:tc>
          <w:tcPr>
            <w:tcW w:w="770" w:type="dxa"/>
          </w:tcPr>
          <w:p>
            <w:pPr>
              <w:pStyle w:val="TableParagraph"/>
              <w:spacing w:before="5"/>
              <w:ind w:left="103"/>
              <w:rPr>
                <w:sz w:val="12"/>
              </w:rPr>
            </w:pPr>
            <w:r>
              <w:rPr>
                <w:w w:val="105"/>
                <w:sz w:val="12"/>
              </w:rPr>
              <w:t>1</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58" w:hRule="exact"/>
        </w:trPr>
        <w:tc>
          <w:tcPr>
            <w:tcW w:w="665" w:type="dxa"/>
            <w:vMerge/>
            <w:tcBorders>
              <w:left w:val="single" w:sz="4" w:space="0" w:color="000000"/>
            </w:tcBorders>
          </w:tcPr>
          <w:p>
            <w:pPr/>
          </w:p>
        </w:tc>
        <w:tc>
          <w:tcPr>
            <w:tcW w:w="1863" w:type="dxa"/>
          </w:tcPr>
          <w:p>
            <w:pPr/>
          </w:p>
        </w:tc>
        <w:tc>
          <w:tcPr>
            <w:tcW w:w="2252" w:type="dxa"/>
          </w:tcPr>
          <w:p>
            <w:pPr>
              <w:pStyle w:val="TableParagraph"/>
              <w:spacing w:before="5"/>
              <w:ind w:left="287" w:right="642"/>
              <w:jc w:val="left"/>
              <w:rPr>
                <w:sz w:val="12"/>
              </w:rPr>
            </w:pPr>
            <w:r>
              <w:rPr>
                <w:w w:val="105"/>
                <w:sz w:val="12"/>
              </w:rPr>
              <w:t>Disposición</w:t>
            </w:r>
          </w:p>
        </w:tc>
        <w:tc>
          <w:tcPr>
            <w:tcW w:w="1788" w:type="dxa"/>
          </w:tcPr>
          <w:p>
            <w:pPr>
              <w:pStyle w:val="TableParagraph"/>
              <w:spacing w:before="5"/>
              <w:ind w:left="891" w:right="184"/>
              <w:rPr>
                <w:sz w:val="12"/>
              </w:rPr>
            </w:pPr>
            <w:r>
              <w:rPr>
                <w:w w:val="105"/>
                <w:sz w:val="12"/>
              </w:rPr>
              <w:t>0.5</w:t>
            </w:r>
          </w:p>
        </w:tc>
        <w:tc>
          <w:tcPr>
            <w:tcW w:w="801" w:type="dxa"/>
          </w:tcPr>
          <w:p>
            <w:pPr/>
          </w:p>
        </w:tc>
        <w:tc>
          <w:tcPr>
            <w:tcW w:w="770" w:type="dxa"/>
          </w:tcPr>
          <w:p>
            <w:pPr>
              <w:pStyle w:val="TableParagraph"/>
              <w:spacing w:before="5"/>
              <w:ind w:left="348"/>
              <w:jc w:val="left"/>
              <w:rPr>
                <w:sz w:val="12"/>
              </w:rPr>
            </w:pPr>
            <w:r>
              <w:rPr>
                <w:w w:val="105"/>
                <w:sz w:val="12"/>
              </w:rPr>
              <w:t>0.8</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65" w:hRule="exact"/>
        </w:trPr>
        <w:tc>
          <w:tcPr>
            <w:tcW w:w="665" w:type="dxa"/>
            <w:vMerge/>
            <w:tcBorders>
              <w:left w:val="single" w:sz="4" w:space="0" w:color="000000"/>
            </w:tcBorders>
          </w:tcPr>
          <w:p>
            <w:pPr/>
          </w:p>
        </w:tc>
        <w:tc>
          <w:tcPr>
            <w:tcW w:w="1863" w:type="dxa"/>
          </w:tcPr>
          <w:p>
            <w:pPr/>
          </w:p>
        </w:tc>
        <w:tc>
          <w:tcPr>
            <w:tcW w:w="2252" w:type="dxa"/>
          </w:tcPr>
          <w:p>
            <w:pPr/>
          </w:p>
        </w:tc>
        <w:tc>
          <w:tcPr>
            <w:tcW w:w="1788" w:type="dxa"/>
          </w:tcPr>
          <w:p>
            <w:pPr>
              <w:pStyle w:val="TableParagraph"/>
              <w:spacing w:before="5"/>
              <w:ind w:left="885" w:right="184"/>
              <w:rPr>
                <w:sz w:val="12"/>
              </w:rPr>
            </w:pPr>
            <w:r>
              <w:rPr>
                <w:w w:val="105"/>
                <w:sz w:val="12"/>
              </w:rPr>
              <w:t>Subtotal</w:t>
            </w:r>
          </w:p>
        </w:tc>
        <w:tc>
          <w:tcPr>
            <w:tcW w:w="801" w:type="dxa"/>
          </w:tcPr>
          <w:p>
            <w:pPr>
              <w:pStyle w:val="TableParagraph"/>
              <w:tabs>
                <w:tab w:pos="466" w:val="left" w:leader="none"/>
                <w:tab w:pos="897" w:val="left" w:leader="none"/>
              </w:tabs>
              <w:spacing w:before="5"/>
              <w:ind w:left="203" w:right="-97"/>
              <w:jc w:val="left"/>
              <w:rPr>
                <w:sz w:val="12"/>
              </w:rPr>
            </w:pPr>
            <w:r>
              <w:rPr>
                <w:w w:val="105"/>
                <w:sz w:val="12"/>
                <w:shd w:fill="F79646" w:color="auto" w:val="clear"/>
              </w:rPr>
              <w:t> </w:t>
            </w:r>
            <w:r>
              <w:rPr>
                <w:sz w:val="12"/>
                <w:shd w:fill="F79646" w:color="auto" w:val="clear"/>
              </w:rPr>
              <w:tab/>
            </w:r>
            <w:r>
              <w:rPr>
                <w:w w:val="105"/>
                <w:sz w:val="12"/>
                <w:shd w:fill="F79646" w:color="auto" w:val="clear"/>
              </w:rPr>
              <w:t>1.5</w:t>
            </w:r>
            <w:r>
              <w:rPr>
                <w:sz w:val="12"/>
                <w:shd w:fill="F79646" w:color="auto" w:val="clear"/>
              </w:rPr>
              <w:tab/>
            </w:r>
          </w:p>
        </w:tc>
        <w:tc>
          <w:tcPr>
            <w:tcW w:w="770" w:type="dxa"/>
          </w:tcPr>
          <w:p>
            <w:pPr>
              <w:pStyle w:val="TableParagraph"/>
              <w:spacing w:before="5"/>
              <w:ind w:left="348"/>
              <w:jc w:val="left"/>
              <w:rPr>
                <w:sz w:val="12"/>
              </w:rPr>
            </w:pPr>
            <w:r>
              <w:rPr>
                <w:w w:val="105"/>
                <w:sz w:val="12"/>
              </w:rPr>
              <w:t>2.8</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3</w:t>
            </w:r>
          </w:p>
        </w:tc>
      </w:tr>
      <w:tr>
        <w:trPr>
          <w:trHeight w:val="147" w:hRule="exact"/>
        </w:trPr>
        <w:tc>
          <w:tcPr>
            <w:tcW w:w="8822" w:type="dxa"/>
            <w:gridSpan w:val="7"/>
            <w:tcBorders>
              <w:left w:val="single" w:sz="4" w:space="0" w:color="000000"/>
              <w:right w:val="single" w:sz="8" w:space="0" w:color="000000"/>
            </w:tcBorders>
          </w:tcPr>
          <w:p>
            <w:pPr/>
          </w:p>
        </w:tc>
      </w:tr>
      <w:tr>
        <w:trPr>
          <w:trHeight w:val="161" w:hRule="exact"/>
        </w:trPr>
        <w:tc>
          <w:tcPr>
            <w:tcW w:w="665" w:type="dxa"/>
            <w:vMerge w:val="restart"/>
            <w:tcBorders>
              <w:left w:val="single" w:sz="4" w:space="0" w:color="000000"/>
            </w:tcBorders>
          </w:tcPr>
          <w:p>
            <w:pPr/>
          </w:p>
        </w:tc>
        <w:tc>
          <w:tcPr>
            <w:tcW w:w="1863" w:type="dxa"/>
          </w:tcPr>
          <w:p>
            <w:pPr/>
          </w:p>
        </w:tc>
        <w:tc>
          <w:tcPr>
            <w:tcW w:w="2252" w:type="dxa"/>
          </w:tcPr>
          <w:p>
            <w:pPr>
              <w:pStyle w:val="TableParagraph"/>
              <w:spacing w:before="8"/>
              <w:ind w:left="287" w:right="642"/>
              <w:jc w:val="left"/>
              <w:rPr>
                <w:sz w:val="12"/>
              </w:rPr>
            </w:pPr>
            <w:r>
              <w:rPr>
                <w:w w:val="105"/>
                <w:sz w:val="12"/>
              </w:rPr>
              <w:t>Vivienda</w:t>
            </w:r>
          </w:p>
        </w:tc>
        <w:tc>
          <w:tcPr>
            <w:tcW w:w="1788" w:type="dxa"/>
          </w:tcPr>
          <w:p>
            <w:pPr>
              <w:pStyle w:val="TableParagraph"/>
              <w:spacing w:before="8"/>
              <w:ind w:left="891" w:right="184"/>
              <w:rPr>
                <w:sz w:val="12"/>
              </w:rPr>
            </w:pPr>
            <w:r>
              <w:rPr>
                <w:w w:val="105"/>
                <w:sz w:val="12"/>
              </w:rPr>
              <w:t>0.2</w:t>
            </w:r>
          </w:p>
        </w:tc>
        <w:tc>
          <w:tcPr>
            <w:tcW w:w="801" w:type="dxa"/>
          </w:tcPr>
          <w:p>
            <w:pPr/>
          </w:p>
        </w:tc>
        <w:tc>
          <w:tcPr>
            <w:tcW w:w="770" w:type="dxa"/>
          </w:tcPr>
          <w:p>
            <w:pPr>
              <w:pStyle w:val="TableParagraph"/>
              <w:spacing w:before="8"/>
              <w:ind w:left="348"/>
              <w:jc w:val="left"/>
              <w:rPr>
                <w:sz w:val="12"/>
              </w:rPr>
            </w:pPr>
            <w:r>
              <w:rPr>
                <w:w w:val="105"/>
                <w:sz w:val="12"/>
              </w:rPr>
              <w:t>0.6</w:t>
            </w:r>
          </w:p>
        </w:tc>
        <w:tc>
          <w:tcPr>
            <w:tcW w:w="684" w:type="dxa"/>
            <w:tcBorders>
              <w:right w:val="single" w:sz="8" w:space="0" w:color="000000"/>
            </w:tcBorders>
            <w:shd w:val="clear" w:color="auto" w:fill="67ED4D"/>
          </w:tcPr>
          <w:p>
            <w:pPr>
              <w:pStyle w:val="TableParagraph"/>
              <w:spacing w:before="8"/>
              <w:ind w:left="28"/>
              <w:rPr>
                <w:sz w:val="12"/>
              </w:rPr>
            </w:pPr>
            <w:r>
              <w:rPr>
                <w:w w:val="105"/>
                <w:sz w:val="12"/>
              </w:rPr>
              <w:t>1</w:t>
            </w:r>
          </w:p>
        </w:tc>
      </w:tr>
      <w:tr>
        <w:trPr>
          <w:trHeight w:val="158" w:hRule="exact"/>
        </w:trPr>
        <w:tc>
          <w:tcPr>
            <w:tcW w:w="665" w:type="dxa"/>
            <w:vMerge/>
            <w:tcBorders>
              <w:left w:val="single" w:sz="4" w:space="0" w:color="000000"/>
            </w:tcBorders>
          </w:tcPr>
          <w:p>
            <w:pPr/>
          </w:p>
        </w:tc>
        <w:tc>
          <w:tcPr>
            <w:tcW w:w="1863" w:type="dxa"/>
            <w:vMerge w:val="restart"/>
          </w:tcPr>
          <w:p>
            <w:pPr>
              <w:pStyle w:val="TableParagraph"/>
              <w:spacing w:before="79"/>
              <w:ind w:left="45"/>
              <w:jc w:val="left"/>
              <w:rPr>
                <w:sz w:val="12"/>
              </w:rPr>
            </w:pPr>
            <w:r>
              <w:rPr>
                <w:w w:val="105"/>
                <w:sz w:val="12"/>
              </w:rPr>
              <w:t>Ecotegnologías</w:t>
            </w:r>
          </w:p>
        </w:tc>
        <w:tc>
          <w:tcPr>
            <w:tcW w:w="2252" w:type="dxa"/>
            <w:vMerge w:val="restart"/>
          </w:tcPr>
          <w:p>
            <w:pPr>
              <w:pStyle w:val="TableParagraph"/>
              <w:spacing w:line="273" w:lineRule="auto" w:before="5"/>
              <w:ind w:left="287" w:right="1174"/>
              <w:jc w:val="left"/>
              <w:rPr>
                <w:sz w:val="12"/>
              </w:rPr>
            </w:pPr>
            <w:r>
              <w:rPr>
                <w:w w:val="105"/>
                <w:sz w:val="12"/>
              </w:rPr>
              <w:t>Urbanización Equipamiento</w:t>
            </w:r>
          </w:p>
        </w:tc>
        <w:tc>
          <w:tcPr>
            <w:tcW w:w="1788" w:type="dxa"/>
            <w:vMerge w:val="restart"/>
          </w:tcPr>
          <w:p>
            <w:pPr>
              <w:pStyle w:val="TableParagraph"/>
              <w:spacing w:before="5"/>
              <w:ind w:right="503"/>
              <w:jc w:val="right"/>
              <w:rPr>
                <w:sz w:val="12"/>
              </w:rPr>
            </w:pPr>
            <w:r>
              <w:rPr>
                <w:w w:val="105"/>
                <w:sz w:val="12"/>
              </w:rPr>
              <w:t>0</w:t>
            </w:r>
          </w:p>
          <w:p>
            <w:pPr>
              <w:pStyle w:val="TableParagraph"/>
              <w:spacing w:before="20"/>
              <w:ind w:right="503"/>
              <w:jc w:val="right"/>
              <w:rPr>
                <w:sz w:val="12"/>
              </w:rPr>
            </w:pPr>
            <w:r>
              <w:rPr>
                <w:w w:val="105"/>
                <w:sz w:val="12"/>
              </w:rPr>
              <w:t>0</w:t>
            </w:r>
          </w:p>
        </w:tc>
        <w:tc>
          <w:tcPr>
            <w:tcW w:w="801" w:type="dxa"/>
            <w:vMerge w:val="restart"/>
          </w:tcPr>
          <w:p>
            <w:pPr/>
          </w:p>
        </w:tc>
        <w:tc>
          <w:tcPr>
            <w:tcW w:w="770" w:type="dxa"/>
            <w:vMerge w:val="restart"/>
          </w:tcPr>
          <w:p>
            <w:pPr>
              <w:pStyle w:val="TableParagraph"/>
              <w:spacing w:before="5"/>
              <w:ind w:left="328" w:right="225"/>
              <w:rPr>
                <w:sz w:val="12"/>
              </w:rPr>
            </w:pPr>
            <w:r>
              <w:rPr>
                <w:w w:val="105"/>
                <w:sz w:val="12"/>
              </w:rPr>
              <w:t>0.5</w:t>
            </w:r>
          </w:p>
          <w:p>
            <w:pPr>
              <w:pStyle w:val="TableParagraph"/>
              <w:spacing w:before="20"/>
              <w:ind w:left="103"/>
              <w:rPr>
                <w:sz w:val="12"/>
              </w:rPr>
            </w:pPr>
            <w:r>
              <w:rPr>
                <w:w w:val="105"/>
                <w:sz w:val="12"/>
              </w:rPr>
              <w:t>1</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58" w:hRule="exact"/>
        </w:trPr>
        <w:tc>
          <w:tcPr>
            <w:tcW w:w="665" w:type="dxa"/>
            <w:vMerge/>
            <w:tcBorders>
              <w:left w:val="single" w:sz="4" w:space="0" w:color="000000"/>
            </w:tcBorders>
          </w:tcPr>
          <w:p>
            <w:pPr/>
          </w:p>
        </w:tc>
        <w:tc>
          <w:tcPr>
            <w:tcW w:w="1863" w:type="dxa"/>
            <w:vMerge/>
          </w:tcPr>
          <w:p>
            <w:pPr/>
          </w:p>
        </w:tc>
        <w:tc>
          <w:tcPr>
            <w:tcW w:w="2252" w:type="dxa"/>
            <w:vMerge/>
          </w:tcPr>
          <w:p>
            <w:pPr/>
          </w:p>
        </w:tc>
        <w:tc>
          <w:tcPr>
            <w:tcW w:w="1788" w:type="dxa"/>
            <w:vMerge/>
          </w:tcPr>
          <w:p>
            <w:pPr/>
          </w:p>
        </w:tc>
        <w:tc>
          <w:tcPr>
            <w:tcW w:w="801" w:type="dxa"/>
            <w:vMerge/>
          </w:tcPr>
          <w:p>
            <w:pPr/>
          </w:p>
        </w:tc>
        <w:tc>
          <w:tcPr>
            <w:tcW w:w="770" w:type="dxa"/>
            <w:vMerge/>
          </w:tcPr>
          <w:p>
            <w:pP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58" w:hRule="exact"/>
        </w:trPr>
        <w:tc>
          <w:tcPr>
            <w:tcW w:w="665" w:type="dxa"/>
            <w:vMerge/>
            <w:tcBorders>
              <w:left w:val="single" w:sz="4" w:space="0" w:color="000000"/>
            </w:tcBorders>
          </w:tcPr>
          <w:p>
            <w:pPr/>
          </w:p>
        </w:tc>
        <w:tc>
          <w:tcPr>
            <w:tcW w:w="1863" w:type="dxa"/>
          </w:tcPr>
          <w:p>
            <w:pPr/>
          </w:p>
        </w:tc>
        <w:tc>
          <w:tcPr>
            <w:tcW w:w="2252" w:type="dxa"/>
          </w:tcPr>
          <w:p>
            <w:pPr>
              <w:pStyle w:val="TableParagraph"/>
              <w:spacing w:before="5"/>
              <w:ind w:left="287" w:right="642"/>
              <w:jc w:val="left"/>
              <w:rPr>
                <w:sz w:val="12"/>
              </w:rPr>
            </w:pPr>
            <w:r>
              <w:rPr>
                <w:w w:val="105"/>
                <w:sz w:val="12"/>
              </w:rPr>
              <w:t>Mobiliario</w:t>
            </w:r>
          </w:p>
        </w:tc>
        <w:tc>
          <w:tcPr>
            <w:tcW w:w="1788" w:type="dxa"/>
          </w:tcPr>
          <w:p>
            <w:pPr>
              <w:pStyle w:val="TableParagraph"/>
              <w:spacing w:before="5"/>
              <w:ind w:left="707"/>
              <w:rPr>
                <w:sz w:val="12"/>
              </w:rPr>
            </w:pPr>
            <w:r>
              <w:rPr>
                <w:w w:val="105"/>
                <w:sz w:val="12"/>
              </w:rPr>
              <w:t>0</w:t>
            </w:r>
          </w:p>
        </w:tc>
        <w:tc>
          <w:tcPr>
            <w:tcW w:w="801" w:type="dxa"/>
          </w:tcPr>
          <w:p>
            <w:pPr/>
          </w:p>
        </w:tc>
        <w:tc>
          <w:tcPr>
            <w:tcW w:w="770" w:type="dxa"/>
          </w:tcPr>
          <w:p>
            <w:pPr>
              <w:pStyle w:val="TableParagraph"/>
              <w:spacing w:before="5"/>
              <w:ind w:left="103"/>
              <w:rPr>
                <w:sz w:val="12"/>
              </w:rPr>
            </w:pPr>
            <w:r>
              <w:rPr>
                <w:w w:val="105"/>
                <w:sz w:val="12"/>
              </w:rPr>
              <w:t>1</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65" w:hRule="exact"/>
        </w:trPr>
        <w:tc>
          <w:tcPr>
            <w:tcW w:w="665" w:type="dxa"/>
            <w:vMerge/>
            <w:tcBorders>
              <w:left w:val="single" w:sz="4" w:space="0" w:color="000000"/>
            </w:tcBorders>
          </w:tcPr>
          <w:p>
            <w:pPr/>
          </w:p>
        </w:tc>
        <w:tc>
          <w:tcPr>
            <w:tcW w:w="1863" w:type="dxa"/>
          </w:tcPr>
          <w:p>
            <w:pPr/>
          </w:p>
        </w:tc>
        <w:tc>
          <w:tcPr>
            <w:tcW w:w="2252" w:type="dxa"/>
          </w:tcPr>
          <w:p>
            <w:pPr/>
          </w:p>
        </w:tc>
        <w:tc>
          <w:tcPr>
            <w:tcW w:w="1788" w:type="dxa"/>
          </w:tcPr>
          <w:p>
            <w:pPr>
              <w:pStyle w:val="TableParagraph"/>
              <w:spacing w:before="5"/>
              <w:ind w:left="885" w:right="184"/>
              <w:rPr>
                <w:sz w:val="12"/>
              </w:rPr>
            </w:pPr>
            <w:r>
              <w:rPr>
                <w:w w:val="105"/>
                <w:sz w:val="12"/>
              </w:rPr>
              <w:t>Subtotal</w:t>
            </w:r>
          </w:p>
        </w:tc>
        <w:tc>
          <w:tcPr>
            <w:tcW w:w="801" w:type="dxa"/>
          </w:tcPr>
          <w:p>
            <w:pPr>
              <w:pStyle w:val="TableParagraph"/>
              <w:tabs>
                <w:tab w:pos="466" w:val="left" w:leader="none"/>
                <w:tab w:pos="897" w:val="left" w:leader="none"/>
              </w:tabs>
              <w:spacing w:before="5"/>
              <w:ind w:left="203" w:right="-97"/>
              <w:jc w:val="left"/>
              <w:rPr>
                <w:sz w:val="12"/>
              </w:rPr>
            </w:pPr>
            <w:r>
              <w:rPr>
                <w:w w:val="105"/>
                <w:sz w:val="12"/>
                <w:shd w:fill="F79646" w:color="auto" w:val="clear"/>
              </w:rPr>
              <w:t> </w:t>
            </w:r>
            <w:r>
              <w:rPr>
                <w:sz w:val="12"/>
                <w:shd w:fill="F79646" w:color="auto" w:val="clear"/>
              </w:rPr>
              <w:tab/>
            </w:r>
            <w:r>
              <w:rPr>
                <w:w w:val="105"/>
                <w:sz w:val="12"/>
                <w:shd w:fill="F79646" w:color="auto" w:val="clear"/>
              </w:rPr>
              <w:t>0.2</w:t>
            </w:r>
            <w:r>
              <w:rPr>
                <w:sz w:val="12"/>
                <w:shd w:fill="F79646" w:color="auto" w:val="clear"/>
              </w:rPr>
              <w:tab/>
            </w:r>
          </w:p>
        </w:tc>
        <w:tc>
          <w:tcPr>
            <w:tcW w:w="770" w:type="dxa"/>
          </w:tcPr>
          <w:p>
            <w:pPr>
              <w:pStyle w:val="TableParagraph"/>
              <w:spacing w:before="5"/>
              <w:ind w:left="348"/>
              <w:jc w:val="left"/>
              <w:rPr>
                <w:sz w:val="12"/>
              </w:rPr>
            </w:pPr>
            <w:r>
              <w:rPr>
                <w:w w:val="105"/>
                <w:sz w:val="12"/>
              </w:rPr>
              <w:t>3.1</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4</w:t>
            </w:r>
          </w:p>
        </w:tc>
      </w:tr>
      <w:tr>
        <w:trPr>
          <w:trHeight w:val="147" w:hRule="exact"/>
        </w:trPr>
        <w:tc>
          <w:tcPr>
            <w:tcW w:w="8822" w:type="dxa"/>
            <w:gridSpan w:val="7"/>
            <w:tcBorders>
              <w:left w:val="single" w:sz="4" w:space="0" w:color="000000"/>
              <w:right w:val="single" w:sz="8" w:space="0" w:color="000000"/>
            </w:tcBorders>
          </w:tcPr>
          <w:p>
            <w:pPr/>
          </w:p>
        </w:tc>
      </w:tr>
      <w:tr>
        <w:trPr>
          <w:trHeight w:val="318" w:hRule="exact"/>
        </w:trPr>
        <w:tc>
          <w:tcPr>
            <w:tcW w:w="665" w:type="dxa"/>
            <w:tcBorders>
              <w:left w:val="single" w:sz="4" w:space="0" w:color="000000"/>
            </w:tcBorders>
          </w:tcPr>
          <w:p>
            <w:pPr/>
          </w:p>
        </w:tc>
        <w:tc>
          <w:tcPr>
            <w:tcW w:w="1863" w:type="dxa"/>
          </w:tcPr>
          <w:p>
            <w:pPr>
              <w:pStyle w:val="TableParagraph"/>
              <w:spacing w:before="82"/>
              <w:ind w:left="45"/>
              <w:jc w:val="left"/>
              <w:rPr>
                <w:sz w:val="12"/>
              </w:rPr>
            </w:pPr>
            <w:r>
              <w:rPr>
                <w:w w:val="105"/>
                <w:sz w:val="12"/>
              </w:rPr>
              <w:t>Educación ambiental</w:t>
            </w:r>
          </w:p>
        </w:tc>
        <w:tc>
          <w:tcPr>
            <w:tcW w:w="2252" w:type="dxa"/>
          </w:tcPr>
          <w:p>
            <w:pPr>
              <w:pStyle w:val="TableParagraph"/>
              <w:spacing w:line="273" w:lineRule="auto" w:before="8"/>
              <w:ind w:left="287" w:right="1328"/>
              <w:jc w:val="left"/>
              <w:rPr>
                <w:sz w:val="12"/>
              </w:rPr>
            </w:pPr>
            <w:r>
              <w:rPr>
                <w:w w:val="105"/>
                <w:sz w:val="12"/>
              </w:rPr>
              <w:t>Planes Programas</w:t>
            </w:r>
          </w:p>
        </w:tc>
        <w:tc>
          <w:tcPr>
            <w:tcW w:w="1788" w:type="dxa"/>
          </w:tcPr>
          <w:p>
            <w:pPr>
              <w:pStyle w:val="TableParagraph"/>
              <w:spacing w:before="8"/>
              <w:ind w:right="503"/>
              <w:jc w:val="right"/>
              <w:rPr>
                <w:sz w:val="12"/>
              </w:rPr>
            </w:pPr>
            <w:r>
              <w:rPr>
                <w:w w:val="105"/>
                <w:sz w:val="12"/>
              </w:rPr>
              <w:t>0</w:t>
            </w:r>
          </w:p>
          <w:p>
            <w:pPr>
              <w:pStyle w:val="TableParagraph"/>
              <w:spacing w:before="20"/>
              <w:ind w:right="503"/>
              <w:jc w:val="right"/>
              <w:rPr>
                <w:sz w:val="12"/>
              </w:rPr>
            </w:pPr>
            <w:r>
              <w:rPr>
                <w:w w:val="105"/>
                <w:sz w:val="12"/>
              </w:rPr>
              <w:t>0</w:t>
            </w:r>
          </w:p>
        </w:tc>
        <w:tc>
          <w:tcPr>
            <w:tcW w:w="801" w:type="dxa"/>
          </w:tcPr>
          <w:p>
            <w:pPr/>
          </w:p>
        </w:tc>
        <w:tc>
          <w:tcPr>
            <w:tcW w:w="770" w:type="dxa"/>
          </w:tcPr>
          <w:p>
            <w:pPr>
              <w:pStyle w:val="TableParagraph"/>
              <w:spacing w:before="8"/>
              <w:ind w:left="103"/>
              <w:rPr>
                <w:sz w:val="12"/>
              </w:rPr>
            </w:pPr>
            <w:r>
              <w:rPr>
                <w:w w:val="105"/>
                <w:sz w:val="12"/>
              </w:rPr>
              <w:t>1</w:t>
            </w:r>
          </w:p>
          <w:p>
            <w:pPr>
              <w:pStyle w:val="TableParagraph"/>
              <w:spacing w:before="20"/>
              <w:ind w:left="103"/>
              <w:rPr>
                <w:sz w:val="12"/>
              </w:rPr>
            </w:pPr>
            <w:r>
              <w:rPr>
                <w:w w:val="105"/>
                <w:sz w:val="12"/>
              </w:rPr>
              <w:t>1</w:t>
            </w:r>
          </w:p>
        </w:tc>
        <w:tc>
          <w:tcPr>
            <w:tcW w:w="684" w:type="dxa"/>
            <w:tcBorders>
              <w:right w:val="single" w:sz="8" w:space="0" w:color="000000"/>
            </w:tcBorders>
            <w:shd w:val="clear" w:color="auto" w:fill="67ED4D"/>
          </w:tcPr>
          <w:p>
            <w:pPr>
              <w:pStyle w:val="TableParagraph"/>
              <w:spacing w:before="8"/>
              <w:ind w:left="28"/>
              <w:rPr>
                <w:sz w:val="12"/>
              </w:rPr>
            </w:pPr>
            <w:r>
              <w:rPr>
                <w:w w:val="105"/>
                <w:sz w:val="12"/>
              </w:rPr>
              <w:t>1</w:t>
            </w:r>
          </w:p>
          <w:p>
            <w:pPr>
              <w:pStyle w:val="TableParagraph"/>
              <w:spacing w:before="20"/>
              <w:ind w:left="28"/>
              <w:rPr>
                <w:sz w:val="12"/>
              </w:rPr>
            </w:pPr>
            <w:r>
              <w:rPr>
                <w:w w:val="105"/>
                <w:sz w:val="12"/>
              </w:rPr>
              <w:t>1</w:t>
            </w:r>
          </w:p>
        </w:tc>
      </w:tr>
      <w:tr>
        <w:trPr>
          <w:trHeight w:val="165" w:hRule="exact"/>
        </w:trPr>
        <w:tc>
          <w:tcPr>
            <w:tcW w:w="665" w:type="dxa"/>
            <w:tcBorders>
              <w:left w:val="single" w:sz="4" w:space="0" w:color="000000"/>
            </w:tcBorders>
          </w:tcPr>
          <w:p>
            <w:pPr/>
          </w:p>
        </w:tc>
        <w:tc>
          <w:tcPr>
            <w:tcW w:w="1863" w:type="dxa"/>
          </w:tcPr>
          <w:p>
            <w:pPr/>
          </w:p>
        </w:tc>
        <w:tc>
          <w:tcPr>
            <w:tcW w:w="2252" w:type="dxa"/>
          </w:tcPr>
          <w:p>
            <w:pPr/>
          </w:p>
        </w:tc>
        <w:tc>
          <w:tcPr>
            <w:tcW w:w="1788" w:type="dxa"/>
          </w:tcPr>
          <w:p>
            <w:pPr>
              <w:pStyle w:val="TableParagraph"/>
              <w:spacing w:before="5"/>
              <w:ind w:left="885" w:right="184"/>
              <w:rPr>
                <w:sz w:val="12"/>
              </w:rPr>
            </w:pPr>
            <w:r>
              <w:rPr>
                <w:w w:val="105"/>
                <w:sz w:val="12"/>
              </w:rPr>
              <w:t>Subtotal</w:t>
            </w:r>
          </w:p>
        </w:tc>
        <w:tc>
          <w:tcPr>
            <w:tcW w:w="801" w:type="dxa"/>
          </w:tcPr>
          <w:p>
            <w:pPr>
              <w:pStyle w:val="TableParagraph"/>
              <w:tabs>
                <w:tab w:pos="518" w:val="left" w:leader="none"/>
                <w:tab w:pos="897" w:val="left" w:leader="none"/>
              </w:tabs>
              <w:spacing w:before="5"/>
              <w:ind w:left="203" w:right="-97"/>
              <w:jc w:val="left"/>
              <w:rPr>
                <w:sz w:val="12"/>
              </w:rPr>
            </w:pPr>
            <w:r>
              <w:rPr>
                <w:w w:val="105"/>
                <w:sz w:val="12"/>
                <w:shd w:fill="F79646" w:color="auto" w:val="clear"/>
              </w:rPr>
              <w:t> </w:t>
            </w:r>
            <w:r>
              <w:rPr>
                <w:sz w:val="12"/>
                <w:shd w:fill="F79646" w:color="auto" w:val="clear"/>
              </w:rPr>
              <w:tab/>
            </w:r>
            <w:r>
              <w:rPr>
                <w:w w:val="105"/>
                <w:sz w:val="12"/>
                <w:shd w:fill="F79646" w:color="auto" w:val="clear"/>
              </w:rPr>
              <w:t>0</w:t>
            </w:r>
            <w:r>
              <w:rPr>
                <w:sz w:val="12"/>
                <w:shd w:fill="F79646" w:color="auto" w:val="clear"/>
              </w:rPr>
              <w:tab/>
            </w:r>
          </w:p>
        </w:tc>
        <w:tc>
          <w:tcPr>
            <w:tcW w:w="770" w:type="dxa"/>
          </w:tcPr>
          <w:p>
            <w:pPr>
              <w:pStyle w:val="TableParagraph"/>
              <w:spacing w:before="5"/>
              <w:ind w:left="103"/>
              <w:rPr>
                <w:sz w:val="12"/>
              </w:rPr>
            </w:pPr>
            <w:r>
              <w:rPr>
                <w:w w:val="105"/>
                <w:sz w:val="12"/>
              </w:rPr>
              <w:t>2</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2</w:t>
            </w:r>
          </w:p>
        </w:tc>
      </w:tr>
      <w:tr>
        <w:trPr>
          <w:trHeight w:val="473" w:hRule="exact"/>
        </w:trPr>
        <w:tc>
          <w:tcPr>
            <w:tcW w:w="665" w:type="dxa"/>
            <w:tcBorders>
              <w:left w:val="single" w:sz="4" w:space="0" w:color="000000"/>
              <w:bottom w:val="single" w:sz="8" w:space="0" w:color="000000"/>
            </w:tcBorders>
          </w:tcPr>
          <w:p>
            <w:pPr/>
          </w:p>
        </w:tc>
        <w:tc>
          <w:tcPr>
            <w:tcW w:w="1863" w:type="dxa"/>
            <w:tcBorders>
              <w:bottom w:val="single" w:sz="8" w:space="0" w:color="000000"/>
            </w:tcBorders>
          </w:tcPr>
          <w:p>
            <w:pPr/>
          </w:p>
        </w:tc>
        <w:tc>
          <w:tcPr>
            <w:tcW w:w="2252" w:type="dxa"/>
            <w:tcBorders>
              <w:bottom w:val="single" w:sz="8" w:space="0" w:color="000000"/>
            </w:tcBorders>
          </w:tcPr>
          <w:p>
            <w:pPr/>
          </w:p>
        </w:tc>
        <w:tc>
          <w:tcPr>
            <w:tcW w:w="1788" w:type="dxa"/>
            <w:tcBorders>
              <w:bottom w:val="single" w:sz="8" w:space="0" w:color="000000"/>
            </w:tcBorders>
          </w:tcPr>
          <w:p>
            <w:pPr>
              <w:pStyle w:val="TableParagraph"/>
              <w:spacing w:before="6"/>
              <w:jc w:val="left"/>
              <w:rPr>
                <w:sz w:val="13"/>
              </w:rPr>
            </w:pPr>
          </w:p>
          <w:p>
            <w:pPr>
              <w:pStyle w:val="TableParagraph"/>
              <w:ind w:left="899" w:right="177"/>
              <w:rPr>
                <w:sz w:val="12"/>
              </w:rPr>
            </w:pPr>
            <w:r>
              <w:rPr>
                <w:w w:val="105"/>
                <w:sz w:val="12"/>
              </w:rPr>
              <w:t>Total IA</w:t>
            </w:r>
          </w:p>
        </w:tc>
        <w:tc>
          <w:tcPr>
            <w:tcW w:w="801" w:type="dxa"/>
            <w:tcBorders>
              <w:bottom w:val="single" w:sz="8" w:space="0" w:color="000000"/>
            </w:tcBorders>
          </w:tcPr>
          <w:p>
            <w:pPr>
              <w:pStyle w:val="TableParagraph"/>
              <w:spacing w:before="6"/>
              <w:jc w:val="left"/>
              <w:rPr>
                <w:sz w:val="13"/>
              </w:rPr>
            </w:pPr>
          </w:p>
          <w:p>
            <w:pPr>
              <w:pStyle w:val="TableParagraph"/>
              <w:tabs>
                <w:tab w:pos="466" w:val="left" w:leader="none"/>
                <w:tab w:pos="897" w:val="left" w:leader="none"/>
              </w:tabs>
              <w:ind w:left="203" w:right="-97"/>
              <w:jc w:val="left"/>
              <w:rPr>
                <w:sz w:val="12"/>
              </w:rPr>
            </w:pPr>
            <w:r>
              <w:rPr>
                <w:w w:val="105"/>
                <w:sz w:val="12"/>
                <w:shd w:fill="F79646" w:color="auto" w:val="clear"/>
              </w:rPr>
              <w:t> </w:t>
            </w:r>
            <w:r>
              <w:rPr>
                <w:sz w:val="12"/>
                <w:shd w:fill="F79646" w:color="auto" w:val="clear"/>
              </w:rPr>
              <w:tab/>
            </w:r>
            <w:r>
              <w:rPr>
                <w:w w:val="105"/>
                <w:sz w:val="12"/>
                <w:shd w:fill="F79646" w:color="auto" w:val="clear"/>
              </w:rPr>
              <w:t>8.3</w:t>
            </w:r>
            <w:r>
              <w:rPr>
                <w:sz w:val="12"/>
                <w:shd w:fill="F79646" w:color="auto" w:val="clear"/>
              </w:rPr>
              <w:tab/>
            </w:r>
          </w:p>
        </w:tc>
        <w:tc>
          <w:tcPr>
            <w:tcW w:w="770" w:type="dxa"/>
            <w:tcBorders>
              <w:bottom w:val="single" w:sz="8" w:space="0" w:color="000000"/>
            </w:tcBorders>
          </w:tcPr>
          <w:p>
            <w:pPr>
              <w:pStyle w:val="TableParagraph"/>
              <w:spacing w:before="6"/>
              <w:jc w:val="left"/>
              <w:rPr>
                <w:sz w:val="13"/>
              </w:rPr>
            </w:pPr>
          </w:p>
          <w:p>
            <w:pPr>
              <w:pStyle w:val="TableParagraph"/>
              <w:tabs>
                <w:tab w:pos="780" w:val="left" w:leader="none"/>
              </w:tabs>
              <w:ind w:left="85" w:right="-11"/>
              <w:jc w:val="left"/>
              <w:rPr>
                <w:sz w:val="12"/>
              </w:rPr>
            </w:pPr>
            <w:r>
              <w:rPr>
                <w:w w:val="105"/>
                <w:sz w:val="12"/>
                <w:shd w:fill="FFFF00" w:color="auto" w:val="clear"/>
              </w:rPr>
              <w:t> </w:t>
            </w:r>
            <w:r>
              <w:rPr>
                <w:sz w:val="12"/>
                <w:shd w:fill="FFFF00" w:color="auto" w:val="clear"/>
              </w:rPr>
              <w:t>     </w:t>
            </w:r>
            <w:r>
              <w:rPr>
                <w:spacing w:val="-15"/>
                <w:sz w:val="12"/>
                <w:shd w:fill="FFFF00" w:color="auto" w:val="clear"/>
              </w:rPr>
              <w:t> </w:t>
            </w:r>
            <w:r>
              <w:rPr>
                <w:w w:val="105"/>
                <w:sz w:val="12"/>
                <w:shd w:fill="FFFF00" w:color="auto" w:val="clear"/>
              </w:rPr>
              <w:t>18.3</w:t>
            </w:r>
            <w:r>
              <w:rPr>
                <w:sz w:val="12"/>
                <w:shd w:fill="FFFF00" w:color="auto" w:val="clear"/>
              </w:rPr>
              <w:tab/>
            </w:r>
          </w:p>
        </w:tc>
        <w:tc>
          <w:tcPr>
            <w:tcW w:w="684" w:type="dxa"/>
            <w:tcBorders>
              <w:bottom w:val="single" w:sz="8" w:space="0" w:color="000000"/>
              <w:right w:val="single" w:sz="8" w:space="0" w:color="000000"/>
            </w:tcBorders>
          </w:tcPr>
          <w:p>
            <w:pPr>
              <w:pStyle w:val="TableParagraph"/>
              <w:spacing w:before="6"/>
              <w:jc w:val="left"/>
              <w:rPr>
                <w:sz w:val="13"/>
              </w:rPr>
            </w:pPr>
          </w:p>
          <w:p>
            <w:pPr>
              <w:pStyle w:val="TableParagraph"/>
              <w:ind w:left="100" w:right="86"/>
              <w:rPr>
                <w:sz w:val="12"/>
              </w:rPr>
            </w:pPr>
            <w:r>
              <w:rPr>
                <w:w w:val="105"/>
                <w:sz w:val="12"/>
              </w:rPr>
              <w:t>24</w:t>
            </w:r>
          </w:p>
        </w:tc>
      </w:tr>
    </w:tbl>
    <w:p>
      <w:pPr>
        <w:spacing w:before="130"/>
        <w:ind w:left="268" w:right="0" w:firstLine="0"/>
        <w:jc w:val="left"/>
        <w:rPr>
          <w:sz w:val="21"/>
        </w:rPr>
      </w:pPr>
      <w:r>
        <w:rPr/>
        <w:pict>
          <v:group style="position:absolute;margin-left:363.401001pt;margin-top:-174.917618pt;width:75.25pt;height:24.75pt;mso-position-horizontal-relative:page;mso-position-vertical-relative:paragraph;z-index:-1133008" coordorigin="7268,-3498" coordsize="1505,495">
            <v:line style="position:absolute" from="7274,-3493" to="7274,-3325" stroked="true" strokeweight=".526pt" strokecolor="#baf9f5"/>
            <v:rect style="position:absolute;left:7279;top:-3493;width:1494;height:168" filled="true" fillcolor="#baf9f5" stroked="false">
              <v:fill type="solid"/>
            </v:rect>
            <v:line style="position:absolute" from="7274,-3325" to="7274,-3167" stroked="true" strokeweight=".526pt" strokecolor="#baf9f5"/>
            <v:rect style="position:absolute;left:7279;top:-3325;width:1494;height:158" filled="true" fillcolor="#baf9f5" stroked="false">
              <v:fill type="solid"/>
            </v:rect>
            <v:line style="position:absolute" from="7274,-3167" to="7274,-3009" stroked="true" strokeweight=".526pt" strokecolor="#baf9f5"/>
            <v:rect style="position:absolute;left:7279;top:-3167;width:1494;height:158" filled="true" fillcolor="#baf9f5" stroked="false">
              <v:fill type="solid"/>
            </v:rect>
            <w10:wrap type="none"/>
          </v:group>
        </w:pict>
      </w:r>
      <w:r>
        <w:rPr/>
        <w:pict>
          <v:shape style="position:absolute;margin-left:472.308014pt;margin-top:-174.642136pt;width:34.75pt;height:32.1pt;mso-position-horizontal-relative:page;mso-position-vertical-relative:paragraph;z-index:-1132984" coordorigin="9446,-3493" coordsize="695,642" path="m10141,-3493l9446,-3493,9446,-3325,9446,-3167,9446,-3019,9446,-3009,9446,-2851,10141,-2851,10141,-3009,10141,-3019,10141,-3167,10141,-3325,10141,-3493e" filled="true" fillcolor="#ffff00" stroked="false">
            <v:path arrowok="t"/>
            <v:fill type="solid"/>
            <w10:wrap type="none"/>
          </v:shape>
        </w:pict>
      </w:r>
      <w:r>
        <w:rPr/>
        <w:pict>
          <v:group style="position:absolute;margin-left:363.401001pt;margin-top:-135.468613pt;width:75.25pt;height:24.75pt;mso-position-horizontal-relative:page;mso-position-vertical-relative:paragraph;z-index:-1132960" coordorigin="7268,-2709" coordsize="1505,495">
            <v:line style="position:absolute" from="7274,-2704" to="7274,-2536" stroked="true" strokeweight=".526pt" strokecolor="#baf9f5"/>
            <v:rect style="position:absolute;left:7279;top:-2704;width:1494;height:168" filled="true" fillcolor="#baf9f5" stroked="false">
              <v:fill type="solid"/>
            </v:rect>
            <v:line style="position:absolute" from="7274,-2536" to="7274,-2378" stroked="true" strokeweight=".526pt" strokecolor="#baf9f5"/>
            <v:rect style="position:absolute;left:7279;top:-2536;width:1494;height:158" filled="true" fillcolor="#baf9f5" stroked="false">
              <v:fill type="solid"/>
            </v:rect>
            <v:line style="position:absolute" from="7274,-2378" to="7274,-2220" stroked="true" strokeweight=".526pt" strokecolor="#baf9f5"/>
            <v:rect style="position:absolute;left:7279;top:-2378;width:1494;height:158" filled="true" fillcolor="#baf9f5" stroked="false">
              <v:fill type="solid"/>
            </v:rect>
            <w10:wrap type="none"/>
          </v:group>
        </w:pict>
      </w:r>
      <w:r>
        <w:rPr/>
        <w:pict>
          <v:shape style="position:absolute;margin-left:472.308014pt;margin-top:-135.19313pt;width:34.75pt;height:32.1pt;mso-position-horizontal-relative:page;mso-position-vertical-relative:paragraph;z-index:-1132936" coordorigin="9446,-2704" coordsize="695,642" path="m10141,-2536l9446,-2536,9446,-2378,9446,-2230,9446,-2220,9446,-2062,10141,-2062,10141,-2220,10141,-2230,10141,-2378,10141,-2536m10141,-2704l9446,-2704,9446,-2536,10141,-2536,10141,-2704e" filled="true" fillcolor="#ffff00" stroked="false">
            <v:path arrowok="t"/>
            <v:fill type="solid"/>
            <w10:wrap type="none"/>
          </v:shape>
        </w:pict>
      </w:r>
      <w:r>
        <w:rPr/>
        <w:pict>
          <v:group style="position:absolute;margin-left:363.401001pt;margin-top:-96.019615pt;width:75.25pt;height:32.65pt;mso-position-horizontal-relative:page;mso-position-vertical-relative:paragraph;z-index:-1132912" coordorigin="7268,-1920" coordsize="1505,653">
            <v:line style="position:absolute" from="7274,-1915" to="7274,-1747" stroked="true" strokeweight=".526pt" strokecolor="#baf9f5"/>
            <v:rect style="position:absolute;left:7279;top:-1915;width:1494;height:168" filled="true" fillcolor="#baf9f5" stroked="false">
              <v:fill type="solid"/>
            </v:rect>
            <v:line style="position:absolute" from="7274,-1747" to="7274,-1589" stroked="true" strokeweight=".526pt" strokecolor="#baf9f5"/>
            <v:rect style="position:absolute;left:7279;top:-1747;width:1494;height:158" filled="true" fillcolor="#baf9f5" stroked="false">
              <v:fill type="solid"/>
            </v:rect>
            <v:line style="position:absolute" from="7274,-1589" to="7274,-1431" stroked="true" strokeweight=".526pt" strokecolor="#baf9f5"/>
            <v:rect style="position:absolute;left:7279;top:-1589;width:1494;height:158" filled="true" fillcolor="#baf9f5" stroked="false">
              <v:fill type="solid"/>
            </v:rect>
            <v:line style="position:absolute" from="7274,-1431" to="7274,-1273" stroked="true" strokeweight=".526pt" strokecolor="#baf9f5"/>
            <v:rect style="position:absolute;left:7279;top:-1431;width:1494;height:158" filled="true" fillcolor="#baf9f5" stroked="false">
              <v:fill type="solid"/>
            </v:rect>
            <w10:wrap type="none"/>
          </v:group>
        </w:pict>
      </w:r>
      <w:r>
        <w:rPr/>
        <w:pict>
          <v:shape style="position:absolute;margin-left:472.308014pt;margin-top:-95.744133pt;width:34.75pt;height:40pt;mso-position-horizontal-relative:page;mso-position-vertical-relative:paragraph;z-index:-1132888" coordorigin="9446,-1915" coordsize="695,800" path="m10141,-1589l9446,-1589,9446,-1431,9446,-1284,9446,-1273,9446,-1115,10141,-1115,10141,-1273,10141,-1284,10141,-1431,10141,-1589m10141,-1747l9446,-1747,9446,-1589,10141,-1589,10141,-1747m10141,-1915l9446,-1915,9446,-1747,10141,-1747,10141,-1915e" filled="true" fillcolor="#ffff00" stroked="false">
            <v:path arrowok="t"/>
            <v:fill type="solid"/>
            <w10:wrap type="none"/>
          </v:shape>
        </w:pict>
      </w:r>
      <w:r>
        <w:rPr/>
        <w:pict>
          <v:group style="position:absolute;margin-left:363.401001pt;margin-top:-48.680611pt;width:75.25pt;height:16.9pt;mso-position-horizontal-relative:page;mso-position-vertical-relative:paragraph;z-index:-1132864" coordorigin="7268,-974" coordsize="1505,338">
            <v:line style="position:absolute" from="7274,-968" to="7274,-800" stroked="true" strokeweight=".526pt" strokecolor="#baf9f5"/>
            <v:rect style="position:absolute;left:7279;top:-968;width:1494;height:168" filled="true" fillcolor="#baf9f5" stroked="false">
              <v:fill type="solid"/>
            </v:rect>
            <v:line style="position:absolute" from="7274,-800" to="7274,-642" stroked="true" strokeweight=".526pt" strokecolor="#baf9f5"/>
            <v:rect style="position:absolute;left:7279;top:-800;width:1494;height:158" filled="true" fillcolor="#baf9f5" stroked="false">
              <v:fill type="solid"/>
            </v:rect>
            <w10:wrap type="none"/>
          </v:group>
        </w:pict>
      </w:r>
      <w:r>
        <w:rPr/>
        <w:pict>
          <v:shape style="position:absolute;margin-left:472.308014pt;margin-top:-48.405128pt;width:34.75pt;height:24.2pt;mso-position-horizontal-relative:page;mso-position-vertical-relative:paragraph;z-index:-1132840" coordorigin="9446,-968" coordsize="695,484" path="m10141,-800l9446,-800,9446,-653,9446,-642,9446,-484,10141,-484,10141,-642,10141,-653,10141,-800m10141,-968l9446,-968,9446,-800,10141,-800,10141,-968e" filled="true" fillcolor="#ffff00" stroked="false">
            <v:path arrowok="t"/>
            <v:fill type="solid"/>
            <w10:wrap type="none"/>
          </v:shape>
        </w:pict>
      </w:r>
      <w:r>
        <w:rPr/>
        <w:pict>
          <v:rect style="position:absolute;margin-left:506.502014pt;margin-top:-16.846882pt;width:34.7201pt;height:8.41577pt;mso-position-horizontal-relative:page;mso-position-vertical-relative:paragraph;z-index:-1132816" filled="true" fillcolor="#67ed4d"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spacing w:before="1"/>
        <w:rPr>
          <w:sz w:val="18"/>
        </w:rPr>
      </w:pPr>
    </w:p>
    <w:p>
      <w:pPr>
        <w:pStyle w:val="BodyText"/>
        <w:spacing w:before="69" w:after="13"/>
        <w:ind w:left="268"/>
      </w:pPr>
      <w:r>
        <w:rPr/>
        <w:pict>
          <v:shape style="position:absolute;margin-left:360.7966pt;margin-top:17.888836pt;width:180.45pt;height:29.5pt;mso-position-horizontal-relative:page;mso-position-vertical-relative:paragraph;z-index:-1132792" type="#_x0000_t202" filled="false" stroked="false">
            <v:textbox inset="0,0,0,0">
              <w:txbxContent>
                <w:p>
                  <w:pPr>
                    <w:pStyle w:val="BodyText"/>
                    <w:rPr>
                      <w:sz w:val="12"/>
                    </w:rPr>
                  </w:pPr>
                </w:p>
                <w:p>
                  <w:pPr>
                    <w:pStyle w:val="BodyText"/>
                    <w:spacing w:before="4"/>
                    <w:rPr>
                      <w:sz w:val="14"/>
                    </w:rPr>
                  </w:pPr>
                </w:p>
                <w:p>
                  <w:pPr>
                    <w:spacing w:before="0"/>
                    <w:ind w:left="0" w:right="0" w:firstLine="0"/>
                    <w:jc w:val="left"/>
                    <w:rPr>
                      <w:b/>
                      <w:sz w:val="12"/>
                    </w:rPr>
                  </w:pPr>
                  <w:r>
                    <w:rPr>
                      <w:b/>
                      <w:color w:val="FFFFFF"/>
                      <w:w w:val="105"/>
                      <w:sz w:val="12"/>
                    </w:rPr>
                    <w:t>m</w:t>
                  </w:r>
                </w:p>
              </w:txbxContent>
            </v:textbox>
            <w10:wrap type="none"/>
          </v:shape>
        </w:pict>
      </w:r>
      <w:r>
        <w:rPr/>
        <w:pict>
          <v:line style="position:absolute;mso-position-horizontal-relative:page;mso-position-vertical-relative:paragraph;z-index:25264" from="93.199997pt,-19.614155pt" to="546.799997pt,-19.614155pt" stroked="true" strokeweight=".479981pt" strokecolor="#000000">
            <w10:wrap type="none"/>
          </v:line>
        </w:pict>
      </w:r>
      <w:r>
        <w:rPr/>
        <w:pict>
          <v:group style="position:absolute;margin-left:363.399506pt;margin-top:57.631214pt;width:75.25pt;height:16.9pt;mso-position-horizontal-relative:page;mso-position-vertical-relative:paragraph;z-index:-1132744" coordorigin="7268,1153" coordsize="1505,338">
            <v:shape style="position:absolute;left:7273;top:1158;width:2;height:327" coordorigin="7273,1158" coordsize="0,327" path="m7273,1158l7273,1327m7273,1316l7273,1485e" filled="false" stroked="true" strokeweight=".527pt" strokecolor="#baf9f5">
              <v:path arrowok="t"/>
            </v:shape>
            <v:shape style="position:absolute;left:7279;top:1158;width:1494;height:327" coordorigin="7279,1158" coordsize="1494,327" path="m8773,1158l7279,1158,7279,1316,7279,1327,7279,1485,8773,1485,8773,1327,8773,1316,8773,1158e" filled="true" fillcolor="#baf9f5" stroked="false">
              <v:path arrowok="t"/>
              <v:fill type="solid"/>
            </v:shape>
            <w10:wrap type="none"/>
          </v:group>
        </w:pict>
      </w:r>
      <w:r>
        <w:rPr/>
        <w:pict>
          <v:shape style="position:absolute;margin-left:472.305023pt;margin-top:89.498802pt;width:34.75pt;height:16.3500pt;mso-position-horizontal-relative:page;mso-position-vertical-relative:paragraph;z-index:-1132720" coordorigin="9446,1790" coordsize="695,327" path="m10140,1790l9446,1790,9446,1948,9446,1958,9446,2116,10140,2116,10140,1958,10140,1948,10140,1790e" filled="true" fillcolor="#ffff00" stroked="false">
            <v:path arrowok="t"/>
            <v:fill type="solid"/>
            <w10:wrap type="none"/>
          </v:shape>
        </w:pict>
      </w:r>
      <w:r>
        <w:rPr/>
        <w:pict>
          <v:group style="position:absolute;margin-left:363.399506pt;margin-top:112.917213pt;width:75.25pt;height:24.8pt;mso-position-horizontal-relative:page;mso-position-vertical-relative:paragraph;z-index:-1132696" coordorigin="7268,2258" coordsize="1505,496">
            <v:shape style="position:absolute;left:7279;top:2264;width:1494;height:327" coordorigin="7279,2264" coordsize="1494,327" path="m8773,2264l7279,2264,7279,2432,7279,2590,8773,2590,8773,2432,8773,2264e" filled="true" fillcolor="#baf9f5" stroked="false">
              <v:path arrowok="t"/>
              <v:fill type="solid"/>
            </v:shape>
            <v:line style="position:absolute" from="7273,2264" to="7273,2748" stroked="true" strokeweight=".527pt" strokecolor="#baf9f5"/>
            <v:rect style="position:absolute;left:7279;top:2590;width:1494;height:158" filled="true" fillcolor="#baf9f5" stroked="false">
              <v:fill type="solid"/>
            </v:rect>
            <w10:wrap type="none"/>
          </v:group>
        </w:pict>
      </w:r>
      <w:r>
        <w:rPr/>
        <w:pict>
          <v:shape style="position:absolute;margin-left:472.305023pt;margin-top:113.19281pt;width:34.75pt;height:32.15pt;mso-position-horizontal-relative:page;mso-position-vertical-relative:paragraph;z-index:-1132672" coordorigin="9446,2264" coordsize="695,643" path="m10140,2590l9446,2590,9446,2738,9446,2748,9446,2906,10140,2906,10140,2748,10140,2738,10140,2590m10140,2264l9446,2264,9446,2432,9446,2590,10140,2590,10140,2432,10140,2264e" filled="true" fillcolor="#ffff00" stroked="false">
            <v:path arrowok="t"/>
            <v:fill type="solid"/>
            <w10:wrap type="none"/>
          </v:shape>
        </w:pict>
      </w:r>
      <w:r>
        <w:rPr/>
        <w:t>Tabla 65. ISE URBI Hacienda Lomas</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9"/>
        <w:gridCol w:w="1887"/>
        <w:gridCol w:w="2744"/>
        <w:gridCol w:w="1317"/>
        <w:gridCol w:w="887"/>
        <w:gridCol w:w="685"/>
        <w:gridCol w:w="683"/>
      </w:tblGrid>
      <w:tr>
        <w:trPr>
          <w:trHeight w:val="584" w:hRule="exact"/>
        </w:trPr>
        <w:tc>
          <w:tcPr>
            <w:tcW w:w="5250" w:type="dxa"/>
            <w:gridSpan w:val="3"/>
            <w:tcBorders>
              <w:bottom w:val="single" w:sz="4" w:space="0" w:color="FFFFFF"/>
            </w:tcBorders>
            <w:shd w:val="clear" w:color="auto" w:fill="000000"/>
          </w:tcPr>
          <w:p>
            <w:pPr>
              <w:pStyle w:val="TableParagraph"/>
              <w:spacing w:before="7"/>
              <w:jc w:val="left"/>
              <w:rPr>
                <w:sz w:val="12"/>
              </w:rPr>
            </w:pPr>
          </w:p>
          <w:p>
            <w:pPr>
              <w:pStyle w:val="TableParagraph"/>
              <w:spacing w:line="273" w:lineRule="auto"/>
              <w:ind w:left="3308" w:right="10" w:firstLine="462"/>
              <w:jc w:val="left"/>
              <w:rPr>
                <w:b/>
                <w:sz w:val="12"/>
              </w:rPr>
            </w:pPr>
            <w:r>
              <w:rPr>
                <w:b/>
                <w:color w:val="FFFFFF"/>
                <w:w w:val="105"/>
                <w:sz w:val="12"/>
              </w:rPr>
              <w:t>Urbi Hacienda Lomas Índice de sustentabilidad econó</w:t>
            </w:r>
          </w:p>
        </w:tc>
        <w:tc>
          <w:tcPr>
            <w:tcW w:w="3572" w:type="dxa"/>
            <w:gridSpan w:val="4"/>
            <w:tcBorders>
              <w:bottom w:val="single" w:sz="4" w:space="0" w:color="FFFFFF"/>
              <w:right w:val="single" w:sz="4" w:space="0" w:color="FBF111"/>
            </w:tcBorders>
            <w:shd w:val="clear" w:color="auto" w:fill="000000"/>
          </w:tcPr>
          <w:p>
            <w:pPr>
              <w:pStyle w:val="TableParagraph"/>
              <w:jc w:val="left"/>
              <w:rPr>
                <w:sz w:val="12"/>
              </w:rPr>
            </w:pPr>
          </w:p>
          <w:p>
            <w:pPr>
              <w:pStyle w:val="TableParagraph"/>
              <w:spacing w:before="4"/>
              <w:jc w:val="left"/>
              <w:rPr>
                <w:sz w:val="14"/>
              </w:rPr>
            </w:pPr>
          </w:p>
          <w:p>
            <w:pPr>
              <w:pStyle w:val="TableParagraph"/>
              <w:ind w:left="86"/>
              <w:jc w:val="left"/>
              <w:rPr>
                <w:b/>
                <w:sz w:val="12"/>
              </w:rPr>
            </w:pPr>
            <w:r>
              <w:rPr>
                <w:b/>
                <w:color w:val="FFFFFF"/>
                <w:w w:val="105"/>
                <w:sz w:val="12"/>
              </w:rPr>
              <w:t>ica</w:t>
            </w:r>
          </w:p>
        </w:tc>
      </w:tr>
      <w:tr>
        <w:trPr>
          <w:trHeight w:val="190" w:hRule="exact"/>
        </w:trPr>
        <w:tc>
          <w:tcPr>
            <w:tcW w:w="619" w:type="dxa"/>
            <w:tcBorders>
              <w:top w:val="single" w:sz="4" w:space="0" w:color="FFFFFF"/>
              <w:left w:val="single" w:sz="4" w:space="0" w:color="000000"/>
            </w:tcBorders>
            <w:shd w:val="clear" w:color="auto" w:fill="808080"/>
          </w:tcPr>
          <w:p>
            <w:pPr>
              <w:pStyle w:val="TableParagraph"/>
              <w:spacing w:line="136" w:lineRule="exact"/>
              <w:ind w:left="157"/>
              <w:jc w:val="left"/>
              <w:rPr>
                <w:b/>
                <w:sz w:val="12"/>
              </w:rPr>
            </w:pPr>
            <w:r>
              <w:rPr>
                <w:b/>
                <w:color w:val="FFFFFF"/>
                <w:w w:val="105"/>
                <w:sz w:val="12"/>
              </w:rPr>
              <w:t>Índice</w:t>
            </w:r>
          </w:p>
        </w:tc>
        <w:tc>
          <w:tcPr>
            <w:tcW w:w="1887" w:type="dxa"/>
            <w:tcBorders>
              <w:top w:val="single" w:sz="4" w:space="0" w:color="FFFFFF"/>
            </w:tcBorders>
            <w:shd w:val="clear" w:color="auto" w:fill="808080"/>
          </w:tcPr>
          <w:p>
            <w:pPr>
              <w:pStyle w:val="TableParagraph"/>
              <w:spacing w:line="136" w:lineRule="exact"/>
              <w:ind w:left="91"/>
              <w:jc w:val="left"/>
              <w:rPr>
                <w:b/>
                <w:sz w:val="12"/>
              </w:rPr>
            </w:pPr>
            <w:r>
              <w:rPr>
                <w:b/>
                <w:color w:val="FFFFFF"/>
                <w:w w:val="105"/>
                <w:sz w:val="12"/>
              </w:rPr>
              <w:t>Subíndice</w:t>
            </w:r>
          </w:p>
        </w:tc>
        <w:tc>
          <w:tcPr>
            <w:tcW w:w="2744" w:type="dxa"/>
            <w:tcBorders>
              <w:top w:val="single" w:sz="4" w:space="0" w:color="FFFFFF"/>
            </w:tcBorders>
            <w:shd w:val="clear" w:color="auto" w:fill="808080"/>
          </w:tcPr>
          <w:p>
            <w:pPr>
              <w:pStyle w:val="TableParagraph"/>
              <w:spacing w:line="136" w:lineRule="exact"/>
              <w:ind w:left="308" w:right="1008"/>
              <w:jc w:val="left"/>
              <w:rPr>
                <w:b/>
                <w:sz w:val="12"/>
              </w:rPr>
            </w:pPr>
            <w:r>
              <w:rPr>
                <w:b/>
                <w:color w:val="FFFFFF"/>
                <w:w w:val="105"/>
                <w:sz w:val="12"/>
              </w:rPr>
              <w:t>Indicador</w:t>
            </w:r>
          </w:p>
        </w:tc>
        <w:tc>
          <w:tcPr>
            <w:tcW w:w="1317" w:type="dxa"/>
            <w:tcBorders>
              <w:top w:val="single" w:sz="4" w:space="0" w:color="FFFFFF"/>
            </w:tcBorders>
            <w:shd w:val="clear" w:color="auto" w:fill="808080"/>
          </w:tcPr>
          <w:p>
            <w:pPr/>
          </w:p>
        </w:tc>
        <w:tc>
          <w:tcPr>
            <w:tcW w:w="887" w:type="dxa"/>
            <w:tcBorders>
              <w:top w:val="single" w:sz="4" w:space="0" w:color="FFFFFF"/>
            </w:tcBorders>
            <w:shd w:val="clear" w:color="auto" w:fill="808080"/>
          </w:tcPr>
          <w:p>
            <w:pPr>
              <w:pStyle w:val="TableParagraph"/>
              <w:spacing w:line="136" w:lineRule="exact"/>
              <w:ind w:left="266"/>
              <w:jc w:val="left"/>
              <w:rPr>
                <w:b/>
                <w:sz w:val="12"/>
              </w:rPr>
            </w:pPr>
            <w:r>
              <w:rPr>
                <w:b/>
                <w:color w:val="FFFFFF"/>
                <w:w w:val="105"/>
                <w:sz w:val="12"/>
              </w:rPr>
              <w:t>Valores</w:t>
            </w:r>
          </w:p>
        </w:tc>
        <w:tc>
          <w:tcPr>
            <w:tcW w:w="685" w:type="dxa"/>
            <w:tcBorders>
              <w:top w:val="single" w:sz="4" w:space="0" w:color="FFFFFF"/>
            </w:tcBorders>
            <w:shd w:val="clear" w:color="auto" w:fill="808080"/>
          </w:tcPr>
          <w:p>
            <w:pPr/>
          </w:p>
        </w:tc>
        <w:tc>
          <w:tcPr>
            <w:tcW w:w="683" w:type="dxa"/>
            <w:tcBorders>
              <w:top w:val="single" w:sz="4" w:space="0" w:color="FFFFFF"/>
              <w:right w:val="single" w:sz="8" w:space="0" w:color="000000"/>
            </w:tcBorders>
            <w:shd w:val="clear" w:color="auto" w:fill="808080"/>
          </w:tcPr>
          <w:p>
            <w:pPr/>
          </w:p>
        </w:tc>
      </w:tr>
      <w:tr>
        <w:trPr>
          <w:trHeight w:val="187" w:hRule="exact"/>
        </w:trPr>
        <w:tc>
          <w:tcPr>
            <w:tcW w:w="619" w:type="dxa"/>
            <w:vMerge w:val="restart"/>
            <w:tcBorders>
              <w:left w:val="single" w:sz="4" w:space="0" w:color="000000"/>
            </w:tcBorders>
          </w:tcPr>
          <w:p>
            <w:pPr/>
          </w:p>
        </w:tc>
        <w:tc>
          <w:tcPr>
            <w:tcW w:w="1887" w:type="dxa"/>
            <w:vMerge w:val="restart"/>
          </w:tcPr>
          <w:p>
            <w:pPr>
              <w:pStyle w:val="TableParagraph"/>
              <w:spacing w:before="8"/>
              <w:jc w:val="left"/>
              <w:rPr>
                <w:sz w:val="16"/>
              </w:rPr>
            </w:pPr>
          </w:p>
          <w:p>
            <w:pPr>
              <w:pStyle w:val="TableParagraph"/>
              <w:spacing w:before="1"/>
              <w:ind w:left="91"/>
              <w:jc w:val="left"/>
              <w:rPr>
                <w:sz w:val="12"/>
              </w:rPr>
            </w:pPr>
            <w:r>
              <w:rPr>
                <w:w w:val="105"/>
                <w:sz w:val="12"/>
              </w:rPr>
              <w:t>Situación de la vivienda</w:t>
            </w:r>
          </w:p>
        </w:tc>
        <w:tc>
          <w:tcPr>
            <w:tcW w:w="2744" w:type="dxa"/>
            <w:vMerge w:val="restart"/>
          </w:tcPr>
          <w:p>
            <w:pPr>
              <w:pStyle w:val="TableParagraph"/>
              <w:spacing w:before="8"/>
              <w:jc w:val="left"/>
              <w:rPr>
                <w:sz w:val="16"/>
              </w:rPr>
            </w:pPr>
          </w:p>
          <w:p>
            <w:pPr>
              <w:pStyle w:val="TableParagraph"/>
              <w:spacing w:before="1"/>
              <w:ind w:left="308" w:right="1008"/>
              <w:jc w:val="left"/>
              <w:rPr>
                <w:sz w:val="12"/>
              </w:rPr>
            </w:pPr>
            <w:r>
              <w:rPr>
                <w:w w:val="105"/>
                <w:sz w:val="12"/>
              </w:rPr>
              <w:t>Precio</w:t>
            </w:r>
          </w:p>
        </w:tc>
        <w:tc>
          <w:tcPr>
            <w:tcW w:w="1317" w:type="dxa"/>
            <w:vMerge w:val="restart"/>
          </w:tcPr>
          <w:p>
            <w:pPr>
              <w:pStyle w:val="TableParagraph"/>
              <w:spacing w:before="35"/>
              <w:ind w:left="427" w:right="184"/>
              <w:rPr>
                <w:b/>
                <w:sz w:val="12"/>
              </w:rPr>
            </w:pPr>
            <w:r>
              <w:rPr>
                <w:b/>
                <w:w w:val="105"/>
                <w:sz w:val="12"/>
              </w:rPr>
              <w:t>Evaluación</w:t>
            </w:r>
          </w:p>
          <w:p>
            <w:pPr>
              <w:pStyle w:val="TableParagraph"/>
              <w:spacing w:before="20"/>
              <w:ind w:left="236"/>
              <w:rPr>
                <w:sz w:val="12"/>
              </w:rPr>
            </w:pPr>
            <w:r>
              <w:rPr>
                <w:w w:val="105"/>
                <w:sz w:val="12"/>
              </w:rPr>
              <w:t>1</w:t>
            </w:r>
          </w:p>
          <w:p>
            <w:pPr>
              <w:pStyle w:val="TableParagraph"/>
              <w:spacing w:before="20"/>
              <w:ind w:left="413" w:right="184"/>
              <w:rPr>
                <w:sz w:val="12"/>
              </w:rPr>
            </w:pPr>
            <w:r>
              <w:rPr>
                <w:w w:val="105"/>
                <w:sz w:val="12"/>
              </w:rPr>
              <w:t>Subtotal</w:t>
            </w:r>
          </w:p>
        </w:tc>
        <w:tc>
          <w:tcPr>
            <w:tcW w:w="887" w:type="dxa"/>
            <w:vMerge w:val="restart"/>
          </w:tcPr>
          <w:p>
            <w:pPr>
              <w:pStyle w:val="TableParagraph"/>
              <w:tabs>
                <w:tab w:pos="897" w:val="left" w:leader="none"/>
              </w:tabs>
              <w:spacing w:before="35"/>
              <w:ind w:left="203" w:right="-11"/>
              <w:jc w:val="left"/>
              <w:rPr>
                <w:b/>
                <w:sz w:val="12"/>
              </w:rPr>
            </w:pPr>
            <w:r>
              <w:rPr>
                <w:b/>
                <w:w w:val="105"/>
                <w:sz w:val="12"/>
                <w:shd w:fill="F79646" w:color="auto" w:val="clear"/>
              </w:rPr>
              <w:t> </w:t>
            </w:r>
            <w:r>
              <w:rPr>
                <w:b/>
                <w:sz w:val="12"/>
                <w:shd w:fill="F79646" w:color="auto" w:val="clear"/>
              </w:rPr>
              <w:t>    </w:t>
            </w:r>
            <w:r>
              <w:rPr>
                <w:b/>
                <w:spacing w:val="8"/>
                <w:sz w:val="12"/>
                <w:shd w:fill="F79646" w:color="auto" w:val="clear"/>
              </w:rPr>
              <w:t> </w:t>
            </w:r>
            <w:r>
              <w:rPr>
                <w:b/>
                <w:w w:val="105"/>
                <w:sz w:val="12"/>
                <w:shd w:fill="F79646" w:color="auto" w:val="clear"/>
              </w:rPr>
              <w:t>Real</w:t>
            </w:r>
            <w:r>
              <w:rPr>
                <w:b/>
                <w:sz w:val="12"/>
                <w:shd w:fill="F79646" w:color="auto" w:val="clear"/>
              </w:rPr>
              <w:tab/>
            </w:r>
          </w:p>
          <w:p>
            <w:pPr>
              <w:pStyle w:val="TableParagraph"/>
              <w:spacing w:before="5"/>
              <w:jc w:val="left"/>
              <w:rPr>
                <w:sz w:val="15"/>
              </w:rPr>
            </w:pPr>
          </w:p>
          <w:p>
            <w:pPr>
              <w:pStyle w:val="TableParagraph"/>
              <w:tabs>
                <w:tab w:pos="518" w:val="left" w:leader="none"/>
                <w:tab w:pos="897" w:val="left" w:leader="none"/>
              </w:tabs>
              <w:ind w:left="203" w:right="-11"/>
              <w:jc w:val="left"/>
              <w:rPr>
                <w:sz w:val="12"/>
              </w:rPr>
            </w:pPr>
            <w:r>
              <w:rPr>
                <w:w w:val="105"/>
                <w:sz w:val="12"/>
                <w:shd w:fill="F79646" w:color="auto" w:val="clear"/>
              </w:rPr>
              <w:t> </w:t>
            </w:r>
            <w:r>
              <w:rPr>
                <w:sz w:val="12"/>
                <w:shd w:fill="F79646" w:color="auto" w:val="clear"/>
              </w:rPr>
              <w:tab/>
            </w:r>
            <w:r>
              <w:rPr>
                <w:w w:val="105"/>
                <w:sz w:val="12"/>
                <w:shd w:fill="F79646" w:color="auto" w:val="clear"/>
              </w:rPr>
              <w:t>1</w:t>
            </w:r>
            <w:r>
              <w:rPr>
                <w:sz w:val="12"/>
                <w:shd w:fill="F79646" w:color="auto" w:val="clear"/>
              </w:rPr>
              <w:tab/>
            </w:r>
          </w:p>
        </w:tc>
        <w:tc>
          <w:tcPr>
            <w:tcW w:w="685" w:type="dxa"/>
            <w:tcBorders>
              <w:right w:val="single" w:sz="4" w:space="0" w:color="FFFFFF"/>
            </w:tcBorders>
            <w:shd w:val="clear" w:color="auto" w:fill="FFFF00"/>
          </w:tcPr>
          <w:p>
            <w:pPr>
              <w:pStyle w:val="TableParagraph"/>
              <w:spacing w:before="35"/>
              <w:ind w:left="54" w:right="32"/>
              <w:rPr>
                <w:b/>
                <w:sz w:val="12"/>
              </w:rPr>
            </w:pPr>
            <w:r>
              <w:rPr>
                <w:b/>
                <w:w w:val="105"/>
                <w:sz w:val="12"/>
              </w:rPr>
              <w:t>Deseable</w:t>
            </w:r>
          </w:p>
        </w:tc>
        <w:tc>
          <w:tcPr>
            <w:tcW w:w="683" w:type="dxa"/>
            <w:tcBorders>
              <w:left w:val="single" w:sz="4" w:space="0" w:color="FFFFFF"/>
              <w:right w:val="single" w:sz="8" w:space="0" w:color="000000"/>
            </w:tcBorders>
            <w:shd w:val="clear" w:color="auto" w:fill="67ED4D"/>
          </w:tcPr>
          <w:p>
            <w:pPr>
              <w:pStyle w:val="TableParagraph"/>
              <w:spacing w:before="35"/>
              <w:ind w:left="100" w:right="86"/>
              <w:rPr>
                <w:b/>
                <w:sz w:val="12"/>
              </w:rPr>
            </w:pPr>
            <w:r>
              <w:rPr>
                <w:b/>
                <w:w w:val="105"/>
                <w:sz w:val="12"/>
              </w:rPr>
              <w:t>Óptimo</w:t>
            </w:r>
          </w:p>
        </w:tc>
      </w:tr>
      <w:tr>
        <w:trPr>
          <w:trHeight w:val="158" w:hRule="exact"/>
        </w:trPr>
        <w:tc>
          <w:tcPr>
            <w:tcW w:w="619" w:type="dxa"/>
            <w:vMerge/>
            <w:tcBorders>
              <w:left w:val="single" w:sz="4" w:space="0" w:color="000000"/>
            </w:tcBorders>
          </w:tcPr>
          <w:p>
            <w:pPr/>
          </w:p>
        </w:tc>
        <w:tc>
          <w:tcPr>
            <w:tcW w:w="1887" w:type="dxa"/>
            <w:vMerge/>
          </w:tcPr>
          <w:p>
            <w:pPr/>
          </w:p>
        </w:tc>
        <w:tc>
          <w:tcPr>
            <w:tcW w:w="2744" w:type="dxa"/>
            <w:vMerge/>
          </w:tcPr>
          <w:p>
            <w:pPr/>
          </w:p>
        </w:tc>
        <w:tc>
          <w:tcPr>
            <w:tcW w:w="1317" w:type="dxa"/>
            <w:vMerge/>
          </w:tcPr>
          <w:p>
            <w:pPr/>
          </w:p>
        </w:tc>
        <w:tc>
          <w:tcPr>
            <w:tcW w:w="887" w:type="dxa"/>
            <w:vMerge/>
          </w:tcPr>
          <w:p>
            <w:pPr/>
          </w:p>
        </w:tc>
        <w:tc>
          <w:tcPr>
            <w:tcW w:w="685" w:type="dxa"/>
            <w:tcBorders>
              <w:right w:val="single" w:sz="4" w:space="0" w:color="FFFFFF"/>
            </w:tcBorders>
            <w:shd w:val="clear" w:color="auto" w:fill="FFFF00"/>
          </w:tcPr>
          <w:p>
            <w:pPr>
              <w:pStyle w:val="TableParagraph"/>
              <w:spacing w:before="5"/>
              <w:ind w:left="54" w:right="32"/>
              <w:rPr>
                <w:sz w:val="12"/>
              </w:rPr>
            </w:pPr>
            <w:r>
              <w:rPr>
                <w:w w:val="105"/>
                <w:sz w:val="12"/>
              </w:rPr>
              <w:t>0.5</w:t>
            </w:r>
          </w:p>
        </w:tc>
        <w:tc>
          <w:tcPr>
            <w:tcW w:w="683" w:type="dxa"/>
            <w:tcBorders>
              <w:left w:val="single" w:sz="4" w:space="0" w:color="FFFFFF"/>
              <w:right w:val="single" w:sz="8" w:space="0" w:color="000000"/>
            </w:tcBorders>
            <w:shd w:val="clear" w:color="auto" w:fill="67ED4D"/>
          </w:tcPr>
          <w:p>
            <w:pPr>
              <w:pStyle w:val="TableParagraph"/>
              <w:spacing w:before="5"/>
              <w:ind w:left="22"/>
              <w:rPr>
                <w:sz w:val="12"/>
              </w:rPr>
            </w:pPr>
            <w:r>
              <w:rPr>
                <w:w w:val="105"/>
                <w:sz w:val="12"/>
              </w:rPr>
              <w:t>1</w:t>
            </w:r>
          </w:p>
        </w:tc>
      </w:tr>
      <w:tr>
        <w:trPr>
          <w:trHeight w:val="166" w:hRule="exact"/>
        </w:trPr>
        <w:tc>
          <w:tcPr>
            <w:tcW w:w="619" w:type="dxa"/>
            <w:vMerge/>
            <w:tcBorders>
              <w:left w:val="single" w:sz="4" w:space="0" w:color="000000"/>
            </w:tcBorders>
          </w:tcPr>
          <w:p>
            <w:pPr/>
          </w:p>
        </w:tc>
        <w:tc>
          <w:tcPr>
            <w:tcW w:w="1887" w:type="dxa"/>
            <w:vMerge/>
          </w:tcPr>
          <w:p>
            <w:pPr/>
          </w:p>
        </w:tc>
        <w:tc>
          <w:tcPr>
            <w:tcW w:w="2744" w:type="dxa"/>
            <w:vMerge/>
          </w:tcPr>
          <w:p>
            <w:pPr/>
          </w:p>
        </w:tc>
        <w:tc>
          <w:tcPr>
            <w:tcW w:w="1317" w:type="dxa"/>
            <w:vMerge/>
          </w:tcPr>
          <w:p>
            <w:pPr/>
          </w:p>
        </w:tc>
        <w:tc>
          <w:tcPr>
            <w:tcW w:w="887" w:type="dxa"/>
            <w:vMerge/>
          </w:tcPr>
          <w:p>
            <w:pPr/>
          </w:p>
        </w:tc>
        <w:tc>
          <w:tcPr>
            <w:tcW w:w="685" w:type="dxa"/>
            <w:tcBorders>
              <w:right w:val="single" w:sz="4" w:space="0" w:color="FFFFFF"/>
            </w:tcBorders>
            <w:shd w:val="clear" w:color="auto" w:fill="FFFF00"/>
          </w:tcPr>
          <w:p>
            <w:pPr>
              <w:pStyle w:val="TableParagraph"/>
              <w:spacing w:before="5"/>
              <w:ind w:left="54" w:right="32"/>
              <w:rPr>
                <w:sz w:val="12"/>
              </w:rPr>
            </w:pPr>
            <w:r>
              <w:rPr>
                <w:w w:val="105"/>
                <w:sz w:val="12"/>
              </w:rPr>
              <w:t>0.5</w:t>
            </w:r>
          </w:p>
        </w:tc>
        <w:tc>
          <w:tcPr>
            <w:tcW w:w="683" w:type="dxa"/>
            <w:tcBorders>
              <w:left w:val="single" w:sz="4" w:space="0" w:color="FFFFFF"/>
              <w:right w:val="single" w:sz="8" w:space="0" w:color="000000"/>
            </w:tcBorders>
            <w:shd w:val="clear" w:color="auto" w:fill="67ED4D"/>
          </w:tcPr>
          <w:p>
            <w:pPr>
              <w:pStyle w:val="TableParagraph"/>
              <w:spacing w:before="5"/>
              <w:ind w:left="22"/>
              <w:rPr>
                <w:sz w:val="12"/>
              </w:rPr>
            </w:pPr>
            <w:r>
              <w:rPr>
                <w:w w:val="105"/>
                <w:sz w:val="12"/>
              </w:rPr>
              <w:t>1</w:t>
            </w:r>
          </w:p>
        </w:tc>
      </w:tr>
      <w:tr>
        <w:trPr>
          <w:trHeight w:val="147" w:hRule="exact"/>
        </w:trPr>
        <w:tc>
          <w:tcPr>
            <w:tcW w:w="8822" w:type="dxa"/>
            <w:gridSpan w:val="7"/>
            <w:tcBorders>
              <w:left w:val="single" w:sz="4" w:space="0" w:color="000000"/>
              <w:right w:val="single" w:sz="8" w:space="0" w:color="000000"/>
            </w:tcBorders>
          </w:tcPr>
          <w:p>
            <w:pPr/>
          </w:p>
        </w:tc>
      </w:tr>
      <w:tr>
        <w:trPr>
          <w:trHeight w:val="161" w:hRule="exact"/>
        </w:trPr>
        <w:tc>
          <w:tcPr>
            <w:tcW w:w="619" w:type="dxa"/>
            <w:tcBorders>
              <w:left w:val="single" w:sz="4" w:space="0" w:color="000000"/>
            </w:tcBorders>
          </w:tcPr>
          <w:p>
            <w:pPr/>
          </w:p>
        </w:tc>
        <w:tc>
          <w:tcPr>
            <w:tcW w:w="1887" w:type="dxa"/>
          </w:tcPr>
          <w:p>
            <w:pPr>
              <w:pStyle w:val="TableParagraph"/>
              <w:spacing w:before="8"/>
              <w:ind w:left="91"/>
              <w:jc w:val="left"/>
              <w:rPr>
                <w:sz w:val="12"/>
              </w:rPr>
            </w:pPr>
            <w:r>
              <w:rPr>
                <w:w w:val="105"/>
                <w:sz w:val="12"/>
              </w:rPr>
              <w:t>INEX</w:t>
            </w:r>
          </w:p>
        </w:tc>
        <w:tc>
          <w:tcPr>
            <w:tcW w:w="2744" w:type="dxa"/>
          </w:tcPr>
          <w:p>
            <w:pPr>
              <w:pStyle w:val="TableParagraph"/>
              <w:spacing w:before="8"/>
              <w:ind w:left="308" w:right="1008"/>
              <w:jc w:val="left"/>
              <w:rPr>
                <w:sz w:val="12"/>
              </w:rPr>
            </w:pPr>
            <w:r>
              <w:rPr>
                <w:w w:val="105"/>
                <w:sz w:val="12"/>
              </w:rPr>
              <w:t>Infonavit</w:t>
            </w:r>
          </w:p>
        </w:tc>
        <w:tc>
          <w:tcPr>
            <w:tcW w:w="1317" w:type="dxa"/>
          </w:tcPr>
          <w:p>
            <w:pPr>
              <w:pStyle w:val="TableParagraph"/>
              <w:tabs>
                <w:tab w:pos="741" w:val="left" w:leader="none"/>
                <w:tab w:pos="1530" w:val="left" w:leader="none"/>
              </w:tabs>
              <w:spacing w:before="8"/>
              <w:ind w:left="26" w:right="-214"/>
              <w:rPr>
                <w:sz w:val="12"/>
              </w:rPr>
            </w:pPr>
            <w:r>
              <w:rPr>
                <w:w w:val="105"/>
                <w:sz w:val="12"/>
                <w:shd w:fill="BAF9F5" w:color="auto" w:val="clear"/>
              </w:rPr>
              <w:t> </w:t>
            </w:r>
            <w:r>
              <w:rPr>
                <w:sz w:val="12"/>
                <w:shd w:fill="BAF9F5" w:color="auto" w:val="clear"/>
              </w:rPr>
              <w:tab/>
            </w:r>
            <w:r>
              <w:rPr>
                <w:w w:val="105"/>
                <w:sz w:val="12"/>
                <w:shd w:fill="BAF9F5" w:color="auto" w:val="clear"/>
              </w:rPr>
              <w:t>0</w:t>
            </w:r>
            <w:r>
              <w:rPr>
                <w:sz w:val="12"/>
                <w:shd w:fill="BAF9F5" w:color="auto" w:val="clear"/>
              </w:rPr>
              <w:tab/>
            </w:r>
          </w:p>
        </w:tc>
        <w:tc>
          <w:tcPr>
            <w:tcW w:w="887" w:type="dxa"/>
          </w:tcPr>
          <w:p>
            <w:pPr/>
          </w:p>
        </w:tc>
        <w:tc>
          <w:tcPr>
            <w:tcW w:w="685" w:type="dxa"/>
          </w:tcPr>
          <w:p>
            <w:pPr>
              <w:pStyle w:val="TableParagraph"/>
              <w:spacing w:before="8"/>
              <w:ind w:left="242" w:right="226"/>
              <w:rPr>
                <w:sz w:val="12"/>
              </w:rPr>
            </w:pPr>
            <w:r>
              <w:rPr>
                <w:w w:val="105"/>
                <w:sz w:val="12"/>
              </w:rPr>
              <w:t>0.7</w:t>
            </w:r>
          </w:p>
        </w:tc>
        <w:tc>
          <w:tcPr>
            <w:tcW w:w="683" w:type="dxa"/>
            <w:tcBorders>
              <w:right w:val="single" w:sz="8" w:space="0" w:color="000000"/>
            </w:tcBorders>
            <w:shd w:val="clear" w:color="auto" w:fill="67ED4D"/>
          </w:tcPr>
          <w:p>
            <w:pPr>
              <w:pStyle w:val="TableParagraph"/>
              <w:spacing w:before="8"/>
              <w:ind w:left="27"/>
              <w:rPr>
                <w:sz w:val="12"/>
              </w:rPr>
            </w:pPr>
            <w:r>
              <w:rPr>
                <w:w w:val="105"/>
                <w:sz w:val="12"/>
              </w:rPr>
              <w:t>1</w:t>
            </w:r>
          </w:p>
        </w:tc>
      </w:tr>
      <w:tr>
        <w:trPr>
          <w:trHeight w:val="166" w:hRule="exact"/>
        </w:trPr>
        <w:tc>
          <w:tcPr>
            <w:tcW w:w="619" w:type="dxa"/>
            <w:tcBorders>
              <w:left w:val="single" w:sz="4" w:space="0" w:color="000000"/>
            </w:tcBorders>
          </w:tcPr>
          <w:p>
            <w:pPr/>
          </w:p>
        </w:tc>
        <w:tc>
          <w:tcPr>
            <w:tcW w:w="1887" w:type="dxa"/>
          </w:tcPr>
          <w:p>
            <w:pPr/>
          </w:p>
        </w:tc>
        <w:tc>
          <w:tcPr>
            <w:tcW w:w="2744" w:type="dxa"/>
          </w:tcPr>
          <w:p>
            <w:pPr/>
          </w:p>
        </w:tc>
        <w:tc>
          <w:tcPr>
            <w:tcW w:w="1317" w:type="dxa"/>
          </w:tcPr>
          <w:p>
            <w:pPr>
              <w:pStyle w:val="TableParagraph"/>
              <w:spacing w:before="5"/>
              <w:ind w:left="413" w:right="184"/>
              <w:rPr>
                <w:sz w:val="12"/>
              </w:rPr>
            </w:pPr>
            <w:r>
              <w:rPr>
                <w:w w:val="105"/>
                <w:sz w:val="12"/>
              </w:rPr>
              <w:t>Subtotal</w:t>
            </w:r>
          </w:p>
        </w:tc>
        <w:tc>
          <w:tcPr>
            <w:tcW w:w="887" w:type="dxa"/>
          </w:tcPr>
          <w:p>
            <w:pPr>
              <w:pStyle w:val="TableParagraph"/>
              <w:tabs>
                <w:tab w:pos="518" w:val="left" w:leader="none"/>
                <w:tab w:pos="897" w:val="left" w:leader="none"/>
              </w:tabs>
              <w:spacing w:before="5"/>
              <w:ind w:left="203" w:right="-11"/>
              <w:jc w:val="left"/>
              <w:rPr>
                <w:sz w:val="12"/>
              </w:rPr>
            </w:pPr>
            <w:r>
              <w:rPr>
                <w:w w:val="105"/>
                <w:sz w:val="12"/>
                <w:shd w:fill="F79646" w:color="auto" w:val="clear"/>
              </w:rPr>
              <w:t> </w:t>
            </w:r>
            <w:r>
              <w:rPr>
                <w:sz w:val="12"/>
                <w:shd w:fill="F79646" w:color="auto" w:val="clear"/>
              </w:rPr>
              <w:tab/>
            </w:r>
            <w:r>
              <w:rPr>
                <w:w w:val="105"/>
                <w:sz w:val="12"/>
                <w:shd w:fill="F79646" w:color="auto" w:val="clear"/>
              </w:rPr>
              <w:t>0</w:t>
            </w:r>
            <w:r>
              <w:rPr>
                <w:sz w:val="12"/>
                <w:shd w:fill="F79646" w:color="auto" w:val="clear"/>
              </w:rPr>
              <w:tab/>
            </w:r>
          </w:p>
        </w:tc>
        <w:tc>
          <w:tcPr>
            <w:tcW w:w="685" w:type="dxa"/>
          </w:tcPr>
          <w:p>
            <w:pPr>
              <w:pStyle w:val="TableParagraph"/>
              <w:spacing w:before="5"/>
              <w:ind w:left="242" w:right="226"/>
              <w:rPr>
                <w:sz w:val="12"/>
              </w:rPr>
            </w:pPr>
            <w:r>
              <w:rPr>
                <w:w w:val="105"/>
                <w:sz w:val="12"/>
              </w:rPr>
              <w:t>0.7</w:t>
            </w:r>
          </w:p>
        </w:tc>
        <w:tc>
          <w:tcPr>
            <w:tcW w:w="683" w:type="dxa"/>
            <w:tcBorders>
              <w:right w:val="single" w:sz="8" w:space="0" w:color="000000"/>
            </w:tcBorders>
            <w:shd w:val="clear" w:color="auto" w:fill="67ED4D"/>
          </w:tcPr>
          <w:p>
            <w:pPr>
              <w:pStyle w:val="TableParagraph"/>
              <w:spacing w:before="5"/>
              <w:ind w:left="27"/>
              <w:rPr>
                <w:sz w:val="12"/>
              </w:rPr>
            </w:pPr>
            <w:r>
              <w:rPr>
                <w:w w:val="105"/>
                <w:sz w:val="12"/>
              </w:rPr>
              <w:t>1</w:t>
            </w:r>
          </w:p>
        </w:tc>
      </w:tr>
      <w:tr>
        <w:trPr>
          <w:trHeight w:val="147" w:hRule="exact"/>
        </w:trPr>
        <w:tc>
          <w:tcPr>
            <w:tcW w:w="8822" w:type="dxa"/>
            <w:gridSpan w:val="7"/>
            <w:tcBorders>
              <w:left w:val="single" w:sz="4" w:space="0" w:color="000000"/>
              <w:right w:val="single" w:sz="8" w:space="0" w:color="000000"/>
            </w:tcBorders>
          </w:tcPr>
          <w:p>
            <w:pPr/>
          </w:p>
        </w:tc>
      </w:tr>
      <w:tr>
        <w:trPr>
          <w:trHeight w:val="161" w:hRule="exact"/>
        </w:trPr>
        <w:tc>
          <w:tcPr>
            <w:tcW w:w="619" w:type="dxa"/>
            <w:vMerge w:val="restart"/>
            <w:tcBorders>
              <w:left w:val="single" w:sz="4" w:space="0" w:color="000000"/>
            </w:tcBorders>
          </w:tcPr>
          <w:p>
            <w:pPr/>
          </w:p>
        </w:tc>
        <w:tc>
          <w:tcPr>
            <w:tcW w:w="1887" w:type="dxa"/>
            <w:vMerge w:val="restart"/>
          </w:tcPr>
          <w:p>
            <w:pPr>
              <w:pStyle w:val="TableParagraph"/>
              <w:spacing w:before="5"/>
              <w:jc w:val="left"/>
              <w:rPr>
                <w:sz w:val="14"/>
              </w:rPr>
            </w:pPr>
          </w:p>
          <w:p>
            <w:pPr>
              <w:pStyle w:val="TableParagraph"/>
              <w:ind w:left="91"/>
              <w:jc w:val="left"/>
              <w:rPr>
                <w:sz w:val="12"/>
              </w:rPr>
            </w:pPr>
            <w:r>
              <w:rPr>
                <w:w w:val="105"/>
                <w:sz w:val="12"/>
              </w:rPr>
              <w:t>Ingresos por autorización</w:t>
            </w:r>
          </w:p>
        </w:tc>
        <w:tc>
          <w:tcPr>
            <w:tcW w:w="2744" w:type="dxa"/>
            <w:vMerge w:val="restart"/>
          </w:tcPr>
          <w:p>
            <w:pPr>
              <w:pStyle w:val="TableParagraph"/>
              <w:spacing w:line="273" w:lineRule="auto" w:before="8"/>
              <w:ind w:left="308" w:right="1008"/>
              <w:jc w:val="left"/>
              <w:rPr>
                <w:sz w:val="12"/>
              </w:rPr>
            </w:pPr>
            <w:r>
              <w:rPr>
                <w:w w:val="105"/>
                <w:sz w:val="12"/>
              </w:rPr>
              <w:t>Ingresos al Estado Ingresos al Municipio Ingresos al Desarrollador</w:t>
            </w:r>
          </w:p>
        </w:tc>
        <w:tc>
          <w:tcPr>
            <w:tcW w:w="1317" w:type="dxa"/>
            <w:vMerge w:val="restart"/>
          </w:tcPr>
          <w:p>
            <w:pPr>
              <w:pStyle w:val="TableParagraph"/>
              <w:spacing w:before="8"/>
              <w:ind w:left="236"/>
              <w:rPr>
                <w:sz w:val="12"/>
              </w:rPr>
            </w:pPr>
            <w:r>
              <w:rPr>
                <w:w w:val="105"/>
                <w:sz w:val="12"/>
              </w:rPr>
              <w:t>1</w:t>
            </w:r>
          </w:p>
          <w:p>
            <w:pPr>
              <w:pStyle w:val="TableParagraph"/>
              <w:spacing w:before="20"/>
              <w:ind w:left="420" w:right="184"/>
              <w:rPr>
                <w:sz w:val="12"/>
              </w:rPr>
            </w:pPr>
            <w:r>
              <w:rPr>
                <w:w w:val="105"/>
                <w:sz w:val="12"/>
              </w:rPr>
              <w:t>0.9</w:t>
            </w:r>
          </w:p>
          <w:p>
            <w:pPr>
              <w:pStyle w:val="TableParagraph"/>
              <w:spacing w:before="20"/>
              <w:ind w:left="420" w:right="184"/>
              <w:rPr>
                <w:sz w:val="12"/>
              </w:rPr>
            </w:pPr>
            <w:r>
              <w:rPr>
                <w:w w:val="105"/>
                <w:sz w:val="12"/>
              </w:rPr>
              <w:t>0.6</w:t>
            </w:r>
          </w:p>
          <w:p>
            <w:pPr>
              <w:pStyle w:val="TableParagraph"/>
              <w:spacing w:before="20"/>
              <w:ind w:left="413" w:right="184"/>
              <w:rPr>
                <w:sz w:val="12"/>
              </w:rPr>
            </w:pPr>
            <w:r>
              <w:rPr>
                <w:w w:val="105"/>
                <w:sz w:val="12"/>
              </w:rPr>
              <w:t>Subtotal</w:t>
            </w:r>
          </w:p>
        </w:tc>
        <w:tc>
          <w:tcPr>
            <w:tcW w:w="887" w:type="dxa"/>
            <w:vMerge w:val="restart"/>
          </w:tcPr>
          <w:p>
            <w:pPr>
              <w:pStyle w:val="TableParagraph"/>
              <w:jc w:val="left"/>
              <w:rPr>
                <w:sz w:val="12"/>
              </w:rPr>
            </w:pPr>
          </w:p>
          <w:p>
            <w:pPr>
              <w:pStyle w:val="TableParagraph"/>
              <w:jc w:val="left"/>
              <w:rPr>
                <w:sz w:val="12"/>
              </w:rPr>
            </w:pPr>
          </w:p>
          <w:p>
            <w:pPr>
              <w:pStyle w:val="TableParagraph"/>
              <w:spacing w:before="10"/>
              <w:jc w:val="left"/>
              <w:rPr>
                <w:sz w:val="17"/>
              </w:rPr>
            </w:pPr>
          </w:p>
          <w:p>
            <w:pPr>
              <w:pStyle w:val="TableParagraph"/>
              <w:tabs>
                <w:tab w:pos="466" w:val="left" w:leader="none"/>
                <w:tab w:pos="897" w:val="left" w:leader="none"/>
              </w:tabs>
              <w:spacing w:before="1"/>
              <w:ind w:left="203" w:right="-11"/>
              <w:jc w:val="left"/>
              <w:rPr>
                <w:sz w:val="12"/>
              </w:rPr>
            </w:pPr>
            <w:r>
              <w:rPr>
                <w:w w:val="105"/>
                <w:sz w:val="12"/>
                <w:shd w:fill="F79646" w:color="auto" w:val="clear"/>
              </w:rPr>
              <w:t> </w:t>
            </w:r>
            <w:r>
              <w:rPr>
                <w:sz w:val="12"/>
                <w:shd w:fill="F79646" w:color="auto" w:val="clear"/>
              </w:rPr>
              <w:tab/>
            </w:r>
            <w:r>
              <w:rPr>
                <w:w w:val="105"/>
                <w:sz w:val="12"/>
                <w:shd w:fill="F79646" w:color="auto" w:val="clear"/>
              </w:rPr>
              <w:t>2.5</w:t>
            </w:r>
            <w:r>
              <w:rPr>
                <w:sz w:val="12"/>
                <w:shd w:fill="F79646" w:color="auto" w:val="clear"/>
              </w:rPr>
              <w:tab/>
            </w:r>
          </w:p>
        </w:tc>
        <w:tc>
          <w:tcPr>
            <w:tcW w:w="685" w:type="dxa"/>
            <w:vMerge w:val="restart"/>
          </w:tcPr>
          <w:p>
            <w:pPr>
              <w:pStyle w:val="TableParagraph"/>
              <w:spacing w:before="8"/>
              <w:ind w:left="242" w:right="226"/>
              <w:rPr>
                <w:sz w:val="12"/>
              </w:rPr>
            </w:pPr>
            <w:r>
              <w:rPr>
                <w:w w:val="105"/>
                <w:sz w:val="12"/>
              </w:rPr>
              <w:t>0.9</w:t>
            </w:r>
          </w:p>
          <w:p>
            <w:pPr>
              <w:pStyle w:val="TableParagraph"/>
              <w:spacing w:before="20"/>
              <w:ind w:left="242" w:right="226"/>
              <w:rPr>
                <w:sz w:val="12"/>
              </w:rPr>
            </w:pPr>
            <w:r>
              <w:rPr>
                <w:w w:val="105"/>
                <w:sz w:val="12"/>
              </w:rPr>
              <w:t>0.9</w:t>
            </w:r>
          </w:p>
          <w:p>
            <w:pPr>
              <w:pStyle w:val="TableParagraph"/>
              <w:spacing w:before="20"/>
              <w:ind w:left="16"/>
              <w:rPr>
                <w:sz w:val="12"/>
              </w:rPr>
            </w:pPr>
            <w:r>
              <w:rPr>
                <w:w w:val="105"/>
                <w:sz w:val="12"/>
              </w:rPr>
              <w:t>1</w:t>
            </w:r>
          </w:p>
          <w:p>
            <w:pPr>
              <w:pStyle w:val="TableParagraph"/>
              <w:spacing w:before="20"/>
              <w:ind w:left="242" w:right="226"/>
              <w:rPr>
                <w:sz w:val="12"/>
              </w:rPr>
            </w:pPr>
            <w:r>
              <w:rPr>
                <w:w w:val="105"/>
                <w:sz w:val="12"/>
              </w:rPr>
              <w:t>2.8</w:t>
            </w:r>
          </w:p>
        </w:tc>
        <w:tc>
          <w:tcPr>
            <w:tcW w:w="683" w:type="dxa"/>
            <w:tcBorders>
              <w:right w:val="single" w:sz="8" w:space="0" w:color="000000"/>
            </w:tcBorders>
            <w:shd w:val="clear" w:color="auto" w:fill="67ED4D"/>
          </w:tcPr>
          <w:p>
            <w:pPr>
              <w:pStyle w:val="TableParagraph"/>
              <w:spacing w:before="8"/>
              <w:ind w:left="27"/>
              <w:rPr>
                <w:sz w:val="12"/>
              </w:rPr>
            </w:pPr>
            <w:r>
              <w:rPr>
                <w:w w:val="105"/>
                <w:sz w:val="12"/>
              </w:rPr>
              <w:t>1</w:t>
            </w:r>
          </w:p>
        </w:tc>
      </w:tr>
      <w:tr>
        <w:trPr>
          <w:trHeight w:val="158" w:hRule="exact"/>
        </w:trPr>
        <w:tc>
          <w:tcPr>
            <w:tcW w:w="619" w:type="dxa"/>
            <w:vMerge/>
            <w:tcBorders>
              <w:left w:val="single" w:sz="4" w:space="0" w:color="000000"/>
            </w:tcBorders>
          </w:tcPr>
          <w:p>
            <w:pPr/>
          </w:p>
        </w:tc>
        <w:tc>
          <w:tcPr>
            <w:tcW w:w="1887" w:type="dxa"/>
            <w:vMerge/>
          </w:tcPr>
          <w:p>
            <w:pPr/>
          </w:p>
        </w:tc>
        <w:tc>
          <w:tcPr>
            <w:tcW w:w="2744" w:type="dxa"/>
            <w:vMerge/>
          </w:tcPr>
          <w:p>
            <w:pPr/>
          </w:p>
        </w:tc>
        <w:tc>
          <w:tcPr>
            <w:tcW w:w="1317" w:type="dxa"/>
            <w:vMerge/>
          </w:tcPr>
          <w:p>
            <w:pPr/>
          </w:p>
        </w:tc>
        <w:tc>
          <w:tcPr>
            <w:tcW w:w="887" w:type="dxa"/>
            <w:vMerge/>
          </w:tcPr>
          <w:p>
            <w:pPr/>
          </w:p>
        </w:tc>
        <w:tc>
          <w:tcPr>
            <w:tcW w:w="685" w:type="dxa"/>
            <w:vMerge/>
          </w:tcPr>
          <w:p>
            <w:pPr/>
          </w:p>
        </w:tc>
        <w:tc>
          <w:tcPr>
            <w:tcW w:w="683" w:type="dxa"/>
            <w:tcBorders>
              <w:right w:val="single" w:sz="8" w:space="0" w:color="000000"/>
            </w:tcBorders>
            <w:shd w:val="clear" w:color="auto" w:fill="67ED4D"/>
          </w:tcPr>
          <w:p>
            <w:pPr>
              <w:pStyle w:val="TableParagraph"/>
              <w:spacing w:before="5"/>
              <w:ind w:left="27"/>
              <w:rPr>
                <w:sz w:val="12"/>
              </w:rPr>
            </w:pPr>
            <w:r>
              <w:rPr>
                <w:w w:val="105"/>
                <w:sz w:val="12"/>
              </w:rPr>
              <w:t>1</w:t>
            </w:r>
          </w:p>
        </w:tc>
      </w:tr>
      <w:tr>
        <w:trPr>
          <w:trHeight w:val="158" w:hRule="exact"/>
        </w:trPr>
        <w:tc>
          <w:tcPr>
            <w:tcW w:w="619" w:type="dxa"/>
            <w:vMerge/>
            <w:tcBorders>
              <w:left w:val="single" w:sz="4" w:space="0" w:color="000000"/>
            </w:tcBorders>
          </w:tcPr>
          <w:p>
            <w:pPr/>
          </w:p>
        </w:tc>
        <w:tc>
          <w:tcPr>
            <w:tcW w:w="1887" w:type="dxa"/>
            <w:vMerge/>
          </w:tcPr>
          <w:p>
            <w:pPr/>
          </w:p>
        </w:tc>
        <w:tc>
          <w:tcPr>
            <w:tcW w:w="2744" w:type="dxa"/>
            <w:vMerge/>
          </w:tcPr>
          <w:p>
            <w:pPr/>
          </w:p>
        </w:tc>
        <w:tc>
          <w:tcPr>
            <w:tcW w:w="1317" w:type="dxa"/>
            <w:vMerge/>
          </w:tcPr>
          <w:p>
            <w:pPr/>
          </w:p>
        </w:tc>
        <w:tc>
          <w:tcPr>
            <w:tcW w:w="887" w:type="dxa"/>
            <w:vMerge/>
          </w:tcPr>
          <w:p>
            <w:pPr/>
          </w:p>
        </w:tc>
        <w:tc>
          <w:tcPr>
            <w:tcW w:w="685" w:type="dxa"/>
            <w:vMerge/>
          </w:tcPr>
          <w:p>
            <w:pPr/>
          </w:p>
        </w:tc>
        <w:tc>
          <w:tcPr>
            <w:tcW w:w="683" w:type="dxa"/>
            <w:tcBorders>
              <w:right w:val="single" w:sz="8" w:space="0" w:color="000000"/>
            </w:tcBorders>
            <w:shd w:val="clear" w:color="auto" w:fill="67ED4D"/>
          </w:tcPr>
          <w:p>
            <w:pPr>
              <w:pStyle w:val="TableParagraph"/>
              <w:spacing w:before="5"/>
              <w:ind w:left="27"/>
              <w:rPr>
                <w:sz w:val="12"/>
              </w:rPr>
            </w:pPr>
            <w:r>
              <w:rPr>
                <w:w w:val="105"/>
                <w:sz w:val="12"/>
              </w:rPr>
              <w:t>1</w:t>
            </w:r>
          </w:p>
        </w:tc>
      </w:tr>
      <w:tr>
        <w:trPr>
          <w:trHeight w:val="166" w:hRule="exact"/>
        </w:trPr>
        <w:tc>
          <w:tcPr>
            <w:tcW w:w="619" w:type="dxa"/>
            <w:vMerge/>
            <w:tcBorders>
              <w:left w:val="single" w:sz="4" w:space="0" w:color="000000"/>
            </w:tcBorders>
          </w:tcPr>
          <w:p>
            <w:pPr/>
          </w:p>
        </w:tc>
        <w:tc>
          <w:tcPr>
            <w:tcW w:w="1887" w:type="dxa"/>
            <w:vMerge/>
          </w:tcPr>
          <w:p>
            <w:pPr/>
          </w:p>
        </w:tc>
        <w:tc>
          <w:tcPr>
            <w:tcW w:w="2744" w:type="dxa"/>
            <w:vMerge/>
          </w:tcPr>
          <w:p>
            <w:pPr/>
          </w:p>
        </w:tc>
        <w:tc>
          <w:tcPr>
            <w:tcW w:w="1317" w:type="dxa"/>
            <w:vMerge/>
          </w:tcPr>
          <w:p>
            <w:pPr/>
          </w:p>
        </w:tc>
        <w:tc>
          <w:tcPr>
            <w:tcW w:w="887" w:type="dxa"/>
            <w:vMerge/>
          </w:tcPr>
          <w:p>
            <w:pPr/>
          </w:p>
        </w:tc>
        <w:tc>
          <w:tcPr>
            <w:tcW w:w="685" w:type="dxa"/>
            <w:vMerge/>
          </w:tcPr>
          <w:p>
            <w:pPr/>
          </w:p>
        </w:tc>
        <w:tc>
          <w:tcPr>
            <w:tcW w:w="683" w:type="dxa"/>
            <w:tcBorders>
              <w:right w:val="single" w:sz="8" w:space="0" w:color="000000"/>
            </w:tcBorders>
            <w:shd w:val="clear" w:color="auto" w:fill="67ED4D"/>
          </w:tcPr>
          <w:p>
            <w:pPr>
              <w:pStyle w:val="TableParagraph"/>
              <w:spacing w:before="5"/>
              <w:ind w:left="27"/>
              <w:rPr>
                <w:sz w:val="12"/>
              </w:rPr>
            </w:pPr>
            <w:r>
              <w:rPr>
                <w:w w:val="105"/>
                <w:sz w:val="12"/>
              </w:rPr>
              <w:t>3</w:t>
            </w:r>
          </w:p>
        </w:tc>
      </w:tr>
      <w:tr>
        <w:trPr>
          <w:trHeight w:val="147" w:hRule="exact"/>
        </w:trPr>
        <w:tc>
          <w:tcPr>
            <w:tcW w:w="8822" w:type="dxa"/>
            <w:gridSpan w:val="7"/>
            <w:tcBorders>
              <w:left w:val="single" w:sz="4" w:space="0" w:color="000000"/>
              <w:right w:val="single" w:sz="8" w:space="0" w:color="000000"/>
            </w:tcBorders>
          </w:tcPr>
          <w:p>
            <w:pPr>
              <w:pStyle w:val="TableParagraph"/>
              <w:spacing w:line="136" w:lineRule="exact"/>
              <w:ind w:left="21"/>
              <w:jc w:val="left"/>
              <w:rPr>
                <w:sz w:val="12"/>
              </w:rPr>
            </w:pPr>
            <w:r>
              <w:rPr>
                <w:w w:val="105"/>
                <w:sz w:val="12"/>
              </w:rPr>
              <w:t>Económico</w:t>
            </w:r>
          </w:p>
        </w:tc>
      </w:tr>
      <w:tr>
        <w:trPr>
          <w:trHeight w:val="161" w:hRule="exact"/>
        </w:trPr>
        <w:tc>
          <w:tcPr>
            <w:tcW w:w="619" w:type="dxa"/>
            <w:tcBorders>
              <w:left w:val="single" w:sz="4" w:space="0" w:color="000000"/>
            </w:tcBorders>
          </w:tcPr>
          <w:p>
            <w:pPr/>
          </w:p>
        </w:tc>
        <w:tc>
          <w:tcPr>
            <w:tcW w:w="1887" w:type="dxa"/>
          </w:tcPr>
          <w:p>
            <w:pPr/>
          </w:p>
        </w:tc>
        <w:tc>
          <w:tcPr>
            <w:tcW w:w="2744" w:type="dxa"/>
          </w:tcPr>
          <w:p>
            <w:pPr>
              <w:pStyle w:val="TableParagraph"/>
              <w:spacing w:before="8"/>
              <w:ind w:left="308" w:right="1008"/>
              <w:jc w:val="left"/>
              <w:rPr>
                <w:sz w:val="12"/>
              </w:rPr>
            </w:pPr>
            <w:r>
              <w:rPr>
                <w:w w:val="105"/>
                <w:sz w:val="12"/>
              </w:rPr>
              <w:t>Pago de CFE</w:t>
            </w:r>
          </w:p>
        </w:tc>
        <w:tc>
          <w:tcPr>
            <w:tcW w:w="1317" w:type="dxa"/>
          </w:tcPr>
          <w:p>
            <w:pPr>
              <w:pStyle w:val="TableParagraph"/>
              <w:spacing w:before="8"/>
              <w:ind w:left="420" w:right="184"/>
              <w:rPr>
                <w:sz w:val="12"/>
              </w:rPr>
            </w:pPr>
            <w:r>
              <w:rPr>
                <w:w w:val="105"/>
                <w:sz w:val="12"/>
              </w:rPr>
              <w:t>0.7</w:t>
            </w:r>
          </w:p>
        </w:tc>
        <w:tc>
          <w:tcPr>
            <w:tcW w:w="887" w:type="dxa"/>
          </w:tcPr>
          <w:p>
            <w:pPr/>
          </w:p>
        </w:tc>
        <w:tc>
          <w:tcPr>
            <w:tcW w:w="685" w:type="dxa"/>
          </w:tcPr>
          <w:p>
            <w:pPr>
              <w:pStyle w:val="TableParagraph"/>
              <w:spacing w:before="8"/>
              <w:ind w:left="242" w:right="226"/>
              <w:rPr>
                <w:sz w:val="12"/>
              </w:rPr>
            </w:pPr>
            <w:r>
              <w:rPr>
                <w:w w:val="105"/>
                <w:sz w:val="12"/>
              </w:rPr>
              <w:t>0.7</w:t>
            </w:r>
          </w:p>
        </w:tc>
        <w:tc>
          <w:tcPr>
            <w:tcW w:w="683" w:type="dxa"/>
            <w:tcBorders>
              <w:right w:val="single" w:sz="8" w:space="0" w:color="000000"/>
            </w:tcBorders>
            <w:shd w:val="clear" w:color="auto" w:fill="67ED4D"/>
          </w:tcPr>
          <w:p>
            <w:pPr>
              <w:pStyle w:val="TableParagraph"/>
              <w:spacing w:before="8"/>
              <w:ind w:left="27"/>
              <w:rPr>
                <w:sz w:val="12"/>
              </w:rPr>
            </w:pPr>
            <w:r>
              <w:rPr>
                <w:w w:val="105"/>
                <w:sz w:val="12"/>
              </w:rPr>
              <w:t>1</w:t>
            </w:r>
          </w:p>
        </w:tc>
      </w:tr>
      <w:tr>
        <w:trPr>
          <w:trHeight w:val="158" w:hRule="exact"/>
        </w:trPr>
        <w:tc>
          <w:tcPr>
            <w:tcW w:w="619" w:type="dxa"/>
            <w:tcBorders>
              <w:left w:val="single" w:sz="4" w:space="0" w:color="000000"/>
            </w:tcBorders>
          </w:tcPr>
          <w:p>
            <w:pPr/>
          </w:p>
        </w:tc>
        <w:tc>
          <w:tcPr>
            <w:tcW w:w="1887" w:type="dxa"/>
          </w:tcPr>
          <w:p>
            <w:pPr/>
          </w:p>
        </w:tc>
        <w:tc>
          <w:tcPr>
            <w:tcW w:w="2744" w:type="dxa"/>
          </w:tcPr>
          <w:p>
            <w:pPr>
              <w:pStyle w:val="TableParagraph"/>
              <w:spacing w:before="5"/>
              <w:ind w:left="308" w:right="1008"/>
              <w:jc w:val="left"/>
              <w:rPr>
                <w:sz w:val="12"/>
              </w:rPr>
            </w:pPr>
            <w:r>
              <w:rPr>
                <w:w w:val="105"/>
                <w:sz w:val="12"/>
              </w:rPr>
              <w:t>Pago de agua</w:t>
            </w:r>
          </w:p>
        </w:tc>
        <w:tc>
          <w:tcPr>
            <w:tcW w:w="1317" w:type="dxa"/>
          </w:tcPr>
          <w:p>
            <w:pPr>
              <w:pStyle w:val="TableParagraph"/>
              <w:spacing w:before="5"/>
              <w:ind w:left="236"/>
              <w:rPr>
                <w:sz w:val="12"/>
              </w:rPr>
            </w:pPr>
            <w:r>
              <w:rPr>
                <w:w w:val="105"/>
                <w:sz w:val="12"/>
              </w:rPr>
              <w:t>0</w:t>
            </w:r>
          </w:p>
        </w:tc>
        <w:tc>
          <w:tcPr>
            <w:tcW w:w="887" w:type="dxa"/>
          </w:tcPr>
          <w:p>
            <w:pPr/>
          </w:p>
        </w:tc>
        <w:tc>
          <w:tcPr>
            <w:tcW w:w="685" w:type="dxa"/>
          </w:tcPr>
          <w:p>
            <w:pPr>
              <w:pStyle w:val="TableParagraph"/>
              <w:spacing w:before="5"/>
              <w:ind w:left="242" w:right="226"/>
              <w:rPr>
                <w:sz w:val="12"/>
              </w:rPr>
            </w:pPr>
            <w:r>
              <w:rPr>
                <w:w w:val="105"/>
                <w:sz w:val="12"/>
              </w:rPr>
              <w:t>0.7</w:t>
            </w:r>
          </w:p>
        </w:tc>
        <w:tc>
          <w:tcPr>
            <w:tcW w:w="683" w:type="dxa"/>
            <w:tcBorders>
              <w:right w:val="single" w:sz="8" w:space="0" w:color="000000"/>
            </w:tcBorders>
            <w:shd w:val="clear" w:color="auto" w:fill="67ED4D"/>
          </w:tcPr>
          <w:p>
            <w:pPr>
              <w:pStyle w:val="TableParagraph"/>
              <w:spacing w:before="5"/>
              <w:ind w:left="27"/>
              <w:rPr>
                <w:sz w:val="12"/>
              </w:rPr>
            </w:pPr>
            <w:r>
              <w:rPr>
                <w:w w:val="105"/>
                <w:sz w:val="12"/>
              </w:rPr>
              <w:t>1</w:t>
            </w:r>
          </w:p>
        </w:tc>
      </w:tr>
      <w:tr>
        <w:trPr>
          <w:trHeight w:val="158" w:hRule="exact"/>
        </w:trPr>
        <w:tc>
          <w:tcPr>
            <w:tcW w:w="619" w:type="dxa"/>
            <w:tcBorders>
              <w:left w:val="single" w:sz="4" w:space="0" w:color="000000"/>
            </w:tcBorders>
          </w:tcPr>
          <w:p>
            <w:pPr/>
          </w:p>
        </w:tc>
        <w:tc>
          <w:tcPr>
            <w:tcW w:w="1887" w:type="dxa"/>
          </w:tcPr>
          <w:p>
            <w:pPr>
              <w:pStyle w:val="TableParagraph"/>
              <w:spacing w:before="5"/>
              <w:ind w:left="91"/>
              <w:jc w:val="left"/>
              <w:rPr>
                <w:sz w:val="12"/>
              </w:rPr>
            </w:pPr>
            <w:r>
              <w:rPr>
                <w:w w:val="105"/>
                <w:sz w:val="12"/>
              </w:rPr>
              <w:t>Gastos de habitabilidad</w:t>
            </w:r>
          </w:p>
        </w:tc>
        <w:tc>
          <w:tcPr>
            <w:tcW w:w="2744" w:type="dxa"/>
          </w:tcPr>
          <w:p>
            <w:pPr>
              <w:pStyle w:val="TableParagraph"/>
              <w:spacing w:before="5"/>
              <w:ind w:left="308" w:right="1008"/>
              <w:jc w:val="left"/>
              <w:rPr>
                <w:sz w:val="12"/>
              </w:rPr>
            </w:pPr>
            <w:r>
              <w:rPr>
                <w:w w:val="105"/>
                <w:sz w:val="12"/>
              </w:rPr>
              <w:t>Pago predial</w:t>
            </w:r>
          </w:p>
        </w:tc>
        <w:tc>
          <w:tcPr>
            <w:tcW w:w="1317" w:type="dxa"/>
          </w:tcPr>
          <w:p>
            <w:pPr>
              <w:pStyle w:val="TableParagraph"/>
              <w:spacing w:before="5"/>
              <w:ind w:left="420" w:right="184"/>
              <w:rPr>
                <w:sz w:val="12"/>
              </w:rPr>
            </w:pPr>
            <w:r>
              <w:rPr>
                <w:w w:val="105"/>
                <w:sz w:val="12"/>
              </w:rPr>
              <w:t>0.6</w:t>
            </w:r>
          </w:p>
        </w:tc>
        <w:tc>
          <w:tcPr>
            <w:tcW w:w="887" w:type="dxa"/>
          </w:tcPr>
          <w:p>
            <w:pPr/>
          </w:p>
        </w:tc>
        <w:tc>
          <w:tcPr>
            <w:tcW w:w="685" w:type="dxa"/>
          </w:tcPr>
          <w:p>
            <w:pPr>
              <w:pStyle w:val="TableParagraph"/>
              <w:spacing w:before="5"/>
              <w:ind w:left="242" w:right="226"/>
              <w:rPr>
                <w:sz w:val="12"/>
              </w:rPr>
            </w:pPr>
            <w:r>
              <w:rPr>
                <w:w w:val="105"/>
                <w:sz w:val="12"/>
              </w:rPr>
              <w:t>0.7</w:t>
            </w:r>
          </w:p>
        </w:tc>
        <w:tc>
          <w:tcPr>
            <w:tcW w:w="683" w:type="dxa"/>
            <w:tcBorders>
              <w:right w:val="single" w:sz="8" w:space="0" w:color="000000"/>
            </w:tcBorders>
            <w:shd w:val="clear" w:color="auto" w:fill="67ED4D"/>
          </w:tcPr>
          <w:p>
            <w:pPr>
              <w:pStyle w:val="TableParagraph"/>
              <w:spacing w:before="5"/>
              <w:ind w:left="27"/>
              <w:rPr>
                <w:sz w:val="12"/>
              </w:rPr>
            </w:pPr>
            <w:r>
              <w:rPr>
                <w:w w:val="105"/>
                <w:sz w:val="12"/>
              </w:rPr>
              <w:t>1</w:t>
            </w:r>
          </w:p>
        </w:tc>
      </w:tr>
      <w:tr>
        <w:trPr>
          <w:trHeight w:val="158" w:hRule="exact"/>
        </w:trPr>
        <w:tc>
          <w:tcPr>
            <w:tcW w:w="619" w:type="dxa"/>
            <w:tcBorders>
              <w:left w:val="single" w:sz="4" w:space="0" w:color="000000"/>
            </w:tcBorders>
          </w:tcPr>
          <w:p>
            <w:pPr/>
          </w:p>
        </w:tc>
        <w:tc>
          <w:tcPr>
            <w:tcW w:w="1887" w:type="dxa"/>
          </w:tcPr>
          <w:p>
            <w:pPr/>
          </w:p>
        </w:tc>
        <w:tc>
          <w:tcPr>
            <w:tcW w:w="2744" w:type="dxa"/>
          </w:tcPr>
          <w:p>
            <w:pPr>
              <w:pStyle w:val="TableParagraph"/>
              <w:spacing w:before="5"/>
              <w:ind w:left="308" w:right="1008"/>
              <w:jc w:val="left"/>
              <w:rPr>
                <w:sz w:val="12"/>
              </w:rPr>
            </w:pPr>
            <w:r>
              <w:rPr>
                <w:w w:val="105"/>
                <w:sz w:val="12"/>
              </w:rPr>
              <w:t>Comunicación</w:t>
            </w:r>
          </w:p>
        </w:tc>
        <w:tc>
          <w:tcPr>
            <w:tcW w:w="1317" w:type="dxa"/>
          </w:tcPr>
          <w:p>
            <w:pPr>
              <w:pStyle w:val="TableParagraph"/>
              <w:spacing w:before="5"/>
              <w:ind w:left="420" w:right="184"/>
              <w:rPr>
                <w:sz w:val="12"/>
              </w:rPr>
            </w:pPr>
            <w:r>
              <w:rPr>
                <w:w w:val="105"/>
                <w:sz w:val="12"/>
              </w:rPr>
              <w:t>0.7</w:t>
            </w:r>
          </w:p>
        </w:tc>
        <w:tc>
          <w:tcPr>
            <w:tcW w:w="887" w:type="dxa"/>
          </w:tcPr>
          <w:p>
            <w:pPr/>
          </w:p>
        </w:tc>
        <w:tc>
          <w:tcPr>
            <w:tcW w:w="685" w:type="dxa"/>
          </w:tcPr>
          <w:p>
            <w:pPr>
              <w:pStyle w:val="TableParagraph"/>
              <w:spacing w:before="5"/>
              <w:ind w:left="242" w:right="226"/>
              <w:rPr>
                <w:sz w:val="12"/>
              </w:rPr>
            </w:pPr>
            <w:r>
              <w:rPr>
                <w:w w:val="105"/>
                <w:sz w:val="12"/>
              </w:rPr>
              <w:t>0.7</w:t>
            </w:r>
          </w:p>
        </w:tc>
        <w:tc>
          <w:tcPr>
            <w:tcW w:w="683" w:type="dxa"/>
            <w:tcBorders>
              <w:right w:val="single" w:sz="8" w:space="0" w:color="000000"/>
            </w:tcBorders>
            <w:shd w:val="clear" w:color="auto" w:fill="67ED4D"/>
          </w:tcPr>
          <w:p>
            <w:pPr>
              <w:pStyle w:val="TableParagraph"/>
              <w:spacing w:before="5"/>
              <w:ind w:left="27"/>
              <w:rPr>
                <w:sz w:val="12"/>
              </w:rPr>
            </w:pPr>
            <w:r>
              <w:rPr>
                <w:w w:val="105"/>
                <w:sz w:val="12"/>
              </w:rPr>
              <w:t>1</w:t>
            </w:r>
          </w:p>
        </w:tc>
      </w:tr>
      <w:tr>
        <w:trPr>
          <w:trHeight w:val="158" w:hRule="exact"/>
        </w:trPr>
        <w:tc>
          <w:tcPr>
            <w:tcW w:w="619" w:type="dxa"/>
            <w:tcBorders>
              <w:left w:val="single" w:sz="4" w:space="0" w:color="000000"/>
            </w:tcBorders>
          </w:tcPr>
          <w:p>
            <w:pPr/>
          </w:p>
        </w:tc>
        <w:tc>
          <w:tcPr>
            <w:tcW w:w="1887" w:type="dxa"/>
          </w:tcPr>
          <w:p>
            <w:pPr/>
          </w:p>
        </w:tc>
        <w:tc>
          <w:tcPr>
            <w:tcW w:w="2744" w:type="dxa"/>
          </w:tcPr>
          <w:p>
            <w:pPr>
              <w:pStyle w:val="TableParagraph"/>
              <w:spacing w:before="5"/>
              <w:ind w:left="308" w:right="1008"/>
              <w:jc w:val="left"/>
              <w:rPr>
                <w:sz w:val="12"/>
              </w:rPr>
            </w:pPr>
            <w:r>
              <w:rPr>
                <w:w w:val="105"/>
                <w:sz w:val="12"/>
              </w:rPr>
              <w:t>Comunidad</w:t>
            </w:r>
          </w:p>
        </w:tc>
        <w:tc>
          <w:tcPr>
            <w:tcW w:w="1317" w:type="dxa"/>
          </w:tcPr>
          <w:p>
            <w:pPr>
              <w:pStyle w:val="TableParagraph"/>
              <w:spacing w:before="5"/>
              <w:ind w:left="420" w:right="184"/>
              <w:rPr>
                <w:sz w:val="12"/>
              </w:rPr>
            </w:pPr>
            <w:r>
              <w:rPr>
                <w:w w:val="105"/>
                <w:sz w:val="12"/>
              </w:rPr>
              <w:t>0.6</w:t>
            </w:r>
          </w:p>
        </w:tc>
        <w:tc>
          <w:tcPr>
            <w:tcW w:w="887" w:type="dxa"/>
          </w:tcPr>
          <w:p>
            <w:pPr/>
          </w:p>
        </w:tc>
        <w:tc>
          <w:tcPr>
            <w:tcW w:w="685" w:type="dxa"/>
          </w:tcPr>
          <w:p>
            <w:pPr>
              <w:pStyle w:val="TableParagraph"/>
              <w:spacing w:before="5"/>
              <w:ind w:left="242" w:right="226"/>
              <w:rPr>
                <w:sz w:val="12"/>
              </w:rPr>
            </w:pPr>
            <w:r>
              <w:rPr>
                <w:w w:val="105"/>
                <w:sz w:val="12"/>
              </w:rPr>
              <w:t>0.7</w:t>
            </w:r>
          </w:p>
        </w:tc>
        <w:tc>
          <w:tcPr>
            <w:tcW w:w="683" w:type="dxa"/>
            <w:tcBorders>
              <w:right w:val="single" w:sz="8" w:space="0" w:color="000000"/>
            </w:tcBorders>
            <w:shd w:val="clear" w:color="auto" w:fill="67ED4D"/>
          </w:tcPr>
          <w:p>
            <w:pPr>
              <w:pStyle w:val="TableParagraph"/>
              <w:spacing w:before="5"/>
              <w:ind w:left="27"/>
              <w:rPr>
                <w:sz w:val="12"/>
              </w:rPr>
            </w:pPr>
            <w:r>
              <w:rPr>
                <w:w w:val="105"/>
                <w:sz w:val="12"/>
              </w:rPr>
              <w:t>1</w:t>
            </w:r>
          </w:p>
        </w:tc>
      </w:tr>
      <w:tr>
        <w:trPr>
          <w:trHeight w:val="166" w:hRule="exact"/>
        </w:trPr>
        <w:tc>
          <w:tcPr>
            <w:tcW w:w="619" w:type="dxa"/>
            <w:tcBorders>
              <w:left w:val="single" w:sz="4" w:space="0" w:color="000000"/>
            </w:tcBorders>
          </w:tcPr>
          <w:p>
            <w:pPr/>
          </w:p>
        </w:tc>
        <w:tc>
          <w:tcPr>
            <w:tcW w:w="1887" w:type="dxa"/>
          </w:tcPr>
          <w:p>
            <w:pPr/>
          </w:p>
        </w:tc>
        <w:tc>
          <w:tcPr>
            <w:tcW w:w="2744" w:type="dxa"/>
          </w:tcPr>
          <w:p>
            <w:pPr/>
          </w:p>
        </w:tc>
        <w:tc>
          <w:tcPr>
            <w:tcW w:w="1317" w:type="dxa"/>
          </w:tcPr>
          <w:p>
            <w:pPr>
              <w:pStyle w:val="TableParagraph"/>
              <w:spacing w:before="5"/>
              <w:ind w:left="413" w:right="184"/>
              <w:rPr>
                <w:sz w:val="12"/>
              </w:rPr>
            </w:pPr>
            <w:r>
              <w:rPr>
                <w:w w:val="105"/>
                <w:sz w:val="12"/>
              </w:rPr>
              <w:t>Subtotal</w:t>
            </w:r>
          </w:p>
        </w:tc>
        <w:tc>
          <w:tcPr>
            <w:tcW w:w="887" w:type="dxa"/>
          </w:tcPr>
          <w:p>
            <w:pPr>
              <w:pStyle w:val="TableParagraph"/>
              <w:tabs>
                <w:tab w:pos="466" w:val="left" w:leader="none"/>
                <w:tab w:pos="897" w:val="left" w:leader="none"/>
              </w:tabs>
              <w:spacing w:before="5"/>
              <w:ind w:left="203" w:right="-11"/>
              <w:jc w:val="left"/>
              <w:rPr>
                <w:sz w:val="12"/>
              </w:rPr>
            </w:pPr>
            <w:r>
              <w:rPr>
                <w:w w:val="105"/>
                <w:sz w:val="12"/>
                <w:shd w:fill="F79646" w:color="auto" w:val="clear"/>
              </w:rPr>
              <w:t> </w:t>
            </w:r>
            <w:r>
              <w:rPr>
                <w:sz w:val="12"/>
                <w:shd w:fill="F79646" w:color="auto" w:val="clear"/>
              </w:rPr>
              <w:tab/>
            </w:r>
            <w:r>
              <w:rPr>
                <w:w w:val="105"/>
                <w:sz w:val="12"/>
                <w:shd w:fill="F79646" w:color="auto" w:val="clear"/>
              </w:rPr>
              <w:t>2.6</w:t>
            </w:r>
            <w:r>
              <w:rPr>
                <w:sz w:val="12"/>
                <w:shd w:fill="F79646" w:color="auto" w:val="clear"/>
              </w:rPr>
              <w:tab/>
            </w:r>
          </w:p>
        </w:tc>
        <w:tc>
          <w:tcPr>
            <w:tcW w:w="685" w:type="dxa"/>
          </w:tcPr>
          <w:p>
            <w:pPr>
              <w:pStyle w:val="TableParagraph"/>
              <w:spacing w:before="5"/>
              <w:ind w:left="242" w:right="226"/>
              <w:rPr>
                <w:sz w:val="12"/>
              </w:rPr>
            </w:pPr>
            <w:r>
              <w:rPr>
                <w:w w:val="105"/>
                <w:sz w:val="12"/>
              </w:rPr>
              <w:t>4.2</w:t>
            </w:r>
          </w:p>
        </w:tc>
        <w:tc>
          <w:tcPr>
            <w:tcW w:w="683" w:type="dxa"/>
            <w:tcBorders>
              <w:right w:val="single" w:sz="8" w:space="0" w:color="000000"/>
            </w:tcBorders>
            <w:shd w:val="clear" w:color="auto" w:fill="67ED4D"/>
          </w:tcPr>
          <w:p>
            <w:pPr>
              <w:pStyle w:val="TableParagraph"/>
              <w:spacing w:before="5"/>
              <w:ind w:left="27"/>
              <w:rPr>
                <w:sz w:val="12"/>
              </w:rPr>
            </w:pPr>
            <w:r>
              <w:rPr>
                <w:w w:val="105"/>
                <w:sz w:val="12"/>
              </w:rPr>
              <w:t>5</w:t>
            </w:r>
          </w:p>
        </w:tc>
      </w:tr>
      <w:tr>
        <w:trPr>
          <w:trHeight w:val="147" w:hRule="exact"/>
        </w:trPr>
        <w:tc>
          <w:tcPr>
            <w:tcW w:w="8822" w:type="dxa"/>
            <w:gridSpan w:val="7"/>
            <w:tcBorders>
              <w:left w:val="single" w:sz="4" w:space="0" w:color="000000"/>
              <w:right w:val="single" w:sz="8" w:space="0" w:color="000000"/>
            </w:tcBorders>
          </w:tcPr>
          <w:p>
            <w:pPr/>
          </w:p>
        </w:tc>
      </w:tr>
      <w:tr>
        <w:trPr>
          <w:trHeight w:val="161" w:hRule="exact"/>
        </w:trPr>
        <w:tc>
          <w:tcPr>
            <w:tcW w:w="619" w:type="dxa"/>
            <w:tcBorders>
              <w:left w:val="single" w:sz="4" w:space="0" w:color="000000"/>
            </w:tcBorders>
          </w:tcPr>
          <w:p>
            <w:pPr/>
          </w:p>
        </w:tc>
        <w:tc>
          <w:tcPr>
            <w:tcW w:w="1887" w:type="dxa"/>
          </w:tcPr>
          <w:p>
            <w:pPr>
              <w:pStyle w:val="TableParagraph"/>
              <w:spacing w:before="8"/>
              <w:ind w:left="91"/>
              <w:jc w:val="left"/>
              <w:rPr>
                <w:sz w:val="12"/>
              </w:rPr>
            </w:pPr>
            <w:r>
              <w:rPr>
                <w:w w:val="105"/>
                <w:sz w:val="12"/>
              </w:rPr>
              <w:t>Índice para una vida mejor</w:t>
            </w:r>
          </w:p>
        </w:tc>
        <w:tc>
          <w:tcPr>
            <w:tcW w:w="2744" w:type="dxa"/>
          </w:tcPr>
          <w:p>
            <w:pPr>
              <w:pStyle w:val="TableParagraph"/>
              <w:spacing w:before="8"/>
              <w:ind w:left="308" w:right="1008"/>
              <w:jc w:val="left"/>
              <w:rPr>
                <w:sz w:val="12"/>
              </w:rPr>
            </w:pPr>
            <w:r>
              <w:rPr>
                <w:w w:val="105"/>
                <w:sz w:val="12"/>
              </w:rPr>
              <w:t>Gasto en vivienda</w:t>
            </w:r>
          </w:p>
        </w:tc>
        <w:tc>
          <w:tcPr>
            <w:tcW w:w="1317" w:type="dxa"/>
          </w:tcPr>
          <w:p>
            <w:pPr>
              <w:pStyle w:val="TableParagraph"/>
              <w:tabs>
                <w:tab w:pos="688" w:val="left" w:leader="none"/>
                <w:tab w:pos="1530" w:val="left" w:leader="none"/>
              </w:tabs>
              <w:spacing w:before="8"/>
              <w:ind w:left="26" w:right="-214"/>
              <w:rPr>
                <w:sz w:val="12"/>
              </w:rPr>
            </w:pPr>
            <w:r>
              <w:rPr>
                <w:w w:val="105"/>
                <w:sz w:val="12"/>
                <w:shd w:fill="BAF9F5" w:color="auto" w:val="clear"/>
              </w:rPr>
              <w:t> </w:t>
            </w:r>
            <w:r>
              <w:rPr>
                <w:sz w:val="12"/>
                <w:shd w:fill="BAF9F5" w:color="auto" w:val="clear"/>
              </w:rPr>
              <w:tab/>
            </w:r>
            <w:r>
              <w:rPr>
                <w:w w:val="105"/>
                <w:sz w:val="12"/>
                <w:shd w:fill="BAF9F5" w:color="auto" w:val="clear"/>
              </w:rPr>
              <w:t>0.6</w:t>
            </w:r>
            <w:r>
              <w:rPr>
                <w:sz w:val="12"/>
                <w:shd w:fill="BAF9F5" w:color="auto" w:val="clear"/>
              </w:rPr>
              <w:tab/>
            </w:r>
          </w:p>
        </w:tc>
        <w:tc>
          <w:tcPr>
            <w:tcW w:w="887" w:type="dxa"/>
          </w:tcPr>
          <w:p>
            <w:pPr/>
          </w:p>
        </w:tc>
        <w:tc>
          <w:tcPr>
            <w:tcW w:w="685" w:type="dxa"/>
          </w:tcPr>
          <w:p>
            <w:pPr>
              <w:pStyle w:val="TableParagraph"/>
              <w:spacing w:before="8"/>
              <w:ind w:left="242" w:right="226"/>
              <w:rPr>
                <w:sz w:val="12"/>
              </w:rPr>
            </w:pPr>
            <w:r>
              <w:rPr>
                <w:w w:val="105"/>
                <w:sz w:val="12"/>
              </w:rPr>
              <w:t>0.8</w:t>
            </w:r>
          </w:p>
        </w:tc>
        <w:tc>
          <w:tcPr>
            <w:tcW w:w="683" w:type="dxa"/>
            <w:tcBorders>
              <w:right w:val="single" w:sz="8" w:space="0" w:color="000000"/>
            </w:tcBorders>
            <w:shd w:val="clear" w:color="auto" w:fill="67ED4D"/>
          </w:tcPr>
          <w:p>
            <w:pPr>
              <w:pStyle w:val="TableParagraph"/>
              <w:spacing w:before="8"/>
              <w:ind w:left="27"/>
              <w:rPr>
                <w:sz w:val="12"/>
              </w:rPr>
            </w:pPr>
            <w:r>
              <w:rPr>
                <w:w w:val="105"/>
                <w:sz w:val="12"/>
              </w:rPr>
              <w:t>1</w:t>
            </w:r>
          </w:p>
        </w:tc>
      </w:tr>
      <w:tr>
        <w:trPr>
          <w:trHeight w:val="166" w:hRule="exact"/>
        </w:trPr>
        <w:tc>
          <w:tcPr>
            <w:tcW w:w="619" w:type="dxa"/>
            <w:tcBorders>
              <w:left w:val="single" w:sz="4" w:space="0" w:color="000000"/>
            </w:tcBorders>
          </w:tcPr>
          <w:p>
            <w:pPr/>
          </w:p>
        </w:tc>
        <w:tc>
          <w:tcPr>
            <w:tcW w:w="1887" w:type="dxa"/>
          </w:tcPr>
          <w:p>
            <w:pPr/>
          </w:p>
        </w:tc>
        <w:tc>
          <w:tcPr>
            <w:tcW w:w="2744" w:type="dxa"/>
          </w:tcPr>
          <w:p>
            <w:pPr/>
          </w:p>
        </w:tc>
        <w:tc>
          <w:tcPr>
            <w:tcW w:w="1317" w:type="dxa"/>
          </w:tcPr>
          <w:p>
            <w:pPr>
              <w:pStyle w:val="TableParagraph"/>
              <w:spacing w:before="5"/>
              <w:ind w:left="413" w:right="184"/>
              <w:rPr>
                <w:sz w:val="12"/>
              </w:rPr>
            </w:pPr>
            <w:r>
              <w:rPr>
                <w:w w:val="105"/>
                <w:sz w:val="12"/>
              </w:rPr>
              <w:t>Subtotal</w:t>
            </w:r>
          </w:p>
        </w:tc>
        <w:tc>
          <w:tcPr>
            <w:tcW w:w="887" w:type="dxa"/>
          </w:tcPr>
          <w:p>
            <w:pPr>
              <w:pStyle w:val="TableParagraph"/>
              <w:tabs>
                <w:tab w:pos="466" w:val="left" w:leader="none"/>
                <w:tab w:pos="897" w:val="left" w:leader="none"/>
              </w:tabs>
              <w:spacing w:before="5"/>
              <w:ind w:left="203" w:right="-11"/>
              <w:jc w:val="left"/>
              <w:rPr>
                <w:sz w:val="12"/>
              </w:rPr>
            </w:pPr>
            <w:r>
              <w:rPr>
                <w:w w:val="105"/>
                <w:sz w:val="12"/>
                <w:shd w:fill="F79646" w:color="auto" w:val="clear"/>
              </w:rPr>
              <w:t> </w:t>
            </w:r>
            <w:r>
              <w:rPr>
                <w:sz w:val="12"/>
                <w:shd w:fill="F79646" w:color="auto" w:val="clear"/>
              </w:rPr>
              <w:tab/>
            </w:r>
            <w:r>
              <w:rPr>
                <w:w w:val="105"/>
                <w:sz w:val="12"/>
                <w:shd w:fill="F79646" w:color="auto" w:val="clear"/>
              </w:rPr>
              <w:t>0.6</w:t>
            </w:r>
            <w:r>
              <w:rPr>
                <w:sz w:val="12"/>
                <w:shd w:fill="F79646" w:color="auto" w:val="clear"/>
              </w:rPr>
              <w:tab/>
            </w:r>
          </w:p>
        </w:tc>
        <w:tc>
          <w:tcPr>
            <w:tcW w:w="685" w:type="dxa"/>
          </w:tcPr>
          <w:p>
            <w:pPr>
              <w:pStyle w:val="TableParagraph"/>
              <w:spacing w:before="5"/>
              <w:ind w:left="242" w:right="226"/>
              <w:rPr>
                <w:sz w:val="12"/>
              </w:rPr>
            </w:pPr>
            <w:r>
              <w:rPr>
                <w:w w:val="105"/>
                <w:sz w:val="12"/>
              </w:rPr>
              <w:t>0.8</w:t>
            </w:r>
          </w:p>
        </w:tc>
        <w:tc>
          <w:tcPr>
            <w:tcW w:w="683" w:type="dxa"/>
            <w:tcBorders>
              <w:right w:val="single" w:sz="8" w:space="0" w:color="000000"/>
            </w:tcBorders>
            <w:shd w:val="clear" w:color="auto" w:fill="67ED4D"/>
          </w:tcPr>
          <w:p>
            <w:pPr>
              <w:pStyle w:val="TableParagraph"/>
              <w:spacing w:before="5"/>
              <w:ind w:left="27"/>
              <w:rPr>
                <w:sz w:val="12"/>
              </w:rPr>
            </w:pPr>
            <w:r>
              <w:rPr>
                <w:w w:val="105"/>
                <w:sz w:val="12"/>
              </w:rPr>
              <w:t>1</w:t>
            </w:r>
          </w:p>
        </w:tc>
      </w:tr>
      <w:tr>
        <w:trPr>
          <w:trHeight w:val="147" w:hRule="exact"/>
        </w:trPr>
        <w:tc>
          <w:tcPr>
            <w:tcW w:w="8822" w:type="dxa"/>
            <w:gridSpan w:val="7"/>
            <w:tcBorders>
              <w:left w:val="single" w:sz="4" w:space="0" w:color="000000"/>
              <w:right w:val="single" w:sz="8" w:space="0" w:color="000000"/>
            </w:tcBorders>
          </w:tcPr>
          <w:p>
            <w:pPr/>
          </w:p>
        </w:tc>
      </w:tr>
      <w:tr>
        <w:trPr>
          <w:trHeight w:val="168" w:hRule="exact"/>
        </w:trPr>
        <w:tc>
          <w:tcPr>
            <w:tcW w:w="619" w:type="dxa"/>
            <w:tcBorders>
              <w:left w:val="single" w:sz="4" w:space="0" w:color="000000"/>
            </w:tcBorders>
          </w:tcPr>
          <w:p>
            <w:pPr/>
          </w:p>
        </w:tc>
        <w:tc>
          <w:tcPr>
            <w:tcW w:w="1887" w:type="dxa"/>
          </w:tcPr>
          <w:p>
            <w:pPr/>
          </w:p>
        </w:tc>
        <w:tc>
          <w:tcPr>
            <w:tcW w:w="2744" w:type="dxa"/>
          </w:tcPr>
          <w:p>
            <w:pPr/>
          </w:p>
        </w:tc>
        <w:tc>
          <w:tcPr>
            <w:tcW w:w="1317" w:type="dxa"/>
          </w:tcPr>
          <w:p>
            <w:pPr>
              <w:pStyle w:val="TableParagraph"/>
              <w:spacing w:before="8"/>
              <w:ind w:left="427" w:right="177"/>
              <w:rPr>
                <w:sz w:val="12"/>
              </w:rPr>
            </w:pPr>
            <w:r>
              <w:rPr>
                <w:w w:val="105"/>
                <w:sz w:val="12"/>
              </w:rPr>
              <w:t>Total IE</w:t>
            </w:r>
          </w:p>
        </w:tc>
        <w:tc>
          <w:tcPr>
            <w:tcW w:w="887" w:type="dxa"/>
          </w:tcPr>
          <w:p>
            <w:pPr>
              <w:pStyle w:val="TableParagraph"/>
              <w:tabs>
                <w:tab w:pos="466" w:val="left" w:leader="none"/>
                <w:tab w:pos="897" w:val="left" w:leader="none"/>
              </w:tabs>
              <w:spacing w:before="8"/>
              <w:ind w:left="203" w:right="-11"/>
              <w:jc w:val="left"/>
              <w:rPr>
                <w:sz w:val="12"/>
              </w:rPr>
            </w:pPr>
            <w:r>
              <w:rPr>
                <w:w w:val="105"/>
                <w:sz w:val="12"/>
                <w:shd w:fill="F79646" w:color="auto" w:val="clear"/>
              </w:rPr>
              <w:t> </w:t>
            </w:r>
            <w:r>
              <w:rPr>
                <w:sz w:val="12"/>
                <w:shd w:fill="F79646" w:color="auto" w:val="clear"/>
              </w:rPr>
              <w:tab/>
            </w:r>
            <w:r>
              <w:rPr>
                <w:w w:val="105"/>
                <w:sz w:val="12"/>
                <w:shd w:fill="F79646" w:color="auto" w:val="clear"/>
              </w:rPr>
              <w:t>6.7</w:t>
            </w:r>
            <w:r>
              <w:rPr>
                <w:sz w:val="12"/>
                <w:shd w:fill="F79646" w:color="auto" w:val="clear"/>
              </w:rPr>
              <w:tab/>
            </w:r>
          </w:p>
        </w:tc>
        <w:tc>
          <w:tcPr>
            <w:tcW w:w="685" w:type="dxa"/>
          </w:tcPr>
          <w:p>
            <w:pPr>
              <w:pStyle w:val="TableParagraph"/>
              <w:spacing w:before="8"/>
              <w:ind w:left="16"/>
              <w:rPr>
                <w:sz w:val="12"/>
              </w:rPr>
            </w:pPr>
            <w:r>
              <w:rPr>
                <w:w w:val="105"/>
                <w:sz w:val="12"/>
              </w:rPr>
              <w:t>9</w:t>
            </w:r>
          </w:p>
        </w:tc>
        <w:tc>
          <w:tcPr>
            <w:tcW w:w="683" w:type="dxa"/>
            <w:tcBorders>
              <w:right w:val="single" w:sz="8" w:space="0" w:color="000000"/>
            </w:tcBorders>
            <w:shd w:val="clear" w:color="auto" w:fill="67ED4D"/>
          </w:tcPr>
          <w:p>
            <w:pPr>
              <w:pStyle w:val="TableParagraph"/>
              <w:spacing w:before="8"/>
              <w:ind w:left="253" w:right="238"/>
              <w:rPr>
                <w:sz w:val="12"/>
              </w:rPr>
            </w:pPr>
            <w:r>
              <w:rPr>
                <w:w w:val="105"/>
                <w:sz w:val="12"/>
              </w:rPr>
              <w:t>11</w:t>
            </w:r>
          </w:p>
        </w:tc>
      </w:tr>
      <w:tr>
        <w:trPr>
          <w:trHeight w:val="158" w:hRule="exact"/>
        </w:trPr>
        <w:tc>
          <w:tcPr>
            <w:tcW w:w="8822" w:type="dxa"/>
            <w:gridSpan w:val="7"/>
            <w:tcBorders>
              <w:left w:val="single" w:sz="4" w:space="0" w:color="000000"/>
              <w:bottom w:val="single" w:sz="8" w:space="0" w:color="000000"/>
              <w:right w:val="single" w:sz="8" w:space="0" w:color="000000"/>
            </w:tcBorders>
          </w:tcPr>
          <w:p>
            <w:pPr/>
          </w:p>
        </w:tc>
      </w:tr>
    </w:tbl>
    <w:p>
      <w:pPr>
        <w:spacing w:before="147"/>
        <w:ind w:left="268" w:right="0" w:firstLine="0"/>
        <w:jc w:val="left"/>
        <w:rPr>
          <w:sz w:val="21"/>
        </w:rPr>
      </w:pPr>
      <w:r>
        <w:rPr/>
        <w:pict>
          <v:group style="position:absolute;margin-left:363.399506pt;margin-top:-96.138725pt;width:75.25pt;height:40.6pt;mso-position-horizontal-relative:page;mso-position-vertical-relative:paragraph;z-index:-1132648" coordorigin="7268,-1923" coordsize="1505,812">
            <v:line style="position:absolute" from="7273,-1917" to="7273,-1749" stroked="true" strokeweight=".527pt" strokecolor="#baf9f5"/>
            <v:rect style="position:absolute;left:7279;top:-1917;width:1494;height:168" filled="true" fillcolor="#baf9f5" stroked="false">
              <v:fill type="solid"/>
            </v:rect>
            <v:line style="position:absolute" from="7273,-1749" to="7273,-1591" stroked="true" strokeweight=".527pt" strokecolor="#baf9f5"/>
            <v:rect style="position:absolute;left:7279;top:-1749;width:1494;height:158" filled="true" fillcolor="#baf9f5" stroked="false">
              <v:fill type="solid"/>
            </v:rect>
            <v:line style="position:absolute" from="7273,-1591" to="7273,-1433" stroked="true" strokeweight=".527pt" strokecolor="#baf9f5"/>
            <v:rect style="position:absolute;left:7279;top:-1591;width:1494;height:158" filled="true" fillcolor="#baf9f5" stroked="false">
              <v:fill type="solid"/>
            </v:rect>
            <v:line style="position:absolute" from="7273,-1433" to="7273,-1275" stroked="true" strokeweight=".527pt" strokecolor="#baf9f5"/>
            <v:rect style="position:absolute;left:7279;top:-1433;width:1494;height:158" filled="true" fillcolor="#baf9f5" stroked="false">
              <v:fill type="solid"/>
            </v:rect>
            <v:line style="position:absolute" from="7273,-1275" to="7273,-1117" stroked="true" strokeweight=".527pt" strokecolor="#baf9f5"/>
            <v:rect style="position:absolute;left:7279;top:-1275;width:1494;height:158" filled="true" fillcolor="#baf9f5" stroked="false">
              <v:fill type="solid"/>
            </v:rect>
            <w10:wrap type="none"/>
          </v:group>
        </w:pict>
      </w:r>
      <w:r>
        <w:rPr/>
        <w:pict>
          <v:shape style="position:absolute;margin-left:472.305023pt;margin-top:-95.863152pt;width:34.75pt;height:47.95pt;mso-position-horizontal-relative:page;mso-position-vertical-relative:paragraph;z-index:-1132624" coordorigin="9446,-1917" coordsize="695,959" path="m10140,-1917l9446,-1917,9446,-1749,9446,-1591,9446,-959,10140,-959,10140,-1749,10140,-1917e" filled="true" fillcolor="#ffff00" stroked="false">
            <v:path arrowok="t"/>
            <v:fill type="solid"/>
            <w10:wrap type="none"/>
          </v:shape>
        </w:pict>
      </w:r>
      <w:r>
        <w:rPr/>
        <w:pict>
          <v:shape style="position:absolute;margin-left:472.305023pt;margin-top:-40.577148pt;width:34.75pt;height:16.3500pt;mso-position-horizontal-relative:page;mso-position-vertical-relative:paragraph;z-index:-1132600" coordorigin="9446,-812" coordsize="695,327" path="m10140,-812l9446,-812,9446,-654,9446,-643,9446,-485,10140,-485,10140,-643,10140,-654,10140,-812e" filled="true" fillcolor="#ffff00" stroked="false">
            <v:path arrowok="t"/>
            <v:fill type="solid"/>
            <w10:wrap type="none"/>
          </v:shape>
        </w:pict>
      </w:r>
      <w:r>
        <w:rPr/>
        <w:pict>
          <v:rect style="position:absolute;margin-left:472.304993pt;margin-top:-16.883745pt;width:34.7199pt;height:8.424620pt;mso-position-horizontal-relative:page;mso-position-vertical-relative:paragraph;z-index:-1132576" filled="true" fillcolor="#ffff00" stroked="false">
            <v:fill type="solid"/>
            <w10:wrap type="none"/>
          </v:rect>
        </w:pict>
      </w:r>
      <w:r>
        <w:rPr>
          <w:w w:val="105"/>
          <w:sz w:val="21"/>
        </w:rPr>
        <w:t>Fuente: Elaboración propia.</w:t>
      </w:r>
    </w:p>
    <w:p>
      <w:pPr>
        <w:pStyle w:val="BodyText"/>
        <w:spacing w:before="2"/>
        <w:rPr>
          <w:sz w:val="21"/>
        </w:rPr>
      </w:pPr>
    </w:p>
    <w:p>
      <w:pPr>
        <w:pStyle w:val="BodyText"/>
        <w:spacing w:after="14"/>
        <w:ind w:left="268"/>
      </w:pPr>
      <w:r>
        <w:rPr/>
        <w:pict>
          <v:group style="position:absolute;margin-left:363.394012pt;margin-top:48.919716pt;width:75.25pt;height:24.75pt;mso-position-horizontal-relative:page;mso-position-vertical-relative:paragraph;z-index:-1132552" coordorigin="7268,978" coordsize="1505,495">
            <v:line style="position:absolute" from="7273,984" to="7273,1152" stroked="true" strokeweight=".526pt" strokecolor="#baf9f5"/>
            <v:line style="position:absolute" from="7273,1142" to="7273,1310" stroked="true" strokeweight=".526pt" strokecolor="#baf9f5"/>
            <v:shape style="position:absolute;left:7279;top:984;width:1494;height:326" coordorigin="7279,984" coordsize="1494,326" path="m8773,984l7279,984,7279,1142,7279,1152,7279,1310,8773,1310,8773,1152,8773,1142,8773,984e" filled="true" fillcolor="#baf9f5" stroked="false">
              <v:path arrowok="t"/>
              <v:fill type="solid"/>
            </v:shape>
            <v:line style="position:absolute" from="7273,1310" to="7273,1468" stroked="true" strokeweight=".526pt" strokecolor="#baf9f5"/>
            <v:rect style="position:absolute;left:7279;top:1310;width:1494;height:158" filled="true" fillcolor="#baf9f5" stroked="false">
              <v:fill type="solid"/>
            </v:rect>
            <w10:wrap type="none"/>
          </v:group>
        </w:pict>
      </w:r>
      <w:r>
        <w:rPr/>
        <w:pict>
          <v:shape style="position:absolute;margin-left:472.298035pt;margin-top:49.194847pt;width:34.75pt;height:32.1pt;mso-position-horizontal-relative:page;mso-position-vertical-relative:paragraph;z-index:-1132528" coordorigin="9446,984" coordsize="695,642" path="m10140,1310l9446,1310,9446,1457,9446,1468,9446,1625,10140,1625,10140,1468,10140,1457,10140,1310m10140,984l9446,984,9446,1142,9446,1152,9446,1310,10140,1310,10140,1152,10140,1142,10140,984e" filled="true" fillcolor="#ffff00" stroked="false">
            <v:path arrowok="t"/>
            <v:fill type="solid"/>
            <w10:wrap type="none"/>
          </v:shape>
        </w:pict>
      </w:r>
      <w:r>
        <w:rPr/>
        <w:pict>
          <v:group style="position:absolute;margin-left:363.394012pt;margin-top:88.356361pt;width:75.25pt;height:16.850pt;mso-position-horizontal-relative:page;mso-position-vertical-relative:paragraph;z-index:-1132504" coordorigin="7268,1767" coordsize="1505,337">
            <v:line style="position:absolute" from="7273,1773" to="7273,1941" stroked="true" strokeweight=".526pt" strokecolor="#baf9f5"/>
            <v:rect style="position:absolute;left:7279;top:1773;width:1494;height:168" filled="true" fillcolor="#baf9f5" stroked="false">
              <v:fill type="solid"/>
            </v:rect>
            <v:line style="position:absolute" from="7273,1941" to="7273,2099" stroked="true" strokeweight=".526pt" strokecolor="#baf9f5"/>
            <v:rect style="position:absolute;left:7279;top:1941;width:1494;height:158" filled="true" fillcolor="#baf9f5" stroked="false">
              <v:fill type="solid"/>
            </v:rect>
            <w10:wrap type="none"/>
          </v:group>
        </w:pict>
      </w:r>
      <w:r>
        <w:rPr/>
        <w:pict>
          <v:shape style="position:absolute;margin-left:472.298035pt;margin-top:88.631851pt;width:34.75pt;height:24.2pt;mso-position-horizontal-relative:page;mso-position-vertical-relative:paragraph;z-index:-1132480" coordorigin="9446,1773" coordsize="695,484" path="m10140,1773l9446,1773,9446,1941,9446,2088,9446,2099,9446,2256,10140,2256,10140,2099,10140,2088,10140,1941,10140,1773e" filled="true" fillcolor="#ffff00" stroked="false">
            <v:path arrowok="t"/>
            <v:fill type="solid"/>
            <w10:wrap type="none"/>
          </v:shape>
        </w:pict>
      </w:r>
      <w:r>
        <w:rPr/>
        <w:pict>
          <v:group style="position:absolute;margin-left:363.394012pt;margin-top:119.905365pt;width:75.25pt;height:16.850pt;mso-position-horizontal-relative:page;mso-position-vertical-relative:paragraph;z-index:-1132456" coordorigin="7268,2398" coordsize="1505,337">
            <v:line style="position:absolute" from="7273,2404" to="7273,2572" stroked="true" strokeweight=".526pt" strokecolor="#baf9f5"/>
            <v:rect style="position:absolute;left:7279;top:2404;width:1494;height:168" filled="true" fillcolor="#baf9f5" stroked="false">
              <v:fill type="solid"/>
            </v:rect>
            <v:line style="position:absolute" from="7273,2572" to="7273,2730" stroked="true" strokeweight=".526pt" strokecolor="#baf9f5"/>
            <v:rect style="position:absolute;left:7279;top:2572;width:1494;height:158" filled="true" fillcolor="#baf9f5" stroked="false">
              <v:fill type="solid"/>
            </v:rect>
            <w10:wrap type="none"/>
          </v:group>
        </w:pict>
      </w:r>
      <w:r>
        <w:rPr/>
        <w:pict>
          <v:shape style="position:absolute;margin-left:472.298035pt;margin-top:120.180847pt;width:34.75pt;height:24.2pt;mso-position-horizontal-relative:page;mso-position-vertical-relative:paragraph;z-index:-1132432" coordorigin="9446,2404" coordsize="695,484" path="m10140,2404l9446,2404,9446,2572,9446,2719,9446,2730,9446,2887,10140,2887,10140,2730,10140,2719,10140,2572,10140,2404e" filled="true" fillcolor="#ffff00" stroked="false">
            <v:path arrowok="t"/>
            <v:fill type="solid"/>
            <w10:wrap type="none"/>
          </v:shape>
        </w:pict>
      </w:r>
      <w:r>
        <w:rPr/>
        <w:pict>
          <v:group style="position:absolute;margin-left:363.394012pt;margin-top:151.455368pt;width:75.25pt;height:16.850pt;mso-position-horizontal-relative:page;mso-position-vertical-relative:paragraph;z-index:-1132408" coordorigin="7268,3029" coordsize="1505,337">
            <v:line style="position:absolute" from="7273,3035" to="7273,3203" stroked="true" strokeweight=".526pt" strokecolor="#baf9f5"/>
            <v:rect style="position:absolute;left:7279;top:3035;width:1494;height:168" filled="true" fillcolor="#baf9f5" stroked="false">
              <v:fill type="solid"/>
            </v:rect>
            <v:line style="position:absolute" from="7273,3203" to="7273,3361" stroked="true" strokeweight=".526pt" strokecolor="#baf9f5"/>
            <v:rect style="position:absolute;left:7279;top:3203;width:1494;height:158" filled="true" fillcolor="#baf9f5" stroked="false">
              <v:fill type="solid"/>
            </v:rect>
            <w10:wrap type="none"/>
          </v:group>
        </w:pict>
      </w:r>
      <w:r>
        <w:rPr/>
        <w:pict>
          <v:shape style="position:absolute;margin-left:472.298035pt;margin-top:151.73085pt;width:34.75pt;height:24.2pt;mso-position-horizontal-relative:page;mso-position-vertical-relative:paragraph;z-index:-1132384" coordorigin="9446,3035" coordsize="695,484" path="m10140,3035l9446,3035,9446,3203,9446,3350,9446,3361,9446,3518,10140,3518,10140,3361,10140,3350,10140,3203,10140,3035e" filled="true" fillcolor="#ffff00" stroked="false">
            <v:path arrowok="t"/>
            <v:fill type="solid"/>
            <w10:wrap type="none"/>
          </v:shape>
        </w:pict>
      </w:r>
      <w:r>
        <w:rPr/>
        <w:t>Tabla 66. IST URBI Hacienda Lomas</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9"/>
        <w:gridCol w:w="1915"/>
        <w:gridCol w:w="2571"/>
        <w:gridCol w:w="1462"/>
        <w:gridCol w:w="801"/>
        <w:gridCol w:w="770"/>
        <w:gridCol w:w="684"/>
      </w:tblGrid>
      <w:tr>
        <w:trPr>
          <w:trHeight w:val="457" w:hRule="exact"/>
        </w:trPr>
        <w:tc>
          <w:tcPr>
            <w:tcW w:w="8822" w:type="dxa"/>
            <w:gridSpan w:val="7"/>
            <w:tcBorders>
              <w:bottom w:val="nil"/>
              <w:right w:val="single" w:sz="4" w:space="0" w:color="EEECE1"/>
            </w:tcBorders>
            <w:shd w:val="clear" w:color="auto" w:fill="000000"/>
          </w:tcPr>
          <w:p>
            <w:pPr>
              <w:pStyle w:val="TableParagraph"/>
              <w:spacing w:line="273" w:lineRule="auto" w:before="61"/>
              <w:ind w:left="3361" w:right="3342" w:firstLine="410"/>
              <w:jc w:val="left"/>
              <w:rPr>
                <w:b/>
                <w:sz w:val="12"/>
              </w:rPr>
            </w:pPr>
            <w:r>
              <w:rPr>
                <w:b/>
                <w:color w:val="FFFFFF"/>
                <w:w w:val="105"/>
                <w:sz w:val="12"/>
              </w:rPr>
              <w:t>Urbi  Hacienda  Lomas Índice de sustentabilidad territorial</w:t>
            </w:r>
          </w:p>
        </w:tc>
      </w:tr>
      <w:tr>
        <w:trPr>
          <w:trHeight w:val="163" w:hRule="exact"/>
        </w:trPr>
        <w:tc>
          <w:tcPr>
            <w:tcW w:w="619" w:type="dxa"/>
            <w:tcBorders>
              <w:top w:val="single" w:sz="4" w:space="0" w:color="FFFFFF"/>
              <w:left w:val="single" w:sz="4" w:space="0" w:color="000000"/>
            </w:tcBorders>
            <w:shd w:val="clear" w:color="auto" w:fill="808080"/>
          </w:tcPr>
          <w:p>
            <w:pPr>
              <w:pStyle w:val="TableParagraph"/>
              <w:spacing w:line="136" w:lineRule="exact"/>
              <w:ind w:left="157"/>
              <w:jc w:val="left"/>
              <w:rPr>
                <w:b/>
                <w:sz w:val="12"/>
              </w:rPr>
            </w:pPr>
            <w:r>
              <w:rPr>
                <w:b/>
                <w:color w:val="FFFFFF"/>
                <w:w w:val="105"/>
                <w:sz w:val="12"/>
              </w:rPr>
              <w:t>Índice</w:t>
            </w:r>
          </w:p>
        </w:tc>
        <w:tc>
          <w:tcPr>
            <w:tcW w:w="1915" w:type="dxa"/>
            <w:tcBorders>
              <w:top w:val="single" w:sz="4" w:space="0" w:color="FFFFFF"/>
            </w:tcBorders>
            <w:shd w:val="clear" w:color="auto" w:fill="808080"/>
          </w:tcPr>
          <w:p>
            <w:pPr>
              <w:pStyle w:val="TableParagraph"/>
              <w:spacing w:line="136" w:lineRule="exact"/>
              <w:ind w:left="91"/>
              <w:jc w:val="left"/>
              <w:rPr>
                <w:b/>
                <w:sz w:val="12"/>
              </w:rPr>
            </w:pPr>
            <w:r>
              <w:rPr>
                <w:b/>
                <w:color w:val="FFFFFF"/>
                <w:w w:val="105"/>
                <w:sz w:val="12"/>
              </w:rPr>
              <w:t>Subíndice</w:t>
            </w:r>
          </w:p>
        </w:tc>
        <w:tc>
          <w:tcPr>
            <w:tcW w:w="2571" w:type="dxa"/>
            <w:tcBorders>
              <w:top w:val="single" w:sz="4" w:space="0" w:color="FFFFFF"/>
            </w:tcBorders>
            <w:shd w:val="clear" w:color="auto" w:fill="808080"/>
          </w:tcPr>
          <w:p>
            <w:pPr>
              <w:pStyle w:val="TableParagraph"/>
              <w:spacing w:line="136" w:lineRule="exact"/>
              <w:ind w:left="280" w:right="988"/>
              <w:jc w:val="left"/>
              <w:rPr>
                <w:b/>
                <w:sz w:val="12"/>
              </w:rPr>
            </w:pPr>
            <w:r>
              <w:rPr>
                <w:b/>
                <w:color w:val="FFFFFF"/>
                <w:w w:val="105"/>
                <w:sz w:val="12"/>
              </w:rPr>
              <w:t>Indicador</w:t>
            </w:r>
          </w:p>
        </w:tc>
        <w:tc>
          <w:tcPr>
            <w:tcW w:w="1462" w:type="dxa"/>
            <w:tcBorders>
              <w:top w:val="single" w:sz="4" w:space="0" w:color="FFFFFF"/>
            </w:tcBorders>
            <w:shd w:val="clear" w:color="auto" w:fill="808080"/>
          </w:tcPr>
          <w:p>
            <w:pPr/>
          </w:p>
        </w:tc>
        <w:tc>
          <w:tcPr>
            <w:tcW w:w="801" w:type="dxa"/>
            <w:tcBorders>
              <w:top w:val="single" w:sz="4" w:space="0" w:color="FFFFFF"/>
            </w:tcBorders>
            <w:shd w:val="clear" w:color="auto" w:fill="808080"/>
          </w:tcPr>
          <w:p>
            <w:pPr>
              <w:pStyle w:val="TableParagraph"/>
              <w:spacing w:line="136" w:lineRule="exact"/>
              <w:ind w:left="266" w:right="-97"/>
              <w:jc w:val="left"/>
              <w:rPr>
                <w:b/>
                <w:sz w:val="12"/>
              </w:rPr>
            </w:pPr>
            <w:r>
              <w:rPr>
                <w:b/>
                <w:color w:val="FFFFFF"/>
                <w:w w:val="105"/>
                <w:sz w:val="12"/>
              </w:rPr>
              <w:t>Valores</w:t>
            </w:r>
          </w:p>
        </w:tc>
        <w:tc>
          <w:tcPr>
            <w:tcW w:w="770" w:type="dxa"/>
            <w:tcBorders>
              <w:top w:val="single" w:sz="4" w:space="0" w:color="FFFFFF"/>
            </w:tcBorders>
            <w:shd w:val="clear" w:color="auto" w:fill="808080"/>
          </w:tcPr>
          <w:p>
            <w:pPr/>
          </w:p>
        </w:tc>
        <w:tc>
          <w:tcPr>
            <w:tcW w:w="684" w:type="dxa"/>
            <w:tcBorders>
              <w:top w:val="single" w:sz="4" w:space="0" w:color="FFFFFF"/>
              <w:right w:val="single" w:sz="8" w:space="0" w:color="000000"/>
            </w:tcBorders>
            <w:shd w:val="clear" w:color="auto" w:fill="808080"/>
          </w:tcPr>
          <w:p>
            <w:pPr/>
          </w:p>
        </w:tc>
      </w:tr>
      <w:tr>
        <w:trPr>
          <w:trHeight w:val="74" w:hRule="exact"/>
        </w:trPr>
        <w:tc>
          <w:tcPr>
            <w:tcW w:w="8822" w:type="dxa"/>
            <w:gridSpan w:val="7"/>
            <w:tcBorders>
              <w:left w:val="single" w:sz="4" w:space="0" w:color="000000"/>
              <w:right w:val="single" w:sz="8" w:space="0" w:color="000000"/>
            </w:tcBorders>
          </w:tcPr>
          <w:p>
            <w:pPr/>
          </w:p>
        </w:tc>
      </w:tr>
      <w:tr>
        <w:trPr>
          <w:trHeight w:val="161" w:hRule="exact"/>
        </w:trPr>
        <w:tc>
          <w:tcPr>
            <w:tcW w:w="619" w:type="dxa"/>
            <w:vMerge w:val="restart"/>
            <w:tcBorders>
              <w:left w:val="single" w:sz="4" w:space="0" w:color="000000"/>
            </w:tcBorders>
          </w:tcPr>
          <w:p>
            <w:pPr/>
          </w:p>
        </w:tc>
        <w:tc>
          <w:tcPr>
            <w:tcW w:w="1915" w:type="dxa"/>
          </w:tcPr>
          <w:p>
            <w:pPr/>
          </w:p>
        </w:tc>
        <w:tc>
          <w:tcPr>
            <w:tcW w:w="2571" w:type="dxa"/>
          </w:tcPr>
          <w:p>
            <w:pPr/>
          </w:p>
        </w:tc>
        <w:tc>
          <w:tcPr>
            <w:tcW w:w="1462" w:type="dxa"/>
          </w:tcPr>
          <w:p>
            <w:pPr>
              <w:pStyle w:val="TableParagraph"/>
              <w:spacing w:before="8"/>
              <w:ind w:right="201"/>
              <w:jc w:val="right"/>
              <w:rPr>
                <w:b/>
                <w:sz w:val="12"/>
              </w:rPr>
            </w:pPr>
            <w:r>
              <w:rPr>
                <w:b/>
                <w:w w:val="105"/>
                <w:sz w:val="12"/>
              </w:rPr>
              <w:t>Evaluación</w:t>
            </w:r>
          </w:p>
        </w:tc>
        <w:tc>
          <w:tcPr>
            <w:tcW w:w="801" w:type="dxa"/>
          </w:tcPr>
          <w:p>
            <w:pPr>
              <w:pStyle w:val="TableParagraph"/>
              <w:tabs>
                <w:tab w:pos="897" w:val="left" w:leader="none"/>
              </w:tabs>
              <w:spacing w:before="8"/>
              <w:ind w:left="203" w:right="-97"/>
              <w:jc w:val="left"/>
              <w:rPr>
                <w:b/>
                <w:sz w:val="12"/>
              </w:rPr>
            </w:pPr>
            <w:r>
              <w:rPr>
                <w:b/>
                <w:w w:val="105"/>
                <w:sz w:val="12"/>
                <w:shd w:fill="F79646" w:color="auto" w:val="clear"/>
              </w:rPr>
              <w:t> </w:t>
            </w:r>
            <w:r>
              <w:rPr>
                <w:b/>
                <w:sz w:val="12"/>
                <w:shd w:fill="F79646" w:color="auto" w:val="clear"/>
              </w:rPr>
              <w:t>    </w:t>
            </w:r>
            <w:r>
              <w:rPr>
                <w:b/>
                <w:spacing w:val="8"/>
                <w:sz w:val="12"/>
                <w:shd w:fill="F79646" w:color="auto" w:val="clear"/>
              </w:rPr>
              <w:t> </w:t>
            </w:r>
            <w:r>
              <w:rPr>
                <w:b/>
                <w:w w:val="105"/>
                <w:sz w:val="12"/>
                <w:shd w:fill="F79646" w:color="auto" w:val="clear"/>
              </w:rPr>
              <w:t>Real</w:t>
            </w:r>
            <w:r>
              <w:rPr>
                <w:b/>
                <w:sz w:val="12"/>
                <w:shd w:fill="F79646" w:color="auto" w:val="clear"/>
              </w:rPr>
              <w:tab/>
            </w:r>
          </w:p>
        </w:tc>
        <w:tc>
          <w:tcPr>
            <w:tcW w:w="770" w:type="dxa"/>
          </w:tcPr>
          <w:p>
            <w:pPr>
              <w:pStyle w:val="TableParagraph"/>
              <w:spacing w:before="8"/>
              <w:ind w:left="159"/>
              <w:jc w:val="left"/>
              <w:rPr>
                <w:b/>
                <w:sz w:val="12"/>
              </w:rPr>
            </w:pPr>
            <w:r>
              <w:rPr>
                <w:b/>
                <w:w w:val="105"/>
                <w:sz w:val="12"/>
              </w:rPr>
              <w:t>Deseable</w:t>
            </w:r>
          </w:p>
        </w:tc>
        <w:tc>
          <w:tcPr>
            <w:tcW w:w="684" w:type="dxa"/>
            <w:tcBorders>
              <w:right w:val="single" w:sz="8" w:space="0" w:color="000000"/>
            </w:tcBorders>
            <w:shd w:val="clear" w:color="auto" w:fill="67ED4D"/>
          </w:tcPr>
          <w:p>
            <w:pPr>
              <w:pStyle w:val="TableParagraph"/>
              <w:spacing w:before="8"/>
              <w:ind w:left="106" w:right="86"/>
              <w:rPr>
                <w:b/>
                <w:sz w:val="12"/>
              </w:rPr>
            </w:pPr>
            <w:r>
              <w:rPr>
                <w:b/>
                <w:w w:val="105"/>
                <w:sz w:val="12"/>
              </w:rPr>
              <w:t>Óptimo</w:t>
            </w:r>
          </w:p>
        </w:tc>
      </w:tr>
      <w:tr>
        <w:trPr>
          <w:trHeight w:val="158" w:hRule="exact"/>
        </w:trPr>
        <w:tc>
          <w:tcPr>
            <w:tcW w:w="619" w:type="dxa"/>
            <w:vMerge/>
            <w:tcBorders>
              <w:left w:val="single" w:sz="4" w:space="0" w:color="000000"/>
            </w:tcBorders>
          </w:tcPr>
          <w:p>
            <w:pPr/>
          </w:p>
        </w:tc>
        <w:tc>
          <w:tcPr>
            <w:tcW w:w="1915" w:type="dxa"/>
            <w:vMerge w:val="restart"/>
          </w:tcPr>
          <w:p>
            <w:pPr>
              <w:pStyle w:val="TableParagraph"/>
              <w:spacing w:before="79"/>
              <w:ind w:left="91"/>
              <w:jc w:val="left"/>
              <w:rPr>
                <w:sz w:val="12"/>
              </w:rPr>
            </w:pPr>
            <w:r>
              <w:rPr>
                <w:w w:val="105"/>
                <w:sz w:val="12"/>
              </w:rPr>
              <w:t>Uso de suelo</w:t>
            </w:r>
          </w:p>
        </w:tc>
        <w:tc>
          <w:tcPr>
            <w:tcW w:w="2571" w:type="dxa"/>
            <w:vMerge w:val="restart"/>
          </w:tcPr>
          <w:p>
            <w:pPr>
              <w:pStyle w:val="TableParagraph"/>
              <w:spacing w:line="273" w:lineRule="auto" w:before="5"/>
              <w:ind w:left="280" w:right="988"/>
              <w:jc w:val="left"/>
              <w:rPr>
                <w:sz w:val="12"/>
              </w:rPr>
            </w:pPr>
            <w:r>
              <w:rPr>
                <w:w w:val="105"/>
                <w:sz w:val="12"/>
              </w:rPr>
              <w:t>Clasificación del suelo Densidad de población</w:t>
            </w:r>
          </w:p>
        </w:tc>
        <w:tc>
          <w:tcPr>
            <w:tcW w:w="1462" w:type="dxa"/>
            <w:vMerge w:val="restart"/>
          </w:tcPr>
          <w:p>
            <w:pPr>
              <w:pStyle w:val="TableParagraph"/>
              <w:spacing w:before="5"/>
              <w:ind w:left="834"/>
              <w:jc w:val="left"/>
              <w:rPr>
                <w:sz w:val="12"/>
              </w:rPr>
            </w:pPr>
            <w:r>
              <w:rPr>
                <w:w w:val="105"/>
                <w:sz w:val="12"/>
              </w:rPr>
              <w:t>0.5</w:t>
            </w:r>
          </w:p>
          <w:p>
            <w:pPr>
              <w:pStyle w:val="TableParagraph"/>
              <w:spacing w:before="19"/>
              <w:ind w:left="834"/>
              <w:jc w:val="left"/>
              <w:rPr>
                <w:sz w:val="12"/>
              </w:rPr>
            </w:pPr>
            <w:r>
              <w:rPr>
                <w:w w:val="105"/>
                <w:sz w:val="12"/>
              </w:rPr>
              <w:t>0.5</w:t>
            </w:r>
          </w:p>
        </w:tc>
        <w:tc>
          <w:tcPr>
            <w:tcW w:w="801" w:type="dxa"/>
            <w:vMerge w:val="restart"/>
          </w:tcPr>
          <w:p>
            <w:pPr/>
          </w:p>
        </w:tc>
        <w:tc>
          <w:tcPr>
            <w:tcW w:w="770" w:type="dxa"/>
            <w:vMerge w:val="restart"/>
          </w:tcPr>
          <w:p>
            <w:pPr>
              <w:pStyle w:val="TableParagraph"/>
              <w:spacing w:before="5"/>
              <w:ind w:left="348"/>
              <w:jc w:val="left"/>
              <w:rPr>
                <w:sz w:val="12"/>
              </w:rPr>
            </w:pPr>
            <w:r>
              <w:rPr>
                <w:w w:val="105"/>
                <w:sz w:val="12"/>
              </w:rPr>
              <w:t>0.5</w:t>
            </w:r>
          </w:p>
          <w:p>
            <w:pPr>
              <w:pStyle w:val="TableParagraph"/>
              <w:spacing w:before="19"/>
              <w:ind w:left="348"/>
              <w:jc w:val="left"/>
              <w:rPr>
                <w:sz w:val="12"/>
              </w:rPr>
            </w:pPr>
            <w:r>
              <w:rPr>
                <w:w w:val="105"/>
                <w:sz w:val="12"/>
              </w:rPr>
              <w:t>0.5</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58" w:hRule="exact"/>
        </w:trPr>
        <w:tc>
          <w:tcPr>
            <w:tcW w:w="619" w:type="dxa"/>
            <w:vMerge/>
            <w:tcBorders>
              <w:left w:val="single" w:sz="4" w:space="0" w:color="000000"/>
            </w:tcBorders>
          </w:tcPr>
          <w:p>
            <w:pPr/>
          </w:p>
        </w:tc>
        <w:tc>
          <w:tcPr>
            <w:tcW w:w="1915" w:type="dxa"/>
            <w:vMerge/>
          </w:tcPr>
          <w:p>
            <w:pPr/>
          </w:p>
        </w:tc>
        <w:tc>
          <w:tcPr>
            <w:tcW w:w="2571" w:type="dxa"/>
            <w:vMerge/>
          </w:tcPr>
          <w:p>
            <w:pPr/>
          </w:p>
        </w:tc>
        <w:tc>
          <w:tcPr>
            <w:tcW w:w="1462" w:type="dxa"/>
            <w:vMerge/>
          </w:tcPr>
          <w:p>
            <w:pPr/>
          </w:p>
        </w:tc>
        <w:tc>
          <w:tcPr>
            <w:tcW w:w="801" w:type="dxa"/>
            <w:vMerge/>
          </w:tcPr>
          <w:p>
            <w:pPr/>
          </w:p>
        </w:tc>
        <w:tc>
          <w:tcPr>
            <w:tcW w:w="770" w:type="dxa"/>
            <w:vMerge/>
          </w:tcPr>
          <w:p>
            <w:pP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65" w:hRule="exact"/>
        </w:trPr>
        <w:tc>
          <w:tcPr>
            <w:tcW w:w="619" w:type="dxa"/>
            <w:vMerge/>
            <w:tcBorders>
              <w:left w:val="single" w:sz="4" w:space="0" w:color="000000"/>
            </w:tcBorders>
          </w:tcPr>
          <w:p>
            <w:pPr/>
          </w:p>
        </w:tc>
        <w:tc>
          <w:tcPr>
            <w:tcW w:w="1915" w:type="dxa"/>
          </w:tcPr>
          <w:p>
            <w:pPr/>
          </w:p>
        </w:tc>
        <w:tc>
          <w:tcPr>
            <w:tcW w:w="2571" w:type="dxa"/>
          </w:tcPr>
          <w:p>
            <w:pPr/>
          </w:p>
        </w:tc>
        <w:tc>
          <w:tcPr>
            <w:tcW w:w="1462" w:type="dxa"/>
          </w:tcPr>
          <w:p>
            <w:pPr>
              <w:pStyle w:val="TableParagraph"/>
              <w:spacing w:before="5"/>
              <w:ind w:right="309"/>
              <w:jc w:val="right"/>
              <w:rPr>
                <w:sz w:val="12"/>
              </w:rPr>
            </w:pPr>
            <w:r>
              <w:rPr>
                <w:w w:val="105"/>
                <w:sz w:val="12"/>
              </w:rPr>
              <w:t>Subtotal</w:t>
            </w:r>
          </w:p>
        </w:tc>
        <w:tc>
          <w:tcPr>
            <w:tcW w:w="801" w:type="dxa"/>
          </w:tcPr>
          <w:p>
            <w:pPr>
              <w:pStyle w:val="TableParagraph"/>
              <w:tabs>
                <w:tab w:pos="518" w:val="left" w:leader="none"/>
                <w:tab w:pos="897" w:val="left" w:leader="none"/>
              </w:tabs>
              <w:spacing w:before="5"/>
              <w:ind w:left="203" w:right="-97"/>
              <w:jc w:val="left"/>
              <w:rPr>
                <w:sz w:val="12"/>
              </w:rPr>
            </w:pPr>
            <w:r>
              <w:rPr>
                <w:w w:val="105"/>
                <w:sz w:val="12"/>
                <w:shd w:fill="F79646" w:color="auto" w:val="clear"/>
              </w:rPr>
              <w:t> </w:t>
            </w:r>
            <w:r>
              <w:rPr>
                <w:sz w:val="12"/>
                <w:shd w:fill="F79646" w:color="auto" w:val="clear"/>
              </w:rPr>
              <w:tab/>
            </w:r>
            <w:r>
              <w:rPr>
                <w:w w:val="105"/>
                <w:sz w:val="12"/>
                <w:shd w:fill="F79646" w:color="auto" w:val="clear"/>
              </w:rPr>
              <w:t>1</w:t>
            </w:r>
            <w:r>
              <w:rPr>
                <w:sz w:val="12"/>
                <w:shd w:fill="F79646" w:color="auto" w:val="clear"/>
              </w:rPr>
              <w:tab/>
            </w:r>
          </w:p>
        </w:tc>
        <w:tc>
          <w:tcPr>
            <w:tcW w:w="770" w:type="dxa"/>
          </w:tcPr>
          <w:p>
            <w:pPr>
              <w:pStyle w:val="TableParagraph"/>
              <w:spacing w:before="5"/>
              <w:ind w:left="103"/>
              <w:rPr>
                <w:sz w:val="12"/>
              </w:rPr>
            </w:pPr>
            <w:r>
              <w:rPr>
                <w:w w:val="105"/>
                <w:sz w:val="12"/>
              </w:rPr>
              <w:t>1</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2</w:t>
            </w:r>
          </w:p>
        </w:tc>
      </w:tr>
      <w:tr>
        <w:trPr>
          <w:trHeight w:val="147" w:hRule="exact"/>
        </w:trPr>
        <w:tc>
          <w:tcPr>
            <w:tcW w:w="8822" w:type="dxa"/>
            <w:gridSpan w:val="7"/>
            <w:tcBorders>
              <w:left w:val="single" w:sz="4" w:space="0" w:color="000000"/>
              <w:right w:val="single" w:sz="8" w:space="0" w:color="000000"/>
            </w:tcBorders>
          </w:tcPr>
          <w:p>
            <w:pPr/>
          </w:p>
        </w:tc>
      </w:tr>
      <w:tr>
        <w:trPr>
          <w:trHeight w:val="161" w:hRule="exact"/>
        </w:trPr>
        <w:tc>
          <w:tcPr>
            <w:tcW w:w="619" w:type="dxa"/>
            <w:vMerge w:val="restart"/>
            <w:tcBorders>
              <w:left w:val="single" w:sz="4" w:space="0" w:color="000000"/>
            </w:tcBorders>
          </w:tcPr>
          <w:p>
            <w:pPr/>
          </w:p>
        </w:tc>
        <w:tc>
          <w:tcPr>
            <w:tcW w:w="1915" w:type="dxa"/>
            <w:vMerge w:val="restart"/>
          </w:tcPr>
          <w:p>
            <w:pPr>
              <w:pStyle w:val="TableParagraph"/>
              <w:spacing w:before="82"/>
              <w:ind w:left="91"/>
              <w:jc w:val="left"/>
              <w:rPr>
                <w:sz w:val="12"/>
              </w:rPr>
            </w:pPr>
            <w:r>
              <w:rPr>
                <w:w w:val="105"/>
                <w:sz w:val="12"/>
              </w:rPr>
              <w:t>Vivienda</w:t>
            </w:r>
          </w:p>
        </w:tc>
        <w:tc>
          <w:tcPr>
            <w:tcW w:w="2571" w:type="dxa"/>
            <w:vMerge w:val="restart"/>
          </w:tcPr>
          <w:p>
            <w:pPr>
              <w:pStyle w:val="TableParagraph"/>
              <w:spacing w:line="273" w:lineRule="auto" w:before="8"/>
              <w:ind w:left="280" w:right="1605"/>
              <w:jc w:val="left"/>
              <w:rPr>
                <w:sz w:val="12"/>
              </w:rPr>
            </w:pPr>
            <w:r>
              <w:rPr>
                <w:w w:val="105"/>
                <w:sz w:val="12"/>
              </w:rPr>
              <w:t>Autorizadas Tipo</w:t>
            </w:r>
          </w:p>
        </w:tc>
        <w:tc>
          <w:tcPr>
            <w:tcW w:w="1462" w:type="dxa"/>
            <w:vMerge w:val="restart"/>
          </w:tcPr>
          <w:p>
            <w:pPr>
              <w:pStyle w:val="TableParagraph"/>
              <w:spacing w:before="8"/>
              <w:ind w:left="381"/>
              <w:rPr>
                <w:sz w:val="12"/>
              </w:rPr>
            </w:pPr>
            <w:r>
              <w:rPr>
                <w:w w:val="105"/>
                <w:sz w:val="12"/>
              </w:rPr>
              <w:t>1</w:t>
            </w:r>
          </w:p>
          <w:p>
            <w:pPr>
              <w:pStyle w:val="TableParagraph"/>
              <w:spacing w:before="19"/>
              <w:ind w:left="813" w:right="432"/>
              <w:rPr>
                <w:sz w:val="12"/>
              </w:rPr>
            </w:pPr>
            <w:r>
              <w:rPr>
                <w:w w:val="105"/>
                <w:sz w:val="12"/>
              </w:rPr>
              <w:t>0.5</w:t>
            </w:r>
          </w:p>
        </w:tc>
        <w:tc>
          <w:tcPr>
            <w:tcW w:w="801" w:type="dxa"/>
            <w:vMerge w:val="restart"/>
          </w:tcPr>
          <w:p>
            <w:pPr/>
          </w:p>
        </w:tc>
        <w:tc>
          <w:tcPr>
            <w:tcW w:w="770" w:type="dxa"/>
            <w:vMerge w:val="restart"/>
          </w:tcPr>
          <w:p>
            <w:pPr>
              <w:pStyle w:val="TableParagraph"/>
              <w:spacing w:before="8"/>
              <w:ind w:left="103"/>
              <w:rPr>
                <w:sz w:val="12"/>
              </w:rPr>
            </w:pPr>
            <w:r>
              <w:rPr>
                <w:w w:val="105"/>
                <w:sz w:val="12"/>
              </w:rPr>
              <w:t>1</w:t>
            </w:r>
          </w:p>
          <w:p>
            <w:pPr>
              <w:pStyle w:val="TableParagraph"/>
              <w:spacing w:before="19"/>
              <w:ind w:left="328" w:right="225"/>
              <w:rPr>
                <w:sz w:val="12"/>
              </w:rPr>
            </w:pPr>
            <w:r>
              <w:rPr>
                <w:w w:val="105"/>
                <w:sz w:val="12"/>
              </w:rPr>
              <w:t>0.5</w:t>
            </w:r>
          </w:p>
        </w:tc>
        <w:tc>
          <w:tcPr>
            <w:tcW w:w="684" w:type="dxa"/>
            <w:tcBorders>
              <w:right w:val="single" w:sz="8" w:space="0" w:color="000000"/>
            </w:tcBorders>
            <w:shd w:val="clear" w:color="auto" w:fill="67ED4D"/>
          </w:tcPr>
          <w:p>
            <w:pPr>
              <w:pStyle w:val="TableParagraph"/>
              <w:spacing w:before="8"/>
              <w:ind w:left="28"/>
              <w:rPr>
                <w:sz w:val="12"/>
              </w:rPr>
            </w:pPr>
            <w:r>
              <w:rPr>
                <w:w w:val="105"/>
                <w:sz w:val="12"/>
              </w:rPr>
              <w:t>1</w:t>
            </w:r>
          </w:p>
        </w:tc>
      </w:tr>
      <w:tr>
        <w:trPr>
          <w:trHeight w:val="158" w:hRule="exact"/>
        </w:trPr>
        <w:tc>
          <w:tcPr>
            <w:tcW w:w="619" w:type="dxa"/>
            <w:vMerge/>
            <w:tcBorders>
              <w:left w:val="single" w:sz="4" w:space="0" w:color="000000"/>
            </w:tcBorders>
          </w:tcPr>
          <w:p>
            <w:pPr/>
          </w:p>
        </w:tc>
        <w:tc>
          <w:tcPr>
            <w:tcW w:w="1915" w:type="dxa"/>
            <w:vMerge/>
          </w:tcPr>
          <w:p>
            <w:pPr/>
          </w:p>
        </w:tc>
        <w:tc>
          <w:tcPr>
            <w:tcW w:w="2571" w:type="dxa"/>
            <w:vMerge/>
          </w:tcPr>
          <w:p>
            <w:pPr/>
          </w:p>
        </w:tc>
        <w:tc>
          <w:tcPr>
            <w:tcW w:w="1462" w:type="dxa"/>
            <w:vMerge/>
          </w:tcPr>
          <w:p>
            <w:pPr/>
          </w:p>
        </w:tc>
        <w:tc>
          <w:tcPr>
            <w:tcW w:w="801" w:type="dxa"/>
            <w:vMerge/>
          </w:tcPr>
          <w:p>
            <w:pPr/>
          </w:p>
        </w:tc>
        <w:tc>
          <w:tcPr>
            <w:tcW w:w="770" w:type="dxa"/>
            <w:vMerge/>
          </w:tcPr>
          <w:p>
            <w:pP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65" w:hRule="exact"/>
        </w:trPr>
        <w:tc>
          <w:tcPr>
            <w:tcW w:w="619" w:type="dxa"/>
            <w:vMerge/>
            <w:tcBorders>
              <w:left w:val="single" w:sz="4" w:space="0" w:color="000000"/>
            </w:tcBorders>
          </w:tcPr>
          <w:p>
            <w:pPr/>
          </w:p>
        </w:tc>
        <w:tc>
          <w:tcPr>
            <w:tcW w:w="1915" w:type="dxa"/>
          </w:tcPr>
          <w:p>
            <w:pPr/>
          </w:p>
        </w:tc>
        <w:tc>
          <w:tcPr>
            <w:tcW w:w="2571" w:type="dxa"/>
          </w:tcPr>
          <w:p>
            <w:pPr/>
          </w:p>
        </w:tc>
        <w:tc>
          <w:tcPr>
            <w:tcW w:w="1462" w:type="dxa"/>
          </w:tcPr>
          <w:p>
            <w:pPr>
              <w:pStyle w:val="TableParagraph"/>
              <w:spacing w:before="5"/>
              <w:ind w:right="309"/>
              <w:jc w:val="right"/>
              <w:rPr>
                <w:sz w:val="12"/>
              </w:rPr>
            </w:pPr>
            <w:r>
              <w:rPr>
                <w:w w:val="105"/>
                <w:sz w:val="12"/>
              </w:rPr>
              <w:t>Subtotal</w:t>
            </w:r>
          </w:p>
        </w:tc>
        <w:tc>
          <w:tcPr>
            <w:tcW w:w="801" w:type="dxa"/>
          </w:tcPr>
          <w:p>
            <w:pPr>
              <w:pStyle w:val="TableParagraph"/>
              <w:tabs>
                <w:tab w:pos="466" w:val="left" w:leader="none"/>
                <w:tab w:pos="897" w:val="left" w:leader="none"/>
              </w:tabs>
              <w:spacing w:before="5"/>
              <w:ind w:left="203" w:right="-97"/>
              <w:jc w:val="left"/>
              <w:rPr>
                <w:sz w:val="12"/>
              </w:rPr>
            </w:pPr>
            <w:r>
              <w:rPr>
                <w:w w:val="105"/>
                <w:sz w:val="12"/>
                <w:shd w:fill="F79646" w:color="auto" w:val="clear"/>
              </w:rPr>
              <w:t> </w:t>
            </w:r>
            <w:r>
              <w:rPr>
                <w:sz w:val="12"/>
                <w:shd w:fill="F79646" w:color="auto" w:val="clear"/>
              </w:rPr>
              <w:tab/>
            </w:r>
            <w:r>
              <w:rPr>
                <w:w w:val="105"/>
                <w:sz w:val="12"/>
                <w:shd w:fill="F79646" w:color="auto" w:val="clear"/>
              </w:rPr>
              <w:t>1.5</w:t>
            </w:r>
            <w:r>
              <w:rPr>
                <w:sz w:val="12"/>
                <w:shd w:fill="F79646" w:color="auto" w:val="clear"/>
              </w:rPr>
              <w:tab/>
            </w:r>
          </w:p>
        </w:tc>
        <w:tc>
          <w:tcPr>
            <w:tcW w:w="770" w:type="dxa"/>
          </w:tcPr>
          <w:p>
            <w:pPr>
              <w:pStyle w:val="TableParagraph"/>
              <w:spacing w:before="5"/>
              <w:ind w:left="348"/>
              <w:jc w:val="left"/>
              <w:rPr>
                <w:sz w:val="12"/>
              </w:rPr>
            </w:pPr>
            <w:r>
              <w:rPr>
                <w:w w:val="105"/>
                <w:sz w:val="12"/>
              </w:rPr>
              <w:t>1.5</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2</w:t>
            </w:r>
          </w:p>
        </w:tc>
      </w:tr>
      <w:tr>
        <w:trPr>
          <w:trHeight w:val="147" w:hRule="exact"/>
        </w:trPr>
        <w:tc>
          <w:tcPr>
            <w:tcW w:w="8822" w:type="dxa"/>
            <w:gridSpan w:val="7"/>
            <w:tcBorders>
              <w:left w:val="single" w:sz="4" w:space="0" w:color="000000"/>
              <w:right w:val="single" w:sz="8" w:space="0" w:color="000000"/>
            </w:tcBorders>
          </w:tcPr>
          <w:p>
            <w:pPr/>
          </w:p>
        </w:tc>
      </w:tr>
      <w:tr>
        <w:trPr>
          <w:trHeight w:val="161" w:hRule="exact"/>
        </w:trPr>
        <w:tc>
          <w:tcPr>
            <w:tcW w:w="619" w:type="dxa"/>
            <w:vMerge w:val="restart"/>
            <w:tcBorders>
              <w:left w:val="single" w:sz="4" w:space="0" w:color="000000"/>
            </w:tcBorders>
          </w:tcPr>
          <w:p>
            <w:pPr/>
          </w:p>
        </w:tc>
        <w:tc>
          <w:tcPr>
            <w:tcW w:w="1915" w:type="dxa"/>
            <w:vMerge w:val="restart"/>
          </w:tcPr>
          <w:p>
            <w:pPr>
              <w:pStyle w:val="TableParagraph"/>
              <w:spacing w:before="82"/>
              <w:ind w:left="91"/>
              <w:jc w:val="left"/>
              <w:rPr>
                <w:sz w:val="12"/>
              </w:rPr>
            </w:pPr>
            <w:r>
              <w:rPr>
                <w:w w:val="105"/>
                <w:sz w:val="12"/>
              </w:rPr>
              <w:t>Municipalización</w:t>
            </w:r>
          </w:p>
        </w:tc>
        <w:tc>
          <w:tcPr>
            <w:tcW w:w="2571" w:type="dxa"/>
            <w:vMerge w:val="restart"/>
          </w:tcPr>
          <w:p>
            <w:pPr>
              <w:pStyle w:val="TableParagraph"/>
              <w:spacing w:line="273" w:lineRule="auto" w:before="8"/>
              <w:ind w:left="280" w:right="1885"/>
              <w:jc w:val="left"/>
              <w:rPr>
                <w:sz w:val="12"/>
              </w:rPr>
            </w:pPr>
            <w:r>
              <w:rPr>
                <w:w w:val="105"/>
                <w:sz w:val="12"/>
              </w:rPr>
              <w:t>Parcial Total</w:t>
            </w:r>
          </w:p>
        </w:tc>
        <w:tc>
          <w:tcPr>
            <w:tcW w:w="1462" w:type="dxa"/>
            <w:vMerge w:val="restart"/>
          </w:tcPr>
          <w:p>
            <w:pPr>
              <w:pStyle w:val="TableParagraph"/>
              <w:spacing w:before="8"/>
              <w:ind w:left="813" w:right="432"/>
              <w:rPr>
                <w:sz w:val="12"/>
              </w:rPr>
            </w:pPr>
            <w:r>
              <w:rPr>
                <w:w w:val="105"/>
                <w:sz w:val="12"/>
              </w:rPr>
              <w:t>0.5</w:t>
            </w:r>
          </w:p>
          <w:p>
            <w:pPr>
              <w:pStyle w:val="TableParagraph"/>
              <w:spacing w:before="19"/>
              <w:ind w:left="381"/>
              <w:rPr>
                <w:sz w:val="12"/>
              </w:rPr>
            </w:pPr>
            <w:r>
              <w:rPr>
                <w:w w:val="105"/>
                <w:sz w:val="12"/>
              </w:rPr>
              <w:t>0</w:t>
            </w:r>
          </w:p>
        </w:tc>
        <w:tc>
          <w:tcPr>
            <w:tcW w:w="801" w:type="dxa"/>
            <w:vMerge w:val="restart"/>
          </w:tcPr>
          <w:p>
            <w:pPr/>
          </w:p>
        </w:tc>
        <w:tc>
          <w:tcPr>
            <w:tcW w:w="770" w:type="dxa"/>
            <w:vMerge w:val="restart"/>
          </w:tcPr>
          <w:p>
            <w:pPr>
              <w:pStyle w:val="TableParagraph"/>
              <w:spacing w:before="8"/>
              <w:ind w:left="348"/>
              <w:jc w:val="left"/>
              <w:rPr>
                <w:sz w:val="12"/>
              </w:rPr>
            </w:pPr>
            <w:r>
              <w:rPr>
                <w:w w:val="105"/>
                <w:sz w:val="12"/>
              </w:rPr>
              <w:t>0.5</w:t>
            </w:r>
          </w:p>
          <w:p>
            <w:pPr>
              <w:pStyle w:val="TableParagraph"/>
              <w:spacing w:before="19"/>
              <w:ind w:left="348"/>
              <w:jc w:val="left"/>
              <w:rPr>
                <w:sz w:val="12"/>
              </w:rPr>
            </w:pPr>
            <w:r>
              <w:rPr>
                <w:w w:val="105"/>
                <w:sz w:val="12"/>
              </w:rPr>
              <w:t>0.5</w:t>
            </w:r>
          </w:p>
        </w:tc>
        <w:tc>
          <w:tcPr>
            <w:tcW w:w="684" w:type="dxa"/>
            <w:tcBorders>
              <w:right w:val="single" w:sz="8" w:space="0" w:color="000000"/>
            </w:tcBorders>
            <w:shd w:val="clear" w:color="auto" w:fill="67ED4D"/>
          </w:tcPr>
          <w:p>
            <w:pPr>
              <w:pStyle w:val="TableParagraph"/>
              <w:spacing w:before="8"/>
              <w:ind w:left="28"/>
              <w:rPr>
                <w:sz w:val="12"/>
              </w:rPr>
            </w:pPr>
            <w:r>
              <w:rPr>
                <w:w w:val="105"/>
                <w:sz w:val="12"/>
              </w:rPr>
              <w:t>1</w:t>
            </w:r>
          </w:p>
        </w:tc>
      </w:tr>
      <w:tr>
        <w:trPr>
          <w:trHeight w:val="158" w:hRule="exact"/>
        </w:trPr>
        <w:tc>
          <w:tcPr>
            <w:tcW w:w="619" w:type="dxa"/>
            <w:vMerge/>
            <w:tcBorders>
              <w:left w:val="single" w:sz="4" w:space="0" w:color="000000"/>
            </w:tcBorders>
          </w:tcPr>
          <w:p>
            <w:pPr/>
          </w:p>
        </w:tc>
        <w:tc>
          <w:tcPr>
            <w:tcW w:w="1915" w:type="dxa"/>
            <w:vMerge/>
          </w:tcPr>
          <w:p>
            <w:pPr/>
          </w:p>
        </w:tc>
        <w:tc>
          <w:tcPr>
            <w:tcW w:w="2571" w:type="dxa"/>
            <w:vMerge/>
          </w:tcPr>
          <w:p>
            <w:pPr/>
          </w:p>
        </w:tc>
        <w:tc>
          <w:tcPr>
            <w:tcW w:w="1462" w:type="dxa"/>
            <w:vMerge/>
          </w:tcPr>
          <w:p>
            <w:pPr/>
          </w:p>
        </w:tc>
        <w:tc>
          <w:tcPr>
            <w:tcW w:w="801" w:type="dxa"/>
            <w:vMerge/>
          </w:tcPr>
          <w:p>
            <w:pPr/>
          </w:p>
        </w:tc>
        <w:tc>
          <w:tcPr>
            <w:tcW w:w="770" w:type="dxa"/>
            <w:vMerge/>
          </w:tcPr>
          <w:p>
            <w:pP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65" w:hRule="exact"/>
        </w:trPr>
        <w:tc>
          <w:tcPr>
            <w:tcW w:w="619" w:type="dxa"/>
            <w:vMerge/>
            <w:tcBorders>
              <w:left w:val="single" w:sz="4" w:space="0" w:color="000000"/>
            </w:tcBorders>
          </w:tcPr>
          <w:p>
            <w:pPr/>
          </w:p>
        </w:tc>
        <w:tc>
          <w:tcPr>
            <w:tcW w:w="1915" w:type="dxa"/>
          </w:tcPr>
          <w:p>
            <w:pPr/>
          </w:p>
        </w:tc>
        <w:tc>
          <w:tcPr>
            <w:tcW w:w="2571" w:type="dxa"/>
          </w:tcPr>
          <w:p>
            <w:pPr/>
          </w:p>
        </w:tc>
        <w:tc>
          <w:tcPr>
            <w:tcW w:w="1462" w:type="dxa"/>
          </w:tcPr>
          <w:p>
            <w:pPr>
              <w:pStyle w:val="TableParagraph"/>
              <w:spacing w:before="5"/>
              <w:ind w:right="309"/>
              <w:jc w:val="right"/>
              <w:rPr>
                <w:sz w:val="12"/>
              </w:rPr>
            </w:pPr>
            <w:r>
              <w:rPr>
                <w:w w:val="105"/>
                <w:sz w:val="12"/>
              </w:rPr>
              <w:t>Subtotal</w:t>
            </w:r>
          </w:p>
        </w:tc>
        <w:tc>
          <w:tcPr>
            <w:tcW w:w="801" w:type="dxa"/>
          </w:tcPr>
          <w:p>
            <w:pPr>
              <w:pStyle w:val="TableParagraph"/>
              <w:tabs>
                <w:tab w:pos="466" w:val="left" w:leader="none"/>
                <w:tab w:pos="897" w:val="left" w:leader="none"/>
              </w:tabs>
              <w:spacing w:before="5"/>
              <w:ind w:left="203" w:right="-97"/>
              <w:jc w:val="left"/>
              <w:rPr>
                <w:sz w:val="12"/>
              </w:rPr>
            </w:pPr>
            <w:r>
              <w:rPr>
                <w:w w:val="105"/>
                <w:sz w:val="12"/>
                <w:shd w:fill="F79646" w:color="auto" w:val="clear"/>
              </w:rPr>
              <w:t> </w:t>
            </w:r>
            <w:r>
              <w:rPr>
                <w:sz w:val="12"/>
                <w:shd w:fill="F79646" w:color="auto" w:val="clear"/>
              </w:rPr>
              <w:tab/>
            </w:r>
            <w:r>
              <w:rPr>
                <w:w w:val="105"/>
                <w:sz w:val="12"/>
                <w:shd w:fill="F79646" w:color="auto" w:val="clear"/>
              </w:rPr>
              <w:t>0.5</w:t>
            </w:r>
            <w:r>
              <w:rPr>
                <w:sz w:val="12"/>
                <w:shd w:fill="F79646" w:color="auto" w:val="clear"/>
              </w:rPr>
              <w:tab/>
            </w:r>
          </w:p>
        </w:tc>
        <w:tc>
          <w:tcPr>
            <w:tcW w:w="770" w:type="dxa"/>
          </w:tcPr>
          <w:p>
            <w:pPr>
              <w:pStyle w:val="TableParagraph"/>
              <w:spacing w:before="5"/>
              <w:ind w:left="103"/>
              <w:rPr>
                <w:sz w:val="12"/>
              </w:rPr>
            </w:pPr>
            <w:r>
              <w:rPr>
                <w:w w:val="105"/>
                <w:sz w:val="12"/>
              </w:rPr>
              <w:t>1</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2</w:t>
            </w:r>
          </w:p>
        </w:tc>
      </w:tr>
      <w:tr>
        <w:trPr>
          <w:trHeight w:val="147" w:hRule="exact"/>
        </w:trPr>
        <w:tc>
          <w:tcPr>
            <w:tcW w:w="8822" w:type="dxa"/>
            <w:gridSpan w:val="7"/>
            <w:tcBorders>
              <w:left w:val="single" w:sz="4" w:space="0" w:color="000000"/>
              <w:right w:val="single" w:sz="8" w:space="0" w:color="000000"/>
            </w:tcBorders>
          </w:tcPr>
          <w:p>
            <w:pPr/>
          </w:p>
        </w:tc>
      </w:tr>
      <w:tr>
        <w:trPr>
          <w:trHeight w:val="161" w:hRule="exact"/>
        </w:trPr>
        <w:tc>
          <w:tcPr>
            <w:tcW w:w="619" w:type="dxa"/>
            <w:vMerge w:val="restart"/>
            <w:tcBorders>
              <w:left w:val="single" w:sz="4" w:space="0" w:color="000000"/>
            </w:tcBorders>
          </w:tcPr>
          <w:p>
            <w:pPr/>
          </w:p>
        </w:tc>
        <w:tc>
          <w:tcPr>
            <w:tcW w:w="1915" w:type="dxa"/>
            <w:vMerge w:val="restart"/>
          </w:tcPr>
          <w:p>
            <w:pPr>
              <w:pStyle w:val="TableParagraph"/>
              <w:spacing w:before="82"/>
              <w:ind w:left="91"/>
              <w:jc w:val="left"/>
              <w:rPr>
                <w:sz w:val="12"/>
              </w:rPr>
            </w:pPr>
            <w:r>
              <w:rPr>
                <w:w w:val="105"/>
                <w:sz w:val="12"/>
              </w:rPr>
              <w:t>Infraestrutura utilizada</w:t>
            </w:r>
          </w:p>
        </w:tc>
        <w:tc>
          <w:tcPr>
            <w:tcW w:w="2571" w:type="dxa"/>
            <w:vMerge w:val="restart"/>
          </w:tcPr>
          <w:p>
            <w:pPr>
              <w:pStyle w:val="TableParagraph"/>
              <w:spacing w:line="273" w:lineRule="auto" w:before="8"/>
              <w:ind w:left="280" w:right="1689"/>
              <w:jc w:val="left"/>
              <w:rPr>
                <w:sz w:val="12"/>
              </w:rPr>
            </w:pPr>
            <w:r>
              <w:rPr>
                <w:w w:val="105"/>
                <w:sz w:val="12"/>
              </w:rPr>
              <w:t>Vialidades Redes</w:t>
            </w:r>
          </w:p>
        </w:tc>
        <w:tc>
          <w:tcPr>
            <w:tcW w:w="1462" w:type="dxa"/>
            <w:vMerge w:val="restart"/>
          </w:tcPr>
          <w:p>
            <w:pPr>
              <w:pStyle w:val="TableParagraph"/>
              <w:spacing w:before="8"/>
              <w:ind w:left="834"/>
              <w:jc w:val="left"/>
              <w:rPr>
                <w:sz w:val="12"/>
              </w:rPr>
            </w:pPr>
            <w:r>
              <w:rPr>
                <w:w w:val="105"/>
                <w:sz w:val="12"/>
              </w:rPr>
              <w:t>0.5</w:t>
            </w:r>
          </w:p>
          <w:p>
            <w:pPr>
              <w:pStyle w:val="TableParagraph"/>
              <w:spacing w:before="19"/>
              <w:ind w:left="834"/>
              <w:jc w:val="left"/>
              <w:rPr>
                <w:sz w:val="12"/>
              </w:rPr>
            </w:pPr>
            <w:r>
              <w:rPr>
                <w:w w:val="105"/>
                <w:sz w:val="12"/>
              </w:rPr>
              <w:t>0.4</w:t>
            </w:r>
          </w:p>
        </w:tc>
        <w:tc>
          <w:tcPr>
            <w:tcW w:w="801" w:type="dxa"/>
            <w:vMerge w:val="restart"/>
          </w:tcPr>
          <w:p>
            <w:pPr/>
          </w:p>
        </w:tc>
        <w:tc>
          <w:tcPr>
            <w:tcW w:w="770" w:type="dxa"/>
            <w:vMerge w:val="restart"/>
          </w:tcPr>
          <w:p>
            <w:pPr>
              <w:pStyle w:val="TableParagraph"/>
              <w:spacing w:before="8"/>
              <w:ind w:left="306"/>
              <w:jc w:val="left"/>
              <w:rPr>
                <w:sz w:val="12"/>
              </w:rPr>
            </w:pPr>
            <w:r>
              <w:rPr>
                <w:w w:val="105"/>
                <w:sz w:val="12"/>
              </w:rPr>
              <w:t>0.75</w:t>
            </w:r>
          </w:p>
          <w:p>
            <w:pPr>
              <w:pStyle w:val="TableParagraph"/>
              <w:spacing w:before="19"/>
              <w:ind w:left="348"/>
              <w:jc w:val="left"/>
              <w:rPr>
                <w:sz w:val="12"/>
              </w:rPr>
            </w:pPr>
            <w:r>
              <w:rPr>
                <w:w w:val="105"/>
                <w:sz w:val="12"/>
              </w:rPr>
              <w:t>0.8</w:t>
            </w:r>
          </w:p>
        </w:tc>
        <w:tc>
          <w:tcPr>
            <w:tcW w:w="684" w:type="dxa"/>
            <w:tcBorders>
              <w:right w:val="single" w:sz="8" w:space="0" w:color="000000"/>
            </w:tcBorders>
            <w:shd w:val="clear" w:color="auto" w:fill="67ED4D"/>
          </w:tcPr>
          <w:p>
            <w:pPr>
              <w:pStyle w:val="TableParagraph"/>
              <w:spacing w:before="8"/>
              <w:ind w:left="28"/>
              <w:rPr>
                <w:sz w:val="12"/>
              </w:rPr>
            </w:pPr>
            <w:r>
              <w:rPr>
                <w:w w:val="105"/>
                <w:sz w:val="12"/>
              </w:rPr>
              <w:t>1</w:t>
            </w:r>
          </w:p>
        </w:tc>
      </w:tr>
      <w:tr>
        <w:trPr>
          <w:trHeight w:val="158" w:hRule="exact"/>
        </w:trPr>
        <w:tc>
          <w:tcPr>
            <w:tcW w:w="619" w:type="dxa"/>
            <w:vMerge/>
            <w:tcBorders>
              <w:left w:val="single" w:sz="4" w:space="0" w:color="000000"/>
            </w:tcBorders>
          </w:tcPr>
          <w:p>
            <w:pPr/>
          </w:p>
        </w:tc>
        <w:tc>
          <w:tcPr>
            <w:tcW w:w="1915" w:type="dxa"/>
            <w:vMerge/>
          </w:tcPr>
          <w:p>
            <w:pPr/>
          </w:p>
        </w:tc>
        <w:tc>
          <w:tcPr>
            <w:tcW w:w="2571" w:type="dxa"/>
            <w:vMerge/>
          </w:tcPr>
          <w:p>
            <w:pPr/>
          </w:p>
        </w:tc>
        <w:tc>
          <w:tcPr>
            <w:tcW w:w="1462" w:type="dxa"/>
            <w:vMerge/>
          </w:tcPr>
          <w:p>
            <w:pPr/>
          </w:p>
        </w:tc>
        <w:tc>
          <w:tcPr>
            <w:tcW w:w="801" w:type="dxa"/>
            <w:vMerge/>
          </w:tcPr>
          <w:p>
            <w:pPr/>
          </w:p>
        </w:tc>
        <w:tc>
          <w:tcPr>
            <w:tcW w:w="770" w:type="dxa"/>
            <w:vMerge/>
          </w:tcPr>
          <w:p>
            <w:pP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65" w:hRule="exact"/>
        </w:trPr>
        <w:tc>
          <w:tcPr>
            <w:tcW w:w="619" w:type="dxa"/>
            <w:vMerge/>
            <w:tcBorders>
              <w:left w:val="single" w:sz="4" w:space="0" w:color="000000"/>
            </w:tcBorders>
          </w:tcPr>
          <w:p>
            <w:pPr/>
          </w:p>
        </w:tc>
        <w:tc>
          <w:tcPr>
            <w:tcW w:w="1915" w:type="dxa"/>
          </w:tcPr>
          <w:p>
            <w:pPr/>
          </w:p>
        </w:tc>
        <w:tc>
          <w:tcPr>
            <w:tcW w:w="2571" w:type="dxa"/>
          </w:tcPr>
          <w:p>
            <w:pPr/>
          </w:p>
        </w:tc>
        <w:tc>
          <w:tcPr>
            <w:tcW w:w="1462" w:type="dxa"/>
          </w:tcPr>
          <w:p>
            <w:pPr>
              <w:pStyle w:val="TableParagraph"/>
              <w:spacing w:before="5"/>
              <w:ind w:right="309"/>
              <w:jc w:val="right"/>
              <w:rPr>
                <w:sz w:val="12"/>
              </w:rPr>
            </w:pPr>
            <w:r>
              <w:rPr>
                <w:w w:val="105"/>
                <w:sz w:val="12"/>
              </w:rPr>
              <w:t>Subtotal</w:t>
            </w:r>
          </w:p>
        </w:tc>
        <w:tc>
          <w:tcPr>
            <w:tcW w:w="801" w:type="dxa"/>
          </w:tcPr>
          <w:p>
            <w:pPr>
              <w:pStyle w:val="TableParagraph"/>
              <w:tabs>
                <w:tab w:pos="466" w:val="left" w:leader="none"/>
                <w:tab w:pos="897" w:val="left" w:leader="none"/>
              </w:tabs>
              <w:spacing w:before="5"/>
              <w:ind w:left="203" w:right="-97"/>
              <w:jc w:val="left"/>
              <w:rPr>
                <w:sz w:val="12"/>
              </w:rPr>
            </w:pPr>
            <w:r>
              <w:rPr>
                <w:w w:val="105"/>
                <w:sz w:val="12"/>
                <w:shd w:fill="F79646" w:color="auto" w:val="clear"/>
              </w:rPr>
              <w:t> </w:t>
            </w:r>
            <w:r>
              <w:rPr>
                <w:sz w:val="12"/>
                <w:shd w:fill="F79646" w:color="auto" w:val="clear"/>
              </w:rPr>
              <w:tab/>
            </w:r>
            <w:r>
              <w:rPr>
                <w:w w:val="105"/>
                <w:sz w:val="12"/>
                <w:shd w:fill="F79646" w:color="auto" w:val="clear"/>
              </w:rPr>
              <w:t>0.9</w:t>
            </w:r>
            <w:r>
              <w:rPr>
                <w:sz w:val="12"/>
                <w:shd w:fill="F79646" w:color="auto" w:val="clear"/>
              </w:rPr>
              <w:tab/>
            </w:r>
          </w:p>
        </w:tc>
        <w:tc>
          <w:tcPr>
            <w:tcW w:w="770" w:type="dxa"/>
          </w:tcPr>
          <w:p>
            <w:pPr>
              <w:pStyle w:val="TableParagraph"/>
              <w:spacing w:before="5"/>
              <w:ind w:left="306"/>
              <w:jc w:val="left"/>
              <w:rPr>
                <w:sz w:val="12"/>
              </w:rPr>
            </w:pPr>
            <w:r>
              <w:rPr>
                <w:w w:val="105"/>
                <w:sz w:val="12"/>
              </w:rPr>
              <w:t>1.55</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2</w:t>
            </w:r>
          </w:p>
        </w:tc>
      </w:tr>
      <w:tr>
        <w:trPr>
          <w:trHeight w:val="147" w:hRule="exact"/>
        </w:trPr>
        <w:tc>
          <w:tcPr>
            <w:tcW w:w="8822" w:type="dxa"/>
            <w:gridSpan w:val="7"/>
            <w:tcBorders>
              <w:left w:val="single" w:sz="4" w:space="0" w:color="000000"/>
              <w:right w:val="single" w:sz="8" w:space="0" w:color="000000"/>
            </w:tcBorders>
          </w:tcPr>
          <w:p>
            <w:pPr>
              <w:pStyle w:val="TableParagraph"/>
              <w:spacing w:line="136" w:lineRule="exact"/>
              <w:ind w:left="94"/>
              <w:jc w:val="left"/>
              <w:rPr>
                <w:sz w:val="12"/>
              </w:rPr>
            </w:pPr>
            <w:r>
              <w:rPr>
                <w:w w:val="105"/>
                <w:sz w:val="12"/>
              </w:rPr>
              <w:t>Territorio</w:t>
            </w:r>
          </w:p>
        </w:tc>
      </w:tr>
      <w:tr>
        <w:trPr>
          <w:trHeight w:val="318" w:hRule="exact"/>
        </w:trPr>
        <w:tc>
          <w:tcPr>
            <w:tcW w:w="619" w:type="dxa"/>
            <w:tcBorders>
              <w:left w:val="single" w:sz="4" w:space="0" w:color="000000"/>
            </w:tcBorders>
          </w:tcPr>
          <w:p>
            <w:pPr/>
          </w:p>
        </w:tc>
        <w:tc>
          <w:tcPr>
            <w:tcW w:w="1915" w:type="dxa"/>
          </w:tcPr>
          <w:p>
            <w:pPr>
              <w:pStyle w:val="TableParagraph"/>
              <w:spacing w:before="82"/>
              <w:ind w:left="91"/>
              <w:jc w:val="left"/>
              <w:rPr>
                <w:sz w:val="12"/>
              </w:rPr>
            </w:pPr>
            <w:r>
              <w:rPr>
                <w:w w:val="105"/>
                <w:sz w:val="12"/>
              </w:rPr>
              <w:t>Infraestructura desarrollada</w:t>
            </w:r>
          </w:p>
        </w:tc>
        <w:tc>
          <w:tcPr>
            <w:tcW w:w="2571" w:type="dxa"/>
          </w:tcPr>
          <w:p>
            <w:pPr>
              <w:pStyle w:val="TableParagraph"/>
              <w:spacing w:line="273" w:lineRule="auto" w:before="8"/>
              <w:ind w:left="280" w:right="1689"/>
              <w:jc w:val="left"/>
              <w:rPr>
                <w:sz w:val="12"/>
              </w:rPr>
            </w:pPr>
            <w:r>
              <w:rPr>
                <w:w w:val="105"/>
                <w:sz w:val="12"/>
              </w:rPr>
              <w:t>Vialidades Redes</w:t>
            </w:r>
          </w:p>
        </w:tc>
        <w:tc>
          <w:tcPr>
            <w:tcW w:w="1462" w:type="dxa"/>
          </w:tcPr>
          <w:p>
            <w:pPr>
              <w:pStyle w:val="TableParagraph"/>
              <w:spacing w:before="8"/>
              <w:ind w:left="834"/>
              <w:jc w:val="left"/>
              <w:rPr>
                <w:sz w:val="12"/>
              </w:rPr>
            </w:pPr>
            <w:r>
              <w:rPr>
                <w:w w:val="105"/>
                <w:sz w:val="12"/>
              </w:rPr>
              <w:t>0.5</w:t>
            </w:r>
          </w:p>
          <w:p>
            <w:pPr>
              <w:pStyle w:val="TableParagraph"/>
              <w:spacing w:before="19"/>
              <w:ind w:left="802"/>
              <w:jc w:val="left"/>
              <w:rPr>
                <w:sz w:val="12"/>
              </w:rPr>
            </w:pPr>
            <w:r>
              <w:rPr>
                <w:w w:val="105"/>
                <w:sz w:val="12"/>
              </w:rPr>
              <w:t>0.66</w:t>
            </w:r>
          </w:p>
        </w:tc>
        <w:tc>
          <w:tcPr>
            <w:tcW w:w="801" w:type="dxa"/>
          </w:tcPr>
          <w:p>
            <w:pPr/>
          </w:p>
        </w:tc>
        <w:tc>
          <w:tcPr>
            <w:tcW w:w="770" w:type="dxa"/>
          </w:tcPr>
          <w:p>
            <w:pPr>
              <w:pStyle w:val="TableParagraph"/>
              <w:spacing w:before="8"/>
              <w:ind w:left="306"/>
              <w:jc w:val="left"/>
              <w:rPr>
                <w:sz w:val="12"/>
              </w:rPr>
            </w:pPr>
            <w:r>
              <w:rPr>
                <w:w w:val="105"/>
                <w:sz w:val="12"/>
              </w:rPr>
              <w:t>0.75</w:t>
            </w:r>
          </w:p>
          <w:p>
            <w:pPr>
              <w:pStyle w:val="TableParagraph"/>
              <w:spacing w:before="19"/>
              <w:ind w:left="306"/>
              <w:jc w:val="left"/>
              <w:rPr>
                <w:sz w:val="12"/>
              </w:rPr>
            </w:pPr>
            <w:r>
              <w:rPr>
                <w:w w:val="105"/>
                <w:sz w:val="12"/>
              </w:rPr>
              <w:t>0.66</w:t>
            </w:r>
          </w:p>
        </w:tc>
        <w:tc>
          <w:tcPr>
            <w:tcW w:w="684" w:type="dxa"/>
            <w:tcBorders>
              <w:right w:val="single" w:sz="8" w:space="0" w:color="000000"/>
            </w:tcBorders>
            <w:shd w:val="clear" w:color="auto" w:fill="67ED4D"/>
          </w:tcPr>
          <w:p>
            <w:pPr>
              <w:pStyle w:val="TableParagraph"/>
              <w:spacing w:before="8"/>
              <w:ind w:left="28"/>
              <w:rPr>
                <w:sz w:val="12"/>
              </w:rPr>
            </w:pPr>
            <w:r>
              <w:rPr>
                <w:w w:val="105"/>
                <w:sz w:val="12"/>
              </w:rPr>
              <w:t>1</w:t>
            </w:r>
          </w:p>
          <w:p>
            <w:pPr>
              <w:pStyle w:val="TableParagraph"/>
              <w:spacing w:before="19"/>
              <w:ind w:left="28"/>
              <w:rPr>
                <w:sz w:val="12"/>
              </w:rPr>
            </w:pPr>
            <w:r>
              <w:rPr>
                <w:w w:val="105"/>
                <w:sz w:val="12"/>
              </w:rPr>
              <w:t>1</w:t>
            </w:r>
          </w:p>
        </w:tc>
      </w:tr>
      <w:tr>
        <w:trPr>
          <w:trHeight w:val="165" w:hRule="exact"/>
        </w:trPr>
        <w:tc>
          <w:tcPr>
            <w:tcW w:w="619" w:type="dxa"/>
            <w:tcBorders>
              <w:left w:val="single" w:sz="4" w:space="0" w:color="000000"/>
            </w:tcBorders>
          </w:tcPr>
          <w:p>
            <w:pPr/>
          </w:p>
        </w:tc>
        <w:tc>
          <w:tcPr>
            <w:tcW w:w="1915" w:type="dxa"/>
          </w:tcPr>
          <w:p>
            <w:pPr/>
          </w:p>
        </w:tc>
        <w:tc>
          <w:tcPr>
            <w:tcW w:w="2571" w:type="dxa"/>
          </w:tcPr>
          <w:p>
            <w:pPr/>
          </w:p>
        </w:tc>
        <w:tc>
          <w:tcPr>
            <w:tcW w:w="1462" w:type="dxa"/>
          </w:tcPr>
          <w:p>
            <w:pPr>
              <w:pStyle w:val="TableParagraph"/>
              <w:spacing w:before="5"/>
              <w:ind w:right="309"/>
              <w:jc w:val="right"/>
              <w:rPr>
                <w:sz w:val="12"/>
              </w:rPr>
            </w:pPr>
            <w:r>
              <w:rPr>
                <w:w w:val="105"/>
                <w:sz w:val="12"/>
              </w:rPr>
              <w:t>Subtotal</w:t>
            </w:r>
          </w:p>
        </w:tc>
        <w:tc>
          <w:tcPr>
            <w:tcW w:w="801" w:type="dxa"/>
          </w:tcPr>
          <w:p>
            <w:pPr>
              <w:pStyle w:val="TableParagraph"/>
              <w:tabs>
                <w:tab w:pos="897" w:val="left" w:leader="none"/>
              </w:tabs>
              <w:spacing w:before="5"/>
              <w:ind w:left="203" w:right="-97"/>
              <w:jc w:val="left"/>
              <w:rPr>
                <w:sz w:val="12"/>
              </w:rPr>
            </w:pPr>
            <w:r>
              <w:rPr>
                <w:w w:val="105"/>
                <w:sz w:val="12"/>
                <w:shd w:fill="F79646" w:color="auto" w:val="clear"/>
              </w:rPr>
              <w:t> </w:t>
            </w:r>
            <w:r>
              <w:rPr>
                <w:sz w:val="12"/>
                <w:shd w:fill="F79646" w:color="auto" w:val="clear"/>
              </w:rPr>
              <w:t>     </w:t>
            </w:r>
            <w:r>
              <w:rPr>
                <w:spacing w:val="-15"/>
                <w:sz w:val="12"/>
                <w:shd w:fill="F79646" w:color="auto" w:val="clear"/>
              </w:rPr>
              <w:t> </w:t>
            </w:r>
            <w:r>
              <w:rPr>
                <w:w w:val="105"/>
                <w:sz w:val="12"/>
                <w:shd w:fill="F79646" w:color="auto" w:val="clear"/>
              </w:rPr>
              <w:t>1.16</w:t>
            </w:r>
            <w:r>
              <w:rPr>
                <w:sz w:val="12"/>
                <w:shd w:fill="F79646" w:color="auto" w:val="clear"/>
              </w:rPr>
              <w:tab/>
            </w:r>
          </w:p>
        </w:tc>
        <w:tc>
          <w:tcPr>
            <w:tcW w:w="770" w:type="dxa"/>
          </w:tcPr>
          <w:p>
            <w:pPr>
              <w:pStyle w:val="TableParagraph"/>
              <w:spacing w:before="5"/>
              <w:ind w:left="306"/>
              <w:jc w:val="left"/>
              <w:rPr>
                <w:sz w:val="12"/>
              </w:rPr>
            </w:pPr>
            <w:r>
              <w:rPr>
                <w:w w:val="105"/>
                <w:sz w:val="12"/>
              </w:rPr>
              <w:t>1.41</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2</w:t>
            </w:r>
          </w:p>
        </w:tc>
      </w:tr>
      <w:tr>
        <w:trPr>
          <w:trHeight w:val="147" w:hRule="exact"/>
        </w:trPr>
        <w:tc>
          <w:tcPr>
            <w:tcW w:w="8822" w:type="dxa"/>
            <w:gridSpan w:val="7"/>
            <w:tcBorders>
              <w:left w:val="single" w:sz="4" w:space="0" w:color="000000"/>
              <w:right w:val="single" w:sz="8" w:space="0" w:color="000000"/>
            </w:tcBorders>
          </w:tcPr>
          <w:p>
            <w:pPr/>
          </w:p>
        </w:tc>
      </w:tr>
      <w:tr>
        <w:trPr>
          <w:trHeight w:val="318" w:hRule="exact"/>
        </w:trPr>
        <w:tc>
          <w:tcPr>
            <w:tcW w:w="619" w:type="dxa"/>
            <w:tcBorders>
              <w:left w:val="single" w:sz="4" w:space="0" w:color="000000"/>
            </w:tcBorders>
          </w:tcPr>
          <w:p>
            <w:pPr/>
          </w:p>
        </w:tc>
        <w:tc>
          <w:tcPr>
            <w:tcW w:w="1915" w:type="dxa"/>
          </w:tcPr>
          <w:p>
            <w:pPr>
              <w:pStyle w:val="TableParagraph"/>
              <w:spacing w:before="82"/>
              <w:ind w:left="91"/>
              <w:jc w:val="left"/>
              <w:rPr>
                <w:sz w:val="12"/>
              </w:rPr>
            </w:pPr>
            <w:r>
              <w:rPr>
                <w:w w:val="105"/>
                <w:sz w:val="12"/>
              </w:rPr>
              <w:t>Equipamiento desarrollado</w:t>
            </w:r>
          </w:p>
        </w:tc>
        <w:tc>
          <w:tcPr>
            <w:tcW w:w="2571" w:type="dxa"/>
          </w:tcPr>
          <w:p>
            <w:pPr>
              <w:pStyle w:val="TableParagraph"/>
              <w:spacing w:line="273" w:lineRule="auto" w:before="8"/>
              <w:ind w:left="280" w:right="1738"/>
              <w:jc w:val="left"/>
              <w:rPr>
                <w:sz w:val="12"/>
              </w:rPr>
            </w:pPr>
            <w:r>
              <w:rPr>
                <w:w w:val="105"/>
                <w:sz w:val="12"/>
              </w:rPr>
              <w:t>Municipal Estatal</w:t>
            </w:r>
          </w:p>
        </w:tc>
        <w:tc>
          <w:tcPr>
            <w:tcW w:w="1462" w:type="dxa"/>
          </w:tcPr>
          <w:p>
            <w:pPr>
              <w:pStyle w:val="TableParagraph"/>
              <w:spacing w:before="8"/>
              <w:ind w:left="834"/>
              <w:jc w:val="left"/>
              <w:rPr>
                <w:sz w:val="12"/>
              </w:rPr>
            </w:pPr>
            <w:r>
              <w:rPr>
                <w:w w:val="105"/>
                <w:sz w:val="12"/>
              </w:rPr>
              <w:t>0.6</w:t>
            </w:r>
          </w:p>
          <w:p>
            <w:pPr>
              <w:pStyle w:val="TableParagraph"/>
              <w:spacing w:before="19"/>
              <w:ind w:left="834"/>
              <w:jc w:val="left"/>
              <w:rPr>
                <w:sz w:val="12"/>
              </w:rPr>
            </w:pPr>
            <w:r>
              <w:rPr>
                <w:w w:val="105"/>
                <w:sz w:val="12"/>
              </w:rPr>
              <w:t>0.4</w:t>
            </w:r>
          </w:p>
        </w:tc>
        <w:tc>
          <w:tcPr>
            <w:tcW w:w="801" w:type="dxa"/>
          </w:tcPr>
          <w:p>
            <w:pPr/>
          </w:p>
        </w:tc>
        <w:tc>
          <w:tcPr>
            <w:tcW w:w="770" w:type="dxa"/>
          </w:tcPr>
          <w:p>
            <w:pPr>
              <w:pStyle w:val="TableParagraph"/>
              <w:spacing w:before="8"/>
              <w:ind w:left="348"/>
              <w:jc w:val="left"/>
              <w:rPr>
                <w:sz w:val="12"/>
              </w:rPr>
            </w:pPr>
            <w:r>
              <w:rPr>
                <w:w w:val="105"/>
                <w:sz w:val="12"/>
              </w:rPr>
              <w:t>0.8</w:t>
            </w:r>
          </w:p>
          <w:p>
            <w:pPr>
              <w:pStyle w:val="TableParagraph"/>
              <w:spacing w:before="19"/>
              <w:ind w:left="348"/>
              <w:jc w:val="left"/>
              <w:rPr>
                <w:sz w:val="12"/>
              </w:rPr>
            </w:pPr>
            <w:r>
              <w:rPr>
                <w:w w:val="105"/>
                <w:sz w:val="12"/>
              </w:rPr>
              <w:t>0.6</w:t>
            </w:r>
          </w:p>
        </w:tc>
        <w:tc>
          <w:tcPr>
            <w:tcW w:w="684" w:type="dxa"/>
            <w:tcBorders>
              <w:right w:val="single" w:sz="8" w:space="0" w:color="000000"/>
            </w:tcBorders>
            <w:shd w:val="clear" w:color="auto" w:fill="67ED4D"/>
          </w:tcPr>
          <w:p>
            <w:pPr>
              <w:pStyle w:val="TableParagraph"/>
              <w:spacing w:before="8"/>
              <w:ind w:left="28"/>
              <w:rPr>
                <w:sz w:val="12"/>
              </w:rPr>
            </w:pPr>
            <w:r>
              <w:rPr>
                <w:w w:val="105"/>
                <w:sz w:val="12"/>
              </w:rPr>
              <w:t>1</w:t>
            </w:r>
          </w:p>
          <w:p>
            <w:pPr>
              <w:pStyle w:val="TableParagraph"/>
              <w:spacing w:before="19"/>
              <w:ind w:left="28"/>
              <w:rPr>
                <w:sz w:val="12"/>
              </w:rPr>
            </w:pPr>
            <w:r>
              <w:rPr>
                <w:w w:val="105"/>
                <w:sz w:val="12"/>
              </w:rPr>
              <w:t>1</w:t>
            </w:r>
          </w:p>
        </w:tc>
      </w:tr>
      <w:tr>
        <w:trPr>
          <w:trHeight w:val="165" w:hRule="exact"/>
        </w:trPr>
        <w:tc>
          <w:tcPr>
            <w:tcW w:w="619" w:type="dxa"/>
            <w:tcBorders>
              <w:left w:val="single" w:sz="4" w:space="0" w:color="000000"/>
            </w:tcBorders>
          </w:tcPr>
          <w:p>
            <w:pPr/>
          </w:p>
        </w:tc>
        <w:tc>
          <w:tcPr>
            <w:tcW w:w="1915" w:type="dxa"/>
          </w:tcPr>
          <w:p>
            <w:pPr/>
          </w:p>
        </w:tc>
        <w:tc>
          <w:tcPr>
            <w:tcW w:w="2571" w:type="dxa"/>
          </w:tcPr>
          <w:p>
            <w:pPr/>
          </w:p>
        </w:tc>
        <w:tc>
          <w:tcPr>
            <w:tcW w:w="1462" w:type="dxa"/>
          </w:tcPr>
          <w:p>
            <w:pPr>
              <w:pStyle w:val="TableParagraph"/>
              <w:spacing w:before="5"/>
              <w:ind w:right="309"/>
              <w:jc w:val="right"/>
              <w:rPr>
                <w:sz w:val="12"/>
              </w:rPr>
            </w:pPr>
            <w:r>
              <w:rPr>
                <w:w w:val="105"/>
                <w:sz w:val="12"/>
              </w:rPr>
              <w:t>Subtotal</w:t>
            </w:r>
          </w:p>
        </w:tc>
        <w:tc>
          <w:tcPr>
            <w:tcW w:w="801" w:type="dxa"/>
          </w:tcPr>
          <w:p>
            <w:pPr>
              <w:pStyle w:val="TableParagraph"/>
              <w:tabs>
                <w:tab w:pos="518" w:val="left" w:leader="none"/>
                <w:tab w:pos="897" w:val="left" w:leader="none"/>
              </w:tabs>
              <w:spacing w:before="5"/>
              <w:ind w:left="203" w:right="-97"/>
              <w:jc w:val="left"/>
              <w:rPr>
                <w:sz w:val="12"/>
              </w:rPr>
            </w:pPr>
            <w:r>
              <w:rPr>
                <w:w w:val="105"/>
                <w:sz w:val="12"/>
                <w:shd w:fill="F79646" w:color="auto" w:val="clear"/>
              </w:rPr>
              <w:t> </w:t>
            </w:r>
            <w:r>
              <w:rPr>
                <w:sz w:val="12"/>
                <w:shd w:fill="F79646" w:color="auto" w:val="clear"/>
              </w:rPr>
              <w:tab/>
            </w:r>
            <w:r>
              <w:rPr>
                <w:w w:val="105"/>
                <w:sz w:val="12"/>
                <w:shd w:fill="F79646" w:color="auto" w:val="clear"/>
              </w:rPr>
              <w:t>1</w:t>
            </w:r>
            <w:r>
              <w:rPr>
                <w:sz w:val="12"/>
                <w:shd w:fill="F79646" w:color="auto" w:val="clear"/>
              </w:rPr>
              <w:tab/>
            </w:r>
          </w:p>
        </w:tc>
        <w:tc>
          <w:tcPr>
            <w:tcW w:w="770" w:type="dxa"/>
          </w:tcPr>
          <w:p>
            <w:pPr>
              <w:pStyle w:val="TableParagraph"/>
              <w:spacing w:before="5"/>
              <w:ind w:left="348"/>
              <w:jc w:val="left"/>
              <w:rPr>
                <w:sz w:val="12"/>
              </w:rPr>
            </w:pPr>
            <w:r>
              <w:rPr>
                <w:w w:val="105"/>
                <w:sz w:val="12"/>
              </w:rPr>
              <w:t>1.4</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2</w:t>
            </w:r>
          </w:p>
        </w:tc>
      </w:tr>
      <w:tr>
        <w:trPr>
          <w:trHeight w:val="147" w:hRule="exact"/>
        </w:trPr>
        <w:tc>
          <w:tcPr>
            <w:tcW w:w="8822" w:type="dxa"/>
            <w:gridSpan w:val="7"/>
            <w:tcBorders>
              <w:left w:val="single" w:sz="4" w:space="0" w:color="000000"/>
              <w:right w:val="single" w:sz="8" w:space="0" w:color="000000"/>
            </w:tcBorders>
          </w:tcPr>
          <w:p>
            <w:pPr/>
          </w:p>
        </w:tc>
      </w:tr>
      <w:tr>
        <w:trPr>
          <w:trHeight w:val="161" w:hRule="exact"/>
        </w:trPr>
        <w:tc>
          <w:tcPr>
            <w:tcW w:w="619" w:type="dxa"/>
            <w:vMerge w:val="restart"/>
            <w:tcBorders>
              <w:left w:val="single" w:sz="4" w:space="0" w:color="000000"/>
            </w:tcBorders>
          </w:tcPr>
          <w:p>
            <w:pPr/>
          </w:p>
        </w:tc>
        <w:tc>
          <w:tcPr>
            <w:tcW w:w="1915" w:type="dxa"/>
          </w:tcPr>
          <w:p>
            <w:pPr/>
          </w:p>
        </w:tc>
        <w:tc>
          <w:tcPr>
            <w:tcW w:w="2571" w:type="dxa"/>
          </w:tcPr>
          <w:p>
            <w:pPr>
              <w:pStyle w:val="TableParagraph"/>
              <w:spacing w:before="8"/>
              <w:ind w:left="280"/>
              <w:jc w:val="left"/>
              <w:rPr>
                <w:sz w:val="12"/>
              </w:rPr>
            </w:pPr>
            <w:r>
              <w:rPr>
                <w:w w:val="105"/>
                <w:sz w:val="12"/>
              </w:rPr>
              <w:t>Ubicación del conjunto urbano</w:t>
            </w:r>
          </w:p>
        </w:tc>
        <w:tc>
          <w:tcPr>
            <w:tcW w:w="1462" w:type="dxa"/>
          </w:tcPr>
          <w:p>
            <w:pPr>
              <w:pStyle w:val="TableParagraph"/>
              <w:spacing w:before="8"/>
              <w:ind w:left="834"/>
              <w:jc w:val="left"/>
              <w:rPr>
                <w:sz w:val="12"/>
              </w:rPr>
            </w:pPr>
            <w:r>
              <w:rPr>
                <w:w w:val="105"/>
                <w:sz w:val="12"/>
              </w:rPr>
              <w:t>0.4</w:t>
            </w:r>
          </w:p>
        </w:tc>
        <w:tc>
          <w:tcPr>
            <w:tcW w:w="801" w:type="dxa"/>
          </w:tcPr>
          <w:p>
            <w:pPr/>
          </w:p>
        </w:tc>
        <w:tc>
          <w:tcPr>
            <w:tcW w:w="770" w:type="dxa"/>
          </w:tcPr>
          <w:p>
            <w:pPr>
              <w:pStyle w:val="TableParagraph"/>
              <w:spacing w:before="8"/>
              <w:ind w:left="348"/>
              <w:jc w:val="left"/>
              <w:rPr>
                <w:sz w:val="12"/>
              </w:rPr>
            </w:pPr>
            <w:r>
              <w:rPr>
                <w:w w:val="105"/>
                <w:sz w:val="12"/>
              </w:rPr>
              <w:t>0.8</w:t>
            </w:r>
          </w:p>
        </w:tc>
        <w:tc>
          <w:tcPr>
            <w:tcW w:w="684" w:type="dxa"/>
            <w:tcBorders>
              <w:right w:val="single" w:sz="8" w:space="0" w:color="000000"/>
            </w:tcBorders>
            <w:shd w:val="clear" w:color="auto" w:fill="67ED4D"/>
          </w:tcPr>
          <w:p>
            <w:pPr>
              <w:pStyle w:val="TableParagraph"/>
              <w:spacing w:before="8"/>
              <w:ind w:left="28"/>
              <w:rPr>
                <w:sz w:val="12"/>
              </w:rPr>
            </w:pPr>
            <w:r>
              <w:rPr>
                <w:w w:val="105"/>
                <w:sz w:val="12"/>
              </w:rPr>
              <w:t>1</w:t>
            </w:r>
          </w:p>
        </w:tc>
      </w:tr>
      <w:tr>
        <w:trPr>
          <w:trHeight w:val="158" w:hRule="exact"/>
        </w:trPr>
        <w:tc>
          <w:tcPr>
            <w:tcW w:w="619" w:type="dxa"/>
            <w:vMerge/>
            <w:tcBorders>
              <w:left w:val="single" w:sz="4" w:space="0" w:color="000000"/>
            </w:tcBorders>
          </w:tcPr>
          <w:p>
            <w:pPr/>
          </w:p>
        </w:tc>
        <w:tc>
          <w:tcPr>
            <w:tcW w:w="1915" w:type="dxa"/>
          </w:tcPr>
          <w:p>
            <w:pPr/>
          </w:p>
        </w:tc>
        <w:tc>
          <w:tcPr>
            <w:tcW w:w="2571" w:type="dxa"/>
          </w:tcPr>
          <w:p>
            <w:pPr>
              <w:pStyle w:val="TableParagraph"/>
              <w:spacing w:before="5"/>
              <w:ind w:left="280" w:right="988"/>
              <w:jc w:val="left"/>
              <w:rPr>
                <w:sz w:val="12"/>
              </w:rPr>
            </w:pPr>
            <w:r>
              <w:rPr>
                <w:w w:val="105"/>
                <w:sz w:val="12"/>
              </w:rPr>
              <w:t>Abierto</w:t>
            </w:r>
          </w:p>
        </w:tc>
        <w:tc>
          <w:tcPr>
            <w:tcW w:w="1462" w:type="dxa"/>
          </w:tcPr>
          <w:p>
            <w:pPr>
              <w:pStyle w:val="TableParagraph"/>
              <w:spacing w:before="5"/>
              <w:ind w:left="834"/>
              <w:jc w:val="left"/>
              <w:rPr>
                <w:sz w:val="12"/>
              </w:rPr>
            </w:pPr>
            <w:r>
              <w:rPr>
                <w:w w:val="105"/>
                <w:sz w:val="12"/>
              </w:rPr>
              <w:t>0.5</w:t>
            </w:r>
          </w:p>
        </w:tc>
        <w:tc>
          <w:tcPr>
            <w:tcW w:w="801" w:type="dxa"/>
          </w:tcPr>
          <w:p>
            <w:pPr/>
          </w:p>
        </w:tc>
        <w:tc>
          <w:tcPr>
            <w:tcW w:w="770" w:type="dxa"/>
          </w:tcPr>
          <w:p>
            <w:pPr>
              <w:pStyle w:val="TableParagraph"/>
              <w:spacing w:before="5"/>
              <w:ind w:left="103"/>
              <w:rPr>
                <w:sz w:val="12"/>
              </w:rPr>
            </w:pPr>
            <w:r>
              <w:rPr>
                <w:w w:val="105"/>
                <w:sz w:val="12"/>
              </w:rPr>
              <w:t>1</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58" w:hRule="exact"/>
        </w:trPr>
        <w:tc>
          <w:tcPr>
            <w:tcW w:w="619" w:type="dxa"/>
            <w:vMerge/>
            <w:tcBorders>
              <w:left w:val="single" w:sz="4" w:space="0" w:color="000000"/>
            </w:tcBorders>
          </w:tcPr>
          <w:p>
            <w:pPr/>
          </w:p>
        </w:tc>
        <w:tc>
          <w:tcPr>
            <w:tcW w:w="1915" w:type="dxa"/>
          </w:tcPr>
          <w:p>
            <w:pPr>
              <w:pStyle w:val="TableParagraph"/>
              <w:spacing w:before="5"/>
              <w:ind w:left="91"/>
              <w:jc w:val="left"/>
              <w:rPr>
                <w:sz w:val="12"/>
              </w:rPr>
            </w:pPr>
            <w:r>
              <w:rPr>
                <w:w w:val="105"/>
                <w:sz w:val="12"/>
              </w:rPr>
              <w:t>Integración al territorio</w:t>
            </w:r>
          </w:p>
        </w:tc>
        <w:tc>
          <w:tcPr>
            <w:tcW w:w="2571" w:type="dxa"/>
          </w:tcPr>
          <w:p>
            <w:pPr>
              <w:pStyle w:val="TableParagraph"/>
              <w:spacing w:before="5"/>
              <w:ind w:left="280" w:right="988"/>
              <w:jc w:val="left"/>
              <w:rPr>
                <w:sz w:val="12"/>
              </w:rPr>
            </w:pPr>
            <w:r>
              <w:rPr>
                <w:w w:val="105"/>
                <w:sz w:val="12"/>
              </w:rPr>
              <w:t>Integración social</w:t>
            </w:r>
          </w:p>
        </w:tc>
        <w:tc>
          <w:tcPr>
            <w:tcW w:w="1462" w:type="dxa"/>
          </w:tcPr>
          <w:p>
            <w:pPr>
              <w:pStyle w:val="TableParagraph"/>
              <w:spacing w:before="5"/>
              <w:ind w:left="834"/>
              <w:jc w:val="left"/>
              <w:rPr>
                <w:sz w:val="12"/>
              </w:rPr>
            </w:pPr>
            <w:r>
              <w:rPr>
                <w:w w:val="105"/>
                <w:sz w:val="12"/>
              </w:rPr>
              <w:t>0.5</w:t>
            </w:r>
          </w:p>
        </w:tc>
        <w:tc>
          <w:tcPr>
            <w:tcW w:w="801" w:type="dxa"/>
          </w:tcPr>
          <w:p>
            <w:pPr/>
          </w:p>
        </w:tc>
        <w:tc>
          <w:tcPr>
            <w:tcW w:w="770" w:type="dxa"/>
          </w:tcPr>
          <w:p>
            <w:pPr>
              <w:pStyle w:val="TableParagraph"/>
              <w:spacing w:before="5"/>
              <w:ind w:left="103"/>
              <w:rPr>
                <w:sz w:val="12"/>
              </w:rPr>
            </w:pPr>
            <w:r>
              <w:rPr>
                <w:w w:val="105"/>
                <w:sz w:val="12"/>
              </w:rPr>
              <w:t>1</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58" w:hRule="exact"/>
        </w:trPr>
        <w:tc>
          <w:tcPr>
            <w:tcW w:w="619" w:type="dxa"/>
            <w:vMerge/>
            <w:tcBorders>
              <w:left w:val="single" w:sz="4" w:space="0" w:color="000000"/>
            </w:tcBorders>
          </w:tcPr>
          <w:p>
            <w:pPr/>
          </w:p>
        </w:tc>
        <w:tc>
          <w:tcPr>
            <w:tcW w:w="1915" w:type="dxa"/>
          </w:tcPr>
          <w:p>
            <w:pPr/>
          </w:p>
        </w:tc>
        <w:tc>
          <w:tcPr>
            <w:tcW w:w="2571" w:type="dxa"/>
          </w:tcPr>
          <w:p>
            <w:pPr>
              <w:pStyle w:val="TableParagraph"/>
              <w:spacing w:before="5"/>
              <w:ind w:left="280" w:right="988"/>
              <w:jc w:val="left"/>
              <w:rPr>
                <w:sz w:val="12"/>
              </w:rPr>
            </w:pPr>
            <w:r>
              <w:rPr>
                <w:w w:val="105"/>
                <w:sz w:val="12"/>
              </w:rPr>
              <w:t>Protección civil</w:t>
            </w:r>
          </w:p>
        </w:tc>
        <w:tc>
          <w:tcPr>
            <w:tcW w:w="1462" w:type="dxa"/>
          </w:tcPr>
          <w:p>
            <w:pPr>
              <w:pStyle w:val="TableParagraph"/>
              <w:spacing w:before="5"/>
              <w:ind w:left="381"/>
              <w:rPr>
                <w:sz w:val="12"/>
              </w:rPr>
            </w:pPr>
            <w:r>
              <w:rPr>
                <w:w w:val="105"/>
                <w:sz w:val="12"/>
              </w:rPr>
              <w:t>0</w:t>
            </w:r>
          </w:p>
        </w:tc>
        <w:tc>
          <w:tcPr>
            <w:tcW w:w="801" w:type="dxa"/>
          </w:tcPr>
          <w:p>
            <w:pPr/>
          </w:p>
        </w:tc>
        <w:tc>
          <w:tcPr>
            <w:tcW w:w="770" w:type="dxa"/>
          </w:tcPr>
          <w:p>
            <w:pPr>
              <w:pStyle w:val="TableParagraph"/>
              <w:spacing w:before="5"/>
              <w:ind w:left="103"/>
              <w:rPr>
                <w:sz w:val="12"/>
              </w:rPr>
            </w:pPr>
            <w:r>
              <w:rPr>
                <w:w w:val="105"/>
                <w:sz w:val="12"/>
              </w:rPr>
              <w:t>1</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58" w:hRule="exact"/>
        </w:trPr>
        <w:tc>
          <w:tcPr>
            <w:tcW w:w="619" w:type="dxa"/>
            <w:vMerge/>
            <w:tcBorders>
              <w:left w:val="single" w:sz="4" w:space="0" w:color="000000"/>
            </w:tcBorders>
          </w:tcPr>
          <w:p>
            <w:pPr/>
          </w:p>
        </w:tc>
        <w:tc>
          <w:tcPr>
            <w:tcW w:w="1915" w:type="dxa"/>
          </w:tcPr>
          <w:p>
            <w:pPr/>
          </w:p>
        </w:tc>
        <w:tc>
          <w:tcPr>
            <w:tcW w:w="2571" w:type="dxa"/>
          </w:tcPr>
          <w:p>
            <w:pPr>
              <w:pStyle w:val="TableParagraph"/>
              <w:spacing w:before="5"/>
              <w:ind w:left="280" w:right="988"/>
              <w:jc w:val="left"/>
              <w:rPr>
                <w:sz w:val="12"/>
              </w:rPr>
            </w:pPr>
            <w:r>
              <w:rPr>
                <w:w w:val="105"/>
                <w:sz w:val="12"/>
              </w:rPr>
              <w:t>Seguridad</w:t>
            </w:r>
          </w:p>
        </w:tc>
        <w:tc>
          <w:tcPr>
            <w:tcW w:w="1462" w:type="dxa"/>
          </w:tcPr>
          <w:p>
            <w:pPr>
              <w:pStyle w:val="TableParagraph"/>
              <w:spacing w:before="5"/>
              <w:ind w:left="834"/>
              <w:jc w:val="left"/>
              <w:rPr>
                <w:sz w:val="12"/>
              </w:rPr>
            </w:pPr>
            <w:r>
              <w:rPr>
                <w:w w:val="105"/>
                <w:sz w:val="12"/>
              </w:rPr>
              <w:t>0.5</w:t>
            </w:r>
          </w:p>
        </w:tc>
        <w:tc>
          <w:tcPr>
            <w:tcW w:w="801" w:type="dxa"/>
          </w:tcPr>
          <w:p>
            <w:pPr/>
          </w:p>
        </w:tc>
        <w:tc>
          <w:tcPr>
            <w:tcW w:w="770" w:type="dxa"/>
          </w:tcPr>
          <w:p>
            <w:pPr>
              <w:pStyle w:val="TableParagraph"/>
              <w:spacing w:before="5"/>
              <w:ind w:left="103"/>
              <w:rPr>
                <w:sz w:val="12"/>
              </w:rPr>
            </w:pPr>
            <w:r>
              <w:rPr>
                <w:w w:val="105"/>
                <w:sz w:val="12"/>
              </w:rPr>
              <w:t>1</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1</w:t>
            </w:r>
          </w:p>
        </w:tc>
      </w:tr>
      <w:tr>
        <w:trPr>
          <w:trHeight w:val="165" w:hRule="exact"/>
        </w:trPr>
        <w:tc>
          <w:tcPr>
            <w:tcW w:w="619" w:type="dxa"/>
            <w:vMerge/>
            <w:tcBorders>
              <w:left w:val="single" w:sz="4" w:space="0" w:color="000000"/>
            </w:tcBorders>
          </w:tcPr>
          <w:p>
            <w:pPr/>
          </w:p>
        </w:tc>
        <w:tc>
          <w:tcPr>
            <w:tcW w:w="1915" w:type="dxa"/>
          </w:tcPr>
          <w:p>
            <w:pPr/>
          </w:p>
        </w:tc>
        <w:tc>
          <w:tcPr>
            <w:tcW w:w="2571" w:type="dxa"/>
          </w:tcPr>
          <w:p>
            <w:pPr/>
          </w:p>
        </w:tc>
        <w:tc>
          <w:tcPr>
            <w:tcW w:w="1462" w:type="dxa"/>
          </w:tcPr>
          <w:p>
            <w:pPr>
              <w:pStyle w:val="TableParagraph"/>
              <w:spacing w:before="5"/>
              <w:ind w:right="309"/>
              <w:jc w:val="right"/>
              <w:rPr>
                <w:sz w:val="12"/>
              </w:rPr>
            </w:pPr>
            <w:r>
              <w:rPr>
                <w:w w:val="105"/>
                <w:sz w:val="12"/>
              </w:rPr>
              <w:t>Subtotal</w:t>
            </w:r>
          </w:p>
        </w:tc>
        <w:tc>
          <w:tcPr>
            <w:tcW w:w="801" w:type="dxa"/>
          </w:tcPr>
          <w:p>
            <w:pPr>
              <w:pStyle w:val="TableParagraph"/>
              <w:tabs>
                <w:tab w:pos="466" w:val="left" w:leader="none"/>
                <w:tab w:pos="897" w:val="left" w:leader="none"/>
              </w:tabs>
              <w:spacing w:before="5"/>
              <w:ind w:left="203" w:right="-97"/>
              <w:jc w:val="left"/>
              <w:rPr>
                <w:sz w:val="12"/>
              </w:rPr>
            </w:pPr>
            <w:r>
              <w:rPr>
                <w:w w:val="105"/>
                <w:sz w:val="12"/>
                <w:shd w:fill="F79646" w:color="auto" w:val="clear"/>
              </w:rPr>
              <w:t> </w:t>
            </w:r>
            <w:r>
              <w:rPr>
                <w:sz w:val="12"/>
                <w:shd w:fill="F79646" w:color="auto" w:val="clear"/>
              </w:rPr>
              <w:tab/>
            </w:r>
            <w:r>
              <w:rPr>
                <w:w w:val="105"/>
                <w:sz w:val="12"/>
                <w:shd w:fill="F79646" w:color="auto" w:val="clear"/>
              </w:rPr>
              <w:t>1.9</w:t>
            </w:r>
            <w:r>
              <w:rPr>
                <w:sz w:val="12"/>
                <w:shd w:fill="F79646" w:color="auto" w:val="clear"/>
              </w:rPr>
              <w:tab/>
            </w:r>
          </w:p>
        </w:tc>
        <w:tc>
          <w:tcPr>
            <w:tcW w:w="770" w:type="dxa"/>
          </w:tcPr>
          <w:p>
            <w:pPr>
              <w:pStyle w:val="TableParagraph"/>
              <w:spacing w:before="5"/>
              <w:ind w:left="348"/>
              <w:jc w:val="left"/>
              <w:rPr>
                <w:sz w:val="12"/>
              </w:rPr>
            </w:pPr>
            <w:r>
              <w:rPr>
                <w:w w:val="105"/>
                <w:sz w:val="12"/>
              </w:rPr>
              <w:t>4.8</w:t>
            </w:r>
          </w:p>
        </w:tc>
        <w:tc>
          <w:tcPr>
            <w:tcW w:w="684" w:type="dxa"/>
            <w:tcBorders>
              <w:right w:val="single" w:sz="8" w:space="0" w:color="000000"/>
            </w:tcBorders>
            <w:shd w:val="clear" w:color="auto" w:fill="67ED4D"/>
          </w:tcPr>
          <w:p>
            <w:pPr>
              <w:pStyle w:val="TableParagraph"/>
              <w:spacing w:before="5"/>
              <w:ind w:left="28"/>
              <w:rPr>
                <w:sz w:val="12"/>
              </w:rPr>
            </w:pPr>
            <w:r>
              <w:rPr>
                <w:w w:val="105"/>
                <w:sz w:val="12"/>
              </w:rPr>
              <w:t>5</w:t>
            </w:r>
          </w:p>
        </w:tc>
      </w:tr>
      <w:tr>
        <w:trPr>
          <w:trHeight w:val="473" w:hRule="exact"/>
        </w:trPr>
        <w:tc>
          <w:tcPr>
            <w:tcW w:w="619" w:type="dxa"/>
            <w:tcBorders>
              <w:left w:val="single" w:sz="4" w:space="0" w:color="000000"/>
              <w:bottom w:val="single" w:sz="8" w:space="0" w:color="000000"/>
            </w:tcBorders>
          </w:tcPr>
          <w:p>
            <w:pPr/>
          </w:p>
        </w:tc>
        <w:tc>
          <w:tcPr>
            <w:tcW w:w="1915" w:type="dxa"/>
            <w:tcBorders>
              <w:bottom w:val="single" w:sz="8" w:space="0" w:color="000000"/>
            </w:tcBorders>
          </w:tcPr>
          <w:p>
            <w:pPr/>
          </w:p>
        </w:tc>
        <w:tc>
          <w:tcPr>
            <w:tcW w:w="2571" w:type="dxa"/>
            <w:tcBorders>
              <w:bottom w:val="single" w:sz="8" w:space="0" w:color="000000"/>
            </w:tcBorders>
          </w:tcPr>
          <w:p>
            <w:pPr/>
          </w:p>
        </w:tc>
        <w:tc>
          <w:tcPr>
            <w:tcW w:w="1462" w:type="dxa"/>
            <w:tcBorders>
              <w:bottom w:val="single" w:sz="8" w:space="0" w:color="000000"/>
            </w:tcBorders>
          </w:tcPr>
          <w:p>
            <w:pPr>
              <w:pStyle w:val="TableParagraph"/>
              <w:spacing w:before="6"/>
              <w:jc w:val="left"/>
              <w:rPr>
                <w:sz w:val="13"/>
              </w:rPr>
            </w:pPr>
          </w:p>
          <w:p>
            <w:pPr>
              <w:pStyle w:val="TableParagraph"/>
              <w:ind w:right="327"/>
              <w:jc w:val="right"/>
              <w:rPr>
                <w:sz w:val="12"/>
              </w:rPr>
            </w:pPr>
            <w:r>
              <w:rPr>
                <w:w w:val="105"/>
                <w:sz w:val="12"/>
              </w:rPr>
              <w:t>Total IT</w:t>
            </w:r>
          </w:p>
        </w:tc>
        <w:tc>
          <w:tcPr>
            <w:tcW w:w="801" w:type="dxa"/>
            <w:tcBorders>
              <w:bottom w:val="single" w:sz="8" w:space="0" w:color="000000"/>
            </w:tcBorders>
          </w:tcPr>
          <w:p>
            <w:pPr>
              <w:pStyle w:val="TableParagraph"/>
              <w:spacing w:before="6"/>
              <w:jc w:val="left"/>
              <w:rPr>
                <w:sz w:val="13"/>
              </w:rPr>
            </w:pPr>
          </w:p>
          <w:p>
            <w:pPr>
              <w:pStyle w:val="TableParagraph"/>
              <w:tabs>
                <w:tab w:pos="897" w:val="left" w:leader="none"/>
              </w:tabs>
              <w:ind w:left="203" w:right="-97"/>
              <w:jc w:val="left"/>
              <w:rPr>
                <w:sz w:val="12"/>
              </w:rPr>
            </w:pPr>
            <w:r>
              <w:rPr>
                <w:w w:val="105"/>
                <w:sz w:val="12"/>
                <w:shd w:fill="F79646" w:color="auto" w:val="clear"/>
              </w:rPr>
              <w:t> </w:t>
            </w:r>
            <w:r>
              <w:rPr>
                <w:sz w:val="12"/>
                <w:shd w:fill="F79646" w:color="auto" w:val="clear"/>
              </w:rPr>
              <w:t>     </w:t>
            </w:r>
            <w:r>
              <w:rPr>
                <w:spacing w:val="-15"/>
                <w:sz w:val="12"/>
                <w:shd w:fill="F79646" w:color="auto" w:val="clear"/>
              </w:rPr>
              <w:t> </w:t>
            </w:r>
            <w:r>
              <w:rPr>
                <w:w w:val="105"/>
                <w:sz w:val="12"/>
                <w:shd w:fill="F79646" w:color="auto" w:val="clear"/>
              </w:rPr>
              <w:t>7.96</w:t>
            </w:r>
            <w:r>
              <w:rPr>
                <w:sz w:val="12"/>
                <w:shd w:fill="F79646" w:color="auto" w:val="clear"/>
              </w:rPr>
              <w:tab/>
            </w:r>
          </w:p>
        </w:tc>
        <w:tc>
          <w:tcPr>
            <w:tcW w:w="770" w:type="dxa"/>
            <w:tcBorders>
              <w:bottom w:val="single" w:sz="8" w:space="0" w:color="000000"/>
            </w:tcBorders>
          </w:tcPr>
          <w:p>
            <w:pPr>
              <w:pStyle w:val="TableParagraph"/>
              <w:spacing w:before="6"/>
              <w:jc w:val="left"/>
              <w:rPr>
                <w:sz w:val="13"/>
              </w:rPr>
            </w:pPr>
          </w:p>
          <w:p>
            <w:pPr>
              <w:pStyle w:val="TableParagraph"/>
              <w:ind w:left="85"/>
              <w:jc w:val="left"/>
              <w:rPr>
                <w:sz w:val="12"/>
              </w:rPr>
            </w:pPr>
            <w:r>
              <w:rPr>
                <w:w w:val="105"/>
                <w:sz w:val="12"/>
                <w:shd w:fill="FFFF00" w:color="auto" w:val="clear"/>
              </w:rPr>
              <w:t> </w:t>
            </w:r>
            <w:r>
              <w:rPr>
                <w:sz w:val="12"/>
                <w:shd w:fill="FFFF00" w:color="auto" w:val="clear"/>
              </w:rPr>
              <w:t>    </w:t>
            </w:r>
            <w:r>
              <w:rPr>
                <w:spacing w:val="-13"/>
                <w:sz w:val="12"/>
                <w:shd w:fill="FFFF00" w:color="auto" w:val="clear"/>
              </w:rPr>
              <w:t> </w:t>
            </w:r>
            <w:r>
              <w:rPr>
                <w:w w:val="105"/>
                <w:sz w:val="12"/>
                <w:shd w:fill="FFFF00" w:color="auto" w:val="clear"/>
              </w:rPr>
              <w:t>12.66</w:t>
            </w:r>
            <w:r>
              <w:rPr>
                <w:spacing w:val="-11"/>
                <w:sz w:val="12"/>
                <w:shd w:fill="FFFF00" w:color="auto" w:val="clear"/>
              </w:rPr>
              <w:t> </w:t>
            </w:r>
          </w:p>
        </w:tc>
        <w:tc>
          <w:tcPr>
            <w:tcW w:w="684" w:type="dxa"/>
            <w:tcBorders>
              <w:bottom w:val="single" w:sz="8" w:space="0" w:color="000000"/>
              <w:right w:val="single" w:sz="8" w:space="0" w:color="000000"/>
            </w:tcBorders>
          </w:tcPr>
          <w:p>
            <w:pPr>
              <w:pStyle w:val="TableParagraph"/>
              <w:spacing w:before="6"/>
              <w:jc w:val="left"/>
              <w:rPr>
                <w:sz w:val="13"/>
              </w:rPr>
            </w:pPr>
          </w:p>
          <w:p>
            <w:pPr>
              <w:pStyle w:val="TableParagraph"/>
              <w:ind w:left="100" w:right="86"/>
              <w:rPr>
                <w:sz w:val="12"/>
              </w:rPr>
            </w:pPr>
            <w:r>
              <w:rPr>
                <w:w w:val="105"/>
                <w:sz w:val="12"/>
              </w:rPr>
              <w:t>17</w:t>
            </w:r>
          </w:p>
        </w:tc>
      </w:tr>
    </w:tbl>
    <w:p>
      <w:pPr>
        <w:spacing w:before="130"/>
        <w:ind w:left="268" w:right="0" w:firstLine="0"/>
        <w:jc w:val="left"/>
        <w:rPr>
          <w:sz w:val="21"/>
        </w:rPr>
      </w:pPr>
      <w:r>
        <w:rPr/>
        <w:pict>
          <v:group style="position:absolute;margin-left:363.394012pt;margin-top:-135.422516pt;width:75.25pt;height:16.850pt;mso-position-horizontal-relative:page;mso-position-vertical-relative:paragraph;z-index:-1132360" coordorigin="7268,-2708" coordsize="1505,337">
            <v:line style="position:absolute" from="7273,-2703" to="7273,-2535" stroked="true" strokeweight=".526pt" strokecolor="#baf9f5"/>
            <v:rect style="position:absolute;left:7279;top:-2703;width:1494;height:168" filled="true" fillcolor="#baf9f5" stroked="false">
              <v:fill type="solid"/>
            </v:rect>
            <v:line style="position:absolute" from="7273,-2535" to="7273,-2377" stroked="true" strokeweight=".526pt" strokecolor="#baf9f5"/>
            <v:rect style="position:absolute;left:7279;top:-2535;width:1494;height:158" filled="true" fillcolor="#baf9f5" stroked="false">
              <v:fill type="solid"/>
            </v:rect>
            <w10:wrap type="none"/>
          </v:group>
        </w:pict>
      </w:r>
      <w:r>
        <w:rPr/>
        <w:pict>
          <v:shape style="position:absolute;margin-left:472.298035pt;margin-top:-135.147141pt;width:34.75pt;height:24.2pt;mso-position-horizontal-relative:page;mso-position-vertical-relative:paragraph;z-index:-1132336" coordorigin="9446,-2703" coordsize="695,484" path="m10140,-2535l9446,-2535,9446,-2387,9446,-2377,9446,-2219,10140,-2219,10140,-2377,10140,-2387,10140,-2535m10140,-2703l9446,-2703,9446,-2535,10140,-2535,10140,-2703e" filled="true" fillcolor="#ffff00" stroked="false">
            <v:path arrowok="t"/>
            <v:fill type="solid"/>
            <w10:wrap type="none"/>
          </v:shape>
        </w:pict>
      </w:r>
      <w:r>
        <w:rPr/>
        <w:pict>
          <v:group style="position:absolute;margin-left:363.394012pt;margin-top:-103.87352pt;width:75.25pt;height:16.850pt;mso-position-horizontal-relative:page;mso-position-vertical-relative:paragraph;z-index:-1132312" coordorigin="7268,-2077" coordsize="1505,337">
            <v:line style="position:absolute" from="7273,-2072" to="7273,-1904" stroked="true" strokeweight=".526pt" strokecolor="#baf9f5"/>
            <v:rect style="position:absolute;left:7279;top:-2072;width:1494;height:168" filled="true" fillcolor="#baf9f5" stroked="false">
              <v:fill type="solid"/>
            </v:rect>
            <v:line style="position:absolute" from="7273,-1904" to="7273,-1746" stroked="true" strokeweight=".526pt" strokecolor="#baf9f5"/>
            <v:rect style="position:absolute;left:7279;top:-1904;width:1494;height:158" filled="true" fillcolor="#baf9f5" stroked="false">
              <v:fill type="solid"/>
            </v:rect>
            <w10:wrap type="none"/>
          </v:group>
        </w:pict>
      </w:r>
      <w:r>
        <w:rPr/>
        <w:pict>
          <v:shape style="position:absolute;margin-left:472.298035pt;margin-top:-103.598129pt;width:34.75pt;height:24.2pt;mso-position-horizontal-relative:page;mso-position-vertical-relative:paragraph;z-index:-1132288" coordorigin="9446,-2072" coordsize="695,484" path="m10140,-2072l9446,-2072,9446,-1904,9446,-1756,9446,-1746,9446,-1588,10140,-1588,10140,-1746,10140,-1756,10140,-1904,10140,-2072e" filled="true" fillcolor="#ffff00" stroked="false">
            <v:path arrowok="t"/>
            <v:fill type="solid"/>
            <w10:wrap type="none"/>
          </v:shape>
        </w:pict>
      </w:r>
      <w:r>
        <w:rPr/>
        <w:pict>
          <v:group style="position:absolute;margin-left:363.394012pt;margin-top:-72.324524pt;width:75.25pt;height:40.550pt;mso-position-horizontal-relative:page;mso-position-vertical-relative:paragraph;z-index:-1132264" coordorigin="7268,-1446" coordsize="1505,811">
            <v:line style="position:absolute" from="7273,-1441" to="7273,-1273" stroked="true" strokeweight=".526pt" strokecolor="#baf9f5"/>
            <v:rect style="position:absolute;left:7279;top:-1441;width:1494;height:168" filled="true" fillcolor="#baf9f5" stroked="false">
              <v:fill type="solid"/>
            </v:rect>
            <v:line style="position:absolute" from="7273,-1273" to="7273,-1115" stroked="true" strokeweight=".526pt" strokecolor="#baf9f5"/>
            <v:rect style="position:absolute;left:7279;top:-1273;width:1494;height:158" filled="true" fillcolor="#baf9f5" stroked="false">
              <v:fill type="solid"/>
            </v:rect>
            <v:line style="position:absolute" from="7273,-1115" to="7273,-957" stroked="true" strokeweight=".526pt" strokecolor="#baf9f5"/>
            <v:rect style="position:absolute;left:7279;top:-1115;width:1494;height:158" filled="true" fillcolor="#baf9f5" stroked="false">
              <v:fill type="solid"/>
            </v:rect>
            <v:line style="position:absolute" from="7273,-957" to="7273,-799" stroked="true" strokeweight=".526pt" strokecolor="#baf9f5"/>
            <v:rect style="position:absolute;left:7279;top:-957;width:1494;height:158" filled="true" fillcolor="#baf9f5" stroked="false">
              <v:fill type="solid"/>
            </v:rect>
            <v:line style="position:absolute" from="7273,-799" to="7273,-642" stroked="true" strokeweight=".526pt" strokecolor="#baf9f5"/>
            <v:rect style="position:absolute;left:7279;top:-799;width:1494;height:158" filled="true" fillcolor="#baf9f5" stroked="false">
              <v:fill type="solid"/>
            </v:rect>
            <w10:wrap type="none"/>
          </v:group>
        </w:pict>
      </w:r>
      <w:r>
        <w:rPr/>
        <w:pict>
          <v:shape style="position:absolute;margin-left:472.298035pt;margin-top:-72.049133pt;width:34.75pt;height:47.85pt;mso-position-horizontal-relative:page;mso-position-vertical-relative:paragraph;z-index:-1132240" coordorigin="9446,-1441" coordsize="695,957" path="m10140,-1115l9446,-1115,9446,-957,9446,-799,9446,-652,9446,-642,9446,-484,10140,-484,10140,-642,10140,-652,10140,-799,10140,-957,10140,-1115m10140,-1441l9446,-1441,9446,-1273,9446,-1115,10140,-1115,10140,-1273,10140,-1441e" filled="true" fillcolor="#ffff00" stroked="false">
            <v:path arrowok="t"/>
            <v:fill type="solid"/>
            <w10:wrap type="none"/>
          </v:shape>
        </w:pict>
      </w:r>
      <w:r>
        <w:rPr/>
        <w:pict>
          <v:rect style="position:absolute;margin-left:506.490997pt;margin-top:-16.838253pt;width:34.7191pt;height:8.413130pt;mso-position-horizontal-relative:page;mso-position-vertical-relative:paragraph;z-index:-1132216" filled="true" fillcolor="#67ed4d"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spacing w:before="1"/>
        <w:rPr>
          <w:sz w:val="18"/>
        </w:rPr>
      </w:pPr>
    </w:p>
    <w:p>
      <w:pPr>
        <w:pStyle w:val="BodyText"/>
        <w:spacing w:before="69" w:after="22"/>
        <w:ind w:left="268"/>
      </w:pPr>
      <w:r>
        <w:rPr/>
        <w:pict>
          <v:line style="position:absolute;mso-position-horizontal-relative:page;mso-position-vertical-relative:paragraph;z-index:25840" from="93.199997pt,-19.614155pt" to="546.799997pt,-19.614155pt" stroked="true" strokeweight=".479981pt" strokecolor="#000000">
            <w10:wrap type="none"/>
          </v:line>
        </w:pict>
      </w:r>
      <w:r>
        <w:rPr/>
        <w:t>Tabla 67. Datos Bisque de las Fuentes</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02"/>
        <w:gridCol w:w="5243"/>
      </w:tblGrid>
      <w:tr>
        <w:trPr>
          <w:trHeight w:val="670" w:hRule="exact"/>
        </w:trPr>
        <w:tc>
          <w:tcPr>
            <w:tcW w:w="7845" w:type="dxa"/>
            <w:gridSpan w:val="2"/>
            <w:tcBorders>
              <w:left w:val="single" w:sz="8" w:space="0" w:color="000000"/>
              <w:bottom w:val="single" w:sz="8" w:space="0" w:color="BFBFBF"/>
              <w:right w:val="single" w:sz="8" w:space="0" w:color="000000"/>
            </w:tcBorders>
            <w:shd w:val="clear" w:color="auto" w:fill="0D0D0D"/>
          </w:tcPr>
          <w:p>
            <w:pPr>
              <w:pStyle w:val="TableParagraph"/>
              <w:spacing w:before="164"/>
              <w:ind w:left="2590" w:right="2620"/>
              <w:rPr>
                <w:b/>
                <w:sz w:val="24"/>
              </w:rPr>
            </w:pPr>
            <w:r>
              <w:rPr>
                <w:b/>
                <w:color w:val="FFFFFF"/>
                <w:sz w:val="24"/>
              </w:rPr>
              <w:t>Bosque de las fuentes</w:t>
            </w:r>
          </w:p>
        </w:tc>
      </w:tr>
      <w:tr>
        <w:trPr>
          <w:trHeight w:val="300" w:hRule="exact"/>
        </w:trPr>
        <w:tc>
          <w:tcPr>
            <w:tcW w:w="2602" w:type="dxa"/>
            <w:tcBorders>
              <w:top w:val="single" w:sz="8" w:space="0" w:color="BFBFBF"/>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Empresa</w:t>
            </w:r>
          </w:p>
        </w:tc>
        <w:tc>
          <w:tcPr>
            <w:tcW w:w="5243" w:type="dxa"/>
            <w:tcBorders>
              <w:top w:val="single" w:sz="8" w:space="0" w:color="BFBFBF"/>
              <w:left w:val="single" w:sz="8" w:space="0" w:color="000000"/>
              <w:bottom w:val="single" w:sz="8" w:space="0" w:color="000000"/>
              <w:right w:val="single" w:sz="8" w:space="0" w:color="000000"/>
            </w:tcBorders>
          </w:tcPr>
          <w:p>
            <w:pPr>
              <w:pStyle w:val="TableParagraph"/>
              <w:spacing w:line="274" w:lineRule="exact"/>
              <w:ind w:left="216" w:right="251"/>
              <w:rPr>
                <w:rFonts w:ascii="Calibri"/>
                <w:sz w:val="24"/>
              </w:rPr>
            </w:pPr>
            <w:r>
              <w:rPr>
                <w:rFonts w:ascii="Calibri"/>
                <w:sz w:val="24"/>
              </w:rPr>
              <w:t>Inmobiliaria HATTIE, S.A. de C.V.</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Tipo de vivienda</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42" w:right="243"/>
              <w:rPr>
                <w:rFonts w:ascii="Calibri"/>
                <w:sz w:val="24"/>
              </w:rPr>
            </w:pPr>
            <w:r>
              <w:rPr>
                <w:rFonts w:ascii="Calibri"/>
                <w:sz w:val="24"/>
              </w:rPr>
              <w:t>Residencial</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No. de viviendas</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38" w:right="251"/>
              <w:rPr>
                <w:rFonts w:ascii="Calibri"/>
                <w:sz w:val="24"/>
              </w:rPr>
            </w:pPr>
            <w:r>
              <w:rPr>
                <w:rFonts w:ascii="Calibri"/>
                <w:sz w:val="24"/>
              </w:rPr>
              <w:t>987</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V. Medio</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right="16"/>
              <w:rPr>
                <w:rFonts w:ascii="Calibri"/>
                <w:sz w:val="24"/>
              </w:rPr>
            </w:pPr>
            <w:r>
              <w:rPr>
                <w:rFonts w:ascii="Calibri"/>
                <w:w w:val="100"/>
                <w:sz w:val="24"/>
              </w:rPr>
              <w:t>0</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V. Interés Social</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right="16"/>
              <w:rPr>
                <w:rFonts w:ascii="Calibri"/>
                <w:sz w:val="24"/>
              </w:rPr>
            </w:pPr>
            <w:r>
              <w:rPr>
                <w:rFonts w:ascii="Calibri"/>
                <w:w w:val="100"/>
                <w:sz w:val="24"/>
              </w:rPr>
              <w:t>0</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V. Residencial</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38" w:right="251"/>
              <w:rPr>
                <w:rFonts w:ascii="Calibri"/>
                <w:sz w:val="24"/>
              </w:rPr>
            </w:pPr>
            <w:r>
              <w:rPr>
                <w:rFonts w:ascii="Calibri"/>
                <w:sz w:val="24"/>
              </w:rPr>
              <w:t>987</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Manzanas</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37" w:right="251"/>
              <w:rPr>
                <w:rFonts w:ascii="Calibri"/>
                <w:sz w:val="24"/>
              </w:rPr>
            </w:pPr>
            <w:r>
              <w:rPr>
                <w:rFonts w:ascii="Calibri"/>
                <w:sz w:val="24"/>
              </w:rPr>
              <w:t>15</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Lotes</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38" w:right="251"/>
              <w:rPr>
                <w:rFonts w:ascii="Calibri"/>
                <w:sz w:val="24"/>
              </w:rPr>
            </w:pPr>
            <w:r>
              <w:rPr>
                <w:rFonts w:ascii="Calibri"/>
                <w:sz w:val="24"/>
              </w:rPr>
              <w:t>307</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Superficie CU (m2)</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42" w:right="244"/>
              <w:rPr>
                <w:rFonts w:ascii="Calibri"/>
                <w:sz w:val="24"/>
              </w:rPr>
            </w:pPr>
            <w:r>
              <w:rPr>
                <w:rFonts w:ascii="Calibri"/>
                <w:sz w:val="24"/>
              </w:rPr>
              <w:t>408,312.990</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Pob. Beneficiada</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20" w:right="251"/>
              <w:rPr>
                <w:rFonts w:ascii="Calibri"/>
                <w:sz w:val="24"/>
              </w:rPr>
            </w:pPr>
            <w:r>
              <w:rPr>
                <w:rFonts w:ascii="Calibri"/>
                <w:sz w:val="24"/>
              </w:rPr>
              <w:t>4,442</w:t>
            </w:r>
          </w:p>
        </w:tc>
      </w:tr>
      <w:tr>
        <w:trPr>
          <w:trHeight w:val="4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before="24"/>
              <w:ind w:left="40"/>
              <w:jc w:val="left"/>
              <w:rPr>
                <w:b/>
                <w:sz w:val="24"/>
              </w:rPr>
            </w:pPr>
            <w:r>
              <w:rPr>
                <w:b/>
                <w:sz w:val="24"/>
              </w:rPr>
              <w:t>Fecha de publicación</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before="21"/>
              <w:ind w:left="229" w:right="251"/>
              <w:rPr>
                <w:rFonts w:ascii="Calibri"/>
                <w:sz w:val="24"/>
              </w:rPr>
            </w:pPr>
            <w:r>
              <w:rPr>
                <w:rFonts w:ascii="Calibri"/>
                <w:sz w:val="24"/>
              </w:rPr>
              <w:t>14/10/10</w:t>
            </w:r>
          </w:p>
        </w:tc>
      </w:tr>
    </w:tbl>
    <w:p>
      <w:pPr>
        <w:spacing w:before="212"/>
        <w:ind w:left="268" w:right="0" w:firstLine="0"/>
        <w:jc w:val="left"/>
        <w:rPr>
          <w:sz w:val="21"/>
        </w:rPr>
      </w:pPr>
      <w:r>
        <w:rPr>
          <w:w w:val="105"/>
          <w:sz w:val="21"/>
        </w:rPr>
        <w:t>Fuente: Elaboración propia con base al estudio realizado.</w:t>
      </w:r>
    </w:p>
    <w:p>
      <w:pPr>
        <w:pStyle w:val="BodyText"/>
        <w:rPr>
          <w:sz w:val="22"/>
        </w:rPr>
      </w:pPr>
    </w:p>
    <w:p>
      <w:pPr>
        <w:pStyle w:val="BodyText"/>
        <w:rPr>
          <w:sz w:val="22"/>
        </w:rPr>
      </w:pPr>
    </w:p>
    <w:p>
      <w:pPr>
        <w:pStyle w:val="BodyText"/>
        <w:spacing w:before="131" w:after="17"/>
        <w:ind w:left="268"/>
      </w:pPr>
      <w:r>
        <w:rPr/>
        <w:pict>
          <v:group style="position:absolute;margin-left:364.405487pt;margin-top:55.983601pt;width:74.8pt;height:40.35pt;mso-position-horizontal-relative:page;mso-position-vertical-relative:paragraph;z-index:-1132168" coordorigin="7288,1120" coordsize="1496,807">
            <v:line style="position:absolute" from="7294,1125" to="7294,1293" stroked="true" strokeweight=".523pt" strokecolor="#baf9f5"/>
            <v:shape style="position:absolute;left:7299;top:1125;width:1485;height:639" coordorigin="7299,1125" coordsize="1485,639" path="m8784,1607l7299,1607,7299,1764,8784,1764,8784,1607m8784,1450l7299,1450,7299,1607,8784,1607,8784,1450m8784,1125l7299,1125,7299,1282,7299,1293,7299,1450,8784,1450,8784,1293,8784,1282,8784,1125e" filled="true" fillcolor="#baf9f5" stroked="false">
              <v:path arrowok="t"/>
              <v:fill type="solid"/>
            </v:shape>
            <v:line style="position:absolute" from="7294,1282" to="7294,1921" stroked="true" strokeweight=".523pt" strokecolor="#baf9f5"/>
            <v:rect style="position:absolute;left:7299;top:1764;width:1485;height:157" filled="true" fillcolor="#baf9f5" stroked="false">
              <v:fill type="solid"/>
            </v:rect>
            <w10:wrap type="none"/>
          </v:group>
        </w:pict>
      </w:r>
      <w:r>
        <w:rPr/>
        <w:pict>
          <v:group style="position:absolute;margin-left:364.405487pt;margin-top:110.926651pt;width:74.8pt;height:63.9pt;mso-position-horizontal-relative:page;mso-position-vertical-relative:paragraph;z-index:-1132144" coordorigin="7288,2219" coordsize="1496,1278">
            <v:line style="position:absolute" from="7294,2224" to="7294,2391" stroked="true" strokeweight=".523pt" strokecolor="#baf9f5"/>
            <v:rect style="position:absolute;left:7299;top:2224;width:1485;height:167" filled="true" fillcolor="#baf9f5" stroked="false">
              <v:fill type="solid"/>
            </v:rect>
            <v:line style="position:absolute" from="7294,2391" to="7294,2548" stroked="true" strokeweight=".523pt" strokecolor="#baf9f5"/>
            <v:rect style="position:absolute;left:7299;top:2391;width:1485;height:157" filled="true" fillcolor="#baf9f5" stroked="false">
              <v:fill type="solid"/>
            </v:rect>
            <v:line style="position:absolute" from="7294,2548" to="7294,2705" stroked="true" strokeweight=".523pt" strokecolor="#baf9f5"/>
            <v:rect style="position:absolute;left:7299;top:2548;width:1485;height:157" filled="true" fillcolor="#baf9f5" stroked="false">
              <v:fill type="solid"/>
            </v:rect>
            <v:line style="position:absolute" from="7294,2705" to="7294,2862" stroked="true" strokeweight=".523pt" strokecolor="#baf9f5"/>
            <v:rect style="position:absolute;left:7299;top:2705;width:1485;height:157" filled="true" fillcolor="#baf9f5" stroked="false">
              <v:fill type="solid"/>
            </v:rect>
            <v:line style="position:absolute" from="7294,2862" to="7294,3019" stroked="true" strokeweight=".523pt" strokecolor="#baf9f5"/>
            <v:rect style="position:absolute;left:7299;top:2862;width:1485;height:157" filled="true" fillcolor="#baf9f5" stroked="false">
              <v:fill type="solid"/>
            </v:rect>
            <v:line style="position:absolute" from="7294,3019" to="7294,3176" stroked="true" strokeweight=".523pt" strokecolor="#baf9f5"/>
            <v:rect style="position:absolute;left:7299;top:3019;width:1485;height:157" filled="true" fillcolor="#baf9f5" stroked="false">
              <v:fill type="solid"/>
            </v:rect>
            <v:line style="position:absolute" from="7294,3176" to="7294,3333" stroked="true" strokeweight=".523pt" strokecolor="#baf9f5"/>
            <v:rect style="position:absolute;left:7299;top:3176;width:1485;height:157" filled="true" fillcolor="#baf9f5" stroked="false">
              <v:fill type="solid"/>
            </v:rect>
            <v:line style="position:absolute" from="7294,3333" to="7294,3490" stroked="true" strokeweight=".523pt" strokecolor="#baf9f5"/>
            <v:rect style="position:absolute;left:7299;top:3333;width:1485;height:157" filled="true" fillcolor="#baf9f5" stroked="false">
              <v:fill type="solid"/>
            </v:rect>
            <w10:wrap type="none"/>
          </v:group>
        </w:pict>
      </w:r>
      <w:r>
        <w:rPr/>
        <w:pict>
          <v:shape style="position:absolute;margin-left:472.650024pt;margin-top:111.201836pt;width:34.550pt;height:71.2pt;mso-position-horizontal-relative:page;mso-position-vertical-relative:paragraph;z-index:-1132120" coordorigin="9453,2224" coordsize="691,1424" path="m10143,3176l9453,3176,9453,3333,9453,3480,9453,3490,9453,3647,10143,3647,10143,3490,10143,3480,10143,3333,10143,3176m10143,3019l9453,3019,9453,3176,10143,3176,10143,3019m10143,2862l9453,2862,9453,3019,10143,3019,10143,2862m10143,2705l9453,2705,9453,2862,10143,2862,10143,2705m10143,2548l9453,2548,9453,2705,10143,2705,10143,2548m10143,2391l9453,2391,9453,2548,10143,2548,10143,2391m10143,2224l9453,2224,9453,2391,10143,2391,10143,2224e" filled="true" fillcolor="#ffff00" stroked="false">
            <v:path arrowok="t"/>
            <v:fill type="solid"/>
            <w10:wrap type="none"/>
          </v:shape>
        </w:pict>
      </w:r>
      <w:r>
        <w:rPr/>
        <w:t>Tabla 68. ISS Bosque de las Fuentes</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52"/>
        <w:gridCol w:w="2164"/>
        <w:gridCol w:w="2084"/>
        <w:gridCol w:w="1680"/>
        <w:gridCol w:w="882"/>
        <w:gridCol w:w="681"/>
        <w:gridCol w:w="679"/>
      </w:tblGrid>
      <w:tr>
        <w:trPr>
          <w:trHeight w:val="476" w:hRule="exact"/>
        </w:trPr>
        <w:tc>
          <w:tcPr>
            <w:tcW w:w="8821" w:type="dxa"/>
            <w:gridSpan w:val="7"/>
            <w:tcBorders>
              <w:bottom w:val="nil"/>
              <w:right w:val="single" w:sz="4" w:space="0" w:color="CB5AD4"/>
            </w:tcBorders>
            <w:shd w:val="clear" w:color="auto" w:fill="000000"/>
          </w:tcPr>
          <w:p>
            <w:pPr>
              <w:pStyle w:val="TableParagraph"/>
              <w:spacing w:line="273" w:lineRule="auto" w:before="60"/>
              <w:ind w:left="3466" w:right="3371" w:firstLine="261"/>
              <w:jc w:val="left"/>
              <w:rPr>
                <w:b/>
                <w:sz w:val="12"/>
              </w:rPr>
            </w:pPr>
            <w:r>
              <w:rPr>
                <w:b/>
                <w:color w:val="FFFFFF"/>
                <w:w w:val="105"/>
                <w:sz w:val="12"/>
              </w:rPr>
              <w:t>Bosque de las Fuentes Índice de sustentabilidad social</w:t>
            </w:r>
          </w:p>
        </w:tc>
      </w:tr>
      <w:tr>
        <w:trPr>
          <w:trHeight w:val="194" w:hRule="exact"/>
        </w:trPr>
        <w:tc>
          <w:tcPr>
            <w:tcW w:w="652" w:type="dxa"/>
            <w:tcBorders>
              <w:top w:val="single" w:sz="4" w:space="0" w:color="FFFFFF"/>
              <w:left w:val="single" w:sz="4" w:space="0" w:color="000000"/>
            </w:tcBorders>
            <w:shd w:val="clear" w:color="auto" w:fill="808080"/>
          </w:tcPr>
          <w:p>
            <w:pPr>
              <w:pStyle w:val="TableParagraph"/>
              <w:spacing w:line="135" w:lineRule="exact"/>
              <w:ind w:right="104"/>
              <w:jc w:val="right"/>
              <w:rPr>
                <w:b/>
                <w:sz w:val="12"/>
              </w:rPr>
            </w:pPr>
            <w:r>
              <w:rPr>
                <w:b/>
                <w:color w:val="FFFFFF"/>
                <w:sz w:val="12"/>
              </w:rPr>
              <w:t>Índice</w:t>
            </w:r>
          </w:p>
        </w:tc>
        <w:tc>
          <w:tcPr>
            <w:tcW w:w="2164" w:type="dxa"/>
            <w:tcBorders>
              <w:top w:val="single" w:sz="4" w:space="0" w:color="FFFFFF"/>
            </w:tcBorders>
            <w:shd w:val="clear" w:color="auto" w:fill="808080"/>
          </w:tcPr>
          <w:p>
            <w:pPr>
              <w:pStyle w:val="TableParagraph"/>
              <w:spacing w:line="135" w:lineRule="exact"/>
              <w:ind w:left="106"/>
              <w:jc w:val="left"/>
              <w:rPr>
                <w:b/>
                <w:sz w:val="12"/>
              </w:rPr>
            </w:pPr>
            <w:r>
              <w:rPr>
                <w:b/>
                <w:color w:val="FFFFFF"/>
                <w:w w:val="105"/>
                <w:sz w:val="12"/>
              </w:rPr>
              <w:t>Subíndice</w:t>
            </w:r>
          </w:p>
        </w:tc>
        <w:tc>
          <w:tcPr>
            <w:tcW w:w="2084" w:type="dxa"/>
            <w:tcBorders>
              <w:top w:val="single" w:sz="4" w:space="0" w:color="FFFFFF"/>
            </w:tcBorders>
            <w:shd w:val="clear" w:color="auto" w:fill="808080"/>
          </w:tcPr>
          <w:p>
            <w:pPr>
              <w:pStyle w:val="TableParagraph"/>
              <w:spacing w:line="135" w:lineRule="exact"/>
              <w:ind w:left="34" w:right="564"/>
              <w:jc w:val="left"/>
              <w:rPr>
                <w:b/>
                <w:sz w:val="12"/>
              </w:rPr>
            </w:pPr>
            <w:r>
              <w:rPr>
                <w:b/>
                <w:color w:val="FFFFFF"/>
                <w:w w:val="105"/>
                <w:sz w:val="12"/>
              </w:rPr>
              <w:t>Indicador</w:t>
            </w:r>
          </w:p>
        </w:tc>
        <w:tc>
          <w:tcPr>
            <w:tcW w:w="1680" w:type="dxa"/>
            <w:tcBorders>
              <w:top w:val="single" w:sz="4" w:space="0" w:color="FFFFFF"/>
            </w:tcBorders>
            <w:shd w:val="clear" w:color="auto" w:fill="808080"/>
          </w:tcPr>
          <w:p>
            <w:pPr/>
          </w:p>
        </w:tc>
        <w:tc>
          <w:tcPr>
            <w:tcW w:w="882" w:type="dxa"/>
            <w:tcBorders>
              <w:top w:val="single" w:sz="4" w:space="0" w:color="FFFFFF"/>
            </w:tcBorders>
            <w:shd w:val="clear" w:color="auto" w:fill="808080"/>
          </w:tcPr>
          <w:p>
            <w:pPr>
              <w:pStyle w:val="TableParagraph"/>
              <w:spacing w:line="135" w:lineRule="exact"/>
              <w:ind w:left="264"/>
              <w:jc w:val="left"/>
              <w:rPr>
                <w:b/>
                <w:sz w:val="12"/>
              </w:rPr>
            </w:pPr>
            <w:r>
              <w:rPr>
                <w:b/>
                <w:color w:val="FFFFFF"/>
                <w:w w:val="105"/>
                <w:sz w:val="12"/>
              </w:rPr>
              <w:t>Valores</w:t>
            </w:r>
          </w:p>
        </w:tc>
        <w:tc>
          <w:tcPr>
            <w:tcW w:w="681" w:type="dxa"/>
            <w:tcBorders>
              <w:top w:val="single" w:sz="4" w:space="0" w:color="FFFFFF"/>
            </w:tcBorders>
            <w:shd w:val="clear" w:color="auto" w:fill="808080"/>
          </w:tcPr>
          <w:p>
            <w:pPr/>
          </w:p>
        </w:tc>
        <w:tc>
          <w:tcPr>
            <w:tcW w:w="679" w:type="dxa"/>
            <w:tcBorders>
              <w:top w:val="single" w:sz="4" w:space="0" w:color="FFFFFF"/>
              <w:right w:val="single" w:sz="8" w:space="0" w:color="000000"/>
            </w:tcBorders>
            <w:shd w:val="clear" w:color="auto" w:fill="808080"/>
          </w:tcPr>
          <w:p>
            <w:pPr/>
          </w:p>
        </w:tc>
      </w:tr>
      <w:tr>
        <w:trPr>
          <w:trHeight w:val="191" w:hRule="exact"/>
        </w:trPr>
        <w:tc>
          <w:tcPr>
            <w:tcW w:w="652" w:type="dxa"/>
            <w:vMerge w:val="restart"/>
            <w:tcBorders>
              <w:left w:val="single" w:sz="4" w:space="0" w:color="000000"/>
            </w:tcBorders>
          </w:tcPr>
          <w:p>
            <w:pPr/>
          </w:p>
        </w:tc>
        <w:tc>
          <w:tcPr>
            <w:tcW w:w="2164" w:type="dxa"/>
            <w:vMerge w:val="restart"/>
          </w:tcPr>
          <w:p>
            <w:pPr>
              <w:pStyle w:val="TableParagraph"/>
              <w:jc w:val="left"/>
              <w:rPr>
                <w:sz w:val="12"/>
              </w:rPr>
            </w:pPr>
          </w:p>
          <w:p>
            <w:pPr>
              <w:pStyle w:val="TableParagraph"/>
              <w:jc w:val="left"/>
              <w:rPr>
                <w:sz w:val="12"/>
              </w:rPr>
            </w:pPr>
          </w:p>
          <w:p>
            <w:pPr>
              <w:pStyle w:val="TableParagraph"/>
              <w:jc w:val="left"/>
              <w:rPr>
                <w:sz w:val="13"/>
              </w:rPr>
            </w:pPr>
          </w:p>
          <w:p>
            <w:pPr>
              <w:pStyle w:val="TableParagraph"/>
              <w:spacing w:before="1"/>
              <w:ind w:left="106"/>
              <w:jc w:val="left"/>
              <w:rPr>
                <w:sz w:val="12"/>
              </w:rPr>
            </w:pPr>
            <w:r>
              <w:rPr>
                <w:w w:val="105"/>
                <w:sz w:val="12"/>
              </w:rPr>
              <w:t>Habitabilidad</w:t>
            </w:r>
          </w:p>
        </w:tc>
        <w:tc>
          <w:tcPr>
            <w:tcW w:w="2084" w:type="dxa"/>
            <w:vMerge w:val="restart"/>
          </w:tcPr>
          <w:p>
            <w:pPr>
              <w:pStyle w:val="TableParagraph"/>
              <w:jc w:val="left"/>
              <w:rPr>
                <w:sz w:val="17"/>
              </w:rPr>
            </w:pPr>
          </w:p>
          <w:p>
            <w:pPr>
              <w:pStyle w:val="TableParagraph"/>
              <w:spacing w:line="273" w:lineRule="auto"/>
              <w:ind w:left="34" w:right="564"/>
              <w:jc w:val="left"/>
              <w:rPr>
                <w:sz w:val="12"/>
              </w:rPr>
            </w:pPr>
            <w:r>
              <w:rPr>
                <w:w w:val="105"/>
                <w:sz w:val="12"/>
              </w:rPr>
              <w:t>Espacios habitables Metros de construcción Metros de terreno Hacinamiento</w:t>
            </w:r>
          </w:p>
        </w:tc>
        <w:tc>
          <w:tcPr>
            <w:tcW w:w="1680" w:type="dxa"/>
            <w:vMerge w:val="restart"/>
          </w:tcPr>
          <w:p>
            <w:pPr>
              <w:pStyle w:val="TableParagraph"/>
              <w:spacing w:before="39"/>
              <w:ind w:left="793" w:right="180"/>
              <w:rPr>
                <w:b/>
                <w:sz w:val="12"/>
              </w:rPr>
            </w:pPr>
            <w:r>
              <w:rPr>
                <w:b/>
                <w:w w:val="105"/>
                <w:sz w:val="12"/>
              </w:rPr>
              <w:t>Evaluación</w:t>
            </w:r>
          </w:p>
          <w:p>
            <w:pPr>
              <w:pStyle w:val="TableParagraph"/>
              <w:spacing w:before="19"/>
              <w:ind w:left="786" w:right="180"/>
              <w:rPr>
                <w:sz w:val="12"/>
              </w:rPr>
            </w:pPr>
            <w:r>
              <w:rPr>
                <w:w w:val="105"/>
                <w:sz w:val="12"/>
              </w:rPr>
              <w:t>0.7</w:t>
            </w:r>
          </w:p>
          <w:p>
            <w:pPr>
              <w:pStyle w:val="TableParagraph"/>
              <w:spacing w:before="19"/>
              <w:ind w:left="605"/>
              <w:rPr>
                <w:sz w:val="12"/>
              </w:rPr>
            </w:pPr>
            <w:r>
              <w:rPr>
                <w:w w:val="104"/>
                <w:sz w:val="12"/>
              </w:rPr>
              <w:t>1</w:t>
            </w:r>
          </w:p>
          <w:p>
            <w:pPr>
              <w:pStyle w:val="TableParagraph"/>
              <w:spacing w:before="19"/>
              <w:ind w:left="605"/>
              <w:rPr>
                <w:sz w:val="12"/>
              </w:rPr>
            </w:pPr>
            <w:r>
              <w:rPr>
                <w:w w:val="104"/>
                <w:sz w:val="12"/>
              </w:rPr>
              <w:t>1</w:t>
            </w:r>
          </w:p>
          <w:p>
            <w:pPr>
              <w:pStyle w:val="TableParagraph"/>
              <w:spacing w:before="19"/>
              <w:ind w:left="605"/>
              <w:rPr>
                <w:sz w:val="12"/>
              </w:rPr>
            </w:pPr>
            <w:r>
              <w:rPr>
                <w:w w:val="104"/>
                <w:sz w:val="12"/>
              </w:rPr>
              <w:t>1</w:t>
            </w:r>
          </w:p>
          <w:p>
            <w:pPr>
              <w:pStyle w:val="TableParagraph"/>
              <w:spacing w:before="19"/>
              <w:ind w:left="779" w:right="180"/>
              <w:rPr>
                <w:sz w:val="12"/>
              </w:rPr>
            </w:pPr>
            <w:r>
              <w:rPr>
                <w:w w:val="105"/>
                <w:sz w:val="12"/>
              </w:rPr>
              <w:t>Subtotal</w:t>
            </w:r>
          </w:p>
        </w:tc>
        <w:tc>
          <w:tcPr>
            <w:tcW w:w="882" w:type="dxa"/>
            <w:vMerge w:val="restart"/>
          </w:tcPr>
          <w:p>
            <w:pPr>
              <w:pStyle w:val="TableParagraph"/>
              <w:tabs>
                <w:tab w:pos="892" w:val="left" w:leader="none"/>
              </w:tabs>
              <w:spacing w:before="39"/>
              <w:ind w:left="202" w:right="-11"/>
              <w:jc w:val="left"/>
              <w:rPr>
                <w:b/>
                <w:sz w:val="12"/>
              </w:rPr>
            </w:pPr>
            <w:r>
              <w:rPr>
                <w:b/>
                <w:w w:val="104"/>
                <w:sz w:val="12"/>
                <w:shd w:fill="F79646" w:color="auto" w:val="clear"/>
              </w:rPr>
              <w:t> </w:t>
            </w:r>
            <w:r>
              <w:rPr>
                <w:b/>
                <w:sz w:val="12"/>
                <w:shd w:fill="F79646" w:color="auto" w:val="clear"/>
              </w:rPr>
              <w:t>    </w:t>
            </w:r>
            <w:r>
              <w:rPr>
                <w:b/>
                <w:spacing w:val="7"/>
                <w:sz w:val="12"/>
                <w:shd w:fill="F79646" w:color="auto" w:val="clear"/>
              </w:rPr>
              <w:t> </w:t>
            </w:r>
            <w:r>
              <w:rPr>
                <w:b/>
                <w:w w:val="105"/>
                <w:sz w:val="12"/>
                <w:shd w:fill="F79646" w:color="auto" w:val="clear"/>
              </w:rPr>
              <w:t>Real</w:t>
            </w:r>
            <w:r>
              <w:rPr>
                <w:b/>
                <w:sz w:val="12"/>
                <w:shd w:fill="F79646" w:color="auto" w:val="clear"/>
              </w:rPr>
              <w:tab/>
            </w: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tabs>
                <w:tab w:pos="463" w:val="left" w:leader="none"/>
                <w:tab w:pos="892" w:val="left" w:leader="none"/>
              </w:tabs>
              <w:spacing w:before="95"/>
              <w:ind w:left="202" w:right="-11"/>
              <w:jc w:val="left"/>
              <w:rPr>
                <w:sz w:val="12"/>
              </w:rPr>
            </w:pPr>
            <w:r>
              <w:rPr>
                <w:w w:val="104"/>
                <w:sz w:val="12"/>
                <w:shd w:fill="F79646" w:color="auto" w:val="clear"/>
              </w:rPr>
              <w:t> </w:t>
            </w:r>
            <w:r>
              <w:rPr>
                <w:sz w:val="12"/>
                <w:shd w:fill="F79646" w:color="auto" w:val="clear"/>
              </w:rPr>
              <w:tab/>
            </w:r>
            <w:r>
              <w:rPr>
                <w:w w:val="105"/>
                <w:sz w:val="12"/>
                <w:shd w:fill="F79646" w:color="auto" w:val="clear"/>
              </w:rPr>
              <w:t>3.7</w:t>
            </w:r>
            <w:r>
              <w:rPr>
                <w:sz w:val="12"/>
                <w:shd w:fill="F79646" w:color="auto" w:val="clear"/>
              </w:rPr>
              <w:tab/>
            </w:r>
          </w:p>
        </w:tc>
        <w:tc>
          <w:tcPr>
            <w:tcW w:w="681" w:type="dxa"/>
            <w:tcBorders>
              <w:right w:val="single" w:sz="4" w:space="0" w:color="FFFFFF"/>
            </w:tcBorders>
            <w:shd w:val="clear" w:color="auto" w:fill="FFFF00"/>
          </w:tcPr>
          <w:p>
            <w:pPr>
              <w:pStyle w:val="TableParagraph"/>
              <w:spacing w:before="39"/>
              <w:ind w:left="51" w:right="30"/>
              <w:rPr>
                <w:b/>
                <w:sz w:val="12"/>
              </w:rPr>
            </w:pPr>
            <w:r>
              <w:rPr>
                <w:b/>
                <w:w w:val="105"/>
                <w:sz w:val="12"/>
              </w:rPr>
              <w:t>Deseable</w:t>
            </w:r>
          </w:p>
        </w:tc>
        <w:tc>
          <w:tcPr>
            <w:tcW w:w="679" w:type="dxa"/>
            <w:tcBorders>
              <w:left w:val="single" w:sz="4" w:space="0" w:color="FFFFFF"/>
              <w:right w:val="single" w:sz="8" w:space="0" w:color="000000"/>
            </w:tcBorders>
            <w:shd w:val="clear" w:color="auto" w:fill="67ED4D"/>
          </w:tcPr>
          <w:p>
            <w:pPr>
              <w:pStyle w:val="TableParagraph"/>
              <w:spacing w:before="39"/>
              <w:ind w:left="98" w:right="84"/>
              <w:rPr>
                <w:b/>
                <w:sz w:val="12"/>
              </w:rPr>
            </w:pPr>
            <w:r>
              <w:rPr>
                <w:b/>
                <w:w w:val="105"/>
                <w:sz w:val="12"/>
              </w:rPr>
              <w:t>Óptimo</w:t>
            </w:r>
          </w:p>
        </w:tc>
      </w:tr>
      <w:tr>
        <w:trPr>
          <w:trHeight w:val="157" w:hRule="exact"/>
        </w:trPr>
        <w:tc>
          <w:tcPr>
            <w:tcW w:w="652" w:type="dxa"/>
            <w:vMerge/>
            <w:tcBorders>
              <w:left w:val="single" w:sz="4" w:space="0" w:color="000000"/>
            </w:tcBorders>
          </w:tcPr>
          <w:p>
            <w:pPr/>
          </w:p>
        </w:tc>
        <w:tc>
          <w:tcPr>
            <w:tcW w:w="2164" w:type="dxa"/>
            <w:vMerge/>
          </w:tcPr>
          <w:p>
            <w:pPr/>
          </w:p>
        </w:tc>
        <w:tc>
          <w:tcPr>
            <w:tcW w:w="2084" w:type="dxa"/>
            <w:vMerge/>
          </w:tcPr>
          <w:p>
            <w:pPr/>
          </w:p>
        </w:tc>
        <w:tc>
          <w:tcPr>
            <w:tcW w:w="1680" w:type="dxa"/>
            <w:vMerge/>
          </w:tcPr>
          <w:p>
            <w:pPr/>
          </w:p>
        </w:tc>
        <w:tc>
          <w:tcPr>
            <w:tcW w:w="882" w:type="dxa"/>
            <w:vMerge/>
          </w:tcPr>
          <w:p>
            <w:pPr/>
          </w:p>
        </w:tc>
        <w:tc>
          <w:tcPr>
            <w:tcW w:w="681" w:type="dxa"/>
            <w:tcBorders>
              <w:right w:val="single" w:sz="4" w:space="0" w:color="FFFFFF"/>
            </w:tcBorders>
            <w:shd w:val="clear" w:color="auto" w:fill="FFFF00"/>
          </w:tcPr>
          <w:p>
            <w:pPr>
              <w:pStyle w:val="TableParagraph"/>
              <w:spacing w:before="5"/>
              <w:ind w:left="51" w:right="30"/>
              <w:rPr>
                <w:sz w:val="12"/>
              </w:rPr>
            </w:pPr>
            <w:r>
              <w:rPr>
                <w:w w:val="105"/>
                <w:sz w:val="12"/>
              </w:rPr>
              <w:t>0.7</w:t>
            </w:r>
          </w:p>
        </w:tc>
        <w:tc>
          <w:tcPr>
            <w:tcW w:w="679" w:type="dxa"/>
            <w:tcBorders>
              <w:left w:val="single" w:sz="4" w:space="0" w:color="FFFFFF"/>
              <w:right w:val="single" w:sz="8" w:space="0" w:color="000000"/>
            </w:tcBorders>
            <w:shd w:val="clear" w:color="auto" w:fill="67ED4D"/>
          </w:tcPr>
          <w:p>
            <w:pPr>
              <w:pStyle w:val="TableParagraph"/>
              <w:spacing w:before="5"/>
              <w:ind w:left="21"/>
              <w:rPr>
                <w:sz w:val="12"/>
              </w:rPr>
            </w:pPr>
            <w:r>
              <w:rPr>
                <w:w w:val="104"/>
                <w:sz w:val="12"/>
              </w:rPr>
              <w:t>1</w:t>
            </w:r>
          </w:p>
        </w:tc>
      </w:tr>
      <w:tr>
        <w:trPr>
          <w:trHeight w:val="157" w:hRule="exact"/>
        </w:trPr>
        <w:tc>
          <w:tcPr>
            <w:tcW w:w="652" w:type="dxa"/>
            <w:vMerge/>
            <w:tcBorders>
              <w:left w:val="single" w:sz="4" w:space="0" w:color="000000"/>
            </w:tcBorders>
          </w:tcPr>
          <w:p>
            <w:pPr/>
          </w:p>
        </w:tc>
        <w:tc>
          <w:tcPr>
            <w:tcW w:w="2164" w:type="dxa"/>
            <w:vMerge/>
          </w:tcPr>
          <w:p>
            <w:pPr/>
          </w:p>
        </w:tc>
        <w:tc>
          <w:tcPr>
            <w:tcW w:w="2084" w:type="dxa"/>
            <w:vMerge/>
          </w:tcPr>
          <w:p>
            <w:pPr/>
          </w:p>
        </w:tc>
        <w:tc>
          <w:tcPr>
            <w:tcW w:w="1680" w:type="dxa"/>
            <w:vMerge/>
          </w:tcPr>
          <w:p>
            <w:pPr/>
          </w:p>
        </w:tc>
        <w:tc>
          <w:tcPr>
            <w:tcW w:w="882" w:type="dxa"/>
            <w:vMerge/>
          </w:tcPr>
          <w:p>
            <w:pPr/>
          </w:p>
        </w:tc>
        <w:tc>
          <w:tcPr>
            <w:tcW w:w="681" w:type="dxa"/>
            <w:tcBorders>
              <w:right w:val="single" w:sz="4" w:space="0" w:color="FFFFFF"/>
            </w:tcBorders>
            <w:shd w:val="clear" w:color="auto" w:fill="FFFF00"/>
          </w:tcPr>
          <w:p>
            <w:pPr>
              <w:pStyle w:val="TableParagraph"/>
              <w:spacing w:before="5"/>
              <w:ind w:left="51" w:right="30"/>
              <w:rPr>
                <w:sz w:val="12"/>
              </w:rPr>
            </w:pPr>
            <w:r>
              <w:rPr>
                <w:w w:val="105"/>
                <w:sz w:val="12"/>
              </w:rPr>
              <w:t>0.9</w:t>
            </w:r>
          </w:p>
        </w:tc>
        <w:tc>
          <w:tcPr>
            <w:tcW w:w="679" w:type="dxa"/>
            <w:tcBorders>
              <w:left w:val="single" w:sz="4" w:space="0" w:color="FFFFFF"/>
              <w:right w:val="single" w:sz="8" w:space="0" w:color="000000"/>
            </w:tcBorders>
            <w:shd w:val="clear" w:color="auto" w:fill="67ED4D"/>
          </w:tcPr>
          <w:p>
            <w:pPr>
              <w:pStyle w:val="TableParagraph"/>
              <w:spacing w:before="5"/>
              <w:ind w:left="21"/>
              <w:rPr>
                <w:sz w:val="12"/>
              </w:rPr>
            </w:pPr>
            <w:r>
              <w:rPr>
                <w:w w:val="104"/>
                <w:sz w:val="12"/>
              </w:rPr>
              <w:t>1</w:t>
            </w:r>
          </w:p>
        </w:tc>
      </w:tr>
      <w:tr>
        <w:trPr>
          <w:trHeight w:val="157" w:hRule="exact"/>
        </w:trPr>
        <w:tc>
          <w:tcPr>
            <w:tcW w:w="652" w:type="dxa"/>
            <w:vMerge/>
            <w:tcBorders>
              <w:left w:val="single" w:sz="4" w:space="0" w:color="000000"/>
            </w:tcBorders>
          </w:tcPr>
          <w:p>
            <w:pPr/>
          </w:p>
        </w:tc>
        <w:tc>
          <w:tcPr>
            <w:tcW w:w="2164" w:type="dxa"/>
            <w:vMerge/>
          </w:tcPr>
          <w:p>
            <w:pPr/>
          </w:p>
        </w:tc>
        <w:tc>
          <w:tcPr>
            <w:tcW w:w="2084" w:type="dxa"/>
            <w:vMerge/>
          </w:tcPr>
          <w:p>
            <w:pPr/>
          </w:p>
        </w:tc>
        <w:tc>
          <w:tcPr>
            <w:tcW w:w="1680" w:type="dxa"/>
            <w:vMerge/>
          </w:tcPr>
          <w:p>
            <w:pPr/>
          </w:p>
        </w:tc>
        <w:tc>
          <w:tcPr>
            <w:tcW w:w="882" w:type="dxa"/>
            <w:vMerge/>
          </w:tcPr>
          <w:p>
            <w:pPr/>
          </w:p>
        </w:tc>
        <w:tc>
          <w:tcPr>
            <w:tcW w:w="681" w:type="dxa"/>
            <w:tcBorders>
              <w:right w:val="single" w:sz="4" w:space="0" w:color="FFFFFF"/>
            </w:tcBorders>
            <w:shd w:val="clear" w:color="auto" w:fill="FFFF00"/>
          </w:tcPr>
          <w:p>
            <w:pPr>
              <w:pStyle w:val="TableParagraph"/>
              <w:spacing w:before="5"/>
              <w:ind w:left="51" w:right="30"/>
              <w:rPr>
                <w:sz w:val="12"/>
              </w:rPr>
            </w:pPr>
            <w:r>
              <w:rPr>
                <w:w w:val="105"/>
                <w:sz w:val="12"/>
              </w:rPr>
              <w:t>0.8</w:t>
            </w:r>
          </w:p>
        </w:tc>
        <w:tc>
          <w:tcPr>
            <w:tcW w:w="679" w:type="dxa"/>
            <w:tcBorders>
              <w:left w:val="single" w:sz="4" w:space="0" w:color="FFFFFF"/>
              <w:right w:val="single" w:sz="8" w:space="0" w:color="000000"/>
            </w:tcBorders>
            <w:shd w:val="clear" w:color="auto" w:fill="67ED4D"/>
          </w:tcPr>
          <w:p>
            <w:pPr>
              <w:pStyle w:val="TableParagraph"/>
              <w:spacing w:before="5"/>
              <w:ind w:left="21"/>
              <w:rPr>
                <w:sz w:val="12"/>
              </w:rPr>
            </w:pPr>
            <w:r>
              <w:rPr>
                <w:w w:val="104"/>
                <w:sz w:val="12"/>
              </w:rPr>
              <w:t>1</w:t>
            </w:r>
          </w:p>
        </w:tc>
      </w:tr>
      <w:tr>
        <w:trPr>
          <w:trHeight w:val="157" w:hRule="exact"/>
        </w:trPr>
        <w:tc>
          <w:tcPr>
            <w:tcW w:w="652" w:type="dxa"/>
            <w:vMerge/>
            <w:tcBorders>
              <w:left w:val="single" w:sz="4" w:space="0" w:color="000000"/>
            </w:tcBorders>
          </w:tcPr>
          <w:p>
            <w:pPr/>
          </w:p>
        </w:tc>
        <w:tc>
          <w:tcPr>
            <w:tcW w:w="2164" w:type="dxa"/>
            <w:vMerge/>
          </w:tcPr>
          <w:p>
            <w:pPr/>
          </w:p>
        </w:tc>
        <w:tc>
          <w:tcPr>
            <w:tcW w:w="2084" w:type="dxa"/>
            <w:vMerge/>
          </w:tcPr>
          <w:p>
            <w:pPr/>
          </w:p>
        </w:tc>
        <w:tc>
          <w:tcPr>
            <w:tcW w:w="1680" w:type="dxa"/>
            <w:vMerge/>
          </w:tcPr>
          <w:p>
            <w:pPr/>
          </w:p>
        </w:tc>
        <w:tc>
          <w:tcPr>
            <w:tcW w:w="882" w:type="dxa"/>
            <w:vMerge/>
          </w:tcPr>
          <w:p>
            <w:pPr/>
          </w:p>
        </w:tc>
        <w:tc>
          <w:tcPr>
            <w:tcW w:w="681" w:type="dxa"/>
            <w:tcBorders>
              <w:right w:val="single" w:sz="4" w:space="0" w:color="FFFFFF"/>
            </w:tcBorders>
            <w:shd w:val="clear" w:color="auto" w:fill="FFFF00"/>
          </w:tcPr>
          <w:p>
            <w:pPr>
              <w:pStyle w:val="TableParagraph"/>
              <w:spacing w:before="5"/>
              <w:ind w:left="51" w:right="30"/>
              <w:rPr>
                <w:sz w:val="12"/>
              </w:rPr>
            </w:pPr>
            <w:r>
              <w:rPr>
                <w:w w:val="105"/>
                <w:sz w:val="12"/>
              </w:rPr>
              <w:t>0.5</w:t>
            </w:r>
          </w:p>
        </w:tc>
        <w:tc>
          <w:tcPr>
            <w:tcW w:w="679" w:type="dxa"/>
            <w:tcBorders>
              <w:left w:val="single" w:sz="4" w:space="0" w:color="FFFFFF"/>
              <w:right w:val="single" w:sz="8" w:space="0" w:color="000000"/>
            </w:tcBorders>
            <w:shd w:val="clear" w:color="auto" w:fill="67ED4D"/>
          </w:tcPr>
          <w:p>
            <w:pPr>
              <w:pStyle w:val="TableParagraph"/>
              <w:spacing w:before="5"/>
              <w:ind w:left="21"/>
              <w:rPr>
                <w:sz w:val="12"/>
              </w:rPr>
            </w:pPr>
            <w:r>
              <w:rPr>
                <w:w w:val="104"/>
                <w:sz w:val="12"/>
              </w:rPr>
              <w:t>1</w:t>
            </w:r>
          </w:p>
        </w:tc>
      </w:tr>
      <w:tr>
        <w:trPr>
          <w:trHeight w:val="165" w:hRule="exact"/>
        </w:trPr>
        <w:tc>
          <w:tcPr>
            <w:tcW w:w="652" w:type="dxa"/>
            <w:vMerge/>
            <w:tcBorders>
              <w:left w:val="single" w:sz="4" w:space="0" w:color="000000"/>
            </w:tcBorders>
          </w:tcPr>
          <w:p>
            <w:pPr/>
          </w:p>
        </w:tc>
        <w:tc>
          <w:tcPr>
            <w:tcW w:w="2164" w:type="dxa"/>
            <w:vMerge/>
          </w:tcPr>
          <w:p>
            <w:pPr/>
          </w:p>
        </w:tc>
        <w:tc>
          <w:tcPr>
            <w:tcW w:w="2084" w:type="dxa"/>
            <w:vMerge/>
          </w:tcPr>
          <w:p>
            <w:pPr/>
          </w:p>
        </w:tc>
        <w:tc>
          <w:tcPr>
            <w:tcW w:w="1680" w:type="dxa"/>
            <w:vMerge/>
          </w:tcPr>
          <w:p>
            <w:pPr/>
          </w:p>
        </w:tc>
        <w:tc>
          <w:tcPr>
            <w:tcW w:w="882" w:type="dxa"/>
            <w:vMerge/>
          </w:tcPr>
          <w:p>
            <w:pPr/>
          </w:p>
        </w:tc>
        <w:tc>
          <w:tcPr>
            <w:tcW w:w="681" w:type="dxa"/>
            <w:tcBorders>
              <w:right w:val="single" w:sz="4" w:space="0" w:color="FFFFFF"/>
            </w:tcBorders>
            <w:shd w:val="clear" w:color="auto" w:fill="FFFF00"/>
          </w:tcPr>
          <w:p>
            <w:pPr>
              <w:pStyle w:val="TableParagraph"/>
              <w:spacing w:before="5"/>
              <w:ind w:left="51" w:right="30"/>
              <w:rPr>
                <w:sz w:val="12"/>
              </w:rPr>
            </w:pPr>
            <w:r>
              <w:rPr>
                <w:w w:val="105"/>
                <w:sz w:val="12"/>
              </w:rPr>
              <w:t>2.9</w:t>
            </w:r>
          </w:p>
        </w:tc>
        <w:tc>
          <w:tcPr>
            <w:tcW w:w="679" w:type="dxa"/>
            <w:tcBorders>
              <w:left w:val="single" w:sz="4" w:space="0" w:color="FFFFFF"/>
              <w:right w:val="single" w:sz="8" w:space="0" w:color="000000"/>
            </w:tcBorders>
            <w:shd w:val="clear" w:color="auto" w:fill="67ED4D"/>
          </w:tcPr>
          <w:p>
            <w:pPr>
              <w:pStyle w:val="TableParagraph"/>
              <w:spacing w:before="5"/>
              <w:ind w:left="21"/>
              <w:rPr>
                <w:sz w:val="12"/>
              </w:rPr>
            </w:pPr>
            <w:r>
              <w:rPr>
                <w:w w:val="104"/>
                <w:sz w:val="12"/>
              </w:rPr>
              <w:t>4</w:t>
            </w:r>
          </w:p>
        </w:tc>
      </w:tr>
      <w:tr>
        <w:trPr>
          <w:trHeight w:val="147" w:hRule="exact"/>
        </w:trPr>
        <w:tc>
          <w:tcPr>
            <w:tcW w:w="8821" w:type="dxa"/>
            <w:gridSpan w:val="7"/>
            <w:tcBorders>
              <w:left w:val="single" w:sz="4" w:space="0" w:color="000000"/>
              <w:right w:val="single" w:sz="8" w:space="0" w:color="000000"/>
            </w:tcBorders>
          </w:tcPr>
          <w:p>
            <w:pPr/>
          </w:p>
        </w:tc>
      </w:tr>
      <w:tr>
        <w:trPr>
          <w:trHeight w:val="160" w:hRule="exact"/>
        </w:trPr>
        <w:tc>
          <w:tcPr>
            <w:tcW w:w="652" w:type="dxa"/>
            <w:tcBorders>
              <w:left w:val="single" w:sz="4" w:space="0" w:color="000000"/>
            </w:tcBorders>
          </w:tcPr>
          <w:p>
            <w:pPr/>
          </w:p>
        </w:tc>
        <w:tc>
          <w:tcPr>
            <w:tcW w:w="2164" w:type="dxa"/>
          </w:tcPr>
          <w:p>
            <w:pPr/>
          </w:p>
        </w:tc>
        <w:tc>
          <w:tcPr>
            <w:tcW w:w="2084" w:type="dxa"/>
          </w:tcPr>
          <w:p>
            <w:pPr>
              <w:pStyle w:val="TableParagraph"/>
              <w:spacing w:before="7"/>
              <w:ind w:left="34" w:right="564"/>
              <w:jc w:val="left"/>
              <w:rPr>
                <w:sz w:val="12"/>
              </w:rPr>
            </w:pPr>
            <w:r>
              <w:rPr>
                <w:w w:val="105"/>
                <w:sz w:val="12"/>
              </w:rPr>
              <w:t>Empleo</w:t>
            </w:r>
          </w:p>
        </w:tc>
        <w:tc>
          <w:tcPr>
            <w:tcW w:w="1680" w:type="dxa"/>
          </w:tcPr>
          <w:p>
            <w:pPr>
              <w:pStyle w:val="TableParagraph"/>
              <w:spacing w:before="7"/>
              <w:ind w:left="786" w:right="180"/>
              <w:rPr>
                <w:sz w:val="12"/>
              </w:rPr>
            </w:pPr>
            <w:r>
              <w:rPr>
                <w:w w:val="105"/>
                <w:sz w:val="12"/>
              </w:rPr>
              <w:t>0.6</w:t>
            </w:r>
          </w:p>
        </w:tc>
        <w:tc>
          <w:tcPr>
            <w:tcW w:w="882" w:type="dxa"/>
          </w:tcPr>
          <w:p>
            <w:pPr/>
          </w:p>
        </w:tc>
        <w:tc>
          <w:tcPr>
            <w:tcW w:w="681" w:type="dxa"/>
          </w:tcPr>
          <w:p>
            <w:pPr>
              <w:pStyle w:val="TableParagraph"/>
              <w:spacing w:before="7"/>
              <w:ind w:left="240" w:right="224"/>
              <w:rPr>
                <w:sz w:val="12"/>
              </w:rPr>
            </w:pPr>
            <w:r>
              <w:rPr>
                <w:w w:val="105"/>
                <w:sz w:val="12"/>
              </w:rPr>
              <w:t>0.8</w:t>
            </w:r>
          </w:p>
        </w:tc>
        <w:tc>
          <w:tcPr>
            <w:tcW w:w="679" w:type="dxa"/>
            <w:tcBorders>
              <w:right w:val="single" w:sz="8" w:space="0" w:color="000000"/>
            </w:tcBorders>
            <w:shd w:val="clear" w:color="auto" w:fill="67ED4D"/>
          </w:tcPr>
          <w:p>
            <w:pPr>
              <w:pStyle w:val="TableParagraph"/>
              <w:spacing w:before="7"/>
              <w:ind w:left="26"/>
              <w:rPr>
                <w:sz w:val="12"/>
              </w:rPr>
            </w:pPr>
            <w:r>
              <w:rPr>
                <w:w w:val="104"/>
                <w:sz w:val="12"/>
              </w:rPr>
              <w:t>1</w:t>
            </w:r>
          </w:p>
        </w:tc>
      </w:tr>
      <w:tr>
        <w:trPr>
          <w:trHeight w:val="157" w:hRule="exact"/>
        </w:trPr>
        <w:tc>
          <w:tcPr>
            <w:tcW w:w="652" w:type="dxa"/>
            <w:tcBorders>
              <w:left w:val="single" w:sz="4" w:space="0" w:color="000000"/>
            </w:tcBorders>
          </w:tcPr>
          <w:p>
            <w:pPr/>
          </w:p>
        </w:tc>
        <w:tc>
          <w:tcPr>
            <w:tcW w:w="2164" w:type="dxa"/>
          </w:tcPr>
          <w:p>
            <w:pPr/>
          </w:p>
        </w:tc>
        <w:tc>
          <w:tcPr>
            <w:tcW w:w="2084" w:type="dxa"/>
          </w:tcPr>
          <w:p>
            <w:pPr>
              <w:pStyle w:val="TableParagraph"/>
              <w:spacing w:before="5"/>
              <w:ind w:left="34" w:right="564"/>
              <w:jc w:val="left"/>
              <w:rPr>
                <w:sz w:val="12"/>
              </w:rPr>
            </w:pPr>
            <w:r>
              <w:rPr>
                <w:w w:val="105"/>
                <w:sz w:val="12"/>
              </w:rPr>
              <w:t>Educación</w:t>
            </w:r>
          </w:p>
        </w:tc>
        <w:tc>
          <w:tcPr>
            <w:tcW w:w="1680" w:type="dxa"/>
          </w:tcPr>
          <w:p>
            <w:pPr>
              <w:pStyle w:val="TableParagraph"/>
              <w:spacing w:before="5"/>
              <w:ind w:left="786" w:right="180"/>
              <w:rPr>
                <w:sz w:val="12"/>
              </w:rPr>
            </w:pPr>
            <w:r>
              <w:rPr>
                <w:w w:val="105"/>
                <w:sz w:val="12"/>
              </w:rPr>
              <w:t>0.7</w:t>
            </w:r>
          </w:p>
        </w:tc>
        <w:tc>
          <w:tcPr>
            <w:tcW w:w="882" w:type="dxa"/>
          </w:tcPr>
          <w:p>
            <w:pPr/>
          </w:p>
        </w:tc>
        <w:tc>
          <w:tcPr>
            <w:tcW w:w="681" w:type="dxa"/>
          </w:tcPr>
          <w:p>
            <w:pPr>
              <w:pStyle w:val="TableParagraph"/>
              <w:spacing w:before="5"/>
              <w:ind w:left="240" w:right="224"/>
              <w:rPr>
                <w:sz w:val="12"/>
              </w:rPr>
            </w:pPr>
            <w:r>
              <w:rPr>
                <w:w w:val="105"/>
                <w:sz w:val="12"/>
              </w:rPr>
              <w:t>0.7</w:t>
            </w:r>
          </w:p>
        </w:tc>
        <w:tc>
          <w:tcPr>
            <w:tcW w:w="679" w:type="dxa"/>
            <w:tcBorders>
              <w:right w:val="single" w:sz="8" w:space="0" w:color="000000"/>
            </w:tcBorders>
            <w:shd w:val="clear" w:color="auto" w:fill="67ED4D"/>
          </w:tcPr>
          <w:p>
            <w:pPr>
              <w:pStyle w:val="TableParagraph"/>
              <w:spacing w:before="5"/>
              <w:ind w:left="26"/>
              <w:rPr>
                <w:sz w:val="12"/>
              </w:rPr>
            </w:pPr>
            <w:r>
              <w:rPr>
                <w:w w:val="104"/>
                <w:sz w:val="12"/>
              </w:rPr>
              <w:t>1</w:t>
            </w:r>
          </w:p>
        </w:tc>
      </w:tr>
      <w:tr>
        <w:trPr>
          <w:trHeight w:val="157" w:hRule="exact"/>
        </w:trPr>
        <w:tc>
          <w:tcPr>
            <w:tcW w:w="652" w:type="dxa"/>
            <w:tcBorders>
              <w:left w:val="single" w:sz="4" w:space="0" w:color="000000"/>
            </w:tcBorders>
          </w:tcPr>
          <w:p>
            <w:pPr/>
          </w:p>
        </w:tc>
        <w:tc>
          <w:tcPr>
            <w:tcW w:w="2164" w:type="dxa"/>
          </w:tcPr>
          <w:p>
            <w:pPr/>
          </w:p>
        </w:tc>
        <w:tc>
          <w:tcPr>
            <w:tcW w:w="2084" w:type="dxa"/>
          </w:tcPr>
          <w:p>
            <w:pPr>
              <w:pStyle w:val="TableParagraph"/>
              <w:spacing w:before="5"/>
              <w:ind w:left="34" w:right="564"/>
              <w:jc w:val="left"/>
              <w:rPr>
                <w:sz w:val="12"/>
              </w:rPr>
            </w:pPr>
            <w:r>
              <w:rPr>
                <w:w w:val="105"/>
                <w:sz w:val="12"/>
              </w:rPr>
              <w:t>Salud</w:t>
            </w:r>
          </w:p>
        </w:tc>
        <w:tc>
          <w:tcPr>
            <w:tcW w:w="1680" w:type="dxa"/>
          </w:tcPr>
          <w:p>
            <w:pPr>
              <w:pStyle w:val="TableParagraph"/>
              <w:spacing w:before="5"/>
              <w:ind w:left="786" w:right="180"/>
              <w:rPr>
                <w:sz w:val="12"/>
              </w:rPr>
            </w:pPr>
            <w:r>
              <w:rPr>
                <w:w w:val="105"/>
                <w:sz w:val="12"/>
              </w:rPr>
              <w:t>0.7</w:t>
            </w:r>
          </w:p>
        </w:tc>
        <w:tc>
          <w:tcPr>
            <w:tcW w:w="882" w:type="dxa"/>
          </w:tcPr>
          <w:p>
            <w:pPr/>
          </w:p>
        </w:tc>
        <w:tc>
          <w:tcPr>
            <w:tcW w:w="681" w:type="dxa"/>
          </w:tcPr>
          <w:p>
            <w:pPr>
              <w:pStyle w:val="TableParagraph"/>
              <w:spacing w:before="5"/>
              <w:ind w:left="240" w:right="224"/>
              <w:rPr>
                <w:sz w:val="12"/>
              </w:rPr>
            </w:pPr>
            <w:r>
              <w:rPr>
                <w:w w:val="105"/>
                <w:sz w:val="12"/>
              </w:rPr>
              <w:t>0.9</w:t>
            </w:r>
          </w:p>
        </w:tc>
        <w:tc>
          <w:tcPr>
            <w:tcW w:w="679" w:type="dxa"/>
            <w:tcBorders>
              <w:right w:val="single" w:sz="8" w:space="0" w:color="000000"/>
            </w:tcBorders>
            <w:shd w:val="clear" w:color="auto" w:fill="67ED4D"/>
          </w:tcPr>
          <w:p>
            <w:pPr>
              <w:pStyle w:val="TableParagraph"/>
              <w:spacing w:before="5"/>
              <w:ind w:left="26"/>
              <w:rPr>
                <w:sz w:val="12"/>
              </w:rPr>
            </w:pPr>
            <w:r>
              <w:rPr>
                <w:w w:val="104"/>
                <w:sz w:val="12"/>
              </w:rPr>
              <w:t>1</w:t>
            </w:r>
          </w:p>
        </w:tc>
      </w:tr>
      <w:tr>
        <w:trPr>
          <w:trHeight w:val="314" w:hRule="exact"/>
        </w:trPr>
        <w:tc>
          <w:tcPr>
            <w:tcW w:w="652" w:type="dxa"/>
            <w:tcBorders>
              <w:left w:val="single" w:sz="4" w:space="0" w:color="000000"/>
            </w:tcBorders>
          </w:tcPr>
          <w:p>
            <w:pPr/>
          </w:p>
        </w:tc>
        <w:tc>
          <w:tcPr>
            <w:tcW w:w="2164" w:type="dxa"/>
          </w:tcPr>
          <w:p>
            <w:pPr>
              <w:pStyle w:val="TableParagraph"/>
              <w:spacing w:before="78"/>
              <w:ind w:left="106"/>
              <w:jc w:val="left"/>
              <w:rPr>
                <w:sz w:val="12"/>
              </w:rPr>
            </w:pPr>
            <w:r>
              <w:rPr>
                <w:w w:val="105"/>
                <w:sz w:val="12"/>
              </w:rPr>
              <w:t>Oportunidades urbanas</w:t>
            </w:r>
          </w:p>
        </w:tc>
        <w:tc>
          <w:tcPr>
            <w:tcW w:w="2084" w:type="dxa"/>
          </w:tcPr>
          <w:p>
            <w:pPr>
              <w:pStyle w:val="TableParagraph"/>
              <w:spacing w:line="273" w:lineRule="auto" w:before="5"/>
              <w:ind w:left="34" w:right="1130"/>
              <w:jc w:val="left"/>
              <w:rPr>
                <w:sz w:val="12"/>
              </w:rPr>
            </w:pPr>
            <w:r>
              <w:rPr>
                <w:sz w:val="12"/>
              </w:rPr>
              <w:t>Seguridad </w:t>
            </w:r>
            <w:r>
              <w:rPr>
                <w:w w:val="105"/>
                <w:sz w:val="12"/>
              </w:rPr>
              <w:t>Abasto</w:t>
            </w:r>
          </w:p>
        </w:tc>
        <w:tc>
          <w:tcPr>
            <w:tcW w:w="1680" w:type="dxa"/>
          </w:tcPr>
          <w:p>
            <w:pPr>
              <w:pStyle w:val="TableParagraph"/>
              <w:spacing w:before="5"/>
              <w:ind w:left="1055"/>
              <w:jc w:val="left"/>
              <w:rPr>
                <w:sz w:val="12"/>
              </w:rPr>
            </w:pPr>
            <w:r>
              <w:rPr>
                <w:w w:val="105"/>
                <w:sz w:val="12"/>
              </w:rPr>
              <w:t>0.9</w:t>
            </w:r>
          </w:p>
          <w:p>
            <w:pPr>
              <w:pStyle w:val="TableParagraph"/>
              <w:spacing w:before="19"/>
              <w:ind w:left="1055"/>
              <w:jc w:val="left"/>
              <w:rPr>
                <w:sz w:val="12"/>
              </w:rPr>
            </w:pPr>
            <w:r>
              <w:rPr>
                <w:w w:val="105"/>
                <w:sz w:val="12"/>
              </w:rPr>
              <w:t>0.9</w:t>
            </w:r>
          </w:p>
        </w:tc>
        <w:tc>
          <w:tcPr>
            <w:tcW w:w="882" w:type="dxa"/>
          </w:tcPr>
          <w:p>
            <w:pPr/>
          </w:p>
        </w:tc>
        <w:tc>
          <w:tcPr>
            <w:tcW w:w="681" w:type="dxa"/>
          </w:tcPr>
          <w:p>
            <w:pPr>
              <w:pStyle w:val="TableParagraph"/>
              <w:spacing w:before="5"/>
              <w:ind w:left="240" w:right="224"/>
              <w:rPr>
                <w:sz w:val="12"/>
              </w:rPr>
            </w:pPr>
            <w:r>
              <w:rPr>
                <w:w w:val="105"/>
                <w:sz w:val="12"/>
              </w:rPr>
              <w:t>0.9</w:t>
            </w:r>
          </w:p>
          <w:p>
            <w:pPr>
              <w:pStyle w:val="TableParagraph"/>
              <w:spacing w:before="19"/>
              <w:ind w:left="240" w:right="224"/>
              <w:rPr>
                <w:sz w:val="12"/>
              </w:rPr>
            </w:pPr>
            <w:r>
              <w:rPr>
                <w:w w:val="105"/>
                <w:sz w:val="12"/>
              </w:rPr>
              <w:t>0.9</w:t>
            </w:r>
          </w:p>
        </w:tc>
        <w:tc>
          <w:tcPr>
            <w:tcW w:w="679" w:type="dxa"/>
            <w:tcBorders>
              <w:right w:val="single" w:sz="8" w:space="0" w:color="000000"/>
            </w:tcBorders>
            <w:shd w:val="clear" w:color="auto" w:fill="67ED4D"/>
          </w:tcPr>
          <w:p>
            <w:pPr>
              <w:pStyle w:val="TableParagraph"/>
              <w:spacing w:before="5"/>
              <w:ind w:left="26"/>
              <w:rPr>
                <w:sz w:val="12"/>
              </w:rPr>
            </w:pPr>
            <w:r>
              <w:rPr>
                <w:w w:val="104"/>
                <w:sz w:val="12"/>
              </w:rPr>
              <w:t>1</w:t>
            </w:r>
          </w:p>
          <w:p>
            <w:pPr>
              <w:pStyle w:val="TableParagraph"/>
              <w:spacing w:before="19"/>
              <w:ind w:left="26"/>
              <w:rPr>
                <w:sz w:val="12"/>
              </w:rPr>
            </w:pPr>
            <w:r>
              <w:rPr>
                <w:w w:val="104"/>
                <w:sz w:val="12"/>
              </w:rPr>
              <w:t>1</w:t>
            </w:r>
          </w:p>
        </w:tc>
      </w:tr>
      <w:tr>
        <w:trPr>
          <w:trHeight w:val="157" w:hRule="exact"/>
        </w:trPr>
        <w:tc>
          <w:tcPr>
            <w:tcW w:w="652" w:type="dxa"/>
            <w:tcBorders>
              <w:left w:val="single" w:sz="4" w:space="0" w:color="000000"/>
            </w:tcBorders>
          </w:tcPr>
          <w:p>
            <w:pPr/>
          </w:p>
        </w:tc>
        <w:tc>
          <w:tcPr>
            <w:tcW w:w="2164" w:type="dxa"/>
          </w:tcPr>
          <w:p>
            <w:pPr/>
          </w:p>
        </w:tc>
        <w:tc>
          <w:tcPr>
            <w:tcW w:w="2084" w:type="dxa"/>
          </w:tcPr>
          <w:p>
            <w:pPr>
              <w:pStyle w:val="TableParagraph"/>
              <w:spacing w:before="5"/>
              <w:ind w:left="34" w:right="564"/>
              <w:jc w:val="left"/>
              <w:rPr>
                <w:sz w:val="12"/>
              </w:rPr>
            </w:pPr>
            <w:r>
              <w:rPr>
                <w:w w:val="105"/>
                <w:sz w:val="12"/>
              </w:rPr>
              <w:t>Transporte</w:t>
            </w:r>
          </w:p>
        </w:tc>
        <w:tc>
          <w:tcPr>
            <w:tcW w:w="1680" w:type="dxa"/>
          </w:tcPr>
          <w:p>
            <w:pPr>
              <w:pStyle w:val="TableParagraph"/>
              <w:spacing w:before="5"/>
              <w:ind w:left="786" w:right="180"/>
              <w:rPr>
                <w:sz w:val="12"/>
              </w:rPr>
            </w:pPr>
            <w:r>
              <w:rPr>
                <w:w w:val="105"/>
                <w:sz w:val="12"/>
              </w:rPr>
              <w:t>0.6</w:t>
            </w:r>
          </w:p>
        </w:tc>
        <w:tc>
          <w:tcPr>
            <w:tcW w:w="882" w:type="dxa"/>
          </w:tcPr>
          <w:p>
            <w:pPr/>
          </w:p>
        </w:tc>
        <w:tc>
          <w:tcPr>
            <w:tcW w:w="681" w:type="dxa"/>
          </w:tcPr>
          <w:p>
            <w:pPr>
              <w:pStyle w:val="TableParagraph"/>
              <w:spacing w:before="5"/>
              <w:ind w:left="240" w:right="224"/>
              <w:rPr>
                <w:sz w:val="12"/>
              </w:rPr>
            </w:pPr>
            <w:r>
              <w:rPr>
                <w:w w:val="105"/>
                <w:sz w:val="12"/>
              </w:rPr>
              <w:t>0.6</w:t>
            </w:r>
          </w:p>
        </w:tc>
        <w:tc>
          <w:tcPr>
            <w:tcW w:w="679" w:type="dxa"/>
            <w:tcBorders>
              <w:right w:val="single" w:sz="8" w:space="0" w:color="000000"/>
            </w:tcBorders>
            <w:shd w:val="clear" w:color="auto" w:fill="67ED4D"/>
          </w:tcPr>
          <w:p>
            <w:pPr>
              <w:pStyle w:val="TableParagraph"/>
              <w:spacing w:before="5"/>
              <w:ind w:left="26"/>
              <w:rPr>
                <w:sz w:val="12"/>
              </w:rPr>
            </w:pPr>
            <w:r>
              <w:rPr>
                <w:w w:val="104"/>
                <w:sz w:val="12"/>
              </w:rPr>
              <w:t>1</w:t>
            </w:r>
          </w:p>
        </w:tc>
      </w:tr>
      <w:tr>
        <w:trPr>
          <w:trHeight w:val="157" w:hRule="exact"/>
        </w:trPr>
        <w:tc>
          <w:tcPr>
            <w:tcW w:w="652" w:type="dxa"/>
            <w:tcBorders>
              <w:left w:val="single" w:sz="4" w:space="0" w:color="000000"/>
            </w:tcBorders>
          </w:tcPr>
          <w:p>
            <w:pPr>
              <w:pStyle w:val="TableParagraph"/>
              <w:spacing w:before="5"/>
              <w:ind w:right="114"/>
              <w:jc w:val="right"/>
              <w:rPr>
                <w:sz w:val="12"/>
              </w:rPr>
            </w:pPr>
            <w:r>
              <w:rPr>
                <w:sz w:val="12"/>
              </w:rPr>
              <w:t>Social</w:t>
            </w:r>
          </w:p>
        </w:tc>
        <w:tc>
          <w:tcPr>
            <w:tcW w:w="2164" w:type="dxa"/>
          </w:tcPr>
          <w:p>
            <w:pPr/>
          </w:p>
        </w:tc>
        <w:tc>
          <w:tcPr>
            <w:tcW w:w="2084" w:type="dxa"/>
          </w:tcPr>
          <w:p>
            <w:pPr>
              <w:pStyle w:val="TableParagraph"/>
              <w:spacing w:before="5"/>
              <w:ind w:left="34" w:right="564"/>
              <w:jc w:val="left"/>
              <w:rPr>
                <w:sz w:val="12"/>
              </w:rPr>
            </w:pPr>
            <w:r>
              <w:rPr>
                <w:w w:val="105"/>
                <w:sz w:val="12"/>
              </w:rPr>
              <w:t>Recreación</w:t>
            </w:r>
          </w:p>
        </w:tc>
        <w:tc>
          <w:tcPr>
            <w:tcW w:w="1680" w:type="dxa"/>
          </w:tcPr>
          <w:p>
            <w:pPr>
              <w:pStyle w:val="TableParagraph"/>
              <w:spacing w:before="5"/>
              <w:ind w:left="786" w:right="180"/>
              <w:rPr>
                <w:sz w:val="12"/>
              </w:rPr>
            </w:pPr>
            <w:r>
              <w:rPr>
                <w:w w:val="105"/>
                <w:sz w:val="12"/>
              </w:rPr>
              <w:t>0.9</w:t>
            </w:r>
          </w:p>
        </w:tc>
        <w:tc>
          <w:tcPr>
            <w:tcW w:w="882" w:type="dxa"/>
          </w:tcPr>
          <w:p>
            <w:pPr/>
          </w:p>
        </w:tc>
        <w:tc>
          <w:tcPr>
            <w:tcW w:w="681" w:type="dxa"/>
          </w:tcPr>
          <w:p>
            <w:pPr>
              <w:pStyle w:val="TableParagraph"/>
              <w:spacing w:before="5"/>
              <w:ind w:left="240" w:right="224"/>
              <w:rPr>
                <w:sz w:val="12"/>
              </w:rPr>
            </w:pPr>
            <w:r>
              <w:rPr>
                <w:w w:val="105"/>
                <w:sz w:val="12"/>
              </w:rPr>
              <w:t>0.8</w:t>
            </w:r>
          </w:p>
        </w:tc>
        <w:tc>
          <w:tcPr>
            <w:tcW w:w="679" w:type="dxa"/>
            <w:tcBorders>
              <w:right w:val="single" w:sz="8" w:space="0" w:color="000000"/>
            </w:tcBorders>
            <w:shd w:val="clear" w:color="auto" w:fill="67ED4D"/>
          </w:tcPr>
          <w:p>
            <w:pPr>
              <w:pStyle w:val="TableParagraph"/>
              <w:spacing w:before="5"/>
              <w:ind w:left="26"/>
              <w:rPr>
                <w:sz w:val="12"/>
              </w:rPr>
            </w:pPr>
            <w:r>
              <w:rPr>
                <w:w w:val="104"/>
                <w:sz w:val="12"/>
              </w:rPr>
              <w:t>1</w:t>
            </w:r>
          </w:p>
        </w:tc>
      </w:tr>
      <w:tr>
        <w:trPr>
          <w:trHeight w:val="157" w:hRule="exact"/>
        </w:trPr>
        <w:tc>
          <w:tcPr>
            <w:tcW w:w="652" w:type="dxa"/>
            <w:tcBorders>
              <w:left w:val="single" w:sz="4" w:space="0" w:color="000000"/>
            </w:tcBorders>
          </w:tcPr>
          <w:p>
            <w:pPr/>
          </w:p>
        </w:tc>
        <w:tc>
          <w:tcPr>
            <w:tcW w:w="2164" w:type="dxa"/>
          </w:tcPr>
          <w:p>
            <w:pPr/>
          </w:p>
        </w:tc>
        <w:tc>
          <w:tcPr>
            <w:tcW w:w="2084" w:type="dxa"/>
          </w:tcPr>
          <w:p>
            <w:pPr>
              <w:pStyle w:val="TableParagraph"/>
              <w:spacing w:before="5"/>
              <w:ind w:left="34" w:right="564"/>
              <w:jc w:val="left"/>
              <w:rPr>
                <w:sz w:val="12"/>
              </w:rPr>
            </w:pPr>
            <w:r>
              <w:rPr>
                <w:w w:val="105"/>
                <w:sz w:val="12"/>
              </w:rPr>
              <w:t>Servicios especializados</w:t>
            </w:r>
          </w:p>
        </w:tc>
        <w:tc>
          <w:tcPr>
            <w:tcW w:w="1680" w:type="dxa"/>
          </w:tcPr>
          <w:p>
            <w:pPr>
              <w:pStyle w:val="TableParagraph"/>
              <w:spacing w:before="5"/>
              <w:ind w:left="786" w:right="180"/>
              <w:rPr>
                <w:sz w:val="12"/>
              </w:rPr>
            </w:pPr>
            <w:r>
              <w:rPr>
                <w:w w:val="105"/>
                <w:sz w:val="12"/>
              </w:rPr>
              <w:t>0.6</w:t>
            </w:r>
          </w:p>
        </w:tc>
        <w:tc>
          <w:tcPr>
            <w:tcW w:w="882" w:type="dxa"/>
          </w:tcPr>
          <w:p>
            <w:pPr/>
          </w:p>
        </w:tc>
        <w:tc>
          <w:tcPr>
            <w:tcW w:w="681" w:type="dxa"/>
          </w:tcPr>
          <w:p>
            <w:pPr>
              <w:pStyle w:val="TableParagraph"/>
              <w:spacing w:before="5"/>
              <w:ind w:left="240" w:right="224"/>
              <w:rPr>
                <w:sz w:val="12"/>
              </w:rPr>
            </w:pPr>
            <w:r>
              <w:rPr>
                <w:w w:val="105"/>
                <w:sz w:val="12"/>
              </w:rPr>
              <w:t>0.7</w:t>
            </w:r>
          </w:p>
        </w:tc>
        <w:tc>
          <w:tcPr>
            <w:tcW w:w="679" w:type="dxa"/>
            <w:tcBorders>
              <w:right w:val="single" w:sz="8" w:space="0" w:color="000000"/>
            </w:tcBorders>
            <w:shd w:val="clear" w:color="auto" w:fill="67ED4D"/>
          </w:tcPr>
          <w:p>
            <w:pPr>
              <w:pStyle w:val="TableParagraph"/>
              <w:spacing w:before="5"/>
              <w:ind w:left="26"/>
              <w:rPr>
                <w:sz w:val="12"/>
              </w:rPr>
            </w:pPr>
            <w:r>
              <w:rPr>
                <w:w w:val="104"/>
                <w:sz w:val="12"/>
              </w:rPr>
              <w:t>1</w:t>
            </w:r>
          </w:p>
        </w:tc>
      </w:tr>
      <w:tr>
        <w:trPr>
          <w:trHeight w:val="165" w:hRule="exact"/>
        </w:trPr>
        <w:tc>
          <w:tcPr>
            <w:tcW w:w="652" w:type="dxa"/>
            <w:tcBorders>
              <w:left w:val="single" w:sz="4" w:space="0" w:color="000000"/>
            </w:tcBorders>
          </w:tcPr>
          <w:p>
            <w:pPr/>
          </w:p>
        </w:tc>
        <w:tc>
          <w:tcPr>
            <w:tcW w:w="2164" w:type="dxa"/>
          </w:tcPr>
          <w:p>
            <w:pPr/>
          </w:p>
        </w:tc>
        <w:tc>
          <w:tcPr>
            <w:tcW w:w="2084" w:type="dxa"/>
          </w:tcPr>
          <w:p>
            <w:pPr/>
          </w:p>
        </w:tc>
        <w:tc>
          <w:tcPr>
            <w:tcW w:w="1680" w:type="dxa"/>
          </w:tcPr>
          <w:p>
            <w:pPr>
              <w:pStyle w:val="TableParagraph"/>
              <w:spacing w:before="5"/>
              <w:ind w:left="779" w:right="180"/>
              <w:rPr>
                <w:sz w:val="12"/>
              </w:rPr>
            </w:pPr>
            <w:r>
              <w:rPr>
                <w:w w:val="105"/>
                <w:sz w:val="12"/>
              </w:rPr>
              <w:t>Subtotal</w:t>
            </w:r>
          </w:p>
        </w:tc>
        <w:tc>
          <w:tcPr>
            <w:tcW w:w="882" w:type="dxa"/>
          </w:tcPr>
          <w:p>
            <w:pPr>
              <w:pStyle w:val="TableParagraph"/>
              <w:tabs>
                <w:tab w:pos="463" w:val="left" w:leader="none"/>
                <w:tab w:pos="892" w:val="left" w:leader="none"/>
              </w:tabs>
              <w:spacing w:before="5"/>
              <w:ind w:left="202" w:right="-11"/>
              <w:jc w:val="left"/>
              <w:rPr>
                <w:sz w:val="12"/>
              </w:rPr>
            </w:pPr>
            <w:r>
              <w:rPr>
                <w:w w:val="104"/>
                <w:sz w:val="12"/>
                <w:shd w:fill="F79646" w:color="auto" w:val="clear"/>
              </w:rPr>
              <w:t> </w:t>
            </w:r>
            <w:r>
              <w:rPr>
                <w:sz w:val="12"/>
                <w:shd w:fill="F79646" w:color="auto" w:val="clear"/>
              </w:rPr>
              <w:tab/>
            </w:r>
            <w:r>
              <w:rPr>
                <w:w w:val="105"/>
                <w:sz w:val="12"/>
                <w:shd w:fill="F79646" w:color="auto" w:val="clear"/>
              </w:rPr>
              <w:t>5.9</w:t>
            </w:r>
            <w:r>
              <w:rPr>
                <w:sz w:val="12"/>
                <w:shd w:fill="F79646" w:color="auto" w:val="clear"/>
              </w:rPr>
              <w:tab/>
            </w:r>
          </w:p>
        </w:tc>
        <w:tc>
          <w:tcPr>
            <w:tcW w:w="681" w:type="dxa"/>
          </w:tcPr>
          <w:p>
            <w:pPr>
              <w:pStyle w:val="TableParagraph"/>
              <w:spacing w:before="5"/>
              <w:ind w:left="240" w:right="224"/>
              <w:rPr>
                <w:sz w:val="12"/>
              </w:rPr>
            </w:pPr>
            <w:r>
              <w:rPr>
                <w:w w:val="105"/>
                <w:sz w:val="12"/>
              </w:rPr>
              <w:t>6.3</w:t>
            </w:r>
          </w:p>
        </w:tc>
        <w:tc>
          <w:tcPr>
            <w:tcW w:w="679" w:type="dxa"/>
            <w:tcBorders>
              <w:right w:val="single" w:sz="8" w:space="0" w:color="000000"/>
            </w:tcBorders>
            <w:shd w:val="clear" w:color="auto" w:fill="67ED4D"/>
          </w:tcPr>
          <w:p>
            <w:pPr>
              <w:pStyle w:val="TableParagraph"/>
              <w:spacing w:before="5"/>
              <w:ind w:left="26"/>
              <w:rPr>
                <w:sz w:val="12"/>
              </w:rPr>
            </w:pPr>
            <w:r>
              <w:rPr>
                <w:w w:val="104"/>
                <w:sz w:val="12"/>
              </w:rPr>
              <w:t>8</w:t>
            </w:r>
          </w:p>
        </w:tc>
      </w:tr>
      <w:tr>
        <w:trPr>
          <w:trHeight w:val="147" w:hRule="exact"/>
        </w:trPr>
        <w:tc>
          <w:tcPr>
            <w:tcW w:w="8821" w:type="dxa"/>
            <w:gridSpan w:val="7"/>
            <w:tcBorders>
              <w:left w:val="single" w:sz="4" w:space="0" w:color="000000"/>
              <w:right w:val="single" w:sz="8" w:space="0" w:color="000000"/>
            </w:tcBorders>
          </w:tcPr>
          <w:p>
            <w:pPr/>
          </w:p>
        </w:tc>
      </w:tr>
      <w:tr>
        <w:trPr>
          <w:trHeight w:val="160" w:hRule="exact"/>
        </w:trPr>
        <w:tc>
          <w:tcPr>
            <w:tcW w:w="652" w:type="dxa"/>
            <w:tcBorders>
              <w:left w:val="single" w:sz="4" w:space="0" w:color="000000"/>
            </w:tcBorders>
          </w:tcPr>
          <w:p>
            <w:pPr/>
          </w:p>
        </w:tc>
        <w:tc>
          <w:tcPr>
            <w:tcW w:w="2164" w:type="dxa"/>
          </w:tcPr>
          <w:p>
            <w:pPr>
              <w:pStyle w:val="TableParagraph"/>
              <w:spacing w:before="7"/>
              <w:ind w:left="106"/>
              <w:jc w:val="left"/>
              <w:rPr>
                <w:sz w:val="12"/>
              </w:rPr>
            </w:pPr>
            <w:r>
              <w:rPr>
                <w:w w:val="105"/>
                <w:sz w:val="12"/>
              </w:rPr>
              <w:t>Organización vecinal</w:t>
            </w:r>
          </w:p>
        </w:tc>
        <w:tc>
          <w:tcPr>
            <w:tcW w:w="2084" w:type="dxa"/>
          </w:tcPr>
          <w:p>
            <w:pPr>
              <w:pStyle w:val="TableParagraph"/>
              <w:spacing w:before="7"/>
              <w:ind w:left="34" w:right="564"/>
              <w:jc w:val="left"/>
              <w:rPr>
                <w:sz w:val="12"/>
              </w:rPr>
            </w:pPr>
            <w:r>
              <w:rPr>
                <w:w w:val="105"/>
                <w:sz w:val="12"/>
              </w:rPr>
              <w:t>Administración ciudadana</w:t>
            </w:r>
          </w:p>
        </w:tc>
        <w:tc>
          <w:tcPr>
            <w:tcW w:w="1680" w:type="dxa"/>
          </w:tcPr>
          <w:p>
            <w:pPr>
              <w:pStyle w:val="TableParagraph"/>
              <w:tabs>
                <w:tab w:pos="1055" w:val="left" w:leader="none"/>
                <w:tab w:pos="1892" w:val="left" w:leader="none"/>
              </w:tabs>
              <w:spacing w:before="7"/>
              <w:ind w:left="396" w:right="-213"/>
              <w:rPr>
                <w:sz w:val="12"/>
              </w:rPr>
            </w:pPr>
            <w:r>
              <w:rPr>
                <w:w w:val="104"/>
                <w:sz w:val="12"/>
                <w:shd w:fill="BAF9F5" w:color="auto" w:val="clear"/>
              </w:rPr>
              <w:t> </w:t>
            </w:r>
            <w:r>
              <w:rPr>
                <w:sz w:val="12"/>
                <w:shd w:fill="BAF9F5" w:color="auto" w:val="clear"/>
              </w:rPr>
              <w:tab/>
            </w:r>
            <w:r>
              <w:rPr>
                <w:w w:val="105"/>
                <w:sz w:val="12"/>
                <w:shd w:fill="BAF9F5" w:color="auto" w:val="clear"/>
              </w:rPr>
              <w:t>0.8</w:t>
            </w:r>
            <w:r>
              <w:rPr>
                <w:sz w:val="12"/>
                <w:shd w:fill="BAF9F5" w:color="auto" w:val="clear"/>
              </w:rPr>
              <w:tab/>
            </w:r>
          </w:p>
        </w:tc>
        <w:tc>
          <w:tcPr>
            <w:tcW w:w="882" w:type="dxa"/>
          </w:tcPr>
          <w:p>
            <w:pPr/>
          </w:p>
        </w:tc>
        <w:tc>
          <w:tcPr>
            <w:tcW w:w="681" w:type="dxa"/>
          </w:tcPr>
          <w:p>
            <w:pPr>
              <w:pStyle w:val="TableParagraph"/>
              <w:spacing w:before="7"/>
              <w:ind w:left="240" w:right="224"/>
              <w:rPr>
                <w:sz w:val="12"/>
              </w:rPr>
            </w:pPr>
            <w:r>
              <w:rPr>
                <w:w w:val="105"/>
                <w:sz w:val="12"/>
              </w:rPr>
              <w:t>0.8</w:t>
            </w:r>
          </w:p>
        </w:tc>
        <w:tc>
          <w:tcPr>
            <w:tcW w:w="679" w:type="dxa"/>
            <w:tcBorders>
              <w:right w:val="single" w:sz="8" w:space="0" w:color="000000"/>
            </w:tcBorders>
            <w:shd w:val="clear" w:color="auto" w:fill="67ED4D"/>
          </w:tcPr>
          <w:p>
            <w:pPr>
              <w:pStyle w:val="TableParagraph"/>
              <w:spacing w:before="7"/>
              <w:ind w:left="26"/>
              <w:rPr>
                <w:sz w:val="12"/>
              </w:rPr>
            </w:pPr>
            <w:r>
              <w:rPr>
                <w:w w:val="104"/>
                <w:sz w:val="12"/>
              </w:rPr>
              <w:t>1</w:t>
            </w:r>
          </w:p>
        </w:tc>
      </w:tr>
      <w:tr>
        <w:trPr>
          <w:trHeight w:val="165" w:hRule="exact"/>
        </w:trPr>
        <w:tc>
          <w:tcPr>
            <w:tcW w:w="652" w:type="dxa"/>
            <w:tcBorders>
              <w:left w:val="single" w:sz="4" w:space="0" w:color="000000"/>
            </w:tcBorders>
          </w:tcPr>
          <w:p>
            <w:pPr/>
          </w:p>
        </w:tc>
        <w:tc>
          <w:tcPr>
            <w:tcW w:w="2164" w:type="dxa"/>
          </w:tcPr>
          <w:p>
            <w:pPr/>
          </w:p>
        </w:tc>
        <w:tc>
          <w:tcPr>
            <w:tcW w:w="2084" w:type="dxa"/>
          </w:tcPr>
          <w:p>
            <w:pPr/>
          </w:p>
        </w:tc>
        <w:tc>
          <w:tcPr>
            <w:tcW w:w="1680" w:type="dxa"/>
          </w:tcPr>
          <w:p>
            <w:pPr>
              <w:pStyle w:val="TableParagraph"/>
              <w:spacing w:before="5"/>
              <w:ind w:left="779" w:right="180"/>
              <w:rPr>
                <w:sz w:val="12"/>
              </w:rPr>
            </w:pPr>
            <w:r>
              <w:rPr>
                <w:w w:val="105"/>
                <w:sz w:val="12"/>
              </w:rPr>
              <w:t>Subtotal</w:t>
            </w:r>
          </w:p>
        </w:tc>
        <w:tc>
          <w:tcPr>
            <w:tcW w:w="882" w:type="dxa"/>
          </w:tcPr>
          <w:p>
            <w:pPr>
              <w:pStyle w:val="TableParagraph"/>
              <w:tabs>
                <w:tab w:pos="463" w:val="left" w:leader="none"/>
                <w:tab w:pos="892" w:val="left" w:leader="none"/>
              </w:tabs>
              <w:spacing w:before="5"/>
              <w:ind w:left="202" w:right="-11"/>
              <w:jc w:val="left"/>
              <w:rPr>
                <w:sz w:val="12"/>
              </w:rPr>
            </w:pPr>
            <w:r>
              <w:rPr>
                <w:w w:val="104"/>
                <w:sz w:val="12"/>
                <w:shd w:fill="F79646" w:color="auto" w:val="clear"/>
              </w:rPr>
              <w:t> </w:t>
            </w:r>
            <w:r>
              <w:rPr>
                <w:sz w:val="12"/>
                <w:shd w:fill="F79646" w:color="auto" w:val="clear"/>
              </w:rPr>
              <w:tab/>
            </w:r>
            <w:r>
              <w:rPr>
                <w:w w:val="105"/>
                <w:sz w:val="12"/>
                <w:shd w:fill="F79646" w:color="auto" w:val="clear"/>
              </w:rPr>
              <w:t>0.8</w:t>
            </w:r>
            <w:r>
              <w:rPr>
                <w:sz w:val="12"/>
                <w:shd w:fill="F79646" w:color="auto" w:val="clear"/>
              </w:rPr>
              <w:tab/>
            </w:r>
          </w:p>
        </w:tc>
        <w:tc>
          <w:tcPr>
            <w:tcW w:w="681" w:type="dxa"/>
          </w:tcPr>
          <w:p>
            <w:pPr>
              <w:pStyle w:val="TableParagraph"/>
              <w:spacing w:before="5"/>
              <w:ind w:left="240" w:right="224"/>
              <w:rPr>
                <w:sz w:val="12"/>
              </w:rPr>
            </w:pPr>
            <w:r>
              <w:rPr>
                <w:w w:val="105"/>
                <w:sz w:val="12"/>
              </w:rPr>
              <w:t>0.8</w:t>
            </w:r>
          </w:p>
        </w:tc>
        <w:tc>
          <w:tcPr>
            <w:tcW w:w="679" w:type="dxa"/>
            <w:tcBorders>
              <w:right w:val="single" w:sz="8" w:space="0" w:color="000000"/>
            </w:tcBorders>
            <w:shd w:val="clear" w:color="auto" w:fill="67ED4D"/>
          </w:tcPr>
          <w:p>
            <w:pPr>
              <w:pStyle w:val="TableParagraph"/>
              <w:spacing w:before="5"/>
              <w:ind w:left="26"/>
              <w:rPr>
                <w:sz w:val="12"/>
              </w:rPr>
            </w:pPr>
            <w:r>
              <w:rPr>
                <w:w w:val="104"/>
                <w:sz w:val="12"/>
              </w:rPr>
              <w:t>1</w:t>
            </w:r>
          </w:p>
        </w:tc>
      </w:tr>
      <w:tr>
        <w:trPr>
          <w:trHeight w:val="147" w:hRule="exact"/>
        </w:trPr>
        <w:tc>
          <w:tcPr>
            <w:tcW w:w="8821" w:type="dxa"/>
            <w:gridSpan w:val="7"/>
            <w:tcBorders>
              <w:left w:val="single" w:sz="4" w:space="0" w:color="000000"/>
              <w:right w:val="single" w:sz="8" w:space="0" w:color="000000"/>
            </w:tcBorders>
          </w:tcPr>
          <w:p>
            <w:pPr/>
          </w:p>
        </w:tc>
      </w:tr>
      <w:tr>
        <w:trPr>
          <w:trHeight w:val="160" w:hRule="exact"/>
        </w:trPr>
        <w:tc>
          <w:tcPr>
            <w:tcW w:w="652" w:type="dxa"/>
            <w:tcBorders>
              <w:left w:val="single" w:sz="4" w:space="0" w:color="000000"/>
            </w:tcBorders>
          </w:tcPr>
          <w:p>
            <w:pPr/>
          </w:p>
        </w:tc>
        <w:tc>
          <w:tcPr>
            <w:tcW w:w="2164" w:type="dxa"/>
          </w:tcPr>
          <w:p>
            <w:pPr>
              <w:pStyle w:val="TableParagraph"/>
              <w:spacing w:before="7"/>
              <w:ind w:left="106"/>
              <w:jc w:val="left"/>
              <w:rPr>
                <w:sz w:val="12"/>
              </w:rPr>
            </w:pPr>
            <w:r>
              <w:rPr>
                <w:w w:val="105"/>
                <w:sz w:val="12"/>
              </w:rPr>
              <w:t>Índice de satisfacción del acreditado</w:t>
            </w:r>
          </w:p>
        </w:tc>
        <w:tc>
          <w:tcPr>
            <w:tcW w:w="2084" w:type="dxa"/>
          </w:tcPr>
          <w:p>
            <w:pPr>
              <w:pStyle w:val="TableParagraph"/>
              <w:spacing w:before="7"/>
              <w:ind w:left="34" w:right="564"/>
              <w:jc w:val="left"/>
              <w:rPr>
                <w:sz w:val="12"/>
              </w:rPr>
            </w:pPr>
            <w:r>
              <w:rPr>
                <w:w w:val="105"/>
                <w:sz w:val="12"/>
              </w:rPr>
              <w:t>Infonavit</w:t>
            </w:r>
          </w:p>
        </w:tc>
        <w:tc>
          <w:tcPr>
            <w:tcW w:w="1680" w:type="dxa"/>
          </w:tcPr>
          <w:p>
            <w:pPr>
              <w:pStyle w:val="TableParagraph"/>
              <w:tabs>
                <w:tab w:pos="1055" w:val="left" w:leader="none"/>
                <w:tab w:pos="1892" w:val="left" w:leader="none"/>
              </w:tabs>
              <w:spacing w:before="7"/>
              <w:ind w:left="396" w:right="-213"/>
              <w:rPr>
                <w:sz w:val="12"/>
              </w:rPr>
            </w:pPr>
            <w:r>
              <w:rPr>
                <w:w w:val="104"/>
                <w:sz w:val="12"/>
                <w:shd w:fill="BAF9F5" w:color="auto" w:val="clear"/>
              </w:rPr>
              <w:t> </w:t>
            </w:r>
            <w:r>
              <w:rPr>
                <w:sz w:val="12"/>
                <w:shd w:fill="BAF9F5" w:color="auto" w:val="clear"/>
              </w:rPr>
              <w:tab/>
            </w:r>
            <w:r>
              <w:rPr>
                <w:w w:val="105"/>
                <w:sz w:val="12"/>
                <w:shd w:fill="BAF9F5" w:color="auto" w:val="clear"/>
              </w:rPr>
              <w:t>0.7</w:t>
            </w:r>
            <w:r>
              <w:rPr>
                <w:sz w:val="12"/>
                <w:shd w:fill="BAF9F5" w:color="auto" w:val="clear"/>
              </w:rPr>
              <w:tab/>
            </w:r>
          </w:p>
        </w:tc>
        <w:tc>
          <w:tcPr>
            <w:tcW w:w="882" w:type="dxa"/>
          </w:tcPr>
          <w:p>
            <w:pPr/>
          </w:p>
        </w:tc>
        <w:tc>
          <w:tcPr>
            <w:tcW w:w="681" w:type="dxa"/>
          </w:tcPr>
          <w:p>
            <w:pPr>
              <w:pStyle w:val="TableParagraph"/>
              <w:spacing w:before="7"/>
              <w:ind w:left="240" w:right="224"/>
              <w:rPr>
                <w:sz w:val="12"/>
              </w:rPr>
            </w:pPr>
            <w:r>
              <w:rPr>
                <w:w w:val="105"/>
                <w:sz w:val="12"/>
              </w:rPr>
              <w:t>0.7</w:t>
            </w:r>
          </w:p>
        </w:tc>
        <w:tc>
          <w:tcPr>
            <w:tcW w:w="679" w:type="dxa"/>
            <w:tcBorders>
              <w:right w:val="single" w:sz="8" w:space="0" w:color="000000"/>
            </w:tcBorders>
            <w:shd w:val="clear" w:color="auto" w:fill="67ED4D"/>
          </w:tcPr>
          <w:p>
            <w:pPr>
              <w:pStyle w:val="TableParagraph"/>
              <w:spacing w:before="7"/>
              <w:ind w:left="26"/>
              <w:rPr>
                <w:sz w:val="12"/>
              </w:rPr>
            </w:pPr>
            <w:r>
              <w:rPr>
                <w:w w:val="104"/>
                <w:sz w:val="12"/>
              </w:rPr>
              <w:t>1</w:t>
            </w:r>
          </w:p>
        </w:tc>
      </w:tr>
      <w:tr>
        <w:trPr>
          <w:trHeight w:val="165" w:hRule="exact"/>
        </w:trPr>
        <w:tc>
          <w:tcPr>
            <w:tcW w:w="652" w:type="dxa"/>
            <w:tcBorders>
              <w:left w:val="single" w:sz="4" w:space="0" w:color="000000"/>
            </w:tcBorders>
          </w:tcPr>
          <w:p>
            <w:pPr/>
          </w:p>
        </w:tc>
        <w:tc>
          <w:tcPr>
            <w:tcW w:w="2164" w:type="dxa"/>
          </w:tcPr>
          <w:p>
            <w:pPr/>
          </w:p>
        </w:tc>
        <w:tc>
          <w:tcPr>
            <w:tcW w:w="2084" w:type="dxa"/>
          </w:tcPr>
          <w:p>
            <w:pPr/>
          </w:p>
        </w:tc>
        <w:tc>
          <w:tcPr>
            <w:tcW w:w="1680" w:type="dxa"/>
          </w:tcPr>
          <w:p>
            <w:pPr>
              <w:pStyle w:val="TableParagraph"/>
              <w:spacing w:before="5"/>
              <w:ind w:left="779" w:right="180"/>
              <w:rPr>
                <w:sz w:val="12"/>
              </w:rPr>
            </w:pPr>
            <w:r>
              <w:rPr>
                <w:w w:val="105"/>
                <w:sz w:val="12"/>
              </w:rPr>
              <w:t>Subtotal</w:t>
            </w:r>
          </w:p>
        </w:tc>
        <w:tc>
          <w:tcPr>
            <w:tcW w:w="882" w:type="dxa"/>
          </w:tcPr>
          <w:p>
            <w:pPr>
              <w:pStyle w:val="TableParagraph"/>
              <w:tabs>
                <w:tab w:pos="463" w:val="left" w:leader="none"/>
                <w:tab w:pos="892" w:val="left" w:leader="none"/>
              </w:tabs>
              <w:spacing w:before="5"/>
              <w:ind w:left="202" w:right="-11"/>
              <w:jc w:val="left"/>
              <w:rPr>
                <w:sz w:val="12"/>
              </w:rPr>
            </w:pPr>
            <w:r>
              <w:rPr>
                <w:w w:val="104"/>
                <w:sz w:val="12"/>
                <w:shd w:fill="F79646" w:color="auto" w:val="clear"/>
              </w:rPr>
              <w:t> </w:t>
            </w:r>
            <w:r>
              <w:rPr>
                <w:sz w:val="12"/>
                <w:shd w:fill="F79646" w:color="auto" w:val="clear"/>
              </w:rPr>
              <w:tab/>
            </w:r>
            <w:r>
              <w:rPr>
                <w:w w:val="105"/>
                <w:sz w:val="12"/>
                <w:shd w:fill="F79646" w:color="auto" w:val="clear"/>
              </w:rPr>
              <w:t>0.7</w:t>
            </w:r>
            <w:r>
              <w:rPr>
                <w:sz w:val="12"/>
                <w:shd w:fill="F79646" w:color="auto" w:val="clear"/>
              </w:rPr>
              <w:tab/>
            </w:r>
          </w:p>
        </w:tc>
        <w:tc>
          <w:tcPr>
            <w:tcW w:w="681" w:type="dxa"/>
          </w:tcPr>
          <w:p>
            <w:pPr>
              <w:pStyle w:val="TableParagraph"/>
              <w:spacing w:before="5"/>
              <w:ind w:left="240" w:right="224"/>
              <w:rPr>
                <w:sz w:val="12"/>
              </w:rPr>
            </w:pPr>
            <w:r>
              <w:rPr>
                <w:w w:val="105"/>
                <w:sz w:val="12"/>
              </w:rPr>
              <w:t>0.7</w:t>
            </w:r>
          </w:p>
        </w:tc>
        <w:tc>
          <w:tcPr>
            <w:tcW w:w="679" w:type="dxa"/>
            <w:tcBorders>
              <w:right w:val="single" w:sz="8" w:space="0" w:color="000000"/>
            </w:tcBorders>
            <w:shd w:val="clear" w:color="auto" w:fill="67ED4D"/>
          </w:tcPr>
          <w:p>
            <w:pPr>
              <w:pStyle w:val="TableParagraph"/>
              <w:spacing w:before="5"/>
              <w:ind w:left="26"/>
              <w:rPr>
                <w:sz w:val="12"/>
              </w:rPr>
            </w:pPr>
            <w:r>
              <w:rPr>
                <w:w w:val="104"/>
                <w:sz w:val="12"/>
              </w:rPr>
              <w:t>1</w:t>
            </w:r>
          </w:p>
        </w:tc>
      </w:tr>
      <w:tr>
        <w:trPr>
          <w:trHeight w:val="147" w:hRule="exact"/>
        </w:trPr>
        <w:tc>
          <w:tcPr>
            <w:tcW w:w="8821" w:type="dxa"/>
            <w:gridSpan w:val="7"/>
            <w:tcBorders>
              <w:left w:val="single" w:sz="4" w:space="0" w:color="000000"/>
              <w:right w:val="single" w:sz="8" w:space="0" w:color="000000"/>
            </w:tcBorders>
          </w:tcPr>
          <w:p>
            <w:pPr/>
          </w:p>
        </w:tc>
      </w:tr>
      <w:tr>
        <w:trPr>
          <w:trHeight w:val="160" w:hRule="exact"/>
        </w:trPr>
        <w:tc>
          <w:tcPr>
            <w:tcW w:w="652" w:type="dxa"/>
            <w:tcBorders>
              <w:left w:val="single" w:sz="4" w:space="0" w:color="000000"/>
            </w:tcBorders>
          </w:tcPr>
          <w:p>
            <w:pPr/>
          </w:p>
        </w:tc>
        <w:tc>
          <w:tcPr>
            <w:tcW w:w="2164" w:type="dxa"/>
          </w:tcPr>
          <w:p>
            <w:pPr>
              <w:pStyle w:val="TableParagraph"/>
              <w:spacing w:before="7"/>
              <w:ind w:left="106"/>
              <w:jc w:val="left"/>
              <w:rPr>
                <w:sz w:val="12"/>
              </w:rPr>
            </w:pPr>
            <w:r>
              <w:rPr>
                <w:w w:val="105"/>
                <w:sz w:val="12"/>
              </w:rPr>
              <w:t>Índice de satisfacción residencial</w:t>
            </w:r>
          </w:p>
        </w:tc>
        <w:tc>
          <w:tcPr>
            <w:tcW w:w="2084" w:type="dxa"/>
          </w:tcPr>
          <w:p>
            <w:pPr>
              <w:pStyle w:val="TableParagraph"/>
              <w:spacing w:before="7"/>
              <w:ind w:left="34"/>
              <w:jc w:val="left"/>
              <w:rPr>
                <w:sz w:val="12"/>
              </w:rPr>
            </w:pPr>
            <w:r>
              <w:rPr>
                <w:w w:val="105"/>
                <w:sz w:val="12"/>
              </w:rPr>
              <w:t>Sociedad Hipotecaria Federal</w:t>
            </w:r>
          </w:p>
        </w:tc>
        <w:tc>
          <w:tcPr>
            <w:tcW w:w="1680" w:type="dxa"/>
          </w:tcPr>
          <w:p>
            <w:pPr>
              <w:pStyle w:val="TableParagraph"/>
              <w:tabs>
                <w:tab w:pos="1107" w:val="left" w:leader="none"/>
                <w:tab w:pos="1892" w:val="left" w:leader="none"/>
              </w:tabs>
              <w:spacing w:before="7"/>
              <w:ind w:left="396" w:right="-213"/>
              <w:rPr>
                <w:sz w:val="12"/>
              </w:rPr>
            </w:pPr>
            <w:r>
              <w:rPr>
                <w:w w:val="104"/>
                <w:sz w:val="12"/>
                <w:shd w:fill="BAF9F5" w:color="auto" w:val="clear"/>
              </w:rPr>
              <w:t> </w:t>
            </w:r>
            <w:r>
              <w:rPr>
                <w:sz w:val="12"/>
                <w:shd w:fill="BAF9F5" w:color="auto" w:val="clear"/>
              </w:rPr>
              <w:tab/>
            </w:r>
            <w:r>
              <w:rPr>
                <w:w w:val="105"/>
                <w:sz w:val="12"/>
                <w:shd w:fill="BAF9F5" w:color="auto" w:val="clear"/>
              </w:rPr>
              <w:t>1</w:t>
            </w:r>
            <w:r>
              <w:rPr>
                <w:sz w:val="12"/>
                <w:shd w:fill="BAF9F5" w:color="auto" w:val="clear"/>
              </w:rPr>
              <w:tab/>
            </w:r>
          </w:p>
        </w:tc>
        <w:tc>
          <w:tcPr>
            <w:tcW w:w="882" w:type="dxa"/>
          </w:tcPr>
          <w:p>
            <w:pPr/>
          </w:p>
        </w:tc>
        <w:tc>
          <w:tcPr>
            <w:tcW w:w="681" w:type="dxa"/>
          </w:tcPr>
          <w:p>
            <w:pPr>
              <w:pStyle w:val="TableParagraph"/>
              <w:spacing w:before="7"/>
              <w:ind w:left="240" w:right="224"/>
              <w:rPr>
                <w:sz w:val="12"/>
              </w:rPr>
            </w:pPr>
            <w:r>
              <w:rPr>
                <w:w w:val="105"/>
                <w:sz w:val="12"/>
              </w:rPr>
              <w:t>0.7</w:t>
            </w:r>
          </w:p>
        </w:tc>
        <w:tc>
          <w:tcPr>
            <w:tcW w:w="679" w:type="dxa"/>
            <w:tcBorders>
              <w:right w:val="single" w:sz="8" w:space="0" w:color="000000"/>
            </w:tcBorders>
            <w:shd w:val="clear" w:color="auto" w:fill="67ED4D"/>
          </w:tcPr>
          <w:p>
            <w:pPr>
              <w:pStyle w:val="TableParagraph"/>
              <w:spacing w:before="7"/>
              <w:ind w:left="26"/>
              <w:rPr>
                <w:sz w:val="12"/>
              </w:rPr>
            </w:pPr>
            <w:r>
              <w:rPr>
                <w:w w:val="104"/>
                <w:sz w:val="12"/>
              </w:rPr>
              <w:t>1</w:t>
            </w:r>
          </w:p>
        </w:tc>
      </w:tr>
      <w:tr>
        <w:trPr>
          <w:trHeight w:val="165" w:hRule="exact"/>
        </w:trPr>
        <w:tc>
          <w:tcPr>
            <w:tcW w:w="652" w:type="dxa"/>
            <w:tcBorders>
              <w:left w:val="single" w:sz="4" w:space="0" w:color="000000"/>
            </w:tcBorders>
          </w:tcPr>
          <w:p>
            <w:pPr/>
          </w:p>
        </w:tc>
        <w:tc>
          <w:tcPr>
            <w:tcW w:w="2164" w:type="dxa"/>
          </w:tcPr>
          <w:p>
            <w:pPr/>
          </w:p>
        </w:tc>
        <w:tc>
          <w:tcPr>
            <w:tcW w:w="2084" w:type="dxa"/>
          </w:tcPr>
          <w:p>
            <w:pPr/>
          </w:p>
        </w:tc>
        <w:tc>
          <w:tcPr>
            <w:tcW w:w="1680" w:type="dxa"/>
          </w:tcPr>
          <w:p>
            <w:pPr>
              <w:pStyle w:val="TableParagraph"/>
              <w:spacing w:before="5"/>
              <w:ind w:left="779" w:right="180"/>
              <w:rPr>
                <w:sz w:val="12"/>
              </w:rPr>
            </w:pPr>
            <w:r>
              <w:rPr>
                <w:w w:val="105"/>
                <w:sz w:val="12"/>
              </w:rPr>
              <w:t>Subtotal</w:t>
            </w:r>
          </w:p>
        </w:tc>
        <w:tc>
          <w:tcPr>
            <w:tcW w:w="882" w:type="dxa"/>
          </w:tcPr>
          <w:p>
            <w:pPr>
              <w:pStyle w:val="TableParagraph"/>
              <w:tabs>
                <w:tab w:pos="515" w:val="left" w:leader="none"/>
                <w:tab w:pos="892" w:val="left" w:leader="none"/>
              </w:tabs>
              <w:spacing w:before="5"/>
              <w:ind w:left="202" w:right="-11"/>
              <w:jc w:val="left"/>
              <w:rPr>
                <w:sz w:val="12"/>
              </w:rPr>
            </w:pPr>
            <w:r>
              <w:rPr>
                <w:w w:val="104"/>
                <w:sz w:val="12"/>
                <w:shd w:fill="F79646" w:color="auto" w:val="clear"/>
              </w:rPr>
              <w:t> </w:t>
            </w:r>
            <w:r>
              <w:rPr>
                <w:sz w:val="12"/>
                <w:shd w:fill="F79646" w:color="auto" w:val="clear"/>
              </w:rPr>
              <w:tab/>
            </w:r>
            <w:r>
              <w:rPr>
                <w:w w:val="105"/>
                <w:sz w:val="12"/>
                <w:shd w:fill="F79646" w:color="auto" w:val="clear"/>
              </w:rPr>
              <w:t>1</w:t>
            </w:r>
            <w:r>
              <w:rPr>
                <w:sz w:val="12"/>
                <w:shd w:fill="F79646" w:color="auto" w:val="clear"/>
              </w:rPr>
              <w:tab/>
            </w:r>
          </w:p>
        </w:tc>
        <w:tc>
          <w:tcPr>
            <w:tcW w:w="681" w:type="dxa"/>
          </w:tcPr>
          <w:p>
            <w:pPr>
              <w:pStyle w:val="TableParagraph"/>
              <w:spacing w:before="5"/>
              <w:ind w:left="240" w:right="224"/>
              <w:rPr>
                <w:sz w:val="12"/>
              </w:rPr>
            </w:pPr>
            <w:r>
              <w:rPr>
                <w:w w:val="105"/>
                <w:sz w:val="12"/>
              </w:rPr>
              <w:t>0.7</w:t>
            </w:r>
          </w:p>
        </w:tc>
        <w:tc>
          <w:tcPr>
            <w:tcW w:w="679" w:type="dxa"/>
            <w:tcBorders>
              <w:right w:val="single" w:sz="8" w:space="0" w:color="000000"/>
            </w:tcBorders>
            <w:shd w:val="clear" w:color="auto" w:fill="67ED4D"/>
          </w:tcPr>
          <w:p>
            <w:pPr>
              <w:pStyle w:val="TableParagraph"/>
              <w:spacing w:before="5"/>
              <w:ind w:left="26"/>
              <w:rPr>
                <w:sz w:val="12"/>
              </w:rPr>
            </w:pPr>
            <w:r>
              <w:rPr>
                <w:w w:val="104"/>
                <w:sz w:val="12"/>
              </w:rPr>
              <w:t>1</w:t>
            </w:r>
          </w:p>
        </w:tc>
      </w:tr>
      <w:tr>
        <w:trPr>
          <w:trHeight w:val="471" w:hRule="exact"/>
        </w:trPr>
        <w:tc>
          <w:tcPr>
            <w:tcW w:w="652" w:type="dxa"/>
            <w:tcBorders>
              <w:left w:val="single" w:sz="4" w:space="0" w:color="000000"/>
              <w:bottom w:val="single" w:sz="8" w:space="0" w:color="000000"/>
            </w:tcBorders>
          </w:tcPr>
          <w:p>
            <w:pPr/>
          </w:p>
        </w:tc>
        <w:tc>
          <w:tcPr>
            <w:tcW w:w="2164" w:type="dxa"/>
            <w:tcBorders>
              <w:bottom w:val="single" w:sz="8" w:space="0" w:color="000000"/>
            </w:tcBorders>
          </w:tcPr>
          <w:p>
            <w:pPr/>
          </w:p>
        </w:tc>
        <w:tc>
          <w:tcPr>
            <w:tcW w:w="2084" w:type="dxa"/>
            <w:tcBorders>
              <w:bottom w:val="single" w:sz="8" w:space="0" w:color="000000"/>
            </w:tcBorders>
          </w:tcPr>
          <w:p>
            <w:pPr/>
          </w:p>
        </w:tc>
        <w:tc>
          <w:tcPr>
            <w:tcW w:w="1680" w:type="dxa"/>
            <w:tcBorders>
              <w:bottom w:val="single" w:sz="8" w:space="0" w:color="000000"/>
            </w:tcBorders>
          </w:tcPr>
          <w:p>
            <w:pPr>
              <w:pStyle w:val="TableParagraph"/>
              <w:spacing w:before="4"/>
              <w:jc w:val="left"/>
              <w:rPr>
                <w:sz w:val="13"/>
              </w:rPr>
            </w:pPr>
          </w:p>
          <w:p>
            <w:pPr>
              <w:pStyle w:val="TableParagraph"/>
              <w:spacing w:before="1"/>
              <w:ind w:left="793" w:right="173"/>
              <w:rPr>
                <w:sz w:val="12"/>
              </w:rPr>
            </w:pPr>
            <w:r>
              <w:rPr>
                <w:w w:val="105"/>
                <w:sz w:val="12"/>
              </w:rPr>
              <w:t>Total IS</w:t>
            </w:r>
          </w:p>
        </w:tc>
        <w:tc>
          <w:tcPr>
            <w:tcW w:w="882" w:type="dxa"/>
            <w:tcBorders>
              <w:bottom w:val="single" w:sz="8" w:space="0" w:color="000000"/>
            </w:tcBorders>
          </w:tcPr>
          <w:p>
            <w:pPr>
              <w:pStyle w:val="TableParagraph"/>
              <w:spacing w:before="4"/>
              <w:jc w:val="left"/>
              <w:rPr>
                <w:sz w:val="13"/>
              </w:rPr>
            </w:pPr>
          </w:p>
          <w:p>
            <w:pPr>
              <w:pStyle w:val="TableParagraph"/>
              <w:tabs>
                <w:tab w:pos="892" w:val="left" w:leader="none"/>
              </w:tabs>
              <w:spacing w:before="1"/>
              <w:ind w:left="202" w:right="-11"/>
              <w:jc w:val="left"/>
              <w:rPr>
                <w:sz w:val="12"/>
              </w:rPr>
            </w:pPr>
            <w:r>
              <w:rPr>
                <w:w w:val="104"/>
                <w:sz w:val="12"/>
                <w:shd w:fill="F79646" w:color="auto" w:val="clear"/>
              </w:rPr>
              <w:t> </w:t>
            </w:r>
            <w:r>
              <w:rPr>
                <w:sz w:val="12"/>
                <w:shd w:fill="F79646" w:color="auto" w:val="clear"/>
              </w:rPr>
              <w:t>     </w:t>
            </w:r>
            <w:r>
              <w:rPr>
                <w:spacing w:val="-16"/>
                <w:sz w:val="12"/>
                <w:shd w:fill="F79646" w:color="auto" w:val="clear"/>
              </w:rPr>
              <w:t> </w:t>
            </w:r>
            <w:r>
              <w:rPr>
                <w:w w:val="105"/>
                <w:sz w:val="12"/>
                <w:shd w:fill="F79646" w:color="auto" w:val="clear"/>
              </w:rPr>
              <w:t>12.1</w:t>
            </w:r>
            <w:r>
              <w:rPr>
                <w:sz w:val="12"/>
                <w:shd w:fill="F79646" w:color="auto" w:val="clear"/>
              </w:rPr>
              <w:tab/>
            </w:r>
          </w:p>
        </w:tc>
        <w:tc>
          <w:tcPr>
            <w:tcW w:w="681" w:type="dxa"/>
            <w:tcBorders>
              <w:bottom w:val="single" w:sz="8" w:space="0" w:color="000000"/>
            </w:tcBorders>
          </w:tcPr>
          <w:p>
            <w:pPr>
              <w:pStyle w:val="TableParagraph"/>
              <w:spacing w:before="4"/>
              <w:jc w:val="left"/>
              <w:rPr>
                <w:sz w:val="13"/>
              </w:rPr>
            </w:pPr>
          </w:p>
          <w:p>
            <w:pPr>
              <w:pStyle w:val="TableParagraph"/>
              <w:tabs>
                <w:tab w:pos="690" w:val="left" w:leader="none"/>
              </w:tabs>
              <w:spacing w:before="1"/>
              <w:ind w:right="-10"/>
              <w:rPr>
                <w:sz w:val="12"/>
              </w:rPr>
            </w:pPr>
            <w:r>
              <w:rPr>
                <w:w w:val="104"/>
                <w:sz w:val="12"/>
                <w:shd w:fill="FFFF00" w:color="auto" w:val="clear"/>
              </w:rPr>
              <w:t> </w:t>
            </w:r>
            <w:r>
              <w:rPr>
                <w:sz w:val="12"/>
                <w:shd w:fill="FFFF00" w:color="auto" w:val="clear"/>
              </w:rPr>
              <w:t>     </w:t>
            </w:r>
            <w:r>
              <w:rPr>
                <w:spacing w:val="-5"/>
                <w:sz w:val="12"/>
                <w:shd w:fill="FFFF00" w:color="auto" w:val="clear"/>
              </w:rPr>
              <w:t> </w:t>
            </w:r>
            <w:r>
              <w:rPr>
                <w:spacing w:val="-3"/>
                <w:w w:val="105"/>
                <w:sz w:val="12"/>
                <w:shd w:fill="FFFF00" w:color="auto" w:val="clear"/>
              </w:rPr>
              <w:t>11.4</w:t>
            </w:r>
            <w:r>
              <w:rPr>
                <w:spacing w:val="-3"/>
                <w:sz w:val="12"/>
                <w:shd w:fill="FFFF00" w:color="auto" w:val="clear"/>
              </w:rPr>
              <w:tab/>
            </w:r>
          </w:p>
        </w:tc>
        <w:tc>
          <w:tcPr>
            <w:tcW w:w="679" w:type="dxa"/>
            <w:tcBorders>
              <w:bottom w:val="single" w:sz="8" w:space="0" w:color="000000"/>
              <w:right w:val="single" w:sz="8" w:space="0" w:color="000000"/>
            </w:tcBorders>
          </w:tcPr>
          <w:p>
            <w:pPr>
              <w:pStyle w:val="TableParagraph"/>
              <w:spacing w:before="4"/>
              <w:jc w:val="left"/>
              <w:rPr>
                <w:sz w:val="13"/>
              </w:rPr>
            </w:pPr>
          </w:p>
          <w:p>
            <w:pPr>
              <w:pStyle w:val="TableParagraph"/>
              <w:spacing w:before="1"/>
              <w:ind w:left="250" w:right="237"/>
              <w:rPr>
                <w:sz w:val="12"/>
              </w:rPr>
            </w:pPr>
            <w:r>
              <w:rPr>
                <w:w w:val="105"/>
                <w:sz w:val="12"/>
              </w:rPr>
              <w:t>15</w:t>
            </w:r>
          </w:p>
        </w:tc>
      </w:tr>
    </w:tbl>
    <w:p>
      <w:pPr>
        <w:spacing w:before="128"/>
        <w:ind w:left="268" w:right="0" w:firstLine="0"/>
        <w:jc w:val="left"/>
        <w:rPr>
          <w:sz w:val="21"/>
        </w:rPr>
      </w:pPr>
      <w:r>
        <w:rPr/>
        <w:pict>
          <v:shape style="position:absolute;margin-left:472.650024pt;margin-top:-87.385132pt;width:34.550pt;height:16.25pt;mso-position-horizontal-relative:page;mso-position-vertical-relative:paragraph;z-index:-1132096" coordorigin="9453,-1748" coordsize="691,325" path="m10143,-1748l9453,-1748,9453,-1591,9453,-1580,9453,-1423,10143,-1423,10143,-1580,10143,-1591,10143,-1748e" filled="true" fillcolor="#ffff00" stroked="false">
            <v:path arrowok="t"/>
            <v:fill type="solid"/>
            <w10:wrap type="none"/>
          </v:shape>
        </w:pict>
      </w:r>
      <w:r>
        <w:rPr/>
        <w:pict>
          <v:shape style="position:absolute;margin-left:472.650024pt;margin-top:-63.838131pt;width:34.550pt;height:16.25pt;mso-position-horizontal-relative:page;mso-position-vertical-relative:paragraph;z-index:-1132072" coordorigin="9453,-1277" coordsize="691,325" path="m10143,-1277l9453,-1277,9453,-1120,9453,-1109,9453,-952,10143,-952,10143,-1109,10143,-1120,10143,-1277e" filled="true" fillcolor="#ffff00" stroked="false">
            <v:path arrowok="t"/>
            <v:fill type="solid"/>
            <w10:wrap type="none"/>
          </v:shape>
        </w:pict>
      </w:r>
      <w:r>
        <w:rPr/>
        <w:pict>
          <v:shape style="position:absolute;margin-left:472.650024pt;margin-top:-40.291130pt;width:34.550pt;height:16.25pt;mso-position-horizontal-relative:page;mso-position-vertical-relative:paragraph;z-index:-1132048" coordorigin="9453,-806" coordsize="691,325" path="m10143,-806l9453,-806,9453,-649,9453,-638,9453,-481,10143,-481,10143,-638,10143,-649,10143,-806e" filled="true" fillcolor="#ffff00" stroked="false">
            <v:path arrowok="t"/>
            <v:fill type="solid"/>
            <w10:wrap type="none"/>
          </v:shape>
        </w:pict>
      </w:r>
      <w:r>
        <w:rPr/>
        <w:pict>
          <v:rect style="position:absolute;margin-left:506.635986pt;margin-top:-16.744371pt;width:34.5086pt;height:8.372250pt;mso-position-horizontal-relative:page;mso-position-vertical-relative:paragraph;z-index:-1132024" filled="true" fillcolor="#67ed4d"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rPr>
          <w:sz w:val="20"/>
        </w:rPr>
      </w:pPr>
    </w:p>
    <w:p>
      <w:pPr>
        <w:pStyle w:val="BodyText"/>
        <w:rPr>
          <w:sz w:val="20"/>
        </w:rPr>
      </w:pPr>
    </w:p>
    <w:p>
      <w:pPr>
        <w:pStyle w:val="BodyText"/>
        <w:spacing w:before="5"/>
      </w:pPr>
    </w:p>
    <w:p>
      <w:pPr>
        <w:pStyle w:val="BodyText"/>
        <w:spacing w:before="69" w:after="14"/>
        <w:ind w:left="268"/>
      </w:pPr>
      <w:r>
        <w:rPr/>
        <w:pict>
          <v:line style="position:absolute;mso-position-horizontal-relative:page;mso-position-vertical-relative:paragraph;z-index:26032" from="93.199997pt,-46.254108pt" to="546.799997pt,-46.254108pt" stroked="true" strokeweight=".479981pt" strokecolor="#000000">
            <w10:wrap type="none"/>
          </v:line>
        </w:pict>
      </w:r>
      <w:r>
        <w:rPr/>
        <w:pict>
          <v:group style="position:absolute;margin-left:364.434509pt;margin-top:54.79216pt;width:74.8pt;height:40.3pt;mso-position-horizontal-relative:page;mso-position-vertical-relative:paragraph;z-index:-1131976" coordorigin="7289,1096" coordsize="1496,806">
            <v:line style="position:absolute" from="7294,1101" to="7294,1269" stroked="true" strokeweight=".523pt" strokecolor="#baf9f5"/>
            <v:shape style="position:absolute;left:7299;top:1101;width:1486;height:638" coordorigin="7299,1101" coordsize="1486,638" path="m8784,1426l7299,1426,7299,1582,7299,1739,8784,1739,8784,1582,8784,1426m8784,1101l7299,1101,7299,1258,7299,1269,7299,1426,8784,1426,8784,1269,8784,1258,8784,1101e" filled="true" fillcolor="#baf9f5" stroked="false">
              <v:path arrowok="t"/>
              <v:fill type="solid"/>
            </v:shape>
            <v:line style="position:absolute" from="7294,1258" to="7294,1896" stroked="true" strokeweight=".523pt" strokecolor="#baf9f5"/>
            <v:rect style="position:absolute;left:7299;top:1739;width:1485;height:157" filled="true" fillcolor="#baf9f5" stroked="false">
              <v:fill type="solid"/>
            </v:rect>
            <w10:wrap type="none"/>
          </v:group>
        </w:pict>
      </w:r>
      <w:r>
        <w:rPr/>
        <w:pict>
          <v:shape style="position:absolute;margin-left:472.69101pt;margin-top:55.067852pt;width:34.550pt;height:47.6pt;mso-position-horizontal-relative:page;mso-position-vertical-relative:paragraph;z-index:-1131952" coordorigin="9454,1101" coordsize="691,952" path="m10144,1739l9454,1739,9454,1886,9454,1896,9454,2053,10144,2053,10144,1896,10144,1886,10144,1739m10144,1426l9454,1426,9454,1582,9454,1739,10144,1739,10144,1582,10144,1426m10144,1101l9454,1101,9454,1258,9454,1269,9454,1426,10144,1426,10144,1269,10144,1258,10144,1101e" filled="true" fillcolor="#ffff00" stroked="false">
            <v:path arrowok="t"/>
            <v:fill type="solid"/>
            <w10:wrap type="none"/>
          </v:shape>
        </w:pict>
      </w:r>
      <w:r>
        <w:rPr/>
        <w:pict>
          <v:group style="position:absolute;margin-left:364.434509pt;margin-top:133.221283pt;width:74.8pt;height:56pt;mso-position-horizontal-relative:page;mso-position-vertical-relative:paragraph;z-index:-1131928" coordorigin="7289,2664" coordsize="1496,1120">
            <v:line style="position:absolute" from="7294,2670" to="7294,2837" stroked="true" strokeweight=".523pt" strokecolor="#baf9f5"/>
            <v:rect style="position:absolute;left:7299;top:2670;width:1485;height:167" filled="true" fillcolor="#baf9f5" stroked="false">
              <v:fill type="solid"/>
            </v:rect>
            <v:line style="position:absolute" from="7294,2837" to="7294,2994" stroked="true" strokeweight=".523pt" strokecolor="#baf9f5"/>
            <v:rect style="position:absolute;left:7299;top:2837;width:1485;height:157" filled="true" fillcolor="#baf9f5" stroked="false">
              <v:fill type="solid"/>
            </v:rect>
            <v:line style="position:absolute" from="7294,2994" to="7294,3151" stroked="true" strokeweight=".523pt" strokecolor="#baf9f5"/>
            <v:rect style="position:absolute;left:7299;top:2994;width:1485;height:157" filled="true" fillcolor="#baf9f5" stroked="false">
              <v:fill type="solid"/>
            </v:rect>
            <v:line style="position:absolute" from="7294,3151" to="7294,3308" stroked="true" strokeweight=".523pt" strokecolor="#baf9f5"/>
            <v:rect style="position:absolute;left:7299;top:3151;width:1485;height:157" filled="true" fillcolor="#baf9f5" stroked="false">
              <v:fill type="solid"/>
            </v:rect>
            <v:line style="position:absolute" from="7294,3308" to="7294,3465" stroked="true" strokeweight=".523pt" strokecolor="#baf9f5"/>
            <v:rect style="position:absolute;left:7299;top:3308;width:1485;height:157" filled="true" fillcolor="#baf9f5" stroked="false">
              <v:fill type="solid"/>
            </v:rect>
            <v:line style="position:absolute" from="7294,3465" to="7294,3622" stroked="true" strokeweight=".523pt" strokecolor="#baf9f5"/>
            <v:rect style="position:absolute;left:7299;top:3465;width:1485;height:157" filled="true" fillcolor="#baf9f5" stroked="false">
              <v:fill type="solid"/>
            </v:rect>
            <v:line style="position:absolute" from="7294,3622" to="7294,3778" stroked="true" strokeweight=".523pt" strokecolor="#baf9f5"/>
            <v:rect style="position:absolute;left:7299;top:3622;width:1485;height:157" filled="true" fillcolor="#baf9f5" stroked="false">
              <v:fill type="solid"/>
            </v:rect>
            <w10:wrap type="none"/>
          </v:group>
        </w:pict>
      </w:r>
      <w:r>
        <w:rPr/>
        <w:pict>
          <v:shape style="position:absolute;margin-left:472.69101pt;margin-top:109.967857pt;width:34.550pt;height:16.25pt;mso-position-horizontal-relative:page;mso-position-vertical-relative:paragraph;z-index:-1131904" coordorigin="9454,2199" coordsize="691,325" path="m10144,2199l9454,2199,9454,2356,9454,2367,9454,2524,10144,2524,10144,2367,10144,2356,10144,2199e" filled="true" fillcolor="#ffff00" stroked="false">
            <v:path arrowok="t"/>
            <v:fill type="solid"/>
            <w10:wrap type="none"/>
          </v:shape>
        </w:pict>
      </w:r>
      <w:r>
        <w:rPr/>
        <w:pict>
          <v:shape style="position:absolute;margin-left:472.69101pt;margin-top:133.496857pt;width:34.550pt;height:63.3pt;mso-position-horizontal-relative:page;mso-position-vertical-relative:paragraph;z-index:-1131880" coordorigin="9454,2670" coordsize="691,1266" path="m10144,3622l9454,3622,9454,3768,9454,3778,9454,3935,10144,3935,10144,3778,10144,3768,10144,3622m10144,3465l9454,3465,9454,3622,10144,3622,10144,3465m10144,2994l9454,2994,9454,3151,9454,3308,9454,3465,10144,3465,10144,3308,10144,3151,10144,2994m10144,2837l9454,2837,9454,2994,10144,2994,10144,2837m10144,2670l9454,2670,9454,2837,10144,2837,10144,2670e" filled="true" fillcolor="#ffff00" stroked="false">
            <v:path arrowok="t"/>
            <v:fill type="solid"/>
            <w10:wrap type="none"/>
          </v:shape>
        </w:pict>
      </w:r>
      <w:r>
        <w:rPr/>
        <w:t>Tabla 69. ISA Bosque de las Fuentes</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71"/>
        <w:gridCol w:w="1893"/>
        <w:gridCol w:w="2238"/>
        <w:gridCol w:w="1778"/>
        <w:gridCol w:w="797"/>
        <w:gridCol w:w="765"/>
        <w:gridCol w:w="680"/>
      </w:tblGrid>
      <w:tr>
        <w:trPr>
          <w:trHeight w:val="476" w:hRule="exact"/>
        </w:trPr>
        <w:tc>
          <w:tcPr>
            <w:tcW w:w="8822" w:type="dxa"/>
            <w:gridSpan w:val="7"/>
            <w:tcBorders>
              <w:bottom w:val="nil"/>
              <w:right w:val="single" w:sz="4" w:space="0" w:color="76933C"/>
            </w:tcBorders>
            <w:shd w:val="clear" w:color="auto" w:fill="000000"/>
          </w:tcPr>
          <w:p>
            <w:pPr>
              <w:pStyle w:val="TableParagraph"/>
              <w:spacing w:line="273" w:lineRule="auto" w:before="81"/>
              <w:ind w:left="3351" w:right="3342" w:firstLine="376"/>
              <w:jc w:val="left"/>
              <w:rPr>
                <w:b/>
                <w:sz w:val="12"/>
              </w:rPr>
            </w:pPr>
            <w:r>
              <w:rPr>
                <w:b/>
                <w:color w:val="FFFFFF"/>
                <w:w w:val="105"/>
                <w:sz w:val="12"/>
              </w:rPr>
              <w:t>Bosque de las Fuentes Índice de sustentabilidad</w:t>
            </w:r>
            <w:r>
              <w:rPr>
                <w:b/>
                <w:color w:val="FFFFFF"/>
                <w:spacing w:val="-11"/>
                <w:w w:val="105"/>
                <w:sz w:val="12"/>
              </w:rPr>
              <w:t> </w:t>
            </w:r>
            <w:r>
              <w:rPr>
                <w:b/>
                <w:color w:val="FFFFFF"/>
                <w:w w:val="105"/>
                <w:sz w:val="12"/>
              </w:rPr>
              <w:t>ambiental</w:t>
            </w:r>
          </w:p>
        </w:tc>
      </w:tr>
      <w:tr>
        <w:trPr>
          <w:trHeight w:val="204" w:hRule="exact"/>
        </w:trPr>
        <w:tc>
          <w:tcPr>
            <w:tcW w:w="671" w:type="dxa"/>
            <w:tcBorders>
              <w:top w:val="single" w:sz="4" w:space="0" w:color="FFFFFF"/>
              <w:left w:val="single" w:sz="4" w:space="0" w:color="000000"/>
            </w:tcBorders>
            <w:shd w:val="clear" w:color="auto" w:fill="808080"/>
          </w:tcPr>
          <w:p>
            <w:pPr>
              <w:pStyle w:val="TableParagraph"/>
              <w:spacing w:before="18"/>
              <w:ind w:left="177" w:right="-18"/>
              <w:jc w:val="left"/>
              <w:rPr>
                <w:b/>
                <w:sz w:val="12"/>
              </w:rPr>
            </w:pPr>
            <w:r>
              <w:rPr>
                <w:b/>
                <w:color w:val="FFFFFF"/>
                <w:w w:val="105"/>
                <w:sz w:val="12"/>
              </w:rPr>
              <w:t>Índice</w:t>
            </w:r>
          </w:p>
        </w:tc>
        <w:tc>
          <w:tcPr>
            <w:tcW w:w="1893" w:type="dxa"/>
            <w:tcBorders>
              <w:top w:val="single" w:sz="4" w:space="0" w:color="FFFFFF"/>
            </w:tcBorders>
            <w:shd w:val="clear" w:color="auto" w:fill="808080"/>
          </w:tcPr>
          <w:p>
            <w:pPr>
              <w:pStyle w:val="TableParagraph"/>
              <w:spacing w:before="18"/>
              <w:ind w:left="86"/>
              <w:jc w:val="left"/>
              <w:rPr>
                <w:b/>
                <w:sz w:val="12"/>
              </w:rPr>
            </w:pPr>
            <w:r>
              <w:rPr>
                <w:b/>
                <w:color w:val="FFFFFF"/>
                <w:w w:val="105"/>
                <w:sz w:val="12"/>
              </w:rPr>
              <w:t>Subíndice</w:t>
            </w:r>
          </w:p>
        </w:tc>
        <w:tc>
          <w:tcPr>
            <w:tcW w:w="2238" w:type="dxa"/>
            <w:tcBorders>
              <w:top w:val="single" w:sz="4" w:space="0" w:color="FFFFFF"/>
            </w:tcBorders>
            <w:shd w:val="clear" w:color="auto" w:fill="808080"/>
          </w:tcPr>
          <w:p>
            <w:pPr>
              <w:pStyle w:val="TableParagraph"/>
              <w:spacing w:before="18"/>
              <w:ind w:left="285" w:right="285"/>
              <w:jc w:val="left"/>
              <w:rPr>
                <w:b/>
                <w:sz w:val="12"/>
              </w:rPr>
            </w:pPr>
            <w:r>
              <w:rPr>
                <w:b/>
                <w:color w:val="FFFFFF"/>
                <w:w w:val="105"/>
                <w:sz w:val="12"/>
              </w:rPr>
              <w:t>Indicador</w:t>
            </w:r>
          </w:p>
        </w:tc>
        <w:tc>
          <w:tcPr>
            <w:tcW w:w="1778" w:type="dxa"/>
            <w:tcBorders>
              <w:top w:val="single" w:sz="4" w:space="0" w:color="FFFFFF"/>
            </w:tcBorders>
            <w:shd w:val="clear" w:color="auto" w:fill="808080"/>
          </w:tcPr>
          <w:p>
            <w:pPr/>
          </w:p>
        </w:tc>
        <w:tc>
          <w:tcPr>
            <w:tcW w:w="797" w:type="dxa"/>
            <w:tcBorders>
              <w:top w:val="single" w:sz="4" w:space="0" w:color="FFFFFF"/>
            </w:tcBorders>
            <w:shd w:val="clear" w:color="auto" w:fill="808080"/>
          </w:tcPr>
          <w:p>
            <w:pPr>
              <w:pStyle w:val="TableParagraph"/>
              <w:spacing w:before="18"/>
              <w:ind w:left="264"/>
              <w:jc w:val="left"/>
              <w:rPr>
                <w:b/>
                <w:sz w:val="12"/>
              </w:rPr>
            </w:pPr>
            <w:r>
              <w:rPr>
                <w:b/>
                <w:color w:val="FFFFFF"/>
                <w:w w:val="105"/>
                <w:sz w:val="12"/>
              </w:rPr>
              <w:t>Valores</w:t>
            </w:r>
          </w:p>
        </w:tc>
        <w:tc>
          <w:tcPr>
            <w:tcW w:w="765" w:type="dxa"/>
            <w:tcBorders>
              <w:top w:val="single" w:sz="4" w:space="0" w:color="FFFFFF"/>
            </w:tcBorders>
            <w:shd w:val="clear" w:color="auto" w:fill="808080"/>
          </w:tcPr>
          <w:p>
            <w:pPr/>
          </w:p>
        </w:tc>
        <w:tc>
          <w:tcPr>
            <w:tcW w:w="680" w:type="dxa"/>
            <w:tcBorders>
              <w:top w:val="single" w:sz="4" w:space="0" w:color="FFFFFF"/>
              <w:right w:val="single" w:sz="8" w:space="0" w:color="000000"/>
            </w:tcBorders>
            <w:shd w:val="clear" w:color="auto" w:fill="808080"/>
          </w:tcPr>
          <w:p>
            <w:pPr/>
          </w:p>
        </w:tc>
      </w:tr>
      <w:tr>
        <w:trPr>
          <w:trHeight w:val="63" w:hRule="exact"/>
        </w:trPr>
        <w:tc>
          <w:tcPr>
            <w:tcW w:w="8822" w:type="dxa"/>
            <w:gridSpan w:val="7"/>
            <w:tcBorders>
              <w:left w:val="single" w:sz="4" w:space="0" w:color="000000"/>
              <w:right w:val="single" w:sz="8" w:space="0" w:color="000000"/>
            </w:tcBorders>
            <w:shd w:val="clear" w:color="auto" w:fill="808080"/>
          </w:tcPr>
          <w:p>
            <w:pPr/>
          </w:p>
        </w:tc>
      </w:tr>
      <w:tr>
        <w:trPr>
          <w:trHeight w:val="160" w:hRule="exact"/>
        </w:trPr>
        <w:tc>
          <w:tcPr>
            <w:tcW w:w="671" w:type="dxa"/>
            <w:vMerge w:val="restart"/>
            <w:tcBorders>
              <w:left w:val="single" w:sz="4" w:space="0" w:color="000000"/>
            </w:tcBorders>
          </w:tcPr>
          <w:p>
            <w:pPr/>
          </w:p>
        </w:tc>
        <w:tc>
          <w:tcPr>
            <w:tcW w:w="1893" w:type="dxa"/>
          </w:tcPr>
          <w:p>
            <w:pPr/>
          </w:p>
        </w:tc>
        <w:tc>
          <w:tcPr>
            <w:tcW w:w="2238" w:type="dxa"/>
          </w:tcPr>
          <w:p>
            <w:pPr/>
          </w:p>
        </w:tc>
        <w:tc>
          <w:tcPr>
            <w:tcW w:w="1778" w:type="dxa"/>
          </w:tcPr>
          <w:p>
            <w:pPr>
              <w:pStyle w:val="TableParagraph"/>
              <w:spacing w:before="7"/>
              <w:ind w:left="891" w:right="181"/>
              <w:rPr>
                <w:b/>
                <w:sz w:val="12"/>
              </w:rPr>
            </w:pPr>
            <w:r>
              <w:rPr>
                <w:b/>
                <w:w w:val="105"/>
                <w:sz w:val="12"/>
              </w:rPr>
              <w:t>Evaluación</w:t>
            </w:r>
          </w:p>
        </w:tc>
        <w:tc>
          <w:tcPr>
            <w:tcW w:w="797" w:type="dxa"/>
          </w:tcPr>
          <w:p>
            <w:pPr>
              <w:pStyle w:val="TableParagraph"/>
              <w:tabs>
                <w:tab w:pos="892" w:val="left" w:leader="none"/>
              </w:tabs>
              <w:spacing w:before="7"/>
              <w:ind w:left="202" w:right="-96"/>
              <w:jc w:val="left"/>
              <w:rPr>
                <w:b/>
                <w:sz w:val="12"/>
              </w:rPr>
            </w:pPr>
            <w:r>
              <w:rPr>
                <w:b/>
                <w:w w:val="104"/>
                <w:sz w:val="12"/>
                <w:shd w:fill="F79646" w:color="auto" w:val="clear"/>
              </w:rPr>
              <w:t> </w:t>
            </w:r>
            <w:r>
              <w:rPr>
                <w:b/>
                <w:sz w:val="12"/>
                <w:shd w:fill="F79646" w:color="auto" w:val="clear"/>
              </w:rPr>
              <w:t>    </w:t>
            </w:r>
            <w:r>
              <w:rPr>
                <w:b/>
                <w:spacing w:val="7"/>
                <w:sz w:val="12"/>
                <w:shd w:fill="F79646" w:color="auto" w:val="clear"/>
              </w:rPr>
              <w:t> </w:t>
            </w:r>
            <w:r>
              <w:rPr>
                <w:b/>
                <w:w w:val="105"/>
                <w:sz w:val="12"/>
                <w:shd w:fill="F79646" w:color="auto" w:val="clear"/>
              </w:rPr>
              <w:t>Real</w:t>
            </w:r>
            <w:r>
              <w:rPr>
                <w:b/>
                <w:sz w:val="12"/>
                <w:shd w:fill="F79646" w:color="auto" w:val="clear"/>
              </w:rPr>
              <w:tab/>
            </w:r>
          </w:p>
        </w:tc>
        <w:tc>
          <w:tcPr>
            <w:tcW w:w="765" w:type="dxa"/>
          </w:tcPr>
          <w:p>
            <w:pPr>
              <w:pStyle w:val="TableParagraph"/>
              <w:spacing w:before="7"/>
              <w:ind w:left="137" w:right="34"/>
              <w:rPr>
                <w:b/>
                <w:sz w:val="12"/>
              </w:rPr>
            </w:pPr>
            <w:r>
              <w:rPr>
                <w:b/>
                <w:w w:val="105"/>
                <w:sz w:val="12"/>
              </w:rPr>
              <w:t>Deseable</w:t>
            </w:r>
          </w:p>
        </w:tc>
        <w:tc>
          <w:tcPr>
            <w:tcW w:w="680" w:type="dxa"/>
            <w:tcBorders>
              <w:right w:val="single" w:sz="8" w:space="0" w:color="000000"/>
            </w:tcBorders>
            <w:shd w:val="clear" w:color="auto" w:fill="67ED4D"/>
          </w:tcPr>
          <w:p>
            <w:pPr>
              <w:pStyle w:val="TableParagraph"/>
              <w:spacing w:before="7"/>
              <w:ind w:left="104" w:right="84"/>
              <w:rPr>
                <w:b/>
                <w:sz w:val="12"/>
              </w:rPr>
            </w:pPr>
            <w:r>
              <w:rPr>
                <w:b/>
                <w:w w:val="105"/>
                <w:sz w:val="12"/>
              </w:rPr>
              <w:t>Óptimo</w:t>
            </w:r>
          </w:p>
        </w:tc>
      </w:tr>
      <w:tr>
        <w:trPr>
          <w:trHeight w:val="157" w:hRule="exact"/>
        </w:trPr>
        <w:tc>
          <w:tcPr>
            <w:tcW w:w="671" w:type="dxa"/>
            <w:vMerge/>
            <w:tcBorders>
              <w:left w:val="single" w:sz="4" w:space="0" w:color="000000"/>
            </w:tcBorders>
          </w:tcPr>
          <w:p>
            <w:pPr/>
          </w:p>
        </w:tc>
        <w:tc>
          <w:tcPr>
            <w:tcW w:w="1893" w:type="dxa"/>
          </w:tcPr>
          <w:p>
            <w:pPr/>
          </w:p>
        </w:tc>
        <w:tc>
          <w:tcPr>
            <w:tcW w:w="2238" w:type="dxa"/>
          </w:tcPr>
          <w:p>
            <w:pPr>
              <w:pStyle w:val="TableParagraph"/>
              <w:spacing w:before="5"/>
              <w:ind w:left="285" w:right="285"/>
              <w:jc w:val="left"/>
              <w:rPr>
                <w:sz w:val="12"/>
              </w:rPr>
            </w:pPr>
            <w:r>
              <w:rPr>
                <w:w w:val="105"/>
                <w:sz w:val="12"/>
              </w:rPr>
              <w:t>Tipo de la vivienda</w:t>
            </w:r>
          </w:p>
        </w:tc>
        <w:tc>
          <w:tcPr>
            <w:tcW w:w="1778" w:type="dxa"/>
          </w:tcPr>
          <w:p>
            <w:pPr>
              <w:pStyle w:val="TableParagraph"/>
              <w:spacing w:before="5"/>
              <w:ind w:left="884" w:right="181"/>
              <w:rPr>
                <w:sz w:val="12"/>
              </w:rPr>
            </w:pPr>
            <w:r>
              <w:rPr>
                <w:w w:val="105"/>
                <w:sz w:val="12"/>
              </w:rPr>
              <w:t>0.6</w:t>
            </w:r>
          </w:p>
        </w:tc>
        <w:tc>
          <w:tcPr>
            <w:tcW w:w="797" w:type="dxa"/>
          </w:tcPr>
          <w:p>
            <w:pPr/>
          </w:p>
        </w:tc>
        <w:tc>
          <w:tcPr>
            <w:tcW w:w="765" w:type="dxa"/>
          </w:tcPr>
          <w:p>
            <w:pPr>
              <w:pStyle w:val="TableParagraph"/>
              <w:spacing w:before="5"/>
              <w:ind w:left="136" w:right="34"/>
              <w:rPr>
                <w:sz w:val="12"/>
              </w:rPr>
            </w:pPr>
            <w:r>
              <w:rPr>
                <w:w w:val="105"/>
                <w:sz w:val="12"/>
              </w:rPr>
              <w:t>0.6</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71" w:type="dxa"/>
            <w:vMerge/>
            <w:tcBorders>
              <w:left w:val="single" w:sz="4" w:space="0" w:color="000000"/>
            </w:tcBorders>
          </w:tcPr>
          <w:p>
            <w:pPr/>
          </w:p>
        </w:tc>
        <w:tc>
          <w:tcPr>
            <w:tcW w:w="1893" w:type="dxa"/>
            <w:vMerge w:val="restart"/>
          </w:tcPr>
          <w:p>
            <w:pPr>
              <w:pStyle w:val="TableParagraph"/>
              <w:spacing w:before="78"/>
              <w:ind w:left="86"/>
              <w:jc w:val="left"/>
              <w:rPr>
                <w:sz w:val="12"/>
              </w:rPr>
            </w:pPr>
            <w:r>
              <w:rPr>
                <w:w w:val="105"/>
                <w:sz w:val="12"/>
              </w:rPr>
              <w:t>Autorizaciones</w:t>
            </w:r>
          </w:p>
        </w:tc>
        <w:tc>
          <w:tcPr>
            <w:tcW w:w="2238" w:type="dxa"/>
            <w:vMerge w:val="restart"/>
          </w:tcPr>
          <w:p>
            <w:pPr>
              <w:pStyle w:val="TableParagraph"/>
              <w:spacing w:line="273" w:lineRule="auto" w:before="5"/>
              <w:ind w:left="285" w:right="285"/>
              <w:jc w:val="left"/>
              <w:rPr>
                <w:sz w:val="12"/>
              </w:rPr>
            </w:pPr>
            <w:r>
              <w:rPr>
                <w:w w:val="105"/>
                <w:sz w:val="12"/>
              </w:rPr>
              <w:t>Metros de construcción Metros de terreno</w:t>
            </w:r>
          </w:p>
        </w:tc>
        <w:tc>
          <w:tcPr>
            <w:tcW w:w="1778" w:type="dxa"/>
            <w:vMerge w:val="restart"/>
          </w:tcPr>
          <w:p>
            <w:pPr>
              <w:pStyle w:val="TableParagraph"/>
              <w:spacing w:before="5"/>
              <w:ind w:right="500"/>
              <w:jc w:val="right"/>
              <w:rPr>
                <w:sz w:val="12"/>
              </w:rPr>
            </w:pPr>
            <w:r>
              <w:rPr>
                <w:w w:val="104"/>
                <w:sz w:val="12"/>
              </w:rPr>
              <w:t>1</w:t>
            </w:r>
          </w:p>
          <w:p>
            <w:pPr>
              <w:pStyle w:val="TableParagraph"/>
              <w:spacing w:before="19"/>
              <w:ind w:right="500"/>
              <w:jc w:val="right"/>
              <w:rPr>
                <w:sz w:val="12"/>
              </w:rPr>
            </w:pPr>
            <w:r>
              <w:rPr>
                <w:w w:val="104"/>
                <w:sz w:val="12"/>
              </w:rPr>
              <w:t>1</w:t>
            </w:r>
          </w:p>
        </w:tc>
        <w:tc>
          <w:tcPr>
            <w:tcW w:w="797" w:type="dxa"/>
            <w:vMerge w:val="restart"/>
          </w:tcPr>
          <w:p>
            <w:pPr/>
          </w:p>
        </w:tc>
        <w:tc>
          <w:tcPr>
            <w:tcW w:w="765" w:type="dxa"/>
            <w:vMerge w:val="restart"/>
          </w:tcPr>
          <w:p>
            <w:pPr>
              <w:pStyle w:val="TableParagraph"/>
              <w:spacing w:before="5"/>
              <w:ind w:left="102"/>
              <w:rPr>
                <w:sz w:val="12"/>
              </w:rPr>
            </w:pPr>
            <w:r>
              <w:rPr>
                <w:w w:val="104"/>
                <w:sz w:val="12"/>
              </w:rPr>
              <w:t>1</w:t>
            </w:r>
          </w:p>
          <w:p>
            <w:pPr>
              <w:pStyle w:val="TableParagraph"/>
              <w:spacing w:before="19"/>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71" w:type="dxa"/>
            <w:vMerge/>
            <w:tcBorders>
              <w:left w:val="single" w:sz="4" w:space="0" w:color="000000"/>
            </w:tcBorders>
          </w:tcPr>
          <w:p>
            <w:pPr/>
          </w:p>
        </w:tc>
        <w:tc>
          <w:tcPr>
            <w:tcW w:w="1893" w:type="dxa"/>
            <w:vMerge/>
          </w:tcPr>
          <w:p>
            <w:pPr/>
          </w:p>
        </w:tc>
        <w:tc>
          <w:tcPr>
            <w:tcW w:w="2238" w:type="dxa"/>
            <w:vMerge/>
          </w:tcPr>
          <w:p>
            <w:pPr/>
          </w:p>
        </w:tc>
        <w:tc>
          <w:tcPr>
            <w:tcW w:w="1778" w:type="dxa"/>
            <w:vMerge/>
          </w:tcPr>
          <w:p>
            <w:pPr/>
          </w:p>
        </w:tc>
        <w:tc>
          <w:tcPr>
            <w:tcW w:w="797" w:type="dxa"/>
            <w:vMerge/>
          </w:tcPr>
          <w:p>
            <w:pPr/>
          </w:p>
        </w:tc>
        <w:tc>
          <w:tcPr>
            <w:tcW w:w="765" w:type="dxa"/>
            <w:vMerge/>
          </w:tcPr>
          <w:p>
            <w:pP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71" w:type="dxa"/>
            <w:vMerge/>
            <w:tcBorders>
              <w:left w:val="single" w:sz="4" w:space="0" w:color="000000"/>
            </w:tcBorders>
          </w:tcPr>
          <w:p>
            <w:pPr/>
          </w:p>
        </w:tc>
        <w:tc>
          <w:tcPr>
            <w:tcW w:w="1893" w:type="dxa"/>
          </w:tcPr>
          <w:p>
            <w:pPr/>
          </w:p>
        </w:tc>
        <w:tc>
          <w:tcPr>
            <w:tcW w:w="2238" w:type="dxa"/>
          </w:tcPr>
          <w:p>
            <w:pPr>
              <w:pStyle w:val="TableParagraph"/>
              <w:spacing w:before="5"/>
              <w:ind w:left="285" w:right="285"/>
              <w:jc w:val="left"/>
              <w:rPr>
                <w:sz w:val="12"/>
              </w:rPr>
            </w:pPr>
            <w:r>
              <w:rPr>
                <w:w w:val="105"/>
                <w:sz w:val="12"/>
              </w:rPr>
              <w:t>Plan ambiental</w:t>
            </w:r>
          </w:p>
        </w:tc>
        <w:tc>
          <w:tcPr>
            <w:tcW w:w="1778" w:type="dxa"/>
          </w:tcPr>
          <w:p>
            <w:pPr>
              <w:pStyle w:val="TableParagraph"/>
              <w:spacing w:before="5"/>
              <w:ind w:left="703"/>
              <w:rPr>
                <w:sz w:val="12"/>
              </w:rPr>
            </w:pPr>
            <w:r>
              <w:rPr>
                <w:w w:val="104"/>
                <w:sz w:val="12"/>
              </w:rPr>
              <w:t>0</w:t>
            </w:r>
          </w:p>
        </w:tc>
        <w:tc>
          <w:tcPr>
            <w:tcW w:w="797" w:type="dxa"/>
          </w:tcPr>
          <w:p>
            <w:pPr/>
          </w:p>
        </w:tc>
        <w:tc>
          <w:tcPr>
            <w:tcW w:w="765" w:type="dxa"/>
          </w:tcPr>
          <w:p>
            <w:pPr>
              <w:pStyle w:val="TableParagraph"/>
              <w:spacing w:before="5"/>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4" w:hRule="exact"/>
        </w:trPr>
        <w:tc>
          <w:tcPr>
            <w:tcW w:w="671" w:type="dxa"/>
            <w:vMerge/>
            <w:tcBorders>
              <w:left w:val="single" w:sz="4" w:space="0" w:color="000000"/>
            </w:tcBorders>
          </w:tcPr>
          <w:p>
            <w:pPr/>
          </w:p>
        </w:tc>
        <w:tc>
          <w:tcPr>
            <w:tcW w:w="1893" w:type="dxa"/>
          </w:tcPr>
          <w:p>
            <w:pPr/>
          </w:p>
        </w:tc>
        <w:tc>
          <w:tcPr>
            <w:tcW w:w="2238" w:type="dxa"/>
          </w:tcPr>
          <w:p>
            <w:pPr/>
          </w:p>
        </w:tc>
        <w:tc>
          <w:tcPr>
            <w:tcW w:w="1778" w:type="dxa"/>
          </w:tcPr>
          <w:p>
            <w:pPr>
              <w:pStyle w:val="TableParagraph"/>
              <w:spacing w:before="5"/>
              <w:ind w:left="877" w:right="181"/>
              <w:rPr>
                <w:sz w:val="12"/>
              </w:rPr>
            </w:pPr>
            <w:r>
              <w:rPr>
                <w:w w:val="105"/>
                <w:sz w:val="12"/>
              </w:rPr>
              <w:t>Subtotal</w:t>
            </w:r>
          </w:p>
        </w:tc>
        <w:tc>
          <w:tcPr>
            <w:tcW w:w="797" w:type="dxa"/>
          </w:tcPr>
          <w:p>
            <w:pPr>
              <w:pStyle w:val="TableParagraph"/>
              <w:tabs>
                <w:tab w:pos="463"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2.6</w:t>
            </w:r>
            <w:r>
              <w:rPr>
                <w:sz w:val="12"/>
                <w:shd w:fill="F79646" w:color="auto" w:val="clear"/>
              </w:rPr>
              <w:tab/>
            </w:r>
          </w:p>
        </w:tc>
        <w:tc>
          <w:tcPr>
            <w:tcW w:w="765" w:type="dxa"/>
          </w:tcPr>
          <w:p>
            <w:pPr>
              <w:pStyle w:val="TableParagraph"/>
              <w:spacing w:before="5"/>
              <w:ind w:left="136" w:right="34"/>
              <w:rPr>
                <w:sz w:val="12"/>
              </w:rPr>
            </w:pPr>
            <w:r>
              <w:rPr>
                <w:w w:val="105"/>
                <w:sz w:val="12"/>
              </w:rPr>
              <w:t>3.6</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4</w:t>
            </w:r>
          </w:p>
        </w:tc>
      </w:tr>
      <w:tr>
        <w:trPr>
          <w:trHeight w:val="146" w:hRule="exact"/>
        </w:trPr>
        <w:tc>
          <w:tcPr>
            <w:tcW w:w="8822" w:type="dxa"/>
            <w:gridSpan w:val="7"/>
            <w:tcBorders>
              <w:left w:val="single" w:sz="4" w:space="0" w:color="000000"/>
              <w:right w:val="single" w:sz="8" w:space="0" w:color="000000"/>
            </w:tcBorders>
          </w:tcPr>
          <w:p>
            <w:pPr/>
          </w:p>
        </w:tc>
      </w:tr>
      <w:tr>
        <w:trPr>
          <w:trHeight w:val="160" w:hRule="exact"/>
        </w:trPr>
        <w:tc>
          <w:tcPr>
            <w:tcW w:w="671" w:type="dxa"/>
            <w:tcBorders>
              <w:left w:val="single" w:sz="4" w:space="0" w:color="000000"/>
            </w:tcBorders>
          </w:tcPr>
          <w:p>
            <w:pPr/>
          </w:p>
        </w:tc>
        <w:tc>
          <w:tcPr>
            <w:tcW w:w="1893" w:type="dxa"/>
          </w:tcPr>
          <w:p>
            <w:pPr>
              <w:pStyle w:val="TableParagraph"/>
              <w:spacing w:before="7"/>
              <w:ind w:left="86"/>
              <w:jc w:val="left"/>
              <w:rPr>
                <w:sz w:val="12"/>
              </w:rPr>
            </w:pPr>
            <w:r>
              <w:rPr>
                <w:w w:val="105"/>
                <w:sz w:val="12"/>
              </w:rPr>
              <w:t>Agua</w:t>
            </w:r>
          </w:p>
        </w:tc>
        <w:tc>
          <w:tcPr>
            <w:tcW w:w="2238" w:type="dxa"/>
          </w:tcPr>
          <w:p>
            <w:pPr>
              <w:pStyle w:val="TableParagraph"/>
              <w:spacing w:before="7"/>
              <w:ind w:left="285" w:right="285"/>
              <w:jc w:val="left"/>
              <w:rPr>
                <w:sz w:val="12"/>
              </w:rPr>
            </w:pPr>
            <w:r>
              <w:rPr>
                <w:w w:val="105"/>
                <w:sz w:val="12"/>
              </w:rPr>
              <w:t>Tipo de abastecimiento</w:t>
            </w:r>
          </w:p>
        </w:tc>
        <w:tc>
          <w:tcPr>
            <w:tcW w:w="1778" w:type="dxa"/>
          </w:tcPr>
          <w:p>
            <w:pPr>
              <w:pStyle w:val="TableParagraph"/>
              <w:tabs>
                <w:tab w:pos="1205" w:val="left" w:leader="none"/>
                <w:tab w:pos="1989" w:val="left" w:leader="none"/>
              </w:tabs>
              <w:spacing w:before="7"/>
              <w:ind w:left="494" w:right="-213"/>
              <w:rPr>
                <w:sz w:val="12"/>
              </w:rPr>
            </w:pPr>
            <w:r>
              <w:rPr>
                <w:w w:val="104"/>
                <w:sz w:val="12"/>
                <w:shd w:fill="BAF9F5" w:color="auto" w:val="clear"/>
              </w:rPr>
              <w:t> </w:t>
            </w:r>
            <w:r>
              <w:rPr>
                <w:sz w:val="12"/>
                <w:shd w:fill="BAF9F5" w:color="auto" w:val="clear"/>
              </w:rPr>
              <w:tab/>
            </w:r>
            <w:r>
              <w:rPr>
                <w:w w:val="105"/>
                <w:sz w:val="12"/>
                <w:shd w:fill="BAF9F5" w:color="auto" w:val="clear"/>
              </w:rPr>
              <w:t>1</w:t>
            </w:r>
            <w:r>
              <w:rPr>
                <w:sz w:val="12"/>
                <w:shd w:fill="BAF9F5" w:color="auto" w:val="clear"/>
              </w:rPr>
              <w:tab/>
            </w:r>
          </w:p>
        </w:tc>
        <w:tc>
          <w:tcPr>
            <w:tcW w:w="797" w:type="dxa"/>
          </w:tcPr>
          <w:p>
            <w:pPr/>
          </w:p>
        </w:tc>
        <w:tc>
          <w:tcPr>
            <w:tcW w:w="765" w:type="dxa"/>
          </w:tcPr>
          <w:p>
            <w:pPr>
              <w:pStyle w:val="TableParagraph"/>
              <w:spacing w:before="7"/>
              <w:ind w:left="136" w:right="34"/>
              <w:rPr>
                <w:sz w:val="12"/>
              </w:rPr>
            </w:pPr>
            <w:r>
              <w:rPr>
                <w:w w:val="105"/>
                <w:sz w:val="12"/>
              </w:rPr>
              <w:t>0.7</w:t>
            </w:r>
          </w:p>
        </w:tc>
        <w:tc>
          <w:tcPr>
            <w:tcW w:w="680" w:type="dxa"/>
            <w:tcBorders>
              <w:right w:val="single" w:sz="8" w:space="0" w:color="000000"/>
            </w:tcBorders>
            <w:shd w:val="clear" w:color="auto" w:fill="67ED4D"/>
          </w:tcPr>
          <w:p>
            <w:pPr>
              <w:pStyle w:val="TableParagraph"/>
              <w:spacing w:before="7"/>
              <w:ind w:left="27"/>
              <w:rPr>
                <w:sz w:val="12"/>
              </w:rPr>
            </w:pPr>
            <w:r>
              <w:rPr>
                <w:w w:val="104"/>
                <w:sz w:val="12"/>
              </w:rPr>
              <w:t>1</w:t>
            </w:r>
          </w:p>
        </w:tc>
      </w:tr>
      <w:tr>
        <w:trPr>
          <w:trHeight w:val="164" w:hRule="exact"/>
        </w:trPr>
        <w:tc>
          <w:tcPr>
            <w:tcW w:w="671" w:type="dxa"/>
            <w:tcBorders>
              <w:left w:val="single" w:sz="4" w:space="0" w:color="000000"/>
            </w:tcBorders>
          </w:tcPr>
          <w:p>
            <w:pPr/>
          </w:p>
        </w:tc>
        <w:tc>
          <w:tcPr>
            <w:tcW w:w="1893" w:type="dxa"/>
          </w:tcPr>
          <w:p>
            <w:pPr/>
          </w:p>
        </w:tc>
        <w:tc>
          <w:tcPr>
            <w:tcW w:w="2238" w:type="dxa"/>
          </w:tcPr>
          <w:p>
            <w:pPr/>
          </w:p>
        </w:tc>
        <w:tc>
          <w:tcPr>
            <w:tcW w:w="1778" w:type="dxa"/>
          </w:tcPr>
          <w:p>
            <w:pPr>
              <w:pStyle w:val="TableParagraph"/>
              <w:spacing w:before="5"/>
              <w:ind w:left="877" w:right="181"/>
              <w:rPr>
                <w:sz w:val="12"/>
              </w:rPr>
            </w:pPr>
            <w:r>
              <w:rPr>
                <w:w w:val="105"/>
                <w:sz w:val="12"/>
              </w:rPr>
              <w:t>Subtotal</w:t>
            </w:r>
          </w:p>
        </w:tc>
        <w:tc>
          <w:tcPr>
            <w:tcW w:w="797" w:type="dxa"/>
          </w:tcPr>
          <w:p>
            <w:pPr>
              <w:pStyle w:val="TableParagraph"/>
              <w:tabs>
                <w:tab w:pos="515"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1</w:t>
            </w:r>
            <w:r>
              <w:rPr>
                <w:sz w:val="12"/>
                <w:shd w:fill="F79646" w:color="auto" w:val="clear"/>
              </w:rPr>
              <w:tab/>
            </w:r>
          </w:p>
        </w:tc>
        <w:tc>
          <w:tcPr>
            <w:tcW w:w="765" w:type="dxa"/>
          </w:tcPr>
          <w:p>
            <w:pPr>
              <w:pStyle w:val="TableParagraph"/>
              <w:spacing w:before="5"/>
              <w:ind w:left="136" w:right="34"/>
              <w:rPr>
                <w:sz w:val="12"/>
              </w:rPr>
            </w:pPr>
            <w:r>
              <w:rPr>
                <w:w w:val="105"/>
                <w:sz w:val="12"/>
              </w:rPr>
              <w:t>0.7</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46" w:hRule="exact"/>
        </w:trPr>
        <w:tc>
          <w:tcPr>
            <w:tcW w:w="8822" w:type="dxa"/>
            <w:gridSpan w:val="7"/>
            <w:tcBorders>
              <w:left w:val="single" w:sz="4" w:space="0" w:color="000000"/>
              <w:right w:val="single" w:sz="8" w:space="0" w:color="000000"/>
            </w:tcBorders>
          </w:tcPr>
          <w:p>
            <w:pPr/>
          </w:p>
        </w:tc>
      </w:tr>
      <w:tr>
        <w:trPr>
          <w:trHeight w:val="160" w:hRule="exact"/>
        </w:trPr>
        <w:tc>
          <w:tcPr>
            <w:tcW w:w="671" w:type="dxa"/>
            <w:tcBorders>
              <w:left w:val="single" w:sz="4" w:space="0" w:color="000000"/>
            </w:tcBorders>
          </w:tcPr>
          <w:p>
            <w:pPr/>
          </w:p>
        </w:tc>
        <w:tc>
          <w:tcPr>
            <w:tcW w:w="1893" w:type="dxa"/>
          </w:tcPr>
          <w:p>
            <w:pPr/>
          </w:p>
        </w:tc>
        <w:tc>
          <w:tcPr>
            <w:tcW w:w="2238" w:type="dxa"/>
          </w:tcPr>
          <w:p>
            <w:pPr>
              <w:pStyle w:val="TableParagraph"/>
              <w:spacing w:before="7"/>
              <w:ind w:left="285" w:right="285"/>
              <w:jc w:val="left"/>
              <w:rPr>
                <w:sz w:val="12"/>
              </w:rPr>
            </w:pPr>
            <w:r>
              <w:rPr>
                <w:w w:val="105"/>
                <w:sz w:val="12"/>
              </w:rPr>
              <w:t>Agua potable</w:t>
            </w:r>
          </w:p>
        </w:tc>
        <w:tc>
          <w:tcPr>
            <w:tcW w:w="1778" w:type="dxa"/>
          </w:tcPr>
          <w:p>
            <w:pPr>
              <w:pStyle w:val="TableParagraph"/>
              <w:spacing w:before="7"/>
              <w:ind w:left="703"/>
              <w:rPr>
                <w:sz w:val="12"/>
              </w:rPr>
            </w:pPr>
            <w:r>
              <w:rPr>
                <w:w w:val="104"/>
                <w:sz w:val="12"/>
              </w:rPr>
              <w:t>0</w:t>
            </w:r>
          </w:p>
        </w:tc>
        <w:tc>
          <w:tcPr>
            <w:tcW w:w="797" w:type="dxa"/>
          </w:tcPr>
          <w:p>
            <w:pPr/>
          </w:p>
        </w:tc>
        <w:tc>
          <w:tcPr>
            <w:tcW w:w="765" w:type="dxa"/>
          </w:tcPr>
          <w:p>
            <w:pPr>
              <w:pStyle w:val="TableParagraph"/>
              <w:spacing w:before="7"/>
              <w:ind w:left="136" w:right="34"/>
              <w:rPr>
                <w:sz w:val="12"/>
              </w:rPr>
            </w:pPr>
            <w:r>
              <w:rPr>
                <w:w w:val="105"/>
                <w:sz w:val="12"/>
              </w:rPr>
              <w:t>0.5</w:t>
            </w:r>
          </w:p>
        </w:tc>
        <w:tc>
          <w:tcPr>
            <w:tcW w:w="680" w:type="dxa"/>
            <w:tcBorders>
              <w:right w:val="single" w:sz="8" w:space="0" w:color="000000"/>
            </w:tcBorders>
            <w:shd w:val="clear" w:color="auto" w:fill="67ED4D"/>
          </w:tcPr>
          <w:p>
            <w:pPr>
              <w:pStyle w:val="TableParagraph"/>
              <w:spacing w:before="7"/>
              <w:ind w:left="27"/>
              <w:rPr>
                <w:sz w:val="12"/>
              </w:rPr>
            </w:pPr>
            <w:r>
              <w:rPr>
                <w:w w:val="104"/>
                <w:sz w:val="12"/>
              </w:rPr>
              <w:t>1</w:t>
            </w:r>
          </w:p>
        </w:tc>
      </w:tr>
      <w:tr>
        <w:trPr>
          <w:trHeight w:val="157" w:hRule="exact"/>
        </w:trPr>
        <w:tc>
          <w:tcPr>
            <w:tcW w:w="671" w:type="dxa"/>
            <w:tcBorders>
              <w:left w:val="single" w:sz="4" w:space="0" w:color="000000"/>
            </w:tcBorders>
          </w:tcPr>
          <w:p>
            <w:pPr/>
          </w:p>
        </w:tc>
        <w:tc>
          <w:tcPr>
            <w:tcW w:w="1893" w:type="dxa"/>
          </w:tcPr>
          <w:p>
            <w:pPr/>
          </w:p>
        </w:tc>
        <w:tc>
          <w:tcPr>
            <w:tcW w:w="2238" w:type="dxa"/>
          </w:tcPr>
          <w:p>
            <w:pPr>
              <w:pStyle w:val="TableParagraph"/>
              <w:spacing w:before="5"/>
              <w:ind w:left="285" w:right="285"/>
              <w:jc w:val="left"/>
              <w:rPr>
                <w:sz w:val="12"/>
              </w:rPr>
            </w:pPr>
            <w:r>
              <w:rPr>
                <w:w w:val="105"/>
                <w:sz w:val="12"/>
              </w:rPr>
              <w:t>Energía eléctrica</w:t>
            </w:r>
          </w:p>
        </w:tc>
        <w:tc>
          <w:tcPr>
            <w:tcW w:w="1778" w:type="dxa"/>
          </w:tcPr>
          <w:p>
            <w:pPr>
              <w:pStyle w:val="TableParagraph"/>
              <w:spacing w:before="5"/>
              <w:ind w:left="884" w:right="181"/>
              <w:rPr>
                <w:sz w:val="12"/>
              </w:rPr>
            </w:pPr>
            <w:r>
              <w:rPr>
                <w:w w:val="105"/>
                <w:sz w:val="12"/>
              </w:rPr>
              <w:t>0.5</w:t>
            </w:r>
          </w:p>
        </w:tc>
        <w:tc>
          <w:tcPr>
            <w:tcW w:w="797" w:type="dxa"/>
          </w:tcPr>
          <w:p>
            <w:pPr/>
          </w:p>
        </w:tc>
        <w:tc>
          <w:tcPr>
            <w:tcW w:w="765" w:type="dxa"/>
          </w:tcPr>
          <w:p>
            <w:pPr>
              <w:pStyle w:val="TableParagraph"/>
              <w:spacing w:before="5"/>
              <w:ind w:left="136" w:right="34"/>
              <w:rPr>
                <w:sz w:val="12"/>
              </w:rPr>
            </w:pPr>
            <w:r>
              <w:rPr>
                <w:w w:val="105"/>
                <w:sz w:val="12"/>
              </w:rPr>
              <w:t>0.5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71" w:type="dxa"/>
            <w:tcBorders>
              <w:left w:val="single" w:sz="4" w:space="0" w:color="000000"/>
            </w:tcBorders>
          </w:tcPr>
          <w:p>
            <w:pPr/>
          </w:p>
        </w:tc>
        <w:tc>
          <w:tcPr>
            <w:tcW w:w="1893" w:type="dxa"/>
          </w:tcPr>
          <w:p>
            <w:pPr/>
          </w:p>
        </w:tc>
        <w:tc>
          <w:tcPr>
            <w:tcW w:w="2238" w:type="dxa"/>
          </w:tcPr>
          <w:p>
            <w:pPr>
              <w:pStyle w:val="TableParagraph"/>
              <w:spacing w:before="5"/>
              <w:ind w:left="285" w:right="285"/>
              <w:jc w:val="left"/>
              <w:rPr>
                <w:sz w:val="12"/>
              </w:rPr>
            </w:pPr>
            <w:r>
              <w:rPr>
                <w:w w:val="105"/>
                <w:sz w:val="12"/>
              </w:rPr>
              <w:t>Drenaje sanitario</w:t>
            </w:r>
          </w:p>
        </w:tc>
        <w:tc>
          <w:tcPr>
            <w:tcW w:w="1778" w:type="dxa"/>
          </w:tcPr>
          <w:p>
            <w:pPr>
              <w:pStyle w:val="TableParagraph"/>
              <w:spacing w:before="5"/>
              <w:ind w:left="703"/>
              <w:rPr>
                <w:sz w:val="12"/>
              </w:rPr>
            </w:pPr>
            <w:r>
              <w:rPr>
                <w:w w:val="104"/>
                <w:sz w:val="12"/>
              </w:rPr>
              <w:t>0</w:t>
            </w:r>
          </w:p>
        </w:tc>
        <w:tc>
          <w:tcPr>
            <w:tcW w:w="797" w:type="dxa"/>
          </w:tcPr>
          <w:p>
            <w:pPr/>
          </w:p>
        </w:tc>
        <w:tc>
          <w:tcPr>
            <w:tcW w:w="765" w:type="dxa"/>
          </w:tcPr>
          <w:p>
            <w:pPr>
              <w:pStyle w:val="TableParagraph"/>
              <w:spacing w:before="5"/>
              <w:ind w:left="136" w:right="34"/>
              <w:rPr>
                <w:sz w:val="12"/>
              </w:rPr>
            </w:pPr>
            <w:r>
              <w:rPr>
                <w:w w:val="105"/>
                <w:sz w:val="12"/>
              </w:rPr>
              <w:t>0.5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71" w:type="dxa"/>
            <w:tcBorders>
              <w:left w:val="single" w:sz="4" w:space="0" w:color="000000"/>
            </w:tcBorders>
          </w:tcPr>
          <w:p>
            <w:pPr/>
          </w:p>
        </w:tc>
        <w:tc>
          <w:tcPr>
            <w:tcW w:w="1893" w:type="dxa"/>
          </w:tcPr>
          <w:p>
            <w:pPr>
              <w:pStyle w:val="TableParagraph"/>
              <w:spacing w:before="5"/>
              <w:ind w:left="86"/>
              <w:jc w:val="left"/>
              <w:rPr>
                <w:sz w:val="12"/>
              </w:rPr>
            </w:pPr>
            <w:r>
              <w:rPr>
                <w:w w:val="105"/>
                <w:sz w:val="12"/>
              </w:rPr>
              <w:t>Infraestructura</w:t>
            </w:r>
          </w:p>
        </w:tc>
        <w:tc>
          <w:tcPr>
            <w:tcW w:w="2238" w:type="dxa"/>
          </w:tcPr>
          <w:p>
            <w:pPr>
              <w:pStyle w:val="TableParagraph"/>
              <w:spacing w:before="5"/>
              <w:ind w:left="285" w:right="285"/>
              <w:jc w:val="left"/>
              <w:rPr>
                <w:sz w:val="12"/>
              </w:rPr>
            </w:pPr>
            <w:r>
              <w:rPr>
                <w:w w:val="105"/>
                <w:sz w:val="12"/>
              </w:rPr>
              <w:t>Drenaje pluvial</w:t>
            </w:r>
          </w:p>
        </w:tc>
        <w:tc>
          <w:tcPr>
            <w:tcW w:w="1778" w:type="dxa"/>
          </w:tcPr>
          <w:p>
            <w:pPr>
              <w:pStyle w:val="TableParagraph"/>
              <w:spacing w:before="5"/>
              <w:ind w:left="703"/>
              <w:rPr>
                <w:sz w:val="12"/>
              </w:rPr>
            </w:pPr>
            <w:r>
              <w:rPr>
                <w:w w:val="104"/>
                <w:sz w:val="12"/>
              </w:rPr>
              <w:t>0</w:t>
            </w:r>
          </w:p>
        </w:tc>
        <w:tc>
          <w:tcPr>
            <w:tcW w:w="797" w:type="dxa"/>
          </w:tcPr>
          <w:p>
            <w:pPr/>
          </w:p>
        </w:tc>
        <w:tc>
          <w:tcPr>
            <w:tcW w:w="765" w:type="dxa"/>
          </w:tcPr>
          <w:p>
            <w:pPr>
              <w:pStyle w:val="TableParagraph"/>
              <w:spacing w:before="5"/>
              <w:ind w:left="136" w:right="34"/>
              <w:rPr>
                <w:sz w:val="12"/>
              </w:rPr>
            </w:pPr>
            <w:r>
              <w:rPr>
                <w:w w:val="105"/>
                <w:sz w:val="12"/>
              </w:rPr>
              <w:t>0.5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71" w:type="dxa"/>
            <w:tcBorders>
              <w:left w:val="single" w:sz="4" w:space="0" w:color="000000"/>
            </w:tcBorders>
          </w:tcPr>
          <w:p>
            <w:pPr/>
          </w:p>
        </w:tc>
        <w:tc>
          <w:tcPr>
            <w:tcW w:w="1893" w:type="dxa"/>
          </w:tcPr>
          <w:p>
            <w:pPr/>
          </w:p>
        </w:tc>
        <w:tc>
          <w:tcPr>
            <w:tcW w:w="2238" w:type="dxa"/>
          </w:tcPr>
          <w:p>
            <w:pPr>
              <w:pStyle w:val="TableParagraph"/>
              <w:spacing w:before="5"/>
              <w:ind w:left="285" w:right="285"/>
              <w:jc w:val="left"/>
              <w:rPr>
                <w:sz w:val="12"/>
              </w:rPr>
            </w:pPr>
            <w:r>
              <w:rPr>
                <w:w w:val="105"/>
                <w:sz w:val="12"/>
              </w:rPr>
              <w:t>Guarniciones y banquetas</w:t>
            </w:r>
          </w:p>
        </w:tc>
        <w:tc>
          <w:tcPr>
            <w:tcW w:w="1778" w:type="dxa"/>
          </w:tcPr>
          <w:p>
            <w:pPr>
              <w:pStyle w:val="TableParagraph"/>
              <w:spacing w:before="5"/>
              <w:ind w:left="884" w:right="181"/>
              <w:rPr>
                <w:sz w:val="12"/>
              </w:rPr>
            </w:pPr>
            <w:r>
              <w:rPr>
                <w:w w:val="105"/>
                <w:sz w:val="12"/>
              </w:rPr>
              <w:t>0.5</w:t>
            </w:r>
          </w:p>
        </w:tc>
        <w:tc>
          <w:tcPr>
            <w:tcW w:w="797" w:type="dxa"/>
          </w:tcPr>
          <w:p>
            <w:pPr/>
          </w:p>
        </w:tc>
        <w:tc>
          <w:tcPr>
            <w:tcW w:w="765" w:type="dxa"/>
          </w:tcPr>
          <w:p>
            <w:pPr>
              <w:pStyle w:val="TableParagraph"/>
              <w:spacing w:before="5"/>
              <w:ind w:left="136" w:right="34"/>
              <w:rPr>
                <w:sz w:val="12"/>
              </w:rPr>
            </w:pPr>
            <w:r>
              <w:rPr>
                <w:w w:val="105"/>
                <w:sz w:val="12"/>
              </w:rPr>
              <w:t>0.5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71" w:type="dxa"/>
            <w:tcBorders>
              <w:left w:val="single" w:sz="4" w:space="0" w:color="000000"/>
            </w:tcBorders>
          </w:tcPr>
          <w:p>
            <w:pPr/>
          </w:p>
        </w:tc>
        <w:tc>
          <w:tcPr>
            <w:tcW w:w="1893" w:type="dxa"/>
          </w:tcPr>
          <w:p>
            <w:pPr/>
          </w:p>
        </w:tc>
        <w:tc>
          <w:tcPr>
            <w:tcW w:w="2238" w:type="dxa"/>
          </w:tcPr>
          <w:p>
            <w:pPr>
              <w:pStyle w:val="TableParagraph"/>
              <w:spacing w:before="5"/>
              <w:ind w:left="285" w:right="285"/>
              <w:jc w:val="left"/>
              <w:rPr>
                <w:sz w:val="12"/>
              </w:rPr>
            </w:pPr>
            <w:r>
              <w:rPr>
                <w:w w:val="105"/>
                <w:sz w:val="12"/>
              </w:rPr>
              <w:t>Vialidades y calles</w:t>
            </w:r>
          </w:p>
        </w:tc>
        <w:tc>
          <w:tcPr>
            <w:tcW w:w="1778" w:type="dxa"/>
          </w:tcPr>
          <w:p>
            <w:pPr>
              <w:pStyle w:val="TableParagraph"/>
              <w:spacing w:before="5"/>
              <w:ind w:left="884" w:right="181"/>
              <w:rPr>
                <w:sz w:val="12"/>
              </w:rPr>
            </w:pPr>
            <w:r>
              <w:rPr>
                <w:w w:val="105"/>
                <w:sz w:val="12"/>
              </w:rPr>
              <w:t>0.5</w:t>
            </w:r>
          </w:p>
        </w:tc>
        <w:tc>
          <w:tcPr>
            <w:tcW w:w="797" w:type="dxa"/>
          </w:tcPr>
          <w:p>
            <w:pPr/>
          </w:p>
        </w:tc>
        <w:tc>
          <w:tcPr>
            <w:tcW w:w="765" w:type="dxa"/>
          </w:tcPr>
          <w:p>
            <w:pPr>
              <w:pStyle w:val="TableParagraph"/>
              <w:spacing w:before="5"/>
              <w:ind w:left="136" w:right="34"/>
              <w:rPr>
                <w:sz w:val="12"/>
              </w:rPr>
            </w:pPr>
            <w:r>
              <w:rPr>
                <w:w w:val="105"/>
                <w:sz w:val="12"/>
              </w:rPr>
              <w:t>0.5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71" w:type="dxa"/>
            <w:tcBorders>
              <w:left w:val="single" w:sz="4" w:space="0" w:color="000000"/>
            </w:tcBorders>
          </w:tcPr>
          <w:p>
            <w:pPr/>
          </w:p>
        </w:tc>
        <w:tc>
          <w:tcPr>
            <w:tcW w:w="1893" w:type="dxa"/>
          </w:tcPr>
          <w:p>
            <w:pPr/>
          </w:p>
        </w:tc>
        <w:tc>
          <w:tcPr>
            <w:tcW w:w="2238" w:type="dxa"/>
          </w:tcPr>
          <w:p>
            <w:pPr>
              <w:pStyle w:val="TableParagraph"/>
              <w:spacing w:before="5"/>
              <w:ind w:left="285" w:right="285"/>
              <w:jc w:val="left"/>
              <w:rPr>
                <w:sz w:val="12"/>
              </w:rPr>
            </w:pPr>
            <w:r>
              <w:rPr>
                <w:w w:val="105"/>
                <w:sz w:val="12"/>
              </w:rPr>
              <w:t>Señalización</w:t>
            </w:r>
          </w:p>
        </w:tc>
        <w:tc>
          <w:tcPr>
            <w:tcW w:w="1778" w:type="dxa"/>
          </w:tcPr>
          <w:p>
            <w:pPr>
              <w:pStyle w:val="TableParagraph"/>
              <w:spacing w:before="5"/>
              <w:ind w:left="884" w:right="181"/>
              <w:rPr>
                <w:sz w:val="12"/>
              </w:rPr>
            </w:pPr>
            <w:r>
              <w:rPr>
                <w:w w:val="105"/>
                <w:sz w:val="12"/>
              </w:rPr>
              <w:t>0.5</w:t>
            </w:r>
          </w:p>
        </w:tc>
        <w:tc>
          <w:tcPr>
            <w:tcW w:w="797" w:type="dxa"/>
          </w:tcPr>
          <w:p>
            <w:pPr/>
          </w:p>
        </w:tc>
        <w:tc>
          <w:tcPr>
            <w:tcW w:w="765" w:type="dxa"/>
          </w:tcPr>
          <w:p>
            <w:pPr>
              <w:pStyle w:val="TableParagraph"/>
              <w:spacing w:before="5"/>
              <w:ind w:left="136" w:right="34"/>
              <w:rPr>
                <w:sz w:val="12"/>
              </w:rPr>
            </w:pPr>
            <w:r>
              <w:rPr>
                <w:w w:val="105"/>
                <w:sz w:val="12"/>
              </w:rPr>
              <w:t>0.5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4" w:hRule="exact"/>
        </w:trPr>
        <w:tc>
          <w:tcPr>
            <w:tcW w:w="671" w:type="dxa"/>
            <w:tcBorders>
              <w:left w:val="single" w:sz="4" w:space="0" w:color="000000"/>
            </w:tcBorders>
          </w:tcPr>
          <w:p>
            <w:pPr/>
          </w:p>
        </w:tc>
        <w:tc>
          <w:tcPr>
            <w:tcW w:w="1893" w:type="dxa"/>
          </w:tcPr>
          <w:p>
            <w:pPr/>
          </w:p>
        </w:tc>
        <w:tc>
          <w:tcPr>
            <w:tcW w:w="2238" w:type="dxa"/>
          </w:tcPr>
          <w:p>
            <w:pPr/>
          </w:p>
        </w:tc>
        <w:tc>
          <w:tcPr>
            <w:tcW w:w="1778" w:type="dxa"/>
          </w:tcPr>
          <w:p>
            <w:pPr>
              <w:pStyle w:val="TableParagraph"/>
              <w:spacing w:before="5"/>
              <w:ind w:left="877" w:right="181"/>
              <w:rPr>
                <w:sz w:val="12"/>
              </w:rPr>
            </w:pPr>
            <w:r>
              <w:rPr>
                <w:w w:val="105"/>
                <w:sz w:val="12"/>
              </w:rPr>
              <w:t>Subtotal</w:t>
            </w:r>
          </w:p>
        </w:tc>
        <w:tc>
          <w:tcPr>
            <w:tcW w:w="797" w:type="dxa"/>
          </w:tcPr>
          <w:p>
            <w:pPr>
              <w:pStyle w:val="TableParagraph"/>
              <w:tabs>
                <w:tab w:pos="515"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2</w:t>
            </w:r>
            <w:r>
              <w:rPr>
                <w:sz w:val="12"/>
                <w:shd w:fill="F79646" w:color="auto" w:val="clear"/>
              </w:rPr>
              <w:tab/>
            </w:r>
          </w:p>
        </w:tc>
        <w:tc>
          <w:tcPr>
            <w:tcW w:w="765" w:type="dxa"/>
          </w:tcPr>
          <w:p>
            <w:pPr>
              <w:pStyle w:val="TableParagraph"/>
              <w:spacing w:before="5"/>
              <w:ind w:left="136" w:right="34"/>
              <w:rPr>
                <w:sz w:val="12"/>
              </w:rPr>
            </w:pPr>
            <w:r>
              <w:rPr>
                <w:w w:val="105"/>
                <w:sz w:val="12"/>
              </w:rPr>
              <w:t>3.5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7</w:t>
            </w:r>
          </w:p>
        </w:tc>
      </w:tr>
      <w:tr>
        <w:trPr>
          <w:trHeight w:val="146" w:hRule="exact"/>
        </w:trPr>
        <w:tc>
          <w:tcPr>
            <w:tcW w:w="8822" w:type="dxa"/>
            <w:gridSpan w:val="7"/>
            <w:tcBorders>
              <w:left w:val="single" w:sz="4" w:space="0" w:color="000000"/>
              <w:right w:val="single" w:sz="8" w:space="0" w:color="000000"/>
            </w:tcBorders>
          </w:tcPr>
          <w:p>
            <w:pPr/>
          </w:p>
        </w:tc>
      </w:tr>
      <w:tr>
        <w:trPr>
          <w:trHeight w:val="160" w:hRule="exact"/>
        </w:trPr>
        <w:tc>
          <w:tcPr>
            <w:tcW w:w="671" w:type="dxa"/>
            <w:vMerge w:val="restart"/>
            <w:tcBorders>
              <w:left w:val="single" w:sz="4" w:space="0" w:color="000000"/>
            </w:tcBorders>
          </w:tcPr>
          <w:p>
            <w:pPr>
              <w:pStyle w:val="TableParagraph"/>
              <w:spacing w:before="81"/>
              <w:ind w:left="20" w:right="-18"/>
              <w:jc w:val="left"/>
              <w:rPr>
                <w:sz w:val="12"/>
              </w:rPr>
            </w:pPr>
            <w:r>
              <w:rPr>
                <w:w w:val="105"/>
                <w:sz w:val="12"/>
              </w:rPr>
              <w:t>Ambiental</w:t>
            </w:r>
          </w:p>
        </w:tc>
        <w:tc>
          <w:tcPr>
            <w:tcW w:w="1893" w:type="dxa"/>
            <w:vMerge w:val="restart"/>
          </w:tcPr>
          <w:p>
            <w:pPr>
              <w:pStyle w:val="TableParagraph"/>
              <w:spacing w:before="3"/>
              <w:jc w:val="left"/>
              <w:rPr>
                <w:sz w:val="14"/>
              </w:rPr>
            </w:pPr>
          </w:p>
          <w:p>
            <w:pPr>
              <w:pStyle w:val="TableParagraph"/>
              <w:ind w:left="86"/>
              <w:jc w:val="left"/>
              <w:rPr>
                <w:sz w:val="12"/>
              </w:rPr>
            </w:pPr>
            <w:r>
              <w:rPr>
                <w:w w:val="105"/>
                <w:sz w:val="12"/>
              </w:rPr>
              <w:t>Áreas verdes</w:t>
            </w:r>
          </w:p>
        </w:tc>
        <w:tc>
          <w:tcPr>
            <w:tcW w:w="2238" w:type="dxa"/>
            <w:vMerge w:val="restart"/>
          </w:tcPr>
          <w:p>
            <w:pPr>
              <w:pStyle w:val="TableParagraph"/>
              <w:spacing w:line="273" w:lineRule="auto" w:before="7"/>
              <w:ind w:left="285" w:right="1076"/>
              <w:jc w:val="left"/>
              <w:rPr>
                <w:sz w:val="12"/>
              </w:rPr>
            </w:pPr>
            <w:r>
              <w:rPr>
                <w:w w:val="105"/>
                <w:sz w:val="12"/>
              </w:rPr>
              <w:t>Superficie Índice OMS</w:t>
            </w:r>
          </w:p>
        </w:tc>
        <w:tc>
          <w:tcPr>
            <w:tcW w:w="1778" w:type="dxa"/>
            <w:vMerge w:val="restart"/>
          </w:tcPr>
          <w:p>
            <w:pPr>
              <w:pStyle w:val="TableParagraph"/>
              <w:spacing w:before="7"/>
              <w:ind w:right="500"/>
              <w:jc w:val="right"/>
              <w:rPr>
                <w:sz w:val="12"/>
              </w:rPr>
            </w:pPr>
            <w:r>
              <w:rPr>
                <w:w w:val="104"/>
                <w:sz w:val="12"/>
              </w:rPr>
              <w:t>1</w:t>
            </w:r>
          </w:p>
          <w:p>
            <w:pPr>
              <w:pStyle w:val="TableParagraph"/>
              <w:spacing w:before="19"/>
              <w:ind w:right="447"/>
              <w:jc w:val="right"/>
              <w:rPr>
                <w:sz w:val="12"/>
              </w:rPr>
            </w:pPr>
            <w:r>
              <w:rPr>
                <w:w w:val="105"/>
                <w:sz w:val="12"/>
              </w:rPr>
              <w:t>0.5</w:t>
            </w:r>
          </w:p>
        </w:tc>
        <w:tc>
          <w:tcPr>
            <w:tcW w:w="797" w:type="dxa"/>
            <w:vMerge w:val="restart"/>
          </w:tcPr>
          <w:p>
            <w:pPr/>
          </w:p>
        </w:tc>
        <w:tc>
          <w:tcPr>
            <w:tcW w:w="765" w:type="dxa"/>
            <w:vMerge w:val="restart"/>
          </w:tcPr>
          <w:p>
            <w:pPr>
              <w:pStyle w:val="TableParagraph"/>
              <w:spacing w:before="7"/>
              <w:ind w:left="102"/>
              <w:rPr>
                <w:sz w:val="12"/>
              </w:rPr>
            </w:pPr>
            <w:r>
              <w:rPr>
                <w:w w:val="104"/>
                <w:sz w:val="12"/>
              </w:rPr>
              <w:t>1</w:t>
            </w:r>
          </w:p>
          <w:p>
            <w:pPr>
              <w:pStyle w:val="TableParagraph"/>
              <w:spacing w:before="19"/>
              <w:ind w:left="136" w:right="34"/>
              <w:rPr>
                <w:sz w:val="12"/>
              </w:rPr>
            </w:pPr>
            <w:r>
              <w:rPr>
                <w:w w:val="105"/>
                <w:sz w:val="12"/>
              </w:rPr>
              <w:t>0.8</w:t>
            </w:r>
          </w:p>
        </w:tc>
        <w:tc>
          <w:tcPr>
            <w:tcW w:w="680" w:type="dxa"/>
            <w:tcBorders>
              <w:right w:val="single" w:sz="8" w:space="0" w:color="000000"/>
            </w:tcBorders>
            <w:shd w:val="clear" w:color="auto" w:fill="67ED4D"/>
          </w:tcPr>
          <w:p>
            <w:pPr>
              <w:pStyle w:val="TableParagraph"/>
              <w:spacing w:before="7"/>
              <w:ind w:left="27"/>
              <w:rPr>
                <w:sz w:val="12"/>
              </w:rPr>
            </w:pPr>
            <w:r>
              <w:rPr>
                <w:w w:val="104"/>
                <w:sz w:val="12"/>
              </w:rPr>
              <w:t>1</w:t>
            </w:r>
          </w:p>
        </w:tc>
      </w:tr>
      <w:tr>
        <w:trPr>
          <w:trHeight w:val="157" w:hRule="exact"/>
        </w:trPr>
        <w:tc>
          <w:tcPr>
            <w:tcW w:w="671" w:type="dxa"/>
            <w:vMerge/>
            <w:tcBorders>
              <w:left w:val="single" w:sz="4" w:space="0" w:color="000000"/>
            </w:tcBorders>
          </w:tcPr>
          <w:p>
            <w:pPr/>
          </w:p>
        </w:tc>
        <w:tc>
          <w:tcPr>
            <w:tcW w:w="1893" w:type="dxa"/>
            <w:vMerge/>
          </w:tcPr>
          <w:p>
            <w:pPr/>
          </w:p>
        </w:tc>
        <w:tc>
          <w:tcPr>
            <w:tcW w:w="2238" w:type="dxa"/>
            <w:vMerge/>
          </w:tcPr>
          <w:p>
            <w:pPr/>
          </w:p>
        </w:tc>
        <w:tc>
          <w:tcPr>
            <w:tcW w:w="1778" w:type="dxa"/>
            <w:vMerge/>
          </w:tcPr>
          <w:p>
            <w:pPr/>
          </w:p>
        </w:tc>
        <w:tc>
          <w:tcPr>
            <w:tcW w:w="797" w:type="dxa"/>
            <w:vMerge/>
          </w:tcPr>
          <w:p>
            <w:pPr/>
          </w:p>
        </w:tc>
        <w:tc>
          <w:tcPr>
            <w:tcW w:w="765" w:type="dxa"/>
            <w:vMerge/>
          </w:tcPr>
          <w:p>
            <w:pP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71" w:type="dxa"/>
            <w:tcBorders>
              <w:left w:val="single" w:sz="4" w:space="0" w:color="000000"/>
            </w:tcBorders>
          </w:tcPr>
          <w:p>
            <w:pPr/>
          </w:p>
        </w:tc>
        <w:tc>
          <w:tcPr>
            <w:tcW w:w="1893" w:type="dxa"/>
          </w:tcPr>
          <w:p>
            <w:pPr/>
          </w:p>
        </w:tc>
        <w:tc>
          <w:tcPr>
            <w:tcW w:w="2238" w:type="dxa"/>
          </w:tcPr>
          <w:p>
            <w:pPr>
              <w:pStyle w:val="TableParagraph"/>
              <w:spacing w:before="5"/>
              <w:ind w:left="285" w:right="285"/>
              <w:jc w:val="left"/>
              <w:rPr>
                <w:sz w:val="12"/>
              </w:rPr>
            </w:pPr>
            <w:r>
              <w:rPr>
                <w:w w:val="105"/>
                <w:sz w:val="12"/>
              </w:rPr>
              <w:t>Índice ONU</w:t>
            </w:r>
          </w:p>
        </w:tc>
        <w:tc>
          <w:tcPr>
            <w:tcW w:w="1778" w:type="dxa"/>
          </w:tcPr>
          <w:p>
            <w:pPr>
              <w:pStyle w:val="TableParagraph"/>
              <w:spacing w:before="5"/>
              <w:ind w:left="884" w:right="181"/>
              <w:rPr>
                <w:sz w:val="12"/>
              </w:rPr>
            </w:pPr>
            <w:r>
              <w:rPr>
                <w:w w:val="105"/>
                <w:sz w:val="12"/>
              </w:rPr>
              <w:t>0.5</w:t>
            </w:r>
          </w:p>
        </w:tc>
        <w:tc>
          <w:tcPr>
            <w:tcW w:w="797" w:type="dxa"/>
          </w:tcPr>
          <w:p>
            <w:pPr/>
          </w:p>
        </w:tc>
        <w:tc>
          <w:tcPr>
            <w:tcW w:w="765" w:type="dxa"/>
          </w:tcPr>
          <w:p>
            <w:pPr>
              <w:pStyle w:val="TableParagraph"/>
              <w:spacing w:before="5"/>
              <w:ind w:left="136" w:right="34"/>
              <w:rPr>
                <w:sz w:val="12"/>
              </w:rPr>
            </w:pPr>
            <w:r>
              <w:rPr>
                <w:w w:val="105"/>
                <w:sz w:val="12"/>
              </w:rPr>
              <w:t>0.8</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4" w:hRule="exact"/>
        </w:trPr>
        <w:tc>
          <w:tcPr>
            <w:tcW w:w="671" w:type="dxa"/>
            <w:tcBorders>
              <w:left w:val="single" w:sz="4" w:space="0" w:color="000000"/>
            </w:tcBorders>
          </w:tcPr>
          <w:p>
            <w:pPr/>
          </w:p>
        </w:tc>
        <w:tc>
          <w:tcPr>
            <w:tcW w:w="1893" w:type="dxa"/>
          </w:tcPr>
          <w:p>
            <w:pPr/>
          </w:p>
        </w:tc>
        <w:tc>
          <w:tcPr>
            <w:tcW w:w="2238" w:type="dxa"/>
          </w:tcPr>
          <w:p>
            <w:pPr/>
          </w:p>
        </w:tc>
        <w:tc>
          <w:tcPr>
            <w:tcW w:w="1778" w:type="dxa"/>
          </w:tcPr>
          <w:p>
            <w:pPr>
              <w:pStyle w:val="TableParagraph"/>
              <w:spacing w:before="5"/>
              <w:ind w:left="877" w:right="181"/>
              <w:rPr>
                <w:sz w:val="12"/>
              </w:rPr>
            </w:pPr>
            <w:r>
              <w:rPr>
                <w:w w:val="105"/>
                <w:sz w:val="12"/>
              </w:rPr>
              <w:t>Subtotal</w:t>
            </w:r>
          </w:p>
        </w:tc>
        <w:tc>
          <w:tcPr>
            <w:tcW w:w="797" w:type="dxa"/>
          </w:tcPr>
          <w:p>
            <w:pPr>
              <w:pStyle w:val="TableParagraph"/>
              <w:tabs>
                <w:tab w:pos="515"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2</w:t>
            </w:r>
            <w:r>
              <w:rPr>
                <w:sz w:val="12"/>
                <w:shd w:fill="F79646" w:color="auto" w:val="clear"/>
              </w:rPr>
              <w:tab/>
            </w:r>
          </w:p>
        </w:tc>
        <w:tc>
          <w:tcPr>
            <w:tcW w:w="765" w:type="dxa"/>
          </w:tcPr>
          <w:p>
            <w:pPr>
              <w:pStyle w:val="TableParagraph"/>
              <w:spacing w:before="5"/>
              <w:ind w:left="136" w:right="34"/>
              <w:rPr>
                <w:sz w:val="12"/>
              </w:rPr>
            </w:pPr>
            <w:r>
              <w:rPr>
                <w:w w:val="105"/>
                <w:sz w:val="12"/>
              </w:rPr>
              <w:t>2.6</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3</w:t>
            </w:r>
          </w:p>
        </w:tc>
      </w:tr>
      <w:tr>
        <w:trPr>
          <w:trHeight w:val="146" w:hRule="exact"/>
        </w:trPr>
        <w:tc>
          <w:tcPr>
            <w:tcW w:w="8822" w:type="dxa"/>
            <w:gridSpan w:val="7"/>
            <w:tcBorders>
              <w:left w:val="single" w:sz="4" w:space="0" w:color="000000"/>
              <w:right w:val="single" w:sz="8" w:space="0" w:color="000000"/>
            </w:tcBorders>
          </w:tcPr>
          <w:p>
            <w:pPr/>
          </w:p>
        </w:tc>
      </w:tr>
      <w:tr>
        <w:trPr>
          <w:trHeight w:val="160" w:hRule="exact"/>
        </w:trPr>
        <w:tc>
          <w:tcPr>
            <w:tcW w:w="671" w:type="dxa"/>
            <w:vMerge w:val="restart"/>
            <w:tcBorders>
              <w:left w:val="single" w:sz="4" w:space="0" w:color="000000"/>
            </w:tcBorders>
          </w:tcPr>
          <w:p>
            <w:pPr/>
          </w:p>
        </w:tc>
        <w:tc>
          <w:tcPr>
            <w:tcW w:w="1893" w:type="dxa"/>
          </w:tcPr>
          <w:p>
            <w:pPr/>
          </w:p>
        </w:tc>
        <w:tc>
          <w:tcPr>
            <w:tcW w:w="2238" w:type="dxa"/>
          </w:tcPr>
          <w:p>
            <w:pPr>
              <w:pStyle w:val="TableParagraph"/>
              <w:spacing w:before="7"/>
              <w:ind w:left="285" w:right="285"/>
              <w:jc w:val="left"/>
              <w:rPr>
                <w:sz w:val="12"/>
              </w:rPr>
            </w:pPr>
            <w:r>
              <w:rPr>
                <w:w w:val="105"/>
                <w:sz w:val="12"/>
              </w:rPr>
              <w:t>Separación</w:t>
            </w:r>
          </w:p>
        </w:tc>
        <w:tc>
          <w:tcPr>
            <w:tcW w:w="1778" w:type="dxa"/>
          </w:tcPr>
          <w:p>
            <w:pPr>
              <w:pStyle w:val="TableParagraph"/>
              <w:spacing w:before="7"/>
              <w:ind w:left="703"/>
              <w:rPr>
                <w:sz w:val="12"/>
              </w:rPr>
            </w:pPr>
            <w:r>
              <w:rPr>
                <w:w w:val="104"/>
                <w:sz w:val="12"/>
              </w:rPr>
              <w:t>0</w:t>
            </w:r>
          </w:p>
        </w:tc>
        <w:tc>
          <w:tcPr>
            <w:tcW w:w="797" w:type="dxa"/>
          </w:tcPr>
          <w:p>
            <w:pPr/>
          </w:p>
        </w:tc>
        <w:tc>
          <w:tcPr>
            <w:tcW w:w="765" w:type="dxa"/>
          </w:tcPr>
          <w:p>
            <w:pPr>
              <w:pStyle w:val="TableParagraph"/>
              <w:spacing w:before="7"/>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7"/>
              <w:ind w:left="27"/>
              <w:rPr>
                <w:sz w:val="12"/>
              </w:rPr>
            </w:pPr>
            <w:r>
              <w:rPr>
                <w:w w:val="104"/>
                <w:sz w:val="12"/>
              </w:rPr>
              <w:t>1</w:t>
            </w:r>
          </w:p>
        </w:tc>
      </w:tr>
      <w:tr>
        <w:trPr>
          <w:trHeight w:val="157" w:hRule="exact"/>
        </w:trPr>
        <w:tc>
          <w:tcPr>
            <w:tcW w:w="671" w:type="dxa"/>
            <w:vMerge/>
            <w:tcBorders>
              <w:left w:val="single" w:sz="4" w:space="0" w:color="000000"/>
            </w:tcBorders>
          </w:tcPr>
          <w:p>
            <w:pPr/>
          </w:p>
        </w:tc>
        <w:tc>
          <w:tcPr>
            <w:tcW w:w="1893" w:type="dxa"/>
          </w:tcPr>
          <w:p>
            <w:pPr>
              <w:pStyle w:val="TableParagraph"/>
              <w:spacing w:before="5"/>
              <w:ind w:left="86"/>
              <w:jc w:val="left"/>
              <w:rPr>
                <w:sz w:val="12"/>
              </w:rPr>
            </w:pPr>
            <w:r>
              <w:rPr>
                <w:w w:val="105"/>
                <w:sz w:val="12"/>
              </w:rPr>
              <w:t>Manejo de residuos solidos</w:t>
            </w:r>
          </w:p>
        </w:tc>
        <w:tc>
          <w:tcPr>
            <w:tcW w:w="2238" w:type="dxa"/>
          </w:tcPr>
          <w:p>
            <w:pPr>
              <w:pStyle w:val="TableParagraph"/>
              <w:spacing w:before="5"/>
              <w:ind w:left="285" w:right="285"/>
              <w:jc w:val="left"/>
              <w:rPr>
                <w:sz w:val="12"/>
              </w:rPr>
            </w:pPr>
            <w:r>
              <w:rPr>
                <w:w w:val="105"/>
                <w:sz w:val="12"/>
              </w:rPr>
              <w:t>Recolección</w:t>
            </w:r>
          </w:p>
        </w:tc>
        <w:tc>
          <w:tcPr>
            <w:tcW w:w="1778" w:type="dxa"/>
          </w:tcPr>
          <w:p>
            <w:pPr>
              <w:pStyle w:val="TableParagraph"/>
              <w:spacing w:before="5"/>
              <w:ind w:left="703"/>
              <w:rPr>
                <w:sz w:val="12"/>
              </w:rPr>
            </w:pPr>
            <w:r>
              <w:rPr>
                <w:w w:val="104"/>
                <w:sz w:val="12"/>
              </w:rPr>
              <w:t>1</w:t>
            </w:r>
          </w:p>
        </w:tc>
        <w:tc>
          <w:tcPr>
            <w:tcW w:w="797" w:type="dxa"/>
          </w:tcPr>
          <w:p>
            <w:pPr/>
          </w:p>
        </w:tc>
        <w:tc>
          <w:tcPr>
            <w:tcW w:w="765" w:type="dxa"/>
          </w:tcPr>
          <w:p>
            <w:pPr>
              <w:pStyle w:val="TableParagraph"/>
              <w:spacing w:before="5"/>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71" w:type="dxa"/>
            <w:vMerge/>
            <w:tcBorders>
              <w:left w:val="single" w:sz="4" w:space="0" w:color="000000"/>
            </w:tcBorders>
          </w:tcPr>
          <w:p>
            <w:pPr/>
          </w:p>
        </w:tc>
        <w:tc>
          <w:tcPr>
            <w:tcW w:w="1893" w:type="dxa"/>
          </w:tcPr>
          <w:p>
            <w:pPr/>
          </w:p>
        </w:tc>
        <w:tc>
          <w:tcPr>
            <w:tcW w:w="2238" w:type="dxa"/>
          </w:tcPr>
          <w:p>
            <w:pPr>
              <w:pStyle w:val="TableParagraph"/>
              <w:spacing w:before="5"/>
              <w:ind w:left="285" w:right="285"/>
              <w:jc w:val="left"/>
              <w:rPr>
                <w:sz w:val="12"/>
              </w:rPr>
            </w:pPr>
            <w:r>
              <w:rPr>
                <w:w w:val="105"/>
                <w:sz w:val="12"/>
              </w:rPr>
              <w:t>Disposición</w:t>
            </w:r>
          </w:p>
        </w:tc>
        <w:tc>
          <w:tcPr>
            <w:tcW w:w="1778" w:type="dxa"/>
          </w:tcPr>
          <w:p>
            <w:pPr>
              <w:pStyle w:val="TableParagraph"/>
              <w:spacing w:before="5"/>
              <w:ind w:left="884" w:right="181"/>
              <w:rPr>
                <w:sz w:val="12"/>
              </w:rPr>
            </w:pPr>
            <w:r>
              <w:rPr>
                <w:w w:val="105"/>
                <w:sz w:val="12"/>
              </w:rPr>
              <w:t>0.5</w:t>
            </w:r>
          </w:p>
        </w:tc>
        <w:tc>
          <w:tcPr>
            <w:tcW w:w="797" w:type="dxa"/>
          </w:tcPr>
          <w:p>
            <w:pPr/>
          </w:p>
        </w:tc>
        <w:tc>
          <w:tcPr>
            <w:tcW w:w="765" w:type="dxa"/>
          </w:tcPr>
          <w:p>
            <w:pPr>
              <w:pStyle w:val="TableParagraph"/>
              <w:spacing w:before="5"/>
              <w:ind w:left="136" w:right="34"/>
              <w:rPr>
                <w:sz w:val="12"/>
              </w:rPr>
            </w:pPr>
            <w:r>
              <w:rPr>
                <w:w w:val="105"/>
                <w:sz w:val="12"/>
              </w:rPr>
              <w:t>0.8</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4" w:hRule="exact"/>
        </w:trPr>
        <w:tc>
          <w:tcPr>
            <w:tcW w:w="671" w:type="dxa"/>
            <w:vMerge/>
            <w:tcBorders>
              <w:left w:val="single" w:sz="4" w:space="0" w:color="000000"/>
            </w:tcBorders>
          </w:tcPr>
          <w:p>
            <w:pPr/>
          </w:p>
        </w:tc>
        <w:tc>
          <w:tcPr>
            <w:tcW w:w="1893" w:type="dxa"/>
          </w:tcPr>
          <w:p>
            <w:pPr/>
          </w:p>
        </w:tc>
        <w:tc>
          <w:tcPr>
            <w:tcW w:w="2238" w:type="dxa"/>
          </w:tcPr>
          <w:p>
            <w:pPr/>
          </w:p>
        </w:tc>
        <w:tc>
          <w:tcPr>
            <w:tcW w:w="1778" w:type="dxa"/>
          </w:tcPr>
          <w:p>
            <w:pPr>
              <w:pStyle w:val="TableParagraph"/>
              <w:spacing w:before="5"/>
              <w:ind w:left="877" w:right="181"/>
              <w:rPr>
                <w:sz w:val="12"/>
              </w:rPr>
            </w:pPr>
            <w:r>
              <w:rPr>
                <w:w w:val="105"/>
                <w:sz w:val="12"/>
              </w:rPr>
              <w:t>Subtotal</w:t>
            </w:r>
          </w:p>
        </w:tc>
        <w:tc>
          <w:tcPr>
            <w:tcW w:w="797" w:type="dxa"/>
          </w:tcPr>
          <w:p>
            <w:pPr>
              <w:pStyle w:val="TableParagraph"/>
              <w:tabs>
                <w:tab w:pos="463"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1.5</w:t>
            </w:r>
            <w:r>
              <w:rPr>
                <w:sz w:val="12"/>
                <w:shd w:fill="F79646" w:color="auto" w:val="clear"/>
              </w:rPr>
              <w:tab/>
            </w:r>
          </w:p>
        </w:tc>
        <w:tc>
          <w:tcPr>
            <w:tcW w:w="765" w:type="dxa"/>
          </w:tcPr>
          <w:p>
            <w:pPr>
              <w:pStyle w:val="TableParagraph"/>
              <w:spacing w:before="5"/>
              <w:ind w:left="136" w:right="34"/>
              <w:rPr>
                <w:sz w:val="12"/>
              </w:rPr>
            </w:pPr>
            <w:r>
              <w:rPr>
                <w:w w:val="105"/>
                <w:sz w:val="12"/>
              </w:rPr>
              <w:t>2.8</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3</w:t>
            </w:r>
          </w:p>
        </w:tc>
      </w:tr>
      <w:tr>
        <w:trPr>
          <w:trHeight w:val="146" w:hRule="exact"/>
        </w:trPr>
        <w:tc>
          <w:tcPr>
            <w:tcW w:w="8822" w:type="dxa"/>
            <w:gridSpan w:val="7"/>
            <w:tcBorders>
              <w:left w:val="single" w:sz="4" w:space="0" w:color="000000"/>
              <w:right w:val="single" w:sz="8" w:space="0" w:color="000000"/>
            </w:tcBorders>
          </w:tcPr>
          <w:p>
            <w:pPr/>
          </w:p>
        </w:tc>
      </w:tr>
      <w:tr>
        <w:trPr>
          <w:trHeight w:val="160" w:hRule="exact"/>
        </w:trPr>
        <w:tc>
          <w:tcPr>
            <w:tcW w:w="671" w:type="dxa"/>
            <w:vMerge w:val="restart"/>
            <w:tcBorders>
              <w:left w:val="single" w:sz="4" w:space="0" w:color="000000"/>
            </w:tcBorders>
          </w:tcPr>
          <w:p>
            <w:pPr/>
          </w:p>
        </w:tc>
        <w:tc>
          <w:tcPr>
            <w:tcW w:w="1893" w:type="dxa"/>
          </w:tcPr>
          <w:p>
            <w:pPr/>
          </w:p>
        </w:tc>
        <w:tc>
          <w:tcPr>
            <w:tcW w:w="2238" w:type="dxa"/>
          </w:tcPr>
          <w:p>
            <w:pPr>
              <w:pStyle w:val="TableParagraph"/>
              <w:spacing w:before="7"/>
              <w:ind w:left="285" w:right="285"/>
              <w:jc w:val="left"/>
              <w:rPr>
                <w:sz w:val="12"/>
              </w:rPr>
            </w:pPr>
            <w:r>
              <w:rPr>
                <w:w w:val="105"/>
                <w:sz w:val="12"/>
              </w:rPr>
              <w:t>Vivienda</w:t>
            </w:r>
          </w:p>
        </w:tc>
        <w:tc>
          <w:tcPr>
            <w:tcW w:w="1778" w:type="dxa"/>
          </w:tcPr>
          <w:p>
            <w:pPr>
              <w:pStyle w:val="TableParagraph"/>
              <w:spacing w:before="7"/>
              <w:ind w:left="884" w:right="181"/>
              <w:rPr>
                <w:sz w:val="12"/>
              </w:rPr>
            </w:pPr>
            <w:r>
              <w:rPr>
                <w:w w:val="105"/>
                <w:sz w:val="12"/>
              </w:rPr>
              <w:t>0.2</w:t>
            </w:r>
          </w:p>
        </w:tc>
        <w:tc>
          <w:tcPr>
            <w:tcW w:w="797" w:type="dxa"/>
          </w:tcPr>
          <w:p>
            <w:pPr/>
          </w:p>
        </w:tc>
        <w:tc>
          <w:tcPr>
            <w:tcW w:w="765" w:type="dxa"/>
          </w:tcPr>
          <w:p>
            <w:pPr>
              <w:pStyle w:val="TableParagraph"/>
              <w:spacing w:before="7"/>
              <w:ind w:left="136" w:right="34"/>
              <w:rPr>
                <w:sz w:val="12"/>
              </w:rPr>
            </w:pPr>
            <w:r>
              <w:rPr>
                <w:w w:val="105"/>
                <w:sz w:val="12"/>
              </w:rPr>
              <w:t>0.6</w:t>
            </w:r>
          </w:p>
        </w:tc>
        <w:tc>
          <w:tcPr>
            <w:tcW w:w="680" w:type="dxa"/>
            <w:tcBorders>
              <w:right w:val="single" w:sz="8" w:space="0" w:color="000000"/>
            </w:tcBorders>
            <w:shd w:val="clear" w:color="auto" w:fill="67ED4D"/>
          </w:tcPr>
          <w:p>
            <w:pPr>
              <w:pStyle w:val="TableParagraph"/>
              <w:spacing w:before="7"/>
              <w:ind w:left="27"/>
              <w:rPr>
                <w:sz w:val="12"/>
              </w:rPr>
            </w:pPr>
            <w:r>
              <w:rPr>
                <w:w w:val="104"/>
                <w:sz w:val="12"/>
              </w:rPr>
              <w:t>1</w:t>
            </w:r>
          </w:p>
        </w:tc>
      </w:tr>
      <w:tr>
        <w:trPr>
          <w:trHeight w:val="157" w:hRule="exact"/>
        </w:trPr>
        <w:tc>
          <w:tcPr>
            <w:tcW w:w="671" w:type="dxa"/>
            <w:vMerge/>
            <w:tcBorders>
              <w:left w:val="single" w:sz="4" w:space="0" w:color="000000"/>
            </w:tcBorders>
          </w:tcPr>
          <w:p>
            <w:pPr/>
          </w:p>
        </w:tc>
        <w:tc>
          <w:tcPr>
            <w:tcW w:w="1893" w:type="dxa"/>
            <w:vMerge w:val="restart"/>
          </w:tcPr>
          <w:p>
            <w:pPr>
              <w:pStyle w:val="TableParagraph"/>
              <w:spacing w:before="78"/>
              <w:ind w:left="86"/>
              <w:jc w:val="left"/>
              <w:rPr>
                <w:sz w:val="12"/>
              </w:rPr>
            </w:pPr>
            <w:r>
              <w:rPr>
                <w:w w:val="105"/>
                <w:sz w:val="12"/>
              </w:rPr>
              <w:t>Ecotegnologías</w:t>
            </w:r>
          </w:p>
        </w:tc>
        <w:tc>
          <w:tcPr>
            <w:tcW w:w="2238" w:type="dxa"/>
            <w:vMerge w:val="restart"/>
          </w:tcPr>
          <w:p>
            <w:pPr>
              <w:pStyle w:val="TableParagraph"/>
              <w:spacing w:line="273" w:lineRule="auto" w:before="5"/>
              <w:ind w:left="285" w:right="1076"/>
              <w:jc w:val="left"/>
              <w:rPr>
                <w:sz w:val="12"/>
              </w:rPr>
            </w:pPr>
            <w:r>
              <w:rPr>
                <w:w w:val="105"/>
                <w:sz w:val="12"/>
              </w:rPr>
              <w:t>Urbanización </w:t>
            </w:r>
            <w:r>
              <w:rPr>
                <w:sz w:val="12"/>
              </w:rPr>
              <w:t>Equipamiento</w:t>
            </w:r>
          </w:p>
        </w:tc>
        <w:tc>
          <w:tcPr>
            <w:tcW w:w="1778" w:type="dxa"/>
            <w:vMerge w:val="restart"/>
          </w:tcPr>
          <w:p>
            <w:pPr>
              <w:pStyle w:val="TableParagraph"/>
              <w:spacing w:before="5"/>
              <w:ind w:right="500"/>
              <w:jc w:val="right"/>
              <w:rPr>
                <w:sz w:val="12"/>
              </w:rPr>
            </w:pPr>
            <w:r>
              <w:rPr>
                <w:w w:val="104"/>
                <w:sz w:val="12"/>
              </w:rPr>
              <w:t>0</w:t>
            </w:r>
          </w:p>
          <w:p>
            <w:pPr>
              <w:pStyle w:val="TableParagraph"/>
              <w:spacing w:before="19"/>
              <w:ind w:right="500"/>
              <w:jc w:val="right"/>
              <w:rPr>
                <w:sz w:val="12"/>
              </w:rPr>
            </w:pPr>
            <w:r>
              <w:rPr>
                <w:w w:val="104"/>
                <w:sz w:val="12"/>
              </w:rPr>
              <w:t>0</w:t>
            </w:r>
          </w:p>
        </w:tc>
        <w:tc>
          <w:tcPr>
            <w:tcW w:w="797" w:type="dxa"/>
            <w:vMerge w:val="restart"/>
          </w:tcPr>
          <w:p>
            <w:pPr/>
          </w:p>
        </w:tc>
        <w:tc>
          <w:tcPr>
            <w:tcW w:w="765" w:type="dxa"/>
            <w:vMerge w:val="restart"/>
          </w:tcPr>
          <w:p>
            <w:pPr>
              <w:pStyle w:val="TableParagraph"/>
              <w:spacing w:before="5"/>
              <w:ind w:left="136" w:right="34"/>
              <w:rPr>
                <w:sz w:val="12"/>
              </w:rPr>
            </w:pPr>
            <w:r>
              <w:rPr>
                <w:w w:val="105"/>
                <w:sz w:val="12"/>
              </w:rPr>
              <w:t>0.5</w:t>
            </w:r>
          </w:p>
          <w:p>
            <w:pPr>
              <w:pStyle w:val="TableParagraph"/>
              <w:spacing w:before="19"/>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71" w:type="dxa"/>
            <w:vMerge/>
            <w:tcBorders>
              <w:left w:val="single" w:sz="4" w:space="0" w:color="000000"/>
            </w:tcBorders>
          </w:tcPr>
          <w:p>
            <w:pPr/>
          </w:p>
        </w:tc>
        <w:tc>
          <w:tcPr>
            <w:tcW w:w="1893" w:type="dxa"/>
            <w:vMerge/>
          </w:tcPr>
          <w:p>
            <w:pPr/>
          </w:p>
        </w:tc>
        <w:tc>
          <w:tcPr>
            <w:tcW w:w="2238" w:type="dxa"/>
            <w:vMerge/>
          </w:tcPr>
          <w:p>
            <w:pPr/>
          </w:p>
        </w:tc>
        <w:tc>
          <w:tcPr>
            <w:tcW w:w="1778" w:type="dxa"/>
            <w:vMerge/>
          </w:tcPr>
          <w:p>
            <w:pPr/>
          </w:p>
        </w:tc>
        <w:tc>
          <w:tcPr>
            <w:tcW w:w="797" w:type="dxa"/>
            <w:vMerge/>
          </w:tcPr>
          <w:p>
            <w:pPr/>
          </w:p>
        </w:tc>
        <w:tc>
          <w:tcPr>
            <w:tcW w:w="765" w:type="dxa"/>
            <w:vMerge/>
          </w:tcPr>
          <w:p>
            <w:pP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71" w:type="dxa"/>
            <w:vMerge/>
            <w:tcBorders>
              <w:left w:val="single" w:sz="4" w:space="0" w:color="000000"/>
            </w:tcBorders>
          </w:tcPr>
          <w:p>
            <w:pPr/>
          </w:p>
        </w:tc>
        <w:tc>
          <w:tcPr>
            <w:tcW w:w="1893" w:type="dxa"/>
          </w:tcPr>
          <w:p>
            <w:pPr/>
          </w:p>
        </w:tc>
        <w:tc>
          <w:tcPr>
            <w:tcW w:w="2238" w:type="dxa"/>
          </w:tcPr>
          <w:p>
            <w:pPr>
              <w:pStyle w:val="TableParagraph"/>
              <w:spacing w:before="5"/>
              <w:ind w:left="285" w:right="285"/>
              <w:jc w:val="left"/>
              <w:rPr>
                <w:sz w:val="12"/>
              </w:rPr>
            </w:pPr>
            <w:r>
              <w:rPr>
                <w:w w:val="105"/>
                <w:sz w:val="12"/>
              </w:rPr>
              <w:t>Mobiliario</w:t>
            </w:r>
          </w:p>
        </w:tc>
        <w:tc>
          <w:tcPr>
            <w:tcW w:w="1778" w:type="dxa"/>
          </w:tcPr>
          <w:p>
            <w:pPr>
              <w:pStyle w:val="TableParagraph"/>
              <w:spacing w:before="5"/>
              <w:ind w:left="703"/>
              <w:rPr>
                <w:sz w:val="12"/>
              </w:rPr>
            </w:pPr>
            <w:r>
              <w:rPr>
                <w:w w:val="104"/>
                <w:sz w:val="12"/>
              </w:rPr>
              <w:t>0</w:t>
            </w:r>
          </w:p>
        </w:tc>
        <w:tc>
          <w:tcPr>
            <w:tcW w:w="797" w:type="dxa"/>
          </w:tcPr>
          <w:p>
            <w:pPr/>
          </w:p>
        </w:tc>
        <w:tc>
          <w:tcPr>
            <w:tcW w:w="765" w:type="dxa"/>
          </w:tcPr>
          <w:p>
            <w:pPr>
              <w:pStyle w:val="TableParagraph"/>
              <w:spacing w:before="5"/>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4" w:hRule="exact"/>
        </w:trPr>
        <w:tc>
          <w:tcPr>
            <w:tcW w:w="671" w:type="dxa"/>
            <w:vMerge/>
            <w:tcBorders>
              <w:left w:val="single" w:sz="4" w:space="0" w:color="000000"/>
            </w:tcBorders>
          </w:tcPr>
          <w:p>
            <w:pPr/>
          </w:p>
        </w:tc>
        <w:tc>
          <w:tcPr>
            <w:tcW w:w="1893" w:type="dxa"/>
          </w:tcPr>
          <w:p>
            <w:pPr/>
          </w:p>
        </w:tc>
        <w:tc>
          <w:tcPr>
            <w:tcW w:w="2238" w:type="dxa"/>
          </w:tcPr>
          <w:p>
            <w:pPr/>
          </w:p>
        </w:tc>
        <w:tc>
          <w:tcPr>
            <w:tcW w:w="1778" w:type="dxa"/>
          </w:tcPr>
          <w:p>
            <w:pPr>
              <w:pStyle w:val="TableParagraph"/>
              <w:spacing w:before="5"/>
              <w:ind w:left="877" w:right="181"/>
              <w:rPr>
                <w:sz w:val="12"/>
              </w:rPr>
            </w:pPr>
            <w:r>
              <w:rPr>
                <w:w w:val="105"/>
                <w:sz w:val="12"/>
              </w:rPr>
              <w:t>Subtotal</w:t>
            </w:r>
          </w:p>
        </w:tc>
        <w:tc>
          <w:tcPr>
            <w:tcW w:w="797" w:type="dxa"/>
          </w:tcPr>
          <w:p>
            <w:pPr>
              <w:pStyle w:val="TableParagraph"/>
              <w:tabs>
                <w:tab w:pos="463"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0.2</w:t>
            </w:r>
            <w:r>
              <w:rPr>
                <w:sz w:val="12"/>
                <w:shd w:fill="F79646" w:color="auto" w:val="clear"/>
              </w:rPr>
              <w:tab/>
            </w:r>
          </w:p>
        </w:tc>
        <w:tc>
          <w:tcPr>
            <w:tcW w:w="765" w:type="dxa"/>
          </w:tcPr>
          <w:p>
            <w:pPr>
              <w:pStyle w:val="TableParagraph"/>
              <w:spacing w:before="5"/>
              <w:ind w:left="136" w:right="34"/>
              <w:rPr>
                <w:sz w:val="12"/>
              </w:rPr>
            </w:pPr>
            <w:r>
              <w:rPr>
                <w:w w:val="105"/>
                <w:sz w:val="12"/>
              </w:rPr>
              <w:t>3.1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4</w:t>
            </w:r>
          </w:p>
        </w:tc>
      </w:tr>
      <w:tr>
        <w:trPr>
          <w:trHeight w:val="146" w:hRule="exact"/>
        </w:trPr>
        <w:tc>
          <w:tcPr>
            <w:tcW w:w="8822" w:type="dxa"/>
            <w:gridSpan w:val="7"/>
            <w:tcBorders>
              <w:left w:val="single" w:sz="4" w:space="0" w:color="000000"/>
              <w:right w:val="single" w:sz="8" w:space="0" w:color="000000"/>
            </w:tcBorders>
          </w:tcPr>
          <w:p>
            <w:pPr/>
          </w:p>
        </w:tc>
      </w:tr>
      <w:tr>
        <w:trPr>
          <w:trHeight w:val="317" w:hRule="exact"/>
        </w:trPr>
        <w:tc>
          <w:tcPr>
            <w:tcW w:w="671" w:type="dxa"/>
            <w:tcBorders>
              <w:left w:val="single" w:sz="4" w:space="0" w:color="000000"/>
            </w:tcBorders>
          </w:tcPr>
          <w:p>
            <w:pPr/>
          </w:p>
        </w:tc>
        <w:tc>
          <w:tcPr>
            <w:tcW w:w="1893" w:type="dxa"/>
          </w:tcPr>
          <w:p>
            <w:pPr>
              <w:pStyle w:val="TableParagraph"/>
              <w:spacing w:before="81"/>
              <w:ind w:left="86"/>
              <w:jc w:val="left"/>
              <w:rPr>
                <w:sz w:val="12"/>
              </w:rPr>
            </w:pPr>
            <w:r>
              <w:rPr>
                <w:w w:val="105"/>
                <w:sz w:val="12"/>
              </w:rPr>
              <w:t>Educación ambiental</w:t>
            </w:r>
          </w:p>
        </w:tc>
        <w:tc>
          <w:tcPr>
            <w:tcW w:w="2238" w:type="dxa"/>
          </w:tcPr>
          <w:p>
            <w:pPr>
              <w:pStyle w:val="TableParagraph"/>
              <w:spacing w:line="273" w:lineRule="auto" w:before="7"/>
              <w:ind w:left="285" w:right="1076"/>
              <w:jc w:val="left"/>
              <w:rPr>
                <w:sz w:val="12"/>
              </w:rPr>
            </w:pPr>
            <w:r>
              <w:rPr>
                <w:w w:val="105"/>
                <w:sz w:val="12"/>
              </w:rPr>
              <w:t>Planes </w:t>
            </w:r>
            <w:r>
              <w:rPr>
                <w:sz w:val="12"/>
              </w:rPr>
              <w:t>Programas</w:t>
            </w:r>
          </w:p>
        </w:tc>
        <w:tc>
          <w:tcPr>
            <w:tcW w:w="1778" w:type="dxa"/>
          </w:tcPr>
          <w:p>
            <w:pPr>
              <w:pStyle w:val="TableParagraph"/>
              <w:spacing w:before="7"/>
              <w:ind w:right="500"/>
              <w:jc w:val="right"/>
              <w:rPr>
                <w:sz w:val="12"/>
              </w:rPr>
            </w:pPr>
            <w:r>
              <w:rPr>
                <w:w w:val="104"/>
                <w:sz w:val="12"/>
              </w:rPr>
              <w:t>0</w:t>
            </w:r>
          </w:p>
          <w:p>
            <w:pPr>
              <w:pStyle w:val="TableParagraph"/>
              <w:spacing w:before="19"/>
              <w:ind w:right="500"/>
              <w:jc w:val="right"/>
              <w:rPr>
                <w:sz w:val="12"/>
              </w:rPr>
            </w:pPr>
            <w:r>
              <w:rPr>
                <w:w w:val="104"/>
                <w:sz w:val="12"/>
              </w:rPr>
              <w:t>0</w:t>
            </w:r>
          </w:p>
        </w:tc>
        <w:tc>
          <w:tcPr>
            <w:tcW w:w="797" w:type="dxa"/>
          </w:tcPr>
          <w:p>
            <w:pPr/>
          </w:p>
        </w:tc>
        <w:tc>
          <w:tcPr>
            <w:tcW w:w="765" w:type="dxa"/>
          </w:tcPr>
          <w:p>
            <w:pPr>
              <w:pStyle w:val="TableParagraph"/>
              <w:spacing w:before="7"/>
              <w:ind w:left="102"/>
              <w:rPr>
                <w:sz w:val="12"/>
              </w:rPr>
            </w:pPr>
            <w:r>
              <w:rPr>
                <w:w w:val="104"/>
                <w:sz w:val="12"/>
              </w:rPr>
              <w:t>1</w:t>
            </w:r>
          </w:p>
          <w:p>
            <w:pPr>
              <w:pStyle w:val="TableParagraph"/>
              <w:spacing w:before="19"/>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7"/>
              <w:ind w:left="27"/>
              <w:rPr>
                <w:sz w:val="12"/>
              </w:rPr>
            </w:pPr>
            <w:r>
              <w:rPr>
                <w:w w:val="104"/>
                <w:sz w:val="12"/>
              </w:rPr>
              <w:t>1</w:t>
            </w:r>
          </w:p>
          <w:p>
            <w:pPr>
              <w:pStyle w:val="TableParagraph"/>
              <w:spacing w:before="19"/>
              <w:ind w:left="27"/>
              <w:rPr>
                <w:sz w:val="12"/>
              </w:rPr>
            </w:pPr>
            <w:r>
              <w:rPr>
                <w:w w:val="104"/>
                <w:sz w:val="12"/>
              </w:rPr>
              <w:t>1</w:t>
            </w:r>
          </w:p>
        </w:tc>
      </w:tr>
      <w:tr>
        <w:trPr>
          <w:trHeight w:val="164" w:hRule="exact"/>
        </w:trPr>
        <w:tc>
          <w:tcPr>
            <w:tcW w:w="671" w:type="dxa"/>
            <w:tcBorders>
              <w:left w:val="single" w:sz="4" w:space="0" w:color="000000"/>
            </w:tcBorders>
          </w:tcPr>
          <w:p>
            <w:pPr/>
          </w:p>
        </w:tc>
        <w:tc>
          <w:tcPr>
            <w:tcW w:w="1893" w:type="dxa"/>
          </w:tcPr>
          <w:p>
            <w:pPr/>
          </w:p>
        </w:tc>
        <w:tc>
          <w:tcPr>
            <w:tcW w:w="2238" w:type="dxa"/>
          </w:tcPr>
          <w:p>
            <w:pPr/>
          </w:p>
        </w:tc>
        <w:tc>
          <w:tcPr>
            <w:tcW w:w="1778" w:type="dxa"/>
          </w:tcPr>
          <w:p>
            <w:pPr>
              <w:pStyle w:val="TableParagraph"/>
              <w:spacing w:before="5"/>
              <w:ind w:left="877" w:right="181"/>
              <w:rPr>
                <w:sz w:val="12"/>
              </w:rPr>
            </w:pPr>
            <w:r>
              <w:rPr>
                <w:w w:val="105"/>
                <w:sz w:val="12"/>
              </w:rPr>
              <w:t>Subtotal</w:t>
            </w:r>
          </w:p>
        </w:tc>
        <w:tc>
          <w:tcPr>
            <w:tcW w:w="797" w:type="dxa"/>
          </w:tcPr>
          <w:p>
            <w:pPr>
              <w:pStyle w:val="TableParagraph"/>
              <w:tabs>
                <w:tab w:pos="515"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0</w:t>
            </w:r>
            <w:r>
              <w:rPr>
                <w:sz w:val="12"/>
                <w:shd w:fill="F79646" w:color="auto" w:val="clear"/>
              </w:rPr>
              <w:tab/>
            </w:r>
          </w:p>
        </w:tc>
        <w:tc>
          <w:tcPr>
            <w:tcW w:w="765" w:type="dxa"/>
          </w:tcPr>
          <w:p>
            <w:pPr>
              <w:pStyle w:val="TableParagraph"/>
              <w:spacing w:before="5"/>
              <w:ind w:left="102"/>
              <w:rPr>
                <w:sz w:val="12"/>
              </w:rPr>
            </w:pPr>
            <w:r>
              <w:rPr>
                <w:w w:val="104"/>
                <w:sz w:val="12"/>
              </w:rPr>
              <w:t>2</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2</w:t>
            </w:r>
          </w:p>
        </w:tc>
      </w:tr>
      <w:tr>
        <w:trPr>
          <w:trHeight w:val="471" w:hRule="exact"/>
        </w:trPr>
        <w:tc>
          <w:tcPr>
            <w:tcW w:w="671" w:type="dxa"/>
            <w:tcBorders>
              <w:left w:val="single" w:sz="4" w:space="0" w:color="000000"/>
              <w:bottom w:val="single" w:sz="8" w:space="0" w:color="000000"/>
            </w:tcBorders>
          </w:tcPr>
          <w:p>
            <w:pPr/>
          </w:p>
        </w:tc>
        <w:tc>
          <w:tcPr>
            <w:tcW w:w="1893" w:type="dxa"/>
            <w:tcBorders>
              <w:bottom w:val="single" w:sz="8" w:space="0" w:color="000000"/>
            </w:tcBorders>
          </w:tcPr>
          <w:p>
            <w:pPr/>
          </w:p>
        </w:tc>
        <w:tc>
          <w:tcPr>
            <w:tcW w:w="2238" w:type="dxa"/>
            <w:tcBorders>
              <w:bottom w:val="single" w:sz="8" w:space="0" w:color="000000"/>
            </w:tcBorders>
          </w:tcPr>
          <w:p>
            <w:pPr/>
          </w:p>
        </w:tc>
        <w:tc>
          <w:tcPr>
            <w:tcW w:w="1778" w:type="dxa"/>
            <w:tcBorders>
              <w:bottom w:val="single" w:sz="8" w:space="0" w:color="000000"/>
            </w:tcBorders>
          </w:tcPr>
          <w:p>
            <w:pPr>
              <w:pStyle w:val="TableParagraph"/>
              <w:spacing w:before="4"/>
              <w:jc w:val="left"/>
              <w:rPr>
                <w:sz w:val="13"/>
              </w:rPr>
            </w:pPr>
          </w:p>
          <w:p>
            <w:pPr>
              <w:pStyle w:val="TableParagraph"/>
              <w:ind w:left="891" w:right="174"/>
              <w:rPr>
                <w:sz w:val="12"/>
              </w:rPr>
            </w:pPr>
            <w:r>
              <w:rPr>
                <w:w w:val="105"/>
                <w:sz w:val="12"/>
              </w:rPr>
              <w:t>Total IA</w:t>
            </w:r>
          </w:p>
        </w:tc>
        <w:tc>
          <w:tcPr>
            <w:tcW w:w="797" w:type="dxa"/>
            <w:tcBorders>
              <w:bottom w:val="single" w:sz="8" w:space="0" w:color="000000"/>
            </w:tcBorders>
          </w:tcPr>
          <w:p>
            <w:pPr>
              <w:pStyle w:val="TableParagraph"/>
              <w:spacing w:before="4"/>
              <w:jc w:val="left"/>
              <w:rPr>
                <w:sz w:val="13"/>
              </w:rPr>
            </w:pPr>
          </w:p>
          <w:p>
            <w:pPr>
              <w:pStyle w:val="TableParagraph"/>
              <w:tabs>
                <w:tab w:pos="463" w:val="left" w:leader="none"/>
                <w:tab w:pos="892" w:val="left" w:leader="none"/>
              </w:tabs>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9.3</w:t>
            </w:r>
            <w:r>
              <w:rPr>
                <w:sz w:val="12"/>
                <w:shd w:fill="F79646" w:color="auto" w:val="clear"/>
              </w:rPr>
              <w:tab/>
            </w:r>
          </w:p>
        </w:tc>
        <w:tc>
          <w:tcPr>
            <w:tcW w:w="765" w:type="dxa"/>
            <w:tcBorders>
              <w:bottom w:val="single" w:sz="8" w:space="0" w:color="000000"/>
            </w:tcBorders>
          </w:tcPr>
          <w:p>
            <w:pPr>
              <w:pStyle w:val="TableParagraph"/>
              <w:spacing w:before="4"/>
              <w:jc w:val="left"/>
              <w:rPr>
                <w:sz w:val="13"/>
              </w:rPr>
            </w:pPr>
          </w:p>
          <w:p>
            <w:pPr>
              <w:pStyle w:val="TableParagraph"/>
              <w:tabs>
                <w:tab w:pos="775" w:val="left" w:leader="none"/>
              </w:tabs>
              <w:ind w:left="85" w:right="-11"/>
              <w:rPr>
                <w:sz w:val="12"/>
              </w:rPr>
            </w:pPr>
            <w:r>
              <w:rPr>
                <w:w w:val="104"/>
                <w:sz w:val="12"/>
                <w:shd w:fill="FFFF00" w:color="auto" w:val="clear"/>
              </w:rPr>
              <w:t> </w:t>
            </w:r>
            <w:r>
              <w:rPr>
                <w:sz w:val="12"/>
                <w:shd w:fill="FFFF00" w:color="auto" w:val="clear"/>
              </w:rPr>
              <w:t>     </w:t>
            </w:r>
            <w:r>
              <w:rPr>
                <w:spacing w:val="-16"/>
                <w:sz w:val="12"/>
                <w:shd w:fill="FFFF00" w:color="auto" w:val="clear"/>
              </w:rPr>
              <w:t> </w:t>
            </w:r>
            <w:r>
              <w:rPr>
                <w:w w:val="105"/>
                <w:sz w:val="12"/>
                <w:shd w:fill="FFFF00" w:color="auto" w:val="clear"/>
              </w:rPr>
              <w:t>18.3</w:t>
            </w:r>
            <w:r>
              <w:rPr>
                <w:sz w:val="12"/>
                <w:shd w:fill="FFFF00" w:color="auto" w:val="clear"/>
              </w:rPr>
              <w:tab/>
            </w:r>
          </w:p>
        </w:tc>
        <w:tc>
          <w:tcPr>
            <w:tcW w:w="680" w:type="dxa"/>
            <w:tcBorders>
              <w:bottom w:val="single" w:sz="8" w:space="0" w:color="000000"/>
              <w:right w:val="single" w:sz="8" w:space="0" w:color="000000"/>
            </w:tcBorders>
          </w:tcPr>
          <w:p>
            <w:pPr>
              <w:pStyle w:val="TableParagraph"/>
              <w:spacing w:before="4"/>
              <w:jc w:val="left"/>
              <w:rPr>
                <w:sz w:val="13"/>
              </w:rPr>
            </w:pPr>
          </w:p>
          <w:p>
            <w:pPr>
              <w:pStyle w:val="TableParagraph"/>
              <w:ind w:left="98" w:right="84"/>
              <w:rPr>
                <w:sz w:val="12"/>
              </w:rPr>
            </w:pPr>
            <w:r>
              <w:rPr>
                <w:w w:val="105"/>
                <w:sz w:val="12"/>
              </w:rPr>
              <w:t>24</w:t>
            </w:r>
          </w:p>
        </w:tc>
      </w:tr>
    </w:tbl>
    <w:p>
      <w:pPr>
        <w:spacing w:before="127"/>
        <w:ind w:left="268" w:right="0" w:firstLine="0"/>
        <w:jc w:val="left"/>
        <w:rPr>
          <w:sz w:val="21"/>
        </w:rPr>
      </w:pPr>
      <w:r>
        <w:rPr/>
        <w:pict>
          <v:group style="position:absolute;margin-left:364.434509pt;margin-top:-173.899719pt;width:74.8pt;height:24.6pt;mso-position-horizontal-relative:page;mso-position-vertical-relative:paragraph;z-index:-1131856" coordorigin="7289,-3478" coordsize="1496,492">
            <v:line style="position:absolute" from="7294,-3472" to="7294,-3305" stroked="true" strokeweight=".523pt" strokecolor="#baf9f5"/>
            <v:rect style="position:absolute;left:7299;top:-3472;width:1485;height:167" filled="true" fillcolor="#baf9f5" stroked="false">
              <v:fill type="solid"/>
            </v:rect>
            <v:line style="position:absolute" from="7294,-3305" to="7294,-3148" stroked="true" strokeweight=".523pt" strokecolor="#baf9f5"/>
            <v:rect style="position:absolute;left:7299;top:-3305;width:1485;height:157" filled="true" fillcolor="#baf9f5" stroked="false">
              <v:fill type="solid"/>
            </v:rect>
            <v:line style="position:absolute" from="7294,-3148" to="7294,-2991" stroked="true" strokeweight=".523pt" strokecolor="#baf9f5"/>
            <v:rect style="position:absolute;left:7299;top:-3148;width:1485;height:157" filled="true" fillcolor="#baf9f5" stroked="false">
              <v:fill type="solid"/>
            </v:rect>
            <w10:wrap type="none"/>
          </v:group>
        </w:pict>
      </w:r>
      <w:r>
        <w:rPr/>
        <w:pict>
          <v:shape style="position:absolute;margin-left:472.69101pt;margin-top:-173.62413pt;width:34.550pt;height:31.9pt;mso-position-horizontal-relative:page;mso-position-vertical-relative:paragraph;z-index:-1131832" coordorigin="9454,-3472" coordsize="691,638" path="m10144,-3305l9454,-3305,9454,-3148,9454,-3002,9454,-2991,9454,-2835,10144,-2835,10144,-2991,10144,-3002,10144,-3148,10144,-3305m10144,-3472l9454,-3472,9454,-3305,10144,-3305,10144,-3472e" filled="true" fillcolor="#ffff00" stroked="false">
            <v:path arrowok="t"/>
            <v:fill type="solid"/>
            <w10:wrap type="none"/>
          </v:shape>
        </w:pict>
      </w:r>
      <w:r>
        <w:rPr/>
        <w:pict>
          <v:group style="position:absolute;margin-left:364.434509pt;margin-top:-134.685715pt;width:74.8pt;height:24.65pt;mso-position-horizontal-relative:page;mso-position-vertical-relative:paragraph;z-index:-1131808" coordorigin="7289,-2694" coordsize="1496,493">
            <v:line style="position:absolute" from="7294,-2688" to="7294,-2521" stroked="true" strokeweight=".523pt" strokecolor="#baf9f5"/>
            <v:rect style="position:absolute;left:7299;top:-2688;width:1485;height:167" filled="true" fillcolor="#baf9f5" stroked="false">
              <v:fill type="solid"/>
            </v:rect>
            <v:line style="position:absolute" from="7294,-2521" to="7294,-2364" stroked="true" strokeweight=".523pt" strokecolor="#baf9f5"/>
            <v:rect style="position:absolute;left:7299;top:-2521;width:1485;height:157" filled="true" fillcolor="#baf9f5" stroked="false">
              <v:fill type="solid"/>
            </v:rect>
            <v:line style="position:absolute" from="7294,-2364" to="7294,-2207" stroked="true" strokeweight=".523pt" strokecolor="#baf9f5"/>
            <v:rect style="position:absolute;left:7299;top:-2364;width:1485;height:157" filled="true" fillcolor="#baf9f5" stroked="false">
              <v:fill type="solid"/>
            </v:rect>
            <w10:wrap type="none"/>
          </v:group>
        </w:pict>
      </w:r>
      <w:r>
        <w:rPr/>
        <w:pict>
          <v:shape style="position:absolute;margin-left:472.69101pt;margin-top:-134.410141pt;width:34.550pt;height:31.9pt;mso-position-horizontal-relative:page;mso-position-vertical-relative:paragraph;z-index:-1131784" coordorigin="9454,-2688" coordsize="691,638" path="m10144,-2364l9454,-2364,9454,-2218,9454,-2207,9454,-2050,10144,-2050,10144,-2207,10144,-2218,10144,-2364m10144,-2521l9454,-2521,9454,-2364,10144,-2364,10144,-2521m10144,-2688l9454,-2688,9454,-2521,10144,-2521,10144,-2688e" filled="true" fillcolor="#ffff00" stroked="false">
            <v:path arrowok="t"/>
            <v:fill type="solid"/>
            <w10:wrap type="none"/>
          </v:shape>
        </w:pict>
      </w:r>
      <w:r>
        <w:rPr/>
        <w:pict>
          <v:group style="position:absolute;margin-left:364.434509pt;margin-top:-95.47171pt;width:74.8pt;height:32.4500pt;mso-position-horizontal-relative:page;mso-position-vertical-relative:paragraph;z-index:-1131760" coordorigin="7289,-1909" coordsize="1496,649">
            <v:line style="position:absolute" from="7294,-1904" to="7294,-1737" stroked="true" strokeweight=".523pt" strokecolor="#baf9f5"/>
            <v:rect style="position:absolute;left:7299;top:-1904;width:1485;height:167" filled="true" fillcolor="#baf9f5" stroked="false">
              <v:fill type="solid"/>
            </v:rect>
            <v:line style="position:absolute" from="7294,-1737" to="7294,-1580" stroked="true" strokeweight=".523pt" strokecolor="#baf9f5"/>
            <v:rect style="position:absolute;left:7299;top:-1737;width:1485;height:157" filled="true" fillcolor="#baf9f5" stroked="false">
              <v:fill type="solid"/>
            </v:rect>
            <v:line style="position:absolute" from="7294,-1580" to="7294,-1423" stroked="true" strokeweight=".523pt" strokecolor="#baf9f5"/>
            <v:rect style="position:absolute;left:7299;top:-1580;width:1485;height:157" filled="true" fillcolor="#baf9f5" stroked="false">
              <v:fill type="solid"/>
            </v:rect>
            <v:line style="position:absolute" from="7294,-1423" to="7294,-1266" stroked="true" strokeweight=".523pt" strokecolor="#baf9f5"/>
            <v:rect style="position:absolute;left:7299;top:-1423;width:1485;height:157" filled="true" fillcolor="#baf9f5" stroked="false">
              <v:fill type="solid"/>
            </v:rect>
            <w10:wrap type="none"/>
          </v:group>
        </w:pict>
      </w:r>
      <w:r>
        <w:rPr/>
        <w:pict>
          <v:shape style="position:absolute;margin-left:472.69101pt;margin-top:-95.196129pt;width:34.550pt;height:39.75pt;mso-position-horizontal-relative:page;mso-position-vertical-relative:paragraph;z-index:-1131736" coordorigin="9454,-1904" coordsize="691,795" path="m10144,-1423l9454,-1423,9454,-1276,9454,-1266,9454,-1109,10144,-1109,10144,-1266,10144,-1276,10144,-1423m10144,-1580l9454,-1580,9454,-1423,10144,-1423,10144,-1580m10144,-1904l9454,-1904,9454,-1737,9454,-1580,10144,-1580,10144,-1737,10144,-1904e" filled="true" fillcolor="#ffff00" stroked="false">
            <v:path arrowok="t"/>
            <v:fill type="solid"/>
            <w10:wrap type="none"/>
          </v:shape>
        </w:pict>
      </w:r>
      <w:r>
        <w:rPr/>
        <w:pict>
          <v:group style="position:absolute;margin-left:364.434509pt;margin-top:-48.413712pt;width:74.8pt;height:16.8pt;mso-position-horizontal-relative:page;mso-position-vertical-relative:paragraph;z-index:-1131712" coordorigin="7289,-968" coordsize="1496,336">
            <v:line style="position:absolute" from="7294,-963" to="7294,-795" stroked="true" strokeweight=".523pt" strokecolor="#baf9f5"/>
            <v:rect style="position:absolute;left:7299;top:-963;width:1485;height:167" filled="true" fillcolor="#baf9f5" stroked="false">
              <v:fill type="solid"/>
            </v:rect>
            <v:line style="position:absolute" from="7294,-795" to="7294,-639" stroked="true" strokeweight=".523pt" strokecolor="#baf9f5"/>
            <v:rect style="position:absolute;left:7299;top:-795;width:1485;height:157" filled="true" fillcolor="#baf9f5" stroked="false">
              <v:fill type="solid"/>
            </v:rect>
            <w10:wrap type="none"/>
          </v:group>
        </w:pict>
      </w:r>
      <w:r>
        <w:rPr/>
        <w:pict>
          <v:shape style="position:absolute;margin-left:472.69101pt;margin-top:-48.13813pt;width:34.550pt;height:24.1pt;mso-position-horizontal-relative:page;mso-position-vertical-relative:paragraph;z-index:-1131688" coordorigin="9454,-963" coordsize="691,482" path="m10144,-963l9454,-963,9454,-795,9454,-649,9454,-639,9454,-482,10144,-482,10144,-639,10144,-649,10144,-795,10144,-963e" filled="true" fillcolor="#ffff00" stroked="false">
            <v:path arrowok="t"/>
            <v:fill type="solid"/>
            <w10:wrap type="none"/>
          </v:shape>
        </w:pict>
      </w:r>
      <w:r>
        <w:rPr/>
        <w:pict>
          <v:rect style="position:absolute;margin-left:506.681pt;margin-top:-16.767864pt;width:34.5124pt;height:8.36575pt;mso-position-horizontal-relative:page;mso-position-vertical-relative:paragraph;z-index:-1131664" filled="true" fillcolor="#67ed4d" stroked="false">
            <v:fill type="solid"/>
            <w10:wrap type="none"/>
          </v:rect>
        </w:pict>
      </w:r>
      <w:r>
        <w:rPr>
          <w:w w:val="105"/>
          <w:sz w:val="21"/>
        </w:rPr>
        <w:t>Fuente: Elaboración propia con base al estudio realizado.</w:t>
      </w:r>
    </w:p>
    <w:p>
      <w:pPr>
        <w:spacing w:after="0"/>
        <w:jc w:val="left"/>
        <w:rPr>
          <w:sz w:val="21"/>
        </w:rPr>
        <w:sectPr>
          <w:footerReference w:type="default" r:id="rId356"/>
          <w:pgSz w:w="12240" w:h="15840"/>
          <w:pgMar w:footer="1066" w:header="730" w:top="1320" w:bottom="1260" w:left="1720" w:right="1180"/>
        </w:sectPr>
      </w:pPr>
    </w:p>
    <w:p>
      <w:pPr>
        <w:pStyle w:val="BodyText"/>
        <w:spacing w:before="1"/>
        <w:rPr>
          <w:sz w:val="18"/>
        </w:rPr>
      </w:pPr>
    </w:p>
    <w:p>
      <w:pPr>
        <w:pStyle w:val="BodyText"/>
        <w:spacing w:before="69" w:after="13"/>
        <w:ind w:left="268"/>
      </w:pPr>
      <w:r>
        <w:rPr/>
        <w:pict>
          <v:shape style="position:absolute;margin-left:360.820801pt;margin-top:17.885735pt;width:180.45pt;height:24.6pt;mso-position-horizontal-relative:page;mso-position-vertical-relative:paragraph;z-index:-1131640" type="#_x0000_t202" filled="false" stroked="false">
            <v:textbox inset="0,0,0,0">
              <w:txbxContent>
                <w:p>
                  <w:pPr>
                    <w:pStyle w:val="BodyText"/>
                    <w:rPr>
                      <w:sz w:val="12"/>
                    </w:rPr>
                  </w:pPr>
                </w:p>
                <w:p>
                  <w:pPr>
                    <w:spacing w:before="100"/>
                    <w:ind w:left="0" w:right="0" w:firstLine="0"/>
                    <w:jc w:val="left"/>
                    <w:rPr>
                      <w:b/>
                      <w:sz w:val="12"/>
                    </w:rPr>
                  </w:pPr>
                  <w:r>
                    <w:rPr>
                      <w:b/>
                      <w:color w:val="FFFFFF"/>
                      <w:w w:val="104"/>
                      <w:sz w:val="12"/>
                    </w:rPr>
                    <w:t>m</w:t>
                  </w:r>
                </w:p>
              </w:txbxContent>
            </v:textbox>
            <w10:wrap type="none"/>
          </v:shape>
        </w:pict>
      </w:r>
      <w:r>
        <w:rPr/>
        <w:pict>
          <v:line style="position:absolute;mso-position-horizontal-relative:page;mso-position-vertical-relative:paragraph;z-index:26416" from="93.199997pt,-19.614155pt" to="546.799997pt,-19.614155pt" stroked="true" strokeweight=".479981pt" strokecolor="#000000">
            <w10:wrap type="none"/>
          </v:line>
        </w:pict>
      </w:r>
      <w:r>
        <w:rPr/>
        <w:pict>
          <v:group style="position:absolute;margin-left:364.451508pt;margin-top:53.196785pt;width:74.8pt;height:16.8pt;mso-position-horizontal-relative:page;mso-position-vertical-relative:paragraph;z-index:-1131592" coordorigin="7289,1064" coordsize="1496,336">
            <v:shape style="position:absolute;left:7295;top:1069;width:2;height:325" coordorigin="7295,1069" coordsize="0,325" path="m7295,1069l7295,1237m7295,1226l7295,1394e" filled="false" stroked="true" strokeweight=".523pt" strokecolor="#baf9f5">
              <v:path arrowok="t"/>
            </v:shape>
            <v:shape style="position:absolute;left:7300;top:1069;width:1486;height:325" coordorigin="7300,1069" coordsize="1486,325" path="m8785,1069l7300,1069,7300,1226,7300,1237,7300,1394,8785,1394,8785,1237,8785,1226,8785,1069e" filled="true" fillcolor="#baf9f5" stroked="false">
              <v:path arrowok="t"/>
              <v:fill type="solid"/>
            </v:shape>
            <w10:wrap type="none"/>
          </v:group>
        </w:pict>
      </w:r>
      <w:r>
        <w:rPr/>
        <w:pict>
          <v:shape style="position:absolute;margin-left:472.715027pt;margin-top:53.471802pt;width:34.550pt;height:24.1pt;mso-position-horizontal-relative:page;mso-position-vertical-relative:paragraph;z-index:-1131568" coordorigin="9454,1069" coordsize="691,482" path="m10145,1069l9454,1069,9454,1226,9454,1237,9454,1383,9454,1394,9454,1551,10145,1551,10145,1394,10145,1383,10145,1237,10145,1226,10145,1069e" filled="true" fillcolor="#ffff00" stroked="false">
            <v:path arrowok="t"/>
            <v:fill type="solid"/>
            <w10:wrap type="none"/>
          </v:shape>
        </w:pict>
      </w:r>
      <w:r>
        <w:rPr/>
        <w:pict>
          <v:shape style="position:absolute;margin-left:472.715027pt;margin-top:84.870804pt;width:34.550pt;height:16.25pt;mso-position-horizontal-relative:page;mso-position-vertical-relative:paragraph;z-index:-1131544" coordorigin="9454,1697" coordsize="691,325" path="m10145,1697l9454,1697,9454,1854,9454,1865,9454,2022,10145,2022,10145,1865,10145,1854,10145,1697e" filled="true" fillcolor="#ffff00" stroked="false">
            <v:path arrowok="t"/>
            <v:fill type="solid"/>
            <w10:wrap type="none"/>
          </v:shape>
        </w:pict>
      </w:r>
      <w:r>
        <w:rPr/>
        <w:pict>
          <v:group style="position:absolute;margin-left:364.451508pt;margin-top:108.144783pt;width:74.8pt;height:24.65pt;mso-position-horizontal-relative:page;mso-position-vertical-relative:paragraph;z-index:-1131520" coordorigin="7289,2163" coordsize="1496,493">
            <v:shape style="position:absolute;left:7300;top:2168;width:1486;height:325" coordorigin="7300,2168" coordsize="1486,325" path="m8785,2336l7300,2336,7300,2493,8785,2493,8785,2336m8785,2168l7300,2168,7300,2336,8785,2336,8785,2168e" filled="true" fillcolor="#baf9f5" stroked="false">
              <v:path arrowok="t"/>
              <v:fill type="solid"/>
            </v:shape>
            <v:line style="position:absolute" from="7295,2168" to="7295,2650" stroked="true" strokeweight=".523pt" strokecolor="#baf9f5"/>
            <v:rect style="position:absolute;left:7300;top:2493;width:1485;height:157" filled="true" fillcolor="#baf9f5" stroked="false">
              <v:fill type="solid"/>
            </v:rect>
            <w10:wrap type="none"/>
          </v:group>
        </w:pict>
      </w:r>
      <w:r>
        <w:rPr/>
        <w:pict>
          <v:shape style="position:absolute;margin-left:472.715027pt;margin-top:108.420807pt;width:34.550pt;height:31.95pt;mso-position-horizontal-relative:page;mso-position-vertical-relative:paragraph;z-index:-1131496" coordorigin="9454,2168" coordsize="691,639" path="m10145,2336l9454,2336,9454,2493,9454,2639,9454,2650,9454,2807,10145,2807,10145,2650,10145,2639,10145,2493,10145,2336m10145,2168l9454,2168,9454,2336,10145,2336,10145,2168e" filled="true" fillcolor="#ffff00" stroked="false">
            <v:path arrowok="t"/>
            <v:fill type="solid"/>
            <w10:wrap type="none"/>
          </v:shape>
        </w:pict>
      </w:r>
      <w:r>
        <w:rPr/>
        <w:t>Tabla 70. ISE Bosque de las Fuentes</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52"/>
        <w:gridCol w:w="1892"/>
        <w:gridCol w:w="2717"/>
        <w:gridCol w:w="1320"/>
        <w:gridCol w:w="833"/>
        <w:gridCol w:w="729"/>
        <w:gridCol w:w="680"/>
      </w:tblGrid>
      <w:tr>
        <w:trPr>
          <w:trHeight w:val="487" w:hRule="exact"/>
        </w:trPr>
        <w:tc>
          <w:tcPr>
            <w:tcW w:w="5261" w:type="dxa"/>
            <w:gridSpan w:val="3"/>
            <w:tcBorders>
              <w:bottom w:val="single" w:sz="4" w:space="0" w:color="FFFFFF"/>
            </w:tcBorders>
            <w:shd w:val="clear" w:color="auto" w:fill="000000"/>
          </w:tcPr>
          <w:p>
            <w:pPr>
              <w:pStyle w:val="TableParagraph"/>
              <w:spacing w:line="273" w:lineRule="auto" w:before="81"/>
              <w:ind w:left="3320" w:right="9" w:firstLine="421"/>
              <w:jc w:val="left"/>
              <w:rPr>
                <w:b/>
                <w:sz w:val="12"/>
              </w:rPr>
            </w:pPr>
            <w:r>
              <w:rPr>
                <w:b/>
                <w:color w:val="FFFFFF"/>
                <w:w w:val="105"/>
                <w:sz w:val="12"/>
              </w:rPr>
              <w:t>Bosque de las Fuentes Índice de sustentabilidad econó</w:t>
            </w:r>
          </w:p>
        </w:tc>
        <w:tc>
          <w:tcPr>
            <w:tcW w:w="3561" w:type="dxa"/>
            <w:gridSpan w:val="4"/>
            <w:tcBorders>
              <w:bottom w:val="single" w:sz="4" w:space="0" w:color="FFFFFF"/>
              <w:right w:val="single" w:sz="4" w:space="0" w:color="FBF111"/>
            </w:tcBorders>
            <w:shd w:val="clear" w:color="auto" w:fill="000000"/>
          </w:tcPr>
          <w:p>
            <w:pPr>
              <w:pStyle w:val="TableParagraph"/>
              <w:jc w:val="left"/>
              <w:rPr>
                <w:sz w:val="12"/>
              </w:rPr>
            </w:pPr>
          </w:p>
          <w:p>
            <w:pPr>
              <w:pStyle w:val="TableParagraph"/>
              <w:spacing w:before="100"/>
              <w:ind w:left="75"/>
              <w:jc w:val="left"/>
              <w:rPr>
                <w:b/>
                <w:sz w:val="12"/>
              </w:rPr>
            </w:pPr>
            <w:r>
              <w:rPr>
                <w:b/>
                <w:color w:val="FFFFFF"/>
                <w:w w:val="105"/>
                <w:sz w:val="12"/>
              </w:rPr>
              <w:t>ica</w:t>
            </w:r>
          </w:p>
        </w:tc>
      </w:tr>
      <w:tr>
        <w:trPr>
          <w:trHeight w:val="162" w:hRule="exact"/>
        </w:trPr>
        <w:tc>
          <w:tcPr>
            <w:tcW w:w="652" w:type="dxa"/>
            <w:tcBorders>
              <w:top w:val="single" w:sz="4" w:space="0" w:color="FFFFFF"/>
              <w:left w:val="single" w:sz="4" w:space="0" w:color="000000"/>
            </w:tcBorders>
            <w:shd w:val="clear" w:color="auto" w:fill="808080"/>
          </w:tcPr>
          <w:p>
            <w:pPr>
              <w:pStyle w:val="TableParagraph"/>
              <w:spacing w:line="135" w:lineRule="exact"/>
              <w:ind w:left="177"/>
              <w:jc w:val="left"/>
              <w:rPr>
                <w:b/>
                <w:sz w:val="12"/>
              </w:rPr>
            </w:pPr>
            <w:r>
              <w:rPr>
                <w:b/>
                <w:color w:val="FFFFFF"/>
                <w:w w:val="105"/>
                <w:sz w:val="12"/>
              </w:rPr>
              <w:t>Índice</w:t>
            </w:r>
          </w:p>
        </w:tc>
        <w:tc>
          <w:tcPr>
            <w:tcW w:w="1892" w:type="dxa"/>
            <w:tcBorders>
              <w:top w:val="single" w:sz="4" w:space="0" w:color="FFFFFF"/>
            </w:tcBorders>
            <w:shd w:val="clear" w:color="auto" w:fill="808080"/>
          </w:tcPr>
          <w:p>
            <w:pPr>
              <w:pStyle w:val="TableParagraph"/>
              <w:spacing w:line="135" w:lineRule="exact"/>
              <w:ind w:left="106"/>
              <w:jc w:val="left"/>
              <w:rPr>
                <w:b/>
                <w:sz w:val="12"/>
              </w:rPr>
            </w:pPr>
            <w:r>
              <w:rPr>
                <w:b/>
                <w:color w:val="FFFFFF"/>
                <w:w w:val="105"/>
                <w:sz w:val="12"/>
              </w:rPr>
              <w:t>Subíndice</w:t>
            </w:r>
          </w:p>
        </w:tc>
        <w:tc>
          <w:tcPr>
            <w:tcW w:w="2717" w:type="dxa"/>
            <w:tcBorders>
              <w:top w:val="single" w:sz="4" w:space="0" w:color="FFFFFF"/>
            </w:tcBorders>
            <w:shd w:val="clear" w:color="auto" w:fill="808080"/>
          </w:tcPr>
          <w:p>
            <w:pPr>
              <w:pStyle w:val="TableParagraph"/>
              <w:spacing w:line="135" w:lineRule="exact"/>
              <w:ind w:left="306"/>
              <w:jc w:val="left"/>
              <w:rPr>
                <w:b/>
                <w:sz w:val="12"/>
              </w:rPr>
            </w:pPr>
            <w:r>
              <w:rPr>
                <w:b/>
                <w:color w:val="FFFFFF"/>
                <w:w w:val="105"/>
                <w:sz w:val="12"/>
              </w:rPr>
              <w:t>Indicador</w:t>
            </w:r>
          </w:p>
        </w:tc>
        <w:tc>
          <w:tcPr>
            <w:tcW w:w="1320" w:type="dxa"/>
            <w:tcBorders>
              <w:top w:val="single" w:sz="4" w:space="0" w:color="FFFFFF"/>
            </w:tcBorders>
            <w:shd w:val="clear" w:color="auto" w:fill="808080"/>
          </w:tcPr>
          <w:p>
            <w:pPr/>
          </w:p>
        </w:tc>
        <w:tc>
          <w:tcPr>
            <w:tcW w:w="833" w:type="dxa"/>
            <w:tcBorders>
              <w:top w:val="single" w:sz="4" w:space="0" w:color="FFFFFF"/>
            </w:tcBorders>
            <w:shd w:val="clear" w:color="auto" w:fill="808080"/>
          </w:tcPr>
          <w:p>
            <w:pPr>
              <w:pStyle w:val="TableParagraph"/>
              <w:spacing w:line="135" w:lineRule="exact"/>
              <w:ind w:left="264" w:right="-60"/>
              <w:jc w:val="left"/>
              <w:rPr>
                <w:b/>
                <w:sz w:val="12"/>
              </w:rPr>
            </w:pPr>
            <w:r>
              <w:rPr>
                <w:b/>
                <w:color w:val="FFFFFF"/>
                <w:w w:val="105"/>
                <w:sz w:val="12"/>
              </w:rPr>
              <w:t>Valores</w:t>
            </w:r>
          </w:p>
        </w:tc>
        <w:tc>
          <w:tcPr>
            <w:tcW w:w="729" w:type="dxa"/>
            <w:tcBorders>
              <w:top w:val="single" w:sz="4" w:space="0" w:color="FFFFFF"/>
            </w:tcBorders>
            <w:shd w:val="clear" w:color="auto" w:fill="808080"/>
          </w:tcPr>
          <w:p>
            <w:pPr/>
          </w:p>
        </w:tc>
        <w:tc>
          <w:tcPr>
            <w:tcW w:w="680" w:type="dxa"/>
            <w:tcBorders>
              <w:top w:val="single" w:sz="4" w:space="0" w:color="FFFFFF"/>
              <w:right w:val="single" w:sz="8" w:space="0" w:color="000000"/>
            </w:tcBorders>
            <w:shd w:val="clear" w:color="auto" w:fill="808080"/>
          </w:tcPr>
          <w:p>
            <w:pPr/>
          </w:p>
        </w:tc>
      </w:tr>
      <w:tr>
        <w:trPr>
          <w:trHeight w:val="63" w:hRule="exact"/>
        </w:trPr>
        <w:tc>
          <w:tcPr>
            <w:tcW w:w="8822" w:type="dxa"/>
            <w:gridSpan w:val="7"/>
            <w:tcBorders>
              <w:left w:val="single" w:sz="4" w:space="0" w:color="000000"/>
              <w:right w:val="single" w:sz="8" w:space="0" w:color="000000"/>
            </w:tcBorders>
            <w:shd w:val="clear" w:color="auto" w:fill="808080"/>
          </w:tcPr>
          <w:p>
            <w:pPr/>
          </w:p>
        </w:tc>
      </w:tr>
      <w:tr>
        <w:trPr>
          <w:trHeight w:val="160" w:hRule="exact"/>
        </w:trPr>
        <w:tc>
          <w:tcPr>
            <w:tcW w:w="652" w:type="dxa"/>
            <w:vMerge w:val="restart"/>
            <w:tcBorders>
              <w:left w:val="single" w:sz="4" w:space="0" w:color="000000"/>
            </w:tcBorders>
          </w:tcPr>
          <w:p>
            <w:pPr/>
          </w:p>
        </w:tc>
        <w:tc>
          <w:tcPr>
            <w:tcW w:w="1892" w:type="dxa"/>
          </w:tcPr>
          <w:p>
            <w:pPr/>
          </w:p>
        </w:tc>
        <w:tc>
          <w:tcPr>
            <w:tcW w:w="2717" w:type="dxa"/>
          </w:tcPr>
          <w:p>
            <w:pPr/>
          </w:p>
        </w:tc>
        <w:tc>
          <w:tcPr>
            <w:tcW w:w="1320" w:type="dxa"/>
          </w:tcPr>
          <w:p>
            <w:pPr>
              <w:pStyle w:val="TableParagraph"/>
              <w:spacing w:before="8"/>
              <w:ind w:left="433" w:right="181"/>
              <w:rPr>
                <w:b/>
                <w:sz w:val="12"/>
              </w:rPr>
            </w:pPr>
            <w:r>
              <w:rPr>
                <w:b/>
                <w:w w:val="105"/>
                <w:sz w:val="12"/>
              </w:rPr>
              <w:t>Evaluación</w:t>
            </w:r>
          </w:p>
        </w:tc>
        <w:tc>
          <w:tcPr>
            <w:tcW w:w="833" w:type="dxa"/>
          </w:tcPr>
          <w:p>
            <w:pPr>
              <w:pStyle w:val="TableParagraph"/>
              <w:tabs>
                <w:tab w:pos="892" w:val="left" w:leader="none"/>
              </w:tabs>
              <w:spacing w:before="8"/>
              <w:ind w:left="202" w:right="-60"/>
              <w:jc w:val="left"/>
              <w:rPr>
                <w:b/>
                <w:sz w:val="12"/>
              </w:rPr>
            </w:pPr>
            <w:r>
              <w:rPr>
                <w:b/>
                <w:w w:val="104"/>
                <w:sz w:val="12"/>
                <w:shd w:fill="F79646" w:color="auto" w:val="clear"/>
              </w:rPr>
              <w:t> </w:t>
            </w:r>
            <w:r>
              <w:rPr>
                <w:b/>
                <w:sz w:val="12"/>
                <w:shd w:fill="F79646" w:color="auto" w:val="clear"/>
              </w:rPr>
              <w:t>    </w:t>
            </w:r>
            <w:r>
              <w:rPr>
                <w:b/>
                <w:spacing w:val="7"/>
                <w:sz w:val="12"/>
                <w:shd w:fill="F79646" w:color="auto" w:val="clear"/>
              </w:rPr>
              <w:t> </w:t>
            </w:r>
            <w:r>
              <w:rPr>
                <w:b/>
                <w:w w:val="105"/>
                <w:sz w:val="12"/>
                <w:shd w:fill="F79646" w:color="auto" w:val="clear"/>
              </w:rPr>
              <w:t>Real</w:t>
            </w:r>
            <w:r>
              <w:rPr>
                <w:b/>
                <w:sz w:val="12"/>
                <w:shd w:fill="F79646" w:color="auto" w:val="clear"/>
              </w:rPr>
              <w:tab/>
            </w:r>
          </w:p>
        </w:tc>
        <w:tc>
          <w:tcPr>
            <w:tcW w:w="729" w:type="dxa"/>
          </w:tcPr>
          <w:p>
            <w:pPr>
              <w:pStyle w:val="TableParagraph"/>
              <w:spacing w:before="8"/>
              <w:ind w:left="100" w:right="34"/>
              <w:rPr>
                <w:b/>
                <w:sz w:val="12"/>
              </w:rPr>
            </w:pPr>
            <w:r>
              <w:rPr>
                <w:b/>
                <w:w w:val="105"/>
                <w:sz w:val="12"/>
              </w:rPr>
              <w:t>Deseable</w:t>
            </w:r>
          </w:p>
        </w:tc>
        <w:tc>
          <w:tcPr>
            <w:tcW w:w="680" w:type="dxa"/>
            <w:tcBorders>
              <w:right w:val="single" w:sz="8" w:space="0" w:color="000000"/>
            </w:tcBorders>
            <w:shd w:val="clear" w:color="auto" w:fill="67ED4D"/>
          </w:tcPr>
          <w:p>
            <w:pPr>
              <w:pStyle w:val="TableParagraph"/>
              <w:spacing w:before="8"/>
              <w:ind w:left="104" w:right="84"/>
              <w:rPr>
                <w:b/>
                <w:sz w:val="12"/>
              </w:rPr>
            </w:pPr>
            <w:r>
              <w:rPr>
                <w:b/>
                <w:w w:val="105"/>
                <w:sz w:val="12"/>
              </w:rPr>
              <w:t>Óptimo</w:t>
            </w:r>
          </w:p>
        </w:tc>
      </w:tr>
      <w:tr>
        <w:trPr>
          <w:trHeight w:val="157" w:hRule="exact"/>
        </w:trPr>
        <w:tc>
          <w:tcPr>
            <w:tcW w:w="652" w:type="dxa"/>
            <w:vMerge/>
            <w:tcBorders>
              <w:left w:val="single" w:sz="4" w:space="0" w:color="000000"/>
            </w:tcBorders>
          </w:tcPr>
          <w:p>
            <w:pPr/>
          </w:p>
        </w:tc>
        <w:tc>
          <w:tcPr>
            <w:tcW w:w="1892" w:type="dxa"/>
          </w:tcPr>
          <w:p>
            <w:pPr>
              <w:pStyle w:val="TableParagraph"/>
              <w:spacing w:before="5"/>
              <w:ind w:left="106"/>
              <w:jc w:val="left"/>
              <w:rPr>
                <w:sz w:val="12"/>
              </w:rPr>
            </w:pPr>
            <w:r>
              <w:rPr>
                <w:w w:val="105"/>
                <w:sz w:val="12"/>
              </w:rPr>
              <w:t>Situación de la vivienda</w:t>
            </w:r>
          </w:p>
        </w:tc>
        <w:tc>
          <w:tcPr>
            <w:tcW w:w="2717" w:type="dxa"/>
          </w:tcPr>
          <w:p>
            <w:pPr>
              <w:pStyle w:val="TableParagraph"/>
              <w:spacing w:before="5"/>
              <w:ind w:left="306"/>
              <w:jc w:val="left"/>
              <w:rPr>
                <w:sz w:val="12"/>
              </w:rPr>
            </w:pPr>
            <w:r>
              <w:rPr>
                <w:w w:val="105"/>
                <w:sz w:val="12"/>
              </w:rPr>
              <w:t>Precio</w:t>
            </w:r>
          </w:p>
        </w:tc>
        <w:tc>
          <w:tcPr>
            <w:tcW w:w="1320" w:type="dxa"/>
          </w:tcPr>
          <w:p>
            <w:pPr>
              <w:pStyle w:val="TableParagraph"/>
              <w:spacing w:before="5"/>
              <w:ind w:left="245"/>
              <w:rPr>
                <w:sz w:val="12"/>
              </w:rPr>
            </w:pPr>
            <w:r>
              <w:rPr>
                <w:w w:val="104"/>
                <w:sz w:val="12"/>
              </w:rPr>
              <w:t>1</w:t>
            </w:r>
          </w:p>
        </w:tc>
        <w:tc>
          <w:tcPr>
            <w:tcW w:w="833" w:type="dxa"/>
          </w:tcPr>
          <w:p>
            <w:pPr/>
          </w:p>
        </w:tc>
        <w:tc>
          <w:tcPr>
            <w:tcW w:w="729" w:type="dxa"/>
          </w:tcPr>
          <w:p>
            <w:pPr>
              <w:pStyle w:val="TableParagraph"/>
              <w:spacing w:before="5"/>
              <w:ind w:left="100" w:right="34"/>
              <w:rPr>
                <w:sz w:val="12"/>
              </w:rPr>
            </w:pPr>
            <w:r>
              <w:rPr>
                <w:w w:val="105"/>
                <w:sz w:val="12"/>
              </w:rPr>
              <w:t>0.5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5" w:hRule="exact"/>
        </w:trPr>
        <w:tc>
          <w:tcPr>
            <w:tcW w:w="652" w:type="dxa"/>
            <w:vMerge/>
            <w:tcBorders>
              <w:left w:val="single" w:sz="4" w:space="0" w:color="000000"/>
            </w:tcBorders>
          </w:tcPr>
          <w:p>
            <w:pPr/>
          </w:p>
        </w:tc>
        <w:tc>
          <w:tcPr>
            <w:tcW w:w="1892" w:type="dxa"/>
          </w:tcPr>
          <w:p>
            <w:pPr/>
          </w:p>
        </w:tc>
        <w:tc>
          <w:tcPr>
            <w:tcW w:w="2717" w:type="dxa"/>
          </w:tcPr>
          <w:p>
            <w:pPr/>
          </w:p>
        </w:tc>
        <w:tc>
          <w:tcPr>
            <w:tcW w:w="1320" w:type="dxa"/>
          </w:tcPr>
          <w:p>
            <w:pPr>
              <w:pStyle w:val="TableParagraph"/>
              <w:spacing w:before="5"/>
              <w:ind w:left="419" w:right="181"/>
              <w:rPr>
                <w:sz w:val="12"/>
              </w:rPr>
            </w:pPr>
            <w:r>
              <w:rPr>
                <w:w w:val="105"/>
                <w:sz w:val="12"/>
              </w:rPr>
              <w:t>Subtotal</w:t>
            </w:r>
          </w:p>
        </w:tc>
        <w:tc>
          <w:tcPr>
            <w:tcW w:w="833" w:type="dxa"/>
          </w:tcPr>
          <w:p>
            <w:pPr>
              <w:pStyle w:val="TableParagraph"/>
              <w:tabs>
                <w:tab w:pos="515" w:val="left" w:leader="none"/>
                <w:tab w:pos="892" w:val="left" w:leader="none"/>
              </w:tabs>
              <w:spacing w:before="5"/>
              <w:ind w:left="202" w:right="-60"/>
              <w:jc w:val="left"/>
              <w:rPr>
                <w:sz w:val="12"/>
              </w:rPr>
            </w:pPr>
            <w:r>
              <w:rPr>
                <w:w w:val="104"/>
                <w:sz w:val="12"/>
                <w:shd w:fill="F79646" w:color="auto" w:val="clear"/>
              </w:rPr>
              <w:t> </w:t>
            </w:r>
            <w:r>
              <w:rPr>
                <w:sz w:val="12"/>
                <w:shd w:fill="F79646" w:color="auto" w:val="clear"/>
              </w:rPr>
              <w:tab/>
            </w:r>
            <w:r>
              <w:rPr>
                <w:w w:val="105"/>
                <w:sz w:val="12"/>
                <w:shd w:fill="F79646" w:color="auto" w:val="clear"/>
              </w:rPr>
              <w:t>1</w:t>
            </w:r>
            <w:r>
              <w:rPr>
                <w:sz w:val="12"/>
                <w:shd w:fill="F79646" w:color="auto" w:val="clear"/>
              </w:rPr>
              <w:tab/>
            </w:r>
          </w:p>
        </w:tc>
        <w:tc>
          <w:tcPr>
            <w:tcW w:w="729" w:type="dxa"/>
          </w:tcPr>
          <w:p>
            <w:pPr>
              <w:pStyle w:val="TableParagraph"/>
              <w:spacing w:before="5"/>
              <w:ind w:left="100" w:right="34"/>
              <w:rPr>
                <w:sz w:val="12"/>
              </w:rPr>
            </w:pPr>
            <w:r>
              <w:rPr>
                <w:w w:val="105"/>
                <w:sz w:val="12"/>
              </w:rPr>
              <w:t>0.5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47" w:hRule="exact"/>
        </w:trPr>
        <w:tc>
          <w:tcPr>
            <w:tcW w:w="8822" w:type="dxa"/>
            <w:gridSpan w:val="7"/>
            <w:tcBorders>
              <w:left w:val="single" w:sz="4" w:space="0" w:color="000000"/>
              <w:right w:val="single" w:sz="8" w:space="0" w:color="000000"/>
            </w:tcBorders>
          </w:tcPr>
          <w:p>
            <w:pPr/>
          </w:p>
        </w:tc>
      </w:tr>
      <w:tr>
        <w:trPr>
          <w:trHeight w:val="160" w:hRule="exact"/>
        </w:trPr>
        <w:tc>
          <w:tcPr>
            <w:tcW w:w="652" w:type="dxa"/>
            <w:tcBorders>
              <w:left w:val="single" w:sz="4" w:space="0" w:color="000000"/>
            </w:tcBorders>
          </w:tcPr>
          <w:p>
            <w:pPr/>
          </w:p>
        </w:tc>
        <w:tc>
          <w:tcPr>
            <w:tcW w:w="1892" w:type="dxa"/>
          </w:tcPr>
          <w:p>
            <w:pPr>
              <w:pStyle w:val="TableParagraph"/>
              <w:spacing w:before="8"/>
              <w:ind w:left="106"/>
              <w:jc w:val="left"/>
              <w:rPr>
                <w:sz w:val="12"/>
              </w:rPr>
            </w:pPr>
            <w:r>
              <w:rPr>
                <w:w w:val="105"/>
                <w:sz w:val="12"/>
              </w:rPr>
              <w:t>INEX</w:t>
            </w:r>
          </w:p>
        </w:tc>
        <w:tc>
          <w:tcPr>
            <w:tcW w:w="2717" w:type="dxa"/>
          </w:tcPr>
          <w:p>
            <w:pPr>
              <w:pStyle w:val="TableParagraph"/>
              <w:spacing w:before="8"/>
              <w:ind w:left="306"/>
              <w:jc w:val="left"/>
              <w:rPr>
                <w:sz w:val="12"/>
              </w:rPr>
            </w:pPr>
            <w:r>
              <w:rPr>
                <w:w w:val="105"/>
                <w:sz w:val="12"/>
              </w:rPr>
              <w:t>Infonavit</w:t>
            </w:r>
          </w:p>
        </w:tc>
        <w:tc>
          <w:tcPr>
            <w:tcW w:w="1320" w:type="dxa"/>
          </w:tcPr>
          <w:p>
            <w:pPr>
              <w:pStyle w:val="TableParagraph"/>
              <w:tabs>
                <w:tab w:pos="747" w:val="left" w:leader="none"/>
                <w:tab w:pos="1531" w:val="left" w:leader="none"/>
              </w:tabs>
              <w:spacing w:before="8"/>
              <w:ind w:left="36" w:right="-213"/>
              <w:rPr>
                <w:sz w:val="12"/>
              </w:rPr>
            </w:pPr>
            <w:r>
              <w:rPr>
                <w:w w:val="104"/>
                <w:sz w:val="12"/>
                <w:shd w:fill="BAF9F5" w:color="auto" w:val="clear"/>
              </w:rPr>
              <w:t> </w:t>
            </w:r>
            <w:r>
              <w:rPr>
                <w:sz w:val="12"/>
                <w:shd w:fill="BAF9F5" w:color="auto" w:val="clear"/>
              </w:rPr>
              <w:tab/>
            </w:r>
            <w:r>
              <w:rPr>
                <w:w w:val="105"/>
                <w:sz w:val="12"/>
                <w:shd w:fill="BAF9F5" w:color="auto" w:val="clear"/>
              </w:rPr>
              <w:t>0</w:t>
            </w:r>
            <w:r>
              <w:rPr>
                <w:sz w:val="12"/>
                <w:shd w:fill="BAF9F5" w:color="auto" w:val="clear"/>
              </w:rPr>
              <w:tab/>
            </w:r>
          </w:p>
        </w:tc>
        <w:tc>
          <w:tcPr>
            <w:tcW w:w="833" w:type="dxa"/>
          </w:tcPr>
          <w:p>
            <w:pPr/>
          </w:p>
        </w:tc>
        <w:tc>
          <w:tcPr>
            <w:tcW w:w="729" w:type="dxa"/>
          </w:tcPr>
          <w:p>
            <w:pPr>
              <w:pStyle w:val="TableParagraph"/>
              <w:spacing w:before="8"/>
              <w:ind w:left="100" w:right="34"/>
              <w:rPr>
                <w:sz w:val="12"/>
              </w:rPr>
            </w:pPr>
            <w:r>
              <w:rPr>
                <w:w w:val="105"/>
                <w:sz w:val="12"/>
              </w:rPr>
              <w:t>0.7</w:t>
            </w:r>
          </w:p>
        </w:tc>
        <w:tc>
          <w:tcPr>
            <w:tcW w:w="680" w:type="dxa"/>
            <w:tcBorders>
              <w:right w:val="single" w:sz="8" w:space="0" w:color="000000"/>
            </w:tcBorders>
            <w:shd w:val="clear" w:color="auto" w:fill="67ED4D"/>
          </w:tcPr>
          <w:p>
            <w:pPr>
              <w:pStyle w:val="TableParagraph"/>
              <w:spacing w:before="8"/>
              <w:ind w:left="27"/>
              <w:rPr>
                <w:sz w:val="12"/>
              </w:rPr>
            </w:pPr>
            <w:r>
              <w:rPr>
                <w:w w:val="104"/>
                <w:sz w:val="12"/>
              </w:rPr>
              <w:t>1</w:t>
            </w:r>
          </w:p>
        </w:tc>
      </w:tr>
      <w:tr>
        <w:trPr>
          <w:trHeight w:val="165" w:hRule="exact"/>
        </w:trPr>
        <w:tc>
          <w:tcPr>
            <w:tcW w:w="652" w:type="dxa"/>
            <w:tcBorders>
              <w:left w:val="single" w:sz="4" w:space="0" w:color="000000"/>
            </w:tcBorders>
          </w:tcPr>
          <w:p>
            <w:pPr/>
          </w:p>
        </w:tc>
        <w:tc>
          <w:tcPr>
            <w:tcW w:w="1892" w:type="dxa"/>
          </w:tcPr>
          <w:p>
            <w:pPr/>
          </w:p>
        </w:tc>
        <w:tc>
          <w:tcPr>
            <w:tcW w:w="2717" w:type="dxa"/>
          </w:tcPr>
          <w:p>
            <w:pPr/>
          </w:p>
        </w:tc>
        <w:tc>
          <w:tcPr>
            <w:tcW w:w="1320" w:type="dxa"/>
          </w:tcPr>
          <w:p>
            <w:pPr>
              <w:pStyle w:val="TableParagraph"/>
              <w:spacing w:before="5"/>
              <w:ind w:left="419" w:right="181"/>
              <w:rPr>
                <w:sz w:val="12"/>
              </w:rPr>
            </w:pPr>
            <w:r>
              <w:rPr>
                <w:w w:val="105"/>
                <w:sz w:val="12"/>
              </w:rPr>
              <w:t>Subtotal</w:t>
            </w:r>
          </w:p>
        </w:tc>
        <w:tc>
          <w:tcPr>
            <w:tcW w:w="833" w:type="dxa"/>
          </w:tcPr>
          <w:p>
            <w:pPr>
              <w:pStyle w:val="TableParagraph"/>
              <w:tabs>
                <w:tab w:pos="515" w:val="left" w:leader="none"/>
                <w:tab w:pos="892" w:val="left" w:leader="none"/>
              </w:tabs>
              <w:spacing w:before="5"/>
              <w:ind w:left="202" w:right="-60"/>
              <w:jc w:val="left"/>
              <w:rPr>
                <w:sz w:val="12"/>
              </w:rPr>
            </w:pPr>
            <w:r>
              <w:rPr>
                <w:w w:val="104"/>
                <w:sz w:val="12"/>
                <w:shd w:fill="F79646" w:color="auto" w:val="clear"/>
              </w:rPr>
              <w:t> </w:t>
            </w:r>
            <w:r>
              <w:rPr>
                <w:sz w:val="12"/>
                <w:shd w:fill="F79646" w:color="auto" w:val="clear"/>
              </w:rPr>
              <w:tab/>
            </w:r>
            <w:r>
              <w:rPr>
                <w:w w:val="105"/>
                <w:sz w:val="12"/>
                <w:shd w:fill="F79646" w:color="auto" w:val="clear"/>
              </w:rPr>
              <w:t>0</w:t>
            </w:r>
            <w:r>
              <w:rPr>
                <w:sz w:val="12"/>
                <w:shd w:fill="F79646" w:color="auto" w:val="clear"/>
              </w:rPr>
              <w:tab/>
            </w:r>
          </w:p>
        </w:tc>
        <w:tc>
          <w:tcPr>
            <w:tcW w:w="729" w:type="dxa"/>
          </w:tcPr>
          <w:p>
            <w:pPr>
              <w:pStyle w:val="TableParagraph"/>
              <w:spacing w:before="5"/>
              <w:ind w:left="100" w:right="34"/>
              <w:rPr>
                <w:sz w:val="12"/>
              </w:rPr>
            </w:pPr>
            <w:r>
              <w:rPr>
                <w:w w:val="105"/>
                <w:sz w:val="12"/>
              </w:rPr>
              <w:t>0.7</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47" w:hRule="exact"/>
        </w:trPr>
        <w:tc>
          <w:tcPr>
            <w:tcW w:w="8822" w:type="dxa"/>
            <w:gridSpan w:val="7"/>
            <w:tcBorders>
              <w:left w:val="single" w:sz="4" w:space="0" w:color="000000"/>
              <w:right w:val="single" w:sz="8" w:space="0" w:color="000000"/>
            </w:tcBorders>
          </w:tcPr>
          <w:p>
            <w:pPr/>
          </w:p>
        </w:tc>
      </w:tr>
      <w:tr>
        <w:trPr>
          <w:trHeight w:val="160" w:hRule="exact"/>
        </w:trPr>
        <w:tc>
          <w:tcPr>
            <w:tcW w:w="652" w:type="dxa"/>
            <w:vMerge w:val="restart"/>
            <w:tcBorders>
              <w:left w:val="single" w:sz="4" w:space="0" w:color="000000"/>
            </w:tcBorders>
          </w:tcPr>
          <w:p>
            <w:pPr/>
          </w:p>
        </w:tc>
        <w:tc>
          <w:tcPr>
            <w:tcW w:w="1892" w:type="dxa"/>
          </w:tcPr>
          <w:p>
            <w:pPr/>
          </w:p>
        </w:tc>
        <w:tc>
          <w:tcPr>
            <w:tcW w:w="2717" w:type="dxa"/>
          </w:tcPr>
          <w:p>
            <w:pPr>
              <w:pStyle w:val="TableParagraph"/>
              <w:spacing w:before="8"/>
              <w:ind w:left="306"/>
              <w:jc w:val="left"/>
              <w:rPr>
                <w:sz w:val="12"/>
              </w:rPr>
            </w:pPr>
            <w:r>
              <w:rPr>
                <w:w w:val="105"/>
                <w:sz w:val="12"/>
              </w:rPr>
              <w:t>Ingresos al Estado</w:t>
            </w:r>
          </w:p>
        </w:tc>
        <w:tc>
          <w:tcPr>
            <w:tcW w:w="1320" w:type="dxa"/>
          </w:tcPr>
          <w:p>
            <w:pPr>
              <w:pStyle w:val="TableParagraph"/>
              <w:spacing w:before="8"/>
              <w:ind w:left="245"/>
              <w:rPr>
                <w:sz w:val="12"/>
              </w:rPr>
            </w:pPr>
            <w:r>
              <w:rPr>
                <w:w w:val="104"/>
                <w:sz w:val="12"/>
              </w:rPr>
              <w:t>1</w:t>
            </w:r>
          </w:p>
        </w:tc>
        <w:tc>
          <w:tcPr>
            <w:tcW w:w="833" w:type="dxa"/>
          </w:tcPr>
          <w:p>
            <w:pPr/>
          </w:p>
        </w:tc>
        <w:tc>
          <w:tcPr>
            <w:tcW w:w="729" w:type="dxa"/>
          </w:tcPr>
          <w:p>
            <w:pPr>
              <w:pStyle w:val="TableParagraph"/>
              <w:spacing w:before="8"/>
              <w:ind w:left="100" w:right="34"/>
              <w:rPr>
                <w:sz w:val="12"/>
              </w:rPr>
            </w:pPr>
            <w:r>
              <w:rPr>
                <w:w w:val="105"/>
                <w:sz w:val="12"/>
              </w:rPr>
              <w:t>0.9</w:t>
            </w:r>
          </w:p>
        </w:tc>
        <w:tc>
          <w:tcPr>
            <w:tcW w:w="680" w:type="dxa"/>
            <w:tcBorders>
              <w:right w:val="single" w:sz="8" w:space="0" w:color="000000"/>
            </w:tcBorders>
            <w:shd w:val="clear" w:color="auto" w:fill="67ED4D"/>
          </w:tcPr>
          <w:p>
            <w:pPr>
              <w:pStyle w:val="TableParagraph"/>
              <w:spacing w:before="8"/>
              <w:ind w:left="27"/>
              <w:rPr>
                <w:sz w:val="12"/>
              </w:rPr>
            </w:pPr>
            <w:r>
              <w:rPr>
                <w:w w:val="104"/>
                <w:sz w:val="12"/>
              </w:rPr>
              <w:t>1</w:t>
            </w:r>
          </w:p>
        </w:tc>
      </w:tr>
      <w:tr>
        <w:trPr>
          <w:trHeight w:val="157" w:hRule="exact"/>
        </w:trPr>
        <w:tc>
          <w:tcPr>
            <w:tcW w:w="652" w:type="dxa"/>
            <w:vMerge/>
            <w:tcBorders>
              <w:left w:val="single" w:sz="4" w:space="0" w:color="000000"/>
            </w:tcBorders>
          </w:tcPr>
          <w:p>
            <w:pPr/>
          </w:p>
        </w:tc>
        <w:tc>
          <w:tcPr>
            <w:tcW w:w="1892" w:type="dxa"/>
          </w:tcPr>
          <w:p>
            <w:pPr>
              <w:pStyle w:val="TableParagraph"/>
              <w:spacing w:before="5"/>
              <w:ind w:left="106"/>
              <w:jc w:val="left"/>
              <w:rPr>
                <w:sz w:val="12"/>
              </w:rPr>
            </w:pPr>
            <w:r>
              <w:rPr>
                <w:w w:val="105"/>
                <w:sz w:val="12"/>
              </w:rPr>
              <w:t>Ingresos por autorización</w:t>
            </w:r>
          </w:p>
        </w:tc>
        <w:tc>
          <w:tcPr>
            <w:tcW w:w="2717" w:type="dxa"/>
          </w:tcPr>
          <w:p>
            <w:pPr>
              <w:pStyle w:val="TableParagraph"/>
              <w:spacing w:before="5"/>
              <w:ind w:left="306"/>
              <w:jc w:val="left"/>
              <w:rPr>
                <w:sz w:val="12"/>
              </w:rPr>
            </w:pPr>
            <w:r>
              <w:rPr>
                <w:w w:val="105"/>
                <w:sz w:val="12"/>
              </w:rPr>
              <w:t>Ingresos al Municipio</w:t>
            </w:r>
          </w:p>
        </w:tc>
        <w:tc>
          <w:tcPr>
            <w:tcW w:w="1320" w:type="dxa"/>
          </w:tcPr>
          <w:p>
            <w:pPr>
              <w:pStyle w:val="TableParagraph"/>
              <w:spacing w:before="5"/>
              <w:ind w:left="426" w:right="181"/>
              <w:rPr>
                <w:sz w:val="12"/>
              </w:rPr>
            </w:pPr>
            <w:r>
              <w:rPr>
                <w:w w:val="105"/>
                <w:sz w:val="12"/>
              </w:rPr>
              <w:t>0.9</w:t>
            </w:r>
          </w:p>
        </w:tc>
        <w:tc>
          <w:tcPr>
            <w:tcW w:w="833" w:type="dxa"/>
          </w:tcPr>
          <w:p>
            <w:pPr/>
          </w:p>
        </w:tc>
        <w:tc>
          <w:tcPr>
            <w:tcW w:w="729" w:type="dxa"/>
          </w:tcPr>
          <w:p>
            <w:pPr>
              <w:pStyle w:val="TableParagraph"/>
              <w:spacing w:before="5"/>
              <w:ind w:left="100" w:right="34"/>
              <w:rPr>
                <w:sz w:val="12"/>
              </w:rPr>
            </w:pPr>
            <w:r>
              <w:rPr>
                <w:w w:val="105"/>
                <w:sz w:val="12"/>
              </w:rPr>
              <w:t>0.9</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52" w:type="dxa"/>
            <w:vMerge/>
            <w:tcBorders>
              <w:left w:val="single" w:sz="4" w:space="0" w:color="000000"/>
            </w:tcBorders>
          </w:tcPr>
          <w:p>
            <w:pPr/>
          </w:p>
        </w:tc>
        <w:tc>
          <w:tcPr>
            <w:tcW w:w="1892" w:type="dxa"/>
          </w:tcPr>
          <w:p>
            <w:pPr/>
          </w:p>
        </w:tc>
        <w:tc>
          <w:tcPr>
            <w:tcW w:w="2717" w:type="dxa"/>
          </w:tcPr>
          <w:p>
            <w:pPr>
              <w:pStyle w:val="TableParagraph"/>
              <w:spacing w:before="5"/>
              <w:ind w:left="306"/>
              <w:jc w:val="left"/>
              <w:rPr>
                <w:sz w:val="12"/>
              </w:rPr>
            </w:pPr>
            <w:r>
              <w:rPr>
                <w:w w:val="105"/>
                <w:sz w:val="12"/>
              </w:rPr>
              <w:t>Ingresos al Desarrollador</w:t>
            </w:r>
          </w:p>
        </w:tc>
        <w:tc>
          <w:tcPr>
            <w:tcW w:w="1320" w:type="dxa"/>
          </w:tcPr>
          <w:p>
            <w:pPr>
              <w:pStyle w:val="TableParagraph"/>
              <w:spacing w:before="5"/>
              <w:ind w:left="426" w:right="181"/>
              <w:rPr>
                <w:sz w:val="12"/>
              </w:rPr>
            </w:pPr>
            <w:r>
              <w:rPr>
                <w:w w:val="105"/>
                <w:sz w:val="12"/>
              </w:rPr>
              <w:t>0.6</w:t>
            </w:r>
          </w:p>
        </w:tc>
        <w:tc>
          <w:tcPr>
            <w:tcW w:w="833" w:type="dxa"/>
          </w:tcPr>
          <w:p>
            <w:pPr/>
          </w:p>
        </w:tc>
        <w:tc>
          <w:tcPr>
            <w:tcW w:w="729" w:type="dxa"/>
          </w:tcPr>
          <w:p>
            <w:pPr>
              <w:pStyle w:val="TableParagraph"/>
              <w:spacing w:before="5"/>
              <w:ind w:left="66"/>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5" w:hRule="exact"/>
        </w:trPr>
        <w:tc>
          <w:tcPr>
            <w:tcW w:w="652" w:type="dxa"/>
            <w:vMerge/>
            <w:tcBorders>
              <w:left w:val="single" w:sz="4" w:space="0" w:color="000000"/>
            </w:tcBorders>
          </w:tcPr>
          <w:p>
            <w:pPr/>
          </w:p>
        </w:tc>
        <w:tc>
          <w:tcPr>
            <w:tcW w:w="1892" w:type="dxa"/>
          </w:tcPr>
          <w:p>
            <w:pPr/>
          </w:p>
        </w:tc>
        <w:tc>
          <w:tcPr>
            <w:tcW w:w="2717" w:type="dxa"/>
          </w:tcPr>
          <w:p>
            <w:pPr/>
          </w:p>
        </w:tc>
        <w:tc>
          <w:tcPr>
            <w:tcW w:w="1320" w:type="dxa"/>
          </w:tcPr>
          <w:p>
            <w:pPr>
              <w:pStyle w:val="TableParagraph"/>
              <w:spacing w:before="5"/>
              <w:ind w:left="419" w:right="181"/>
              <w:rPr>
                <w:sz w:val="12"/>
              </w:rPr>
            </w:pPr>
            <w:r>
              <w:rPr>
                <w:w w:val="105"/>
                <w:sz w:val="12"/>
              </w:rPr>
              <w:t>Subtotal</w:t>
            </w:r>
          </w:p>
        </w:tc>
        <w:tc>
          <w:tcPr>
            <w:tcW w:w="833" w:type="dxa"/>
          </w:tcPr>
          <w:p>
            <w:pPr>
              <w:pStyle w:val="TableParagraph"/>
              <w:tabs>
                <w:tab w:pos="463" w:val="left" w:leader="none"/>
                <w:tab w:pos="892" w:val="left" w:leader="none"/>
              </w:tabs>
              <w:spacing w:before="5"/>
              <w:ind w:left="202" w:right="-60"/>
              <w:jc w:val="left"/>
              <w:rPr>
                <w:sz w:val="12"/>
              </w:rPr>
            </w:pPr>
            <w:r>
              <w:rPr>
                <w:w w:val="104"/>
                <w:sz w:val="12"/>
                <w:shd w:fill="F79646" w:color="auto" w:val="clear"/>
              </w:rPr>
              <w:t> </w:t>
            </w:r>
            <w:r>
              <w:rPr>
                <w:sz w:val="12"/>
                <w:shd w:fill="F79646" w:color="auto" w:val="clear"/>
              </w:rPr>
              <w:tab/>
            </w:r>
            <w:r>
              <w:rPr>
                <w:w w:val="105"/>
                <w:sz w:val="12"/>
                <w:shd w:fill="F79646" w:color="auto" w:val="clear"/>
              </w:rPr>
              <w:t>2.5</w:t>
            </w:r>
            <w:r>
              <w:rPr>
                <w:sz w:val="12"/>
                <w:shd w:fill="F79646" w:color="auto" w:val="clear"/>
              </w:rPr>
              <w:tab/>
            </w:r>
          </w:p>
        </w:tc>
        <w:tc>
          <w:tcPr>
            <w:tcW w:w="729" w:type="dxa"/>
          </w:tcPr>
          <w:p>
            <w:pPr>
              <w:pStyle w:val="TableParagraph"/>
              <w:spacing w:before="5"/>
              <w:ind w:left="100" w:right="34"/>
              <w:rPr>
                <w:sz w:val="12"/>
              </w:rPr>
            </w:pPr>
            <w:r>
              <w:rPr>
                <w:w w:val="105"/>
                <w:sz w:val="12"/>
              </w:rPr>
              <w:t>2.8</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3</w:t>
            </w:r>
          </w:p>
        </w:tc>
      </w:tr>
      <w:tr>
        <w:trPr>
          <w:trHeight w:val="147" w:hRule="exact"/>
        </w:trPr>
        <w:tc>
          <w:tcPr>
            <w:tcW w:w="8822" w:type="dxa"/>
            <w:gridSpan w:val="7"/>
            <w:tcBorders>
              <w:left w:val="single" w:sz="4" w:space="0" w:color="000000"/>
              <w:right w:val="single" w:sz="8" w:space="0" w:color="000000"/>
            </w:tcBorders>
          </w:tcPr>
          <w:p>
            <w:pPr>
              <w:pStyle w:val="TableParagraph"/>
              <w:spacing w:line="135" w:lineRule="exact"/>
              <w:ind w:left="52"/>
              <w:jc w:val="left"/>
              <w:rPr>
                <w:sz w:val="12"/>
              </w:rPr>
            </w:pPr>
            <w:r>
              <w:rPr>
                <w:w w:val="105"/>
                <w:sz w:val="12"/>
              </w:rPr>
              <w:t>Económico</w:t>
            </w:r>
          </w:p>
        </w:tc>
      </w:tr>
      <w:tr>
        <w:trPr>
          <w:trHeight w:val="160" w:hRule="exact"/>
        </w:trPr>
        <w:tc>
          <w:tcPr>
            <w:tcW w:w="652" w:type="dxa"/>
            <w:tcBorders>
              <w:left w:val="single" w:sz="4" w:space="0" w:color="000000"/>
            </w:tcBorders>
          </w:tcPr>
          <w:p>
            <w:pPr/>
          </w:p>
        </w:tc>
        <w:tc>
          <w:tcPr>
            <w:tcW w:w="1892" w:type="dxa"/>
          </w:tcPr>
          <w:p>
            <w:pPr/>
          </w:p>
        </w:tc>
        <w:tc>
          <w:tcPr>
            <w:tcW w:w="2717" w:type="dxa"/>
          </w:tcPr>
          <w:p>
            <w:pPr>
              <w:pStyle w:val="TableParagraph"/>
              <w:spacing w:before="8"/>
              <w:ind w:left="306"/>
              <w:jc w:val="left"/>
              <w:rPr>
                <w:sz w:val="12"/>
              </w:rPr>
            </w:pPr>
            <w:r>
              <w:rPr>
                <w:w w:val="105"/>
                <w:sz w:val="12"/>
              </w:rPr>
              <w:t>Pago de CFE</w:t>
            </w:r>
          </w:p>
        </w:tc>
        <w:tc>
          <w:tcPr>
            <w:tcW w:w="1320" w:type="dxa"/>
          </w:tcPr>
          <w:p>
            <w:pPr>
              <w:pStyle w:val="TableParagraph"/>
              <w:spacing w:before="8"/>
              <w:ind w:left="426" w:right="181"/>
              <w:rPr>
                <w:sz w:val="12"/>
              </w:rPr>
            </w:pPr>
            <w:r>
              <w:rPr>
                <w:w w:val="105"/>
                <w:sz w:val="12"/>
              </w:rPr>
              <w:t>0.6</w:t>
            </w:r>
          </w:p>
        </w:tc>
        <w:tc>
          <w:tcPr>
            <w:tcW w:w="833" w:type="dxa"/>
          </w:tcPr>
          <w:p>
            <w:pPr/>
          </w:p>
        </w:tc>
        <w:tc>
          <w:tcPr>
            <w:tcW w:w="729" w:type="dxa"/>
          </w:tcPr>
          <w:p>
            <w:pPr>
              <w:pStyle w:val="TableParagraph"/>
              <w:spacing w:before="8"/>
              <w:ind w:left="100" w:right="34"/>
              <w:rPr>
                <w:sz w:val="12"/>
              </w:rPr>
            </w:pPr>
            <w:r>
              <w:rPr>
                <w:w w:val="105"/>
                <w:sz w:val="12"/>
              </w:rPr>
              <w:t>0.7</w:t>
            </w:r>
          </w:p>
        </w:tc>
        <w:tc>
          <w:tcPr>
            <w:tcW w:w="680" w:type="dxa"/>
            <w:tcBorders>
              <w:right w:val="single" w:sz="8" w:space="0" w:color="000000"/>
            </w:tcBorders>
            <w:shd w:val="clear" w:color="auto" w:fill="67ED4D"/>
          </w:tcPr>
          <w:p>
            <w:pPr>
              <w:pStyle w:val="TableParagraph"/>
              <w:spacing w:before="8"/>
              <w:ind w:left="27"/>
              <w:rPr>
                <w:sz w:val="12"/>
              </w:rPr>
            </w:pPr>
            <w:r>
              <w:rPr>
                <w:w w:val="104"/>
                <w:sz w:val="12"/>
              </w:rPr>
              <w:t>1</w:t>
            </w:r>
          </w:p>
        </w:tc>
      </w:tr>
      <w:tr>
        <w:trPr>
          <w:trHeight w:val="157" w:hRule="exact"/>
        </w:trPr>
        <w:tc>
          <w:tcPr>
            <w:tcW w:w="652" w:type="dxa"/>
            <w:tcBorders>
              <w:left w:val="single" w:sz="4" w:space="0" w:color="000000"/>
            </w:tcBorders>
          </w:tcPr>
          <w:p>
            <w:pPr/>
          </w:p>
        </w:tc>
        <w:tc>
          <w:tcPr>
            <w:tcW w:w="1892" w:type="dxa"/>
          </w:tcPr>
          <w:p>
            <w:pPr/>
          </w:p>
        </w:tc>
        <w:tc>
          <w:tcPr>
            <w:tcW w:w="2717" w:type="dxa"/>
          </w:tcPr>
          <w:p>
            <w:pPr>
              <w:pStyle w:val="TableParagraph"/>
              <w:spacing w:before="5"/>
              <w:ind w:left="306"/>
              <w:jc w:val="left"/>
              <w:rPr>
                <w:sz w:val="12"/>
              </w:rPr>
            </w:pPr>
            <w:r>
              <w:rPr>
                <w:w w:val="105"/>
                <w:sz w:val="12"/>
              </w:rPr>
              <w:t>Pago de agua</w:t>
            </w:r>
          </w:p>
        </w:tc>
        <w:tc>
          <w:tcPr>
            <w:tcW w:w="1320" w:type="dxa"/>
          </w:tcPr>
          <w:p>
            <w:pPr>
              <w:pStyle w:val="TableParagraph"/>
              <w:spacing w:before="5"/>
              <w:ind w:left="245"/>
              <w:rPr>
                <w:sz w:val="12"/>
              </w:rPr>
            </w:pPr>
            <w:r>
              <w:rPr>
                <w:w w:val="104"/>
                <w:sz w:val="12"/>
              </w:rPr>
              <w:t>0</w:t>
            </w:r>
          </w:p>
        </w:tc>
        <w:tc>
          <w:tcPr>
            <w:tcW w:w="833" w:type="dxa"/>
          </w:tcPr>
          <w:p>
            <w:pPr/>
          </w:p>
        </w:tc>
        <w:tc>
          <w:tcPr>
            <w:tcW w:w="729" w:type="dxa"/>
          </w:tcPr>
          <w:p>
            <w:pPr>
              <w:pStyle w:val="TableParagraph"/>
              <w:spacing w:before="5"/>
              <w:ind w:left="100" w:right="34"/>
              <w:rPr>
                <w:sz w:val="12"/>
              </w:rPr>
            </w:pPr>
            <w:r>
              <w:rPr>
                <w:w w:val="105"/>
                <w:sz w:val="12"/>
              </w:rPr>
              <w:t>0.7</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52" w:type="dxa"/>
            <w:tcBorders>
              <w:left w:val="single" w:sz="4" w:space="0" w:color="000000"/>
            </w:tcBorders>
          </w:tcPr>
          <w:p>
            <w:pPr/>
          </w:p>
        </w:tc>
        <w:tc>
          <w:tcPr>
            <w:tcW w:w="1892" w:type="dxa"/>
          </w:tcPr>
          <w:p>
            <w:pPr>
              <w:pStyle w:val="TableParagraph"/>
              <w:spacing w:before="5"/>
              <w:ind w:left="106"/>
              <w:jc w:val="left"/>
              <w:rPr>
                <w:sz w:val="12"/>
              </w:rPr>
            </w:pPr>
            <w:r>
              <w:rPr>
                <w:w w:val="105"/>
                <w:sz w:val="12"/>
              </w:rPr>
              <w:t>Gastos de habitabilidad</w:t>
            </w:r>
          </w:p>
        </w:tc>
        <w:tc>
          <w:tcPr>
            <w:tcW w:w="2717" w:type="dxa"/>
          </w:tcPr>
          <w:p>
            <w:pPr>
              <w:pStyle w:val="TableParagraph"/>
              <w:spacing w:before="5"/>
              <w:ind w:left="306"/>
              <w:jc w:val="left"/>
              <w:rPr>
                <w:sz w:val="12"/>
              </w:rPr>
            </w:pPr>
            <w:r>
              <w:rPr>
                <w:w w:val="105"/>
                <w:sz w:val="12"/>
              </w:rPr>
              <w:t>Pago predial</w:t>
            </w:r>
          </w:p>
        </w:tc>
        <w:tc>
          <w:tcPr>
            <w:tcW w:w="1320" w:type="dxa"/>
          </w:tcPr>
          <w:p>
            <w:pPr>
              <w:pStyle w:val="TableParagraph"/>
              <w:spacing w:before="5"/>
              <w:ind w:left="245"/>
              <w:rPr>
                <w:sz w:val="12"/>
              </w:rPr>
            </w:pPr>
            <w:r>
              <w:rPr>
                <w:w w:val="104"/>
                <w:sz w:val="12"/>
              </w:rPr>
              <w:t>0</w:t>
            </w:r>
          </w:p>
        </w:tc>
        <w:tc>
          <w:tcPr>
            <w:tcW w:w="833" w:type="dxa"/>
          </w:tcPr>
          <w:p>
            <w:pPr/>
          </w:p>
        </w:tc>
        <w:tc>
          <w:tcPr>
            <w:tcW w:w="729" w:type="dxa"/>
          </w:tcPr>
          <w:p>
            <w:pPr>
              <w:pStyle w:val="TableParagraph"/>
              <w:spacing w:before="5"/>
              <w:ind w:left="100" w:right="34"/>
              <w:rPr>
                <w:sz w:val="12"/>
              </w:rPr>
            </w:pPr>
            <w:r>
              <w:rPr>
                <w:w w:val="105"/>
                <w:sz w:val="12"/>
              </w:rPr>
              <w:t>0.7</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52" w:type="dxa"/>
            <w:tcBorders>
              <w:left w:val="single" w:sz="4" w:space="0" w:color="000000"/>
            </w:tcBorders>
          </w:tcPr>
          <w:p>
            <w:pPr/>
          </w:p>
        </w:tc>
        <w:tc>
          <w:tcPr>
            <w:tcW w:w="1892" w:type="dxa"/>
          </w:tcPr>
          <w:p>
            <w:pPr/>
          </w:p>
        </w:tc>
        <w:tc>
          <w:tcPr>
            <w:tcW w:w="2717" w:type="dxa"/>
          </w:tcPr>
          <w:p>
            <w:pPr>
              <w:pStyle w:val="TableParagraph"/>
              <w:spacing w:before="5"/>
              <w:ind w:left="306"/>
              <w:jc w:val="left"/>
              <w:rPr>
                <w:sz w:val="12"/>
              </w:rPr>
            </w:pPr>
            <w:r>
              <w:rPr>
                <w:w w:val="105"/>
                <w:sz w:val="12"/>
              </w:rPr>
              <w:t>Comunicación</w:t>
            </w:r>
          </w:p>
        </w:tc>
        <w:tc>
          <w:tcPr>
            <w:tcW w:w="1320" w:type="dxa"/>
          </w:tcPr>
          <w:p>
            <w:pPr>
              <w:pStyle w:val="TableParagraph"/>
              <w:spacing w:before="5"/>
              <w:ind w:left="426" w:right="181"/>
              <w:rPr>
                <w:sz w:val="12"/>
              </w:rPr>
            </w:pPr>
            <w:r>
              <w:rPr>
                <w:w w:val="105"/>
                <w:sz w:val="12"/>
              </w:rPr>
              <w:t>0.7</w:t>
            </w:r>
          </w:p>
        </w:tc>
        <w:tc>
          <w:tcPr>
            <w:tcW w:w="833" w:type="dxa"/>
          </w:tcPr>
          <w:p>
            <w:pPr/>
          </w:p>
        </w:tc>
        <w:tc>
          <w:tcPr>
            <w:tcW w:w="729" w:type="dxa"/>
          </w:tcPr>
          <w:p>
            <w:pPr>
              <w:pStyle w:val="TableParagraph"/>
              <w:spacing w:before="5"/>
              <w:ind w:left="100" w:right="34"/>
              <w:rPr>
                <w:sz w:val="12"/>
              </w:rPr>
            </w:pPr>
            <w:r>
              <w:rPr>
                <w:w w:val="105"/>
                <w:sz w:val="12"/>
              </w:rPr>
              <w:t>0.7</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52" w:type="dxa"/>
            <w:tcBorders>
              <w:left w:val="single" w:sz="4" w:space="0" w:color="000000"/>
            </w:tcBorders>
          </w:tcPr>
          <w:p>
            <w:pPr/>
          </w:p>
        </w:tc>
        <w:tc>
          <w:tcPr>
            <w:tcW w:w="1892" w:type="dxa"/>
          </w:tcPr>
          <w:p>
            <w:pPr/>
          </w:p>
        </w:tc>
        <w:tc>
          <w:tcPr>
            <w:tcW w:w="2717" w:type="dxa"/>
          </w:tcPr>
          <w:p>
            <w:pPr>
              <w:pStyle w:val="TableParagraph"/>
              <w:spacing w:before="5"/>
              <w:ind w:left="306"/>
              <w:jc w:val="left"/>
              <w:rPr>
                <w:sz w:val="12"/>
              </w:rPr>
            </w:pPr>
            <w:r>
              <w:rPr>
                <w:w w:val="105"/>
                <w:sz w:val="12"/>
              </w:rPr>
              <w:t>Comunidad</w:t>
            </w:r>
          </w:p>
        </w:tc>
        <w:tc>
          <w:tcPr>
            <w:tcW w:w="1320" w:type="dxa"/>
          </w:tcPr>
          <w:p>
            <w:pPr>
              <w:pStyle w:val="TableParagraph"/>
              <w:spacing w:before="5"/>
              <w:ind w:left="245"/>
              <w:rPr>
                <w:sz w:val="12"/>
              </w:rPr>
            </w:pPr>
            <w:r>
              <w:rPr>
                <w:w w:val="104"/>
                <w:sz w:val="12"/>
              </w:rPr>
              <w:t>0</w:t>
            </w:r>
          </w:p>
        </w:tc>
        <w:tc>
          <w:tcPr>
            <w:tcW w:w="833" w:type="dxa"/>
          </w:tcPr>
          <w:p>
            <w:pPr/>
          </w:p>
        </w:tc>
        <w:tc>
          <w:tcPr>
            <w:tcW w:w="729" w:type="dxa"/>
          </w:tcPr>
          <w:p>
            <w:pPr>
              <w:pStyle w:val="TableParagraph"/>
              <w:spacing w:before="5"/>
              <w:ind w:left="100" w:right="34"/>
              <w:rPr>
                <w:sz w:val="12"/>
              </w:rPr>
            </w:pPr>
            <w:r>
              <w:rPr>
                <w:w w:val="105"/>
                <w:sz w:val="12"/>
              </w:rPr>
              <w:t>0.7</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5" w:hRule="exact"/>
        </w:trPr>
        <w:tc>
          <w:tcPr>
            <w:tcW w:w="652" w:type="dxa"/>
            <w:tcBorders>
              <w:left w:val="single" w:sz="4" w:space="0" w:color="000000"/>
            </w:tcBorders>
          </w:tcPr>
          <w:p>
            <w:pPr/>
          </w:p>
        </w:tc>
        <w:tc>
          <w:tcPr>
            <w:tcW w:w="1892" w:type="dxa"/>
          </w:tcPr>
          <w:p>
            <w:pPr/>
          </w:p>
        </w:tc>
        <w:tc>
          <w:tcPr>
            <w:tcW w:w="2717" w:type="dxa"/>
          </w:tcPr>
          <w:p>
            <w:pPr/>
          </w:p>
        </w:tc>
        <w:tc>
          <w:tcPr>
            <w:tcW w:w="1320" w:type="dxa"/>
          </w:tcPr>
          <w:p>
            <w:pPr>
              <w:pStyle w:val="TableParagraph"/>
              <w:spacing w:before="5"/>
              <w:ind w:left="419" w:right="181"/>
              <w:rPr>
                <w:sz w:val="12"/>
              </w:rPr>
            </w:pPr>
            <w:r>
              <w:rPr>
                <w:w w:val="105"/>
                <w:sz w:val="12"/>
              </w:rPr>
              <w:t>Subtotal</w:t>
            </w:r>
          </w:p>
        </w:tc>
        <w:tc>
          <w:tcPr>
            <w:tcW w:w="833" w:type="dxa"/>
          </w:tcPr>
          <w:p>
            <w:pPr>
              <w:pStyle w:val="TableParagraph"/>
              <w:tabs>
                <w:tab w:pos="463" w:val="left" w:leader="none"/>
                <w:tab w:pos="892" w:val="left" w:leader="none"/>
              </w:tabs>
              <w:spacing w:before="5"/>
              <w:ind w:left="202" w:right="-60"/>
              <w:jc w:val="left"/>
              <w:rPr>
                <w:sz w:val="12"/>
              </w:rPr>
            </w:pPr>
            <w:r>
              <w:rPr>
                <w:w w:val="104"/>
                <w:sz w:val="12"/>
                <w:shd w:fill="F79646" w:color="auto" w:val="clear"/>
              </w:rPr>
              <w:t> </w:t>
            </w:r>
            <w:r>
              <w:rPr>
                <w:sz w:val="12"/>
                <w:shd w:fill="F79646" w:color="auto" w:val="clear"/>
              </w:rPr>
              <w:tab/>
            </w:r>
            <w:r>
              <w:rPr>
                <w:w w:val="105"/>
                <w:sz w:val="12"/>
                <w:shd w:fill="F79646" w:color="auto" w:val="clear"/>
              </w:rPr>
              <w:t>1.3</w:t>
            </w:r>
            <w:r>
              <w:rPr>
                <w:sz w:val="12"/>
                <w:shd w:fill="F79646" w:color="auto" w:val="clear"/>
              </w:rPr>
              <w:tab/>
            </w:r>
          </w:p>
        </w:tc>
        <w:tc>
          <w:tcPr>
            <w:tcW w:w="729" w:type="dxa"/>
          </w:tcPr>
          <w:p>
            <w:pPr>
              <w:pStyle w:val="TableParagraph"/>
              <w:spacing w:before="5"/>
              <w:ind w:left="100" w:right="34"/>
              <w:rPr>
                <w:sz w:val="12"/>
              </w:rPr>
            </w:pPr>
            <w:r>
              <w:rPr>
                <w:w w:val="105"/>
                <w:sz w:val="12"/>
              </w:rPr>
              <w:t>4.2</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5</w:t>
            </w:r>
          </w:p>
        </w:tc>
      </w:tr>
      <w:tr>
        <w:trPr>
          <w:trHeight w:val="147" w:hRule="exact"/>
        </w:trPr>
        <w:tc>
          <w:tcPr>
            <w:tcW w:w="8822" w:type="dxa"/>
            <w:gridSpan w:val="7"/>
            <w:tcBorders>
              <w:left w:val="single" w:sz="4" w:space="0" w:color="000000"/>
              <w:right w:val="single" w:sz="8" w:space="0" w:color="000000"/>
            </w:tcBorders>
          </w:tcPr>
          <w:p>
            <w:pPr/>
          </w:p>
        </w:tc>
      </w:tr>
      <w:tr>
        <w:trPr>
          <w:trHeight w:val="160" w:hRule="exact"/>
        </w:trPr>
        <w:tc>
          <w:tcPr>
            <w:tcW w:w="652" w:type="dxa"/>
            <w:tcBorders>
              <w:left w:val="single" w:sz="4" w:space="0" w:color="000000"/>
            </w:tcBorders>
          </w:tcPr>
          <w:p>
            <w:pPr/>
          </w:p>
        </w:tc>
        <w:tc>
          <w:tcPr>
            <w:tcW w:w="1892" w:type="dxa"/>
          </w:tcPr>
          <w:p>
            <w:pPr>
              <w:pStyle w:val="TableParagraph"/>
              <w:spacing w:before="7"/>
              <w:ind w:left="106"/>
              <w:jc w:val="left"/>
              <w:rPr>
                <w:sz w:val="12"/>
              </w:rPr>
            </w:pPr>
            <w:r>
              <w:rPr>
                <w:w w:val="105"/>
                <w:sz w:val="12"/>
              </w:rPr>
              <w:t>Índice para una vida mejor</w:t>
            </w:r>
          </w:p>
        </w:tc>
        <w:tc>
          <w:tcPr>
            <w:tcW w:w="2717" w:type="dxa"/>
          </w:tcPr>
          <w:p>
            <w:pPr>
              <w:pStyle w:val="TableParagraph"/>
              <w:spacing w:before="7"/>
              <w:ind w:left="306"/>
              <w:jc w:val="left"/>
              <w:rPr>
                <w:sz w:val="12"/>
              </w:rPr>
            </w:pPr>
            <w:r>
              <w:rPr>
                <w:w w:val="105"/>
                <w:sz w:val="12"/>
              </w:rPr>
              <w:t>Gasto en vivienda</w:t>
            </w:r>
          </w:p>
        </w:tc>
        <w:tc>
          <w:tcPr>
            <w:tcW w:w="1320" w:type="dxa"/>
          </w:tcPr>
          <w:p>
            <w:pPr>
              <w:pStyle w:val="TableParagraph"/>
              <w:tabs>
                <w:tab w:pos="695" w:val="left" w:leader="none"/>
                <w:tab w:pos="1531" w:val="left" w:leader="none"/>
              </w:tabs>
              <w:spacing w:before="7"/>
              <w:ind w:left="36" w:right="-213"/>
              <w:rPr>
                <w:sz w:val="12"/>
              </w:rPr>
            </w:pPr>
            <w:r>
              <w:rPr>
                <w:w w:val="104"/>
                <w:sz w:val="12"/>
                <w:shd w:fill="BAF9F5" w:color="auto" w:val="clear"/>
              </w:rPr>
              <w:t> </w:t>
            </w:r>
            <w:r>
              <w:rPr>
                <w:sz w:val="12"/>
                <w:shd w:fill="BAF9F5" w:color="auto" w:val="clear"/>
              </w:rPr>
              <w:tab/>
            </w:r>
            <w:r>
              <w:rPr>
                <w:w w:val="105"/>
                <w:sz w:val="12"/>
                <w:shd w:fill="BAF9F5" w:color="auto" w:val="clear"/>
              </w:rPr>
              <w:t>0.6</w:t>
            </w:r>
            <w:r>
              <w:rPr>
                <w:sz w:val="12"/>
                <w:shd w:fill="BAF9F5" w:color="auto" w:val="clear"/>
              </w:rPr>
              <w:tab/>
            </w:r>
          </w:p>
        </w:tc>
        <w:tc>
          <w:tcPr>
            <w:tcW w:w="833" w:type="dxa"/>
          </w:tcPr>
          <w:p>
            <w:pPr/>
          </w:p>
        </w:tc>
        <w:tc>
          <w:tcPr>
            <w:tcW w:w="729" w:type="dxa"/>
          </w:tcPr>
          <w:p>
            <w:pPr>
              <w:pStyle w:val="TableParagraph"/>
              <w:spacing w:before="7"/>
              <w:ind w:left="100" w:right="34"/>
              <w:rPr>
                <w:sz w:val="12"/>
              </w:rPr>
            </w:pPr>
            <w:r>
              <w:rPr>
                <w:w w:val="105"/>
                <w:sz w:val="12"/>
              </w:rPr>
              <w:t>0.8</w:t>
            </w:r>
          </w:p>
        </w:tc>
        <w:tc>
          <w:tcPr>
            <w:tcW w:w="680" w:type="dxa"/>
            <w:tcBorders>
              <w:right w:val="single" w:sz="8" w:space="0" w:color="000000"/>
            </w:tcBorders>
            <w:shd w:val="clear" w:color="auto" w:fill="67ED4D"/>
          </w:tcPr>
          <w:p>
            <w:pPr>
              <w:pStyle w:val="TableParagraph"/>
              <w:spacing w:before="7"/>
              <w:ind w:left="27"/>
              <w:rPr>
                <w:sz w:val="12"/>
              </w:rPr>
            </w:pPr>
            <w:r>
              <w:rPr>
                <w:w w:val="104"/>
                <w:sz w:val="12"/>
              </w:rPr>
              <w:t>1</w:t>
            </w:r>
          </w:p>
        </w:tc>
      </w:tr>
      <w:tr>
        <w:trPr>
          <w:trHeight w:val="165" w:hRule="exact"/>
        </w:trPr>
        <w:tc>
          <w:tcPr>
            <w:tcW w:w="652" w:type="dxa"/>
            <w:tcBorders>
              <w:left w:val="single" w:sz="4" w:space="0" w:color="000000"/>
            </w:tcBorders>
          </w:tcPr>
          <w:p>
            <w:pPr/>
          </w:p>
        </w:tc>
        <w:tc>
          <w:tcPr>
            <w:tcW w:w="1892" w:type="dxa"/>
          </w:tcPr>
          <w:p>
            <w:pPr/>
          </w:p>
        </w:tc>
        <w:tc>
          <w:tcPr>
            <w:tcW w:w="2717" w:type="dxa"/>
          </w:tcPr>
          <w:p>
            <w:pPr/>
          </w:p>
        </w:tc>
        <w:tc>
          <w:tcPr>
            <w:tcW w:w="1320" w:type="dxa"/>
          </w:tcPr>
          <w:p>
            <w:pPr>
              <w:pStyle w:val="TableParagraph"/>
              <w:spacing w:before="5"/>
              <w:ind w:left="419" w:right="181"/>
              <w:rPr>
                <w:sz w:val="12"/>
              </w:rPr>
            </w:pPr>
            <w:r>
              <w:rPr>
                <w:w w:val="105"/>
                <w:sz w:val="12"/>
              </w:rPr>
              <w:t>Subtotal</w:t>
            </w:r>
          </w:p>
        </w:tc>
        <w:tc>
          <w:tcPr>
            <w:tcW w:w="833" w:type="dxa"/>
          </w:tcPr>
          <w:p>
            <w:pPr>
              <w:pStyle w:val="TableParagraph"/>
              <w:tabs>
                <w:tab w:pos="463" w:val="left" w:leader="none"/>
                <w:tab w:pos="892" w:val="left" w:leader="none"/>
              </w:tabs>
              <w:spacing w:before="5"/>
              <w:ind w:left="202" w:right="-60"/>
              <w:jc w:val="left"/>
              <w:rPr>
                <w:sz w:val="12"/>
              </w:rPr>
            </w:pPr>
            <w:r>
              <w:rPr>
                <w:w w:val="104"/>
                <w:sz w:val="12"/>
                <w:shd w:fill="F79646" w:color="auto" w:val="clear"/>
              </w:rPr>
              <w:t> </w:t>
            </w:r>
            <w:r>
              <w:rPr>
                <w:sz w:val="12"/>
                <w:shd w:fill="F79646" w:color="auto" w:val="clear"/>
              </w:rPr>
              <w:tab/>
            </w:r>
            <w:r>
              <w:rPr>
                <w:w w:val="105"/>
                <w:sz w:val="12"/>
                <w:shd w:fill="F79646" w:color="auto" w:val="clear"/>
              </w:rPr>
              <w:t>0.6</w:t>
            </w:r>
            <w:r>
              <w:rPr>
                <w:sz w:val="12"/>
                <w:shd w:fill="F79646" w:color="auto" w:val="clear"/>
              </w:rPr>
              <w:tab/>
            </w:r>
          </w:p>
        </w:tc>
        <w:tc>
          <w:tcPr>
            <w:tcW w:w="729" w:type="dxa"/>
          </w:tcPr>
          <w:p>
            <w:pPr>
              <w:pStyle w:val="TableParagraph"/>
              <w:spacing w:before="5"/>
              <w:ind w:left="100" w:right="34"/>
              <w:rPr>
                <w:sz w:val="12"/>
              </w:rPr>
            </w:pPr>
            <w:r>
              <w:rPr>
                <w:w w:val="105"/>
                <w:sz w:val="12"/>
              </w:rPr>
              <w:t>0.8</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47" w:hRule="exact"/>
        </w:trPr>
        <w:tc>
          <w:tcPr>
            <w:tcW w:w="8822" w:type="dxa"/>
            <w:gridSpan w:val="7"/>
            <w:tcBorders>
              <w:left w:val="single" w:sz="4" w:space="0" w:color="000000"/>
              <w:right w:val="single" w:sz="8" w:space="0" w:color="000000"/>
            </w:tcBorders>
          </w:tcPr>
          <w:p>
            <w:pPr/>
          </w:p>
        </w:tc>
      </w:tr>
      <w:tr>
        <w:trPr>
          <w:trHeight w:val="167" w:hRule="exact"/>
        </w:trPr>
        <w:tc>
          <w:tcPr>
            <w:tcW w:w="652" w:type="dxa"/>
            <w:tcBorders>
              <w:left w:val="single" w:sz="4" w:space="0" w:color="000000"/>
            </w:tcBorders>
          </w:tcPr>
          <w:p>
            <w:pPr/>
          </w:p>
        </w:tc>
        <w:tc>
          <w:tcPr>
            <w:tcW w:w="1892" w:type="dxa"/>
          </w:tcPr>
          <w:p>
            <w:pPr/>
          </w:p>
        </w:tc>
        <w:tc>
          <w:tcPr>
            <w:tcW w:w="2717" w:type="dxa"/>
          </w:tcPr>
          <w:p>
            <w:pPr/>
          </w:p>
        </w:tc>
        <w:tc>
          <w:tcPr>
            <w:tcW w:w="1320" w:type="dxa"/>
          </w:tcPr>
          <w:p>
            <w:pPr>
              <w:pStyle w:val="TableParagraph"/>
              <w:spacing w:before="8"/>
              <w:ind w:left="433" w:right="174"/>
              <w:rPr>
                <w:sz w:val="12"/>
              </w:rPr>
            </w:pPr>
            <w:r>
              <w:rPr>
                <w:w w:val="105"/>
                <w:sz w:val="12"/>
              </w:rPr>
              <w:t>Total IE</w:t>
            </w:r>
          </w:p>
        </w:tc>
        <w:tc>
          <w:tcPr>
            <w:tcW w:w="833" w:type="dxa"/>
          </w:tcPr>
          <w:p>
            <w:pPr>
              <w:pStyle w:val="TableParagraph"/>
              <w:tabs>
                <w:tab w:pos="463" w:val="left" w:leader="none"/>
                <w:tab w:pos="892" w:val="left" w:leader="none"/>
              </w:tabs>
              <w:spacing w:before="8"/>
              <w:ind w:left="202" w:right="-60"/>
              <w:jc w:val="left"/>
              <w:rPr>
                <w:sz w:val="12"/>
              </w:rPr>
            </w:pPr>
            <w:r>
              <w:rPr>
                <w:w w:val="104"/>
                <w:sz w:val="12"/>
                <w:shd w:fill="F79646" w:color="auto" w:val="clear"/>
              </w:rPr>
              <w:t> </w:t>
            </w:r>
            <w:r>
              <w:rPr>
                <w:sz w:val="12"/>
                <w:shd w:fill="F79646" w:color="auto" w:val="clear"/>
              </w:rPr>
              <w:tab/>
            </w:r>
            <w:r>
              <w:rPr>
                <w:w w:val="105"/>
                <w:sz w:val="12"/>
                <w:shd w:fill="F79646" w:color="auto" w:val="clear"/>
              </w:rPr>
              <w:t>5.4</w:t>
            </w:r>
            <w:r>
              <w:rPr>
                <w:sz w:val="12"/>
                <w:shd w:fill="F79646" w:color="auto" w:val="clear"/>
              </w:rPr>
              <w:tab/>
            </w:r>
          </w:p>
        </w:tc>
        <w:tc>
          <w:tcPr>
            <w:tcW w:w="729" w:type="dxa"/>
          </w:tcPr>
          <w:p>
            <w:pPr>
              <w:pStyle w:val="TableParagraph"/>
              <w:spacing w:before="8"/>
              <w:ind w:left="66"/>
              <w:rPr>
                <w:sz w:val="12"/>
              </w:rPr>
            </w:pPr>
            <w:r>
              <w:rPr>
                <w:w w:val="104"/>
                <w:sz w:val="12"/>
              </w:rPr>
              <w:t>9</w:t>
            </w:r>
          </w:p>
        </w:tc>
        <w:tc>
          <w:tcPr>
            <w:tcW w:w="680" w:type="dxa"/>
            <w:tcBorders>
              <w:right w:val="single" w:sz="8" w:space="0" w:color="000000"/>
            </w:tcBorders>
            <w:shd w:val="clear" w:color="auto" w:fill="67ED4D"/>
          </w:tcPr>
          <w:p>
            <w:pPr>
              <w:pStyle w:val="TableParagraph"/>
              <w:spacing w:before="8"/>
              <w:ind w:left="100" w:right="84"/>
              <w:rPr>
                <w:sz w:val="12"/>
              </w:rPr>
            </w:pPr>
            <w:r>
              <w:rPr>
                <w:w w:val="105"/>
                <w:sz w:val="12"/>
              </w:rPr>
              <w:t>11</w:t>
            </w:r>
          </w:p>
        </w:tc>
      </w:tr>
      <w:tr>
        <w:trPr>
          <w:trHeight w:val="157" w:hRule="exact"/>
        </w:trPr>
        <w:tc>
          <w:tcPr>
            <w:tcW w:w="8822" w:type="dxa"/>
            <w:gridSpan w:val="7"/>
            <w:tcBorders>
              <w:left w:val="single" w:sz="4" w:space="0" w:color="000000"/>
              <w:bottom w:val="single" w:sz="8" w:space="0" w:color="000000"/>
              <w:right w:val="single" w:sz="8" w:space="0" w:color="000000"/>
            </w:tcBorders>
          </w:tcPr>
          <w:p>
            <w:pPr/>
          </w:p>
        </w:tc>
      </w:tr>
    </w:tbl>
    <w:p>
      <w:pPr>
        <w:spacing w:before="139"/>
        <w:ind w:left="268" w:right="0" w:firstLine="0"/>
        <w:jc w:val="left"/>
        <w:rPr>
          <w:sz w:val="21"/>
        </w:rPr>
      </w:pPr>
      <w:r>
        <w:rPr/>
        <w:pict>
          <v:group style="position:absolute;margin-left:364.451508pt;margin-top:-95.552925pt;width:74.8pt;height:40.35pt;mso-position-horizontal-relative:page;mso-position-vertical-relative:paragraph;z-index:-1131472" coordorigin="7289,-1911" coordsize="1496,807">
            <v:line style="position:absolute" from="7295,-1906" to="7295,-1738" stroked="true" strokeweight=".523pt" strokecolor="#baf9f5"/>
            <v:rect style="position:absolute;left:7300;top:-1906;width:1485;height:167" filled="true" fillcolor="#baf9f5" stroked="false">
              <v:fill type="solid"/>
            </v:rect>
            <v:line style="position:absolute" from="7295,-1738" to="7295,-1581" stroked="true" strokeweight=".523pt" strokecolor="#baf9f5"/>
            <v:rect style="position:absolute;left:7300;top:-1738;width:1485;height:157" filled="true" fillcolor="#baf9f5" stroked="false">
              <v:fill type="solid"/>
            </v:rect>
            <v:line style="position:absolute" from="7295,-1581" to="7295,-1424" stroked="true" strokeweight=".523pt" strokecolor="#baf9f5"/>
            <v:rect style="position:absolute;left:7300;top:-1581;width:1485;height:157" filled="true" fillcolor="#baf9f5" stroked="false">
              <v:fill type="solid"/>
            </v:rect>
            <v:line style="position:absolute" from="7295,-1424" to="7295,-1267" stroked="true" strokeweight=".523pt" strokecolor="#baf9f5"/>
            <v:rect style="position:absolute;left:7300;top:-1424;width:1485;height:157" filled="true" fillcolor="#baf9f5" stroked="false">
              <v:fill type="solid"/>
            </v:rect>
            <v:line style="position:absolute" from="7295,-1267" to="7295,-1110" stroked="true" strokeweight=".523pt" strokecolor="#baf9f5"/>
            <v:rect style="position:absolute;left:7300;top:-1267;width:1485;height:157" filled="true" fillcolor="#baf9f5" stroked="false">
              <v:fill type="solid"/>
            </v:rect>
            <w10:wrap type="none"/>
          </v:group>
        </w:pict>
      </w:r>
      <w:r>
        <w:rPr/>
        <w:pict>
          <v:shape style="position:absolute;margin-left:472.715027pt;margin-top:-95.277153pt;width:34.550pt;height:47.65pt;mso-position-horizontal-relative:page;mso-position-vertical-relative:paragraph;z-index:-1131448" coordorigin="9454,-1906" coordsize="691,953" path="m10145,-1424l9454,-1424,9454,-1267,9454,-1121,9454,-1110,9454,-953,10145,-953,10145,-1110,10145,-1121,10145,-1267,10145,-1424m10145,-1581l9454,-1581,9454,-1424,10145,-1424,10145,-1581m10145,-1738l9454,-1738,9454,-1581,10145,-1581,10145,-1738m10145,-1906l9454,-1906,9454,-1738,10145,-1738,10145,-1906e" filled="true" fillcolor="#ffff00" stroked="false">
            <v:path arrowok="t"/>
            <v:fill type="solid"/>
            <w10:wrap type="none"/>
          </v:shape>
        </w:pict>
      </w:r>
      <w:r>
        <w:rPr/>
        <w:pict>
          <v:shape style="position:absolute;margin-left:472.715027pt;margin-top:-40.329151pt;width:34.550pt;height:16.25pt;mso-position-horizontal-relative:page;mso-position-vertical-relative:paragraph;z-index:-1131424" coordorigin="9454,-807" coordsize="691,325" path="m10145,-807l9454,-807,9454,-650,9454,-639,9454,-482,10145,-482,10145,-639,10145,-650,10145,-807e" filled="true" fillcolor="#ffff00" stroked="false">
            <v:path arrowok="t"/>
            <v:fill type="solid"/>
            <w10:wrap type="none"/>
          </v:shape>
        </w:pict>
      </w:r>
      <w:r>
        <w:rPr/>
        <w:pict>
          <v:rect style="position:absolute;margin-left:472.714996pt;margin-top:-16.780235pt;width:34.5146pt;height:8.37311pt;mso-position-horizontal-relative:page;mso-position-vertical-relative:paragraph;z-index:-1131400" filled="true" fillcolor="#ffff00" stroked="false">
            <v:fill type="solid"/>
            <w10:wrap type="none"/>
          </v:rect>
        </w:pict>
      </w:r>
      <w:r>
        <w:rPr>
          <w:w w:val="105"/>
          <w:sz w:val="21"/>
        </w:rPr>
        <w:t>Fuente: Elaboración propia con base al estudio realizado.</w:t>
      </w:r>
    </w:p>
    <w:p>
      <w:pPr>
        <w:pStyle w:val="BodyText"/>
        <w:spacing w:before="2"/>
        <w:rPr>
          <w:sz w:val="21"/>
        </w:rPr>
      </w:pPr>
    </w:p>
    <w:p>
      <w:pPr>
        <w:pStyle w:val="BodyText"/>
        <w:spacing w:after="14"/>
        <w:ind w:left="268"/>
      </w:pPr>
      <w:r>
        <w:rPr/>
        <w:pict>
          <v:group style="position:absolute;margin-left:364.432495pt;margin-top:52.414154pt;width:74.8pt;height:24.65pt;mso-position-horizontal-relative:page;mso-position-vertical-relative:paragraph;z-index:-1131376" coordorigin="7289,1048" coordsize="1496,493">
            <v:line style="position:absolute" from="7294,1054" to="7294,1221" stroked="true" strokeweight=".523pt" strokecolor="#baf9f5"/>
            <v:line style="position:absolute" from="7294,1211" to="7294,1378" stroked="true" strokeweight=".523pt" strokecolor="#baf9f5"/>
            <v:shape style="position:absolute;left:7299;top:1054;width:1486;height:325" coordorigin="7299,1054" coordsize="1486,325" path="m8784,1054l7299,1054,7299,1211,7299,1221,7299,1378,8784,1378,8784,1221,8784,1211,8784,1054e" filled="true" fillcolor="#baf9f5" stroked="false">
              <v:path arrowok="t"/>
              <v:fill type="solid"/>
            </v:shape>
            <v:line style="position:absolute" from="7294,1378" to="7294,1535" stroked="true" strokeweight=".523pt" strokecolor="#baf9f5"/>
            <v:rect style="position:absolute;left:7299;top:1378;width:1485;height:157" filled="true" fillcolor="#baf9f5" stroked="false">
              <v:fill type="solid"/>
            </v:rect>
            <w10:wrap type="none"/>
          </v:group>
        </w:pict>
      </w:r>
      <w:r>
        <w:rPr/>
        <w:pict>
          <v:shape style="position:absolute;margin-left:472.689026pt;margin-top:52.689846pt;width:34.550pt;height:31.95pt;mso-position-horizontal-relative:page;mso-position-vertical-relative:paragraph;z-index:-1131352" coordorigin="9454,1054" coordsize="691,639" path="m10144,1378l9454,1378,9454,1525,9454,1535,9454,1692,10144,1692,10144,1535,10144,1525,10144,1378m10144,1054l9454,1054,9454,1211,9454,1221,9454,1378,10144,1378,10144,1221,10144,1211,10144,1054e" filled="true" fillcolor="#ffff00" stroked="false">
            <v:path arrowok="t"/>
            <v:fill type="solid"/>
            <w10:wrap type="none"/>
          </v:shape>
        </w:pict>
      </w:r>
      <w:r>
        <w:rPr/>
        <w:pict>
          <v:group style="position:absolute;margin-left:364.432495pt;margin-top:91.660767pt;width:74.8pt;height:16.8pt;mso-position-horizontal-relative:page;mso-position-vertical-relative:paragraph;z-index:-1131328" coordorigin="7289,1833" coordsize="1496,336">
            <v:line style="position:absolute" from="7294,1839" to="7294,2006" stroked="true" strokeweight=".523pt" strokecolor="#baf9f5"/>
            <v:rect style="position:absolute;left:7299;top:1839;width:1485;height:167" filled="true" fillcolor="#baf9f5" stroked="false">
              <v:fill type="solid"/>
            </v:rect>
            <v:line style="position:absolute" from="7294,2006" to="7294,2163" stroked="true" strokeweight=".523pt" strokecolor="#baf9f5"/>
            <v:rect style="position:absolute;left:7299;top:2006;width:1485;height:157" filled="true" fillcolor="#baf9f5" stroked="false">
              <v:fill type="solid"/>
            </v:rect>
            <w10:wrap type="none"/>
          </v:group>
        </w:pict>
      </w:r>
      <w:r>
        <w:rPr/>
        <w:pict>
          <v:shape style="position:absolute;margin-left:472.689026pt;margin-top:91.935844pt;width:34.550pt;height:24.1pt;mso-position-horizontal-relative:page;mso-position-vertical-relative:paragraph;z-index:-1131304" coordorigin="9454,1839" coordsize="691,482" path="m10144,1839l9454,1839,9454,2006,9454,2153,9454,2163,9454,2320,10144,2320,10144,2163,10144,2153,10144,2006,10144,1839e" filled="true" fillcolor="#ffff00" stroked="false">
            <v:path arrowok="t"/>
            <v:fill type="solid"/>
            <w10:wrap type="none"/>
          </v:shape>
        </w:pict>
      </w:r>
      <w:r>
        <w:rPr/>
        <w:pict>
          <v:group style="position:absolute;margin-left:364.432495pt;margin-top:123.058762pt;width:74.8pt;height:16.8pt;mso-position-horizontal-relative:page;mso-position-vertical-relative:paragraph;z-index:-1131280" coordorigin="7289,2461" coordsize="1496,336">
            <v:line style="position:absolute" from="7294,2467" to="7294,2634" stroked="true" strokeweight=".523pt" strokecolor="#baf9f5"/>
            <v:rect style="position:absolute;left:7299;top:2467;width:1485;height:167" filled="true" fillcolor="#baf9f5" stroked="false">
              <v:fill type="solid"/>
            </v:rect>
            <v:line style="position:absolute" from="7294,2634" to="7294,2791" stroked="true" strokeweight=".523pt" strokecolor="#baf9f5"/>
            <v:rect style="position:absolute;left:7299;top:2634;width:1485;height:157" filled="true" fillcolor="#baf9f5" stroked="false">
              <v:fill type="solid"/>
            </v:rect>
            <w10:wrap type="none"/>
          </v:group>
        </w:pict>
      </w:r>
      <w:r>
        <w:rPr/>
        <w:pict>
          <v:shape style="position:absolute;margin-left:472.689026pt;margin-top:123.333847pt;width:34.550pt;height:24.1pt;mso-position-horizontal-relative:page;mso-position-vertical-relative:paragraph;z-index:-1131256" coordorigin="9454,2467" coordsize="691,482" path="m10144,2634l9454,2634,9454,2781,9454,2791,9454,2948,10144,2948,10144,2791,10144,2781,10144,2634m10144,2467l9454,2467,9454,2634,10144,2634,10144,2467e" filled="true" fillcolor="#ffff00" stroked="false">
            <v:path arrowok="t"/>
            <v:fill type="solid"/>
            <w10:wrap type="none"/>
          </v:shape>
        </w:pict>
      </w:r>
      <w:r>
        <w:rPr/>
        <w:pict>
          <v:group style="position:absolute;margin-left:364.432495pt;margin-top:154.455765pt;width:74.8pt;height:16.8pt;mso-position-horizontal-relative:page;mso-position-vertical-relative:paragraph;z-index:-1131232" coordorigin="7289,3089" coordsize="1496,336">
            <v:line style="position:absolute" from="7294,3095" to="7294,3262" stroked="true" strokeweight=".523pt" strokecolor="#baf9f5"/>
            <v:rect style="position:absolute;left:7299;top:3095;width:1485;height:167" filled="true" fillcolor="#baf9f5" stroked="false">
              <v:fill type="solid"/>
            </v:rect>
            <v:line style="position:absolute" from="7294,3262" to="7294,3419" stroked="true" strokeweight=".523pt" strokecolor="#baf9f5"/>
            <v:rect style="position:absolute;left:7299;top:3262;width:1485;height:157" filled="true" fillcolor="#baf9f5" stroked="false">
              <v:fill type="solid"/>
            </v:rect>
            <w10:wrap type="none"/>
          </v:group>
        </w:pict>
      </w:r>
      <w:r>
        <w:rPr/>
        <w:pict>
          <v:shape style="position:absolute;margin-left:472.689026pt;margin-top:154.73085pt;width:34.550pt;height:24.1pt;mso-position-horizontal-relative:page;mso-position-vertical-relative:paragraph;z-index:-1131208" coordorigin="9454,3095" coordsize="691,482" path="m10144,3095l9454,3095,9454,3262,9454,3409,9454,3419,9454,3576,10144,3576,10144,3419,10144,3409,10144,3262,10144,3095e" filled="true" fillcolor="#ffff00" stroked="false">
            <v:path arrowok="t"/>
            <v:fill type="solid"/>
            <w10:wrap type="none"/>
          </v:shape>
        </w:pict>
      </w:r>
      <w:r>
        <w:rPr/>
        <w:t>Tabla 71. IST Bosque de las Fuentes</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52"/>
        <w:gridCol w:w="1919"/>
        <w:gridCol w:w="2555"/>
        <w:gridCol w:w="1453"/>
        <w:gridCol w:w="797"/>
        <w:gridCol w:w="765"/>
        <w:gridCol w:w="680"/>
      </w:tblGrid>
      <w:tr>
        <w:trPr>
          <w:trHeight w:val="539" w:hRule="exact"/>
        </w:trPr>
        <w:tc>
          <w:tcPr>
            <w:tcW w:w="8822" w:type="dxa"/>
            <w:gridSpan w:val="7"/>
            <w:tcBorders>
              <w:bottom w:val="nil"/>
              <w:right w:val="single" w:sz="4" w:space="0" w:color="EEECE1"/>
            </w:tcBorders>
            <w:shd w:val="clear" w:color="auto" w:fill="000000"/>
          </w:tcPr>
          <w:p>
            <w:pPr>
              <w:pStyle w:val="TableParagraph"/>
              <w:spacing w:before="8"/>
              <w:jc w:val="left"/>
              <w:rPr>
                <w:sz w:val="9"/>
              </w:rPr>
            </w:pPr>
          </w:p>
          <w:p>
            <w:pPr>
              <w:pStyle w:val="TableParagraph"/>
              <w:spacing w:line="273" w:lineRule="auto" w:before="1"/>
              <w:ind w:left="3372" w:right="3352" w:firstLine="355"/>
              <w:jc w:val="left"/>
              <w:rPr>
                <w:b/>
                <w:sz w:val="12"/>
              </w:rPr>
            </w:pPr>
            <w:r>
              <w:rPr>
                <w:b/>
                <w:color w:val="FFFFFF"/>
                <w:w w:val="105"/>
                <w:sz w:val="12"/>
              </w:rPr>
              <w:t>Bosque de las Fuentes Índice de sustentabilidad</w:t>
            </w:r>
            <w:r>
              <w:rPr>
                <w:b/>
                <w:color w:val="FFFFFF"/>
                <w:spacing w:val="-10"/>
                <w:w w:val="105"/>
                <w:sz w:val="12"/>
              </w:rPr>
              <w:t> </w:t>
            </w:r>
            <w:r>
              <w:rPr>
                <w:b/>
                <w:color w:val="FFFFFF"/>
                <w:w w:val="105"/>
                <w:sz w:val="12"/>
              </w:rPr>
              <w:t>territorial</w:t>
            </w:r>
          </w:p>
        </w:tc>
      </w:tr>
      <w:tr>
        <w:trPr>
          <w:trHeight w:val="162" w:hRule="exact"/>
        </w:trPr>
        <w:tc>
          <w:tcPr>
            <w:tcW w:w="652" w:type="dxa"/>
            <w:tcBorders>
              <w:top w:val="single" w:sz="4" w:space="0" w:color="FFFFFF"/>
              <w:left w:val="single" w:sz="4" w:space="0" w:color="000000"/>
            </w:tcBorders>
            <w:shd w:val="clear" w:color="auto" w:fill="808080"/>
          </w:tcPr>
          <w:p>
            <w:pPr>
              <w:pStyle w:val="TableParagraph"/>
              <w:spacing w:line="135" w:lineRule="exact"/>
              <w:ind w:left="177"/>
              <w:jc w:val="left"/>
              <w:rPr>
                <w:b/>
                <w:sz w:val="12"/>
              </w:rPr>
            </w:pPr>
            <w:r>
              <w:rPr>
                <w:b/>
                <w:color w:val="FFFFFF"/>
                <w:w w:val="105"/>
                <w:sz w:val="12"/>
              </w:rPr>
              <w:t>Índice</w:t>
            </w:r>
          </w:p>
        </w:tc>
        <w:tc>
          <w:tcPr>
            <w:tcW w:w="1919" w:type="dxa"/>
            <w:tcBorders>
              <w:top w:val="single" w:sz="4" w:space="0" w:color="FFFFFF"/>
            </w:tcBorders>
            <w:shd w:val="clear" w:color="auto" w:fill="808080"/>
          </w:tcPr>
          <w:p>
            <w:pPr>
              <w:pStyle w:val="TableParagraph"/>
              <w:spacing w:line="135" w:lineRule="exact"/>
              <w:ind w:left="106"/>
              <w:jc w:val="left"/>
              <w:rPr>
                <w:b/>
                <w:sz w:val="12"/>
              </w:rPr>
            </w:pPr>
            <w:r>
              <w:rPr>
                <w:b/>
                <w:color w:val="FFFFFF"/>
                <w:w w:val="105"/>
                <w:sz w:val="12"/>
              </w:rPr>
              <w:t>Subíndice</w:t>
            </w:r>
          </w:p>
        </w:tc>
        <w:tc>
          <w:tcPr>
            <w:tcW w:w="2555" w:type="dxa"/>
            <w:tcBorders>
              <w:top w:val="single" w:sz="4" w:space="0" w:color="FFFFFF"/>
            </w:tcBorders>
            <w:shd w:val="clear" w:color="auto" w:fill="808080"/>
          </w:tcPr>
          <w:p>
            <w:pPr>
              <w:pStyle w:val="TableParagraph"/>
              <w:spacing w:line="135" w:lineRule="exact"/>
              <w:ind w:left="278" w:right="518"/>
              <w:jc w:val="left"/>
              <w:rPr>
                <w:b/>
                <w:sz w:val="12"/>
              </w:rPr>
            </w:pPr>
            <w:r>
              <w:rPr>
                <w:b/>
                <w:color w:val="FFFFFF"/>
                <w:w w:val="105"/>
                <w:sz w:val="12"/>
              </w:rPr>
              <w:t>Indicador</w:t>
            </w:r>
          </w:p>
        </w:tc>
        <w:tc>
          <w:tcPr>
            <w:tcW w:w="1453" w:type="dxa"/>
            <w:tcBorders>
              <w:top w:val="single" w:sz="4" w:space="0" w:color="FFFFFF"/>
            </w:tcBorders>
            <w:shd w:val="clear" w:color="auto" w:fill="808080"/>
          </w:tcPr>
          <w:p>
            <w:pPr/>
          </w:p>
        </w:tc>
        <w:tc>
          <w:tcPr>
            <w:tcW w:w="797" w:type="dxa"/>
            <w:tcBorders>
              <w:top w:val="single" w:sz="4" w:space="0" w:color="FFFFFF"/>
            </w:tcBorders>
            <w:shd w:val="clear" w:color="auto" w:fill="808080"/>
          </w:tcPr>
          <w:p>
            <w:pPr>
              <w:pStyle w:val="TableParagraph"/>
              <w:spacing w:line="135" w:lineRule="exact"/>
              <w:ind w:left="264"/>
              <w:jc w:val="left"/>
              <w:rPr>
                <w:b/>
                <w:sz w:val="12"/>
              </w:rPr>
            </w:pPr>
            <w:r>
              <w:rPr>
                <w:b/>
                <w:color w:val="FFFFFF"/>
                <w:w w:val="105"/>
                <w:sz w:val="12"/>
              </w:rPr>
              <w:t>Valores</w:t>
            </w:r>
          </w:p>
        </w:tc>
        <w:tc>
          <w:tcPr>
            <w:tcW w:w="765" w:type="dxa"/>
            <w:tcBorders>
              <w:top w:val="single" w:sz="4" w:space="0" w:color="FFFFFF"/>
            </w:tcBorders>
            <w:shd w:val="clear" w:color="auto" w:fill="808080"/>
          </w:tcPr>
          <w:p>
            <w:pPr/>
          </w:p>
        </w:tc>
        <w:tc>
          <w:tcPr>
            <w:tcW w:w="680" w:type="dxa"/>
            <w:tcBorders>
              <w:top w:val="single" w:sz="4" w:space="0" w:color="FFFFFF"/>
              <w:right w:val="single" w:sz="8" w:space="0" w:color="000000"/>
            </w:tcBorders>
            <w:shd w:val="clear" w:color="auto" w:fill="808080"/>
          </w:tcPr>
          <w:p>
            <w:pPr/>
          </w:p>
        </w:tc>
      </w:tr>
      <w:tr>
        <w:trPr>
          <w:trHeight w:val="63" w:hRule="exact"/>
        </w:trPr>
        <w:tc>
          <w:tcPr>
            <w:tcW w:w="8822" w:type="dxa"/>
            <w:gridSpan w:val="7"/>
            <w:tcBorders>
              <w:left w:val="single" w:sz="4" w:space="0" w:color="000000"/>
              <w:right w:val="single" w:sz="8" w:space="0" w:color="000000"/>
            </w:tcBorders>
            <w:shd w:val="clear" w:color="auto" w:fill="808080"/>
          </w:tcPr>
          <w:p>
            <w:pPr/>
          </w:p>
        </w:tc>
      </w:tr>
      <w:tr>
        <w:trPr>
          <w:trHeight w:val="160" w:hRule="exact"/>
        </w:trPr>
        <w:tc>
          <w:tcPr>
            <w:tcW w:w="652" w:type="dxa"/>
            <w:vMerge w:val="restart"/>
            <w:tcBorders>
              <w:left w:val="single" w:sz="4" w:space="0" w:color="000000"/>
            </w:tcBorders>
          </w:tcPr>
          <w:p>
            <w:pPr/>
          </w:p>
        </w:tc>
        <w:tc>
          <w:tcPr>
            <w:tcW w:w="1919" w:type="dxa"/>
          </w:tcPr>
          <w:p>
            <w:pPr/>
          </w:p>
        </w:tc>
        <w:tc>
          <w:tcPr>
            <w:tcW w:w="2555" w:type="dxa"/>
          </w:tcPr>
          <w:p>
            <w:pPr/>
          </w:p>
        </w:tc>
        <w:tc>
          <w:tcPr>
            <w:tcW w:w="1453" w:type="dxa"/>
          </w:tcPr>
          <w:p>
            <w:pPr>
              <w:pStyle w:val="TableParagraph"/>
              <w:spacing w:before="7"/>
              <w:ind w:left="566" w:right="180"/>
              <w:rPr>
                <w:b/>
                <w:sz w:val="12"/>
              </w:rPr>
            </w:pPr>
            <w:r>
              <w:rPr>
                <w:b/>
                <w:w w:val="105"/>
                <w:sz w:val="12"/>
              </w:rPr>
              <w:t>Evaluación</w:t>
            </w:r>
          </w:p>
        </w:tc>
        <w:tc>
          <w:tcPr>
            <w:tcW w:w="797" w:type="dxa"/>
          </w:tcPr>
          <w:p>
            <w:pPr>
              <w:pStyle w:val="TableParagraph"/>
              <w:tabs>
                <w:tab w:pos="892" w:val="left" w:leader="none"/>
              </w:tabs>
              <w:spacing w:before="7"/>
              <w:ind w:left="202" w:right="-96"/>
              <w:jc w:val="left"/>
              <w:rPr>
                <w:b/>
                <w:sz w:val="12"/>
              </w:rPr>
            </w:pPr>
            <w:r>
              <w:rPr>
                <w:b/>
                <w:w w:val="104"/>
                <w:sz w:val="12"/>
                <w:shd w:fill="F79646" w:color="auto" w:val="clear"/>
              </w:rPr>
              <w:t> </w:t>
            </w:r>
            <w:r>
              <w:rPr>
                <w:b/>
                <w:sz w:val="12"/>
                <w:shd w:fill="F79646" w:color="auto" w:val="clear"/>
              </w:rPr>
              <w:t>    </w:t>
            </w:r>
            <w:r>
              <w:rPr>
                <w:b/>
                <w:spacing w:val="7"/>
                <w:sz w:val="12"/>
                <w:shd w:fill="F79646" w:color="auto" w:val="clear"/>
              </w:rPr>
              <w:t> </w:t>
            </w:r>
            <w:r>
              <w:rPr>
                <w:b/>
                <w:w w:val="105"/>
                <w:sz w:val="12"/>
                <w:shd w:fill="F79646" w:color="auto" w:val="clear"/>
              </w:rPr>
              <w:t>Real</w:t>
            </w:r>
            <w:r>
              <w:rPr>
                <w:b/>
                <w:sz w:val="12"/>
                <w:shd w:fill="F79646" w:color="auto" w:val="clear"/>
              </w:rPr>
              <w:tab/>
            </w:r>
          </w:p>
        </w:tc>
        <w:tc>
          <w:tcPr>
            <w:tcW w:w="765" w:type="dxa"/>
          </w:tcPr>
          <w:p>
            <w:pPr>
              <w:pStyle w:val="TableParagraph"/>
              <w:spacing w:before="7"/>
              <w:ind w:left="137" w:right="34"/>
              <w:rPr>
                <w:b/>
                <w:sz w:val="12"/>
              </w:rPr>
            </w:pPr>
            <w:r>
              <w:rPr>
                <w:b/>
                <w:w w:val="105"/>
                <w:sz w:val="12"/>
              </w:rPr>
              <w:t>Deseable</w:t>
            </w:r>
          </w:p>
        </w:tc>
        <w:tc>
          <w:tcPr>
            <w:tcW w:w="680" w:type="dxa"/>
            <w:tcBorders>
              <w:right w:val="single" w:sz="8" w:space="0" w:color="000000"/>
            </w:tcBorders>
            <w:shd w:val="clear" w:color="auto" w:fill="67ED4D"/>
          </w:tcPr>
          <w:p>
            <w:pPr>
              <w:pStyle w:val="TableParagraph"/>
              <w:spacing w:before="7"/>
              <w:ind w:left="104" w:right="84"/>
              <w:rPr>
                <w:b/>
                <w:sz w:val="12"/>
              </w:rPr>
            </w:pPr>
            <w:r>
              <w:rPr>
                <w:b/>
                <w:w w:val="105"/>
                <w:sz w:val="12"/>
              </w:rPr>
              <w:t>Óptimo</w:t>
            </w:r>
          </w:p>
        </w:tc>
      </w:tr>
      <w:tr>
        <w:trPr>
          <w:trHeight w:val="157" w:hRule="exact"/>
        </w:trPr>
        <w:tc>
          <w:tcPr>
            <w:tcW w:w="652" w:type="dxa"/>
            <w:vMerge/>
            <w:tcBorders>
              <w:left w:val="single" w:sz="4" w:space="0" w:color="000000"/>
            </w:tcBorders>
          </w:tcPr>
          <w:p>
            <w:pPr/>
          </w:p>
        </w:tc>
        <w:tc>
          <w:tcPr>
            <w:tcW w:w="1919" w:type="dxa"/>
            <w:vMerge w:val="restart"/>
          </w:tcPr>
          <w:p>
            <w:pPr>
              <w:pStyle w:val="TableParagraph"/>
              <w:spacing w:before="78"/>
              <w:ind w:left="106"/>
              <w:jc w:val="left"/>
              <w:rPr>
                <w:sz w:val="12"/>
              </w:rPr>
            </w:pPr>
            <w:r>
              <w:rPr>
                <w:w w:val="105"/>
                <w:sz w:val="12"/>
              </w:rPr>
              <w:t>Uso de suelo</w:t>
            </w:r>
          </w:p>
        </w:tc>
        <w:tc>
          <w:tcPr>
            <w:tcW w:w="2555" w:type="dxa"/>
            <w:vMerge w:val="restart"/>
          </w:tcPr>
          <w:p>
            <w:pPr>
              <w:pStyle w:val="TableParagraph"/>
              <w:spacing w:line="273" w:lineRule="auto" w:before="5"/>
              <w:ind w:left="278" w:right="518"/>
              <w:jc w:val="left"/>
              <w:rPr>
                <w:sz w:val="12"/>
              </w:rPr>
            </w:pPr>
            <w:r>
              <w:rPr>
                <w:w w:val="105"/>
                <w:sz w:val="12"/>
              </w:rPr>
              <w:t>Clasificación del suelo Densidad de población</w:t>
            </w:r>
          </w:p>
        </w:tc>
        <w:tc>
          <w:tcPr>
            <w:tcW w:w="1453" w:type="dxa"/>
            <w:vMerge w:val="restart"/>
          </w:tcPr>
          <w:p>
            <w:pPr>
              <w:pStyle w:val="TableParagraph"/>
              <w:spacing w:before="5"/>
              <w:ind w:left="829"/>
              <w:jc w:val="left"/>
              <w:rPr>
                <w:sz w:val="12"/>
              </w:rPr>
            </w:pPr>
            <w:r>
              <w:rPr>
                <w:w w:val="105"/>
                <w:sz w:val="12"/>
              </w:rPr>
              <w:t>0.5</w:t>
            </w:r>
          </w:p>
          <w:p>
            <w:pPr>
              <w:pStyle w:val="TableParagraph"/>
              <w:spacing w:before="19"/>
              <w:ind w:left="829"/>
              <w:jc w:val="left"/>
              <w:rPr>
                <w:sz w:val="12"/>
              </w:rPr>
            </w:pPr>
            <w:r>
              <w:rPr>
                <w:w w:val="105"/>
                <w:sz w:val="12"/>
              </w:rPr>
              <w:t>0.5</w:t>
            </w:r>
          </w:p>
        </w:tc>
        <w:tc>
          <w:tcPr>
            <w:tcW w:w="797" w:type="dxa"/>
            <w:vMerge w:val="restart"/>
          </w:tcPr>
          <w:p>
            <w:pPr/>
          </w:p>
        </w:tc>
        <w:tc>
          <w:tcPr>
            <w:tcW w:w="765" w:type="dxa"/>
            <w:vMerge w:val="restart"/>
          </w:tcPr>
          <w:p>
            <w:pPr>
              <w:pStyle w:val="TableParagraph"/>
              <w:spacing w:before="5"/>
              <w:ind w:left="346"/>
              <w:jc w:val="left"/>
              <w:rPr>
                <w:sz w:val="12"/>
              </w:rPr>
            </w:pPr>
            <w:r>
              <w:rPr>
                <w:w w:val="105"/>
                <w:sz w:val="12"/>
              </w:rPr>
              <w:t>0.5</w:t>
            </w:r>
          </w:p>
          <w:p>
            <w:pPr>
              <w:pStyle w:val="TableParagraph"/>
              <w:spacing w:before="19"/>
              <w:ind w:left="346"/>
              <w:jc w:val="left"/>
              <w:rPr>
                <w:sz w:val="12"/>
              </w:rPr>
            </w:pPr>
            <w:r>
              <w:rPr>
                <w:w w:val="105"/>
                <w:sz w:val="12"/>
              </w:rPr>
              <w:t>0.5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52" w:type="dxa"/>
            <w:vMerge/>
            <w:tcBorders>
              <w:left w:val="single" w:sz="4" w:space="0" w:color="000000"/>
            </w:tcBorders>
          </w:tcPr>
          <w:p>
            <w:pPr/>
          </w:p>
        </w:tc>
        <w:tc>
          <w:tcPr>
            <w:tcW w:w="1919" w:type="dxa"/>
            <w:vMerge/>
          </w:tcPr>
          <w:p>
            <w:pPr/>
          </w:p>
        </w:tc>
        <w:tc>
          <w:tcPr>
            <w:tcW w:w="2555" w:type="dxa"/>
            <w:vMerge/>
          </w:tcPr>
          <w:p>
            <w:pPr/>
          </w:p>
        </w:tc>
        <w:tc>
          <w:tcPr>
            <w:tcW w:w="1453" w:type="dxa"/>
            <w:vMerge/>
          </w:tcPr>
          <w:p>
            <w:pPr/>
          </w:p>
        </w:tc>
        <w:tc>
          <w:tcPr>
            <w:tcW w:w="797" w:type="dxa"/>
            <w:vMerge/>
          </w:tcPr>
          <w:p>
            <w:pPr/>
          </w:p>
        </w:tc>
        <w:tc>
          <w:tcPr>
            <w:tcW w:w="765" w:type="dxa"/>
            <w:vMerge/>
          </w:tcPr>
          <w:p>
            <w:pP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5" w:hRule="exact"/>
        </w:trPr>
        <w:tc>
          <w:tcPr>
            <w:tcW w:w="652" w:type="dxa"/>
            <w:vMerge/>
            <w:tcBorders>
              <w:left w:val="single" w:sz="4" w:space="0" w:color="000000"/>
            </w:tcBorders>
          </w:tcPr>
          <w:p>
            <w:pPr/>
          </w:p>
        </w:tc>
        <w:tc>
          <w:tcPr>
            <w:tcW w:w="1919" w:type="dxa"/>
          </w:tcPr>
          <w:p>
            <w:pPr/>
          </w:p>
        </w:tc>
        <w:tc>
          <w:tcPr>
            <w:tcW w:w="2555" w:type="dxa"/>
          </w:tcPr>
          <w:p>
            <w:pPr/>
          </w:p>
        </w:tc>
        <w:tc>
          <w:tcPr>
            <w:tcW w:w="1453" w:type="dxa"/>
          </w:tcPr>
          <w:p>
            <w:pPr>
              <w:pStyle w:val="TableParagraph"/>
              <w:spacing w:before="5"/>
              <w:ind w:left="552" w:right="180"/>
              <w:rPr>
                <w:sz w:val="12"/>
              </w:rPr>
            </w:pPr>
            <w:r>
              <w:rPr>
                <w:w w:val="105"/>
                <w:sz w:val="12"/>
              </w:rPr>
              <w:t>Subtotal</w:t>
            </w:r>
          </w:p>
        </w:tc>
        <w:tc>
          <w:tcPr>
            <w:tcW w:w="797" w:type="dxa"/>
          </w:tcPr>
          <w:p>
            <w:pPr>
              <w:pStyle w:val="TableParagraph"/>
              <w:tabs>
                <w:tab w:pos="515"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1</w:t>
            </w:r>
            <w:r>
              <w:rPr>
                <w:sz w:val="12"/>
                <w:shd w:fill="F79646" w:color="auto" w:val="clear"/>
              </w:rPr>
              <w:tab/>
            </w:r>
          </w:p>
        </w:tc>
        <w:tc>
          <w:tcPr>
            <w:tcW w:w="765" w:type="dxa"/>
          </w:tcPr>
          <w:p>
            <w:pPr>
              <w:pStyle w:val="TableParagraph"/>
              <w:spacing w:before="5"/>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2</w:t>
            </w:r>
          </w:p>
        </w:tc>
      </w:tr>
      <w:tr>
        <w:trPr>
          <w:trHeight w:val="147" w:hRule="exact"/>
        </w:trPr>
        <w:tc>
          <w:tcPr>
            <w:tcW w:w="8822" w:type="dxa"/>
            <w:gridSpan w:val="7"/>
            <w:tcBorders>
              <w:left w:val="single" w:sz="4" w:space="0" w:color="000000"/>
              <w:right w:val="single" w:sz="8" w:space="0" w:color="000000"/>
            </w:tcBorders>
          </w:tcPr>
          <w:p>
            <w:pPr/>
          </w:p>
        </w:tc>
      </w:tr>
      <w:tr>
        <w:trPr>
          <w:trHeight w:val="160" w:hRule="exact"/>
        </w:trPr>
        <w:tc>
          <w:tcPr>
            <w:tcW w:w="652" w:type="dxa"/>
            <w:vMerge w:val="restart"/>
            <w:tcBorders>
              <w:left w:val="single" w:sz="4" w:space="0" w:color="000000"/>
            </w:tcBorders>
          </w:tcPr>
          <w:p>
            <w:pPr/>
          </w:p>
        </w:tc>
        <w:tc>
          <w:tcPr>
            <w:tcW w:w="1919" w:type="dxa"/>
            <w:vMerge w:val="restart"/>
          </w:tcPr>
          <w:p>
            <w:pPr>
              <w:pStyle w:val="TableParagraph"/>
              <w:spacing w:before="81"/>
              <w:ind w:left="106"/>
              <w:jc w:val="left"/>
              <w:rPr>
                <w:sz w:val="12"/>
              </w:rPr>
            </w:pPr>
            <w:r>
              <w:rPr>
                <w:w w:val="105"/>
                <w:sz w:val="12"/>
              </w:rPr>
              <w:t>Vivienda</w:t>
            </w:r>
          </w:p>
        </w:tc>
        <w:tc>
          <w:tcPr>
            <w:tcW w:w="2555" w:type="dxa"/>
            <w:vMerge w:val="restart"/>
          </w:tcPr>
          <w:p>
            <w:pPr>
              <w:pStyle w:val="TableParagraph"/>
              <w:spacing w:line="273" w:lineRule="auto" w:before="7"/>
              <w:ind w:left="278" w:right="1418"/>
              <w:jc w:val="left"/>
              <w:rPr>
                <w:sz w:val="12"/>
              </w:rPr>
            </w:pPr>
            <w:r>
              <w:rPr>
                <w:sz w:val="12"/>
              </w:rPr>
              <w:t>Autorizadas </w:t>
            </w:r>
            <w:r>
              <w:rPr>
                <w:w w:val="105"/>
                <w:sz w:val="12"/>
              </w:rPr>
              <w:t>Tipo</w:t>
            </w:r>
          </w:p>
        </w:tc>
        <w:tc>
          <w:tcPr>
            <w:tcW w:w="1453" w:type="dxa"/>
            <w:vMerge w:val="restart"/>
          </w:tcPr>
          <w:p>
            <w:pPr>
              <w:pStyle w:val="TableParagraph"/>
              <w:spacing w:before="7"/>
              <w:ind w:left="379"/>
              <w:rPr>
                <w:sz w:val="12"/>
              </w:rPr>
            </w:pPr>
            <w:r>
              <w:rPr>
                <w:w w:val="104"/>
                <w:sz w:val="12"/>
              </w:rPr>
              <w:t>1</w:t>
            </w:r>
          </w:p>
          <w:p>
            <w:pPr>
              <w:pStyle w:val="TableParagraph"/>
              <w:spacing w:before="19"/>
              <w:ind w:left="559" w:right="180"/>
              <w:rPr>
                <w:sz w:val="12"/>
              </w:rPr>
            </w:pPr>
            <w:r>
              <w:rPr>
                <w:w w:val="105"/>
                <w:sz w:val="12"/>
              </w:rPr>
              <w:t>0.5</w:t>
            </w:r>
          </w:p>
        </w:tc>
        <w:tc>
          <w:tcPr>
            <w:tcW w:w="797" w:type="dxa"/>
            <w:vMerge w:val="restart"/>
          </w:tcPr>
          <w:p>
            <w:pPr/>
          </w:p>
        </w:tc>
        <w:tc>
          <w:tcPr>
            <w:tcW w:w="765" w:type="dxa"/>
            <w:vMerge w:val="restart"/>
          </w:tcPr>
          <w:p>
            <w:pPr>
              <w:pStyle w:val="TableParagraph"/>
              <w:spacing w:before="7"/>
              <w:ind w:left="102"/>
              <w:rPr>
                <w:sz w:val="12"/>
              </w:rPr>
            </w:pPr>
            <w:r>
              <w:rPr>
                <w:w w:val="104"/>
                <w:sz w:val="12"/>
              </w:rPr>
              <w:t>1</w:t>
            </w:r>
          </w:p>
          <w:p>
            <w:pPr>
              <w:pStyle w:val="TableParagraph"/>
              <w:spacing w:before="19"/>
              <w:ind w:left="136" w:right="34"/>
              <w:rPr>
                <w:sz w:val="12"/>
              </w:rPr>
            </w:pPr>
            <w:r>
              <w:rPr>
                <w:w w:val="105"/>
                <w:sz w:val="12"/>
              </w:rPr>
              <w:t>0.5</w:t>
            </w:r>
          </w:p>
        </w:tc>
        <w:tc>
          <w:tcPr>
            <w:tcW w:w="680" w:type="dxa"/>
            <w:tcBorders>
              <w:right w:val="single" w:sz="8" w:space="0" w:color="000000"/>
            </w:tcBorders>
            <w:shd w:val="clear" w:color="auto" w:fill="67ED4D"/>
          </w:tcPr>
          <w:p>
            <w:pPr>
              <w:pStyle w:val="TableParagraph"/>
              <w:spacing w:before="7"/>
              <w:ind w:left="27"/>
              <w:rPr>
                <w:sz w:val="12"/>
              </w:rPr>
            </w:pPr>
            <w:r>
              <w:rPr>
                <w:w w:val="104"/>
                <w:sz w:val="12"/>
              </w:rPr>
              <w:t>1</w:t>
            </w:r>
          </w:p>
        </w:tc>
      </w:tr>
      <w:tr>
        <w:trPr>
          <w:trHeight w:val="157" w:hRule="exact"/>
        </w:trPr>
        <w:tc>
          <w:tcPr>
            <w:tcW w:w="652" w:type="dxa"/>
            <w:vMerge/>
            <w:tcBorders>
              <w:left w:val="single" w:sz="4" w:space="0" w:color="000000"/>
            </w:tcBorders>
          </w:tcPr>
          <w:p>
            <w:pPr/>
          </w:p>
        </w:tc>
        <w:tc>
          <w:tcPr>
            <w:tcW w:w="1919" w:type="dxa"/>
            <w:vMerge/>
          </w:tcPr>
          <w:p>
            <w:pPr/>
          </w:p>
        </w:tc>
        <w:tc>
          <w:tcPr>
            <w:tcW w:w="2555" w:type="dxa"/>
            <w:vMerge/>
          </w:tcPr>
          <w:p>
            <w:pPr/>
          </w:p>
        </w:tc>
        <w:tc>
          <w:tcPr>
            <w:tcW w:w="1453" w:type="dxa"/>
            <w:vMerge/>
          </w:tcPr>
          <w:p>
            <w:pPr/>
          </w:p>
        </w:tc>
        <w:tc>
          <w:tcPr>
            <w:tcW w:w="797" w:type="dxa"/>
            <w:vMerge/>
          </w:tcPr>
          <w:p>
            <w:pPr/>
          </w:p>
        </w:tc>
        <w:tc>
          <w:tcPr>
            <w:tcW w:w="765" w:type="dxa"/>
            <w:vMerge/>
          </w:tcPr>
          <w:p>
            <w:pP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5" w:hRule="exact"/>
        </w:trPr>
        <w:tc>
          <w:tcPr>
            <w:tcW w:w="652" w:type="dxa"/>
            <w:vMerge/>
            <w:tcBorders>
              <w:left w:val="single" w:sz="4" w:space="0" w:color="000000"/>
            </w:tcBorders>
          </w:tcPr>
          <w:p>
            <w:pPr/>
          </w:p>
        </w:tc>
        <w:tc>
          <w:tcPr>
            <w:tcW w:w="1919" w:type="dxa"/>
          </w:tcPr>
          <w:p>
            <w:pPr/>
          </w:p>
        </w:tc>
        <w:tc>
          <w:tcPr>
            <w:tcW w:w="2555" w:type="dxa"/>
          </w:tcPr>
          <w:p>
            <w:pPr/>
          </w:p>
        </w:tc>
        <w:tc>
          <w:tcPr>
            <w:tcW w:w="1453" w:type="dxa"/>
          </w:tcPr>
          <w:p>
            <w:pPr>
              <w:pStyle w:val="TableParagraph"/>
              <w:spacing w:before="5"/>
              <w:ind w:left="552" w:right="180"/>
              <w:rPr>
                <w:sz w:val="12"/>
              </w:rPr>
            </w:pPr>
            <w:r>
              <w:rPr>
                <w:w w:val="105"/>
                <w:sz w:val="12"/>
              </w:rPr>
              <w:t>Subtotal</w:t>
            </w:r>
          </w:p>
        </w:tc>
        <w:tc>
          <w:tcPr>
            <w:tcW w:w="797" w:type="dxa"/>
          </w:tcPr>
          <w:p>
            <w:pPr>
              <w:pStyle w:val="TableParagraph"/>
              <w:tabs>
                <w:tab w:pos="463"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1.5</w:t>
            </w:r>
            <w:r>
              <w:rPr>
                <w:sz w:val="12"/>
                <w:shd w:fill="F79646" w:color="auto" w:val="clear"/>
              </w:rPr>
              <w:tab/>
            </w:r>
          </w:p>
        </w:tc>
        <w:tc>
          <w:tcPr>
            <w:tcW w:w="765" w:type="dxa"/>
          </w:tcPr>
          <w:p>
            <w:pPr>
              <w:pStyle w:val="TableParagraph"/>
              <w:spacing w:before="5"/>
              <w:ind w:left="136" w:right="34"/>
              <w:rPr>
                <w:sz w:val="12"/>
              </w:rPr>
            </w:pPr>
            <w:r>
              <w:rPr>
                <w:w w:val="105"/>
                <w:sz w:val="12"/>
              </w:rPr>
              <w:t>1.5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2</w:t>
            </w:r>
          </w:p>
        </w:tc>
      </w:tr>
      <w:tr>
        <w:trPr>
          <w:trHeight w:val="147" w:hRule="exact"/>
        </w:trPr>
        <w:tc>
          <w:tcPr>
            <w:tcW w:w="8822" w:type="dxa"/>
            <w:gridSpan w:val="7"/>
            <w:tcBorders>
              <w:left w:val="single" w:sz="4" w:space="0" w:color="000000"/>
              <w:right w:val="single" w:sz="8" w:space="0" w:color="000000"/>
            </w:tcBorders>
          </w:tcPr>
          <w:p>
            <w:pPr/>
          </w:p>
        </w:tc>
      </w:tr>
      <w:tr>
        <w:trPr>
          <w:trHeight w:val="160" w:hRule="exact"/>
        </w:trPr>
        <w:tc>
          <w:tcPr>
            <w:tcW w:w="652" w:type="dxa"/>
            <w:vMerge w:val="restart"/>
            <w:tcBorders>
              <w:left w:val="single" w:sz="4" w:space="0" w:color="000000"/>
            </w:tcBorders>
          </w:tcPr>
          <w:p>
            <w:pPr/>
          </w:p>
        </w:tc>
        <w:tc>
          <w:tcPr>
            <w:tcW w:w="1919" w:type="dxa"/>
            <w:vMerge w:val="restart"/>
          </w:tcPr>
          <w:p>
            <w:pPr>
              <w:pStyle w:val="TableParagraph"/>
              <w:spacing w:before="81"/>
              <w:ind w:left="106"/>
              <w:jc w:val="left"/>
              <w:rPr>
                <w:sz w:val="12"/>
              </w:rPr>
            </w:pPr>
            <w:r>
              <w:rPr>
                <w:w w:val="105"/>
                <w:sz w:val="12"/>
              </w:rPr>
              <w:t>Municipalización</w:t>
            </w:r>
          </w:p>
        </w:tc>
        <w:tc>
          <w:tcPr>
            <w:tcW w:w="2555" w:type="dxa"/>
            <w:vMerge w:val="restart"/>
          </w:tcPr>
          <w:p>
            <w:pPr>
              <w:pStyle w:val="TableParagraph"/>
              <w:spacing w:line="273" w:lineRule="auto" w:before="7"/>
              <w:ind w:left="278" w:right="1872"/>
              <w:jc w:val="left"/>
              <w:rPr>
                <w:sz w:val="12"/>
              </w:rPr>
            </w:pPr>
            <w:r>
              <w:rPr>
                <w:w w:val="105"/>
                <w:sz w:val="12"/>
              </w:rPr>
              <w:t>Parcial</w:t>
            </w:r>
            <w:r>
              <w:rPr>
                <w:w w:val="104"/>
                <w:sz w:val="12"/>
              </w:rPr>
              <w:t> </w:t>
            </w:r>
            <w:r>
              <w:rPr>
                <w:w w:val="105"/>
                <w:sz w:val="12"/>
              </w:rPr>
              <w:t>Total</w:t>
            </w:r>
          </w:p>
        </w:tc>
        <w:tc>
          <w:tcPr>
            <w:tcW w:w="1453" w:type="dxa"/>
            <w:vMerge w:val="restart"/>
          </w:tcPr>
          <w:p>
            <w:pPr>
              <w:pStyle w:val="TableParagraph"/>
              <w:spacing w:before="7"/>
              <w:ind w:left="559" w:right="180"/>
              <w:rPr>
                <w:sz w:val="12"/>
              </w:rPr>
            </w:pPr>
            <w:r>
              <w:rPr>
                <w:w w:val="105"/>
                <w:sz w:val="12"/>
              </w:rPr>
              <w:t>0.5</w:t>
            </w:r>
          </w:p>
          <w:p>
            <w:pPr>
              <w:pStyle w:val="TableParagraph"/>
              <w:spacing w:before="19"/>
              <w:ind w:left="379"/>
              <w:rPr>
                <w:sz w:val="12"/>
              </w:rPr>
            </w:pPr>
            <w:r>
              <w:rPr>
                <w:w w:val="104"/>
                <w:sz w:val="12"/>
              </w:rPr>
              <w:t>0</w:t>
            </w:r>
          </w:p>
        </w:tc>
        <w:tc>
          <w:tcPr>
            <w:tcW w:w="797" w:type="dxa"/>
            <w:vMerge w:val="restart"/>
          </w:tcPr>
          <w:p>
            <w:pPr/>
          </w:p>
        </w:tc>
        <w:tc>
          <w:tcPr>
            <w:tcW w:w="765" w:type="dxa"/>
            <w:vMerge w:val="restart"/>
          </w:tcPr>
          <w:p>
            <w:pPr>
              <w:pStyle w:val="TableParagraph"/>
              <w:spacing w:before="7"/>
              <w:ind w:left="346"/>
              <w:jc w:val="left"/>
              <w:rPr>
                <w:sz w:val="12"/>
              </w:rPr>
            </w:pPr>
            <w:r>
              <w:rPr>
                <w:w w:val="105"/>
                <w:sz w:val="12"/>
              </w:rPr>
              <w:t>0.5</w:t>
            </w:r>
          </w:p>
          <w:p>
            <w:pPr>
              <w:pStyle w:val="TableParagraph"/>
              <w:spacing w:before="19"/>
              <w:ind w:left="346"/>
              <w:jc w:val="left"/>
              <w:rPr>
                <w:sz w:val="12"/>
              </w:rPr>
            </w:pPr>
            <w:r>
              <w:rPr>
                <w:w w:val="105"/>
                <w:sz w:val="12"/>
              </w:rPr>
              <w:t>0.5</w:t>
            </w:r>
          </w:p>
        </w:tc>
        <w:tc>
          <w:tcPr>
            <w:tcW w:w="680" w:type="dxa"/>
            <w:tcBorders>
              <w:right w:val="single" w:sz="8" w:space="0" w:color="000000"/>
            </w:tcBorders>
            <w:shd w:val="clear" w:color="auto" w:fill="67ED4D"/>
          </w:tcPr>
          <w:p>
            <w:pPr>
              <w:pStyle w:val="TableParagraph"/>
              <w:spacing w:before="7"/>
              <w:ind w:left="27"/>
              <w:rPr>
                <w:sz w:val="12"/>
              </w:rPr>
            </w:pPr>
            <w:r>
              <w:rPr>
                <w:w w:val="104"/>
                <w:sz w:val="12"/>
              </w:rPr>
              <w:t>1</w:t>
            </w:r>
          </w:p>
        </w:tc>
      </w:tr>
      <w:tr>
        <w:trPr>
          <w:trHeight w:val="157" w:hRule="exact"/>
        </w:trPr>
        <w:tc>
          <w:tcPr>
            <w:tcW w:w="652" w:type="dxa"/>
            <w:vMerge/>
            <w:tcBorders>
              <w:left w:val="single" w:sz="4" w:space="0" w:color="000000"/>
            </w:tcBorders>
          </w:tcPr>
          <w:p>
            <w:pPr/>
          </w:p>
        </w:tc>
        <w:tc>
          <w:tcPr>
            <w:tcW w:w="1919" w:type="dxa"/>
            <w:vMerge/>
          </w:tcPr>
          <w:p>
            <w:pPr/>
          </w:p>
        </w:tc>
        <w:tc>
          <w:tcPr>
            <w:tcW w:w="2555" w:type="dxa"/>
            <w:vMerge/>
          </w:tcPr>
          <w:p>
            <w:pPr/>
          </w:p>
        </w:tc>
        <w:tc>
          <w:tcPr>
            <w:tcW w:w="1453" w:type="dxa"/>
            <w:vMerge/>
          </w:tcPr>
          <w:p>
            <w:pPr/>
          </w:p>
        </w:tc>
        <w:tc>
          <w:tcPr>
            <w:tcW w:w="797" w:type="dxa"/>
            <w:vMerge/>
          </w:tcPr>
          <w:p>
            <w:pPr/>
          </w:p>
        </w:tc>
        <w:tc>
          <w:tcPr>
            <w:tcW w:w="765" w:type="dxa"/>
            <w:vMerge/>
          </w:tcPr>
          <w:p>
            <w:pP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5" w:hRule="exact"/>
        </w:trPr>
        <w:tc>
          <w:tcPr>
            <w:tcW w:w="652" w:type="dxa"/>
            <w:vMerge/>
            <w:tcBorders>
              <w:left w:val="single" w:sz="4" w:space="0" w:color="000000"/>
            </w:tcBorders>
          </w:tcPr>
          <w:p>
            <w:pPr/>
          </w:p>
        </w:tc>
        <w:tc>
          <w:tcPr>
            <w:tcW w:w="1919" w:type="dxa"/>
          </w:tcPr>
          <w:p>
            <w:pPr/>
          </w:p>
        </w:tc>
        <w:tc>
          <w:tcPr>
            <w:tcW w:w="2555" w:type="dxa"/>
          </w:tcPr>
          <w:p>
            <w:pPr/>
          </w:p>
        </w:tc>
        <w:tc>
          <w:tcPr>
            <w:tcW w:w="1453" w:type="dxa"/>
          </w:tcPr>
          <w:p>
            <w:pPr>
              <w:pStyle w:val="TableParagraph"/>
              <w:spacing w:before="5"/>
              <w:ind w:left="552" w:right="180"/>
              <w:rPr>
                <w:sz w:val="12"/>
              </w:rPr>
            </w:pPr>
            <w:r>
              <w:rPr>
                <w:w w:val="105"/>
                <w:sz w:val="12"/>
              </w:rPr>
              <w:t>Subtotal</w:t>
            </w:r>
          </w:p>
        </w:tc>
        <w:tc>
          <w:tcPr>
            <w:tcW w:w="797" w:type="dxa"/>
          </w:tcPr>
          <w:p>
            <w:pPr>
              <w:pStyle w:val="TableParagraph"/>
              <w:tabs>
                <w:tab w:pos="463"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0.5</w:t>
            </w:r>
            <w:r>
              <w:rPr>
                <w:sz w:val="12"/>
                <w:shd w:fill="F79646" w:color="auto" w:val="clear"/>
              </w:rPr>
              <w:tab/>
            </w:r>
          </w:p>
        </w:tc>
        <w:tc>
          <w:tcPr>
            <w:tcW w:w="765" w:type="dxa"/>
          </w:tcPr>
          <w:p>
            <w:pPr>
              <w:pStyle w:val="TableParagraph"/>
              <w:spacing w:before="5"/>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2</w:t>
            </w:r>
          </w:p>
        </w:tc>
      </w:tr>
      <w:tr>
        <w:trPr>
          <w:trHeight w:val="147" w:hRule="exact"/>
        </w:trPr>
        <w:tc>
          <w:tcPr>
            <w:tcW w:w="8822" w:type="dxa"/>
            <w:gridSpan w:val="7"/>
            <w:tcBorders>
              <w:left w:val="single" w:sz="4" w:space="0" w:color="000000"/>
              <w:right w:val="single" w:sz="8" w:space="0" w:color="000000"/>
            </w:tcBorders>
          </w:tcPr>
          <w:p>
            <w:pPr/>
          </w:p>
        </w:tc>
      </w:tr>
      <w:tr>
        <w:trPr>
          <w:trHeight w:val="160" w:hRule="exact"/>
        </w:trPr>
        <w:tc>
          <w:tcPr>
            <w:tcW w:w="652" w:type="dxa"/>
            <w:vMerge w:val="restart"/>
            <w:tcBorders>
              <w:left w:val="single" w:sz="4" w:space="0" w:color="000000"/>
            </w:tcBorders>
          </w:tcPr>
          <w:p>
            <w:pPr/>
          </w:p>
        </w:tc>
        <w:tc>
          <w:tcPr>
            <w:tcW w:w="1919" w:type="dxa"/>
            <w:vMerge w:val="restart"/>
          </w:tcPr>
          <w:p>
            <w:pPr>
              <w:pStyle w:val="TableParagraph"/>
              <w:spacing w:before="81"/>
              <w:ind w:left="106"/>
              <w:jc w:val="left"/>
              <w:rPr>
                <w:sz w:val="12"/>
              </w:rPr>
            </w:pPr>
            <w:r>
              <w:rPr>
                <w:w w:val="105"/>
                <w:sz w:val="12"/>
              </w:rPr>
              <w:t>Infraestrutura utilizada</w:t>
            </w:r>
          </w:p>
        </w:tc>
        <w:tc>
          <w:tcPr>
            <w:tcW w:w="2555" w:type="dxa"/>
            <w:vMerge w:val="restart"/>
          </w:tcPr>
          <w:p>
            <w:pPr>
              <w:pStyle w:val="TableParagraph"/>
              <w:spacing w:line="273" w:lineRule="auto" w:before="8"/>
              <w:ind w:left="278" w:right="1418"/>
              <w:jc w:val="left"/>
              <w:rPr>
                <w:sz w:val="12"/>
              </w:rPr>
            </w:pPr>
            <w:r>
              <w:rPr>
                <w:w w:val="105"/>
                <w:sz w:val="12"/>
              </w:rPr>
              <w:t>Vialidades Redes</w:t>
            </w:r>
          </w:p>
        </w:tc>
        <w:tc>
          <w:tcPr>
            <w:tcW w:w="1453" w:type="dxa"/>
            <w:vMerge w:val="restart"/>
          </w:tcPr>
          <w:p>
            <w:pPr>
              <w:pStyle w:val="TableParagraph"/>
              <w:spacing w:before="8"/>
              <w:ind w:left="829"/>
              <w:jc w:val="left"/>
              <w:rPr>
                <w:sz w:val="12"/>
              </w:rPr>
            </w:pPr>
            <w:r>
              <w:rPr>
                <w:w w:val="105"/>
                <w:sz w:val="12"/>
              </w:rPr>
              <w:t>0.5</w:t>
            </w:r>
          </w:p>
          <w:p>
            <w:pPr>
              <w:pStyle w:val="TableParagraph"/>
              <w:spacing w:before="19"/>
              <w:ind w:left="829"/>
              <w:jc w:val="left"/>
              <w:rPr>
                <w:sz w:val="12"/>
              </w:rPr>
            </w:pPr>
            <w:r>
              <w:rPr>
                <w:w w:val="105"/>
                <w:sz w:val="12"/>
              </w:rPr>
              <w:t>0.4</w:t>
            </w:r>
          </w:p>
        </w:tc>
        <w:tc>
          <w:tcPr>
            <w:tcW w:w="797" w:type="dxa"/>
            <w:vMerge w:val="restart"/>
          </w:tcPr>
          <w:p>
            <w:pPr/>
          </w:p>
        </w:tc>
        <w:tc>
          <w:tcPr>
            <w:tcW w:w="765" w:type="dxa"/>
            <w:vMerge w:val="restart"/>
          </w:tcPr>
          <w:p>
            <w:pPr>
              <w:pStyle w:val="TableParagraph"/>
              <w:spacing w:before="8"/>
              <w:ind w:left="304"/>
              <w:jc w:val="left"/>
              <w:rPr>
                <w:sz w:val="12"/>
              </w:rPr>
            </w:pPr>
            <w:r>
              <w:rPr>
                <w:w w:val="105"/>
                <w:sz w:val="12"/>
              </w:rPr>
              <w:t>0.75</w:t>
            </w:r>
          </w:p>
          <w:p>
            <w:pPr>
              <w:pStyle w:val="TableParagraph"/>
              <w:spacing w:before="19"/>
              <w:ind w:left="346"/>
              <w:jc w:val="left"/>
              <w:rPr>
                <w:sz w:val="12"/>
              </w:rPr>
            </w:pPr>
            <w:r>
              <w:rPr>
                <w:w w:val="105"/>
                <w:sz w:val="12"/>
              </w:rPr>
              <w:t>0.8</w:t>
            </w:r>
          </w:p>
        </w:tc>
        <w:tc>
          <w:tcPr>
            <w:tcW w:w="680" w:type="dxa"/>
            <w:tcBorders>
              <w:right w:val="single" w:sz="8" w:space="0" w:color="000000"/>
            </w:tcBorders>
            <w:shd w:val="clear" w:color="auto" w:fill="67ED4D"/>
          </w:tcPr>
          <w:p>
            <w:pPr>
              <w:pStyle w:val="TableParagraph"/>
              <w:spacing w:before="8"/>
              <w:ind w:left="27"/>
              <w:rPr>
                <w:sz w:val="12"/>
              </w:rPr>
            </w:pPr>
            <w:r>
              <w:rPr>
                <w:w w:val="104"/>
                <w:sz w:val="12"/>
              </w:rPr>
              <w:t>1</w:t>
            </w:r>
          </w:p>
        </w:tc>
      </w:tr>
      <w:tr>
        <w:trPr>
          <w:trHeight w:val="157" w:hRule="exact"/>
        </w:trPr>
        <w:tc>
          <w:tcPr>
            <w:tcW w:w="652" w:type="dxa"/>
            <w:vMerge/>
            <w:tcBorders>
              <w:left w:val="single" w:sz="4" w:space="0" w:color="000000"/>
            </w:tcBorders>
          </w:tcPr>
          <w:p>
            <w:pPr/>
          </w:p>
        </w:tc>
        <w:tc>
          <w:tcPr>
            <w:tcW w:w="1919" w:type="dxa"/>
            <w:vMerge/>
          </w:tcPr>
          <w:p>
            <w:pPr/>
          </w:p>
        </w:tc>
        <w:tc>
          <w:tcPr>
            <w:tcW w:w="2555" w:type="dxa"/>
            <w:vMerge/>
          </w:tcPr>
          <w:p>
            <w:pPr/>
          </w:p>
        </w:tc>
        <w:tc>
          <w:tcPr>
            <w:tcW w:w="1453" w:type="dxa"/>
            <w:vMerge/>
          </w:tcPr>
          <w:p>
            <w:pPr/>
          </w:p>
        </w:tc>
        <w:tc>
          <w:tcPr>
            <w:tcW w:w="797" w:type="dxa"/>
            <w:vMerge/>
          </w:tcPr>
          <w:p>
            <w:pPr/>
          </w:p>
        </w:tc>
        <w:tc>
          <w:tcPr>
            <w:tcW w:w="765" w:type="dxa"/>
            <w:vMerge/>
          </w:tcPr>
          <w:p>
            <w:pP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5" w:hRule="exact"/>
        </w:trPr>
        <w:tc>
          <w:tcPr>
            <w:tcW w:w="652" w:type="dxa"/>
            <w:vMerge/>
            <w:tcBorders>
              <w:left w:val="single" w:sz="4" w:space="0" w:color="000000"/>
            </w:tcBorders>
          </w:tcPr>
          <w:p>
            <w:pPr/>
          </w:p>
        </w:tc>
        <w:tc>
          <w:tcPr>
            <w:tcW w:w="1919" w:type="dxa"/>
          </w:tcPr>
          <w:p>
            <w:pPr/>
          </w:p>
        </w:tc>
        <w:tc>
          <w:tcPr>
            <w:tcW w:w="2555" w:type="dxa"/>
          </w:tcPr>
          <w:p>
            <w:pPr/>
          </w:p>
        </w:tc>
        <w:tc>
          <w:tcPr>
            <w:tcW w:w="1453" w:type="dxa"/>
          </w:tcPr>
          <w:p>
            <w:pPr>
              <w:pStyle w:val="TableParagraph"/>
              <w:spacing w:before="5"/>
              <w:ind w:left="552" w:right="180"/>
              <w:rPr>
                <w:sz w:val="12"/>
              </w:rPr>
            </w:pPr>
            <w:r>
              <w:rPr>
                <w:w w:val="105"/>
                <w:sz w:val="12"/>
              </w:rPr>
              <w:t>Subtotal</w:t>
            </w:r>
          </w:p>
        </w:tc>
        <w:tc>
          <w:tcPr>
            <w:tcW w:w="797" w:type="dxa"/>
          </w:tcPr>
          <w:p>
            <w:pPr>
              <w:pStyle w:val="TableParagraph"/>
              <w:tabs>
                <w:tab w:pos="463"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0.9</w:t>
            </w:r>
            <w:r>
              <w:rPr>
                <w:sz w:val="12"/>
                <w:shd w:fill="F79646" w:color="auto" w:val="clear"/>
              </w:rPr>
              <w:tab/>
            </w:r>
          </w:p>
        </w:tc>
        <w:tc>
          <w:tcPr>
            <w:tcW w:w="765" w:type="dxa"/>
          </w:tcPr>
          <w:p>
            <w:pPr>
              <w:pStyle w:val="TableParagraph"/>
              <w:spacing w:before="5"/>
              <w:ind w:left="123" w:right="34"/>
              <w:rPr>
                <w:sz w:val="12"/>
              </w:rPr>
            </w:pPr>
            <w:r>
              <w:rPr>
                <w:w w:val="105"/>
                <w:sz w:val="12"/>
              </w:rPr>
              <w:t>1.55</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2</w:t>
            </w:r>
          </w:p>
        </w:tc>
      </w:tr>
      <w:tr>
        <w:trPr>
          <w:trHeight w:val="147" w:hRule="exact"/>
        </w:trPr>
        <w:tc>
          <w:tcPr>
            <w:tcW w:w="8822" w:type="dxa"/>
            <w:gridSpan w:val="7"/>
            <w:tcBorders>
              <w:left w:val="single" w:sz="4" w:space="0" w:color="000000"/>
              <w:right w:val="single" w:sz="8" w:space="0" w:color="000000"/>
            </w:tcBorders>
          </w:tcPr>
          <w:p>
            <w:pPr>
              <w:pStyle w:val="TableParagraph"/>
              <w:spacing w:line="135" w:lineRule="exact"/>
              <w:ind w:left="115"/>
              <w:jc w:val="left"/>
              <w:rPr>
                <w:sz w:val="12"/>
              </w:rPr>
            </w:pPr>
            <w:r>
              <w:rPr>
                <w:w w:val="105"/>
                <w:sz w:val="12"/>
              </w:rPr>
              <w:t>Territorio</w:t>
            </w:r>
          </w:p>
        </w:tc>
      </w:tr>
      <w:tr>
        <w:trPr>
          <w:trHeight w:val="317" w:hRule="exact"/>
        </w:trPr>
        <w:tc>
          <w:tcPr>
            <w:tcW w:w="652" w:type="dxa"/>
            <w:tcBorders>
              <w:left w:val="single" w:sz="4" w:space="0" w:color="000000"/>
            </w:tcBorders>
          </w:tcPr>
          <w:p>
            <w:pPr/>
          </w:p>
        </w:tc>
        <w:tc>
          <w:tcPr>
            <w:tcW w:w="1919" w:type="dxa"/>
          </w:tcPr>
          <w:p>
            <w:pPr>
              <w:pStyle w:val="TableParagraph"/>
              <w:spacing w:before="81"/>
              <w:ind w:left="106"/>
              <w:jc w:val="left"/>
              <w:rPr>
                <w:sz w:val="12"/>
              </w:rPr>
            </w:pPr>
            <w:r>
              <w:rPr>
                <w:w w:val="105"/>
                <w:sz w:val="12"/>
              </w:rPr>
              <w:t>Infraestructura desarrollada</w:t>
            </w:r>
          </w:p>
        </w:tc>
        <w:tc>
          <w:tcPr>
            <w:tcW w:w="2555" w:type="dxa"/>
          </w:tcPr>
          <w:p>
            <w:pPr>
              <w:pStyle w:val="TableParagraph"/>
              <w:spacing w:line="273" w:lineRule="auto" w:before="7"/>
              <w:ind w:left="278" w:right="1418"/>
              <w:jc w:val="left"/>
              <w:rPr>
                <w:sz w:val="12"/>
              </w:rPr>
            </w:pPr>
            <w:r>
              <w:rPr>
                <w:w w:val="105"/>
                <w:sz w:val="12"/>
              </w:rPr>
              <w:t>Vialidades Redes</w:t>
            </w:r>
          </w:p>
        </w:tc>
        <w:tc>
          <w:tcPr>
            <w:tcW w:w="1453" w:type="dxa"/>
          </w:tcPr>
          <w:p>
            <w:pPr>
              <w:pStyle w:val="TableParagraph"/>
              <w:spacing w:before="7"/>
              <w:ind w:left="797"/>
              <w:jc w:val="left"/>
              <w:rPr>
                <w:sz w:val="12"/>
              </w:rPr>
            </w:pPr>
            <w:r>
              <w:rPr>
                <w:w w:val="105"/>
                <w:sz w:val="12"/>
              </w:rPr>
              <w:t>0.75</w:t>
            </w:r>
          </w:p>
          <w:p>
            <w:pPr>
              <w:pStyle w:val="TableParagraph"/>
              <w:spacing w:before="19"/>
              <w:ind w:left="797"/>
              <w:jc w:val="left"/>
              <w:rPr>
                <w:sz w:val="12"/>
              </w:rPr>
            </w:pPr>
            <w:r>
              <w:rPr>
                <w:w w:val="105"/>
                <w:sz w:val="12"/>
              </w:rPr>
              <w:t>0.66</w:t>
            </w:r>
          </w:p>
        </w:tc>
        <w:tc>
          <w:tcPr>
            <w:tcW w:w="797" w:type="dxa"/>
          </w:tcPr>
          <w:p>
            <w:pPr/>
          </w:p>
        </w:tc>
        <w:tc>
          <w:tcPr>
            <w:tcW w:w="765" w:type="dxa"/>
          </w:tcPr>
          <w:p>
            <w:pPr>
              <w:pStyle w:val="TableParagraph"/>
              <w:spacing w:before="7"/>
              <w:ind w:left="304"/>
              <w:jc w:val="left"/>
              <w:rPr>
                <w:sz w:val="12"/>
              </w:rPr>
            </w:pPr>
            <w:r>
              <w:rPr>
                <w:w w:val="105"/>
                <w:sz w:val="12"/>
              </w:rPr>
              <w:t>0.75</w:t>
            </w:r>
          </w:p>
          <w:p>
            <w:pPr>
              <w:pStyle w:val="TableParagraph"/>
              <w:spacing w:before="19"/>
              <w:ind w:left="304"/>
              <w:jc w:val="left"/>
              <w:rPr>
                <w:sz w:val="12"/>
              </w:rPr>
            </w:pPr>
            <w:r>
              <w:rPr>
                <w:w w:val="105"/>
                <w:sz w:val="12"/>
              </w:rPr>
              <w:t>0.66</w:t>
            </w:r>
          </w:p>
        </w:tc>
        <w:tc>
          <w:tcPr>
            <w:tcW w:w="680" w:type="dxa"/>
            <w:tcBorders>
              <w:right w:val="single" w:sz="8" w:space="0" w:color="000000"/>
            </w:tcBorders>
            <w:shd w:val="clear" w:color="auto" w:fill="67ED4D"/>
          </w:tcPr>
          <w:p>
            <w:pPr>
              <w:pStyle w:val="TableParagraph"/>
              <w:spacing w:before="7"/>
              <w:ind w:left="27"/>
              <w:rPr>
                <w:sz w:val="12"/>
              </w:rPr>
            </w:pPr>
            <w:r>
              <w:rPr>
                <w:w w:val="104"/>
                <w:sz w:val="12"/>
              </w:rPr>
              <w:t>1</w:t>
            </w:r>
          </w:p>
          <w:p>
            <w:pPr>
              <w:pStyle w:val="TableParagraph"/>
              <w:spacing w:before="19"/>
              <w:ind w:left="27"/>
              <w:rPr>
                <w:sz w:val="12"/>
              </w:rPr>
            </w:pPr>
            <w:r>
              <w:rPr>
                <w:w w:val="104"/>
                <w:sz w:val="12"/>
              </w:rPr>
              <w:t>1</w:t>
            </w:r>
          </w:p>
        </w:tc>
      </w:tr>
      <w:tr>
        <w:trPr>
          <w:trHeight w:val="165" w:hRule="exact"/>
        </w:trPr>
        <w:tc>
          <w:tcPr>
            <w:tcW w:w="652" w:type="dxa"/>
            <w:tcBorders>
              <w:left w:val="single" w:sz="4" w:space="0" w:color="000000"/>
            </w:tcBorders>
          </w:tcPr>
          <w:p>
            <w:pPr/>
          </w:p>
        </w:tc>
        <w:tc>
          <w:tcPr>
            <w:tcW w:w="1919" w:type="dxa"/>
          </w:tcPr>
          <w:p>
            <w:pPr/>
          </w:p>
        </w:tc>
        <w:tc>
          <w:tcPr>
            <w:tcW w:w="2555" w:type="dxa"/>
          </w:tcPr>
          <w:p>
            <w:pPr/>
          </w:p>
        </w:tc>
        <w:tc>
          <w:tcPr>
            <w:tcW w:w="1453" w:type="dxa"/>
          </w:tcPr>
          <w:p>
            <w:pPr>
              <w:pStyle w:val="TableParagraph"/>
              <w:spacing w:before="5"/>
              <w:ind w:left="552" w:right="180"/>
              <w:rPr>
                <w:sz w:val="12"/>
              </w:rPr>
            </w:pPr>
            <w:r>
              <w:rPr>
                <w:w w:val="105"/>
                <w:sz w:val="12"/>
              </w:rPr>
              <w:t>Subtotal</w:t>
            </w:r>
          </w:p>
        </w:tc>
        <w:tc>
          <w:tcPr>
            <w:tcW w:w="797" w:type="dxa"/>
          </w:tcPr>
          <w:p>
            <w:pPr>
              <w:pStyle w:val="TableParagraph"/>
              <w:tabs>
                <w:tab w:pos="892" w:val="left" w:leader="none"/>
              </w:tabs>
              <w:spacing w:before="5"/>
              <w:ind w:left="202" w:right="-96"/>
              <w:jc w:val="left"/>
              <w:rPr>
                <w:sz w:val="12"/>
              </w:rPr>
            </w:pPr>
            <w:r>
              <w:rPr>
                <w:w w:val="104"/>
                <w:sz w:val="12"/>
                <w:shd w:fill="F79646" w:color="auto" w:val="clear"/>
              </w:rPr>
              <w:t> </w:t>
            </w:r>
            <w:r>
              <w:rPr>
                <w:sz w:val="12"/>
                <w:shd w:fill="F79646" w:color="auto" w:val="clear"/>
              </w:rPr>
              <w:t>     </w:t>
            </w:r>
            <w:r>
              <w:rPr>
                <w:spacing w:val="-16"/>
                <w:sz w:val="12"/>
                <w:shd w:fill="F79646" w:color="auto" w:val="clear"/>
              </w:rPr>
              <w:t> </w:t>
            </w:r>
            <w:r>
              <w:rPr>
                <w:w w:val="105"/>
                <w:sz w:val="12"/>
                <w:shd w:fill="F79646" w:color="auto" w:val="clear"/>
              </w:rPr>
              <w:t>1.41</w:t>
            </w:r>
            <w:r>
              <w:rPr>
                <w:sz w:val="12"/>
                <w:shd w:fill="F79646" w:color="auto" w:val="clear"/>
              </w:rPr>
              <w:tab/>
            </w:r>
          </w:p>
        </w:tc>
        <w:tc>
          <w:tcPr>
            <w:tcW w:w="765" w:type="dxa"/>
          </w:tcPr>
          <w:p>
            <w:pPr>
              <w:pStyle w:val="TableParagraph"/>
              <w:spacing w:before="5"/>
              <w:ind w:left="123" w:right="34"/>
              <w:rPr>
                <w:sz w:val="12"/>
              </w:rPr>
            </w:pPr>
            <w:r>
              <w:rPr>
                <w:w w:val="105"/>
                <w:sz w:val="12"/>
              </w:rPr>
              <w:t>1.41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2</w:t>
            </w:r>
          </w:p>
        </w:tc>
      </w:tr>
      <w:tr>
        <w:trPr>
          <w:trHeight w:val="147" w:hRule="exact"/>
        </w:trPr>
        <w:tc>
          <w:tcPr>
            <w:tcW w:w="8822" w:type="dxa"/>
            <w:gridSpan w:val="7"/>
            <w:tcBorders>
              <w:left w:val="single" w:sz="4" w:space="0" w:color="000000"/>
              <w:right w:val="single" w:sz="8" w:space="0" w:color="000000"/>
            </w:tcBorders>
          </w:tcPr>
          <w:p>
            <w:pPr/>
          </w:p>
        </w:tc>
      </w:tr>
      <w:tr>
        <w:trPr>
          <w:trHeight w:val="317" w:hRule="exact"/>
        </w:trPr>
        <w:tc>
          <w:tcPr>
            <w:tcW w:w="652" w:type="dxa"/>
            <w:tcBorders>
              <w:left w:val="single" w:sz="4" w:space="0" w:color="000000"/>
            </w:tcBorders>
          </w:tcPr>
          <w:p>
            <w:pPr/>
          </w:p>
        </w:tc>
        <w:tc>
          <w:tcPr>
            <w:tcW w:w="1919" w:type="dxa"/>
          </w:tcPr>
          <w:p>
            <w:pPr>
              <w:pStyle w:val="TableParagraph"/>
              <w:spacing w:before="81"/>
              <w:ind w:left="106"/>
              <w:jc w:val="left"/>
              <w:rPr>
                <w:sz w:val="12"/>
              </w:rPr>
            </w:pPr>
            <w:r>
              <w:rPr>
                <w:w w:val="105"/>
                <w:sz w:val="12"/>
              </w:rPr>
              <w:t>Equipamiento desarrollado</w:t>
            </w:r>
          </w:p>
        </w:tc>
        <w:tc>
          <w:tcPr>
            <w:tcW w:w="2555" w:type="dxa"/>
          </w:tcPr>
          <w:p>
            <w:pPr>
              <w:pStyle w:val="TableParagraph"/>
              <w:spacing w:line="273" w:lineRule="auto" w:before="8"/>
              <w:ind w:left="278" w:right="1725"/>
              <w:jc w:val="left"/>
              <w:rPr>
                <w:sz w:val="12"/>
              </w:rPr>
            </w:pPr>
            <w:r>
              <w:rPr>
                <w:w w:val="105"/>
                <w:sz w:val="12"/>
              </w:rPr>
              <w:t>Municipal</w:t>
            </w:r>
            <w:r>
              <w:rPr>
                <w:w w:val="104"/>
                <w:sz w:val="12"/>
              </w:rPr>
              <w:t> </w:t>
            </w:r>
            <w:r>
              <w:rPr>
                <w:w w:val="105"/>
                <w:sz w:val="12"/>
              </w:rPr>
              <w:t>Estatal</w:t>
            </w:r>
          </w:p>
        </w:tc>
        <w:tc>
          <w:tcPr>
            <w:tcW w:w="1453" w:type="dxa"/>
          </w:tcPr>
          <w:p>
            <w:pPr>
              <w:pStyle w:val="TableParagraph"/>
              <w:spacing w:before="8"/>
              <w:ind w:left="829"/>
              <w:jc w:val="left"/>
              <w:rPr>
                <w:sz w:val="12"/>
              </w:rPr>
            </w:pPr>
            <w:r>
              <w:rPr>
                <w:w w:val="105"/>
                <w:sz w:val="12"/>
              </w:rPr>
              <w:t>0.8</w:t>
            </w:r>
          </w:p>
          <w:p>
            <w:pPr>
              <w:pStyle w:val="TableParagraph"/>
              <w:spacing w:before="19"/>
              <w:ind w:left="829"/>
              <w:jc w:val="left"/>
              <w:rPr>
                <w:sz w:val="12"/>
              </w:rPr>
            </w:pPr>
            <w:r>
              <w:rPr>
                <w:w w:val="105"/>
                <w:sz w:val="12"/>
              </w:rPr>
              <w:t>0.2</w:t>
            </w:r>
          </w:p>
        </w:tc>
        <w:tc>
          <w:tcPr>
            <w:tcW w:w="797" w:type="dxa"/>
          </w:tcPr>
          <w:p>
            <w:pPr/>
          </w:p>
        </w:tc>
        <w:tc>
          <w:tcPr>
            <w:tcW w:w="765" w:type="dxa"/>
          </w:tcPr>
          <w:p>
            <w:pPr>
              <w:pStyle w:val="TableParagraph"/>
              <w:spacing w:before="8"/>
              <w:ind w:left="346"/>
              <w:jc w:val="left"/>
              <w:rPr>
                <w:sz w:val="12"/>
              </w:rPr>
            </w:pPr>
            <w:r>
              <w:rPr>
                <w:w w:val="105"/>
                <w:sz w:val="12"/>
              </w:rPr>
              <w:t>0.8</w:t>
            </w:r>
          </w:p>
          <w:p>
            <w:pPr>
              <w:pStyle w:val="TableParagraph"/>
              <w:spacing w:before="19"/>
              <w:ind w:left="346"/>
              <w:jc w:val="left"/>
              <w:rPr>
                <w:sz w:val="12"/>
              </w:rPr>
            </w:pPr>
            <w:r>
              <w:rPr>
                <w:w w:val="105"/>
                <w:sz w:val="12"/>
              </w:rPr>
              <w:t>0.6</w:t>
            </w:r>
          </w:p>
        </w:tc>
        <w:tc>
          <w:tcPr>
            <w:tcW w:w="680" w:type="dxa"/>
            <w:tcBorders>
              <w:right w:val="single" w:sz="8" w:space="0" w:color="000000"/>
            </w:tcBorders>
            <w:shd w:val="clear" w:color="auto" w:fill="67ED4D"/>
          </w:tcPr>
          <w:p>
            <w:pPr>
              <w:pStyle w:val="TableParagraph"/>
              <w:spacing w:before="8"/>
              <w:ind w:left="27"/>
              <w:rPr>
                <w:sz w:val="12"/>
              </w:rPr>
            </w:pPr>
            <w:r>
              <w:rPr>
                <w:w w:val="104"/>
                <w:sz w:val="12"/>
              </w:rPr>
              <w:t>1</w:t>
            </w:r>
          </w:p>
          <w:p>
            <w:pPr>
              <w:pStyle w:val="TableParagraph"/>
              <w:spacing w:before="19"/>
              <w:ind w:left="27"/>
              <w:rPr>
                <w:sz w:val="12"/>
              </w:rPr>
            </w:pPr>
            <w:r>
              <w:rPr>
                <w:w w:val="104"/>
                <w:sz w:val="12"/>
              </w:rPr>
              <w:t>1</w:t>
            </w:r>
          </w:p>
        </w:tc>
      </w:tr>
      <w:tr>
        <w:trPr>
          <w:trHeight w:val="165" w:hRule="exact"/>
        </w:trPr>
        <w:tc>
          <w:tcPr>
            <w:tcW w:w="652" w:type="dxa"/>
            <w:tcBorders>
              <w:left w:val="single" w:sz="4" w:space="0" w:color="000000"/>
            </w:tcBorders>
          </w:tcPr>
          <w:p>
            <w:pPr/>
          </w:p>
        </w:tc>
        <w:tc>
          <w:tcPr>
            <w:tcW w:w="1919" w:type="dxa"/>
          </w:tcPr>
          <w:p>
            <w:pPr/>
          </w:p>
        </w:tc>
        <w:tc>
          <w:tcPr>
            <w:tcW w:w="2555" w:type="dxa"/>
          </w:tcPr>
          <w:p>
            <w:pPr/>
          </w:p>
        </w:tc>
        <w:tc>
          <w:tcPr>
            <w:tcW w:w="1453" w:type="dxa"/>
          </w:tcPr>
          <w:p>
            <w:pPr>
              <w:pStyle w:val="TableParagraph"/>
              <w:spacing w:before="5"/>
              <w:ind w:left="552" w:right="180"/>
              <w:rPr>
                <w:sz w:val="12"/>
              </w:rPr>
            </w:pPr>
            <w:r>
              <w:rPr>
                <w:w w:val="105"/>
                <w:sz w:val="12"/>
              </w:rPr>
              <w:t>Subtotal</w:t>
            </w:r>
          </w:p>
        </w:tc>
        <w:tc>
          <w:tcPr>
            <w:tcW w:w="797" w:type="dxa"/>
          </w:tcPr>
          <w:p>
            <w:pPr>
              <w:pStyle w:val="TableParagraph"/>
              <w:tabs>
                <w:tab w:pos="515"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1</w:t>
            </w:r>
            <w:r>
              <w:rPr>
                <w:sz w:val="12"/>
                <w:shd w:fill="F79646" w:color="auto" w:val="clear"/>
              </w:rPr>
              <w:tab/>
            </w:r>
          </w:p>
        </w:tc>
        <w:tc>
          <w:tcPr>
            <w:tcW w:w="765" w:type="dxa"/>
          </w:tcPr>
          <w:p>
            <w:pPr>
              <w:pStyle w:val="TableParagraph"/>
              <w:spacing w:before="5"/>
              <w:ind w:left="136" w:right="34"/>
              <w:rPr>
                <w:sz w:val="12"/>
              </w:rPr>
            </w:pPr>
            <w:r>
              <w:rPr>
                <w:w w:val="105"/>
                <w:sz w:val="12"/>
              </w:rPr>
              <w:t>1.4</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2</w:t>
            </w:r>
          </w:p>
        </w:tc>
      </w:tr>
      <w:tr>
        <w:trPr>
          <w:trHeight w:val="147" w:hRule="exact"/>
        </w:trPr>
        <w:tc>
          <w:tcPr>
            <w:tcW w:w="8822" w:type="dxa"/>
            <w:gridSpan w:val="7"/>
            <w:tcBorders>
              <w:left w:val="single" w:sz="4" w:space="0" w:color="000000"/>
              <w:right w:val="single" w:sz="8" w:space="0" w:color="000000"/>
            </w:tcBorders>
          </w:tcPr>
          <w:p>
            <w:pPr/>
          </w:p>
        </w:tc>
      </w:tr>
      <w:tr>
        <w:trPr>
          <w:trHeight w:val="160" w:hRule="exact"/>
        </w:trPr>
        <w:tc>
          <w:tcPr>
            <w:tcW w:w="652" w:type="dxa"/>
            <w:vMerge w:val="restart"/>
            <w:tcBorders>
              <w:left w:val="single" w:sz="4" w:space="0" w:color="000000"/>
            </w:tcBorders>
          </w:tcPr>
          <w:p>
            <w:pPr/>
          </w:p>
        </w:tc>
        <w:tc>
          <w:tcPr>
            <w:tcW w:w="1919" w:type="dxa"/>
          </w:tcPr>
          <w:p>
            <w:pPr/>
          </w:p>
        </w:tc>
        <w:tc>
          <w:tcPr>
            <w:tcW w:w="2555" w:type="dxa"/>
          </w:tcPr>
          <w:p>
            <w:pPr>
              <w:pStyle w:val="TableParagraph"/>
              <w:spacing w:before="7"/>
              <w:ind w:left="278" w:right="518"/>
              <w:jc w:val="left"/>
              <w:rPr>
                <w:sz w:val="12"/>
              </w:rPr>
            </w:pPr>
            <w:r>
              <w:rPr>
                <w:w w:val="105"/>
                <w:sz w:val="12"/>
              </w:rPr>
              <w:t>Ubicación del conjunto urbano</w:t>
            </w:r>
          </w:p>
        </w:tc>
        <w:tc>
          <w:tcPr>
            <w:tcW w:w="1453" w:type="dxa"/>
          </w:tcPr>
          <w:p>
            <w:pPr>
              <w:pStyle w:val="TableParagraph"/>
              <w:spacing w:before="7"/>
              <w:ind w:left="559" w:right="180"/>
              <w:rPr>
                <w:sz w:val="12"/>
              </w:rPr>
            </w:pPr>
            <w:r>
              <w:rPr>
                <w:w w:val="105"/>
                <w:sz w:val="12"/>
              </w:rPr>
              <w:t>0.4</w:t>
            </w:r>
          </w:p>
        </w:tc>
        <w:tc>
          <w:tcPr>
            <w:tcW w:w="797" w:type="dxa"/>
          </w:tcPr>
          <w:p>
            <w:pPr/>
          </w:p>
        </w:tc>
        <w:tc>
          <w:tcPr>
            <w:tcW w:w="765" w:type="dxa"/>
          </w:tcPr>
          <w:p>
            <w:pPr>
              <w:pStyle w:val="TableParagraph"/>
              <w:spacing w:before="7"/>
              <w:ind w:left="136" w:right="34"/>
              <w:rPr>
                <w:sz w:val="12"/>
              </w:rPr>
            </w:pPr>
            <w:r>
              <w:rPr>
                <w:w w:val="105"/>
                <w:sz w:val="12"/>
              </w:rPr>
              <w:t>0.8</w:t>
            </w:r>
          </w:p>
        </w:tc>
        <w:tc>
          <w:tcPr>
            <w:tcW w:w="680" w:type="dxa"/>
            <w:tcBorders>
              <w:right w:val="single" w:sz="8" w:space="0" w:color="000000"/>
            </w:tcBorders>
            <w:shd w:val="clear" w:color="auto" w:fill="67ED4D"/>
          </w:tcPr>
          <w:p>
            <w:pPr>
              <w:pStyle w:val="TableParagraph"/>
              <w:spacing w:before="7"/>
              <w:ind w:left="27"/>
              <w:rPr>
                <w:sz w:val="12"/>
              </w:rPr>
            </w:pPr>
            <w:r>
              <w:rPr>
                <w:w w:val="104"/>
                <w:sz w:val="12"/>
              </w:rPr>
              <w:t>1</w:t>
            </w:r>
          </w:p>
        </w:tc>
      </w:tr>
      <w:tr>
        <w:trPr>
          <w:trHeight w:val="157" w:hRule="exact"/>
        </w:trPr>
        <w:tc>
          <w:tcPr>
            <w:tcW w:w="652" w:type="dxa"/>
            <w:vMerge/>
            <w:tcBorders>
              <w:left w:val="single" w:sz="4" w:space="0" w:color="000000"/>
            </w:tcBorders>
          </w:tcPr>
          <w:p>
            <w:pPr/>
          </w:p>
        </w:tc>
        <w:tc>
          <w:tcPr>
            <w:tcW w:w="1919" w:type="dxa"/>
          </w:tcPr>
          <w:p>
            <w:pPr/>
          </w:p>
        </w:tc>
        <w:tc>
          <w:tcPr>
            <w:tcW w:w="2555" w:type="dxa"/>
          </w:tcPr>
          <w:p>
            <w:pPr>
              <w:pStyle w:val="TableParagraph"/>
              <w:spacing w:before="5"/>
              <w:ind w:left="278" w:right="518"/>
              <w:jc w:val="left"/>
              <w:rPr>
                <w:sz w:val="12"/>
              </w:rPr>
            </w:pPr>
            <w:r>
              <w:rPr>
                <w:w w:val="105"/>
                <w:sz w:val="12"/>
              </w:rPr>
              <w:t>Abierto</w:t>
            </w:r>
          </w:p>
        </w:tc>
        <w:tc>
          <w:tcPr>
            <w:tcW w:w="1453" w:type="dxa"/>
          </w:tcPr>
          <w:p>
            <w:pPr>
              <w:pStyle w:val="TableParagraph"/>
              <w:spacing w:before="5"/>
              <w:ind w:left="559" w:right="180"/>
              <w:rPr>
                <w:sz w:val="12"/>
              </w:rPr>
            </w:pPr>
            <w:r>
              <w:rPr>
                <w:w w:val="105"/>
                <w:sz w:val="12"/>
              </w:rPr>
              <w:t>0.5</w:t>
            </w:r>
          </w:p>
        </w:tc>
        <w:tc>
          <w:tcPr>
            <w:tcW w:w="797" w:type="dxa"/>
          </w:tcPr>
          <w:p>
            <w:pPr/>
          </w:p>
        </w:tc>
        <w:tc>
          <w:tcPr>
            <w:tcW w:w="765" w:type="dxa"/>
          </w:tcPr>
          <w:p>
            <w:pPr>
              <w:pStyle w:val="TableParagraph"/>
              <w:spacing w:before="5"/>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52" w:type="dxa"/>
            <w:vMerge/>
            <w:tcBorders>
              <w:left w:val="single" w:sz="4" w:space="0" w:color="000000"/>
            </w:tcBorders>
          </w:tcPr>
          <w:p>
            <w:pPr/>
          </w:p>
        </w:tc>
        <w:tc>
          <w:tcPr>
            <w:tcW w:w="1919" w:type="dxa"/>
          </w:tcPr>
          <w:p>
            <w:pPr>
              <w:pStyle w:val="TableParagraph"/>
              <w:spacing w:before="5"/>
              <w:ind w:left="106"/>
              <w:jc w:val="left"/>
              <w:rPr>
                <w:sz w:val="12"/>
              </w:rPr>
            </w:pPr>
            <w:r>
              <w:rPr>
                <w:w w:val="105"/>
                <w:sz w:val="12"/>
              </w:rPr>
              <w:t>Integración al territorio</w:t>
            </w:r>
          </w:p>
        </w:tc>
        <w:tc>
          <w:tcPr>
            <w:tcW w:w="2555" w:type="dxa"/>
          </w:tcPr>
          <w:p>
            <w:pPr>
              <w:pStyle w:val="TableParagraph"/>
              <w:spacing w:before="5"/>
              <w:ind w:left="278" w:right="518"/>
              <w:jc w:val="left"/>
              <w:rPr>
                <w:sz w:val="12"/>
              </w:rPr>
            </w:pPr>
            <w:r>
              <w:rPr>
                <w:w w:val="105"/>
                <w:sz w:val="12"/>
              </w:rPr>
              <w:t>Integración social</w:t>
            </w:r>
          </w:p>
        </w:tc>
        <w:tc>
          <w:tcPr>
            <w:tcW w:w="1453" w:type="dxa"/>
          </w:tcPr>
          <w:p>
            <w:pPr>
              <w:pStyle w:val="TableParagraph"/>
              <w:spacing w:before="5"/>
              <w:ind w:left="379"/>
              <w:rPr>
                <w:sz w:val="12"/>
              </w:rPr>
            </w:pPr>
            <w:r>
              <w:rPr>
                <w:w w:val="104"/>
                <w:sz w:val="12"/>
              </w:rPr>
              <w:t>0</w:t>
            </w:r>
          </w:p>
        </w:tc>
        <w:tc>
          <w:tcPr>
            <w:tcW w:w="797" w:type="dxa"/>
          </w:tcPr>
          <w:p>
            <w:pPr/>
          </w:p>
        </w:tc>
        <w:tc>
          <w:tcPr>
            <w:tcW w:w="765" w:type="dxa"/>
          </w:tcPr>
          <w:p>
            <w:pPr>
              <w:pStyle w:val="TableParagraph"/>
              <w:spacing w:before="5"/>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52" w:type="dxa"/>
            <w:vMerge/>
            <w:tcBorders>
              <w:left w:val="single" w:sz="4" w:space="0" w:color="000000"/>
            </w:tcBorders>
          </w:tcPr>
          <w:p>
            <w:pPr/>
          </w:p>
        </w:tc>
        <w:tc>
          <w:tcPr>
            <w:tcW w:w="1919" w:type="dxa"/>
          </w:tcPr>
          <w:p>
            <w:pPr/>
          </w:p>
        </w:tc>
        <w:tc>
          <w:tcPr>
            <w:tcW w:w="2555" w:type="dxa"/>
          </w:tcPr>
          <w:p>
            <w:pPr>
              <w:pStyle w:val="TableParagraph"/>
              <w:spacing w:before="5"/>
              <w:ind w:left="278" w:right="518"/>
              <w:jc w:val="left"/>
              <w:rPr>
                <w:sz w:val="12"/>
              </w:rPr>
            </w:pPr>
            <w:r>
              <w:rPr>
                <w:w w:val="105"/>
                <w:sz w:val="12"/>
              </w:rPr>
              <w:t>Protección civil</w:t>
            </w:r>
          </w:p>
        </w:tc>
        <w:tc>
          <w:tcPr>
            <w:tcW w:w="1453" w:type="dxa"/>
          </w:tcPr>
          <w:p>
            <w:pPr>
              <w:pStyle w:val="TableParagraph"/>
              <w:spacing w:before="5"/>
              <w:ind w:left="379"/>
              <w:rPr>
                <w:sz w:val="12"/>
              </w:rPr>
            </w:pPr>
            <w:r>
              <w:rPr>
                <w:w w:val="104"/>
                <w:sz w:val="12"/>
              </w:rPr>
              <w:t>0</w:t>
            </w:r>
          </w:p>
        </w:tc>
        <w:tc>
          <w:tcPr>
            <w:tcW w:w="797" w:type="dxa"/>
          </w:tcPr>
          <w:p>
            <w:pPr/>
          </w:p>
        </w:tc>
        <w:tc>
          <w:tcPr>
            <w:tcW w:w="765" w:type="dxa"/>
          </w:tcPr>
          <w:p>
            <w:pPr>
              <w:pStyle w:val="TableParagraph"/>
              <w:spacing w:before="5"/>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57" w:hRule="exact"/>
        </w:trPr>
        <w:tc>
          <w:tcPr>
            <w:tcW w:w="652" w:type="dxa"/>
            <w:vMerge/>
            <w:tcBorders>
              <w:left w:val="single" w:sz="4" w:space="0" w:color="000000"/>
            </w:tcBorders>
          </w:tcPr>
          <w:p>
            <w:pPr/>
          </w:p>
        </w:tc>
        <w:tc>
          <w:tcPr>
            <w:tcW w:w="1919" w:type="dxa"/>
          </w:tcPr>
          <w:p>
            <w:pPr/>
          </w:p>
        </w:tc>
        <w:tc>
          <w:tcPr>
            <w:tcW w:w="2555" w:type="dxa"/>
          </w:tcPr>
          <w:p>
            <w:pPr>
              <w:pStyle w:val="TableParagraph"/>
              <w:spacing w:before="5"/>
              <w:ind w:left="278" w:right="518"/>
              <w:jc w:val="left"/>
              <w:rPr>
                <w:sz w:val="12"/>
              </w:rPr>
            </w:pPr>
            <w:r>
              <w:rPr>
                <w:w w:val="105"/>
                <w:sz w:val="12"/>
              </w:rPr>
              <w:t>Seguridad</w:t>
            </w:r>
          </w:p>
        </w:tc>
        <w:tc>
          <w:tcPr>
            <w:tcW w:w="1453" w:type="dxa"/>
          </w:tcPr>
          <w:p>
            <w:pPr>
              <w:pStyle w:val="TableParagraph"/>
              <w:spacing w:before="5"/>
              <w:ind w:left="379"/>
              <w:rPr>
                <w:sz w:val="12"/>
              </w:rPr>
            </w:pPr>
            <w:r>
              <w:rPr>
                <w:w w:val="104"/>
                <w:sz w:val="12"/>
              </w:rPr>
              <w:t>0</w:t>
            </w:r>
          </w:p>
        </w:tc>
        <w:tc>
          <w:tcPr>
            <w:tcW w:w="797" w:type="dxa"/>
          </w:tcPr>
          <w:p>
            <w:pPr/>
          </w:p>
        </w:tc>
        <w:tc>
          <w:tcPr>
            <w:tcW w:w="765" w:type="dxa"/>
          </w:tcPr>
          <w:p>
            <w:pPr>
              <w:pStyle w:val="TableParagraph"/>
              <w:spacing w:before="5"/>
              <w:ind w:left="102"/>
              <w:rPr>
                <w:sz w:val="12"/>
              </w:rPr>
            </w:pPr>
            <w:r>
              <w:rPr>
                <w:w w:val="104"/>
                <w:sz w:val="12"/>
              </w:rPr>
              <w:t>1</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1</w:t>
            </w:r>
          </w:p>
        </w:tc>
      </w:tr>
      <w:tr>
        <w:trPr>
          <w:trHeight w:val="165" w:hRule="exact"/>
        </w:trPr>
        <w:tc>
          <w:tcPr>
            <w:tcW w:w="652" w:type="dxa"/>
            <w:vMerge/>
            <w:tcBorders>
              <w:left w:val="single" w:sz="4" w:space="0" w:color="000000"/>
            </w:tcBorders>
          </w:tcPr>
          <w:p>
            <w:pPr/>
          </w:p>
        </w:tc>
        <w:tc>
          <w:tcPr>
            <w:tcW w:w="1919" w:type="dxa"/>
          </w:tcPr>
          <w:p>
            <w:pPr/>
          </w:p>
        </w:tc>
        <w:tc>
          <w:tcPr>
            <w:tcW w:w="2555" w:type="dxa"/>
          </w:tcPr>
          <w:p>
            <w:pPr/>
          </w:p>
        </w:tc>
        <w:tc>
          <w:tcPr>
            <w:tcW w:w="1453" w:type="dxa"/>
          </w:tcPr>
          <w:p>
            <w:pPr>
              <w:pStyle w:val="TableParagraph"/>
              <w:spacing w:before="5"/>
              <w:ind w:left="552" w:right="180"/>
              <w:rPr>
                <w:sz w:val="12"/>
              </w:rPr>
            </w:pPr>
            <w:r>
              <w:rPr>
                <w:w w:val="105"/>
                <w:sz w:val="12"/>
              </w:rPr>
              <w:t>Subtotal</w:t>
            </w:r>
          </w:p>
        </w:tc>
        <w:tc>
          <w:tcPr>
            <w:tcW w:w="797" w:type="dxa"/>
          </w:tcPr>
          <w:p>
            <w:pPr>
              <w:pStyle w:val="TableParagraph"/>
              <w:tabs>
                <w:tab w:pos="463" w:val="left" w:leader="none"/>
                <w:tab w:pos="892" w:val="left" w:leader="none"/>
              </w:tabs>
              <w:spacing w:before="5"/>
              <w:ind w:left="202" w:right="-96"/>
              <w:jc w:val="left"/>
              <w:rPr>
                <w:sz w:val="12"/>
              </w:rPr>
            </w:pPr>
            <w:r>
              <w:rPr>
                <w:w w:val="104"/>
                <w:sz w:val="12"/>
                <w:shd w:fill="F79646" w:color="auto" w:val="clear"/>
              </w:rPr>
              <w:t> </w:t>
            </w:r>
            <w:r>
              <w:rPr>
                <w:sz w:val="12"/>
                <w:shd w:fill="F79646" w:color="auto" w:val="clear"/>
              </w:rPr>
              <w:tab/>
            </w:r>
            <w:r>
              <w:rPr>
                <w:w w:val="105"/>
                <w:sz w:val="12"/>
                <w:shd w:fill="F79646" w:color="auto" w:val="clear"/>
              </w:rPr>
              <w:t>0.9</w:t>
            </w:r>
            <w:r>
              <w:rPr>
                <w:sz w:val="12"/>
                <w:shd w:fill="F79646" w:color="auto" w:val="clear"/>
              </w:rPr>
              <w:tab/>
            </w:r>
          </w:p>
        </w:tc>
        <w:tc>
          <w:tcPr>
            <w:tcW w:w="765" w:type="dxa"/>
          </w:tcPr>
          <w:p>
            <w:pPr>
              <w:pStyle w:val="TableParagraph"/>
              <w:spacing w:before="5"/>
              <w:ind w:left="136" w:right="34"/>
              <w:rPr>
                <w:sz w:val="12"/>
              </w:rPr>
            </w:pPr>
            <w:r>
              <w:rPr>
                <w:w w:val="105"/>
                <w:sz w:val="12"/>
              </w:rPr>
              <w:t>4.8</w:t>
            </w:r>
          </w:p>
        </w:tc>
        <w:tc>
          <w:tcPr>
            <w:tcW w:w="680" w:type="dxa"/>
            <w:tcBorders>
              <w:right w:val="single" w:sz="8" w:space="0" w:color="000000"/>
            </w:tcBorders>
            <w:shd w:val="clear" w:color="auto" w:fill="67ED4D"/>
          </w:tcPr>
          <w:p>
            <w:pPr>
              <w:pStyle w:val="TableParagraph"/>
              <w:spacing w:before="5"/>
              <w:ind w:left="27"/>
              <w:rPr>
                <w:sz w:val="12"/>
              </w:rPr>
            </w:pPr>
            <w:r>
              <w:rPr>
                <w:w w:val="104"/>
                <w:sz w:val="12"/>
              </w:rPr>
              <w:t>5</w:t>
            </w:r>
          </w:p>
        </w:tc>
      </w:tr>
      <w:tr>
        <w:trPr>
          <w:trHeight w:val="471" w:hRule="exact"/>
        </w:trPr>
        <w:tc>
          <w:tcPr>
            <w:tcW w:w="652" w:type="dxa"/>
            <w:tcBorders>
              <w:left w:val="single" w:sz="4" w:space="0" w:color="000000"/>
              <w:bottom w:val="single" w:sz="8" w:space="0" w:color="000000"/>
            </w:tcBorders>
          </w:tcPr>
          <w:p>
            <w:pPr/>
          </w:p>
        </w:tc>
        <w:tc>
          <w:tcPr>
            <w:tcW w:w="1919" w:type="dxa"/>
            <w:tcBorders>
              <w:bottom w:val="single" w:sz="8" w:space="0" w:color="000000"/>
            </w:tcBorders>
          </w:tcPr>
          <w:p>
            <w:pPr/>
          </w:p>
        </w:tc>
        <w:tc>
          <w:tcPr>
            <w:tcW w:w="2555" w:type="dxa"/>
            <w:tcBorders>
              <w:bottom w:val="single" w:sz="8" w:space="0" w:color="000000"/>
            </w:tcBorders>
          </w:tcPr>
          <w:p>
            <w:pPr/>
          </w:p>
        </w:tc>
        <w:tc>
          <w:tcPr>
            <w:tcW w:w="1453" w:type="dxa"/>
            <w:tcBorders>
              <w:bottom w:val="single" w:sz="8" w:space="0" w:color="000000"/>
            </w:tcBorders>
          </w:tcPr>
          <w:p>
            <w:pPr>
              <w:pStyle w:val="TableParagraph"/>
              <w:spacing w:before="4"/>
              <w:jc w:val="left"/>
              <w:rPr>
                <w:sz w:val="13"/>
              </w:rPr>
            </w:pPr>
          </w:p>
          <w:p>
            <w:pPr>
              <w:pStyle w:val="TableParagraph"/>
              <w:spacing w:before="1"/>
              <w:ind w:left="566" w:right="180"/>
              <w:rPr>
                <w:sz w:val="12"/>
              </w:rPr>
            </w:pPr>
            <w:r>
              <w:rPr>
                <w:w w:val="105"/>
                <w:sz w:val="12"/>
              </w:rPr>
              <w:t>Total IT</w:t>
            </w:r>
          </w:p>
        </w:tc>
        <w:tc>
          <w:tcPr>
            <w:tcW w:w="797" w:type="dxa"/>
            <w:tcBorders>
              <w:bottom w:val="single" w:sz="8" w:space="0" w:color="000000"/>
            </w:tcBorders>
          </w:tcPr>
          <w:p>
            <w:pPr>
              <w:pStyle w:val="TableParagraph"/>
              <w:spacing w:before="4"/>
              <w:jc w:val="left"/>
              <w:rPr>
                <w:sz w:val="13"/>
              </w:rPr>
            </w:pPr>
          </w:p>
          <w:p>
            <w:pPr>
              <w:pStyle w:val="TableParagraph"/>
              <w:tabs>
                <w:tab w:pos="892" w:val="left" w:leader="none"/>
              </w:tabs>
              <w:spacing w:before="1"/>
              <w:ind w:left="202" w:right="-96"/>
              <w:jc w:val="left"/>
              <w:rPr>
                <w:sz w:val="12"/>
              </w:rPr>
            </w:pPr>
            <w:r>
              <w:rPr>
                <w:w w:val="104"/>
                <w:sz w:val="12"/>
                <w:shd w:fill="F79646" w:color="auto" w:val="clear"/>
              </w:rPr>
              <w:t> </w:t>
            </w:r>
            <w:r>
              <w:rPr>
                <w:sz w:val="12"/>
                <w:shd w:fill="F79646" w:color="auto" w:val="clear"/>
              </w:rPr>
              <w:t>     </w:t>
            </w:r>
            <w:r>
              <w:rPr>
                <w:spacing w:val="-16"/>
                <w:sz w:val="12"/>
                <w:shd w:fill="F79646" w:color="auto" w:val="clear"/>
              </w:rPr>
              <w:t> </w:t>
            </w:r>
            <w:r>
              <w:rPr>
                <w:w w:val="105"/>
                <w:sz w:val="12"/>
                <w:shd w:fill="F79646" w:color="auto" w:val="clear"/>
              </w:rPr>
              <w:t>7.21</w:t>
            </w:r>
            <w:r>
              <w:rPr>
                <w:sz w:val="12"/>
                <w:shd w:fill="F79646" w:color="auto" w:val="clear"/>
              </w:rPr>
              <w:tab/>
            </w:r>
          </w:p>
        </w:tc>
        <w:tc>
          <w:tcPr>
            <w:tcW w:w="765" w:type="dxa"/>
            <w:tcBorders>
              <w:bottom w:val="single" w:sz="8" w:space="0" w:color="000000"/>
            </w:tcBorders>
          </w:tcPr>
          <w:p>
            <w:pPr>
              <w:pStyle w:val="TableParagraph"/>
              <w:spacing w:before="4"/>
              <w:jc w:val="left"/>
              <w:rPr>
                <w:sz w:val="13"/>
              </w:rPr>
            </w:pPr>
          </w:p>
          <w:p>
            <w:pPr>
              <w:pStyle w:val="TableParagraph"/>
              <w:spacing w:before="1"/>
              <w:ind w:left="85" w:right="-11"/>
              <w:rPr>
                <w:sz w:val="12"/>
              </w:rPr>
            </w:pPr>
            <w:r>
              <w:rPr>
                <w:w w:val="104"/>
                <w:sz w:val="12"/>
                <w:shd w:fill="FFFF00" w:color="auto" w:val="clear"/>
              </w:rPr>
              <w:t> </w:t>
            </w:r>
            <w:r>
              <w:rPr>
                <w:sz w:val="12"/>
                <w:shd w:fill="FFFF00" w:color="auto" w:val="clear"/>
              </w:rPr>
              <w:t>    </w:t>
            </w:r>
            <w:r>
              <w:rPr>
                <w:spacing w:val="-14"/>
                <w:sz w:val="12"/>
                <w:shd w:fill="FFFF00" w:color="auto" w:val="clear"/>
              </w:rPr>
              <w:t> </w:t>
            </w:r>
            <w:r>
              <w:rPr>
                <w:w w:val="105"/>
                <w:sz w:val="12"/>
                <w:shd w:fill="FFFF00" w:color="auto" w:val="clear"/>
              </w:rPr>
              <w:t>12.66</w:t>
            </w:r>
            <w:r>
              <w:rPr>
                <w:spacing w:val="-13"/>
                <w:sz w:val="12"/>
                <w:shd w:fill="FFFF00" w:color="auto" w:val="clear"/>
              </w:rPr>
              <w:t> </w:t>
            </w:r>
          </w:p>
        </w:tc>
        <w:tc>
          <w:tcPr>
            <w:tcW w:w="680" w:type="dxa"/>
            <w:tcBorders>
              <w:bottom w:val="single" w:sz="8" w:space="0" w:color="000000"/>
              <w:right w:val="single" w:sz="8" w:space="0" w:color="000000"/>
            </w:tcBorders>
          </w:tcPr>
          <w:p>
            <w:pPr>
              <w:pStyle w:val="TableParagraph"/>
              <w:spacing w:before="4"/>
              <w:jc w:val="left"/>
              <w:rPr>
                <w:sz w:val="13"/>
              </w:rPr>
            </w:pPr>
          </w:p>
          <w:p>
            <w:pPr>
              <w:pStyle w:val="TableParagraph"/>
              <w:spacing w:before="1"/>
              <w:ind w:left="98" w:right="84"/>
              <w:rPr>
                <w:sz w:val="12"/>
              </w:rPr>
            </w:pPr>
            <w:r>
              <w:rPr>
                <w:w w:val="105"/>
                <w:sz w:val="12"/>
              </w:rPr>
              <w:t>17</w:t>
            </w:r>
          </w:p>
        </w:tc>
      </w:tr>
    </w:tbl>
    <w:p>
      <w:pPr>
        <w:spacing w:before="129"/>
        <w:ind w:left="268" w:right="0" w:firstLine="0"/>
        <w:jc w:val="left"/>
        <w:rPr>
          <w:sz w:val="21"/>
        </w:rPr>
      </w:pPr>
      <w:r>
        <w:rPr/>
        <w:pict>
          <v:group style="position:absolute;margin-left:364.432495pt;margin-top:-134.783234pt;width:74.8pt;height:16.8pt;mso-position-horizontal-relative:page;mso-position-vertical-relative:paragraph;z-index:-1131184" coordorigin="7289,-2696" coordsize="1496,336">
            <v:line style="position:absolute" from="7294,-2690" to="7294,-2523" stroked="true" strokeweight=".523pt" strokecolor="#baf9f5"/>
            <v:rect style="position:absolute;left:7299;top:-2690;width:1485;height:167" filled="true" fillcolor="#baf9f5" stroked="false">
              <v:fill type="solid"/>
            </v:rect>
            <v:line style="position:absolute" from="7294,-2523" to="7294,-2366" stroked="true" strokeweight=".523pt" strokecolor="#baf9f5"/>
            <v:rect style="position:absolute;left:7299;top:-2523;width:1485;height:157" filled="true" fillcolor="#baf9f5" stroked="false">
              <v:fill type="solid"/>
            </v:rect>
            <w10:wrap type="none"/>
          </v:group>
        </w:pict>
      </w:r>
      <w:r>
        <w:rPr/>
        <w:pict>
          <v:shape style="position:absolute;margin-left:472.689026pt;margin-top:-134.508133pt;width:34.550pt;height:24.1pt;mso-position-horizontal-relative:page;mso-position-vertical-relative:paragraph;z-index:-1131160" coordorigin="9454,-2690" coordsize="691,482" path="m10144,-2523l9454,-2523,9454,-2376,9454,-2366,9454,-2209,10144,-2209,10144,-2366,10144,-2376,10144,-2523m10144,-2690l9454,-2690,9454,-2523,10144,-2523,10144,-2690e" filled="true" fillcolor="#ffff00" stroked="false">
            <v:path arrowok="t"/>
            <v:fill type="solid"/>
            <w10:wrap type="none"/>
          </v:shape>
        </w:pict>
      </w:r>
      <w:r>
        <w:rPr/>
        <w:pict>
          <v:group style="position:absolute;margin-left:364.432495pt;margin-top:-103.386223pt;width:74.8pt;height:16.8pt;mso-position-horizontal-relative:page;mso-position-vertical-relative:paragraph;z-index:-1131136" coordorigin="7289,-2068" coordsize="1496,336">
            <v:line style="position:absolute" from="7294,-2062" to="7294,-1895" stroked="true" strokeweight=".523pt" strokecolor="#baf9f5"/>
            <v:rect style="position:absolute;left:7299;top:-2062;width:1485;height:167" filled="true" fillcolor="#baf9f5" stroked="false">
              <v:fill type="solid"/>
            </v:rect>
            <v:line style="position:absolute" from="7294,-1895" to="7294,-1738" stroked="true" strokeweight=".523pt" strokecolor="#baf9f5"/>
            <v:rect style="position:absolute;left:7299;top:-1895;width:1485;height:157" filled="true" fillcolor="#baf9f5" stroked="false">
              <v:fill type="solid"/>
            </v:rect>
            <w10:wrap type="none"/>
          </v:group>
        </w:pict>
      </w:r>
      <w:r>
        <w:rPr/>
        <w:pict>
          <v:shape style="position:absolute;margin-left:472.689026pt;margin-top:-103.111137pt;width:34.550pt;height:24.1pt;mso-position-horizontal-relative:page;mso-position-vertical-relative:paragraph;z-index:-1131112" coordorigin="9454,-2062" coordsize="691,482" path="m10144,-1895l9454,-1895,9454,-1748,9454,-1738,9454,-1581,10144,-1581,10144,-1738,10144,-1748,10144,-1895m10144,-2062l9454,-2062,9454,-1895,10144,-1895,10144,-2062e" filled="true" fillcolor="#ffff00" stroked="false">
            <v:path arrowok="t"/>
            <v:fill type="solid"/>
            <w10:wrap type="none"/>
          </v:shape>
        </w:pict>
      </w:r>
      <w:r>
        <w:rPr/>
        <w:pict>
          <v:group style="position:absolute;margin-left:364.432495pt;margin-top:-71.988228pt;width:74.8pt;height:40.35pt;mso-position-horizontal-relative:page;mso-position-vertical-relative:paragraph;z-index:-1131088" coordorigin="7289,-1440" coordsize="1496,807">
            <v:line style="position:absolute" from="7294,-1434" to="7294,-1267" stroked="true" strokeweight=".523pt" strokecolor="#baf9f5"/>
            <v:rect style="position:absolute;left:7299;top:-1434;width:1485;height:167" filled="true" fillcolor="#baf9f5" stroked="false">
              <v:fill type="solid"/>
            </v:rect>
            <v:line style="position:absolute" from="7294,-1267" to="7294,-1110" stroked="true" strokeweight=".523pt" strokecolor="#baf9f5"/>
            <v:rect style="position:absolute;left:7299;top:-1267;width:1485;height:157" filled="true" fillcolor="#baf9f5" stroked="false">
              <v:fill type="solid"/>
            </v:rect>
            <v:line style="position:absolute" from="7294,-1110" to="7294,-953" stroked="true" strokeweight=".523pt" strokecolor="#baf9f5"/>
            <v:rect style="position:absolute;left:7299;top:-1110;width:1485;height:157" filled="true" fillcolor="#baf9f5" stroked="false">
              <v:fill type="solid"/>
            </v:rect>
            <v:line style="position:absolute" from="7294,-953" to="7294,-796" stroked="true" strokeweight=".523pt" strokecolor="#baf9f5"/>
            <v:rect style="position:absolute;left:7299;top:-953;width:1485;height:157" filled="true" fillcolor="#baf9f5" stroked="false">
              <v:fill type="solid"/>
            </v:rect>
            <v:line style="position:absolute" from="7294,-796" to="7294,-639" stroked="true" strokeweight=".523pt" strokecolor="#baf9f5"/>
            <v:rect style="position:absolute;left:7299;top:-796;width:1485;height:157" filled="true" fillcolor="#baf9f5" stroked="false">
              <v:fill type="solid"/>
            </v:rect>
            <w10:wrap type="none"/>
          </v:group>
        </w:pict>
      </w:r>
      <w:r>
        <w:rPr/>
        <w:pict>
          <v:shape style="position:absolute;margin-left:472.689026pt;margin-top:-71.713135pt;width:34.550pt;height:47.65pt;mso-position-horizontal-relative:page;mso-position-vertical-relative:paragraph;z-index:-1131064" coordorigin="9454,-1434" coordsize="691,953" path="m10144,-953l9454,-953,9454,-796,9454,-649,9454,-639,9454,-482,10144,-482,10144,-639,10144,-649,10144,-796,10144,-953m10144,-1434l9454,-1434,9454,-1267,9454,-1110,9454,-953,10144,-953,10144,-1110,10144,-1267,10144,-1434e" filled="true" fillcolor="#ffff00" stroked="false">
            <v:path arrowok="t"/>
            <v:fill type="solid"/>
            <w10:wrap type="none"/>
          </v:shape>
        </w:pict>
      </w:r>
      <w:r>
        <w:rPr/>
        <w:pict>
          <v:rect style="position:absolute;margin-left:506.678009pt;margin-top:-16.767836pt;width:34.5122pt;height:8.37271pt;mso-position-horizontal-relative:page;mso-position-vertical-relative:paragraph;z-index:-1131040" filled="true" fillcolor="#67ed4d" stroked="false">
            <v:fill type="solid"/>
            <w10:wrap type="none"/>
          </v:rect>
        </w:pict>
      </w:r>
      <w:r>
        <w:rPr>
          <w:w w:val="105"/>
          <w:sz w:val="21"/>
        </w:rPr>
        <w:t>Fuente: Elaboración propia con base al estudio realizado.</w:t>
      </w:r>
    </w:p>
    <w:p>
      <w:pPr>
        <w:spacing w:after="0"/>
        <w:jc w:val="left"/>
        <w:rPr>
          <w:sz w:val="21"/>
        </w:rPr>
        <w:sectPr>
          <w:footerReference w:type="default" r:id="rId357"/>
          <w:pgSz w:w="12240" w:h="15840"/>
          <w:pgMar w:footer="1066" w:header="730" w:top="1320" w:bottom="1260" w:left="1720" w:right="1180"/>
          <w:pgNumType w:start="281"/>
        </w:sectPr>
      </w:pPr>
    </w:p>
    <w:p>
      <w:pPr>
        <w:pStyle w:val="BodyText"/>
        <w:spacing w:before="1"/>
        <w:rPr>
          <w:sz w:val="18"/>
        </w:rPr>
      </w:pPr>
    </w:p>
    <w:p>
      <w:pPr>
        <w:pStyle w:val="BodyText"/>
        <w:spacing w:before="69" w:after="22"/>
        <w:ind w:left="268"/>
      </w:pPr>
      <w:r>
        <w:rPr/>
        <w:pict>
          <v:line style="position:absolute;mso-position-horizontal-relative:page;mso-position-vertical-relative:paragraph;z-index:27016" from="93.199997pt,-19.614155pt" to="546.799997pt,-19.614155pt" stroked="true" strokeweight=".479981pt" strokecolor="#000000">
            <w10:wrap type="none"/>
          </v:line>
        </w:pict>
      </w:r>
      <w:r>
        <w:rPr/>
        <w:t>Tabla 72. Datos Hacienda de las Fuentes</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02"/>
        <w:gridCol w:w="5243"/>
      </w:tblGrid>
      <w:tr>
        <w:trPr>
          <w:trHeight w:val="729" w:hRule="exact"/>
        </w:trPr>
        <w:tc>
          <w:tcPr>
            <w:tcW w:w="7845" w:type="dxa"/>
            <w:gridSpan w:val="2"/>
            <w:tcBorders>
              <w:left w:val="single" w:sz="8" w:space="0" w:color="000000"/>
              <w:bottom w:val="single" w:sz="8" w:space="0" w:color="BFBFBF"/>
              <w:right w:val="single" w:sz="8" w:space="0" w:color="000000"/>
            </w:tcBorders>
            <w:shd w:val="clear" w:color="auto" w:fill="0D0D0D"/>
          </w:tcPr>
          <w:p>
            <w:pPr>
              <w:pStyle w:val="TableParagraph"/>
              <w:spacing w:before="204"/>
              <w:ind w:left="2541"/>
              <w:jc w:val="left"/>
              <w:rPr>
                <w:b/>
                <w:sz w:val="24"/>
              </w:rPr>
            </w:pPr>
            <w:r>
              <w:rPr>
                <w:b/>
                <w:color w:val="FFFFFF"/>
                <w:sz w:val="24"/>
              </w:rPr>
              <w:t>Hacienda de las fuentes</w:t>
            </w:r>
          </w:p>
        </w:tc>
      </w:tr>
      <w:tr>
        <w:trPr>
          <w:trHeight w:val="300" w:hRule="exact"/>
        </w:trPr>
        <w:tc>
          <w:tcPr>
            <w:tcW w:w="2602" w:type="dxa"/>
            <w:tcBorders>
              <w:top w:val="single" w:sz="8" w:space="0" w:color="BFBFBF"/>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Empresa</w:t>
            </w:r>
          </w:p>
        </w:tc>
        <w:tc>
          <w:tcPr>
            <w:tcW w:w="5243" w:type="dxa"/>
            <w:tcBorders>
              <w:top w:val="single" w:sz="8" w:space="0" w:color="BFBFBF"/>
              <w:left w:val="single" w:sz="8" w:space="0" w:color="000000"/>
              <w:bottom w:val="single" w:sz="8" w:space="0" w:color="000000"/>
              <w:right w:val="single" w:sz="8" w:space="0" w:color="000000"/>
            </w:tcBorders>
          </w:tcPr>
          <w:p>
            <w:pPr>
              <w:pStyle w:val="TableParagraph"/>
              <w:spacing w:line="274" w:lineRule="exact"/>
              <w:ind w:left="225" w:right="251"/>
              <w:rPr>
                <w:rFonts w:ascii="Calibri"/>
                <w:sz w:val="24"/>
              </w:rPr>
            </w:pPr>
            <w:r>
              <w:rPr>
                <w:rFonts w:ascii="Calibri"/>
                <w:sz w:val="24"/>
              </w:rPr>
              <w:t>GEO Edificaciones S.A. de C.V.</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Tipo de vivienda</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26" w:right="251"/>
              <w:rPr>
                <w:rFonts w:ascii="Calibri"/>
                <w:sz w:val="24"/>
              </w:rPr>
            </w:pPr>
            <w:r>
              <w:rPr>
                <w:rFonts w:ascii="Calibri"/>
                <w:sz w:val="24"/>
              </w:rPr>
              <w:t>Medio</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No. de viviendas</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20" w:right="251"/>
              <w:rPr>
                <w:rFonts w:ascii="Calibri"/>
                <w:sz w:val="24"/>
              </w:rPr>
            </w:pPr>
            <w:r>
              <w:rPr>
                <w:rFonts w:ascii="Calibri"/>
                <w:sz w:val="24"/>
              </w:rPr>
              <w:t>1,750</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V. Medio</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20" w:right="251"/>
              <w:rPr>
                <w:rFonts w:ascii="Calibri"/>
                <w:sz w:val="24"/>
              </w:rPr>
            </w:pPr>
            <w:r>
              <w:rPr>
                <w:rFonts w:ascii="Calibri"/>
                <w:sz w:val="24"/>
              </w:rPr>
              <w:t>1,750</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V. Interés Social</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right="16"/>
              <w:rPr>
                <w:rFonts w:ascii="Calibri"/>
                <w:sz w:val="24"/>
              </w:rPr>
            </w:pPr>
            <w:r>
              <w:rPr>
                <w:rFonts w:ascii="Calibri"/>
                <w:w w:val="100"/>
                <w:sz w:val="24"/>
              </w:rPr>
              <w:t>0</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V. Residencial</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right="16"/>
              <w:rPr>
                <w:rFonts w:ascii="Calibri"/>
                <w:sz w:val="24"/>
              </w:rPr>
            </w:pPr>
            <w:r>
              <w:rPr>
                <w:rFonts w:ascii="Calibri"/>
                <w:w w:val="100"/>
                <w:sz w:val="24"/>
              </w:rPr>
              <w:t>0</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Manzanas</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37" w:right="251"/>
              <w:rPr>
                <w:rFonts w:ascii="Calibri"/>
                <w:sz w:val="24"/>
              </w:rPr>
            </w:pPr>
            <w:r>
              <w:rPr>
                <w:rFonts w:ascii="Calibri"/>
                <w:sz w:val="24"/>
              </w:rPr>
              <w:t>24</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Lotes</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38" w:right="251"/>
              <w:rPr>
                <w:rFonts w:ascii="Calibri"/>
                <w:sz w:val="24"/>
              </w:rPr>
            </w:pPr>
            <w:r>
              <w:rPr>
                <w:rFonts w:ascii="Calibri"/>
                <w:sz w:val="24"/>
              </w:rPr>
              <w:t>392</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Superficie CU (m2)</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42" w:right="244"/>
              <w:rPr>
                <w:rFonts w:ascii="Calibri"/>
                <w:sz w:val="24"/>
              </w:rPr>
            </w:pPr>
            <w:r>
              <w:rPr>
                <w:rFonts w:ascii="Calibri"/>
                <w:sz w:val="24"/>
              </w:rPr>
              <w:t>408,370.000</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Pob. Beneficiada</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20" w:right="251"/>
              <w:rPr>
                <w:rFonts w:ascii="Calibri"/>
                <w:sz w:val="24"/>
              </w:rPr>
            </w:pPr>
            <w:r>
              <w:rPr>
                <w:rFonts w:ascii="Calibri"/>
                <w:sz w:val="24"/>
              </w:rPr>
              <w:t>7,875</w:t>
            </w:r>
          </w:p>
        </w:tc>
      </w:tr>
      <w:tr>
        <w:trPr>
          <w:trHeight w:val="399"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before="24"/>
              <w:ind w:left="40"/>
              <w:jc w:val="left"/>
              <w:rPr>
                <w:b/>
                <w:sz w:val="24"/>
              </w:rPr>
            </w:pPr>
            <w:r>
              <w:rPr>
                <w:b/>
                <w:sz w:val="24"/>
              </w:rPr>
              <w:t>Fecha de publicación</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before="21"/>
              <w:ind w:left="229" w:right="251"/>
              <w:rPr>
                <w:rFonts w:ascii="Calibri"/>
                <w:sz w:val="24"/>
              </w:rPr>
            </w:pPr>
            <w:r>
              <w:rPr>
                <w:rFonts w:ascii="Calibri"/>
                <w:sz w:val="24"/>
              </w:rPr>
              <w:t>22/10/10</w:t>
            </w:r>
          </w:p>
        </w:tc>
      </w:tr>
    </w:tbl>
    <w:p>
      <w:pPr>
        <w:spacing w:before="136"/>
        <w:ind w:left="268" w:right="0" w:firstLine="0"/>
        <w:jc w:val="left"/>
        <w:rPr>
          <w:sz w:val="21"/>
        </w:rPr>
      </w:pPr>
      <w:r>
        <w:rPr>
          <w:w w:val="105"/>
          <w:sz w:val="21"/>
        </w:rPr>
        <w:t>Fuente: Elaboración propia con base al estudio realizado.</w:t>
      </w:r>
    </w:p>
    <w:p>
      <w:pPr>
        <w:pStyle w:val="BodyText"/>
        <w:rPr>
          <w:sz w:val="22"/>
        </w:rPr>
      </w:pPr>
    </w:p>
    <w:p>
      <w:pPr>
        <w:pStyle w:val="BodyText"/>
        <w:rPr>
          <w:sz w:val="22"/>
        </w:rPr>
      </w:pPr>
    </w:p>
    <w:p>
      <w:pPr>
        <w:pStyle w:val="BodyText"/>
        <w:spacing w:before="131" w:after="16"/>
        <w:ind w:left="268"/>
      </w:pPr>
      <w:r>
        <w:rPr/>
        <w:pict>
          <v:group style="position:absolute;margin-left:363.374512pt;margin-top:55.096581pt;width:75.25pt;height:40.6pt;mso-position-horizontal-relative:page;mso-position-vertical-relative:paragraph;z-index:-1130992" coordorigin="7267,1102" coordsize="1505,812">
            <v:line style="position:absolute" from="7273,1107" to="7273,1276" stroked="true" strokeweight=".527pt" strokecolor="#baf9f5"/>
            <v:shape style="position:absolute;left:7278;top:1107;width:1494;height:643" coordorigin="7278,1107" coordsize="1494,643" path="m8772,1592l7278,1592,7278,1750,8772,1750,8772,1592m8772,1434l7278,1434,7278,1592,8772,1592,8772,1434m8772,1107l7278,1107,7278,1265,7278,1276,7278,1434,8772,1434,8772,1276,8772,1265,8772,1107e" filled="true" fillcolor="#baf9f5" stroked="false">
              <v:path arrowok="t"/>
              <v:fill type="solid"/>
            </v:shape>
            <v:line style="position:absolute" from="7273,1265" to="7273,1907" stroked="true" strokeweight=".527pt" strokecolor="#baf9f5"/>
            <v:rect style="position:absolute;left:7278;top:1750;width:1494;height:158" filled="true" fillcolor="#baf9f5" stroked="false">
              <v:fill type="solid"/>
            </v:rect>
            <w10:wrap type="none"/>
          </v:group>
        </w:pict>
      </w:r>
      <w:r>
        <w:rPr/>
        <w:pict>
          <v:group style="position:absolute;margin-left:363.374512pt;margin-top:110.361572pt;width:75.25pt;height:64.25pt;mso-position-horizontal-relative:page;mso-position-vertical-relative:paragraph;z-index:-1130968" coordorigin="7267,2207" coordsize="1505,1285">
            <v:line style="position:absolute" from="7273,2213" to="7273,2381" stroked="true" strokeweight=".527pt" strokecolor="#baf9f5"/>
            <v:rect style="position:absolute;left:7278;top:2213;width:1494;height:168" filled="true" fillcolor="#baf9f5" stroked="false">
              <v:fill type="solid"/>
            </v:rect>
            <v:line style="position:absolute" from="7273,2381" to="7273,2539" stroked="true" strokeweight=".527pt" strokecolor="#baf9f5"/>
            <v:rect style="position:absolute;left:7278;top:2381;width:1494;height:158" filled="true" fillcolor="#baf9f5" stroked="false">
              <v:fill type="solid"/>
            </v:rect>
            <v:line style="position:absolute" from="7273,2539" to="7273,2697" stroked="true" strokeweight=".527pt" strokecolor="#baf9f5"/>
            <v:rect style="position:absolute;left:7278;top:2539;width:1494;height:158" filled="true" fillcolor="#baf9f5" stroked="false">
              <v:fill type="solid"/>
            </v:rect>
            <v:line style="position:absolute" from="7273,2697" to="7273,2855" stroked="true" strokeweight=".527pt" strokecolor="#baf9f5"/>
            <v:rect style="position:absolute;left:7278;top:2697;width:1494;height:158" filled="true" fillcolor="#baf9f5" stroked="false">
              <v:fill type="solid"/>
            </v:rect>
            <v:line style="position:absolute" from="7273,2855" to="7273,3013" stroked="true" strokeweight=".527pt" strokecolor="#baf9f5"/>
            <v:rect style="position:absolute;left:7278;top:2855;width:1494;height:158" filled="true" fillcolor="#baf9f5" stroked="false">
              <v:fill type="solid"/>
            </v:rect>
            <v:line style="position:absolute" from="7273,3013" to="7273,3171" stroked="true" strokeweight=".527pt" strokecolor="#baf9f5"/>
            <v:rect style="position:absolute;left:7278;top:3013;width:1494;height:158" filled="true" fillcolor="#baf9f5" stroked="false">
              <v:fill type="solid"/>
            </v:rect>
            <v:line style="position:absolute" from="7273,3171" to="7273,3329" stroked="true" strokeweight=".527pt" strokecolor="#baf9f5"/>
            <v:rect style="position:absolute;left:7278;top:3171;width:1494;height:158" filled="true" fillcolor="#baf9f5" stroked="false">
              <v:fill type="solid"/>
            </v:rect>
            <v:line style="position:absolute" from="7273,3329" to="7273,3486" stroked="true" strokeweight=".527pt" strokecolor="#baf9f5"/>
            <v:rect style="position:absolute;left:7278;top:3329;width:1494;height:158" filled="true" fillcolor="#baf9f5" stroked="false">
              <v:fill type="solid"/>
            </v:rect>
            <w10:wrap type="none"/>
          </v:group>
        </w:pict>
      </w:r>
      <w:r>
        <w:rPr/>
        <w:pict>
          <v:shape style="position:absolute;margin-left:472.27002pt;margin-top:110.636856pt;width:34.75pt;height:71.6pt;mso-position-horizontal-relative:page;mso-position-vertical-relative:paragraph;z-index:-1130944" coordorigin="9445,2213" coordsize="695,1432" path="m10140,3171l9445,3171,9445,3329,9445,3476,9445,3486,9445,3644,10140,3644,10140,3486,10140,3476,10140,3329,10140,3171m10140,3013l9445,3013,9445,3171,10140,3171,10140,3013m10140,2855l9445,2855,9445,3013,10140,3013,10140,2855m10140,2697l9445,2697,9445,2855,10140,2855,10140,2697m10140,2539l9445,2539,9445,2697,10140,2697,10140,2539m10140,2381l9445,2381,9445,2539,10140,2539,10140,2381m10140,2213l9445,2213,9445,2381,10140,2381,10140,2213e" filled="true" fillcolor="#ffff00" stroked="false">
            <v:path arrowok="t"/>
            <v:fill type="solid"/>
            <w10:wrap type="none"/>
          </v:shape>
        </w:pict>
      </w:r>
      <w:r>
        <w:rPr/>
        <w:t>Tabla 73. ISS Hacienda de las Fuentes</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9"/>
        <w:gridCol w:w="2074"/>
        <w:gridCol w:w="2101"/>
        <w:gridCol w:w="1773"/>
        <w:gridCol w:w="887"/>
        <w:gridCol w:w="685"/>
        <w:gridCol w:w="683"/>
      </w:tblGrid>
      <w:tr>
        <w:trPr>
          <w:trHeight w:val="447" w:hRule="exact"/>
        </w:trPr>
        <w:tc>
          <w:tcPr>
            <w:tcW w:w="8821" w:type="dxa"/>
            <w:gridSpan w:val="7"/>
            <w:tcBorders>
              <w:bottom w:val="nil"/>
              <w:right w:val="single" w:sz="4" w:space="0" w:color="CB5AD4"/>
            </w:tcBorders>
            <w:shd w:val="clear" w:color="auto" w:fill="000000"/>
          </w:tcPr>
          <w:p>
            <w:pPr>
              <w:pStyle w:val="TableParagraph"/>
              <w:spacing w:line="273" w:lineRule="auto" w:before="71"/>
              <w:ind w:left="3466" w:right="3432" w:firstLine="210"/>
              <w:jc w:val="left"/>
              <w:rPr>
                <w:b/>
                <w:sz w:val="12"/>
              </w:rPr>
            </w:pPr>
            <w:r>
              <w:rPr>
                <w:b/>
                <w:color w:val="FFFFFF"/>
                <w:w w:val="105"/>
                <w:sz w:val="12"/>
              </w:rPr>
              <w:t>Hacienda de las Fuentes Índice de sustentabilidad social</w:t>
            </w:r>
          </w:p>
        </w:tc>
      </w:tr>
      <w:tr>
        <w:trPr>
          <w:trHeight w:val="200" w:hRule="exact"/>
        </w:trPr>
        <w:tc>
          <w:tcPr>
            <w:tcW w:w="619" w:type="dxa"/>
            <w:tcBorders>
              <w:top w:val="single" w:sz="4" w:space="0" w:color="FFFFFF"/>
              <w:left w:val="single" w:sz="4" w:space="0" w:color="000000"/>
            </w:tcBorders>
            <w:shd w:val="clear" w:color="auto" w:fill="808080"/>
          </w:tcPr>
          <w:p>
            <w:pPr>
              <w:pStyle w:val="TableParagraph"/>
              <w:spacing w:line="136" w:lineRule="exact"/>
              <w:ind w:left="137" w:right="71"/>
              <w:rPr>
                <w:b/>
                <w:sz w:val="12"/>
              </w:rPr>
            </w:pPr>
            <w:r>
              <w:rPr>
                <w:b/>
                <w:color w:val="FFFFFF"/>
                <w:w w:val="105"/>
                <w:sz w:val="12"/>
              </w:rPr>
              <w:t>Índice</w:t>
            </w:r>
          </w:p>
        </w:tc>
        <w:tc>
          <w:tcPr>
            <w:tcW w:w="2074" w:type="dxa"/>
            <w:tcBorders>
              <w:top w:val="single" w:sz="4" w:space="0" w:color="FFFFFF"/>
            </w:tcBorders>
            <w:shd w:val="clear" w:color="auto" w:fill="808080"/>
          </w:tcPr>
          <w:p>
            <w:pPr>
              <w:pStyle w:val="TableParagraph"/>
              <w:spacing w:line="136" w:lineRule="exact"/>
              <w:ind w:left="91"/>
              <w:jc w:val="left"/>
              <w:rPr>
                <w:b/>
                <w:sz w:val="12"/>
              </w:rPr>
            </w:pPr>
            <w:r>
              <w:rPr>
                <w:b/>
                <w:color w:val="FFFFFF"/>
                <w:w w:val="105"/>
                <w:sz w:val="12"/>
              </w:rPr>
              <w:t>Subíndice</w:t>
            </w:r>
          </w:p>
        </w:tc>
        <w:tc>
          <w:tcPr>
            <w:tcW w:w="2101" w:type="dxa"/>
            <w:tcBorders>
              <w:top w:val="single" w:sz="4" w:space="0" w:color="FFFFFF"/>
            </w:tcBorders>
            <w:shd w:val="clear" w:color="auto" w:fill="808080"/>
          </w:tcPr>
          <w:p>
            <w:pPr>
              <w:pStyle w:val="TableParagraph"/>
              <w:spacing w:line="136" w:lineRule="exact"/>
              <w:ind w:left="121" w:right="745"/>
              <w:jc w:val="left"/>
              <w:rPr>
                <w:b/>
                <w:sz w:val="12"/>
              </w:rPr>
            </w:pPr>
            <w:r>
              <w:rPr>
                <w:b/>
                <w:color w:val="FFFFFF"/>
                <w:w w:val="105"/>
                <w:sz w:val="12"/>
              </w:rPr>
              <w:t>Indicador</w:t>
            </w:r>
          </w:p>
        </w:tc>
        <w:tc>
          <w:tcPr>
            <w:tcW w:w="1773" w:type="dxa"/>
            <w:tcBorders>
              <w:top w:val="single" w:sz="4" w:space="0" w:color="FFFFFF"/>
            </w:tcBorders>
            <w:shd w:val="clear" w:color="auto" w:fill="808080"/>
          </w:tcPr>
          <w:p>
            <w:pPr/>
          </w:p>
        </w:tc>
        <w:tc>
          <w:tcPr>
            <w:tcW w:w="887" w:type="dxa"/>
            <w:tcBorders>
              <w:top w:val="single" w:sz="4" w:space="0" w:color="FFFFFF"/>
            </w:tcBorders>
            <w:shd w:val="clear" w:color="auto" w:fill="808080"/>
          </w:tcPr>
          <w:p>
            <w:pPr>
              <w:pStyle w:val="TableParagraph"/>
              <w:spacing w:line="136" w:lineRule="exact"/>
              <w:ind w:left="266"/>
              <w:jc w:val="left"/>
              <w:rPr>
                <w:b/>
                <w:sz w:val="12"/>
              </w:rPr>
            </w:pPr>
            <w:r>
              <w:rPr>
                <w:b/>
                <w:color w:val="FFFFFF"/>
                <w:w w:val="105"/>
                <w:sz w:val="12"/>
              </w:rPr>
              <w:t>Valores</w:t>
            </w:r>
          </w:p>
        </w:tc>
        <w:tc>
          <w:tcPr>
            <w:tcW w:w="685" w:type="dxa"/>
            <w:tcBorders>
              <w:top w:val="single" w:sz="4" w:space="0" w:color="FFFFFF"/>
            </w:tcBorders>
            <w:shd w:val="clear" w:color="auto" w:fill="808080"/>
          </w:tcPr>
          <w:p>
            <w:pPr/>
          </w:p>
        </w:tc>
        <w:tc>
          <w:tcPr>
            <w:tcW w:w="683" w:type="dxa"/>
            <w:tcBorders>
              <w:top w:val="single" w:sz="4" w:space="0" w:color="FFFFFF"/>
              <w:right w:val="single" w:sz="8" w:space="0" w:color="000000"/>
            </w:tcBorders>
            <w:shd w:val="clear" w:color="auto" w:fill="808080"/>
          </w:tcPr>
          <w:p>
            <w:pPr/>
          </w:p>
        </w:tc>
      </w:tr>
      <w:tr>
        <w:trPr>
          <w:trHeight w:val="200" w:hRule="exact"/>
        </w:trPr>
        <w:tc>
          <w:tcPr>
            <w:tcW w:w="619" w:type="dxa"/>
            <w:vMerge w:val="restart"/>
            <w:tcBorders>
              <w:left w:val="single" w:sz="4" w:space="0" w:color="000000"/>
            </w:tcBorders>
          </w:tcPr>
          <w:p>
            <w:pPr/>
          </w:p>
        </w:tc>
        <w:tc>
          <w:tcPr>
            <w:tcW w:w="2074" w:type="dxa"/>
            <w:vMerge w:val="restart"/>
          </w:tcPr>
          <w:p>
            <w:pPr>
              <w:pStyle w:val="TableParagraph"/>
              <w:jc w:val="left"/>
              <w:rPr>
                <w:sz w:val="12"/>
              </w:rPr>
            </w:pPr>
          </w:p>
          <w:p>
            <w:pPr>
              <w:pStyle w:val="TableParagraph"/>
              <w:jc w:val="left"/>
              <w:rPr>
                <w:sz w:val="12"/>
              </w:rPr>
            </w:pPr>
          </w:p>
          <w:p>
            <w:pPr>
              <w:pStyle w:val="TableParagraph"/>
              <w:spacing w:before="7"/>
              <w:jc w:val="left"/>
              <w:rPr>
                <w:sz w:val="13"/>
              </w:rPr>
            </w:pPr>
          </w:p>
          <w:p>
            <w:pPr>
              <w:pStyle w:val="TableParagraph"/>
              <w:ind w:left="91"/>
              <w:jc w:val="left"/>
              <w:rPr>
                <w:rFonts w:ascii="Calibri"/>
                <w:sz w:val="12"/>
              </w:rPr>
            </w:pPr>
            <w:r>
              <w:rPr>
                <w:rFonts w:ascii="Calibri"/>
                <w:w w:val="105"/>
                <w:sz w:val="12"/>
              </w:rPr>
              <w:t>Habitabilidad</w:t>
            </w:r>
          </w:p>
        </w:tc>
        <w:tc>
          <w:tcPr>
            <w:tcW w:w="2101" w:type="dxa"/>
            <w:vMerge w:val="restart"/>
          </w:tcPr>
          <w:p>
            <w:pPr>
              <w:pStyle w:val="TableParagraph"/>
              <w:spacing w:before="6"/>
              <w:jc w:val="left"/>
              <w:rPr>
                <w:sz w:val="17"/>
              </w:rPr>
            </w:pPr>
          </w:p>
          <w:p>
            <w:pPr>
              <w:pStyle w:val="TableParagraph"/>
              <w:spacing w:line="259" w:lineRule="auto"/>
              <w:ind w:left="121" w:right="745"/>
              <w:jc w:val="left"/>
              <w:rPr>
                <w:rFonts w:ascii="Calibri" w:hAnsi="Calibri"/>
                <w:sz w:val="12"/>
              </w:rPr>
            </w:pPr>
            <w:r>
              <w:rPr>
                <w:rFonts w:ascii="Calibri" w:hAnsi="Calibri"/>
                <w:w w:val="105"/>
                <w:sz w:val="12"/>
              </w:rPr>
              <w:t>Espacios habitables Metros de construcción Metros de terreno Hacinamiento</w:t>
            </w:r>
          </w:p>
        </w:tc>
        <w:tc>
          <w:tcPr>
            <w:tcW w:w="1773" w:type="dxa"/>
            <w:vMerge w:val="restart"/>
          </w:tcPr>
          <w:p>
            <w:pPr>
              <w:pStyle w:val="TableParagraph"/>
              <w:spacing w:before="45"/>
              <w:ind w:left="884" w:right="184"/>
              <w:rPr>
                <w:b/>
                <w:sz w:val="12"/>
              </w:rPr>
            </w:pPr>
            <w:r>
              <w:rPr>
                <w:b/>
                <w:w w:val="105"/>
                <w:sz w:val="12"/>
              </w:rPr>
              <w:t>Evaluación</w:t>
            </w:r>
          </w:p>
          <w:p>
            <w:pPr>
              <w:pStyle w:val="TableParagraph"/>
              <w:spacing w:before="18"/>
              <w:ind w:left="882" w:right="184"/>
              <w:rPr>
                <w:rFonts w:ascii="Calibri"/>
                <w:sz w:val="12"/>
              </w:rPr>
            </w:pPr>
            <w:r>
              <w:rPr>
                <w:rFonts w:ascii="Calibri"/>
                <w:w w:val="105"/>
                <w:sz w:val="12"/>
              </w:rPr>
              <w:t>0.6</w:t>
            </w:r>
          </w:p>
          <w:p>
            <w:pPr>
              <w:pStyle w:val="TableParagraph"/>
              <w:spacing w:before="11"/>
              <w:ind w:left="882" w:right="184"/>
              <w:rPr>
                <w:rFonts w:ascii="Calibri"/>
                <w:sz w:val="12"/>
              </w:rPr>
            </w:pPr>
            <w:r>
              <w:rPr>
                <w:rFonts w:ascii="Calibri"/>
                <w:w w:val="105"/>
                <w:sz w:val="12"/>
              </w:rPr>
              <w:t>0.6</w:t>
            </w:r>
          </w:p>
          <w:p>
            <w:pPr>
              <w:pStyle w:val="TableParagraph"/>
              <w:spacing w:before="11"/>
              <w:ind w:left="882" w:right="184"/>
              <w:rPr>
                <w:rFonts w:ascii="Calibri"/>
                <w:sz w:val="12"/>
              </w:rPr>
            </w:pPr>
            <w:r>
              <w:rPr>
                <w:rFonts w:ascii="Calibri"/>
                <w:w w:val="105"/>
                <w:sz w:val="12"/>
              </w:rPr>
              <w:t>0.8</w:t>
            </w:r>
          </w:p>
          <w:p>
            <w:pPr>
              <w:pStyle w:val="TableParagraph"/>
              <w:spacing w:before="11"/>
              <w:ind w:right="498"/>
              <w:jc w:val="right"/>
              <w:rPr>
                <w:rFonts w:ascii="Calibri"/>
                <w:sz w:val="12"/>
              </w:rPr>
            </w:pPr>
            <w:r>
              <w:rPr>
                <w:rFonts w:ascii="Calibri"/>
                <w:w w:val="105"/>
                <w:sz w:val="12"/>
              </w:rPr>
              <w:t>1</w:t>
            </w:r>
          </w:p>
          <w:p>
            <w:pPr>
              <w:pStyle w:val="TableParagraph"/>
              <w:spacing w:before="11"/>
              <w:ind w:left="880" w:right="184"/>
              <w:rPr>
                <w:rFonts w:ascii="Calibri"/>
                <w:sz w:val="12"/>
              </w:rPr>
            </w:pPr>
            <w:r>
              <w:rPr>
                <w:rFonts w:ascii="Calibri"/>
                <w:w w:val="105"/>
                <w:sz w:val="12"/>
              </w:rPr>
              <w:t>Subtotal</w:t>
            </w:r>
          </w:p>
        </w:tc>
        <w:tc>
          <w:tcPr>
            <w:tcW w:w="887" w:type="dxa"/>
            <w:vMerge w:val="restart"/>
          </w:tcPr>
          <w:p>
            <w:pPr>
              <w:pStyle w:val="TableParagraph"/>
              <w:tabs>
                <w:tab w:pos="897" w:val="left" w:leader="none"/>
              </w:tabs>
              <w:spacing w:before="45"/>
              <w:ind w:left="203" w:right="-11"/>
              <w:jc w:val="left"/>
              <w:rPr>
                <w:b/>
                <w:sz w:val="12"/>
              </w:rPr>
            </w:pPr>
            <w:r>
              <w:rPr>
                <w:b/>
                <w:w w:val="105"/>
                <w:sz w:val="12"/>
                <w:shd w:fill="F79646" w:color="auto" w:val="clear"/>
              </w:rPr>
              <w:t> </w:t>
            </w:r>
            <w:r>
              <w:rPr>
                <w:b/>
                <w:sz w:val="12"/>
                <w:shd w:fill="F79646" w:color="auto" w:val="clear"/>
              </w:rPr>
              <w:t>    </w:t>
            </w:r>
            <w:r>
              <w:rPr>
                <w:b/>
                <w:spacing w:val="8"/>
                <w:sz w:val="12"/>
                <w:shd w:fill="F79646" w:color="auto" w:val="clear"/>
              </w:rPr>
              <w:t> </w:t>
            </w:r>
            <w:r>
              <w:rPr>
                <w:b/>
                <w:w w:val="105"/>
                <w:sz w:val="12"/>
                <w:shd w:fill="F79646" w:color="auto" w:val="clear"/>
              </w:rPr>
              <w:t>Real</w:t>
            </w:r>
            <w:r>
              <w:rPr>
                <w:b/>
                <w:sz w:val="12"/>
                <w:shd w:fill="F79646" w:color="auto" w:val="clear"/>
              </w:rPr>
              <w:tab/>
            </w: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tabs>
                <w:tab w:pos="518" w:val="left" w:leader="none"/>
                <w:tab w:pos="897" w:val="left" w:leader="none"/>
              </w:tabs>
              <w:spacing w:before="98"/>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3</w:t>
            </w:r>
            <w:r>
              <w:rPr>
                <w:rFonts w:ascii="Calibri"/>
                <w:sz w:val="12"/>
                <w:shd w:fill="F79646" w:color="auto" w:val="clear"/>
              </w:rPr>
              <w:tab/>
            </w:r>
          </w:p>
        </w:tc>
        <w:tc>
          <w:tcPr>
            <w:tcW w:w="685" w:type="dxa"/>
            <w:tcBorders>
              <w:right w:val="single" w:sz="4" w:space="0" w:color="FFFFFF"/>
            </w:tcBorders>
            <w:shd w:val="clear" w:color="auto" w:fill="FFFF00"/>
          </w:tcPr>
          <w:p>
            <w:pPr>
              <w:pStyle w:val="TableParagraph"/>
              <w:spacing w:before="45"/>
              <w:ind w:left="54" w:right="32"/>
              <w:rPr>
                <w:b/>
                <w:sz w:val="12"/>
              </w:rPr>
            </w:pPr>
            <w:r>
              <w:rPr>
                <w:b/>
                <w:w w:val="105"/>
                <w:sz w:val="12"/>
              </w:rPr>
              <w:t>Deseable</w:t>
            </w:r>
          </w:p>
        </w:tc>
        <w:tc>
          <w:tcPr>
            <w:tcW w:w="683" w:type="dxa"/>
            <w:tcBorders>
              <w:left w:val="single" w:sz="4" w:space="0" w:color="FFFFFF"/>
              <w:right w:val="single" w:sz="8" w:space="0" w:color="000000"/>
            </w:tcBorders>
            <w:shd w:val="clear" w:color="auto" w:fill="67ED4D"/>
          </w:tcPr>
          <w:p>
            <w:pPr>
              <w:pStyle w:val="TableParagraph"/>
              <w:spacing w:before="45"/>
              <w:ind w:left="100" w:right="86"/>
              <w:rPr>
                <w:b/>
                <w:sz w:val="12"/>
              </w:rPr>
            </w:pPr>
            <w:r>
              <w:rPr>
                <w:b/>
                <w:w w:val="105"/>
                <w:sz w:val="12"/>
              </w:rPr>
              <w:t>Óptimo</w:t>
            </w:r>
          </w:p>
        </w:tc>
      </w:tr>
      <w:tr>
        <w:trPr>
          <w:trHeight w:val="160" w:hRule="exact"/>
        </w:trPr>
        <w:tc>
          <w:tcPr>
            <w:tcW w:w="619" w:type="dxa"/>
            <w:vMerge/>
            <w:tcBorders>
              <w:left w:val="single" w:sz="4" w:space="0" w:color="000000"/>
            </w:tcBorders>
          </w:tcPr>
          <w:p>
            <w:pPr/>
          </w:p>
        </w:tc>
        <w:tc>
          <w:tcPr>
            <w:tcW w:w="2074" w:type="dxa"/>
            <w:vMerge/>
          </w:tcPr>
          <w:p>
            <w:pPr/>
          </w:p>
        </w:tc>
        <w:tc>
          <w:tcPr>
            <w:tcW w:w="2101" w:type="dxa"/>
            <w:vMerge/>
          </w:tcPr>
          <w:p>
            <w:pPr/>
          </w:p>
        </w:tc>
        <w:tc>
          <w:tcPr>
            <w:tcW w:w="1773" w:type="dxa"/>
            <w:vMerge/>
          </w:tcPr>
          <w:p>
            <w:pPr/>
          </w:p>
        </w:tc>
        <w:tc>
          <w:tcPr>
            <w:tcW w:w="887" w:type="dxa"/>
            <w:vMerge/>
          </w:tcPr>
          <w:p>
            <w:pPr/>
          </w:p>
        </w:tc>
        <w:tc>
          <w:tcPr>
            <w:tcW w:w="685" w:type="dxa"/>
            <w:tcBorders>
              <w:right w:val="single" w:sz="4" w:space="0" w:color="FFFFFF"/>
            </w:tcBorders>
            <w:shd w:val="clear" w:color="auto" w:fill="FFFF00"/>
          </w:tcPr>
          <w:p>
            <w:pPr>
              <w:pStyle w:val="TableParagraph"/>
              <w:spacing w:before="2"/>
              <w:ind w:left="38" w:right="32"/>
              <w:rPr>
                <w:rFonts w:ascii="Calibri"/>
                <w:sz w:val="12"/>
              </w:rPr>
            </w:pPr>
            <w:r>
              <w:rPr>
                <w:rFonts w:ascii="Calibri"/>
                <w:w w:val="105"/>
                <w:sz w:val="12"/>
              </w:rPr>
              <w:t>0.7</w:t>
            </w:r>
          </w:p>
        </w:tc>
        <w:tc>
          <w:tcPr>
            <w:tcW w:w="683" w:type="dxa"/>
            <w:tcBorders>
              <w:left w:val="single" w:sz="4" w:space="0" w:color="FFFFFF"/>
              <w:right w:val="single" w:sz="8" w:space="0" w:color="000000"/>
            </w:tcBorders>
            <w:shd w:val="clear" w:color="auto" w:fill="67ED4D"/>
          </w:tcPr>
          <w:p>
            <w:pPr>
              <w:pStyle w:val="TableParagraph"/>
              <w:spacing w:before="2"/>
              <w:ind w:left="15"/>
              <w:rPr>
                <w:rFonts w:ascii="Calibri"/>
                <w:sz w:val="12"/>
              </w:rPr>
            </w:pPr>
            <w:r>
              <w:rPr>
                <w:rFonts w:ascii="Calibri"/>
                <w:w w:val="105"/>
                <w:sz w:val="12"/>
              </w:rPr>
              <w:t>1</w:t>
            </w:r>
          </w:p>
        </w:tc>
      </w:tr>
      <w:tr>
        <w:trPr>
          <w:trHeight w:val="158" w:hRule="exact"/>
        </w:trPr>
        <w:tc>
          <w:tcPr>
            <w:tcW w:w="619" w:type="dxa"/>
            <w:vMerge/>
            <w:tcBorders>
              <w:left w:val="single" w:sz="4" w:space="0" w:color="000000"/>
            </w:tcBorders>
          </w:tcPr>
          <w:p>
            <w:pPr/>
          </w:p>
        </w:tc>
        <w:tc>
          <w:tcPr>
            <w:tcW w:w="2074" w:type="dxa"/>
            <w:vMerge/>
          </w:tcPr>
          <w:p>
            <w:pPr/>
          </w:p>
        </w:tc>
        <w:tc>
          <w:tcPr>
            <w:tcW w:w="2101" w:type="dxa"/>
            <w:vMerge/>
          </w:tcPr>
          <w:p>
            <w:pPr/>
          </w:p>
        </w:tc>
        <w:tc>
          <w:tcPr>
            <w:tcW w:w="1773" w:type="dxa"/>
            <w:vMerge/>
          </w:tcPr>
          <w:p>
            <w:pPr/>
          </w:p>
        </w:tc>
        <w:tc>
          <w:tcPr>
            <w:tcW w:w="887" w:type="dxa"/>
            <w:vMerge/>
          </w:tcPr>
          <w:p>
            <w:pPr/>
          </w:p>
        </w:tc>
        <w:tc>
          <w:tcPr>
            <w:tcW w:w="685" w:type="dxa"/>
            <w:tcBorders>
              <w:right w:val="single" w:sz="4" w:space="0" w:color="FFFFFF"/>
            </w:tcBorders>
            <w:shd w:val="clear" w:color="auto" w:fill="FFFF00"/>
          </w:tcPr>
          <w:p>
            <w:pPr>
              <w:pStyle w:val="TableParagraph"/>
              <w:ind w:left="38" w:right="32"/>
              <w:rPr>
                <w:rFonts w:ascii="Calibri"/>
                <w:sz w:val="12"/>
              </w:rPr>
            </w:pPr>
            <w:r>
              <w:rPr>
                <w:rFonts w:ascii="Calibri"/>
                <w:w w:val="105"/>
                <w:sz w:val="12"/>
              </w:rPr>
              <w:t>0.9</w:t>
            </w:r>
          </w:p>
        </w:tc>
        <w:tc>
          <w:tcPr>
            <w:tcW w:w="683" w:type="dxa"/>
            <w:tcBorders>
              <w:left w:val="single" w:sz="4" w:space="0" w:color="FFFFFF"/>
              <w:right w:val="single" w:sz="8" w:space="0" w:color="000000"/>
            </w:tcBorders>
            <w:shd w:val="clear" w:color="auto" w:fill="67ED4D"/>
          </w:tcPr>
          <w:p>
            <w:pPr>
              <w:pStyle w:val="TableParagraph"/>
              <w:ind w:left="15"/>
              <w:rPr>
                <w:rFonts w:ascii="Calibri"/>
                <w:sz w:val="12"/>
              </w:rPr>
            </w:pPr>
            <w:r>
              <w:rPr>
                <w:rFonts w:ascii="Calibri"/>
                <w:w w:val="105"/>
                <w:sz w:val="12"/>
              </w:rPr>
              <w:t>1</w:t>
            </w:r>
          </w:p>
        </w:tc>
      </w:tr>
      <w:tr>
        <w:trPr>
          <w:trHeight w:val="158" w:hRule="exact"/>
        </w:trPr>
        <w:tc>
          <w:tcPr>
            <w:tcW w:w="619" w:type="dxa"/>
            <w:vMerge/>
            <w:tcBorders>
              <w:left w:val="single" w:sz="4" w:space="0" w:color="000000"/>
            </w:tcBorders>
          </w:tcPr>
          <w:p>
            <w:pPr/>
          </w:p>
        </w:tc>
        <w:tc>
          <w:tcPr>
            <w:tcW w:w="2074" w:type="dxa"/>
            <w:vMerge/>
          </w:tcPr>
          <w:p>
            <w:pPr/>
          </w:p>
        </w:tc>
        <w:tc>
          <w:tcPr>
            <w:tcW w:w="2101" w:type="dxa"/>
            <w:vMerge/>
          </w:tcPr>
          <w:p>
            <w:pPr/>
          </w:p>
        </w:tc>
        <w:tc>
          <w:tcPr>
            <w:tcW w:w="1773" w:type="dxa"/>
            <w:vMerge/>
          </w:tcPr>
          <w:p>
            <w:pPr/>
          </w:p>
        </w:tc>
        <w:tc>
          <w:tcPr>
            <w:tcW w:w="887" w:type="dxa"/>
            <w:vMerge/>
          </w:tcPr>
          <w:p>
            <w:pPr/>
          </w:p>
        </w:tc>
        <w:tc>
          <w:tcPr>
            <w:tcW w:w="685" w:type="dxa"/>
            <w:tcBorders>
              <w:right w:val="single" w:sz="4" w:space="0" w:color="FFFFFF"/>
            </w:tcBorders>
            <w:shd w:val="clear" w:color="auto" w:fill="FFFF00"/>
          </w:tcPr>
          <w:p>
            <w:pPr>
              <w:pStyle w:val="TableParagraph"/>
              <w:ind w:left="38" w:right="32"/>
              <w:rPr>
                <w:rFonts w:ascii="Calibri"/>
                <w:sz w:val="12"/>
              </w:rPr>
            </w:pPr>
            <w:r>
              <w:rPr>
                <w:rFonts w:ascii="Calibri"/>
                <w:w w:val="105"/>
                <w:sz w:val="12"/>
              </w:rPr>
              <w:t>0.8</w:t>
            </w:r>
          </w:p>
        </w:tc>
        <w:tc>
          <w:tcPr>
            <w:tcW w:w="683" w:type="dxa"/>
            <w:tcBorders>
              <w:left w:val="single" w:sz="4" w:space="0" w:color="FFFFFF"/>
              <w:right w:val="single" w:sz="8" w:space="0" w:color="000000"/>
            </w:tcBorders>
            <w:shd w:val="clear" w:color="auto" w:fill="67ED4D"/>
          </w:tcPr>
          <w:p>
            <w:pPr>
              <w:pStyle w:val="TableParagraph"/>
              <w:ind w:left="15"/>
              <w:rPr>
                <w:rFonts w:ascii="Calibri"/>
                <w:sz w:val="12"/>
              </w:rPr>
            </w:pPr>
            <w:r>
              <w:rPr>
                <w:rFonts w:ascii="Calibri"/>
                <w:w w:val="105"/>
                <w:sz w:val="12"/>
              </w:rPr>
              <w:t>1</w:t>
            </w:r>
          </w:p>
        </w:tc>
      </w:tr>
      <w:tr>
        <w:trPr>
          <w:trHeight w:val="158" w:hRule="exact"/>
        </w:trPr>
        <w:tc>
          <w:tcPr>
            <w:tcW w:w="619" w:type="dxa"/>
            <w:vMerge/>
            <w:tcBorders>
              <w:left w:val="single" w:sz="4" w:space="0" w:color="000000"/>
            </w:tcBorders>
          </w:tcPr>
          <w:p>
            <w:pPr/>
          </w:p>
        </w:tc>
        <w:tc>
          <w:tcPr>
            <w:tcW w:w="2074" w:type="dxa"/>
            <w:vMerge/>
          </w:tcPr>
          <w:p>
            <w:pPr/>
          </w:p>
        </w:tc>
        <w:tc>
          <w:tcPr>
            <w:tcW w:w="2101" w:type="dxa"/>
            <w:vMerge/>
          </w:tcPr>
          <w:p>
            <w:pPr/>
          </w:p>
        </w:tc>
        <w:tc>
          <w:tcPr>
            <w:tcW w:w="1773" w:type="dxa"/>
            <w:vMerge/>
          </w:tcPr>
          <w:p>
            <w:pPr/>
          </w:p>
        </w:tc>
        <w:tc>
          <w:tcPr>
            <w:tcW w:w="887" w:type="dxa"/>
            <w:vMerge/>
          </w:tcPr>
          <w:p>
            <w:pPr/>
          </w:p>
        </w:tc>
        <w:tc>
          <w:tcPr>
            <w:tcW w:w="685" w:type="dxa"/>
            <w:tcBorders>
              <w:right w:val="single" w:sz="4" w:space="0" w:color="FFFFFF"/>
            </w:tcBorders>
            <w:shd w:val="clear" w:color="auto" w:fill="FFFF00"/>
          </w:tcPr>
          <w:p>
            <w:pPr>
              <w:pStyle w:val="TableParagraph"/>
              <w:ind w:left="38" w:right="32"/>
              <w:rPr>
                <w:rFonts w:ascii="Calibri"/>
                <w:sz w:val="12"/>
              </w:rPr>
            </w:pPr>
            <w:r>
              <w:rPr>
                <w:rFonts w:ascii="Calibri"/>
                <w:w w:val="105"/>
                <w:sz w:val="12"/>
              </w:rPr>
              <w:t>0.5</w:t>
            </w:r>
          </w:p>
        </w:tc>
        <w:tc>
          <w:tcPr>
            <w:tcW w:w="683" w:type="dxa"/>
            <w:tcBorders>
              <w:left w:val="single" w:sz="4" w:space="0" w:color="FFFFFF"/>
              <w:right w:val="single" w:sz="8" w:space="0" w:color="000000"/>
            </w:tcBorders>
            <w:shd w:val="clear" w:color="auto" w:fill="67ED4D"/>
          </w:tcPr>
          <w:p>
            <w:pPr>
              <w:pStyle w:val="TableParagraph"/>
              <w:ind w:left="15"/>
              <w:rPr>
                <w:rFonts w:ascii="Calibri"/>
                <w:sz w:val="12"/>
              </w:rPr>
            </w:pPr>
            <w:r>
              <w:rPr>
                <w:rFonts w:ascii="Calibri"/>
                <w:w w:val="105"/>
                <w:sz w:val="12"/>
              </w:rPr>
              <w:t>1</w:t>
            </w:r>
          </w:p>
        </w:tc>
      </w:tr>
      <w:tr>
        <w:trPr>
          <w:trHeight w:val="162" w:hRule="exact"/>
        </w:trPr>
        <w:tc>
          <w:tcPr>
            <w:tcW w:w="619" w:type="dxa"/>
            <w:vMerge/>
            <w:tcBorders>
              <w:left w:val="single" w:sz="4" w:space="0" w:color="000000"/>
            </w:tcBorders>
          </w:tcPr>
          <w:p>
            <w:pPr/>
          </w:p>
        </w:tc>
        <w:tc>
          <w:tcPr>
            <w:tcW w:w="2074" w:type="dxa"/>
            <w:vMerge/>
          </w:tcPr>
          <w:p>
            <w:pPr/>
          </w:p>
        </w:tc>
        <w:tc>
          <w:tcPr>
            <w:tcW w:w="2101" w:type="dxa"/>
            <w:vMerge/>
          </w:tcPr>
          <w:p>
            <w:pPr/>
          </w:p>
        </w:tc>
        <w:tc>
          <w:tcPr>
            <w:tcW w:w="1773" w:type="dxa"/>
            <w:vMerge/>
          </w:tcPr>
          <w:p>
            <w:pPr/>
          </w:p>
        </w:tc>
        <w:tc>
          <w:tcPr>
            <w:tcW w:w="887" w:type="dxa"/>
            <w:vMerge/>
          </w:tcPr>
          <w:p>
            <w:pPr/>
          </w:p>
        </w:tc>
        <w:tc>
          <w:tcPr>
            <w:tcW w:w="685" w:type="dxa"/>
            <w:tcBorders>
              <w:right w:val="single" w:sz="4" w:space="0" w:color="FFFFFF"/>
            </w:tcBorders>
            <w:shd w:val="clear" w:color="auto" w:fill="FFFF00"/>
          </w:tcPr>
          <w:p>
            <w:pPr>
              <w:pStyle w:val="TableParagraph"/>
              <w:ind w:left="38" w:right="32"/>
              <w:rPr>
                <w:rFonts w:ascii="Calibri"/>
                <w:sz w:val="12"/>
              </w:rPr>
            </w:pPr>
            <w:r>
              <w:rPr>
                <w:rFonts w:ascii="Calibri"/>
                <w:w w:val="105"/>
                <w:sz w:val="12"/>
              </w:rPr>
              <w:t>2.9</w:t>
            </w:r>
          </w:p>
        </w:tc>
        <w:tc>
          <w:tcPr>
            <w:tcW w:w="683" w:type="dxa"/>
            <w:tcBorders>
              <w:left w:val="single" w:sz="4" w:space="0" w:color="FFFFFF"/>
              <w:right w:val="single" w:sz="8" w:space="0" w:color="000000"/>
            </w:tcBorders>
            <w:shd w:val="clear" w:color="auto" w:fill="67ED4D"/>
          </w:tcPr>
          <w:p>
            <w:pPr>
              <w:pStyle w:val="TableParagraph"/>
              <w:ind w:left="15"/>
              <w:rPr>
                <w:rFonts w:ascii="Calibri"/>
                <w:sz w:val="12"/>
              </w:rPr>
            </w:pPr>
            <w:r>
              <w:rPr>
                <w:rFonts w:ascii="Calibri"/>
                <w:w w:val="105"/>
                <w:sz w:val="12"/>
              </w:rPr>
              <w:t>4</w:t>
            </w:r>
          </w:p>
        </w:tc>
      </w:tr>
      <w:tr>
        <w:trPr>
          <w:trHeight w:val="147" w:hRule="exact"/>
        </w:trPr>
        <w:tc>
          <w:tcPr>
            <w:tcW w:w="8821" w:type="dxa"/>
            <w:gridSpan w:val="7"/>
            <w:tcBorders>
              <w:left w:val="single" w:sz="4" w:space="0" w:color="000000"/>
              <w:right w:val="single" w:sz="8" w:space="0" w:color="000000"/>
            </w:tcBorders>
          </w:tcPr>
          <w:p>
            <w:pPr/>
          </w:p>
        </w:tc>
      </w:tr>
      <w:tr>
        <w:trPr>
          <w:trHeight w:val="165" w:hRule="exact"/>
        </w:trPr>
        <w:tc>
          <w:tcPr>
            <w:tcW w:w="619" w:type="dxa"/>
            <w:tcBorders>
              <w:left w:val="single" w:sz="4" w:space="0" w:color="000000"/>
            </w:tcBorders>
          </w:tcPr>
          <w:p>
            <w:pPr/>
          </w:p>
        </w:tc>
        <w:tc>
          <w:tcPr>
            <w:tcW w:w="2074" w:type="dxa"/>
          </w:tcPr>
          <w:p>
            <w:pPr/>
          </w:p>
        </w:tc>
        <w:tc>
          <w:tcPr>
            <w:tcW w:w="2101" w:type="dxa"/>
          </w:tcPr>
          <w:p>
            <w:pPr>
              <w:pStyle w:val="TableParagraph"/>
              <w:spacing w:before="7"/>
              <w:ind w:left="121" w:right="745"/>
              <w:jc w:val="left"/>
              <w:rPr>
                <w:rFonts w:ascii="Calibri"/>
                <w:sz w:val="12"/>
              </w:rPr>
            </w:pPr>
            <w:r>
              <w:rPr>
                <w:rFonts w:ascii="Calibri"/>
                <w:w w:val="105"/>
                <w:sz w:val="12"/>
              </w:rPr>
              <w:t>Empleo</w:t>
            </w:r>
          </w:p>
        </w:tc>
        <w:tc>
          <w:tcPr>
            <w:tcW w:w="1773" w:type="dxa"/>
          </w:tcPr>
          <w:p>
            <w:pPr>
              <w:pStyle w:val="TableParagraph"/>
              <w:spacing w:before="7"/>
              <w:ind w:left="882" w:right="184"/>
              <w:rPr>
                <w:rFonts w:ascii="Calibri"/>
                <w:sz w:val="12"/>
              </w:rPr>
            </w:pPr>
            <w:r>
              <w:rPr>
                <w:rFonts w:ascii="Calibri"/>
                <w:w w:val="105"/>
                <w:sz w:val="12"/>
              </w:rPr>
              <w:t>0.6</w:t>
            </w:r>
          </w:p>
        </w:tc>
        <w:tc>
          <w:tcPr>
            <w:tcW w:w="887" w:type="dxa"/>
          </w:tcPr>
          <w:p>
            <w:pPr/>
          </w:p>
        </w:tc>
        <w:tc>
          <w:tcPr>
            <w:tcW w:w="685" w:type="dxa"/>
          </w:tcPr>
          <w:p>
            <w:pPr>
              <w:pStyle w:val="TableParagraph"/>
              <w:spacing w:before="7"/>
              <w:ind w:left="243" w:right="242"/>
              <w:rPr>
                <w:rFonts w:ascii="Calibri"/>
                <w:sz w:val="12"/>
              </w:rPr>
            </w:pPr>
            <w:r>
              <w:rPr>
                <w:rFonts w:ascii="Calibri"/>
                <w:w w:val="105"/>
                <w:sz w:val="12"/>
              </w:rPr>
              <w:t>0.8</w:t>
            </w:r>
          </w:p>
        </w:tc>
        <w:tc>
          <w:tcPr>
            <w:tcW w:w="683" w:type="dxa"/>
            <w:tcBorders>
              <w:right w:val="single" w:sz="8" w:space="0" w:color="000000"/>
            </w:tcBorders>
            <w:shd w:val="clear" w:color="auto" w:fill="67ED4D"/>
          </w:tcPr>
          <w:p>
            <w:pPr>
              <w:pStyle w:val="TableParagraph"/>
              <w:spacing w:before="7"/>
              <w:ind w:left="20"/>
              <w:rPr>
                <w:rFonts w:ascii="Calibri"/>
                <w:sz w:val="12"/>
              </w:rPr>
            </w:pPr>
            <w:r>
              <w:rPr>
                <w:rFonts w:ascii="Calibri"/>
                <w:w w:val="105"/>
                <w:sz w:val="12"/>
              </w:rPr>
              <w:t>1</w:t>
            </w:r>
          </w:p>
        </w:tc>
      </w:tr>
      <w:tr>
        <w:trPr>
          <w:trHeight w:val="158" w:hRule="exact"/>
        </w:trPr>
        <w:tc>
          <w:tcPr>
            <w:tcW w:w="619" w:type="dxa"/>
            <w:tcBorders>
              <w:left w:val="single" w:sz="4" w:space="0" w:color="000000"/>
            </w:tcBorders>
          </w:tcPr>
          <w:p>
            <w:pPr/>
          </w:p>
        </w:tc>
        <w:tc>
          <w:tcPr>
            <w:tcW w:w="2074" w:type="dxa"/>
          </w:tcPr>
          <w:p>
            <w:pPr/>
          </w:p>
        </w:tc>
        <w:tc>
          <w:tcPr>
            <w:tcW w:w="2101" w:type="dxa"/>
          </w:tcPr>
          <w:p>
            <w:pPr>
              <w:pStyle w:val="TableParagraph"/>
              <w:ind w:left="121" w:right="745"/>
              <w:jc w:val="left"/>
              <w:rPr>
                <w:rFonts w:ascii="Calibri" w:hAnsi="Calibri"/>
                <w:sz w:val="12"/>
              </w:rPr>
            </w:pPr>
            <w:r>
              <w:rPr>
                <w:rFonts w:ascii="Calibri" w:hAnsi="Calibri"/>
                <w:w w:val="105"/>
                <w:sz w:val="12"/>
              </w:rPr>
              <w:t>Educación</w:t>
            </w:r>
          </w:p>
        </w:tc>
        <w:tc>
          <w:tcPr>
            <w:tcW w:w="1773" w:type="dxa"/>
          </w:tcPr>
          <w:p>
            <w:pPr>
              <w:pStyle w:val="TableParagraph"/>
              <w:ind w:left="707"/>
              <w:rPr>
                <w:rFonts w:ascii="Calibri"/>
                <w:sz w:val="12"/>
              </w:rPr>
            </w:pPr>
            <w:r>
              <w:rPr>
                <w:rFonts w:ascii="Calibri"/>
                <w:w w:val="105"/>
                <w:sz w:val="12"/>
              </w:rPr>
              <w:t>1</w:t>
            </w:r>
          </w:p>
        </w:tc>
        <w:tc>
          <w:tcPr>
            <w:tcW w:w="887" w:type="dxa"/>
          </w:tcPr>
          <w:p>
            <w:pPr/>
          </w:p>
        </w:tc>
        <w:tc>
          <w:tcPr>
            <w:tcW w:w="685" w:type="dxa"/>
          </w:tcPr>
          <w:p>
            <w:pPr>
              <w:pStyle w:val="TableParagraph"/>
              <w:ind w:left="243" w:right="242"/>
              <w:rPr>
                <w:rFonts w:ascii="Calibri"/>
                <w:sz w:val="12"/>
              </w:rPr>
            </w:pPr>
            <w:r>
              <w:rPr>
                <w:rFonts w:ascii="Calibri"/>
                <w:w w:val="105"/>
                <w:sz w:val="12"/>
              </w:rPr>
              <w:t>0.7</w:t>
            </w:r>
          </w:p>
        </w:tc>
        <w:tc>
          <w:tcPr>
            <w:tcW w:w="683" w:type="dxa"/>
            <w:tcBorders>
              <w:right w:val="single" w:sz="8" w:space="0" w:color="000000"/>
            </w:tcBorders>
            <w:shd w:val="clear" w:color="auto" w:fill="67ED4D"/>
          </w:tcPr>
          <w:p>
            <w:pPr>
              <w:pStyle w:val="TableParagraph"/>
              <w:ind w:left="20"/>
              <w:rPr>
                <w:rFonts w:ascii="Calibri"/>
                <w:sz w:val="12"/>
              </w:rPr>
            </w:pPr>
            <w:r>
              <w:rPr>
                <w:rFonts w:ascii="Calibri"/>
                <w:w w:val="105"/>
                <w:sz w:val="12"/>
              </w:rPr>
              <w:t>1</w:t>
            </w:r>
          </w:p>
        </w:tc>
      </w:tr>
      <w:tr>
        <w:trPr>
          <w:trHeight w:val="158" w:hRule="exact"/>
        </w:trPr>
        <w:tc>
          <w:tcPr>
            <w:tcW w:w="619" w:type="dxa"/>
            <w:tcBorders>
              <w:left w:val="single" w:sz="4" w:space="0" w:color="000000"/>
            </w:tcBorders>
          </w:tcPr>
          <w:p>
            <w:pPr/>
          </w:p>
        </w:tc>
        <w:tc>
          <w:tcPr>
            <w:tcW w:w="2074" w:type="dxa"/>
          </w:tcPr>
          <w:p>
            <w:pPr/>
          </w:p>
        </w:tc>
        <w:tc>
          <w:tcPr>
            <w:tcW w:w="2101" w:type="dxa"/>
          </w:tcPr>
          <w:p>
            <w:pPr>
              <w:pStyle w:val="TableParagraph"/>
              <w:ind w:left="121" w:right="745"/>
              <w:jc w:val="left"/>
              <w:rPr>
                <w:rFonts w:ascii="Calibri"/>
                <w:sz w:val="12"/>
              </w:rPr>
            </w:pPr>
            <w:r>
              <w:rPr>
                <w:rFonts w:ascii="Calibri"/>
                <w:w w:val="105"/>
                <w:sz w:val="12"/>
              </w:rPr>
              <w:t>Salud</w:t>
            </w:r>
          </w:p>
        </w:tc>
        <w:tc>
          <w:tcPr>
            <w:tcW w:w="1773" w:type="dxa"/>
          </w:tcPr>
          <w:p>
            <w:pPr>
              <w:pStyle w:val="TableParagraph"/>
              <w:ind w:left="882" w:right="184"/>
              <w:rPr>
                <w:rFonts w:ascii="Calibri"/>
                <w:sz w:val="12"/>
              </w:rPr>
            </w:pPr>
            <w:r>
              <w:rPr>
                <w:rFonts w:ascii="Calibri"/>
                <w:w w:val="105"/>
                <w:sz w:val="12"/>
              </w:rPr>
              <w:t>0.7</w:t>
            </w:r>
          </w:p>
        </w:tc>
        <w:tc>
          <w:tcPr>
            <w:tcW w:w="887" w:type="dxa"/>
          </w:tcPr>
          <w:p>
            <w:pPr/>
          </w:p>
        </w:tc>
        <w:tc>
          <w:tcPr>
            <w:tcW w:w="685" w:type="dxa"/>
          </w:tcPr>
          <w:p>
            <w:pPr>
              <w:pStyle w:val="TableParagraph"/>
              <w:ind w:left="243" w:right="242"/>
              <w:rPr>
                <w:rFonts w:ascii="Calibri"/>
                <w:sz w:val="12"/>
              </w:rPr>
            </w:pPr>
            <w:r>
              <w:rPr>
                <w:rFonts w:ascii="Calibri"/>
                <w:w w:val="105"/>
                <w:sz w:val="12"/>
              </w:rPr>
              <w:t>0.9</w:t>
            </w:r>
          </w:p>
        </w:tc>
        <w:tc>
          <w:tcPr>
            <w:tcW w:w="683" w:type="dxa"/>
            <w:tcBorders>
              <w:right w:val="single" w:sz="8" w:space="0" w:color="000000"/>
            </w:tcBorders>
            <w:shd w:val="clear" w:color="auto" w:fill="67ED4D"/>
          </w:tcPr>
          <w:p>
            <w:pPr>
              <w:pStyle w:val="TableParagraph"/>
              <w:ind w:left="20"/>
              <w:rPr>
                <w:rFonts w:ascii="Calibri"/>
                <w:sz w:val="12"/>
              </w:rPr>
            </w:pPr>
            <w:r>
              <w:rPr>
                <w:rFonts w:ascii="Calibri"/>
                <w:w w:val="105"/>
                <w:sz w:val="12"/>
              </w:rPr>
              <w:t>1</w:t>
            </w:r>
          </w:p>
        </w:tc>
      </w:tr>
      <w:tr>
        <w:trPr>
          <w:trHeight w:val="316" w:hRule="exact"/>
        </w:trPr>
        <w:tc>
          <w:tcPr>
            <w:tcW w:w="619" w:type="dxa"/>
            <w:tcBorders>
              <w:left w:val="single" w:sz="4" w:space="0" w:color="000000"/>
            </w:tcBorders>
          </w:tcPr>
          <w:p>
            <w:pPr/>
          </w:p>
        </w:tc>
        <w:tc>
          <w:tcPr>
            <w:tcW w:w="2074" w:type="dxa"/>
          </w:tcPr>
          <w:p>
            <w:pPr>
              <w:pStyle w:val="TableParagraph"/>
              <w:spacing w:before="73"/>
              <w:ind w:left="91"/>
              <w:jc w:val="left"/>
              <w:rPr>
                <w:rFonts w:ascii="Calibri"/>
                <w:sz w:val="12"/>
              </w:rPr>
            </w:pPr>
            <w:r>
              <w:rPr>
                <w:rFonts w:ascii="Calibri"/>
                <w:w w:val="105"/>
                <w:sz w:val="12"/>
              </w:rPr>
              <w:t>Oportunidades urbanas</w:t>
            </w:r>
          </w:p>
        </w:tc>
        <w:tc>
          <w:tcPr>
            <w:tcW w:w="2101" w:type="dxa"/>
          </w:tcPr>
          <w:p>
            <w:pPr>
              <w:pStyle w:val="TableParagraph"/>
              <w:spacing w:line="259" w:lineRule="auto"/>
              <w:ind w:left="121" w:right="1447"/>
              <w:jc w:val="left"/>
              <w:rPr>
                <w:rFonts w:ascii="Calibri"/>
                <w:sz w:val="12"/>
              </w:rPr>
            </w:pPr>
            <w:r>
              <w:rPr>
                <w:rFonts w:ascii="Calibri"/>
                <w:w w:val="105"/>
                <w:sz w:val="12"/>
              </w:rPr>
              <w:t>Seguridad Abasto</w:t>
            </w:r>
          </w:p>
        </w:tc>
        <w:tc>
          <w:tcPr>
            <w:tcW w:w="1773" w:type="dxa"/>
          </w:tcPr>
          <w:p>
            <w:pPr>
              <w:pStyle w:val="TableParagraph"/>
              <w:ind w:left="1155"/>
              <w:jc w:val="left"/>
              <w:rPr>
                <w:rFonts w:ascii="Calibri"/>
                <w:sz w:val="12"/>
              </w:rPr>
            </w:pPr>
            <w:r>
              <w:rPr>
                <w:rFonts w:ascii="Calibri"/>
                <w:w w:val="105"/>
                <w:sz w:val="12"/>
              </w:rPr>
              <w:t>0.9</w:t>
            </w:r>
          </w:p>
          <w:p>
            <w:pPr>
              <w:pStyle w:val="TableParagraph"/>
              <w:spacing w:before="11"/>
              <w:ind w:left="1155"/>
              <w:jc w:val="left"/>
              <w:rPr>
                <w:rFonts w:ascii="Calibri"/>
                <w:sz w:val="12"/>
              </w:rPr>
            </w:pPr>
            <w:r>
              <w:rPr>
                <w:rFonts w:ascii="Calibri"/>
                <w:w w:val="105"/>
                <w:sz w:val="12"/>
              </w:rPr>
              <w:t>0.9</w:t>
            </w:r>
          </w:p>
        </w:tc>
        <w:tc>
          <w:tcPr>
            <w:tcW w:w="887" w:type="dxa"/>
          </w:tcPr>
          <w:p>
            <w:pPr/>
          </w:p>
        </w:tc>
        <w:tc>
          <w:tcPr>
            <w:tcW w:w="685" w:type="dxa"/>
          </w:tcPr>
          <w:p>
            <w:pPr>
              <w:pStyle w:val="TableParagraph"/>
              <w:ind w:left="243" w:right="242"/>
              <w:rPr>
                <w:rFonts w:ascii="Calibri"/>
                <w:sz w:val="12"/>
              </w:rPr>
            </w:pPr>
            <w:r>
              <w:rPr>
                <w:rFonts w:ascii="Calibri"/>
                <w:w w:val="105"/>
                <w:sz w:val="12"/>
              </w:rPr>
              <w:t>0.9</w:t>
            </w:r>
          </w:p>
          <w:p>
            <w:pPr>
              <w:pStyle w:val="TableParagraph"/>
              <w:spacing w:before="11"/>
              <w:ind w:left="243" w:right="242"/>
              <w:rPr>
                <w:rFonts w:ascii="Calibri"/>
                <w:sz w:val="12"/>
              </w:rPr>
            </w:pPr>
            <w:r>
              <w:rPr>
                <w:rFonts w:ascii="Calibri"/>
                <w:w w:val="105"/>
                <w:sz w:val="12"/>
              </w:rPr>
              <w:t>0.9</w:t>
            </w:r>
          </w:p>
        </w:tc>
        <w:tc>
          <w:tcPr>
            <w:tcW w:w="683" w:type="dxa"/>
            <w:tcBorders>
              <w:right w:val="single" w:sz="8" w:space="0" w:color="000000"/>
            </w:tcBorders>
            <w:shd w:val="clear" w:color="auto" w:fill="67ED4D"/>
          </w:tcPr>
          <w:p>
            <w:pPr>
              <w:pStyle w:val="TableParagraph"/>
              <w:ind w:left="20"/>
              <w:rPr>
                <w:rFonts w:ascii="Calibri"/>
                <w:sz w:val="12"/>
              </w:rPr>
            </w:pPr>
            <w:r>
              <w:rPr>
                <w:rFonts w:ascii="Calibri"/>
                <w:w w:val="105"/>
                <w:sz w:val="12"/>
              </w:rPr>
              <w:t>1</w:t>
            </w:r>
          </w:p>
          <w:p>
            <w:pPr>
              <w:pStyle w:val="TableParagraph"/>
              <w:spacing w:before="11"/>
              <w:ind w:left="20"/>
              <w:rPr>
                <w:rFonts w:ascii="Calibri"/>
                <w:sz w:val="12"/>
              </w:rPr>
            </w:pPr>
            <w:r>
              <w:rPr>
                <w:rFonts w:ascii="Calibri"/>
                <w:w w:val="105"/>
                <w:sz w:val="12"/>
              </w:rPr>
              <w:t>1</w:t>
            </w:r>
          </w:p>
        </w:tc>
      </w:tr>
      <w:tr>
        <w:trPr>
          <w:trHeight w:val="158" w:hRule="exact"/>
        </w:trPr>
        <w:tc>
          <w:tcPr>
            <w:tcW w:w="619" w:type="dxa"/>
            <w:tcBorders>
              <w:left w:val="single" w:sz="4" w:space="0" w:color="000000"/>
            </w:tcBorders>
          </w:tcPr>
          <w:p>
            <w:pPr/>
          </w:p>
        </w:tc>
        <w:tc>
          <w:tcPr>
            <w:tcW w:w="2074" w:type="dxa"/>
          </w:tcPr>
          <w:p>
            <w:pPr/>
          </w:p>
        </w:tc>
        <w:tc>
          <w:tcPr>
            <w:tcW w:w="2101" w:type="dxa"/>
          </w:tcPr>
          <w:p>
            <w:pPr>
              <w:pStyle w:val="TableParagraph"/>
              <w:ind w:left="121" w:right="745"/>
              <w:jc w:val="left"/>
              <w:rPr>
                <w:rFonts w:ascii="Calibri"/>
                <w:sz w:val="12"/>
              </w:rPr>
            </w:pPr>
            <w:r>
              <w:rPr>
                <w:rFonts w:ascii="Calibri"/>
                <w:w w:val="105"/>
                <w:sz w:val="12"/>
              </w:rPr>
              <w:t>Transporte</w:t>
            </w:r>
          </w:p>
        </w:tc>
        <w:tc>
          <w:tcPr>
            <w:tcW w:w="1773" w:type="dxa"/>
          </w:tcPr>
          <w:p>
            <w:pPr>
              <w:pStyle w:val="TableParagraph"/>
              <w:ind w:left="882" w:right="184"/>
              <w:rPr>
                <w:rFonts w:ascii="Calibri"/>
                <w:sz w:val="12"/>
              </w:rPr>
            </w:pPr>
            <w:r>
              <w:rPr>
                <w:rFonts w:ascii="Calibri"/>
                <w:w w:val="105"/>
                <w:sz w:val="12"/>
              </w:rPr>
              <w:t>0.3</w:t>
            </w:r>
          </w:p>
        </w:tc>
        <w:tc>
          <w:tcPr>
            <w:tcW w:w="887" w:type="dxa"/>
          </w:tcPr>
          <w:p>
            <w:pPr/>
          </w:p>
        </w:tc>
        <w:tc>
          <w:tcPr>
            <w:tcW w:w="685" w:type="dxa"/>
          </w:tcPr>
          <w:p>
            <w:pPr>
              <w:pStyle w:val="TableParagraph"/>
              <w:ind w:left="243" w:right="242"/>
              <w:rPr>
                <w:rFonts w:ascii="Calibri"/>
                <w:sz w:val="12"/>
              </w:rPr>
            </w:pPr>
            <w:r>
              <w:rPr>
                <w:rFonts w:ascii="Calibri"/>
                <w:w w:val="105"/>
                <w:sz w:val="12"/>
              </w:rPr>
              <w:t>0.6</w:t>
            </w:r>
          </w:p>
        </w:tc>
        <w:tc>
          <w:tcPr>
            <w:tcW w:w="683" w:type="dxa"/>
            <w:tcBorders>
              <w:right w:val="single" w:sz="8" w:space="0" w:color="000000"/>
            </w:tcBorders>
            <w:shd w:val="clear" w:color="auto" w:fill="67ED4D"/>
          </w:tcPr>
          <w:p>
            <w:pPr>
              <w:pStyle w:val="TableParagraph"/>
              <w:ind w:left="20"/>
              <w:rPr>
                <w:rFonts w:ascii="Calibri"/>
                <w:sz w:val="12"/>
              </w:rPr>
            </w:pPr>
            <w:r>
              <w:rPr>
                <w:rFonts w:ascii="Calibri"/>
                <w:w w:val="105"/>
                <w:sz w:val="12"/>
              </w:rPr>
              <w:t>1</w:t>
            </w:r>
          </w:p>
        </w:tc>
      </w:tr>
      <w:tr>
        <w:trPr>
          <w:trHeight w:val="158" w:hRule="exact"/>
        </w:trPr>
        <w:tc>
          <w:tcPr>
            <w:tcW w:w="619" w:type="dxa"/>
            <w:tcBorders>
              <w:left w:val="single" w:sz="4" w:space="0" w:color="000000"/>
            </w:tcBorders>
          </w:tcPr>
          <w:p>
            <w:pPr>
              <w:pStyle w:val="TableParagraph"/>
              <w:ind w:left="132" w:right="71"/>
              <w:rPr>
                <w:rFonts w:ascii="Calibri"/>
                <w:sz w:val="12"/>
              </w:rPr>
            </w:pPr>
            <w:r>
              <w:rPr>
                <w:rFonts w:ascii="Calibri"/>
                <w:w w:val="105"/>
                <w:sz w:val="12"/>
              </w:rPr>
              <w:t>Social</w:t>
            </w:r>
          </w:p>
        </w:tc>
        <w:tc>
          <w:tcPr>
            <w:tcW w:w="2074" w:type="dxa"/>
          </w:tcPr>
          <w:p>
            <w:pPr/>
          </w:p>
        </w:tc>
        <w:tc>
          <w:tcPr>
            <w:tcW w:w="2101" w:type="dxa"/>
          </w:tcPr>
          <w:p>
            <w:pPr>
              <w:pStyle w:val="TableParagraph"/>
              <w:ind w:left="121" w:right="745"/>
              <w:jc w:val="left"/>
              <w:rPr>
                <w:rFonts w:ascii="Calibri" w:hAnsi="Calibri"/>
                <w:sz w:val="12"/>
              </w:rPr>
            </w:pPr>
            <w:r>
              <w:rPr>
                <w:rFonts w:ascii="Calibri" w:hAnsi="Calibri"/>
                <w:w w:val="105"/>
                <w:sz w:val="12"/>
              </w:rPr>
              <w:t>Recreación</w:t>
            </w:r>
          </w:p>
        </w:tc>
        <w:tc>
          <w:tcPr>
            <w:tcW w:w="1773" w:type="dxa"/>
          </w:tcPr>
          <w:p>
            <w:pPr>
              <w:pStyle w:val="TableParagraph"/>
              <w:ind w:left="882" w:right="184"/>
              <w:rPr>
                <w:rFonts w:ascii="Calibri"/>
                <w:sz w:val="12"/>
              </w:rPr>
            </w:pPr>
            <w:r>
              <w:rPr>
                <w:rFonts w:ascii="Calibri"/>
                <w:w w:val="105"/>
                <w:sz w:val="12"/>
              </w:rPr>
              <w:t>0.9</w:t>
            </w:r>
          </w:p>
        </w:tc>
        <w:tc>
          <w:tcPr>
            <w:tcW w:w="887" w:type="dxa"/>
          </w:tcPr>
          <w:p>
            <w:pPr/>
          </w:p>
        </w:tc>
        <w:tc>
          <w:tcPr>
            <w:tcW w:w="685" w:type="dxa"/>
          </w:tcPr>
          <w:p>
            <w:pPr>
              <w:pStyle w:val="TableParagraph"/>
              <w:ind w:left="243" w:right="242"/>
              <w:rPr>
                <w:rFonts w:ascii="Calibri"/>
                <w:sz w:val="12"/>
              </w:rPr>
            </w:pPr>
            <w:r>
              <w:rPr>
                <w:rFonts w:ascii="Calibri"/>
                <w:w w:val="105"/>
                <w:sz w:val="12"/>
              </w:rPr>
              <w:t>0.8</w:t>
            </w:r>
          </w:p>
        </w:tc>
        <w:tc>
          <w:tcPr>
            <w:tcW w:w="683" w:type="dxa"/>
            <w:tcBorders>
              <w:right w:val="single" w:sz="8" w:space="0" w:color="000000"/>
            </w:tcBorders>
            <w:shd w:val="clear" w:color="auto" w:fill="67ED4D"/>
          </w:tcPr>
          <w:p>
            <w:pPr>
              <w:pStyle w:val="TableParagraph"/>
              <w:ind w:left="20"/>
              <w:rPr>
                <w:rFonts w:ascii="Calibri"/>
                <w:sz w:val="12"/>
              </w:rPr>
            </w:pPr>
            <w:r>
              <w:rPr>
                <w:rFonts w:ascii="Calibri"/>
                <w:w w:val="105"/>
                <w:sz w:val="12"/>
              </w:rPr>
              <w:t>1</w:t>
            </w:r>
          </w:p>
        </w:tc>
      </w:tr>
      <w:tr>
        <w:trPr>
          <w:trHeight w:val="156" w:hRule="exact"/>
        </w:trPr>
        <w:tc>
          <w:tcPr>
            <w:tcW w:w="619" w:type="dxa"/>
            <w:tcBorders>
              <w:left w:val="single" w:sz="4" w:space="0" w:color="000000"/>
            </w:tcBorders>
          </w:tcPr>
          <w:p>
            <w:pPr/>
          </w:p>
        </w:tc>
        <w:tc>
          <w:tcPr>
            <w:tcW w:w="2074" w:type="dxa"/>
          </w:tcPr>
          <w:p>
            <w:pPr/>
          </w:p>
        </w:tc>
        <w:tc>
          <w:tcPr>
            <w:tcW w:w="2101" w:type="dxa"/>
          </w:tcPr>
          <w:p>
            <w:pPr>
              <w:pStyle w:val="TableParagraph"/>
              <w:ind w:left="121"/>
              <w:jc w:val="left"/>
              <w:rPr>
                <w:rFonts w:ascii="Calibri"/>
                <w:sz w:val="12"/>
              </w:rPr>
            </w:pPr>
            <w:r>
              <w:rPr>
                <w:rFonts w:ascii="Calibri"/>
                <w:w w:val="105"/>
                <w:sz w:val="12"/>
              </w:rPr>
              <w:t>Servicios especializados</w:t>
            </w:r>
          </w:p>
        </w:tc>
        <w:tc>
          <w:tcPr>
            <w:tcW w:w="1773" w:type="dxa"/>
          </w:tcPr>
          <w:p>
            <w:pPr>
              <w:pStyle w:val="TableParagraph"/>
              <w:ind w:left="882" w:right="184"/>
              <w:rPr>
                <w:rFonts w:ascii="Calibri"/>
                <w:sz w:val="12"/>
              </w:rPr>
            </w:pPr>
            <w:r>
              <w:rPr>
                <w:rFonts w:ascii="Calibri"/>
                <w:w w:val="105"/>
                <w:sz w:val="12"/>
              </w:rPr>
              <w:t>0.6</w:t>
            </w:r>
          </w:p>
        </w:tc>
        <w:tc>
          <w:tcPr>
            <w:tcW w:w="887" w:type="dxa"/>
          </w:tcPr>
          <w:p>
            <w:pPr/>
          </w:p>
        </w:tc>
        <w:tc>
          <w:tcPr>
            <w:tcW w:w="685" w:type="dxa"/>
          </w:tcPr>
          <w:p>
            <w:pPr>
              <w:pStyle w:val="TableParagraph"/>
              <w:ind w:left="243" w:right="242"/>
              <w:rPr>
                <w:rFonts w:ascii="Calibri"/>
                <w:sz w:val="12"/>
              </w:rPr>
            </w:pPr>
            <w:r>
              <w:rPr>
                <w:rFonts w:ascii="Calibri"/>
                <w:w w:val="105"/>
                <w:sz w:val="12"/>
              </w:rPr>
              <w:t>0.7</w:t>
            </w:r>
          </w:p>
        </w:tc>
        <w:tc>
          <w:tcPr>
            <w:tcW w:w="683" w:type="dxa"/>
            <w:tcBorders>
              <w:right w:val="single" w:sz="8" w:space="0" w:color="000000"/>
            </w:tcBorders>
            <w:shd w:val="clear" w:color="auto" w:fill="67ED4D"/>
          </w:tcPr>
          <w:p>
            <w:pPr>
              <w:pStyle w:val="TableParagraph"/>
              <w:ind w:left="20"/>
              <w:rPr>
                <w:rFonts w:ascii="Calibri"/>
                <w:sz w:val="12"/>
              </w:rPr>
            </w:pPr>
            <w:r>
              <w:rPr>
                <w:rFonts w:ascii="Calibri"/>
                <w:w w:val="105"/>
                <w:sz w:val="12"/>
              </w:rPr>
              <w:t>1</w:t>
            </w:r>
          </w:p>
        </w:tc>
      </w:tr>
      <w:tr>
        <w:trPr>
          <w:trHeight w:val="163" w:hRule="exact"/>
        </w:trPr>
        <w:tc>
          <w:tcPr>
            <w:tcW w:w="619" w:type="dxa"/>
            <w:tcBorders>
              <w:left w:val="single" w:sz="4" w:space="0" w:color="000000"/>
            </w:tcBorders>
          </w:tcPr>
          <w:p>
            <w:pPr/>
          </w:p>
        </w:tc>
        <w:tc>
          <w:tcPr>
            <w:tcW w:w="2074" w:type="dxa"/>
          </w:tcPr>
          <w:p>
            <w:pPr/>
          </w:p>
        </w:tc>
        <w:tc>
          <w:tcPr>
            <w:tcW w:w="2101" w:type="dxa"/>
          </w:tcPr>
          <w:p>
            <w:pPr/>
          </w:p>
        </w:tc>
        <w:tc>
          <w:tcPr>
            <w:tcW w:w="1773" w:type="dxa"/>
          </w:tcPr>
          <w:p>
            <w:pPr>
              <w:pStyle w:val="TableParagraph"/>
              <w:spacing w:before="1"/>
              <w:ind w:left="880" w:right="184"/>
              <w:rPr>
                <w:rFonts w:ascii="Calibri"/>
                <w:sz w:val="12"/>
              </w:rPr>
            </w:pPr>
            <w:r>
              <w:rPr>
                <w:rFonts w:ascii="Calibri"/>
                <w:w w:val="105"/>
                <w:sz w:val="12"/>
              </w:rPr>
              <w:t>Subtotal</w:t>
            </w:r>
          </w:p>
        </w:tc>
        <w:tc>
          <w:tcPr>
            <w:tcW w:w="887" w:type="dxa"/>
          </w:tcPr>
          <w:p>
            <w:pPr>
              <w:pStyle w:val="TableParagraph"/>
              <w:tabs>
                <w:tab w:pos="466"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5.9</w:t>
            </w:r>
            <w:r>
              <w:rPr>
                <w:rFonts w:ascii="Calibri"/>
                <w:sz w:val="12"/>
                <w:shd w:fill="F79646" w:color="auto" w:val="clear"/>
              </w:rPr>
              <w:tab/>
            </w:r>
          </w:p>
        </w:tc>
        <w:tc>
          <w:tcPr>
            <w:tcW w:w="685" w:type="dxa"/>
          </w:tcPr>
          <w:p>
            <w:pPr>
              <w:pStyle w:val="TableParagraph"/>
              <w:spacing w:before="1"/>
              <w:ind w:left="243" w:right="242"/>
              <w:rPr>
                <w:rFonts w:ascii="Calibri"/>
                <w:sz w:val="12"/>
              </w:rPr>
            </w:pPr>
            <w:r>
              <w:rPr>
                <w:rFonts w:ascii="Calibri"/>
                <w:w w:val="105"/>
                <w:sz w:val="12"/>
              </w:rPr>
              <w:t>6.3</w:t>
            </w:r>
          </w:p>
        </w:tc>
        <w:tc>
          <w:tcPr>
            <w:tcW w:w="683" w:type="dxa"/>
            <w:tcBorders>
              <w:right w:val="single" w:sz="8" w:space="0" w:color="000000"/>
            </w:tcBorders>
            <w:shd w:val="clear" w:color="auto" w:fill="67ED4D"/>
          </w:tcPr>
          <w:p>
            <w:pPr>
              <w:pStyle w:val="TableParagraph"/>
              <w:spacing w:before="1"/>
              <w:ind w:left="20"/>
              <w:rPr>
                <w:rFonts w:ascii="Calibri"/>
                <w:sz w:val="12"/>
              </w:rPr>
            </w:pPr>
            <w:r>
              <w:rPr>
                <w:rFonts w:ascii="Calibri"/>
                <w:w w:val="105"/>
                <w:sz w:val="12"/>
              </w:rPr>
              <w:t>8</w:t>
            </w:r>
          </w:p>
        </w:tc>
      </w:tr>
      <w:tr>
        <w:trPr>
          <w:trHeight w:val="147" w:hRule="exact"/>
        </w:trPr>
        <w:tc>
          <w:tcPr>
            <w:tcW w:w="8821" w:type="dxa"/>
            <w:gridSpan w:val="7"/>
            <w:tcBorders>
              <w:left w:val="single" w:sz="4" w:space="0" w:color="000000"/>
              <w:right w:val="single" w:sz="8" w:space="0" w:color="000000"/>
            </w:tcBorders>
          </w:tcPr>
          <w:p>
            <w:pPr/>
          </w:p>
        </w:tc>
      </w:tr>
      <w:tr>
        <w:trPr>
          <w:trHeight w:val="163" w:hRule="exact"/>
        </w:trPr>
        <w:tc>
          <w:tcPr>
            <w:tcW w:w="619" w:type="dxa"/>
            <w:tcBorders>
              <w:left w:val="single" w:sz="4" w:space="0" w:color="000000"/>
            </w:tcBorders>
          </w:tcPr>
          <w:p>
            <w:pPr/>
          </w:p>
        </w:tc>
        <w:tc>
          <w:tcPr>
            <w:tcW w:w="2074" w:type="dxa"/>
          </w:tcPr>
          <w:p>
            <w:pPr>
              <w:pStyle w:val="TableParagraph"/>
              <w:spacing w:before="7"/>
              <w:ind w:left="91"/>
              <w:jc w:val="left"/>
              <w:rPr>
                <w:rFonts w:ascii="Calibri" w:hAnsi="Calibri"/>
                <w:sz w:val="12"/>
              </w:rPr>
            </w:pPr>
            <w:r>
              <w:rPr>
                <w:rFonts w:ascii="Calibri" w:hAnsi="Calibri"/>
                <w:w w:val="105"/>
                <w:sz w:val="12"/>
              </w:rPr>
              <w:t>Organización vecinal</w:t>
            </w:r>
          </w:p>
        </w:tc>
        <w:tc>
          <w:tcPr>
            <w:tcW w:w="2101" w:type="dxa"/>
          </w:tcPr>
          <w:p>
            <w:pPr>
              <w:pStyle w:val="TableParagraph"/>
              <w:spacing w:before="7"/>
              <w:ind w:left="121"/>
              <w:jc w:val="left"/>
              <w:rPr>
                <w:rFonts w:ascii="Calibri" w:hAnsi="Calibri"/>
                <w:sz w:val="12"/>
              </w:rPr>
            </w:pPr>
            <w:r>
              <w:rPr>
                <w:rFonts w:ascii="Calibri" w:hAnsi="Calibri"/>
                <w:w w:val="105"/>
                <w:sz w:val="12"/>
              </w:rPr>
              <w:t>Administración ciudadana</w:t>
            </w:r>
          </w:p>
        </w:tc>
        <w:tc>
          <w:tcPr>
            <w:tcW w:w="1773" w:type="dxa"/>
          </w:tcPr>
          <w:p>
            <w:pPr>
              <w:pStyle w:val="TableParagraph"/>
              <w:tabs>
                <w:tab w:pos="1208" w:val="left" w:leader="none"/>
                <w:tab w:pos="1987" w:val="left" w:leader="none"/>
              </w:tabs>
              <w:spacing w:before="7"/>
              <w:ind w:left="482" w:right="-214"/>
              <w:rPr>
                <w:rFonts w:ascii="Calibri"/>
                <w:sz w:val="12"/>
              </w:rPr>
            </w:pPr>
            <w:r>
              <w:rPr>
                <w:rFonts w:ascii="Times New Roman"/>
                <w:w w:val="105"/>
                <w:sz w:val="12"/>
                <w:shd w:fill="BAF9F5" w:color="auto" w:val="clear"/>
              </w:rPr>
              <w:t> </w:t>
            </w:r>
            <w:r>
              <w:rPr>
                <w:rFonts w:ascii="Times New Roman"/>
                <w:sz w:val="12"/>
                <w:shd w:fill="BAF9F5" w:color="auto" w:val="clear"/>
              </w:rPr>
              <w:tab/>
            </w:r>
            <w:r>
              <w:rPr>
                <w:rFonts w:ascii="Calibri"/>
                <w:w w:val="105"/>
                <w:sz w:val="12"/>
                <w:shd w:fill="BAF9F5" w:color="auto" w:val="clear"/>
              </w:rPr>
              <w:t>1</w:t>
            </w:r>
            <w:r>
              <w:rPr>
                <w:rFonts w:ascii="Calibri"/>
                <w:sz w:val="12"/>
                <w:shd w:fill="BAF9F5" w:color="auto" w:val="clear"/>
              </w:rPr>
              <w:tab/>
            </w:r>
          </w:p>
        </w:tc>
        <w:tc>
          <w:tcPr>
            <w:tcW w:w="887" w:type="dxa"/>
          </w:tcPr>
          <w:p>
            <w:pPr/>
          </w:p>
        </w:tc>
        <w:tc>
          <w:tcPr>
            <w:tcW w:w="685" w:type="dxa"/>
          </w:tcPr>
          <w:p>
            <w:pPr>
              <w:pStyle w:val="TableParagraph"/>
              <w:spacing w:before="7"/>
              <w:ind w:left="243" w:right="242"/>
              <w:rPr>
                <w:rFonts w:ascii="Calibri"/>
                <w:sz w:val="12"/>
              </w:rPr>
            </w:pPr>
            <w:r>
              <w:rPr>
                <w:rFonts w:ascii="Calibri"/>
                <w:w w:val="105"/>
                <w:sz w:val="12"/>
              </w:rPr>
              <w:t>0.8</w:t>
            </w:r>
          </w:p>
        </w:tc>
        <w:tc>
          <w:tcPr>
            <w:tcW w:w="683" w:type="dxa"/>
            <w:tcBorders>
              <w:right w:val="single" w:sz="8" w:space="0" w:color="000000"/>
            </w:tcBorders>
            <w:shd w:val="clear" w:color="auto" w:fill="67ED4D"/>
          </w:tcPr>
          <w:p>
            <w:pPr>
              <w:pStyle w:val="TableParagraph"/>
              <w:spacing w:before="7"/>
              <w:ind w:left="20"/>
              <w:rPr>
                <w:rFonts w:ascii="Calibri"/>
                <w:sz w:val="12"/>
              </w:rPr>
            </w:pPr>
            <w:r>
              <w:rPr>
                <w:rFonts w:ascii="Calibri"/>
                <w:w w:val="105"/>
                <w:sz w:val="12"/>
              </w:rPr>
              <w:t>1</w:t>
            </w:r>
          </w:p>
        </w:tc>
      </w:tr>
      <w:tr>
        <w:trPr>
          <w:trHeight w:val="163" w:hRule="exact"/>
        </w:trPr>
        <w:tc>
          <w:tcPr>
            <w:tcW w:w="619" w:type="dxa"/>
            <w:tcBorders>
              <w:left w:val="single" w:sz="4" w:space="0" w:color="000000"/>
            </w:tcBorders>
          </w:tcPr>
          <w:p>
            <w:pPr/>
          </w:p>
        </w:tc>
        <w:tc>
          <w:tcPr>
            <w:tcW w:w="2074" w:type="dxa"/>
          </w:tcPr>
          <w:p>
            <w:pPr/>
          </w:p>
        </w:tc>
        <w:tc>
          <w:tcPr>
            <w:tcW w:w="2101" w:type="dxa"/>
          </w:tcPr>
          <w:p>
            <w:pPr/>
          </w:p>
        </w:tc>
        <w:tc>
          <w:tcPr>
            <w:tcW w:w="1773" w:type="dxa"/>
          </w:tcPr>
          <w:p>
            <w:pPr>
              <w:pStyle w:val="TableParagraph"/>
              <w:spacing w:before="1"/>
              <w:ind w:left="880" w:right="184"/>
              <w:rPr>
                <w:rFonts w:ascii="Calibri"/>
                <w:sz w:val="12"/>
              </w:rPr>
            </w:pPr>
            <w:r>
              <w:rPr>
                <w:rFonts w:ascii="Calibri"/>
                <w:w w:val="105"/>
                <w:sz w:val="12"/>
              </w:rPr>
              <w:t>Subtotal</w:t>
            </w:r>
          </w:p>
        </w:tc>
        <w:tc>
          <w:tcPr>
            <w:tcW w:w="887" w:type="dxa"/>
          </w:tcPr>
          <w:p>
            <w:pPr>
              <w:pStyle w:val="TableParagraph"/>
              <w:tabs>
                <w:tab w:pos="518"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1</w:t>
            </w:r>
            <w:r>
              <w:rPr>
                <w:rFonts w:ascii="Calibri"/>
                <w:sz w:val="12"/>
                <w:shd w:fill="F79646" w:color="auto" w:val="clear"/>
              </w:rPr>
              <w:tab/>
            </w:r>
          </w:p>
        </w:tc>
        <w:tc>
          <w:tcPr>
            <w:tcW w:w="685" w:type="dxa"/>
          </w:tcPr>
          <w:p>
            <w:pPr>
              <w:pStyle w:val="TableParagraph"/>
              <w:spacing w:before="1"/>
              <w:ind w:left="243" w:right="242"/>
              <w:rPr>
                <w:rFonts w:ascii="Calibri"/>
                <w:sz w:val="12"/>
              </w:rPr>
            </w:pPr>
            <w:r>
              <w:rPr>
                <w:rFonts w:ascii="Calibri"/>
                <w:w w:val="105"/>
                <w:sz w:val="12"/>
              </w:rPr>
              <w:t>0.8</w:t>
            </w:r>
          </w:p>
        </w:tc>
        <w:tc>
          <w:tcPr>
            <w:tcW w:w="683" w:type="dxa"/>
            <w:tcBorders>
              <w:right w:val="single" w:sz="8" w:space="0" w:color="000000"/>
            </w:tcBorders>
            <w:shd w:val="clear" w:color="auto" w:fill="67ED4D"/>
          </w:tcPr>
          <w:p>
            <w:pPr>
              <w:pStyle w:val="TableParagraph"/>
              <w:spacing w:before="1"/>
              <w:ind w:left="20"/>
              <w:rPr>
                <w:rFonts w:ascii="Calibri"/>
                <w:sz w:val="12"/>
              </w:rPr>
            </w:pPr>
            <w:r>
              <w:rPr>
                <w:rFonts w:ascii="Calibri"/>
                <w:w w:val="105"/>
                <w:sz w:val="12"/>
              </w:rPr>
              <w:t>1</w:t>
            </w:r>
          </w:p>
        </w:tc>
      </w:tr>
      <w:tr>
        <w:trPr>
          <w:trHeight w:val="147" w:hRule="exact"/>
        </w:trPr>
        <w:tc>
          <w:tcPr>
            <w:tcW w:w="8821" w:type="dxa"/>
            <w:gridSpan w:val="7"/>
            <w:tcBorders>
              <w:left w:val="single" w:sz="4" w:space="0" w:color="000000"/>
              <w:right w:val="single" w:sz="8" w:space="0" w:color="000000"/>
            </w:tcBorders>
          </w:tcPr>
          <w:p>
            <w:pPr/>
          </w:p>
        </w:tc>
      </w:tr>
      <w:tr>
        <w:trPr>
          <w:trHeight w:val="163" w:hRule="exact"/>
        </w:trPr>
        <w:tc>
          <w:tcPr>
            <w:tcW w:w="619" w:type="dxa"/>
            <w:tcBorders>
              <w:left w:val="single" w:sz="4" w:space="0" w:color="000000"/>
            </w:tcBorders>
          </w:tcPr>
          <w:p>
            <w:pPr/>
          </w:p>
        </w:tc>
        <w:tc>
          <w:tcPr>
            <w:tcW w:w="2074" w:type="dxa"/>
          </w:tcPr>
          <w:p>
            <w:pPr>
              <w:pStyle w:val="TableParagraph"/>
              <w:spacing w:before="6"/>
              <w:ind w:left="91"/>
              <w:jc w:val="left"/>
              <w:rPr>
                <w:rFonts w:ascii="Calibri" w:hAnsi="Calibri"/>
                <w:sz w:val="12"/>
              </w:rPr>
            </w:pPr>
            <w:r>
              <w:rPr>
                <w:rFonts w:ascii="Calibri" w:hAnsi="Calibri"/>
                <w:w w:val="105"/>
                <w:sz w:val="12"/>
              </w:rPr>
              <w:t>Índice de satisfacción del acreditado</w:t>
            </w:r>
          </w:p>
        </w:tc>
        <w:tc>
          <w:tcPr>
            <w:tcW w:w="2101" w:type="dxa"/>
          </w:tcPr>
          <w:p>
            <w:pPr>
              <w:pStyle w:val="TableParagraph"/>
              <w:spacing w:before="6"/>
              <w:ind w:left="121" w:right="745"/>
              <w:jc w:val="left"/>
              <w:rPr>
                <w:rFonts w:ascii="Calibri"/>
                <w:sz w:val="12"/>
              </w:rPr>
            </w:pPr>
            <w:r>
              <w:rPr>
                <w:rFonts w:ascii="Calibri"/>
                <w:w w:val="105"/>
                <w:sz w:val="12"/>
              </w:rPr>
              <w:t>Infonavit</w:t>
            </w:r>
          </w:p>
        </w:tc>
        <w:tc>
          <w:tcPr>
            <w:tcW w:w="1773" w:type="dxa"/>
          </w:tcPr>
          <w:p>
            <w:pPr>
              <w:pStyle w:val="TableParagraph"/>
              <w:tabs>
                <w:tab w:pos="1155" w:val="left" w:leader="none"/>
                <w:tab w:pos="1987" w:val="left" w:leader="none"/>
              </w:tabs>
              <w:spacing w:before="6"/>
              <w:ind w:left="482" w:right="-214"/>
              <w:rPr>
                <w:rFonts w:ascii="Calibri"/>
                <w:sz w:val="12"/>
              </w:rPr>
            </w:pPr>
            <w:r>
              <w:rPr>
                <w:rFonts w:ascii="Times New Roman"/>
                <w:w w:val="105"/>
                <w:sz w:val="12"/>
                <w:shd w:fill="BAF9F5" w:color="auto" w:val="clear"/>
              </w:rPr>
              <w:t> </w:t>
            </w:r>
            <w:r>
              <w:rPr>
                <w:rFonts w:ascii="Times New Roman"/>
                <w:sz w:val="12"/>
                <w:shd w:fill="BAF9F5" w:color="auto" w:val="clear"/>
              </w:rPr>
              <w:tab/>
            </w:r>
            <w:r>
              <w:rPr>
                <w:rFonts w:ascii="Calibri"/>
                <w:w w:val="105"/>
                <w:sz w:val="12"/>
                <w:shd w:fill="BAF9F5" w:color="auto" w:val="clear"/>
              </w:rPr>
              <w:t>0.7</w:t>
            </w:r>
            <w:r>
              <w:rPr>
                <w:rFonts w:ascii="Calibri"/>
                <w:sz w:val="12"/>
                <w:shd w:fill="BAF9F5" w:color="auto" w:val="clear"/>
              </w:rPr>
              <w:tab/>
            </w:r>
          </w:p>
        </w:tc>
        <w:tc>
          <w:tcPr>
            <w:tcW w:w="887" w:type="dxa"/>
          </w:tcPr>
          <w:p>
            <w:pPr/>
          </w:p>
        </w:tc>
        <w:tc>
          <w:tcPr>
            <w:tcW w:w="685" w:type="dxa"/>
          </w:tcPr>
          <w:p>
            <w:pPr>
              <w:pStyle w:val="TableParagraph"/>
              <w:spacing w:before="6"/>
              <w:ind w:left="243" w:right="242"/>
              <w:rPr>
                <w:rFonts w:ascii="Calibri"/>
                <w:sz w:val="12"/>
              </w:rPr>
            </w:pPr>
            <w:r>
              <w:rPr>
                <w:rFonts w:ascii="Calibri"/>
                <w:w w:val="105"/>
                <w:sz w:val="12"/>
              </w:rPr>
              <w:t>0.7</w:t>
            </w:r>
          </w:p>
        </w:tc>
        <w:tc>
          <w:tcPr>
            <w:tcW w:w="683" w:type="dxa"/>
            <w:tcBorders>
              <w:right w:val="single" w:sz="8" w:space="0" w:color="000000"/>
            </w:tcBorders>
            <w:shd w:val="clear" w:color="auto" w:fill="67ED4D"/>
          </w:tcPr>
          <w:p>
            <w:pPr>
              <w:pStyle w:val="TableParagraph"/>
              <w:spacing w:before="6"/>
              <w:ind w:left="20"/>
              <w:rPr>
                <w:rFonts w:ascii="Calibri"/>
                <w:sz w:val="12"/>
              </w:rPr>
            </w:pPr>
            <w:r>
              <w:rPr>
                <w:rFonts w:ascii="Calibri"/>
                <w:w w:val="105"/>
                <w:sz w:val="12"/>
              </w:rPr>
              <w:t>1</w:t>
            </w:r>
          </w:p>
        </w:tc>
      </w:tr>
      <w:tr>
        <w:trPr>
          <w:trHeight w:val="163" w:hRule="exact"/>
        </w:trPr>
        <w:tc>
          <w:tcPr>
            <w:tcW w:w="619" w:type="dxa"/>
            <w:tcBorders>
              <w:left w:val="single" w:sz="4" w:space="0" w:color="000000"/>
            </w:tcBorders>
          </w:tcPr>
          <w:p>
            <w:pPr/>
          </w:p>
        </w:tc>
        <w:tc>
          <w:tcPr>
            <w:tcW w:w="2074" w:type="dxa"/>
          </w:tcPr>
          <w:p>
            <w:pPr/>
          </w:p>
        </w:tc>
        <w:tc>
          <w:tcPr>
            <w:tcW w:w="2101" w:type="dxa"/>
          </w:tcPr>
          <w:p>
            <w:pPr/>
          </w:p>
        </w:tc>
        <w:tc>
          <w:tcPr>
            <w:tcW w:w="1773" w:type="dxa"/>
          </w:tcPr>
          <w:p>
            <w:pPr>
              <w:pStyle w:val="TableParagraph"/>
              <w:spacing w:before="1"/>
              <w:ind w:left="880" w:right="184"/>
              <w:rPr>
                <w:rFonts w:ascii="Calibri"/>
                <w:sz w:val="12"/>
              </w:rPr>
            </w:pPr>
            <w:r>
              <w:rPr>
                <w:rFonts w:ascii="Calibri"/>
                <w:w w:val="105"/>
                <w:sz w:val="12"/>
              </w:rPr>
              <w:t>Subtotal</w:t>
            </w:r>
          </w:p>
        </w:tc>
        <w:tc>
          <w:tcPr>
            <w:tcW w:w="887" w:type="dxa"/>
          </w:tcPr>
          <w:p>
            <w:pPr>
              <w:pStyle w:val="TableParagraph"/>
              <w:tabs>
                <w:tab w:pos="466"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0.7</w:t>
            </w:r>
            <w:r>
              <w:rPr>
                <w:rFonts w:ascii="Calibri"/>
                <w:sz w:val="12"/>
                <w:shd w:fill="F79646" w:color="auto" w:val="clear"/>
              </w:rPr>
              <w:tab/>
            </w:r>
          </w:p>
        </w:tc>
        <w:tc>
          <w:tcPr>
            <w:tcW w:w="685" w:type="dxa"/>
          </w:tcPr>
          <w:p>
            <w:pPr>
              <w:pStyle w:val="TableParagraph"/>
              <w:spacing w:before="1"/>
              <w:ind w:left="243" w:right="242"/>
              <w:rPr>
                <w:rFonts w:ascii="Calibri"/>
                <w:sz w:val="12"/>
              </w:rPr>
            </w:pPr>
            <w:r>
              <w:rPr>
                <w:rFonts w:ascii="Calibri"/>
                <w:w w:val="105"/>
                <w:sz w:val="12"/>
              </w:rPr>
              <w:t>0.7</w:t>
            </w:r>
          </w:p>
        </w:tc>
        <w:tc>
          <w:tcPr>
            <w:tcW w:w="683" w:type="dxa"/>
            <w:tcBorders>
              <w:right w:val="single" w:sz="8" w:space="0" w:color="000000"/>
            </w:tcBorders>
            <w:shd w:val="clear" w:color="auto" w:fill="67ED4D"/>
          </w:tcPr>
          <w:p>
            <w:pPr>
              <w:pStyle w:val="TableParagraph"/>
              <w:spacing w:before="1"/>
              <w:ind w:left="20"/>
              <w:rPr>
                <w:rFonts w:ascii="Calibri"/>
                <w:sz w:val="12"/>
              </w:rPr>
            </w:pPr>
            <w:r>
              <w:rPr>
                <w:rFonts w:ascii="Calibri"/>
                <w:w w:val="105"/>
                <w:sz w:val="12"/>
              </w:rPr>
              <w:t>1</w:t>
            </w:r>
          </w:p>
        </w:tc>
      </w:tr>
      <w:tr>
        <w:trPr>
          <w:trHeight w:val="147" w:hRule="exact"/>
        </w:trPr>
        <w:tc>
          <w:tcPr>
            <w:tcW w:w="8821" w:type="dxa"/>
            <w:gridSpan w:val="7"/>
            <w:tcBorders>
              <w:left w:val="single" w:sz="4" w:space="0" w:color="000000"/>
              <w:right w:val="single" w:sz="8" w:space="0" w:color="000000"/>
            </w:tcBorders>
          </w:tcPr>
          <w:p>
            <w:pPr/>
          </w:p>
        </w:tc>
      </w:tr>
      <w:tr>
        <w:trPr>
          <w:trHeight w:val="163" w:hRule="exact"/>
        </w:trPr>
        <w:tc>
          <w:tcPr>
            <w:tcW w:w="619" w:type="dxa"/>
            <w:tcBorders>
              <w:left w:val="single" w:sz="4" w:space="0" w:color="000000"/>
            </w:tcBorders>
          </w:tcPr>
          <w:p>
            <w:pPr/>
          </w:p>
        </w:tc>
        <w:tc>
          <w:tcPr>
            <w:tcW w:w="2074" w:type="dxa"/>
          </w:tcPr>
          <w:p>
            <w:pPr>
              <w:pStyle w:val="TableParagraph"/>
              <w:spacing w:before="6"/>
              <w:ind w:left="91"/>
              <w:jc w:val="left"/>
              <w:rPr>
                <w:rFonts w:ascii="Calibri" w:hAnsi="Calibri"/>
                <w:sz w:val="12"/>
              </w:rPr>
            </w:pPr>
            <w:r>
              <w:rPr>
                <w:rFonts w:ascii="Calibri" w:hAnsi="Calibri"/>
                <w:w w:val="105"/>
                <w:sz w:val="12"/>
              </w:rPr>
              <w:t>Índice de satisfacción residencial</w:t>
            </w:r>
          </w:p>
        </w:tc>
        <w:tc>
          <w:tcPr>
            <w:tcW w:w="2101" w:type="dxa"/>
          </w:tcPr>
          <w:p>
            <w:pPr>
              <w:pStyle w:val="TableParagraph"/>
              <w:spacing w:before="6"/>
              <w:ind w:left="121"/>
              <w:jc w:val="left"/>
              <w:rPr>
                <w:rFonts w:ascii="Calibri"/>
                <w:sz w:val="12"/>
              </w:rPr>
            </w:pPr>
            <w:r>
              <w:rPr>
                <w:rFonts w:ascii="Calibri"/>
                <w:w w:val="105"/>
                <w:sz w:val="12"/>
              </w:rPr>
              <w:t>Sociedad Hipotecaria Federal</w:t>
            </w:r>
          </w:p>
        </w:tc>
        <w:tc>
          <w:tcPr>
            <w:tcW w:w="1773" w:type="dxa"/>
          </w:tcPr>
          <w:p>
            <w:pPr>
              <w:pStyle w:val="TableParagraph"/>
              <w:tabs>
                <w:tab w:pos="1208" w:val="left" w:leader="none"/>
                <w:tab w:pos="1987" w:val="left" w:leader="none"/>
              </w:tabs>
              <w:spacing w:before="6"/>
              <w:ind w:left="482" w:right="-214"/>
              <w:rPr>
                <w:rFonts w:ascii="Calibri"/>
                <w:sz w:val="12"/>
              </w:rPr>
            </w:pPr>
            <w:r>
              <w:rPr>
                <w:rFonts w:ascii="Times New Roman"/>
                <w:w w:val="105"/>
                <w:sz w:val="12"/>
                <w:shd w:fill="BAF9F5" w:color="auto" w:val="clear"/>
              </w:rPr>
              <w:t> </w:t>
            </w:r>
            <w:r>
              <w:rPr>
                <w:rFonts w:ascii="Times New Roman"/>
                <w:sz w:val="12"/>
                <w:shd w:fill="BAF9F5" w:color="auto" w:val="clear"/>
              </w:rPr>
              <w:tab/>
            </w:r>
            <w:r>
              <w:rPr>
                <w:rFonts w:ascii="Calibri"/>
                <w:w w:val="105"/>
                <w:sz w:val="12"/>
                <w:shd w:fill="BAF9F5" w:color="auto" w:val="clear"/>
              </w:rPr>
              <w:t>1</w:t>
            </w:r>
            <w:r>
              <w:rPr>
                <w:rFonts w:ascii="Calibri"/>
                <w:sz w:val="12"/>
                <w:shd w:fill="BAF9F5" w:color="auto" w:val="clear"/>
              </w:rPr>
              <w:tab/>
            </w:r>
          </w:p>
        </w:tc>
        <w:tc>
          <w:tcPr>
            <w:tcW w:w="887" w:type="dxa"/>
          </w:tcPr>
          <w:p>
            <w:pPr/>
          </w:p>
        </w:tc>
        <w:tc>
          <w:tcPr>
            <w:tcW w:w="685" w:type="dxa"/>
          </w:tcPr>
          <w:p>
            <w:pPr>
              <w:pStyle w:val="TableParagraph"/>
              <w:spacing w:before="6"/>
              <w:ind w:left="243" w:right="242"/>
              <w:rPr>
                <w:rFonts w:ascii="Calibri"/>
                <w:sz w:val="12"/>
              </w:rPr>
            </w:pPr>
            <w:r>
              <w:rPr>
                <w:rFonts w:ascii="Calibri"/>
                <w:w w:val="105"/>
                <w:sz w:val="12"/>
              </w:rPr>
              <w:t>0.7</w:t>
            </w:r>
          </w:p>
        </w:tc>
        <w:tc>
          <w:tcPr>
            <w:tcW w:w="683" w:type="dxa"/>
            <w:tcBorders>
              <w:right w:val="single" w:sz="8" w:space="0" w:color="000000"/>
            </w:tcBorders>
            <w:shd w:val="clear" w:color="auto" w:fill="67ED4D"/>
          </w:tcPr>
          <w:p>
            <w:pPr>
              <w:pStyle w:val="TableParagraph"/>
              <w:spacing w:before="6"/>
              <w:ind w:left="20"/>
              <w:rPr>
                <w:rFonts w:ascii="Calibri"/>
                <w:sz w:val="12"/>
              </w:rPr>
            </w:pPr>
            <w:r>
              <w:rPr>
                <w:rFonts w:ascii="Calibri"/>
                <w:w w:val="105"/>
                <w:sz w:val="12"/>
              </w:rPr>
              <w:t>1</w:t>
            </w:r>
          </w:p>
        </w:tc>
      </w:tr>
      <w:tr>
        <w:trPr>
          <w:trHeight w:val="163" w:hRule="exact"/>
        </w:trPr>
        <w:tc>
          <w:tcPr>
            <w:tcW w:w="619" w:type="dxa"/>
            <w:tcBorders>
              <w:left w:val="single" w:sz="4" w:space="0" w:color="000000"/>
            </w:tcBorders>
          </w:tcPr>
          <w:p>
            <w:pPr/>
          </w:p>
        </w:tc>
        <w:tc>
          <w:tcPr>
            <w:tcW w:w="2074" w:type="dxa"/>
          </w:tcPr>
          <w:p>
            <w:pPr/>
          </w:p>
        </w:tc>
        <w:tc>
          <w:tcPr>
            <w:tcW w:w="2101" w:type="dxa"/>
          </w:tcPr>
          <w:p>
            <w:pPr/>
          </w:p>
        </w:tc>
        <w:tc>
          <w:tcPr>
            <w:tcW w:w="1773" w:type="dxa"/>
          </w:tcPr>
          <w:p>
            <w:pPr>
              <w:pStyle w:val="TableParagraph"/>
              <w:spacing w:before="1"/>
              <w:ind w:left="880" w:right="184"/>
              <w:rPr>
                <w:rFonts w:ascii="Calibri"/>
                <w:sz w:val="12"/>
              </w:rPr>
            </w:pPr>
            <w:r>
              <w:rPr>
                <w:rFonts w:ascii="Calibri"/>
                <w:w w:val="105"/>
                <w:sz w:val="12"/>
              </w:rPr>
              <w:t>Subtotal</w:t>
            </w:r>
          </w:p>
        </w:tc>
        <w:tc>
          <w:tcPr>
            <w:tcW w:w="887" w:type="dxa"/>
          </w:tcPr>
          <w:p>
            <w:pPr>
              <w:pStyle w:val="TableParagraph"/>
              <w:tabs>
                <w:tab w:pos="518"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1</w:t>
            </w:r>
            <w:r>
              <w:rPr>
                <w:rFonts w:ascii="Calibri"/>
                <w:sz w:val="12"/>
                <w:shd w:fill="F79646" w:color="auto" w:val="clear"/>
              </w:rPr>
              <w:tab/>
            </w:r>
          </w:p>
        </w:tc>
        <w:tc>
          <w:tcPr>
            <w:tcW w:w="685" w:type="dxa"/>
          </w:tcPr>
          <w:p>
            <w:pPr>
              <w:pStyle w:val="TableParagraph"/>
              <w:spacing w:before="1"/>
              <w:ind w:left="243" w:right="242"/>
              <w:rPr>
                <w:rFonts w:ascii="Calibri"/>
                <w:sz w:val="12"/>
              </w:rPr>
            </w:pPr>
            <w:r>
              <w:rPr>
                <w:rFonts w:ascii="Calibri"/>
                <w:w w:val="105"/>
                <w:sz w:val="12"/>
              </w:rPr>
              <w:t>0.7</w:t>
            </w:r>
          </w:p>
        </w:tc>
        <w:tc>
          <w:tcPr>
            <w:tcW w:w="683" w:type="dxa"/>
            <w:tcBorders>
              <w:right w:val="single" w:sz="8" w:space="0" w:color="000000"/>
            </w:tcBorders>
            <w:shd w:val="clear" w:color="auto" w:fill="67ED4D"/>
          </w:tcPr>
          <w:p>
            <w:pPr>
              <w:pStyle w:val="TableParagraph"/>
              <w:spacing w:before="1"/>
              <w:ind w:left="20"/>
              <w:rPr>
                <w:rFonts w:ascii="Calibri"/>
                <w:sz w:val="12"/>
              </w:rPr>
            </w:pPr>
            <w:r>
              <w:rPr>
                <w:rFonts w:ascii="Calibri"/>
                <w:w w:val="105"/>
                <w:sz w:val="12"/>
              </w:rPr>
              <w:t>1</w:t>
            </w:r>
          </w:p>
        </w:tc>
      </w:tr>
      <w:tr>
        <w:trPr>
          <w:trHeight w:val="474" w:hRule="exact"/>
        </w:trPr>
        <w:tc>
          <w:tcPr>
            <w:tcW w:w="619" w:type="dxa"/>
            <w:tcBorders>
              <w:left w:val="single" w:sz="4" w:space="0" w:color="000000"/>
              <w:bottom w:val="single" w:sz="8" w:space="0" w:color="000000"/>
            </w:tcBorders>
          </w:tcPr>
          <w:p>
            <w:pPr/>
          </w:p>
        </w:tc>
        <w:tc>
          <w:tcPr>
            <w:tcW w:w="2074" w:type="dxa"/>
            <w:tcBorders>
              <w:bottom w:val="single" w:sz="8" w:space="0" w:color="000000"/>
            </w:tcBorders>
          </w:tcPr>
          <w:p>
            <w:pPr/>
          </w:p>
        </w:tc>
        <w:tc>
          <w:tcPr>
            <w:tcW w:w="2101" w:type="dxa"/>
            <w:tcBorders>
              <w:bottom w:val="single" w:sz="8" w:space="0" w:color="000000"/>
            </w:tcBorders>
          </w:tcPr>
          <w:p>
            <w:pPr/>
          </w:p>
        </w:tc>
        <w:tc>
          <w:tcPr>
            <w:tcW w:w="1773" w:type="dxa"/>
            <w:tcBorders>
              <w:bottom w:val="single" w:sz="8" w:space="0" w:color="000000"/>
            </w:tcBorders>
          </w:tcPr>
          <w:p>
            <w:pPr>
              <w:pStyle w:val="TableParagraph"/>
              <w:spacing w:before="4"/>
              <w:jc w:val="left"/>
              <w:rPr>
                <w:sz w:val="13"/>
              </w:rPr>
            </w:pPr>
          </w:p>
          <w:p>
            <w:pPr>
              <w:pStyle w:val="TableParagraph"/>
              <w:ind w:left="884" w:right="178"/>
              <w:rPr>
                <w:rFonts w:ascii="Calibri"/>
                <w:sz w:val="12"/>
              </w:rPr>
            </w:pPr>
            <w:r>
              <w:rPr>
                <w:rFonts w:ascii="Calibri"/>
                <w:w w:val="105"/>
                <w:sz w:val="12"/>
              </w:rPr>
              <w:t>Total IS</w:t>
            </w:r>
          </w:p>
        </w:tc>
        <w:tc>
          <w:tcPr>
            <w:tcW w:w="887" w:type="dxa"/>
            <w:tcBorders>
              <w:bottom w:val="single" w:sz="8" w:space="0" w:color="000000"/>
            </w:tcBorders>
          </w:tcPr>
          <w:p>
            <w:pPr>
              <w:pStyle w:val="TableParagraph"/>
              <w:spacing w:before="4"/>
              <w:jc w:val="left"/>
              <w:rPr>
                <w:sz w:val="13"/>
              </w:rPr>
            </w:pPr>
          </w:p>
          <w:p>
            <w:pPr>
              <w:pStyle w:val="TableParagraph"/>
              <w:tabs>
                <w:tab w:pos="897" w:val="left" w:leader="none"/>
              </w:tabs>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      </w:t>
            </w:r>
            <w:r>
              <w:rPr>
                <w:rFonts w:ascii="Times New Roman"/>
                <w:spacing w:val="-11"/>
                <w:sz w:val="12"/>
                <w:shd w:fill="F79646" w:color="auto" w:val="clear"/>
              </w:rPr>
              <w:t> </w:t>
            </w:r>
            <w:r>
              <w:rPr>
                <w:rFonts w:ascii="Calibri"/>
                <w:w w:val="105"/>
                <w:sz w:val="12"/>
                <w:shd w:fill="F79646" w:color="auto" w:val="clear"/>
              </w:rPr>
              <w:t>11.6</w:t>
            </w:r>
            <w:r>
              <w:rPr>
                <w:rFonts w:ascii="Calibri"/>
                <w:sz w:val="12"/>
                <w:shd w:fill="F79646" w:color="auto" w:val="clear"/>
              </w:rPr>
              <w:tab/>
            </w:r>
          </w:p>
        </w:tc>
        <w:tc>
          <w:tcPr>
            <w:tcW w:w="685" w:type="dxa"/>
            <w:tcBorders>
              <w:bottom w:val="single" w:sz="8" w:space="0" w:color="000000"/>
            </w:tcBorders>
          </w:tcPr>
          <w:p>
            <w:pPr>
              <w:pStyle w:val="TableParagraph"/>
              <w:spacing w:before="4"/>
              <w:jc w:val="left"/>
              <w:rPr>
                <w:sz w:val="13"/>
              </w:rPr>
            </w:pPr>
          </w:p>
          <w:p>
            <w:pPr>
              <w:pStyle w:val="TableParagraph"/>
              <w:tabs>
                <w:tab w:pos="694" w:val="left" w:leader="none"/>
              </w:tabs>
              <w:ind w:right="-10"/>
              <w:rPr>
                <w:rFonts w:ascii="Calibri"/>
                <w:sz w:val="12"/>
              </w:rPr>
            </w:pPr>
            <w:r>
              <w:rPr>
                <w:rFonts w:ascii="Times New Roman"/>
                <w:w w:val="105"/>
                <w:sz w:val="12"/>
                <w:shd w:fill="FFFF00" w:color="auto" w:val="clear"/>
              </w:rPr>
              <w:t> </w:t>
            </w:r>
            <w:r>
              <w:rPr>
                <w:rFonts w:ascii="Times New Roman"/>
                <w:sz w:val="12"/>
                <w:shd w:fill="FFFF00" w:color="auto" w:val="clear"/>
              </w:rPr>
              <w:t>      </w:t>
            </w:r>
            <w:r>
              <w:rPr>
                <w:rFonts w:ascii="Times New Roman"/>
                <w:spacing w:val="-11"/>
                <w:sz w:val="12"/>
                <w:shd w:fill="FFFF00" w:color="auto" w:val="clear"/>
              </w:rPr>
              <w:t> </w:t>
            </w:r>
            <w:r>
              <w:rPr>
                <w:rFonts w:ascii="Calibri"/>
                <w:w w:val="105"/>
                <w:sz w:val="12"/>
                <w:shd w:fill="FFFF00" w:color="auto" w:val="clear"/>
              </w:rPr>
              <w:t>11.4</w:t>
            </w:r>
            <w:r>
              <w:rPr>
                <w:rFonts w:ascii="Calibri"/>
                <w:sz w:val="12"/>
                <w:shd w:fill="FFFF00" w:color="auto" w:val="clear"/>
              </w:rPr>
              <w:tab/>
            </w:r>
          </w:p>
        </w:tc>
        <w:tc>
          <w:tcPr>
            <w:tcW w:w="683" w:type="dxa"/>
            <w:tcBorders>
              <w:bottom w:val="single" w:sz="8" w:space="0" w:color="000000"/>
              <w:right w:val="single" w:sz="8" w:space="0" w:color="000000"/>
            </w:tcBorders>
          </w:tcPr>
          <w:p>
            <w:pPr>
              <w:pStyle w:val="TableParagraph"/>
              <w:spacing w:before="4"/>
              <w:jc w:val="left"/>
              <w:rPr>
                <w:sz w:val="13"/>
              </w:rPr>
            </w:pPr>
          </w:p>
          <w:p>
            <w:pPr>
              <w:pStyle w:val="TableParagraph"/>
              <w:ind w:left="262" w:right="241"/>
              <w:rPr>
                <w:rFonts w:ascii="Calibri"/>
                <w:sz w:val="12"/>
              </w:rPr>
            </w:pPr>
            <w:r>
              <w:rPr>
                <w:rFonts w:ascii="Calibri"/>
                <w:w w:val="105"/>
                <w:sz w:val="12"/>
              </w:rPr>
              <w:t>15</w:t>
            </w:r>
          </w:p>
        </w:tc>
      </w:tr>
    </w:tbl>
    <w:p>
      <w:pPr>
        <w:spacing w:before="129"/>
        <w:ind w:left="268" w:right="0" w:firstLine="0"/>
        <w:jc w:val="left"/>
        <w:rPr>
          <w:sz w:val="21"/>
        </w:rPr>
      </w:pPr>
      <w:r>
        <w:rPr/>
        <w:pict>
          <v:shape style="position:absolute;margin-left:472.27002pt;margin-top:-87.920135pt;width:34.75pt;height:16.3500pt;mso-position-horizontal-relative:page;mso-position-vertical-relative:paragraph;z-index:-1130920" coordorigin="9445,-1758" coordsize="695,327" path="m10140,-1758l9445,-1758,9445,-1601,9445,-1590,9445,-1432,10140,-1432,10140,-1590,10140,-1601,10140,-1758e" filled="true" fillcolor="#ffff00" stroked="false">
            <v:path arrowok="t"/>
            <v:fill type="solid"/>
            <w10:wrap type="none"/>
          </v:shape>
        </w:pict>
      </w:r>
      <w:r>
        <w:rPr/>
        <w:pict>
          <v:shape style="position:absolute;margin-left:472.27002pt;margin-top:-64.235138pt;width:34.75pt;height:16.3500pt;mso-position-horizontal-relative:page;mso-position-vertical-relative:paragraph;z-index:-1130896" coordorigin="9445,-1285" coordsize="695,327" path="m10140,-1285l9445,-1285,9445,-1127,9445,-1116,9445,-958,10140,-958,10140,-1116,10140,-1127,10140,-1285e" filled="true" fillcolor="#ffff00" stroked="false">
            <v:path arrowok="t"/>
            <v:fill type="solid"/>
            <w10:wrap type="none"/>
          </v:shape>
        </w:pict>
      </w:r>
      <w:r>
        <w:rPr/>
        <w:pict>
          <v:shape style="position:absolute;margin-left:472.27002pt;margin-top:-40.550137pt;width:34.75pt;height:16.3500pt;mso-position-horizontal-relative:page;mso-position-vertical-relative:paragraph;z-index:-1130872" coordorigin="9445,-811" coordsize="695,327" path="m10140,-811l9445,-811,9445,-653,9445,-643,9445,-485,10140,-485,10140,-643,10140,-653,10140,-811e" filled="true" fillcolor="#ffff00" stroked="false">
            <v:path arrowok="t"/>
            <v:fill type="solid"/>
            <w10:wrap type="none"/>
          </v:shape>
        </w:pict>
      </w:r>
      <w:r>
        <w:rPr/>
        <w:pict>
          <v:rect style="position:absolute;margin-left:506.460999pt;margin-top:-16.865437pt;width:34.716500pt;height:8.42131pt;mso-position-horizontal-relative:page;mso-position-vertical-relative:paragraph;z-index:-1130848" filled="true" fillcolor="#67ed4d"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spacing w:before="1"/>
        <w:rPr>
          <w:sz w:val="18"/>
        </w:rPr>
      </w:pPr>
    </w:p>
    <w:p>
      <w:pPr>
        <w:pStyle w:val="BodyText"/>
        <w:spacing w:before="69" w:after="13"/>
        <w:ind w:left="268"/>
      </w:pPr>
      <w:r>
        <w:rPr/>
        <w:pict>
          <v:line style="position:absolute;mso-position-horizontal-relative:page;mso-position-vertical-relative:paragraph;z-index:27208" from="93.199997pt,-19.614155pt" to="546.799997pt,-19.614155pt" stroked="true" strokeweight=".479981pt" strokecolor="#000000">
            <w10:wrap type="none"/>
          </v:line>
        </w:pict>
      </w:r>
      <w:r>
        <w:rPr/>
        <w:pict>
          <v:group style="position:absolute;margin-left:363.378998pt;margin-top:50.765404pt;width:75.25pt;height:40.550pt;mso-position-horizontal-relative:page;mso-position-vertical-relative:paragraph;z-index:-1130800" coordorigin="7268,1015" coordsize="1505,811">
            <v:line style="position:absolute" from="7273,1021" to="7273,1189" stroked="true" strokeweight=".526pt" strokecolor="#baf9f5"/>
            <v:shape style="position:absolute;left:7278;top:1021;width:1494;height:642" coordorigin="7278,1021" coordsize="1494,642" path="m8772,1021l7278,1021,7278,1179,7278,1189,7278,1347,7278,1505,7278,1663,8772,1663,8772,1505,8772,1347,8772,1189,8772,1179,8772,1021e" filled="true" fillcolor="#baf9f5" stroked="false">
              <v:path arrowok="t"/>
              <v:fill type="solid"/>
            </v:shape>
            <v:line style="position:absolute" from="7273,1179" to="7273,1821" stroked="true" strokeweight=".526pt" strokecolor="#baf9f5"/>
            <v:rect style="position:absolute;left:7278;top:1663;width:1494;height:158" filled="true" fillcolor="#baf9f5" stroked="false">
              <v:fill type="solid"/>
            </v:rect>
            <w10:wrap type="none"/>
          </v:group>
        </w:pict>
      </w:r>
      <w:r>
        <w:rPr/>
        <w:pict>
          <v:group style="position:absolute;margin-left:363.378998pt;margin-top:129.697235pt;width:75.25pt;height:56.35pt;mso-position-horizontal-relative:page;mso-position-vertical-relative:paragraph;z-index:-1130776" coordorigin="7268,2594" coordsize="1505,1127">
            <v:line style="position:absolute" from="7273,2599" to="7273,2768" stroked="true" strokeweight=".526pt" strokecolor="#baf9f5"/>
            <v:rect style="position:absolute;left:7278;top:2599;width:1494;height:168" filled="true" fillcolor="#baf9f5" stroked="false">
              <v:fill type="solid"/>
            </v:rect>
            <v:line style="position:absolute" from="7273,2768" to="7273,2926" stroked="true" strokeweight=".526pt" strokecolor="#baf9f5"/>
            <v:rect style="position:absolute;left:7278;top:2768;width:1494;height:158" filled="true" fillcolor="#baf9f5" stroked="false">
              <v:fill type="solid"/>
            </v:rect>
            <v:line style="position:absolute" from="7273,2926" to="7273,3084" stroked="true" strokeweight=".526pt" strokecolor="#baf9f5"/>
            <v:rect style="position:absolute;left:7278;top:2926;width:1494;height:158" filled="true" fillcolor="#baf9f5" stroked="false">
              <v:fill type="solid"/>
            </v:rect>
            <v:line style="position:absolute" from="7273,3084" to="7273,3241" stroked="true" strokeweight=".526pt" strokecolor="#baf9f5"/>
            <v:rect style="position:absolute;left:7278;top:3084;width:1494;height:158" filled="true" fillcolor="#baf9f5" stroked="false">
              <v:fill type="solid"/>
            </v:rect>
            <v:line style="position:absolute" from="7273,3241" to="7273,3399" stroked="true" strokeweight=".526pt" strokecolor="#baf9f5"/>
            <v:rect style="position:absolute;left:7278;top:3241;width:1494;height:158" filled="true" fillcolor="#baf9f5" stroked="false">
              <v:fill type="solid"/>
            </v:rect>
            <v:line style="position:absolute" from="7273,3399" to="7273,3557" stroked="true" strokeweight=".526pt" strokecolor="#baf9f5"/>
            <v:rect style="position:absolute;left:7278;top:3399;width:1494;height:158" filled="true" fillcolor="#baf9f5" stroked="false">
              <v:fill type="solid"/>
            </v:rect>
            <v:line style="position:absolute" from="7273,3557" to="7273,3715" stroked="true" strokeweight=".526pt" strokecolor="#baf9f5"/>
            <v:rect style="position:absolute;left:7278;top:3557;width:1494;height:158" filled="true" fillcolor="#baf9f5" stroked="false">
              <v:fill type="solid"/>
            </v:rect>
            <w10:wrap type="none"/>
          </v:group>
        </w:pict>
      </w:r>
      <w:r>
        <w:rPr/>
        <w:pict>
          <v:shape style="position:absolute;margin-left:472.277008pt;margin-top:106.292809pt;width:34.75pt;height:16.3500pt;mso-position-horizontal-relative:page;mso-position-vertical-relative:paragraph;z-index:-1130752" coordorigin="9446,2126" coordsize="695,327" path="m10140,2126l9446,2126,9446,2284,9446,2294,9446,2452,10140,2452,10140,2294,10140,2284,10140,2126e" filled="true" fillcolor="#ffff00" stroked="false">
            <v:path arrowok="t"/>
            <v:fill type="solid"/>
            <w10:wrap type="none"/>
          </v:shape>
        </w:pict>
      </w:r>
      <w:r>
        <w:rPr/>
        <w:pict>
          <v:shape style="position:absolute;margin-left:472.277008pt;margin-top:129.972809pt;width:34.75pt;height:63.7pt;mso-position-horizontal-relative:page;mso-position-vertical-relative:paragraph;z-index:-1130728" coordorigin="9446,2599" coordsize="695,1274" path="m10140,3557l9446,3557,9446,3704,9446,3715,9446,3873,10140,3873,10140,3715,10140,3704,10140,3557m10140,2599l9446,2599,9446,2768,9446,2926,9446,3084,9446,3241,9446,3399,9446,3557,10140,3557,10140,3399,10140,3241,10140,3084,10140,2926,10140,2768,10140,2599e" filled="true" fillcolor="#ffff00" stroked="false">
            <v:path arrowok="t"/>
            <v:fill type="solid"/>
            <w10:wrap type="none"/>
          </v:shape>
        </w:pict>
      </w:r>
      <w:r>
        <w:rPr/>
        <w:t>Tabla 74. ISA Hacienda de las Fuentes</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0"/>
        <w:gridCol w:w="1802"/>
        <w:gridCol w:w="2247"/>
        <w:gridCol w:w="1857"/>
        <w:gridCol w:w="887"/>
        <w:gridCol w:w="685"/>
        <w:gridCol w:w="683"/>
      </w:tblGrid>
      <w:tr>
        <w:trPr>
          <w:trHeight w:val="447" w:hRule="exact"/>
        </w:trPr>
        <w:tc>
          <w:tcPr>
            <w:tcW w:w="8821" w:type="dxa"/>
            <w:gridSpan w:val="7"/>
            <w:tcBorders>
              <w:bottom w:val="nil"/>
              <w:right w:val="single" w:sz="4" w:space="0" w:color="76933C"/>
            </w:tcBorders>
            <w:shd w:val="clear" w:color="auto" w:fill="000000"/>
          </w:tcPr>
          <w:p>
            <w:pPr>
              <w:pStyle w:val="TableParagraph"/>
              <w:spacing w:line="273" w:lineRule="auto" w:before="50"/>
              <w:ind w:left="3350" w:right="3317" w:firstLine="326"/>
              <w:jc w:val="left"/>
              <w:rPr>
                <w:b/>
                <w:sz w:val="12"/>
              </w:rPr>
            </w:pPr>
            <w:r>
              <w:rPr>
                <w:b/>
                <w:color w:val="FFFFFF"/>
                <w:w w:val="105"/>
                <w:sz w:val="12"/>
              </w:rPr>
              <w:t>Hacienda de las Fuentes Índice de sustentabilidad ambiental</w:t>
            </w:r>
          </w:p>
        </w:tc>
      </w:tr>
      <w:tr>
        <w:trPr>
          <w:trHeight w:val="189" w:hRule="exact"/>
        </w:trPr>
        <w:tc>
          <w:tcPr>
            <w:tcW w:w="660" w:type="dxa"/>
            <w:tcBorders>
              <w:top w:val="single" w:sz="4" w:space="0" w:color="FFFFFF"/>
              <w:left w:val="single" w:sz="4" w:space="0" w:color="000000"/>
            </w:tcBorders>
            <w:shd w:val="clear" w:color="auto" w:fill="808080"/>
          </w:tcPr>
          <w:p>
            <w:pPr>
              <w:pStyle w:val="TableParagraph"/>
              <w:spacing w:line="136" w:lineRule="exact"/>
              <w:ind w:left="157"/>
              <w:jc w:val="left"/>
              <w:rPr>
                <w:b/>
                <w:sz w:val="12"/>
              </w:rPr>
            </w:pPr>
            <w:r>
              <w:rPr>
                <w:b/>
                <w:color w:val="FFFFFF"/>
                <w:w w:val="105"/>
                <w:sz w:val="12"/>
              </w:rPr>
              <w:t>Índice</w:t>
            </w:r>
          </w:p>
        </w:tc>
        <w:tc>
          <w:tcPr>
            <w:tcW w:w="1802" w:type="dxa"/>
            <w:tcBorders>
              <w:top w:val="single" w:sz="4" w:space="0" w:color="FFFFFF"/>
            </w:tcBorders>
            <w:shd w:val="clear" w:color="auto" w:fill="808080"/>
          </w:tcPr>
          <w:p>
            <w:pPr>
              <w:pStyle w:val="TableParagraph"/>
              <w:spacing w:line="136" w:lineRule="exact"/>
              <w:ind w:left="50"/>
              <w:jc w:val="left"/>
              <w:rPr>
                <w:b/>
                <w:sz w:val="12"/>
              </w:rPr>
            </w:pPr>
            <w:r>
              <w:rPr>
                <w:b/>
                <w:color w:val="FFFFFF"/>
                <w:w w:val="105"/>
                <w:sz w:val="12"/>
              </w:rPr>
              <w:t>Subíndice</w:t>
            </w:r>
          </w:p>
        </w:tc>
        <w:tc>
          <w:tcPr>
            <w:tcW w:w="2247" w:type="dxa"/>
            <w:tcBorders>
              <w:top w:val="single" w:sz="4" w:space="0" w:color="FFFFFF"/>
            </w:tcBorders>
            <w:shd w:val="clear" w:color="auto" w:fill="808080"/>
          </w:tcPr>
          <w:p>
            <w:pPr>
              <w:pStyle w:val="TableParagraph"/>
              <w:spacing w:line="136" w:lineRule="exact"/>
              <w:ind w:left="352" w:right="661"/>
              <w:jc w:val="left"/>
              <w:rPr>
                <w:b/>
                <w:sz w:val="12"/>
              </w:rPr>
            </w:pPr>
            <w:r>
              <w:rPr>
                <w:b/>
                <w:color w:val="FFFFFF"/>
                <w:w w:val="105"/>
                <w:sz w:val="12"/>
              </w:rPr>
              <w:t>Indicador</w:t>
            </w:r>
          </w:p>
        </w:tc>
        <w:tc>
          <w:tcPr>
            <w:tcW w:w="1857" w:type="dxa"/>
            <w:tcBorders>
              <w:top w:val="single" w:sz="4" w:space="0" w:color="FFFFFF"/>
            </w:tcBorders>
            <w:shd w:val="clear" w:color="auto" w:fill="808080"/>
          </w:tcPr>
          <w:p>
            <w:pPr/>
          </w:p>
        </w:tc>
        <w:tc>
          <w:tcPr>
            <w:tcW w:w="887" w:type="dxa"/>
            <w:tcBorders>
              <w:top w:val="single" w:sz="4" w:space="0" w:color="FFFFFF"/>
            </w:tcBorders>
            <w:shd w:val="clear" w:color="auto" w:fill="808080"/>
          </w:tcPr>
          <w:p>
            <w:pPr>
              <w:pStyle w:val="TableParagraph"/>
              <w:spacing w:line="136" w:lineRule="exact"/>
              <w:ind w:left="266"/>
              <w:jc w:val="left"/>
              <w:rPr>
                <w:b/>
                <w:sz w:val="12"/>
              </w:rPr>
            </w:pPr>
            <w:r>
              <w:rPr>
                <w:b/>
                <w:color w:val="FFFFFF"/>
                <w:w w:val="105"/>
                <w:sz w:val="12"/>
              </w:rPr>
              <w:t>Valores</w:t>
            </w:r>
          </w:p>
        </w:tc>
        <w:tc>
          <w:tcPr>
            <w:tcW w:w="685" w:type="dxa"/>
            <w:tcBorders>
              <w:top w:val="single" w:sz="4" w:space="0" w:color="FFFFFF"/>
            </w:tcBorders>
            <w:shd w:val="clear" w:color="auto" w:fill="808080"/>
          </w:tcPr>
          <w:p>
            <w:pPr/>
          </w:p>
        </w:tc>
        <w:tc>
          <w:tcPr>
            <w:tcW w:w="683" w:type="dxa"/>
            <w:tcBorders>
              <w:top w:val="single" w:sz="4" w:space="0" w:color="FFFFFF"/>
              <w:right w:val="single" w:sz="8" w:space="0" w:color="000000"/>
            </w:tcBorders>
            <w:shd w:val="clear" w:color="auto" w:fill="808080"/>
          </w:tcPr>
          <w:p>
            <w:pPr/>
          </w:p>
        </w:tc>
      </w:tr>
      <w:tr>
        <w:trPr>
          <w:trHeight w:val="189" w:hRule="exact"/>
        </w:trPr>
        <w:tc>
          <w:tcPr>
            <w:tcW w:w="660" w:type="dxa"/>
            <w:vMerge w:val="restart"/>
            <w:tcBorders>
              <w:left w:val="single" w:sz="4" w:space="0" w:color="000000"/>
            </w:tcBorders>
          </w:tcPr>
          <w:p>
            <w:pPr/>
          </w:p>
        </w:tc>
        <w:tc>
          <w:tcPr>
            <w:tcW w:w="1802" w:type="dxa"/>
          </w:tcPr>
          <w:p>
            <w:pPr/>
          </w:p>
        </w:tc>
        <w:tc>
          <w:tcPr>
            <w:tcW w:w="2247" w:type="dxa"/>
          </w:tcPr>
          <w:p>
            <w:pPr/>
          </w:p>
        </w:tc>
        <w:tc>
          <w:tcPr>
            <w:tcW w:w="1857" w:type="dxa"/>
          </w:tcPr>
          <w:p>
            <w:pPr>
              <w:pStyle w:val="TableParagraph"/>
              <w:spacing w:before="34"/>
              <w:ind w:left="968" w:right="184"/>
              <w:rPr>
                <w:b/>
                <w:sz w:val="12"/>
              </w:rPr>
            </w:pPr>
            <w:r>
              <w:rPr>
                <w:b/>
                <w:w w:val="105"/>
                <w:sz w:val="12"/>
              </w:rPr>
              <w:t>Evaluación</w:t>
            </w:r>
          </w:p>
        </w:tc>
        <w:tc>
          <w:tcPr>
            <w:tcW w:w="887" w:type="dxa"/>
          </w:tcPr>
          <w:p>
            <w:pPr>
              <w:pStyle w:val="TableParagraph"/>
              <w:tabs>
                <w:tab w:pos="897" w:val="left" w:leader="none"/>
              </w:tabs>
              <w:spacing w:before="34"/>
              <w:ind w:left="203" w:right="-11"/>
              <w:jc w:val="left"/>
              <w:rPr>
                <w:b/>
                <w:sz w:val="12"/>
              </w:rPr>
            </w:pPr>
            <w:r>
              <w:rPr>
                <w:b/>
                <w:w w:val="105"/>
                <w:sz w:val="12"/>
                <w:shd w:fill="F79646" w:color="auto" w:val="clear"/>
              </w:rPr>
              <w:t> </w:t>
            </w:r>
            <w:r>
              <w:rPr>
                <w:b/>
                <w:sz w:val="12"/>
                <w:shd w:fill="F79646" w:color="auto" w:val="clear"/>
              </w:rPr>
              <w:t>    </w:t>
            </w:r>
            <w:r>
              <w:rPr>
                <w:b/>
                <w:spacing w:val="8"/>
                <w:sz w:val="12"/>
                <w:shd w:fill="F79646" w:color="auto" w:val="clear"/>
              </w:rPr>
              <w:t> </w:t>
            </w:r>
            <w:r>
              <w:rPr>
                <w:b/>
                <w:w w:val="105"/>
                <w:sz w:val="12"/>
                <w:shd w:fill="F79646" w:color="auto" w:val="clear"/>
              </w:rPr>
              <w:t>Real</w:t>
            </w:r>
            <w:r>
              <w:rPr>
                <w:b/>
                <w:sz w:val="12"/>
                <w:shd w:fill="F79646" w:color="auto" w:val="clear"/>
              </w:rPr>
              <w:tab/>
            </w:r>
          </w:p>
        </w:tc>
        <w:tc>
          <w:tcPr>
            <w:tcW w:w="685" w:type="dxa"/>
            <w:tcBorders>
              <w:right w:val="single" w:sz="4" w:space="0" w:color="FFFFFF"/>
            </w:tcBorders>
            <w:shd w:val="clear" w:color="auto" w:fill="FFFF00"/>
          </w:tcPr>
          <w:p>
            <w:pPr>
              <w:pStyle w:val="TableParagraph"/>
              <w:spacing w:before="34"/>
              <w:ind w:left="54" w:right="32"/>
              <w:rPr>
                <w:b/>
                <w:sz w:val="12"/>
              </w:rPr>
            </w:pPr>
            <w:r>
              <w:rPr>
                <w:b/>
                <w:w w:val="105"/>
                <w:sz w:val="12"/>
              </w:rPr>
              <w:t>Deseable</w:t>
            </w:r>
          </w:p>
        </w:tc>
        <w:tc>
          <w:tcPr>
            <w:tcW w:w="683" w:type="dxa"/>
            <w:tcBorders>
              <w:left w:val="single" w:sz="4" w:space="0" w:color="FFFFFF"/>
              <w:right w:val="single" w:sz="8" w:space="0" w:color="000000"/>
            </w:tcBorders>
            <w:shd w:val="clear" w:color="auto" w:fill="67ED4D"/>
          </w:tcPr>
          <w:p>
            <w:pPr>
              <w:pStyle w:val="TableParagraph"/>
              <w:spacing w:before="34"/>
              <w:ind w:left="100" w:right="86"/>
              <w:rPr>
                <w:b/>
                <w:sz w:val="12"/>
              </w:rPr>
            </w:pPr>
            <w:r>
              <w:rPr>
                <w:b/>
                <w:w w:val="105"/>
                <w:sz w:val="12"/>
              </w:rPr>
              <w:t>Óptimo</w:t>
            </w:r>
          </w:p>
        </w:tc>
      </w:tr>
      <w:tr>
        <w:trPr>
          <w:trHeight w:val="160" w:hRule="exact"/>
        </w:trPr>
        <w:tc>
          <w:tcPr>
            <w:tcW w:w="660" w:type="dxa"/>
            <w:vMerge/>
            <w:tcBorders>
              <w:left w:val="single" w:sz="4" w:space="0" w:color="000000"/>
            </w:tcBorders>
          </w:tcPr>
          <w:p>
            <w:pPr/>
          </w:p>
        </w:tc>
        <w:tc>
          <w:tcPr>
            <w:tcW w:w="1802" w:type="dxa"/>
          </w:tcPr>
          <w:p>
            <w:pPr/>
          </w:p>
        </w:tc>
        <w:tc>
          <w:tcPr>
            <w:tcW w:w="2247" w:type="dxa"/>
          </w:tcPr>
          <w:p>
            <w:pPr>
              <w:pStyle w:val="TableParagraph"/>
              <w:spacing w:before="2"/>
              <w:ind w:left="352" w:right="661"/>
              <w:jc w:val="left"/>
              <w:rPr>
                <w:rFonts w:ascii="Calibri"/>
                <w:sz w:val="12"/>
              </w:rPr>
            </w:pPr>
            <w:r>
              <w:rPr>
                <w:rFonts w:ascii="Calibri"/>
                <w:w w:val="105"/>
                <w:sz w:val="12"/>
              </w:rPr>
              <w:t>Tipo de la vivienda</w:t>
            </w:r>
          </w:p>
        </w:tc>
        <w:tc>
          <w:tcPr>
            <w:tcW w:w="1857" w:type="dxa"/>
          </w:tcPr>
          <w:p>
            <w:pPr>
              <w:pStyle w:val="TableParagraph"/>
              <w:spacing w:before="2"/>
              <w:ind w:left="966" w:right="184"/>
              <w:rPr>
                <w:rFonts w:ascii="Calibri"/>
                <w:sz w:val="12"/>
              </w:rPr>
            </w:pPr>
            <w:r>
              <w:rPr>
                <w:rFonts w:ascii="Calibri"/>
                <w:w w:val="105"/>
                <w:sz w:val="12"/>
              </w:rPr>
              <w:t>0.6</w:t>
            </w:r>
          </w:p>
        </w:tc>
        <w:tc>
          <w:tcPr>
            <w:tcW w:w="887" w:type="dxa"/>
          </w:tcPr>
          <w:p>
            <w:pPr/>
          </w:p>
        </w:tc>
        <w:tc>
          <w:tcPr>
            <w:tcW w:w="685" w:type="dxa"/>
            <w:tcBorders>
              <w:right w:val="single" w:sz="4" w:space="0" w:color="FFFFFF"/>
            </w:tcBorders>
            <w:shd w:val="clear" w:color="auto" w:fill="FFFF00"/>
          </w:tcPr>
          <w:p>
            <w:pPr>
              <w:pStyle w:val="TableParagraph"/>
              <w:spacing w:before="2"/>
              <w:ind w:left="38" w:right="32"/>
              <w:rPr>
                <w:rFonts w:ascii="Calibri"/>
                <w:sz w:val="12"/>
              </w:rPr>
            </w:pPr>
            <w:r>
              <w:rPr>
                <w:rFonts w:ascii="Calibri"/>
                <w:w w:val="105"/>
                <w:sz w:val="12"/>
              </w:rPr>
              <w:t>0.6</w:t>
            </w:r>
          </w:p>
        </w:tc>
        <w:tc>
          <w:tcPr>
            <w:tcW w:w="683" w:type="dxa"/>
            <w:tcBorders>
              <w:left w:val="single" w:sz="4" w:space="0" w:color="FFFFFF"/>
              <w:right w:val="single" w:sz="8" w:space="0" w:color="000000"/>
            </w:tcBorders>
            <w:shd w:val="clear" w:color="auto" w:fill="67ED4D"/>
          </w:tcPr>
          <w:p>
            <w:pPr>
              <w:pStyle w:val="TableParagraph"/>
              <w:spacing w:before="2"/>
              <w:ind w:left="15"/>
              <w:rPr>
                <w:rFonts w:ascii="Calibri"/>
                <w:sz w:val="12"/>
              </w:rPr>
            </w:pPr>
            <w:r>
              <w:rPr>
                <w:rFonts w:ascii="Calibri"/>
                <w:w w:val="105"/>
                <w:sz w:val="12"/>
              </w:rPr>
              <w:t>1</w:t>
            </w:r>
          </w:p>
        </w:tc>
      </w:tr>
      <w:tr>
        <w:trPr>
          <w:trHeight w:val="158" w:hRule="exact"/>
        </w:trPr>
        <w:tc>
          <w:tcPr>
            <w:tcW w:w="660" w:type="dxa"/>
            <w:vMerge/>
            <w:tcBorders>
              <w:left w:val="single" w:sz="4" w:space="0" w:color="000000"/>
            </w:tcBorders>
          </w:tcPr>
          <w:p>
            <w:pPr/>
          </w:p>
        </w:tc>
        <w:tc>
          <w:tcPr>
            <w:tcW w:w="1802" w:type="dxa"/>
            <w:vMerge w:val="restart"/>
          </w:tcPr>
          <w:p>
            <w:pPr>
              <w:pStyle w:val="TableParagraph"/>
              <w:spacing w:before="73"/>
              <w:ind w:left="50"/>
              <w:jc w:val="left"/>
              <w:rPr>
                <w:rFonts w:ascii="Calibri"/>
                <w:sz w:val="12"/>
              </w:rPr>
            </w:pPr>
            <w:r>
              <w:rPr>
                <w:rFonts w:ascii="Calibri"/>
                <w:w w:val="105"/>
                <w:sz w:val="12"/>
              </w:rPr>
              <w:t>Autorizaciones</w:t>
            </w:r>
          </w:p>
        </w:tc>
        <w:tc>
          <w:tcPr>
            <w:tcW w:w="2247" w:type="dxa"/>
            <w:vMerge w:val="restart"/>
          </w:tcPr>
          <w:p>
            <w:pPr>
              <w:pStyle w:val="TableParagraph"/>
              <w:spacing w:line="259" w:lineRule="auto"/>
              <w:ind w:left="352" w:right="661"/>
              <w:jc w:val="left"/>
              <w:rPr>
                <w:rFonts w:ascii="Calibri" w:hAnsi="Calibri"/>
                <w:sz w:val="12"/>
              </w:rPr>
            </w:pPr>
            <w:r>
              <w:rPr>
                <w:rFonts w:ascii="Calibri" w:hAnsi="Calibri"/>
                <w:w w:val="105"/>
                <w:sz w:val="12"/>
              </w:rPr>
              <w:t>Metros de construcción Metros de terreno</w:t>
            </w:r>
          </w:p>
        </w:tc>
        <w:tc>
          <w:tcPr>
            <w:tcW w:w="1857" w:type="dxa"/>
            <w:vMerge w:val="restart"/>
          </w:tcPr>
          <w:p>
            <w:pPr>
              <w:pStyle w:val="TableParagraph"/>
              <w:ind w:right="498"/>
              <w:jc w:val="right"/>
              <w:rPr>
                <w:rFonts w:ascii="Calibri"/>
                <w:sz w:val="12"/>
              </w:rPr>
            </w:pPr>
            <w:r>
              <w:rPr>
                <w:rFonts w:ascii="Calibri"/>
                <w:w w:val="105"/>
                <w:sz w:val="12"/>
              </w:rPr>
              <w:t>0</w:t>
            </w:r>
          </w:p>
          <w:p>
            <w:pPr>
              <w:pStyle w:val="TableParagraph"/>
              <w:spacing w:before="11"/>
              <w:ind w:right="498"/>
              <w:jc w:val="right"/>
              <w:rPr>
                <w:rFonts w:ascii="Calibri"/>
                <w:sz w:val="12"/>
              </w:rPr>
            </w:pPr>
            <w:r>
              <w:rPr>
                <w:rFonts w:ascii="Calibri"/>
                <w:w w:val="105"/>
                <w:sz w:val="12"/>
              </w:rPr>
              <w:t>0</w:t>
            </w:r>
          </w:p>
        </w:tc>
        <w:tc>
          <w:tcPr>
            <w:tcW w:w="887" w:type="dxa"/>
            <w:vMerge w:val="restart"/>
          </w:tcPr>
          <w:p>
            <w:pPr/>
          </w:p>
        </w:tc>
        <w:tc>
          <w:tcPr>
            <w:tcW w:w="685" w:type="dxa"/>
            <w:tcBorders>
              <w:right w:val="single" w:sz="4" w:space="0" w:color="FFFFFF"/>
            </w:tcBorders>
            <w:shd w:val="clear" w:color="auto" w:fill="FFFF00"/>
          </w:tcPr>
          <w:p>
            <w:pPr>
              <w:pStyle w:val="TableParagraph"/>
              <w:ind w:left="15"/>
              <w:rPr>
                <w:rFonts w:ascii="Calibri"/>
                <w:sz w:val="12"/>
              </w:rPr>
            </w:pPr>
            <w:r>
              <w:rPr>
                <w:rFonts w:ascii="Calibri"/>
                <w:w w:val="105"/>
                <w:sz w:val="12"/>
              </w:rPr>
              <w:t>1</w:t>
            </w:r>
          </w:p>
        </w:tc>
        <w:tc>
          <w:tcPr>
            <w:tcW w:w="683" w:type="dxa"/>
            <w:tcBorders>
              <w:left w:val="single" w:sz="4" w:space="0" w:color="FFFFFF"/>
              <w:right w:val="single" w:sz="8" w:space="0" w:color="000000"/>
            </w:tcBorders>
            <w:shd w:val="clear" w:color="auto" w:fill="67ED4D"/>
          </w:tcPr>
          <w:p>
            <w:pPr>
              <w:pStyle w:val="TableParagraph"/>
              <w:ind w:left="15"/>
              <w:rPr>
                <w:rFonts w:ascii="Calibri"/>
                <w:sz w:val="12"/>
              </w:rPr>
            </w:pPr>
            <w:r>
              <w:rPr>
                <w:rFonts w:ascii="Calibri"/>
                <w:w w:val="105"/>
                <w:sz w:val="12"/>
              </w:rPr>
              <w:t>1</w:t>
            </w:r>
          </w:p>
        </w:tc>
      </w:tr>
      <w:tr>
        <w:trPr>
          <w:trHeight w:val="158" w:hRule="exact"/>
        </w:trPr>
        <w:tc>
          <w:tcPr>
            <w:tcW w:w="660" w:type="dxa"/>
            <w:vMerge/>
            <w:tcBorders>
              <w:left w:val="single" w:sz="4" w:space="0" w:color="000000"/>
            </w:tcBorders>
          </w:tcPr>
          <w:p>
            <w:pPr/>
          </w:p>
        </w:tc>
        <w:tc>
          <w:tcPr>
            <w:tcW w:w="1802" w:type="dxa"/>
            <w:vMerge/>
          </w:tcPr>
          <w:p>
            <w:pPr/>
          </w:p>
        </w:tc>
        <w:tc>
          <w:tcPr>
            <w:tcW w:w="2247" w:type="dxa"/>
            <w:vMerge/>
          </w:tcPr>
          <w:p>
            <w:pPr/>
          </w:p>
        </w:tc>
        <w:tc>
          <w:tcPr>
            <w:tcW w:w="1857" w:type="dxa"/>
            <w:vMerge/>
          </w:tcPr>
          <w:p>
            <w:pPr/>
          </w:p>
        </w:tc>
        <w:tc>
          <w:tcPr>
            <w:tcW w:w="887" w:type="dxa"/>
            <w:vMerge/>
          </w:tcPr>
          <w:p>
            <w:pPr/>
          </w:p>
        </w:tc>
        <w:tc>
          <w:tcPr>
            <w:tcW w:w="685" w:type="dxa"/>
            <w:tcBorders>
              <w:right w:val="single" w:sz="4" w:space="0" w:color="FFFFFF"/>
            </w:tcBorders>
            <w:shd w:val="clear" w:color="auto" w:fill="FFFF00"/>
          </w:tcPr>
          <w:p>
            <w:pPr>
              <w:pStyle w:val="TableParagraph"/>
              <w:ind w:left="15"/>
              <w:rPr>
                <w:rFonts w:ascii="Calibri"/>
                <w:sz w:val="12"/>
              </w:rPr>
            </w:pPr>
            <w:r>
              <w:rPr>
                <w:rFonts w:ascii="Calibri"/>
                <w:w w:val="105"/>
                <w:sz w:val="12"/>
              </w:rPr>
              <w:t>1</w:t>
            </w:r>
          </w:p>
        </w:tc>
        <w:tc>
          <w:tcPr>
            <w:tcW w:w="683" w:type="dxa"/>
            <w:tcBorders>
              <w:left w:val="single" w:sz="4" w:space="0" w:color="FFFFFF"/>
              <w:right w:val="single" w:sz="8" w:space="0" w:color="000000"/>
            </w:tcBorders>
            <w:shd w:val="clear" w:color="auto" w:fill="67ED4D"/>
          </w:tcPr>
          <w:p>
            <w:pPr>
              <w:pStyle w:val="TableParagraph"/>
              <w:ind w:left="15"/>
              <w:rPr>
                <w:rFonts w:ascii="Calibri"/>
                <w:sz w:val="12"/>
              </w:rPr>
            </w:pPr>
            <w:r>
              <w:rPr>
                <w:rFonts w:ascii="Calibri"/>
                <w:w w:val="105"/>
                <w:sz w:val="12"/>
              </w:rPr>
              <w:t>1</w:t>
            </w:r>
          </w:p>
        </w:tc>
      </w:tr>
      <w:tr>
        <w:trPr>
          <w:trHeight w:val="158" w:hRule="exact"/>
        </w:trPr>
        <w:tc>
          <w:tcPr>
            <w:tcW w:w="660" w:type="dxa"/>
            <w:vMerge/>
            <w:tcBorders>
              <w:left w:val="single" w:sz="4" w:space="0" w:color="000000"/>
            </w:tcBorders>
          </w:tcPr>
          <w:p>
            <w:pPr/>
          </w:p>
        </w:tc>
        <w:tc>
          <w:tcPr>
            <w:tcW w:w="1802" w:type="dxa"/>
          </w:tcPr>
          <w:p>
            <w:pPr/>
          </w:p>
        </w:tc>
        <w:tc>
          <w:tcPr>
            <w:tcW w:w="2247" w:type="dxa"/>
          </w:tcPr>
          <w:p>
            <w:pPr>
              <w:pStyle w:val="TableParagraph"/>
              <w:ind w:left="352" w:right="661"/>
              <w:jc w:val="left"/>
              <w:rPr>
                <w:rFonts w:ascii="Calibri"/>
                <w:sz w:val="12"/>
              </w:rPr>
            </w:pPr>
            <w:r>
              <w:rPr>
                <w:rFonts w:ascii="Calibri"/>
                <w:w w:val="105"/>
                <w:sz w:val="12"/>
              </w:rPr>
              <w:t>Plan ambiental</w:t>
            </w:r>
          </w:p>
        </w:tc>
        <w:tc>
          <w:tcPr>
            <w:tcW w:w="1857" w:type="dxa"/>
          </w:tcPr>
          <w:p>
            <w:pPr>
              <w:pStyle w:val="TableParagraph"/>
              <w:ind w:left="791"/>
              <w:rPr>
                <w:rFonts w:ascii="Calibri"/>
                <w:sz w:val="12"/>
              </w:rPr>
            </w:pPr>
            <w:r>
              <w:rPr>
                <w:rFonts w:ascii="Calibri"/>
                <w:w w:val="105"/>
                <w:sz w:val="12"/>
              </w:rPr>
              <w:t>0</w:t>
            </w:r>
          </w:p>
        </w:tc>
        <w:tc>
          <w:tcPr>
            <w:tcW w:w="887" w:type="dxa"/>
          </w:tcPr>
          <w:p>
            <w:pPr/>
          </w:p>
        </w:tc>
        <w:tc>
          <w:tcPr>
            <w:tcW w:w="685" w:type="dxa"/>
            <w:tcBorders>
              <w:right w:val="single" w:sz="4" w:space="0" w:color="FFFFFF"/>
            </w:tcBorders>
            <w:shd w:val="clear" w:color="auto" w:fill="FFFF00"/>
          </w:tcPr>
          <w:p>
            <w:pPr>
              <w:pStyle w:val="TableParagraph"/>
              <w:ind w:left="15"/>
              <w:rPr>
                <w:rFonts w:ascii="Calibri"/>
                <w:sz w:val="12"/>
              </w:rPr>
            </w:pPr>
            <w:r>
              <w:rPr>
                <w:rFonts w:ascii="Calibri"/>
                <w:w w:val="105"/>
                <w:sz w:val="12"/>
              </w:rPr>
              <w:t>1</w:t>
            </w:r>
          </w:p>
        </w:tc>
        <w:tc>
          <w:tcPr>
            <w:tcW w:w="683" w:type="dxa"/>
            <w:tcBorders>
              <w:left w:val="single" w:sz="4" w:space="0" w:color="FFFFFF"/>
              <w:right w:val="single" w:sz="8" w:space="0" w:color="000000"/>
            </w:tcBorders>
            <w:shd w:val="clear" w:color="auto" w:fill="67ED4D"/>
          </w:tcPr>
          <w:p>
            <w:pPr>
              <w:pStyle w:val="TableParagraph"/>
              <w:ind w:left="15"/>
              <w:rPr>
                <w:rFonts w:ascii="Calibri"/>
                <w:sz w:val="12"/>
              </w:rPr>
            </w:pPr>
            <w:r>
              <w:rPr>
                <w:rFonts w:ascii="Calibri"/>
                <w:w w:val="105"/>
                <w:sz w:val="12"/>
              </w:rPr>
              <w:t>1</w:t>
            </w:r>
          </w:p>
        </w:tc>
      </w:tr>
      <w:tr>
        <w:trPr>
          <w:trHeight w:val="162" w:hRule="exact"/>
        </w:trPr>
        <w:tc>
          <w:tcPr>
            <w:tcW w:w="660" w:type="dxa"/>
            <w:vMerge/>
            <w:tcBorders>
              <w:left w:val="single" w:sz="4" w:space="0" w:color="000000"/>
            </w:tcBorders>
          </w:tcPr>
          <w:p>
            <w:pPr/>
          </w:p>
        </w:tc>
        <w:tc>
          <w:tcPr>
            <w:tcW w:w="1802" w:type="dxa"/>
          </w:tcPr>
          <w:p>
            <w:pPr/>
          </w:p>
        </w:tc>
        <w:tc>
          <w:tcPr>
            <w:tcW w:w="2247" w:type="dxa"/>
          </w:tcPr>
          <w:p>
            <w:pPr/>
          </w:p>
        </w:tc>
        <w:tc>
          <w:tcPr>
            <w:tcW w:w="1857" w:type="dxa"/>
          </w:tcPr>
          <w:p>
            <w:pPr>
              <w:pStyle w:val="TableParagraph"/>
              <w:spacing w:before="1"/>
              <w:ind w:left="964" w:right="184"/>
              <w:rPr>
                <w:rFonts w:ascii="Calibri"/>
                <w:sz w:val="12"/>
              </w:rPr>
            </w:pPr>
            <w:r>
              <w:rPr>
                <w:rFonts w:ascii="Calibri"/>
                <w:w w:val="105"/>
                <w:sz w:val="12"/>
              </w:rPr>
              <w:t>Subtotal</w:t>
            </w:r>
          </w:p>
        </w:tc>
        <w:tc>
          <w:tcPr>
            <w:tcW w:w="887" w:type="dxa"/>
          </w:tcPr>
          <w:p>
            <w:pPr>
              <w:pStyle w:val="TableParagraph"/>
              <w:tabs>
                <w:tab w:pos="466"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0.6</w:t>
            </w:r>
            <w:r>
              <w:rPr>
                <w:rFonts w:ascii="Calibri"/>
                <w:sz w:val="12"/>
                <w:shd w:fill="F79646" w:color="auto" w:val="clear"/>
              </w:rPr>
              <w:tab/>
            </w:r>
          </w:p>
        </w:tc>
        <w:tc>
          <w:tcPr>
            <w:tcW w:w="685" w:type="dxa"/>
            <w:tcBorders>
              <w:right w:val="single" w:sz="4" w:space="0" w:color="FFFFFF"/>
            </w:tcBorders>
            <w:shd w:val="clear" w:color="auto" w:fill="FFFF00"/>
          </w:tcPr>
          <w:p>
            <w:pPr>
              <w:pStyle w:val="TableParagraph"/>
              <w:ind w:left="38" w:right="32"/>
              <w:rPr>
                <w:rFonts w:ascii="Calibri"/>
                <w:sz w:val="12"/>
              </w:rPr>
            </w:pPr>
            <w:r>
              <w:rPr>
                <w:rFonts w:ascii="Calibri"/>
                <w:w w:val="105"/>
                <w:sz w:val="12"/>
              </w:rPr>
              <w:t>3.6</w:t>
            </w:r>
          </w:p>
        </w:tc>
        <w:tc>
          <w:tcPr>
            <w:tcW w:w="683" w:type="dxa"/>
            <w:tcBorders>
              <w:left w:val="single" w:sz="4" w:space="0" w:color="FFFFFF"/>
              <w:right w:val="single" w:sz="8" w:space="0" w:color="000000"/>
            </w:tcBorders>
            <w:shd w:val="clear" w:color="auto" w:fill="67ED4D"/>
          </w:tcPr>
          <w:p>
            <w:pPr>
              <w:pStyle w:val="TableParagraph"/>
              <w:ind w:left="15"/>
              <w:rPr>
                <w:rFonts w:ascii="Calibri"/>
                <w:sz w:val="12"/>
              </w:rPr>
            </w:pPr>
            <w:r>
              <w:rPr>
                <w:rFonts w:ascii="Calibri"/>
                <w:w w:val="105"/>
                <w:sz w:val="12"/>
              </w:rPr>
              <w:t>4</w:t>
            </w:r>
          </w:p>
        </w:tc>
      </w:tr>
      <w:tr>
        <w:trPr>
          <w:trHeight w:val="147" w:hRule="exact"/>
        </w:trPr>
        <w:tc>
          <w:tcPr>
            <w:tcW w:w="8821" w:type="dxa"/>
            <w:gridSpan w:val="7"/>
            <w:tcBorders>
              <w:left w:val="single" w:sz="4" w:space="0" w:color="000000"/>
              <w:right w:val="single" w:sz="8" w:space="0" w:color="000000"/>
            </w:tcBorders>
          </w:tcPr>
          <w:p>
            <w:pPr/>
          </w:p>
        </w:tc>
      </w:tr>
      <w:tr>
        <w:trPr>
          <w:trHeight w:val="163" w:hRule="exact"/>
        </w:trPr>
        <w:tc>
          <w:tcPr>
            <w:tcW w:w="660" w:type="dxa"/>
            <w:tcBorders>
              <w:left w:val="single" w:sz="4" w:space="0" w:color="000000"/>
            </w:tcBorders>
          </w:tcPr>
          <w:p>
            <w:pPr/>
          </w:p>
        </w:tc>
        <w:tc>
          <w:tcPr>
            <w:tcW w:w="1802" w:type="dxa"/>
          </w:tcPr>
          <w:p>
            <w:pPr>
              <w:pStyle w:val="TableParagraph"/>
              <w:spacing w:before="6"/>
              <w:ind w:left="50"/>
              <w:jc w:val="left"/>
              <w:rPr>
                <w:rFonts w:ascii="Calibri"/>
                <w:sz w:val="12"/>
              </w:rPr>
            </w:pPr>
            <w:r>
              <w:rPr>
                <w:rFonts w:ascii="Calibri"/>
                <w:w w:val="105"/>
                <w:sz w:val="12"/>
              </w:rPr>
              <w:t>Agua</w:t>
            </w:r>
          </w:p>
        </w:tc>
        <w:tc>
          <w:tcPr>
            <w:tcW w:w="2247" w:type="dxa"/>
          </w:tcPr>
          <w:p>
            <w:pPr>
              <w:pStyle w:val="TableParagraph"/>
              <w:spacing w:before="6"/>
              <w:ind w:left="352"/>
              <w:jc w:val="left"/>
              <w:rPr>
                <w:rFonts w:ascii="Calibri"/>
                <w:sz w:val="12"/>
              </w:rPr>
            </w:pPr>
            <w:r>
              <w:rPr>
                <w:rFonts w:ascii="Calibri"/>
                <w:w w:val="105"/>
                <w:sz w:val="12"/>
              </w:rPr>
              <w:t>Tipo de abastecimiento</w:t>
            </w:r>
          </w:p>
        </w:tc>
        <w:tc>
          <w:tcPr>
            <w:tcW w:w="1857" w:type="dxa"/>
          </w:tcPr>
          <w:p>
            <w:pPr>
              <w:pStyle w:val="TableParagraph"/>
              <w:tabs>
                <w:tab w:pos="1292" w:val="left" w:leader="none"/>
                <w:tab w:pos="2071" w:val="left" w:leader="none"/>
              </w:tabs>
              <w:spacing w:before="6"/>
              <w:ind w:left="566" w:right="-214"/>
              <w:rPr>
                <w:rFonts w:ascii="Calibri"/>
                <w:sz w:val="12"/>
              </w:rPr>
            </w:pPr>
            <w:r>
              <w:rPr>
                <w:rFonts w:ascii="Times New Roman"/>
                <w:w w:val="105"/>
                <w:sz w:val="12"/>
                <w:shd w:fill="BAF9F5" w:color="auto" w:val="clear"/>
              </w:rPr>
              <w:t> </w:t>
            </w:r>
            <w:r>
              <w:rPr>
                <w:rFonts w:ascii="Times New Roman"/>
                <w:sz w:val="12"/>
                <w:shd w:fill="BAF9F5" w:color="auto" w:val="clear"/>
              </w:rPr>
              <w:tab/>
            </w:r>
            <w:r>
              <w:rPr>
                <w:rFonts w:ascii="Calibri"/>
                <w:w w:val="105"/>
                <w:sz w:val="12"/>
                <w:shd w:fill="BAF9F5" w:color="auto" w:val="clear"/>
              </w:rPr>
              <w:t>1</w:t>
            </w:r>
            <w:r>
              <w:rPr>
                <w:rFonts w:ascii="Calibri"/>
                <w:sz w:val="12"/>
                <w:shd w:fill="BAF9F5" w:color="auto" w:val="clear"/>
              </w:rPr>
              <w:tab/>
            </w:r>
          </w:p>
        </w:tc>
        <w:tc>
          <w:tcPr>
            <w:tcW w:w="887" w:type="dxa"/>
          </w:tcPr>
          <w:p>
            <w:pPr/>
          </w:p>
        </w:tc>
        <w:tc>
          <w:tcPr>
            <w:tcW w:w="685" w:type="dxa"/>
          </w:tcPr>
          <w:p>
            <w:pPr>
              <w:pStyle w:val="TableParagraph"/>
              <w:spacing w:before="6"/>
              <w:ind w:left="243" w:right="242"/>
              <w:rPr>
                <w:rFonts w:ascii="Calibri"/>
                <w:sz w:val="12"/>
              </w:rPr>
            </w:pPr>
            <w:r>
              <w:rPr>
                <w:rFonts w:ascii="Calibri"/>
                <w:w w:val="105"/>
                <w:sz w:val="12"/>
              </w:rPr>
              <w:t>0.7</w:t>
            </w:r>
          </w:p>
        </w:tc>
        <w:tc>
          <w:tcPr>
            <w:tcW w:w="683" w:type="dxa"/>
            <w:tcBorders>
              <w:right w:val="single" w:sz="8" w:space="0" w:color="000000"/>
            </w:tcBorders>
            <w:shd w:val="clear" w:color="auto" w:fill="67ED4D"/>
          </w:tcPr>
          <w:p>
            <w:pPr>
              <w:pStyle w:val="TableParagraph"/>
              <w:spacing w:before="6"/>
              <w:ind w:left="21"/>
              <w:rPr>
                <w:rFonts w:ascii="Calibri"/>
                <w:sz w:val="12"/>
              </w:rPr>
            </w:pPr>
            <w:r>
              <w:rPr>
                <w:rFonts w:ascii="Calibri"/>
                <w:w w:val="105"/>
                <w:sz w:val="12"/>
              </w:rPr>
              <w:t>1</w:t>
            </w:r>
          </w:p>
        </w:tc>
      </w:tr>
      <w:tr>
        <w:trPr>
          <w:trHeight w:val="163" w:hRule="exact"/>
        </w:trPr>
        <w:tc>
          <w:tcPr>
            <w:tcW w:w="660" w:type="dxa"/>
            <w:tcBorders>
              <w:left w:val="single" w:sz="4" w:space="0" w:color="000000"/>
            </w:tcBorders>
          </w:tcPr>
          <w:p>
            <w:pPr/>
          </w:p>
        </w:tc>
        <w:tc>
          <w:tcPr>
            <w:tcW w:w="1802" w:type="dxa"/>
          </w:tcPr>
          <w:p>
            <w:pPr/>
          </w:p>
        </w:tc>
        <w:tc>
          <w:tcPr>
            <w:tcW w:w="2247" w:type="dxa"/>
          </w:tcPr>
          <w:p>
            <w:pPr/>
          </w:p>
        </w:tc>
        <w:tc>
          <w:tcPr>
            <w:tcW w:w="1857" w:type="dxa"/>
          </w:tcPr>
          <w:p>
            <w:pPr>
              <w:pStyle w:val="TableParagraph"/>
              <w:spacing w:before="1"/>
              <w:ind w:left="964" w:right="184"/>
              <w:rPr>
                <w:rFonts w:ascii="Calibri"/>
                <w:sz w:val="12"/>
              </w:rPr>
            </w:pPr>
            <w:r>
              <w:rPr>
                <w:rFonts w:ascii="Calibri"/>
                <w:w w:val="105"/>
                <w:sz w:val="12"/>
              </w:rPr>
              <w:t>Subtotal</w:t>
            </w:r>
          </w:p>
        </w:tc>
        <w:tc>
          <w:tcPr>
            <w:tcW w:w="887" w:type="dxa"/>
          </w:tcPr>
          <w:p>
            <w:pPr>
              <w:pStyle w:val="TableParagraph"/>
              <w:tabs>
                <w:tab w:pos="518"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1</w:t>
            </w:r>
            <w:r>
              <w:rPr>
                <w:rFonts w:ascii="Calibri"/>
                <w:sz w:val="12"/>
                <w:shd w:fill="F79646" w:color="auto" w:val="clear"/>
              </w:rPr>
              <w:tab/>
            </w:r>
          </w:p>
        </w:tc>
        <w:tc>
          <w:tcPr>
            <w:tcW w:w="685" w:type="dxa"/>
          </w:tcPr>
          <w:p>
            <w:pPr>
              <w:pStyle w:val="TableParagraph"/>
              <w:spacing w:before="1"/>
              <w:ind w:left="243" w:right="242"/>
              <w:rPr>
                <w:rFonts w:ascii="Calibri"/>
                <w:sz w:val="12"/>
              </w:rPr>
            </w:pPr>
            <w:r>
              <w:rPr>
                <w:rFonts w:ascii="Calibri"/>
                <w:w w:val="105"/>
                <w:sz w:val="12"/>
              </w:rPr>
              <w:t>0.7</w:t>
            </w:r>
          </w:p>
        </w:tc>
        <w:tc>
          <w:tcPr>
            <w:tcW w:w="683" w:type="dxa"/>
            <w:tcBorders>
              <w:right w:val="single" w:sz="8" w:space="0" w:color="000000"/>
            </w:tcBorders>
            <w:shd w:val="clear" w:color="auto" w:fill="67ED4D"/>
          </w:tcPr>
          <w:p>
            <w:pPr>
              <w:pStyle w:val="TableParagraph"/>
              <w:spacing w:before="1"/>
              <w:ind w:left="21"/>
              <w:rPr>
                <w:rFonts w:ascii="Calibri"/>
                <w:sz w:val="12"/>
              </w:rPr>
            </w:pPr>
            <w:r>
              <w:rPr>
                <w:rFonts w:ascii="Calibri"/>
                <w:w w:val="105"/>
                <w:sz w:val="12"/>
              </w:rPr>
              <w:t>1</w:t>
            </w:r>
          </w:p>
        </w:tc>
      </w:tr>
      <w:tr>
        <w:trPr>
          <w:trHeight w:val="147" w:hRule="exact"/>
        </w:trPr>
        <w:tc>
          <w:tcPr>
            <w:tcW w:w="8821" w:type="dxa"/>
            <w:gridSpan w:val="7"/>
            <w:tcBorders>
              <w:left w:val="single" w:sz="4" w:space="0" w:color="000000"/>
              <w:right w:val="single" w:sz="8" w:space="0" w:color="000000"/>
            </w:tcBorders>
          </w:tcPr>
          <w:p>
            <w:pPr/>
          </w:p>
        </w:tc>
      </w:tr>
      <w:tr>
        <w:trPr>
          <w:trHeight w:val="165" w:hRule="exact"/>
        </w:trPr>
        <w:tc>
          <w:tcPr>
            <w:tcW w:w="660" w:type="dxa"/>
            <w:tcBorders>
              <w:left w:val="single" w:sz="4" w:space="0" w:color="000000"/>
            </w:tcBorders>
          </w:tcPr>
          <w:p>
            <w:pPr/>
          </w:p>
        </w:tc>
        <w:tc>
          <w:tcPr>
            <w:tcW w:w="1802" w:type="dxa"/>
          </w:tcPr>
          <w:p>
            <w:pPr/>
          </w:p>
        </w:tc>
        <w:tc>
          <w:tcPr>
            <w:tcW w:w="2247" w:type="dxa"/>
          </w:tcPr>
          <w:p>
            <w:pPr>
              <w:pStyle w:val="TableParagraph"/>
              <w:spacing w:before="6"/>
              <w:ind w:left="352" w:right="661"/>
              <w:jc w:val="left"/>
              <w:rPr>
                <w:rFonts w:ascii="Calibri"/>
                <w:sz w:val="12"/>
              </w:rPr>
            </w:pPr>
            <w:r>
              <w:rPr>
                <w:rFonts w:ascii="Calibri"/>
                <w:w w:val="105"/>
                <w:sz w:val="12"/>
              </w:rPr>
              <w:t>Agua potable</w:t>
            </w:r>
          </w:p>
        </w:tc>
        <w:tc>
          <w:tcPr>
            <w:tcW w:w="1857" w:type="dxa"/>
          </w:tcPr>
          <w:p>
            <w:pPr>
              <w:pStyle w:val="TableParagraph"/>
              <w:spacing w:before="6"/>
              <w:ind w:left="791"/>
              <w:rPr>
                <w:rFonts w:ascii="Calibri"/>
                <w:sz w:val="12"/>
              </w:rPr>
            </w:pPr>
            <w:r>
              <w:rPr>
                <w:rFonts w:ascii="Calibri"/>
                <w:w w:val="105"/>
                <w:sz w:val="12"/>
              </w:rPr>
              <w:t>0</w:t>
            </w:r>
          </w:p>
        </w:tc>
        <w:tc>
          <w:tcPr>
            <w:tcW w:w="887" w:type="dxa"/>
          </w:tcPr>
          <w:p>
            <w:pPr/>
          </w:p>
        </w:tc>
        <w:tc>
          <w:tcPr>
            <w:tcW w:w="685" w:type="dxa"/>
          </w:tcPr>
          <w:p>
            <w:pPr>
              <w:pStyle w:val="TableParagraph"/>
              <w:spacing w:before="6"/>
              <w:ind w:left="243" w:right="242"/>
              <w:rPr>
                <w:rFonts w:ascii="Calibri"/>
                <w:sz w:val="12"/>
              </w:rPr>
            </w:pPr>
            <w:r>
              <w:rPr>
                <w:rFonts w:ascii="Calibri"/>
                <w:w w:val="105"/>
                <w:sz w:val="12"/>
              </w:rPr>
              <w:t>0.5</w:t>
            </w:r>
          </w:p>
        </w:tc>
        <w:tc>
          <w:tcPr>
            <w:tcW w:w="683" w:type="dxa"/>
            <w:tcBorders>
              <w:right w:val="single" w:sz="8" w:space="0" w:color="000000"/>
            </w:tcBorders>
            <w:shd w:val="clear" w:color="auto" w:fill="67ED4D"/>
          </w:tcPr>
          <w:p>
            <w:pPr>
              <w:pStyle w:val="TableParagraph"/>
              <w:spacing w:before="6"/>
              <w:ind w:left="21"/>
              <w:rPr>
                <w:rFonts w:ascii="Calibri"/>
                <w:sz w:val="12"/>
              </w:rPr>
            </w:pPr>
            <w:r>
              <w:rPr>
                <w:rFonts w:ascii="Calibri"/>
                <w:w w:val="105"/>
                <w:sz w:val="12"/>
              </w:rPr>
              <w:t>1</w:t>
            </w:r>
          </w:p>
        </w:tc>
      </w:tr>
      <w:tr>
        <w:trPr>
          <w:trHeight w:val="158" w:hRule="exact"/>
        </w:trPr>
        <w:tc>
          <w:tcPr>
            <w:tcW w:w="660" w:type="dxa"/>
            <w:tcBorders>
              <w:left w:val="single" w:sz="4" w:space="0" w:color="000000"/>
            </w:tcBorders>
          </w:tcPr>
          <w:p>
            <w:pPr/>
          </w:p>
        </w:tc>
        <w:tc>
          <w:tcPr>
            <w:tcW w:w="1802" w:type="dxa"/>
          </w:tcPr>
          <w:p>
            <w:pPr/>
          </w:p>
        </w:tc>
        <w:tc>
          <w:tcPr>
            <w:tcW w:w="2247" w:type="dxa"/>
          </w:tcPr>
          <w:p>
            <w:pPr>
              <w:pStyle w:val="TableParagraph"/>
              <w:ind w:left="352" w:right="661"/>
              <w:jc w:val="left"/>
              <w:rPr>
                <w:rFonts w:ascii="Calibri" w:hAnsi="Calibri"/>
                <w:sz w:val="12"/>
              </w:rPr>
            </w:pPr>
            <w:r>
              <w:rPr>
                <w:rFonts w:ascii="Calibri" w:hAnsi="Calibri"/>
                <w:w w:val="105"/>
                <w:sz w:val="12"/>
              </w:rPr>
              <w:t>Energía eléctrica</w:t>
            </w:r>
          </w:p>
        </w:tc>
        <w:tc>
          <w:tcPr>
            <w:tcW w:w="1857" w:type="dxa"/>
          </w:tcPr>
          <w:p>
            <w:pPr>
              <w:pStyle w:val="TableParagraph"/>
              <w:ind w:left="966" w:right="184"/>
              <w:rPr>
                <w:rFonts w:ascii="Calibri"/>
                <w:sz w:val="12"/>
              </w:rPr>
            </w:pPr>
            <w:r>
              <w:rPr>
                <w:rFonts w:ascii="Calibri"/>
                <w:w w:val="105"/>
                <w:sz w:val="12"/>
              </w:rPr>
              <w:t>0.5</w:t>
            </w:r>
          </w:p>
        </w:tc>
        <w:tc>
          <w:tcPr>
            <w:tcW w:w="887" w:type="dxa"/>
          </w:tcPr>
          <w:p>
            <w:pPr/>
          </w:p>
        </w:tc>
        <w:tc>
          <w:tcPr>
            <w:tcW w:w="685" w:type="dxa"/>
          </w:tcPr>
          <w:p>
            <w:pPr>
              <w:pStyle w:val="TableParagraph"/>
              <w:ind w:left="243" w:right="242"/>
              <w:rPr>
                <w:rFonts w:ascii="Calibri"/>
                <w:sz w:val="12"/>
              </w:rPr>
            </w:pPr>
            <w:r>
              <w:rPr>
                <w:rFonts w:ascii="Calibri"/>
                <w:w w:val="105"/>
                <w:sz w:val="12"/>
              </w:rPr>
              <w:t>0.5</w:t>
            </w: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60" w:type="dxa"/>
            <w:tcBorders>
              <w:left w:val="single" w:sz="4" w:space="0" w:color="000000"/>
            </w:tcBorders>
          </w:tcPr>
          <w:p>
            <w:pPr/>
          </w:p>
        </w:tc>
        <w:tc>
          <w:tcPr>
            <w:tcW w:w="1802" w:type="dxa"/>
          </w:tcPr>
          <w:p>
            <w:pPr/>
          </w:p>
        </w:tc>
        <w:tc>
          <w:tcPr>
            <w:tcW w:w="2247" w:type="dxa"/>
          </w:tcPr>
          <w:p>
            <w:pPr>
              <w:pStyle w:val="TableParagraph"/>
              <w:ind w:left="352" w:right="661"/>
              <w:jc w:val="left"/>
              <w:rPr>
                <w:rFonts w:ascii="Calibri"/>
                <w:sz w:val="12"/>
              </w:rPr>
            </w:pPr>
            <w:r>
              <w:rPr>
                <w:rFonts w:ascii="Calibri"/>
                <w:w w:val="105"/>
                <w:sz w:val="12"/>
              </w:rPr>
              <w:t>Drenaje sanitario</w:t>
            </w:r>
          </w:p>
        </w:tc>
        <w:tc>
          <w:tcPr>
            <w:tcW w:w="1857" w:type="dxa"/>
          </w:tcPr>
          <w:p>
            <w:pPr>
              <w:pStyle w:val="TableParagraph"/>
              <w:ind w:left="791"/>
              <w:rPr>
                <w:rFonts w:ascii="Calibri"/>
                <w:sz w:val="12"/>
              </w:rPr>
            </w:pPr>
            <w:r>
              <w:rPr>
                <w:rFonts w:ascii="Calibri"/>
                <w:w w:val="105"/>
                <w:sz w:val="12"/>
              </w:rPr>
              <w:t>0</w:t>
            </w:r>
          </w:p>
        </w:tc>
        <w:tc>
          <w:tcPr>
            <w:tcW w:w="887" w:type="dxa"/>
          </w:tcPr>
          <w:p>
            <w:pPr/>
          </w:p>
        </w:tc>
        <w:tc>
          <w:tcPr>
            <w:tcW w:w="685" w:type="dxa"/>
          </w:tcPr>
          <w:p>
            <w:pPr>
              <w:pStyle w:val="TableParagraph"/>
              <w:ind w:left="243" w:right="242"/>
              <w:rPr>
                <w:rFonts w:ascii="Calibri"/>
                <w:sz w:val="12"/>
              </w:rPr>
            </w:pPr>
            <w:r>
              <w:rPr>
                <w:rFonts w:ascii="Calibri"/>
                <w:w w:val="105"/>
                <w:sz w:val="12"/>
              </w:rPr>
              <w:t>0.5</w:t>
            </w: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60" w:type="dxa"/>
            <w:tcBorders>
              <w:left w:val="single" w:sz="4" w:space="0" w:color="000000"/>
            </w:tcBorders>
          </w:tcPr>
          <w:p>
            <w:pPr/>
          </w:p>
        </w:tc>
        <w:tc>
          <w:tcPr>
            <w:tcW w:w="1802" w:type="dxa"/>
          </w:tcPr>
          <w:p>
            <w:pPr>
              <w:pStyle w:val="TableParagraph"/>
              <w:ind w:left="50"/>
              <w:jc w:val="left"/>
              <w:rPr>
                <w:rFonts w:ascii="Calibri"/>
                <w:sz w:val="12"/>
              </w:rPr>
            </w:pPr>
            <w:r>
              <w:rPr>
                <w:rFonts w:ascii="Calibri"/>
                <w:w w:val="105"/>
                <w:sz w:val="12"/>
              </w:rPr>
              <w:t>Infraestructura</w:t>
            </w:r>
          </w:p>
        </w:tc>
        <w:tc>
          <w:tcPr>
            <w:tcW w:w="2247" w:type="dxa"/>
          </w:tcPr>
          <w:p>
            <w:pPr>
              <w:pStyle w:val="TableParagraph"/>
              <w:ind w:left="352" w:right="661"/>
              <w:jc w:val="left"/>
              <w:rPr>
                <w:rFonts w:ascii="Calibri"/>
                <w:sz w:val="12"/>
              </w:rPr>
            </w:pPr>
            <w:r>
              <w:rPr>
                <w:rFonts w:ascii="Calibri"/>
                <w:w w:val="105"/>
                <w:sz w:val="12"/>
              </w:rPr>
              <w:t>Drenaje pluvial</w:t>
            </w:r>
          </w:p>
        </w:tc>
        <w:tc>
          <w:tcPr>
            <w:tcW w:w="1857" w:type="dxa"/>
          </w:tcPr>
          <w:p>
            <w:pPr>
              <w:pStyle w:val="TableParagraph"/>
              <w:ind w:left="791"/>
              <w:rPr>
                <w:rFonts w:ascii="Calibri"/>
                <w:sz w:val="12"/>
              </w:rPr>
            </w:pPr>
            <w:r>
              <w:rPr>
                <w:rFonts w:ascii="Calibri"/>
                <w:w w:val="105"/>
                <w:sz w:val="12"/>
              </w:rPr>
              <w:t>0</w:t>
            </w:r>
          </w:p>
        </w:tc>
        <w:tc>
          <w:tcPr>
            <w:tcW w:w="887" w:type="dxa"/>
          </w:tcPr>
          <w:p>
            <w:pPr/>
          </w:p>
        </w:tc>
        <w:tc>
          <w:tcPr>
            <w:tcW w:w="685" w:type="dxa"/>
          </w:tcPr>
          <w:p>
            <w:pPr>
              <w:pStyle w:val="TableParagraph"/>
              <w:ind w:left="243" w:right="242"/>
              <w:rPr>
                <w:rFonts w:ascii="Calibri"/>
                <w:sz w:val="12"/>
              </w:rPr>
            </w:pPr>
            <w:r>
              <w:rPr>
                <w:rFonts w:ascii="Calibri"/>
                <w:w w:val="105"/>
                <w:sz w:val="12"/>
              </w:rPr>
              <w:t>0.5</w:t>
            </w: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60" w:type="dxa"/>
            <w:tcBorders>
              <w:left w:val="single" w:sz="4" w:space="0" w:color="000000"/>
            </w:tcBorders>
          </w:tcPr>
          <w:p>
            <w:pPr/>
          </w:p>
        </w:tc>
        <w:tc>
          <w:tcPr>
            <w:tcW w:w="1802" w:type="dxa"/>
          </w:tcPr>
          <w:p>
            <w:pPr/>
          </w:p>
        </w:tc>
        <w:tc>
          <w:tcPr>
            <w:tcW w:w="2247" w:type="dxa"/>
          </w:tcPr>
          <w:p>
            <w:pPr>
              <w:pStyle w:val="TableParagraph"/>
              <w:ind w:left="352"/>
              <w:jc w:val="left"/>
              <w:rPr>
                <w:rFonts w:ascii="Calibri"/>
                <w:sz w:val="12"/>
              </w:rPr>
            </w:pPr>
            <w:r>
              <w:rPr>
                <w:rFonts w:ascii="Calibri"/>
                <w:w w:val="105"/>
                <w:sz w:val="12"/>
              </w:rPr>
              <w:t>Guarniciones y banquetas</w:t>
            </w:r>
          </w:p>
        </w:tc>
        <w:tc>
          <w:tcPr>
            <w:tcW w:w="1857" w:type="dxa"/>
          </w:tcPr>
          <w:p>
            <w:pPr>
              <w:pStyle w:val="TableParagraph"/>
              <w:ind w:left="966" w:right="184"/>
              <w:rPr>
                <w:rFonts w:ascii="Calibri"/>
                <w:sz w:val="12"/>
              </w:rPr>
            </w:pPr>
            <w:r>
              <w:rPr>
                <w:rFonts w:ascii="Calibri"/>
                <w:w w:val="105"/>
                <w:sz w:val="12"/>
              </w:rPr>
              <w:t>0.5</w:t>
            </w:r>
          </w:p>
        </w:tc>
        <w:tc>
          <w:tcPr>
            <w:tcW w:w="887" w:type="dxa"/>
          </w:tcPr>
          <w:p>
            <w:pPr/>
          </w:p>
        </w:tc>
        <w:tc>
          <w:tcPr>
            <w:tcW w:w="685" w:type="dxa"/>
          </w:tcPr>
          <w:p>
            <w:pPr>
              <w:pStyle w:val="TableParagraph"/>
              <w:ind w:left="243" w:right="242"/>
              <w:rPr>
                <w:rFonts w:ascii="Calibri"/>
                <w:sz w:val="12"/>
              </w:rPr>
            </w:pPr>
            <w:r>
              <w:rPr>
                <w:rFonts w:ascii="Calibri"/>
                <w:w w:val="105"/>
                <w:sz w:val="12"/>
              </w:rPr>
              <w:t>0.5</w:t>
            </w: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60" w:type="dxa"/>
            <w:tcBorders>
              <w:left w:val="single" w:sz="4" w:space="0" w:color="000000"/>
            </w:tcBorders>
          </w:tcPr>
          <w:p>
            <w:pPr/>
          </w:p>
        </w:tc>
        <w:tc>
          <w:tcPr>
            <w:tcW w:w="1802" w:type="dxa"/>
          </w:tcPr>
          <w:p>
            <w:pPr/>
          </w:p>
        </w:tc>
        <w:tc>
          <w:tcPr>
            <w:tcW w:w="2247" w:type="dxa"/>
          </w:tcPr>
          <w:p>
            <w:pPr>
              <w:pStyle w:val="TableParagraph"/>
              <w:ind w:left="352" w:right="661"/>
              <w:jc w:val="left"/>
              <w:rPr>
                <w:rFonts w:ascii="Calibri"/>
                <w:sz w:val="12"/>
              </w:rPr>
            </w:pPr>
            <w:r>
              <w:rPr>
                <w:rFonts w:ascii="Calibri"/>
                <w:w w:val="105"/>
                <w:sz w:val="12"/>
              </w:rPr>
              <w:t>Vialidades y calles</w:t>
            </w:r>
          </w:p>
        </w:tc>
        <w:tc>
          <w:tcPr>
            <w:tcW w:w="1857" w:type="dxa"/>
          </w:tcPr>
          <w:p>
            <w:pPr>
              <w:pStyle w:val="TableParagraph"/>
              <w:ind w:left="966" w:right="184"/>
              <w:rPr>
                <w:rFonts w:ascii="Calibri"/>
                <w:sz w:val="12"/>
              </w:rPr>
            </w:pPr>
            <w:r>
              <w:rPr>
                <w:rFonts w:ascii="Calibri"/>
                <w:w w:val="105"/>
                <w:sz w:val="12"/>
              </w:rPr>
              <w:t>0.5</w:t>
            </w:r>
          </w:p>
        </w:tc>
        <w:tc>
          <w:tcPr>
            <w:tcW w:w="887" w:type="dxa"/>
          </w:tcPr>
          <w:p>
            <w:pPr/>
          </w:p>
        </w:tc>
        <w:tc>
          <w:tcPr>
            <w:tcW w:w="685" w:type="dxa"/>
          </w:tcPr>
          <w:p>
            <w:pPr>
              <w:pStyle w:val="TableParagraph"/>
              <w:ind w:left="243" w:right="242"/>
              <w:rPr>
                <w:rFonts w:ascii="Calibri"/>
                <w:sz w:val="12"/>
              </w:rPr>
            </w:pPr>
            <w:r>
              <w:rPr>
                <w:rFonts w:ascii="Calibri"/>
                <w:w w:val="105"/>
                <w:sz w:val="12"/>
              </w:rPr>
              <w:t>0.5</w:t>
            </w: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6" w:hRule="exact"/>
        </w:trPr>
        <w:tc>
          <w:tcPr>
            <w:tcW w:w="660" w:type="dxa"/>
            <w:tcBorders>
              <w:left w:val="single" w:sz="4" w:space="0" w:color="000000"/>
            </w:tcBorders>
          </w:tcPr>
          <w:p>
            <w:pPr/>
          </w:p>
        </w:tc>
        <w:tc>
          <w:tcPr>
            <w:tcW w:w="1802" w:type="dxa"/>
          </w:tcPr>
          <w:p>
            <w:pPr/>
          </w:p>
        </w:tc>
        <w:tc>
          <w:tcPr>
            <w:tcW w:w="2247" w:type="dxa"/>
          </w:tcPr>
          <w:p>
            <w:pPr>
              <w:pStyle w:val="TableParagraph"/>
              <w:ind w:left="352" w:right="661"/>
              <w:jc w:val="left"/>
              <w:rPr>
                <w:rFonts w:ascii="Calibri" w:hAnsi="Calibri"/>
                <w:sz w:val="12"/>
              </w:rPr>
            </w:pPr>
            <w:r>
              <w:rPr>
                <w:rFonts w:ascii="Calibri" w:hAnsi="Calibri"/>
                <w:w w:val="105"/>
                <w:sz w:val="12"/>
              </w:rPr>
              <w:t>Señalización</w:t>
            </w:r>
          </w:p>
        </w:tc>
        <w:tc>
          <w:tcPr>
            <w:tcW w:w="1857" w:type="dxa"/>
          </w:tcPr>
          <w:p>
            <w:pPr>
              <w:pStyle w:val="TableParagraph"/>
              <w:ind w:left="791"/>
              <w:rPr>
                <w:rFonts w:ascii="Calibri"/>
                <w:sz w:val="12"/>
              </w:rPr>
            </w:pPr>
            <w:r>
              <w:rPr>
                <w:rFonts w:ascii="Calibri"/>
                <w:w w:val="105"/>
                <w:sz w:val="12"/>
              </w:rPr>
              <w:t>0</w:t>
            </w:r>
          </w:p>
        </w:tc>
        <w:tc>
          <w:tcPr>
            <w:tcW w:w="887" w:type="dxa"/>
          </w:tcPr>
          <w:p>
            <w:pPr/>
          </w:p>
        </w:tc>
        <w:tc>
          <w:tcPr>
            <w:tcW w:w="685" w:type="dxa"/>
          </w:tcPr>
          <w:p>
            <w:pPr>
              <w:pStyle w:val="TableParagraph"/>
              <w:ind w:left="243" w:right="242"/>
              <w:rPr>
                <w:rFonts w:ascii="Calibri"/>
                <w:sz w:val="12"/>
              </w:rPr>
            </w:pPr>
            <w:r>
              <w:rPr>
                <w:rFonts w:ascii="Calibri"/>
                <w:w w:val="105"/>
                <w:sz w:val="12"/>
              </w:rPr>
              <w:t>0.5</w:t>
            </w: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63" w:hRule="exact"/>
        </w:trPr>
        <w:tc>
          <w:tcPr>
            <w:tcW w:w="660" w:type="dxa"/>
            <w:tcBorders>
              <w:left w:val="single" w:sz="4" w:space="0" w:color="000000"/>
            </w:tcBorders>
          </w:tcPr>
          <w:p>
            <w:pPr/>
          </w:p>
        </w:tc>
        <w:tc>
          <w:tcPr>
            <w:tcW w:w="1802" w:type="dxa"/>
          </w:tcPr>
          <w:p>
            <w:pPr/>
          </w:p>
        </w:tc>
        <w:tc>
          <w:tcPr>
            <w:tcW w:w="2247" w:type="dxa"/>
          </w:tcPr>
          <w:p>
            <w:pPr/>
          </w:p>
        </w:tc>
        <w:tc>
          <w:tcPr>
            <w:tcW w:w="1857" w:type="dxa"/>
          </w:tcPr>
          <w:p>
            <w:pPr>
              <w:pStyle w:val="TableParagraph"/>
              <w:spacing w:before="1"/>
              <w:ind w:left="964" w:right="184"/>
              <w:rPr>
                <w:rFonts w:ascii="Calibri"/>
                <w:sz w:val="12"/>
              </w:rPr>
            </w:pPr>
            <w:r>
              <w:rPr>
                <w:rFonts w:ascii="Calibri"/>
                <w:w w:val="105"/>
                <w:sz w:val="12"/>
              </w:rPr>
              <w:t>Subtotal</w:t>
            </w:r>
          </w:p>
        </w:tc>
        <w:tc>
          <w:tcPr>
            <w:tcW w:w="887" w:type="dxa"/>
          </w:tcPr>
          <w:p>
            <w:pPr>
              <w:pStyle w:val="TableParagraph"/>
              <w:tabs>
                <w:tab w:pos="466"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1.5</w:t>
            </w:r>
            <w:r>
              <w:rPr>
                <w:rFonts w:ascii="Calibri"/>
                <w:sz w:val="12"/>
                <w:shd w:fill="F79646" w:color="auto" w:val="clear"/>
              </w:rPr>
              <w:tab/>
            </w:r>
          </w:p>
        </w:tc>
        <w:tc>
          <w:tcPr>
            <w:tcW w:w="685" w:type="dxa"/>
          </w:tcPr>
          <w:p>
            <w:pPr>
              <w:pStyle w:val="TableParagraph"/>
              <w:spacing w:before="1"/>
              <w:ind w:left="243" w:right="242"/>
              <w:rPr>
                <w:rFonts w:ascii="Calibri"/>
                <w:sz w:val="12"/>
              </w:rPr>
            </w:pPr>
            <w:r>
              <w:rPr>
                <w:rFonts w:ascii="Calibri"/>
                <w:w w:val="105"/>
                <w:sz w:val="12"/>
              </w:rPr>
              <w:t>3.5</w:t>
            </w:r>
          </w:p>
        </w:tc>
        <w:tc>
          <w:tcPr>
            <w:tcW w:w="683" w:type="dxa"/>
            <w:tcBorders>
              <w:right w:val="single" w:sz="8" w:space="0" w:color="000000"/>
            </w:tcBorders>
            <w:shd w:val="clear" w:color="auto" w:fill="67ED4D"/>
          </w:tcPr>
          <w:p>
            <w:pPr>
              <w:pStyle w:val="TableParagraph"/>
              <w:spacing w:before="1"/>
              <w:ind w:left="21"/>
              <w:rPr>
                <w:rFonts w:ascii="Calibri"/>
                <w:sz w:val="12"/>
              </w:rPr>
            </w:pPr>
            <w:r>
              <w:rPr>
                <w:rFonts w:ascii="Calibri"/>
                <w:w w:val="105"/>
                <w:sz w:val="12"/>
              </w:rPr>
              <w:t>7</w:t>
            </w:r>
          </w:p>
        </w:tc>
      </w:tr>
      <w:tr>
        <w:trPr>
          <w:trHeight w:val="147" w:hRule="exact"/>
        </w:trPr>
        <w:tc>
          <w:tcPr>
            <w:tcW w:w="8821" w:type="dxa"/>
            <w:gridSpan w:val="7"/>
            <w:tcBorders>
              <w:left w:val="single" w:sz="4" w:space="0" w:color="000000"/>
              <w:right w:val="single" w:sz="8" w:space="0" w:color="000000"/>
            </w:tcBorders>
          </w:tcPr>
          <w:p>
            <w:pPr/>
          </w:p>
        </w:tc>
      </w:tr>
      <w:tr>
        <w:trPr>
          <w:trHeight w:val="165" w:hRule="exact"/>
        </w:trPr>
        <w:tc>
          <w:tcPr>
            <w:tcW w:w="660" w:type="dxa"/>
            <w:vMerge w:val="restart"/>
            <w:tcBorders>
              <w:left w:val="single" w:sz="4" w:space="0" w:color="000000"/>
            </w:tcBorders>
          </w:tcPr>
          <w:p>
            <w:pPr>
              <w:pStyle w:val="TableParagraph"/>
              <w:spacing w:before="80"/>
              <w:ind w:left="73"/>
              <w:jc w:val="left"/>
              <w:rPr>
                <w:rFonts w:ascii="Calibri"/>
                <w:sz w:val="12"/>
              </w:rPr>
            </w:pPr>
            <w:r>
              <w:rPr>
                <w:rFonts w:ascii="Calibri"/>
                <w:w w:val="105"/>
                <w:sz w:val="12"/>
              </w:rPr>
              <w:t>Ambiental</w:t>
            </w:r>
          </w:p>
        </w:tc>
        <w:tc>
          <w:tcPr>
            <w:tcW w:w="1802" w:type="dxa"/>
            <w:vMerge w:val="restart"/>
          </w:tcPr>
          <w:p>
            <w:pPr>
              <w:pStyle w:val="TableParagraph"/>
              <w:spacing w:before="6"/>
              <w:ind w:left="50"/>
              <w:jc w:val="left"/>
              <w:rPr>
                <w:rFonts w:ascii="Calibri" w:hAnsi="Calibri"/>
                <w:sz w:val="12"/>
              </w:rPr>
            </w:pPr>
            <w:r>
              <w:rPr>
                <w:rFonts w:ascii="Calibri" w:hAnsi="Calibri"/>
                <w:w w:val="105"/>
                <w:sz w:val="12"/>
              </w:rPr>
              <w:t>Áreas verdes</w:t>
            </w:r>
          </w:p>
        </w:tc>
        <w:tc>
          <w:tcPr>
            <w:tcW w:w="2247" w:type="dxa"/>
            <w:vMerge w:val="restart"/>
          </w:tcPr>
          <w:p>
            <w:pPr>
              <w:pStyle w:val="TableParagraph"/>
              <w:spacing w:before="6"/>
              <w:ind w:left="352" w:right="661"/>
              <w:jc w:val="left"/>
              <w:rPr>
                <w:rFonts w:ascii="Calibri"/>
                <w:sz w:val="12"/>
              </w:rPr>
            </w:pPr>
            <w:r>
              <w:rPr>
                <w:rFonts w:ascii="Calibri"/>
                <w:w w:val="105"/>
                <w:sz w:val="12"/>
              </w:rPr>
              <w:t>Superficie</w:t>
            </w:r>
          </w:p>
        </w:tc>
        <w:tc>
          <w:tcPr>
            <w:tcW w:w="1857" w:type="dxa"/>
            <w:vMerge w:val="restart"/>
          </w:tcPr>
          <w:p>
            <w:pPr>
              <w:pStyle w:val="TableParagraph"/>
              <w:spacing w:before="6"/>
              <w:ind w:right="498"/>
              <w:jc w:val="right"/>
              <w:rPr>
                <w:rFonts w:ascii="Calibri"/>
                <w:sz w:val="12"/>
              </w:rPr>
            </w:pPr>
            <w:r>
              <w:rPr>
                <w:rFonts w:ascii="Calibri"/>
                <w:w w:val="105"/>
                <w:sz w:val="12"/>
              </w:rPr>
              <w:t>1</w:t>
            </w:r>
          </w:p>
          <w:p>
            <w:pPr>
              <w:pStyle w:val="TableParagraph"/>
              <w:spacing w:before="11"/>
              <w:ind w:right="455"/>
              <w:jc w:val="right"/>
              <w:rPr>
                <w:rFonts w:ascii="Calibri"/>
                <w:sz w:val="12"/>
              </w:rPr>
            </w:pPr>
            <w:r>
              <w:rPr>
                <w:rFonts w:ascii="Calibri"/>
                <w:w w:val="105"/>
                <w:sz w:val="12"/>
              </w:rPr>
              <w:t>0.5</w:t>
            </w:r>
          </w:p>
        </w:tc>
        <w:tc>
          <w:tcPr>
            <w:tcW w:w="887" w:type="dxa"/>
            <w:vMerge w:val="restart"/>
          </w:tcPr>
          <w:p>
            <w:pPr/>
          </w:p>
        </w:tc>
        <w:tc>
          <w:tcPr>
            <w:tcW w:w="685" w:type="dxa"/>
            <w:vMerge w:val="restart"/>
          </w:tcPr>
          <w:p>
            <w:pPr>
              <w:pStyle w:val="TableParagraph"/>
              <w:spacing w:before="6"/>
              <w:ind w:left="10"/>
              <w:rPr>
                <w:rFonts w:ascii="Calibri"/>
                <w:sz w:val="12"/>
              </w:rPr>
            </w:pPr>
            <w:r>
              <w:rPr>
                <w:rFonts w:ascii="Calibri"/>
                <w:w w:val="105"/>
                <w:sz w:val="12"/>
              </w:rPr>
              <w:t>1</w:t>
            </w:r>
          </w:p>
          <w:p>
            <w:pPr>
              <w:pStyle w:val="TableParagraph"/>
              <w:spacing w:before="11"/>
              <w:ind w:left="243" w:right="242"/>
              <w:rPr>
                <w:rFonts w:ascii="Calibri"/>
                <w:sz w:val="12"/>
              </w:rPr>
            </w:pPr>
            <w:r>
              <w:rPr>
                <w:rFonts w:ascii="Calibri"/>
                <w:w w:val="105"/>
                <w:sz w:val="12"/>
              </w:rPr>
              <w:t>0.8</w:t>
            </w:r>
          </w:p>
        </w:tc>
        <w:tc>
          <w:tcPr>
            <w:tcW w:w="683" w:type="dxa"/>
            <w:tcBorders>
              <w:right w:val="single" w:sz="8" w:space="0" w:color="000000"/>
            </w:tcBorders>
            <w:shd w:val="clear" w:color="auto" w:fill="67ED4D"/>
          </w:tcPr>
          <w:p>
            <w:pPr>
              <w:pStyle w:val="TableParagraph"/>
              <w:spacing w:before="6"/>
              <w:ind w:left="21"/>
              <w:rPr>
                <w:rFonts w:ascii="Calibri"/>
                <w:sz w:val="12"/>
              </w:rPr>
            </w:pPr>
            <w:r>
              <w:rPr>
                <w:rFonts w:ascii="Calibri"/>
                <w:w w:val="105"/>
                <w:sz w:val="12"/>
              </w:rPr>
              <w:t>1</w:t>
            </w:r>
          </w:p>
        </w:tc>
      </w:tr>
      <w:tr>
        <w:trPr>
          <w:trHeight w:val="158" w:hRule="exact"/>
        </w:trPr>
        <w:tc>
          <w:tcPr>
            <w:tcW w:w="660" w:type="dxa"/>
            <w:vMerge/>
            <w:tcBorders>
              <w:left w:val="single" w:sz="4" w:space="0" w:color="000000"/>
            </w:tcBorders>
          </w:tcPr>
          <w:p>
            <w:pPr/>
          </w:p>
        </w:tc>
        <w:tc>
          <w:tcPr>
            <w:tcW w:w="1802" w:type="dxa"/>
            <w:vMerge/>
          </w:tcPr>
          <w:p>
            <w:pPr/>
          </w:p>
        </w:tc>
        <w:tc>
          <w:tcPr>
            <w:tcW w:w="2247" w:type="dxa"/>
            <w:vMerge/>
          </w:tcPr>
          <w:p>
            <w:pPr/>
          </w:p>
        </w:tc>
        <w:tc>
          <w:tcPr>
            <w:tcW w:w="1857" w:type="dxa"/>
            <w:vMerge/>
          </w:tcPr>
          <w:p>
            <w:pPr/>
          </w:p>
        </w:tc>
        <w:tc>
          <w:tcPr>
            <w:tcW w:w="887" w:type="dxa"/>
            <w:vMerge/>
          </w:tcPr>
          <w:p>
            <w:pPr/>
          </w:p>
        </w:tc>
        <w:tc>
          <w:tcPr>
            <w:tcW w:w="685" w:type="dxa"/>
            <w:vMerge/>
          </w:tcPr>
          <w:p>
            <w:pP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60" w:type="dxa"/>
            <w:tcBorders>
              <w:left w:val="single" w:sz="4" w:space="0" w:color="000000"/>
            </w:tcBorders>
          </w:tcPr>
          <w:p>
            <w:pPr/>
          </w:p>
        </w:tc>
        <w:tc>
          <w:tcPr>
            <w:tcW w:w="1802" w:type="dxa"/>
          </w:tcPr>
          <w:p>
            <w:pPr/>
          </w:p>
        </w:tc>
        <w:tc>
          <w:tcPr>
            <w:tcW w:w="2247" w:type="dxa"/>
          </w:tcPr>
          <w:p>
            <w:pPr/>
          </w:p>
        </w:tc>
        <w:tc>
          <w:tcPr>
            <w:tcW w:w="1857" w:type="dxa"/>
          </w:tcPr>
          <w:p>
            <w:pPr>
              <w:pStyle w:val="TableParagraph"/>
              <w:ind w:left="966" w:right="184"/>
              <w:rPr>
                <w:rFonts w:ascii="Calibri"/>
                <w:sz w:val="12"/>
              </w:rPr>
            </w:pPr>
            <w:r>
              <w:rPr>
                <w:rFonts w:ascii="Calibri"/>
                <w:w w:val="105"/>
                <w:sz w:val="12"/>
              </w:rPr>
              <w:t>0.5</w:t>
            </w:r>
          </w:p>
        </w:tc>
        <w:tc>
          <w:tcPr>
            <w:tcW w:w="887" w:type="dxa"/>
          </w:tcPr>
          <w:p>
            <w:pPr/>
          </w:p>
        </w:tc>
        <w:tc>
          <w:tcPr>
            <w:tcW w:w="685" w:type="dxa"/>
          </w:tcPr>
          <w:p>
            <w:pPr>
              <w:pStyle w:val="TableParagraph"/>
              <w:ind w:left="243" w:right="242"/>
              <w:rPr>
                <w:rFonts w:ascii="Calibri"/>
                <w:sz w:val="12"/>
              </w:rPr>
            </w:pPr>
            <w:r>
              <w:rPr>
                <w:rFonts w:ascii="Calibri"/>
                <w:w w:val="105"/>
                <w:sz w:val="12"/>
              </w:rPr>
              <w:t>0.8</w:t>
            </w: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62" w:hRule="exact"/>
        </w:trPr>
        <w:tc>
          <w:tcPr>
            <w:tcW w:w="660" w:type="dxa"/>
            <w:tcBorders>
              <w:left w:val="single" w:sz="4" w:space="0" w:color="000000"/>
            </w:tcBorders>
          </w:tcPr>
          <w:p>
            <w:pPr/>
          </w:p>
        </w:tc>
        <w:tc>
          <w:tcPr>
            <w:tcW w:w="1802" w:type="dxa"/>
          </w:tcPr>
          <w:p>
            <w:pPr/>
          </w:p>
        </w:tc>
        <w:tc>
          <w:tcPr>
            <w:tcW w:w="2247" w:type="dxa"/>
          </w:tcPr>
          <w:p>
            <w:pPr/>
          </w:p>
        </w:tc>
        <w:tc>
          <w:tcPr>
            <w:tcW w:w="1857" w:type="dxa"/>
          </w:tcPr>
          <w:p>
            <w:pPr>
              <w:pStyle w:val="TableParagraph"/>
              <w:spacing w:before="1"/>
              <w:ind w:left="964" w:right="184"/>
              <w:rPr>
                <w:rFonts w:ascii="Calibri"/>
                <w:sz w:val="12"/>
              </w:rPr>
            </w:pPr>
            <w:r>
              <w:rPr>
                <w:rFonts w:ascii="Calibri"/>
                <w:w w:val="105"/>
                <w:sz w:val="12"/>
              </w:rPr>
              <w:t>Subtotal</w:t>
            </w:r>
          </w:p>
        </w:tc>
        <w:tc>
          <w:tcPr>
            <w:tcW w:w="887" w:type="dxa"/>
          </w:tcPr>
          <w:p>
            <w:pPr>
              <w:pStyle w:val="TableParagraph"/>
              <w:tabs>
                <w:tab w:pos="518"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2</w:t>
            </w:r>
            <w:r>
              <w:rPr>
                <w:rFonts w:ascii="Calibri"/>
                <w:sz w:val="12"/>
                <w:shd w:fill="F79646" w:color="auto" w:val="clear"/>
              </w:rPr>
              <w:tab/>
            </w:r>
          </w:p>
        </w:tc>
        <w:tc>
          <w:tcPr>
            <w:tcW w:w="685" w:type="dxa"/>
          </w:tcPr>
          <w:p>
            <w:pPr>
              <w:pStyle w:val="TableParagraph"/>
              <w:spacing w:before="1"/>
              <w:ind w:left="243" w:right="242"/>
              <w:rPr>
                <w:rFonts w:ascii="Calibri"/>
                <w:sz w:val="12"/>
              </w:rPr>
            </w:pPr>
            <w:r>
              <w:rPr>
                <w:rFonts w:ascii="Calibri"/>
                <w:w w:val="105"/>
                <w:sz w:val="12"/>
              </w:rPr>
              <w:t>2.6</w:t>
            </w: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3</w:t>
            </w:r>
          </w:p>
        </w:tc>
      </w:tr>
      <w:tr>
        <w:trPr>
          <w:trHeight w:val="147" w:hRule="exact"/>
        </w:trPr>
        <w:tc>
          <w:tcPr>
            <w:tcW w:w="8821" w:type="dxa"/>
            <w:gridSpan w:val="7"/>
            <w:tcBorders>
              <w:left w:val="single" w:sz="4" w:space="0" w:color="000000"/>
              <w:right w:val="single" w:sz="8" w:space="0" w:color="000000"/>
            </w:tcBorders>
          </w:tcPr>
          <w:p>
            <w:pPr/>
          </w:p>
        </w:tc>
      </w:tr>
      <w:tr>
        <w:trPr>
          <w:trHeight w:val="165" w:hRule="exact"/>
        </w:trPr>
        <w:tc>
          <w:tcPr>
            <w:tcW w:w="660" w:type="dxa"/>
            <w:vMerge w:val="restart"/>
            <w:tcBorders>
              <w:left w:val="single" w:sz="4" w:space="0" w:color="000000"/>
            </w:tcBorders>
          </w:tcPr>
          <w:p>
            <w:pPr/>
          </w:p>
        </w:tc>
        <w:tc>
          <w:tcPr>
            <w:tcW w:w="1802" w:type="dxa"/>
          </w:tcPr>
          <w:p>
            <w:pPr/>
          </w:p>
        </w:tc>
        <w:tc>
          <w:tcPr>
            <w:tcW w:w="2247" w:type="dxa"/>
          </w:tcPr>
          <w:p>
            <w:pPr>
              <w:pStyle w:val="TableParagraph"/>
              <w:spacing w:before="6"/>
              <w:ind w:left="352" w:right="661"/>
              <w:jc w:val="left"/>
              <w:rPr>
                <w:rFonts w:ascii="Calibri" w:hAnsi="Calibri"/>
                <w:sz w:val="12"/>
              </w:rPr>
            </w:pPr>
            <w:r>
              <w:rPr>
                <w:rFonts w:ascii="Calibri" w:hAnsi="Calibri"/>
                <w:w w:val="105"/>
                <w:sz w:val="12"/>
              </w:rPr>
              <w:t>Separación</w:t>
            </w:r>
          </w:p>
        </w:tc>
        <w:tc>
          <w:tcPr>
            <w:tcW w:w="1857" w:type="dxa"/>
          </w:tcPr>
          <w:p>
            <w:pPr>
              <w:pStyle w:val="TableParagraph"/>
              <w:spacing w:before="6"/>
              <w:ind w:left="791"/>
              <w:rPr>
                <w:rFonts w:ascii="Calibri"/>
                <w:sz w:val="12"/>
              </w:rPr>
            </w:pPr>
            <w:r>
              <w:rPr>
                <w:rFonts w:ascii="Calibri"/>
                <w:w w:val="105"/>
                <w:sz w:val="12"/>
              </w:rPr>
              <w:t>0</w:t>
            </w:r>
          </w:p>
        </w:tc>
        <w:tc>
          <w:tcPr>
            <w:tcW w:w="887" w:type="dxa"/>
          </w:tcPr>
          <w:p>
            <w:pPr/>
          </w:p>
        </w:tc>
        <w:tc>
          <w:tcPr>
            <w:tcW w:w="685" w:type="dxa"/>
          </w:tcPr>
          <w:p>
            <w:pPr>
              <w:pStyle w:val="TableParagraph"/>
              <w:spacing w:before="6"/>
              <w:ind w:left="10"/>
              <w:rPr>
                <w:rFonts w:ascii="Calibri"/>
                <w:sz w:val="12"/>
              </w:rPr>
            </w:pPr>
            <w:r>
              <w:rPr>
                <w:rFonts w:ascii="Calibri"/>
                <w:w w:val="105"/>
                <w:sz w:val="12"/>
              </w:rPr>
              <w:t>1</w:t>
            </w:r>
          </w:p>
        </w:tc>
        <w:tc>
          <w:tcPr>
            <w:tcW w:w="683" w:type="dxa"/>
            <w:tcBorders>
              <w:right w:val="single" w:sz="8" w:space="0" w:color="000000"/>
            </w:tcBorders>
            <w:shd w:val="clear" w:color="auto" w:fill="67ED4D"/>
          </w:tcPr>
          <w:p>
            <w:pPr>
              <w:pStyle w:val="TableParagraph"/>
              <w:spacing w:before="6"/>
              <w:ind w:left="21"/>
              <w:rPr>
                <w:rFonts w:ascii="Calibri"/>
                <w:sz w:val="12"/>
              </w:rPr>
            </w:pPr>
            <w:r>
              <w:rPr>
                <w:rFonts w:ascii="Calibri"/>
                <w:w w:val="105"/>
                <w:sz w:val="12"/>
              </w:rPr>
              <w:t>1</w:t>
            </w:r>
          </w:p>
        </w:tc>
      </w:tr>
      <w:tr>
        <w:trPr>
          <w:trHeight w:val="158" w:hRule="exact"/>
        </w:trPr>
        <w:tc>
          <w:tcPr>
            <w:tcW w:w="660" w:type="dxa"/>
            <w:vMerge/>
            <w:tcBorders>
              <w:left w:val="single" w:sz="4" w:space="0" w:color="000000"/>
            </w:tcBorders>
          </w:tcPr>
          <w:p>
            <w:pPr/>
          </w:p>
        </w:tc>
        <w:tc>
          <w:tcPr>
            <w:tcW w:w="1802" w:type="dxa"/>
          </w:tcPr>
          <w:p>
            <w:pPr>
              <w:pStyle w:val="TableParagraph"/>
              <w:ind w:left="50"/>
              <w:jc w:val="left"/>
              <w:rPr>
                <w:rFonts w:ascii="Calibri"/>
                <w:sz w:val="12"/>
              </w:rPr>
            </w:pPr>
            <w:r>
              <w:rPr>
                <w:rFonts w:ascii="Calibri"/>
                <w:w w:val="105"/>
                <w:sz w:val="12"/>
              </w:rPr>
              <w:t>Manejo de residuos solidos</w:t>
            </w:r>
          </w:p>
        </w:tc>
        <w:tc>
          <w:tcPr>
            <w:tcW w:w="2247" w:type="dxa"/>
          </w:tcPr>
          <w:p>
            <w:pPr>
              <w:pStyle w:val="TableParagraph"/>
              <w:ind w:left="352" w:right="661"/>
              <w:jc w:val="left"/>
              <w:rPr>
                <w:rFonts w:ascii="Calibri" w:hAnsi="Calibri"/>
                <w:sz w:val="12"/>
              </w:rPr>
            </w:pPr>
            <w:r>
              <w:rPr>
                <w:rFonts w:ascii="Calibri" w:hAnsi="Calibri"/>
                <w:w w:val="105"/>
                <w:sz w:val="12"/>
              </w:rPr>
              <w:t>Recolección</w:t>
            </w:r>
          </w:p>
        </w:tc>
        <w:tc>
          <w:tcPr>
            <w:tcW w:w="1857" w:type="dxa"/>
          </w:tcPr>
          <w:p>
            <w:pPr>
              <w:pStyle w:val="TableParagraph"/>
              <w:ind w:left="791"/>
              <w:rPr>
                <w:rFonts w:ascii="Calibri"/>
                <w:sz w:val="12"/>
              </w:rPr>
            </w:pPr>
            <w:r>
              <w:rPr>
                <w:rFonts w:ascii="Calibri"/>
                <w:w w:val="105"/>
                <w:sz w:val="12"/>
              </w:rPr>
              <w:t>1</w:t>
            </w:r>
          </w:p>
        </w:tc>
        <w:tc>
          <w:tcPr>
            <w:tcW w:w="887" w:type="dxa"/>
          </w:tcPr>
          <w:p>
            <w:pPr/>
          </w:p>
        </w:tc>
        <w:tc>
          <w:tcPr>
            <w:tcW w:w="685" w:type="dxa"/>
          </w:tcPr>
          <w:p>
            <w:pPr>
              <w:pStyle w:val="TableParagraph"/>
              <w:ind w:left="10"/>
              <w:rPr>
                <w:rFonts w:ascii="Calibri"/>
                <w:sz w:val="12"/>
              </w:rPr>
            </w:pPr>
            <w:r>
              <w:rPr>
                <w:rFonts w:ascii="Calibri"/>
                <w:w w:val="105"/>
                <w:sz w:val="12"/>
              </w:rPr>
              <w:t>1</w:t>
            </w: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60" w:type="dxa"/>
            <w:vMerge/>
            <w:tcBorders>
              <w:left w:val="single" w:sz="4" w:space="0" w:color="000000"/>
            </w:tcBorders>
          </w:tcPr>
          <w:p>
            <w:pPr/>
          </w:p>
        </w:tc>
        <w:tc>
          <w:tcPr>
            <w:tcW w:w="1802" w:type="dxa"/>
          </w:tcPr>
          <w:p>
            <w:pPr/>
          </w:p>
        </w:tc>
        <w:tc>
          <w:tcPr>
            <w:tcW w:w="2247" w:type="dxa"/>
          </w:tcPr>
          <w:p>
            <w:pPr>
              <w:pStyle w:val="TableParagraph"/>
              <w:ind w:left="352" w:right="661"/>
              <w:jc w:val="left"/>
              <w:rPr>
                <w:rFonts w:ascii="Calibri" w:hAnsi="Calibri"/>
                <w:sz w:val="12"/>
              </w:rPr>
            </w:pPr>
            <w:r>
              <w:rPr>
                <w:rFonts w:ascii="Calibri" w:hAnsi="Calibri"/>
                <w:w w:val="105"/>
                <w:sz w:val="12"/>
              </w:rPr>
              <w:t>Disposición</w:t>
            </w:r>
          </w:p>
        </w:tc>
        <w:tc>
          <w:tcPr>
            <w:tcW w:w="1857" w:type="dxa"/>
          </w:tcPr>
          <w:p>
            <w:pPr>
              <w:pStyle w:val="TableParagraph"/>
              <w:ind w:left="966" w:right="184"/>
              <w:rPr>
                <w:rFonts w:ascii="Calibri"/>
                <w:sz w:val="12"/>
              </w:rPr>
            </w:pPr>
            <w:r>
              <w:rPr>
                <w:rFonts w:ascii="Calibri"/>
                <w:w w:val="105"/>
                <w:sz w:val="12"/>
              </w:rPr>
              <w:t>0.5</w:t>
            </w:r>
          </w:p>
        </w:tc>
        <w:tc>
          <w:tcPr>
            <w:tcW w:w="887" w:type="dxa"/>
          </w:tcPr>
          <w:p>
            <w:pPr/>
          </w:p>
        </w:tc>
        <w:tc>
          <w:tcPr>
            <w:tcW w:w="685" w:type="dxa"/>
          </w:tcPr>
          <w:p>
            <w:pPr>
              <w:pStyle w:val="TableParagraph"/>
              <w:ind w:left="243" w:right="242"/>
              <w:rPr>
                <w:rFonts w:ascii="Calibri"/>
                <w:sz w:val="12"/>
              </w:rPr>
            </w:pPr>
            <w:r>
              <w:rPr>
                <w:rFonts w:ascii="Calibri"/>
                <w:w w:val="105"/>
                <w:sz w:val="12"/>
              </w:rPr>
              <w:t>0.8</w:t>
            </w: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62" w:hRule="exact"/>
        </w:trPr>
        <w:tc>
          <w:tcPr>
            <w:tcW w:w="660" w:type="dxa"/>
            <w:vMerge/>
            <w:tcBorders>
              <w:left w:val="single" w:sz="4" w:space="0" w:color="000000"/>
            </w:tcBorders>
          </w:tcPr>
          <w:p>
            <w:pPr/>
          </w:p>
        </w:tc>
        <w:tc>
          <w:tcPr>
            <w:tcW w:w="1802" w:type="dxa"/>
          </w:tcPr>
          <w:p>
            <w:pPr/>
          </w:p>
        </w:tc>
        <w:tc>
          <w:tcPr>
            <w:tcW w:w="2247" w:type="dxa"/>
          </w:tcPr>
          <w:p>
            <w:pPr/>
          </w:p>
        </w:tc>
        <w:tc>
          <w:tcPr>
            <w:tcW w:w="1857" w:type="dxa"/>
          </w:tcPr>
          <w:p>
            <w:pPr>
              <w:pStyle w:val="TableParagraph"/>
              <w:spacing w:before="1"/>
              <w:ind w:left="964" w:right="184"/>
              <w:rPr>
                <w:rFonts w:ascii="Calibri"/>
                <w:sz w:val="12"/>
              </w:rPr>
            </w:pPr>
            <w:r>
              <w:rPr>
                <w:rFonts w:ascii="Calibri"/>
                <w:w w:val="105"/>
                <w:sz w:val="12"/>
              </w:rPr>
              <w:t>Subtotal</w:t>
            </w:r>
          </w:p>
        </w:tc>
        <w:tc>
          <w:tcPr>
            <w:tcW w:w="887" w:type="dxa"/>
          </w:tcPr>
          <w:p>
            <w:pPr>
              <w:pStyle w:val="TableParagraph"/>
              <w:tabs>
                <w:tab w:pos="466"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1.5</w:t>
            </w:r>
            <w:r>
              <w:rPr>
                <w:rFonts w:ascii="Calibri"/>
                <w:sz w:val="12"/>
                <w:shd w:fill="F79646" w:color="auto" w:val="clear"/>
              </w:rPr>
              <w:tab/>
            </w:r>
          </w:p>
        </w:tc>
        <w:tc>
          <w:tcPr>
            <w:tcW w:w="685" w:type="dxa"/>
          </w:tcPr>
          <w:p>
            <w:pPr>
              <w:pStyle w:val="TableParagraph"/>
              <w:spacing w:before="1"/>
              <w:ind w:left="243" w:right="242"/>
              <w:rPr>
                <w:rFonts w:ascii="Calibri"/>
                <w:sz w:val="12"/>
              </w:rPr>
            </w:pPr>
            <w:r>
              <w:rPr>
                <w:rFonts w:ascii="Calibri"/>
                <w:w w:val="105"/>
                <w:sz w:val="12"/>
              </w:rPr>
              <w:t>2.8</w:t>
            </w: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3</w:t>
            </w:r>
          </w:p>
        </w:tc>
      </w:tr>
      <w:tr>
        <w:trPr>
          <w:trHeight w:val="147" w:hRule="exact"/>
        </w:trPr>
        <w:tc>
          <w:tcPr>
            <w:tcW w:w="8821" w:type="dxa"/>
            <w:gridSpan w:val="7"/>
            <w:tcBorders>
              <w:left w:val="single" w:sz="4" w:space="0" w:color="000000"/>
              <w:right w:val="single" w:sz="8" w:space="0" w:color="000000"/>
            </w:tcBorders>
          </w:tcPr>
          <w:p>
            <w:pPr/>
          </w:p>
        </w:tc>
      </w:tr>
      <w:tr>
        <w:trPr>
          <w:trHeight w:val="165" w:hRule="exact"/>
        </w:trPr>
        <w:tc>
          <w:tcPr>
            <w:tcW w:w="660" w:type="dxa"/>
            <w:vMerge w:val="restart"/>
            <w:tcBorders>
              <w:left w:val="single" w:sz="4" w:space="0" w:color="000000"/>
            </w:tcBorders>
          </w:tcPr>
          <w:p>
            <w:pPr/>
          </w:p>
        </w:tc>
        <w:tc>
          <w:tcPr>
            <w:tcW w:w="1802" w:type="dxa"/>
          </w:tcPr>
          <w:p>
            <w:pPr/>
          </w:p>
        </w:tc>
        <w:tc>
          <w:tcPr>
            <w:tcW w:w="2247" w:type="dxa"/>
          </w:tcPr>
          <w:p>
            <w:pPr>
              <w:pStyle w:val="TableParagraph"/>
              <w:spacing w:before="6"/>
              <w:ind w:left="352" w:right="661"/>
              <w:jc w:val="left"/>
              <w:rPr>
                <w:rFonts w:ascii="Calibri"/>
                <w:sz w:val="12"/>
              </w:rPr>
            </w:pPr>
            <w:r>
              <w:rPr>
                <w:rFonts w:ascii="Calibri"/>
                <w:w w:val="105"/>
                <w:sz w:val="12"/>
              </w:rPr>
              <w:t>Vivienda</w:t>
            </w:r>
          </w:p>
        </w:tc>
        <w:tc>
          <w:tcPr>
            <w:tcW w:w="1857" w:type="dxa"/>
          </w:tcPr>
          <w:p>
            <w:pPr>
              <w:pStyle w:val="TableParagraph"/>
              <w:spacing w:before="6"/>
              <w:ind w:left="966" w:right="184"/>
              <w:rPr>
                <w:rFonts w:ascii="Calibri"/>
                <w:sz w:val="12"/>
              </w:rPr>
            </w:pPr>
            <w:r>
              <w:rPr>
                <w:rFonts w:ascii="Calibri"/>
                <w:w w:val="105"/>
                <w:sz w:val="12"/>
              </w:rPr>
              <w:t>0.2</w:t>
            </w:r>
          </w:p>
        </w:tc>
        <w:tc>
          <w:tcPr>
            <w:tcW w:w="887" w:type="dxa"/>
          </w:tcPr>
          <w:p>
            <w:pPr/>
          </w:p>
        </w:tc>
        <w:tc>
          <w:tcPr>
            <w:tcW w:w="685" w:type="dxa"/>
          </w:tcPr>
          <w:p>
            <w:pPr>
              <w:pStyle w:val="TableParagraph"/>
              <w:spacing w:before="6"/>
              <w:ind w:left="243" w:right="242"/>
              <w:rPr>
                <w:rFonts w:ascii="Calibri"/>
                <w:sz w:val="12"/>
              </w:rPr>
            </w:pPr>
            <w:r>
              <w:rPr>
                <w:rFonts w:ascii="Calibri"/>
                <w:w w:val="105"/>
                <w:sz w:val="12"/>
              </w:rPr>
              <w:t>0.6</w:t>
            </w:r>
          </w:p>
        </w:tc>
        <w:tc>
          <w:tcPr>
            <w:tcW w:w="683" w:type="dxa"/>
            <w:tcBorders>
              <w:right w:val="single" w:sz="8" w:space="0" w:color="000000"/>
            </w:tcBorders>
            <w:shd w:val="clear" w:color="auto" w:fill="67ED4D"/>
          </w:tcPr>
          <w:p>
            <w:pPr>
              <w:pStyle w:val="TableParagraph"/>
              <w:spacing w:before="6"/>
              <w:ind w:left="21"/>
              <w:rPr>
                <w:rFonts w:ascii="Calibri"/>
                <w:sz w:val="12"/>
              </w:rPr>
            </w:pPr>
            <w:r>
              <w:rPr>
                <w:rFonts w:ascii="Calibri"/>
                <w:w w:val="105"/>
                <w:sz w:val="12"/>
              </w:rPr>
              <w:t>1</w:t>
            </w:r>
          </w:p>
        </w:tc>
      </w:tr>
      <w:tr>
        <w:trPr>
          <w:trHeight w:val="158" w:hRule="exact"/>
        </w:trPr>
        <w:tc>
          <w:tcPr>
            <w:tcW w:w="660" w:type="dxa"/>
            <w:vMerge/>
            <w:tcBorders>
              <w:left w:val="single" w:sz="4" w:space="0" w:color="000000"/>
            </w:tcBorders>
          </w:tcPr>
          <w:p>
            <w:pPr/>
          </w:p>
        </w:tc>
        <w:tc>
          <w:tcPr>
            <w:tcW w:w="1802" w:type="dxa"/>
            <w:vMerge w:val="restart"/>
          </w:tcPr>
          <w:p>
            <w:pPr>
              <w:pStyle w:val="TableParagraph"/>
              <w:spacing w:before="73"/>
              <w:ind w:left="50"/>
              <w:jc w:val="left"/>
              <w:rPr>
                <w:rFonts w:ascii="Calibri" w:hAnsi="Calibri"/>
                <w:sz w:val="12"/>
              </w:rPr>
            </w:pPr>
            <w:r>
              <w:rPr>
                <w:rFonts w:ascii="Calibri" w:hAnsi="Calibri"/>
                <w:w w:val="105"/>
                <w:sz w:val="12"/>
              </w:rPr>
              <w:t>Ecotegnologías</w:t>
            </w:r>
          </w:p>
        </w:tc>
        <w:tc>
          <w:tcPr>
            <w:tcW w:w="2247" w:type="dxa"/>
            <w:vMerge w:val="restart"/>
          </w:tcPr>
          <w:p>
            <w:pPr>
              <w:pStyle w:val="TableParagraph"/>
              <w:spacing w:line="259" w:lineRule="auto"/>
              <w:ind w:left="352" w:right="1159"/>
              <w:jc w:val="left"/>
              <w:rPr>
                <w:rFonts w:ascii="Calibri" w:hAnsi="Calibri"/>
                <w:sz w:val="12"/>
              </w:rPr>
            </w:pPr>
            <w:r>
              <w:rPr>
                <w:rFonts w:ascii="Calibri" w:hAnsi="Calibri"/>
                <w:w w:val="105"/>
                <w:sz w:val="12"/>
              </w:rPr>
              <w:t>Urbanización Equipamiento</w:t>
            </w:r>
          </w:p>
        </w:tc>
        <w:tc>
          <w:tcPr>
            <w:tcW w:w="1857" w:type="dxa"/>
            <w:vMerge w:val="restart"/>
          </w:tcPr>
          <w:p>
            <w:pPr>
              <w:pStyle w:val="TableParagraph"/>
              <w:ind w:right="455"/>
              <w:jc w:val="right"/>
              <w:rPr>
                <w:rFonts w:ascii="Calibri"/>
                <w:sz w:val="12"/>
              </w:rPr>
            </w:pPr>
            <w:r>
              <w:rPr>
                <w:rFonts w:ascii="Calibri"/>
                <w:w w:val="105"/>
                <w:sz w:val="12"/>
              </w:rPr>
              <w:t>0.5</w:t>
            </w:r>
          </w:p>
          <w:p>
            <w:pPr>
              <w:pStyle w:val="TableParagraph"/>
              <w:spacing w:before="11"/>
              <w:ind w:right="498"/>
              <w:jc w:val="right"/>
              <w:rPr>
                <w:rFonts w:ascii="Calibri"/>
                <w:sz w:val="12"/>
              </w:rPr>
            </w:pPr>
            <w:r>
              <w:rPr>
                <w:rFonts w:ascii="Calibri"/>
                <w:w w:val="105"/>
                <w:sz w:val="12"/>
              </w:rPr>
              <w:t>0</w:t>
            </w:r>
          </w:p>
        </w:tc>
        <w:tc>
          <w:tcPr>
            <w:tcW w:w="887" w:type="dxa"/>
            <w:vMerge w:val="restart"/>
          </w:tcPr>
          <w:p>
            <w:pPr/>
          </w:p>
        </w:tc>
        <w:tc>
          <w:tcPr>
            <w:tcW w:w="685" w:type="dxa"/>
            <w:vMerge w:val="restart"/>
          </w:tcPr>
          <w:p>
            <w:pPr>
              <w:pStyle w:val="TableParagraph"/>
              <w:ind w:left="243" w:right="242"/>
              <w:rPr>
                <w:rFonts w:ascii="Calibri"/>
                <w:sz w:val="12"/>
              </w:rPr>
            </w:pPr>
            <w:r>
              <w:rPr>
                <w:rFonts w:ascii="Calibri"/>
                <w:w w:val="105"/>
                <w:sz w:val="12"/>
              </w:rPr>
              <w:t>0.5</w:t>
            </w:r>
          </w:p>
          <w:p>
            <w:pPr>
              <w:pStyle w:val="TableParagraph"/>
              <w:spacing w:before="11"/>
              <w:ind w:left="10"/>
              <w:rPr>
                <w:rFonts w:ascii="Calibri"/>
                <w:sz w:val="12"/>
              </w:rPr>
            </w:pPr>
            <w:r>
              <w:rPr>
                <w:rFonts w:ascii="Calibri"/>
                <w:w w:val="105"/>
                <w:sz w:val="12"/>
              </w:rPr>
              <w:t>1</w:t>
            </w: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60" w:type="dxa"/>
            <w:vMerge/>
            <w:tcBorders>
              <w:left w:val="single" w:sz="4" w:space="0" w:color="000000"/>
            </w:tcBorders>
          </w:tcPr>
          <w:p>
            <w:pPr/>
          </w:p>
        </w:tc>
        <w:tc>
          <w:tcPr>
            <w:tcW w:w="1802" w:type="dxa"/>
            <w:vMerge/>
          </w:tcPr>
          <w:p>
            <w:pPr/>
          </w:p>
        </w:tc>
        <w:tc>
          <w:tcPr>
            <w:tcW w:w="2247" w:type="dxa"/>
            <w:vMerge/>
          </w:tcPr>
          <w:p>
            <w:pPr/>
          </w:p>
        </w:tc>
        <w:tc>
          <w:tcPr>
            <w:tcW w:w="1857" w:type="dxa"/>
            <w:vMerge/>
          </w:tcPr>
          <w:p>
            <w:pPr/>
          </w:p>
        </w:tc>
        <w:tc>
          <w:tcPr>
            <w:tcW w:w="887" w:type="dxa"/>
            <w:vMerge/>
          </w:tcPr>
          <w:p>
            <w:pPr/>
          </w:p>
        </w:tc>
        <w:tc>
          <w:tcPr>
            <w:tcW w:w="685" w:type="dxa"/>
            <w:vMerge/>
          </w:tcPr>
          <w:p>
            <w:pP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60" w:type="dxa"/>
            <w:vMerge/>
            <w:tcBorders>
              <w:left w:val="single" w:sz="4" w:space="0" w:color="000000"/>
            </w:tcBorders>
          </w:tcPr>
          <w:p>
            <w:pPr/>
          </w:p>
        </w:tc>
        <w:tc>
          <w:tcPr>
            <w:tcW w:w="1802" w:type="dxa"/>
          </w:tcPr>
          <w:p>
            <w:pPr/>
          </w:p>
        </w:tc>
        <w:tc>
          <w:tcPr>
            <w:tcW w:w="2247" w:type="dxa"/>
          </w:tcPr>
          <w:p>
            <w:pPr>
              <w:pStyle w:val="TableParagraph"/>
              <w:ind w:left="352" w:right="661"/>
              <w:jc w:val="left"/>
              <w:rPr>
                <w:rFonts w:ascii="Calibri"/>
                <w:sz w:val="12"/>
              </w:rPr>
            </w:pPr>
            <w:r>
              <w:rPr>
                <w:rFonts w:ascii="Calibri"/>
                <w:w w:val="105"/>
                <w:sz w:val="12"/>
              </w:rPr>
              <w:t>Mobiliario</w:t>
            </w:r>
          </w:p>
        </w:tc>
        <w:tc>
          <w:tcPr>
            <w:tcW w:w="1857" w:type="dxa"/>
          </w:tcPr>
          <w:p>
            <w:pPr>
              <w:pStyle w:val="TableParagraph"/>
              <w:ind w:left="791"/>
              <w:rPr>
                <w:rFonts w:ascii="Calibri"/>
                <w:sz w:val="12"/>
              </w:rPr>
            </w:pPr>
            <w:r>
              <w:rPr>
                <w:rFonts w:ascii="Calibri"/>
                <w:w w:val="105"/>
                <w:sz w:val="12"/>
              </w:rPr>
              <w:t>0</w:t>
            </w:r>
          </w:p>
        </w:tc>
        <w:tc>
          <w:tcPr>
            <w:tcW w:w="887" w:type="dxa"/>
          </w:tcPr>
          <w:p>
            <w:pPr/>
          </w:p>
        </w:tc>
        <w:tc>
          <w:tcPr>
            <w:tcW w:w="685" w:type="dxa"/>
          </w:tcPr>
          <w:p>
            <w:pPr>
              <w:pStyle w:val="TableParagraph"/>
              <w:ind w:left="10"/>
              <w:rPr>
                <w:rFonts w:ascii="Calibri"/>
                <w:sz w:val="12"/>
              </w:rPr>
            </w:pPr>
            <w:r>
              <w:rPr>
                <w:rFonts w:ascii="Calibri"/>
                <w:w w:val="105"/>
                <w:sz w:val="12"/>
              </w:rPr>
              <w:t>1</w:t>
            </w: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62" w:hRule="exact"/>
        </w:trPr>
        <w:tc>
          <w:tcPr>
            <w:tcW w:w="660" w:type="dxa"/>
            <w:vMerge/>
            <w:tcBorders>
              <w:left w:val="single" w:sz="4" w:space="0" w:color="000000"/>
            </w:tcBorders>
          </w:tcPr>
          <w:p>
            <w:pPr/>
          </w:p>
        </w:tc>
        <w:tc>
          <w:tcPr>
            <w:tcW w:w="1802" w:type="dxa"/>
          </w:tcPr>
          <w:p>
            <w:pPr/>
          </w:p>
        </w:tc>
        <w:tc>
          <w:tcPr>
            <w:tcW w:w="2247" w:type="dxa"/>
          </w:tcPr>
          <w:p>
            <w:pPr/>
          </w:p>
        </w:tc>
        <w:tc>
          <w:tcPr>
            <w:tcW w:w="1857" w:type="dxa"/>
          </w:tcPr>
          <w:p>
            <w:pPr>
              <w:pStyle w:val="TableParagraph"/>
              <w:spacing w:before="1"/>
              <w:ind w:left="964" w:right="184"/>
              <w:rPr>
                <w:rFonts w:ascii="Calibri"/>
                <w:sz w:val="12"/>
              </w:rPr>
            </w:pPr>
            <w:r>
              <w:rPr>
                <w:rFonts w:ascii="Calibri"/>
                <w:w w:val="105"/>
                <w:sz w:val="12"/>
              </w:rPr>
              <w:t>Subtotal</w:t>
            </w:r>
          </w:p>
        </w:tc>
        <w:tc>
          <w:tcPr>
            <w:tcW w:w="887" w:type="dxa"/>
          </w:tcPr>
          <w:p>
            <w:pPr>
              <w:pStyle w:val="TableParagraph"/>
              <w:tabs>
                <w:tab w:pos="466"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0.7</w:t>
            </w:r>
            <w:r>
              <w:rPr>
                <w:rFonts w:ascii="Calibri"/>
                <w:sz w:val="12"/>
                <w:shd w:fill="F79646" w:color="auto" w:val="clear"/>
              </w:rPr>
              <w:tab/>
            </w:r>
          </w:p>
        </w:tc>
        <w:tc>
          <w:tcPr>
            <w:tcW w:w="685" w:type="dxa"/>
          </w:tcPr>
          <w:p>
            <w:pPr>
              <w:pStyle w:val="TableParagraph"/>
              <w:spacing w:before="1"/>
              <w:ind w:left="243" w:right="242"/>
              <w:rPr>
                <w:rFonts w:ascii="Calibri"/>
                <w:sz w:val="12"/>
              </w:rPr>
            </w:pPr>
            <w:r>
              <w:rPr>
                <w:rFonts w:ascii="Calibri"/>
                <w:w w:val="105"/>
                <w:sz w:val="12"/>
              </w:rPr>
              <w:t>3.1</w:t>
            </w: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4</w:t>
            </w:r>
          </w:p>
        </w:tc>
      </w:tr>
      <w:tr>
        <w:trPr>
          <w:trHeight w:val="147" w:hRule="exact"/>
        </w:trPr>
        <w:tc>
          <w:tcPr>
            <w:tcW w:w="8821" w:type="dxa"/>
            <w:gridSpan w:val="7"/>
            <w:tcBorders>
              <w:left w:val="single" w:sz="4" w:space="0" w:color="000000"/>
              <w:right w:val="single" w:sz="8" w:space="0" w:color="000000"/>
            </w:tcBorders>
          </w:tcPr>
          <w:p>
            <w:pPr/>
          </w:p>
        </w:tc>
      </w:tr>
      <w:tr>
        <w:trPr>
          <w:trHeight w:val="321" w:hRule="exact"/>
        </w:trPr>
        <w:tc>
          <w:tcPr>
            <w:tcW w:w="660" w:type="dxa"/>
            <w:tcBorders>
              <w:left w:val="single" w:sz="4" w:space="0" w:color="000000"/>
            </w:tcBorders>
          </w:tcPr>
          <w:p>
            <w:pPr/>
          </w:p>
        </w:tc>
        <w:tc>
          <w:tcPr>
            <w:tcW w:w="1802" w:type="dxa"/>
          </w:tcPr>
          <w:p>
            <w:pPr>
              <w:pStyle w:val="TableParagraph"/>
              <w:spacing w:before="80"/>
              <w:ind w:left="50"/>
              <w:jc w:val="left"/>
              <w:rPr>
                <w:rFonts w:ascii="Calibri" w:hAnsi="Calibri"/>
                <w:sz w:val="12"/>
              </w:rPr>
            </w:pPr>
            <w:r>
              <w:rPr>
                <w:rFonts w:ascii="Calibri" w:hAnsi="Calibri"/>
                <w:w w:val="105"/>
                <w:sz w:val="12"/>
              </w:rPr>
              <w:t>Educación ambiental</w:t>
            </w:r>
          </w:p>
        </w:tc>
        <w:tc>
          <w:tcPr>
            <w:tcW w:w="2247" w:type="dxa"/>
          </w:tcPr>
          <w:p>
            <w:pPr>
              <w:pStyle w:val="TableParagraph"/>
              <w:spacing w:line="259" w:lineRule="auto" w:before="6"/>
              <w:ind w:left="352" w:right="1326"/>
              <w:jc w:val="left"/>
              <w:rPr>
                <w:rFonts w:ascii="Calibri"/>
                <w:sz w:val="12"/>
              </w:rPr>
            </w:pPr>
            <w:r>
              <w:rPr>
                <w:rFonts w:ascii="Calibri"/>
                <w:w w:val="105"/>
                <w:sz w:val="12"/>
              </w:rPr>
              <w:t>Planes Programas</w:t>
            </w:r>
          </w:p>
        </w:tc>
        <w:tc>
          <w:tcPr>
            <w:tcW w:w="1857" w:type="dxa"/>
          </w:tcPr>
          <w:p>
            <w:pPr>
              <w:pStyle w:val="TableParagraph"/>
              <w:spacing w:before="6"/>
              <w:ind w:right="498"/>
              <w:jc w:val="right"/>
              <w:rPr>
                <w:rFonts w:ascii="Calibri"/>
                <w:sz w:val="12"/>
              </w:rPr>
            </w:pPr>
            <w:r>
              <w:rPr>
                <w:rFonts w:ascii="Calibri"/>
                <w:w w:val="105"/>
                <w:sz w:val="12"/>
              </w:rPr>
              <w:t>0</w:t>
            </w:r>
          </w:p>
          <w:p>
            <w:pPr>
              <w:pStyle w:val="TableParagraph"/>
              <w:spacing w:before="11"/>
              <w:ind w:right="498"/>
              <w:jc w:val="right"/>
              <w:rPr>
                <w:rFonts w:ascii="Calibri"/>
                <w:sz w:val="12"/>
              </w:rPr>
            </w:pPr>
            <w:r>
              <w:rPr>
                <w:rFonts w:ascii="Calibri"/>
                <w:w w:val="105"/>
                <w:sz w:val="12"/>
              </w:rPr>
              <w:t>0</w:t>
            </w:r>
          </w:p>
        </w:tc>
        <w:tc>
          <w:tcPr>
            <w:tcW w:w="887" w:type="dxa"/>
          </w:tcPr>
          <w:p>
            <w:pPr/>
          </w:p>
        </w:tc>
        <w:tc>
          <w:tcPr>
            <w:tcW w:w="685" w:type="dxa"/>
          </w:tcPr>
          <w:p>
            <w:pPr>
              <w:pStyle w:val="TableParagraph"/>
              <w:spacing w:before="6"/>
              <w:ind w:left="10"/>
              <w:rPr>
                <w:rFonts w:ascii="Calibri"/>
                <w:sz w:val="12"/>
              </w:rPr>
            </w:pPr>
            <w:r>
              <w:rPr>
                <w:rFonts w:ascii="Calibri"/>
                <w:w w:val="105"/>
                <w:sz w:val="12"/>
              </w:rPr>
              <w:t>1</w:t>
            </w:r>
          </w:p>
          <w:p>
            <w:pPr>
              <w:pStyle w:val="TableParagraph"/>
              <w:spacing w:before="11"/>
              <w:ind w:left="10"/>
              <w:rPr>
                <w:rFonts w:ascii="Calibri"/>
                <w:sz w:val="12"/>
              </w:rPr>
            </w:pPr>
            <w:r>
              <w:rPr>
                <w:rFonts w:ascii="Calibri"/>
                <w:w w:val="105"/>
                <w:sz w:val="12"/>
              </w:rPr>
              <w:t>1</w:t>
            </w:r>
          </w:p>
        </w:tc>
        <w:tc>
          <w:tcPr>
            <w:tcW w:w="683" w:type="dxa"/>
            <w:tcBorders>
              <w:right w:val="single" w:sz="8" w:space="0" w:color="000000"/>
            </w:tcBorders>
            <w:shd w:val="clear" w:color="auto" w:fill="67ED4D"/>
          </w:tcPr>
          <w:p>
            <w:pPr>
              <w:pStyle w:val="TableParagraph"/>
              <w:spacing w:before="6"/>
              <w:ind w:left="21"/>
              <w:rPr>
                <w:rFonts w:ascii="Calibri"/>
                <w:sz w:val="12"/>
              </w:rPr>
            </w:pPr>
            <w:r>
              <w:rPr>
                <w:rFonts w:ascii="Calibri"/>
                <w:w w:val="105"/>
                <w:sz w:val="12"/>
              </w:rPr>
              <w:t>1</w:t>
            </w:r>
          </w:p>
          <w:p>
            <w:pPr>
              <w:pStyle w:val="TableParagraph"/>
              <w:spacing w:before="11"/>
              <w:ind w:left="21"/>
              <w:rPr>
                <w:rFonts w:ascii="Calibri"/>
                <w:sz w:val="12"/>
              </w:rPr>
            </w:pPr>
            <w:r>
              <w:rPr>
                <w:rFonts w:ascii="Calibri"/>
                <w:w w:val="105"/>
                <w:sz w:val="12"/>
              </w:rPr>
              <w:t>1</w:t>
            </w:r>
          </w:p>
        </w:tc>
      </w:tr>
      <w:tr>
        <w:trPr>
          <w:trHeight w:val="163" w:hRule="exact"/>
        </w:trPr>
        <w:tc>
          <w:tcPr>
            <w:tcW w:w="660" w:type="dxa"/>
            <w:tcBorders>
              <w:left w:val="single" w:sz="4" w:space="0" w:color="000000"/>
            </w:tcBorders>
          </w:tcPr>
          <w:p>
            <w:pPr/>
          </w:p>
        </w:tc>
        <w:tc>
          <w:tcPr>
            <w:tcW w:w="1802" w:type="dxa"/>
          </w:tcPr>
          <w:p>
            <w:pPr/>
          </w:p>
        </w:tc>
        <w:tc>
          <w:tcPr>
            <w:tcW w:w="2247" w:type="dxa"/>
          </w:tcPr>
          <w:p>
            <w:pPr/>
          </w:p>
        </w:tc>
        <w:tc>
          <w:tcPr>
            <w:tcW w:w="1857" w:type="dxa"/>
          </w:tcPr>
          <w:p>
            <w:pPr>
              <w:pStyle w:val="TableParagraph"/>
              <w:spacing w:before="1"/>
              <w:ind w:left="964" w:right="184"/>
              <w:rPr>
                <w:rFonts w:ascii="Calibri"/>
                <w:sz w:val="12"/>
              </w:rPr>
            </w:pPr>
            <w:r>
              <w:rPr>
                <w:rFonts w:ascii="Calibri"/>
                <w:w w:val="105"/>
                <w:sz w:val="12"/>
              </w:rPr>
              <w:t>Subtotal</w:t>
            </w:r>
          </w:p>
        </w:tc>
        <w:tc>
          <w:tcPr>
            <w:tcW w:w="887" w:type="dxa"/>
          </w:tcPr>
          <w:p>
            <w:pPr>
              <w:pStyle w:val="TableParagraph"/>
              <w:tabs>
                <w:tab w:pos="518"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0</w:t>
            </w:r>
            <w:r>
              <w:rPr>
                <w:rFonts w:ascii="Calibri"/>
                <w:sz w:val="12"/>
                <w:shd w:fill="F79646" w:color="auto" w:val="clear"/>
              </w:rPr>
              <w:tab/>
            </w:r>
          </w:p>
        </w:tc>
        <w:tc>
          <w:tcPr>
            <w:tcW w:w="685" w:type="dxa"/>
          </w:tcPr>
          <w:p>
            <w:pPr>
              <w:pStyle w:val="TableParagraph"/>
              <w:spacing w:before="1"/>
              <w:ind w:left="10"/>
              <w:rPr>
                <w:rFonts w:ascii="Calibri"/>
                <w:sz w:val="12"/>
              </w:rPr>
            </w:pPr>
            <w:r>
              <w:rPr>
                <w:rFonts w:ascii="Calibri"/>
                <w:w w:val="105"/>
                <w:sz w:val="12"/>
              </w:rPr>
              <w:t>2</w:t>
            </w:r>
          </w:p>
        </w:tc>
        <w:tc>
          <w:tcPr>
            <w:tcW w:w="683" w:type="dxa"/>
            <w:tcBorders>
              <w:right w:val="single" w:sz="8" w:space="0" w:color="000000"/>
            </w:tcBorders>
            <w:shd w:val="clear" w:color="auto" w:fill="67ED4D"/>
          </w:tcPr>
          <w:p>
            <w:pPr>
              <w:pStyle w:val="TableParagraph"/>
              <w:spacing w:before="1"/>
              <w:ind w:left="21"/>
              <w:rPr>
                <w:rFonts w:ascii="Calibri"/>
                <w:sz w:val="12"/>
              </w:rPr>
            </w:pPr>
            <w:r>
              <w:rPr>
                <w:rFonts w:ascii="Calibri"/>
                <w:w w:val="105"/>
                <w:sz w:val="12"/>
              </w:rPr>
              <w:t>2</w:t>
            </w:r>
          </w:p>
        </w:tc>
      </w:tr>
      <w:tr>
        <w:trPr>
          <w:trHeight w:val="474" w:hRule="exact"/>
        </w:trPr>
        <w:tc>
          <w:tcPr>
            <w:tcW w:w="660" w:type="dxa"/>
            <w:tcBorders>
              <w:left w:val="single" w:sz="4" w:space="0" w:color="000000"/>
              <w:bottom w:val="single" w:sz="8" w:space="0" w:color="000000"/>
            </w:tcBorders>
          </w:tcPr>
          <w:p>
            <w:pPr/>
          </w:p>
        </w:tc>
        <w:tc>
          <w:tcPr>
            <w:tcW w:w="1802" w:type="dxa"/>
            <w:tcBorders>
              <w:bottom w:val="single" w:sz="8" w:space="0" w:color="000000"/>
            </w:tcBorders>
          </w:tcPr>
          <w:p>
            <w:pPr/>
          </w:p>
        </w:tc>
        <w:tc>
          <w:tcPr>
            <w:tcW w:w="2247" w:type="dxa"/>
            <w:tcBorders>
              <w:bottom w:val="single" w:sz="8" w:space="0" w:color="000000"/>
            </w:tcBorders>
          </w:tcPr>
          <w:p>
            <w:pPr/>
          </w:p>
        </w:tc>
        <w:tc>
          <w:tcPr>
            <w:tcW w:w="1857" w:type="dxa"/>
            <w:tcBorders>
              <w:bottom w:val="single" w:sz="8" w:space="0" w:color="000000"/>
            </w:tcBorders>
          </w:tcPr>
          <w:p>
            <w:pPr>
              <w:pStyle w:val="TableParagraph"/>
              <w:spacing w:before="4"/>
              <w:jc w:val="left"/>
              <w:rPr>
                <w:sz w:val="13"/>
              </w:rPr>
            </w:pPr>
          </w:p>
          <w:p>
            <w:pPr>
              <w:pStyle w:val="TableParagraph"/>
              <w:ind w:left="968" w:right="184"/>
              <w:rPr>
                <w:rFonts w:ascii="Calibri"/>
                <w:sz w:val="12"/>
              </w:rPr>
            </w:pPr>
            <w:r>
              <w:rPr>
                <w:rFonts w:ascii="Calibri"/>
                <w:w w:val="105"/>
                <w:sz w:val="12"/>
              </w:rPr>
              <w:t>Total IA</w:t>
            </w:r>
          </w:p>
        </w:tc>
        <w:tc>
          <w:tcPr>
            <w:tcW w:w="887" w:type="dxa"/>
            <w:tcBorders>
              <w:bottom w:val="single" w:sz="8" w:space="0" w:color="000000"/>
            </w:tcBorders>
          </w:tcPr>
          <w:p>
            <w:pPr>
              <w:pStyle w:val="TableParagraph"/>
              <w:spacing w:before="4"/>
              <w:jc w:val="left"/>
              <w:rPr>
                <w:sz w:val="13"/>
              </w:rPr>
            </w:pPr>
          </w:p>
          <w:p>
            <w:pPr>
              <w:pStyle w:val="TableParagraph"/>
              <w:tabs>
                <w:tab w:pos="466" w:val="left" w:leader="none"/>
                <w:tab w:pos="897" w:val="left" w:leader="none"/>
              </w:tabs>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7.3</w:t>
            </w:r>
            <w:r>
              <w:rPr>
                <w:rFonts w:ascii="Calibri"/>
                <w:sz w:val="12"/>
                <w:shd w:fill="F79646" w:color="auto" w:val="clear"/>
              </w:rPr>
              <w:tab/>
            </w:r>
          </w:p>
        </w:tc>
        <w:tc>
          <w:tcPr>
            <w:tcW w:w="685" w:type="dxa"/>
            <w:tcBorders>
              <w:bottom w:val="single" w:sz="8" w:space="0" w:color="000000"/>
            </w:tcBorders>
          </w:tcPr>
          <w:p>
            <w:pPr>
              <w:pStyle w:val="TableParagraph"/>
              <w:spacing w:before="4"/>
              <w:jc w:val="left"/>
              <w:rPr>
                <w:sz w:val="13"/>
              </w:rPr>
            </w:pPr>
          </w:p>
          <w:p>
            <w:pPr>
              <w:pStyle w:val="TableParagraph"/>
              <w:tabs>
                <w:tab w:pos="694" w:val="left" w:leader="none"/>
              </w:tabs>
              <w:ind w:left="-1" w:right="-10"/>
              <w:rPr>
                <w:rFonts w:ascii="Calibri"/>
                <w:sz w:val="12"/>
              </w:rPr>
            </w:pPr>
            <w:r>
              <w:rPr>
                <w:rFonts w:ascii="Times New Roman"/>
                <w:w w:val="105"/>
                <w:sz w:val="12"/>
                <w:shd w:fill="FFFF00" w:color="auto" w:val="clear"/>
              </w:rPr>
              <w:t> </w:t>
            </w:r>
            <w:r>
              <w:rPr>
                <w:rFonts w:ascii="Times New Roman"/>
                <w:sz w:val="12"/>
                <w:shd w:fill="FFFF00" w:color="auto" w:val="clear"/>
              </w:rPr>
              <w:t>      </w:t>
            </w:r>
            <w:r>
              <w:rPr>
                <w:rFonts w:ascii="Times New Roman"/>
                <w:spacing w:val="-11"/>
                <w:sz w:val="12"/>
                <w:shd w:fill="FFFF00" w:color="auto" w:val="clear"/>
              </w:rPr>
              <w:t> </w:t>
            </w:r>
            <w:r>
              <w:rPr>
                <w:rFonts w:ascii="Calibri"/>
                <w:w w:val="105"/>
                <w:sz w:val="12"/>
                <w:shd w:fill="FFFF00" w:color="auto" w:val="clear"/>
              </w:rPr>
              <w:t>18.3</w:t>
            </w:r>
            <w:r>
              <w:rPr>
                <w:rFonts w:ascii="Calibri"/>
                <w:sz w:val="12"/>
                <w:shd w:fill="FFFF00" w:color="auto" w:val="clear"/>
              </w:rPr>
              <w:tab/>
            </w:r>
          </w:p>
        </w:tc>
        <w:tc>
          <w:tcPr>
            <w:tcW w:w="683" w:type="dxa"/>
            <w:tcBorders>
              <w:bottom w:val="single" w:sz="8" w:space="0" w:color="000000"/>
              <w:right w:val="single" w:sz="8" w:space="0" w:color="000000"/>
            </w:tcBorders>
          </w:tcPr>
          <w:p>
            <w:pPr>
              <w:pStyle w:val="TableParagraph"/>
              <w:spacing w:before="4"/>
              <w:jc w:val="left"/>
              <w:rPr>
                <w:sz w:val="13"/>
              </w:rPr>
            </w:pPr>
          </w:p>
          <w:p>
            <w:pPr>
              <w:pStyle w:val="TableParagraph"/>
              <w:ind w:left="263" w:right="241"/>
              <w:rPr>
                <w:rFonts w:ascii="Calibri"/>
                <w:sz w:val="12"/>
              </w:rPr>
            </w:pPr>
            <w:r>
              <w:rPr>
                <w:rFonts w:ascii="Calibri"/>
                <w:w w:val="105"/>
                <w:sz w:val="12"/>
              </w:rPr>
              <w:t>24</w:t>
            </w:r>
          </w:p>
        </w:tc>
      </w:tr>
    </w:tbl>
    <w:p>
      <w:pPr>
        <w:spacing w:before="128"/>
        <w:ind w:left="268" w:right="0" w:firstLine="0"/>
        <w:jc w:val="left"/>
        <w:rPr>
          <w:sz w:val="21"/>
        </w:rPr>
      </w:pPr>
      <w:r>
        <w:rPr/>
        <w:pict>
          <v:group style="position:absolute;margin-left:363.378998pt;margin-top:-175.001709pt;width:75.25pt;height:24.8pt;mso-position-horizontal-relative:page;mso-position-vertical-relative:paragraph;z-index:-1130704" coordorigin="7268,-3500" coordsize="1505,496">
            <v:line style="position:absolute" from="7273,-3495" to="7273,-3326" stroked="true" strokeweight=".526pt" strokecolor="#baf9f5"/>
            <v:rect style="position:absolute;left:7278;top:-3495;width:1494;height:168" filled="true" fillcolor="#baf9f5" stroked="false">
              <v:fill type="solid"/>
            </v:rect>
            <v:line style="position:absolute" from="7273,-3326" to="7273,-3168" stroked="true" strokeweight=".526pt" strokecolor="#baf9f5"/>
            <v:rect style="position:absolute;left:7278;top:-3326;width:1494;height:158" filled="true" fillcolor="#baf9f5" stroked="false">
              <v:fill type="solid"/>
            </v:rect>
            <v:line style="position:absolute" from="7273,-3168" to="7273,-3010" stroked="true" strokeweight=".526pt" strokecolor="#baf9f5"/>
            <v:rect style="position:absolute;left:7278;top:-3168;width:1494;height:158" filled="true" fillcolor="#baf9f5" stroked="false">
              <v:fill type="solid"/>
            </v:rect>
            <w10:wrap type="none"/>
          </v:group>
        </w:pict>
      </w:r>
      <w:r>
        <w:rPr/>
        <w:pict>
          <v:shape style="position:absolute;margin-left:472.277008pt;margin-top:-174.726135pt;width:34.75pt;height:32.1pt;mso-position-horizontal-relative:page;mso-position-vertical-relative:paragraph;z-index:-1130680" coordorigin="9446,-3495" coordsize="695,642" path="m10140,-3168l9446,-3168,9446,-3021,9446,-3010,9446,-2853,10140,-2853,10140,-3010,10140,-3021,10140,-3168m10140,-3495l9446,-3495,9446,-3326,9446,-3168,10140,-3168,10140,-3326,10140,-3495e" filled="true" fillcolor="#ffff00" stroked="false">
            <v:path arrowok="t"/>
            <v:fill type="solid"/>
            <w10:wrap type="none"/>
          </v:shape>
        </w:pict>
      </w:r>
      <w:r>
        <w:rPr/>
        <w:pict>
          <v:group style="position:absolute;margin-left:363.378998pt;margin-top:-135.535614pt;width:75.25pt;height:24.8pt;mso-position-horizontal-relative:page;mso-position-vertical-relative:paragraph;z-index:-1130656" coordorigin="7268,-2711" coordsize="1505,496">
            <v:line style="position:absolute" from="7273,-2705" to="7273,-2537" stroked="true" strokeweight=".526pt" strokecolor="#baf9f5"/>
            <v:rect style="position:absolute;left:7278;top:-2705;width:1494;height:168" filled="true" fillcolor="#baf9f5" stroked="false">
              <v:fill type="solid"/>
            </v:rect>
            <v:line style="position:absolute" from="7273,-2537" to="7273,-2379" stroked="true" strokeweight=".526pt" strokecolor="#baf9f5"/>
            <v:rect style="position:absolute;left:7278;top:-2537;width:1494;height:158" filled="true" fillcolor="#baf9f5" stroked="false">
              <v:fill type="solid"/>
            </v:rect>
            <v:line style="position:absolute" from="7273,-2379" to="7273,-2221" stroked="true" strokeweight=".526pt" strokecolor="#baf9f5"/>
            <v:rect style="position:absolute;left:7278;top:-2379;width:1494;height:158" filled="true" fillcolor="#baf9f5" stroked="false">
              <v:fill type="solid"/>
            </v:rect>
            <w10:wrap type="none"/>
          </v:group>
        </w:pict>
      </w:r>
      <w:r>
        <w:rPr/>
        <w:pict>
          <v:shape style="position:absolute;margin-left:472.277008pt;margin-top:-135.260132pt;width:34.75pt;height:32.1pt;mso-position-horizontal-relative:page;mso-position-vertical-relative:paragraph;z-index:-1130632" coordorigin="9446,-2705" coordsize="695,642" path="m10140,-2379l9446,-2379,9446,-2232,9446,-2221,9446,-2063,10140,-2063,10140,-2221,10140,-2232,10140,-2379m10140,-2705l9446,-2705,9446,-2537,9446,-2379,10140,-2379,10140,-2537,10140,-2705e" filled="true" fillcolor="#ffff00" stroked="false">
            <v:path arrowok="t"/>
            <v:fill type="solid"/>
            <w10:wrap type="none"/>
          </v:shape>
        </w:pict>
      </w:r>
      <w:r>
        <w:rPr/>
        <w:pict>
          <v:group style="position:absolute;margin-left:363.378998pt;margin-top:-96.069717pt;width:75.25pt;height:32.65pt;mso-position-horizontal-relative:page;mso-position-vertical-relative:paragraph;z-index:-1130608" coordorigin="7268,-1921" coordsize="1505,653">
            <v:line style="position:absolute" from="7273,-1916" to="7273,-1748" stroked="true" strokeweight=".526pt" strokecolor="#baf9f5"/>
            <v:rect style="position:absolute;left:7278;top:-1916;width:1494;height:168" filled="true" fillcolor="#baf9f5" stroked="false">
              <v:fill type="solid"/>
            </v:rect>
            <v:line style="position:absolute" from="7273,-1748" to="7273,-1590" stroked="true" strokeweight=".526pt" strokecolor="#baf9f5"/>
            <v:rect style="position:absolute;left:7278;top:-1748;width:1494;height:158" filled="true" fillcolor="#baf9f5" stroked="false">
              <v:fill type="solid"/>
            </v:rect>
            <v:line style="position:absolute" from="7273,-1590" to="7273,-1432" stroked="true" strokeweight=".526pt" strokecolor="#baf9f5"/>
            <v:rect style="position:absolute;left:7278;top:-1590;width:1494;height:158" filled="true" fillcolor="#baf9f5" stroked="false">
              <v:fill type="solid"/>
            </v:rect>
            <v:line style="position:absolute" from="7273,-1432" to="7273,-1274" stroked="true" strokeweight=".526pt" strokecolor="#baf9f5"/>
            <v:rect style="position:absolute;left:7278;top:-1432;width:1494;height:158" filled="true" fillcolor="#baf9f5" stroked="false">
              <v:fill type="solid"/>
            </v:rect>
            <w10:wrap type="none"/>
          </v:group>
        </w:pict>
      </w:r>
      <w:r>
        <w:rPr/>
        <w:pict>
          <v:shape style="position:absolute;margin-left:472.277008pt;margin-top:-95.794136pt;width:34.75pt;height:40pt;mso-position-horizontal-relative:page;mso-position-vertical-relative:paragraph;z-index:-1130584" coordorigin="9446,-1916" coordsize="695,800" path="m10140,-1432l9446,-1432,9446,-1284,9446,-1274,9446,-1116,10140,-1116,10140,-1274,10140,-1284,10140,-1432m10140,-1916l9446,-1916,9446,-1748,9446,-1590,9446,-1432,10140,-1432,10140,-1590,10140,-1748,10140,-1916e" filled="true" fillcolor="#ffff00" stroked="false">
            <v:path arrowok="t"/>
            <v:fill type="solid"/>
            <w10:wrap type="none"/>
          </v:shape>
        </w:pict>
      </w:r>
      <w:r>
        <w:rPr/>
        <w:pict>
          <v:group style="position:absolute;margin-left:363.378998pt;margin-top:-48.710617pt;width:75.25pt;height:16.9pt;mso-position-horizontal-relative:page;mso-position-vertical-relative:paragraph;z-index:-1130560" coordorigin="7268,-974" coordsize="1505,338">
            <v:line style="position:absolute" from="7273,-969" to="7273,-800" stroked="true" strokeweight=".526pt" strokecolor="#baf9f5"/>
            <v:rect style="position:absolute;left:7278;top:-969;width:1494;height:168" filled="true" fillcolor="#baf9f5" stroked="false">
              <v:fill type="solid"/>
            </v:rect>
            <v:line style="position:absolute" from="7273,-800" to="7273,-642" stroked="true" strokeweight=".526pt" strokecolor="#baf9f5"/>
            <v:rect style="position:absolute;left:7278;top:-800;width:1494;height:158" filled="true" fillcolor="#baf9f5" stroked="false">
              <v:fill type="solid"/>
            </v:rect>
            <w10:wrap type="none"/>
          </v:group>
        </w:pict>
      </w:r>
      <w:r>
        <w:rPr/>
        <w:pict>
          <v:shape style="position:absolute;margin-left:472.277008pt;margin-top:-48.435135pt;width:34.75pt;height:24.25pt;mso-position-horizontal-relative:page;mso-position-vertical-relative:paragraph;z-index:-1130536" coordorigin="9446,-969" coordsize="695,485" path="m10140,-969l9446,-969,9446,-800,9446,-653,9446,-642,9446,-485,10140,-485,10140,-642,10140,-653,10140,-800,10140,-969e" filled="true" fillcolor="#ffff00" stroked="false">
            <v:path arrowok="t"/>
            <v:fill type="solid"/>
            <w10:wrap type="none"/>
          </v:shape>
        </w:pict>
      </w:r>
      <w:r>
        <w:rPr/>
        <w:pict>
          <v:rect style="position:absolute;margin-left:506.467987pt;margin-top:-16.862516pt;width:34.7172pt;height:8.4194pt;mso-position-horizontal-relative:page;mso-position-vertical-relative:paragraph;z-index:-1130512" filled="true" fillcolor="#67ed4d"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spacing w:before="1"/>
        <w:rPr>
          <w:sz w:val="18"/>
        </w:rPr>
      </w:pPr>
    </w:p>
    <w:p>
      <w:pPr>
        <w:pStyle w:val="BodyText"/>
        <w:spacing w:before="69"/>
        <w:ind w:left="268"/>
      </w:pPr>
      <w:r>
        <w:rPr/>
        <w:pict>
          <v:shape style="position:absolute;margin-left:360.753693pt;margin-top:31.688034pt;width:180.4pt;height:22.15pt;mso-position-horizontal-relative:page;mso-position-vertical-relative:paragraph;z-index:-1130488" type="#_x0000_t202" filled="false" stroked="false">
            <v:textbox inset="0,0,0,0">
              <w:txbxContent>
                <w:p>
                  <w:pPr>
                    <w:pStyle w:val="BodyText"/>
                    <w:rPr>
                      <w:sz w:val="12"/>
                    </w:rPr>
                  </w:pPr>
                </w:p>
                <w:p>
                  <w:pPr>
                    <w:spacing w:before="81"/>
                    <w:ind w:left="0" w:right="0" w:firstLine="0"/>
                    <w:jc w:val="left"/>
                    <w:rPr>
                      <w:b/>
                      <w:sz w:val="12"/>
                    </w:rPr>
                  </w:pPr>
                  <w:r>
                    <w:rPr>
                      <w:b/>
                      <w:color w:val="FFFFFF"/>
                      <w:w w:val="105"/>
                      <w:sz w:val="12"/>
                    </w:rPr>
                    <w:t>m</w:t>
                  </w:r>
                </w:p>
              </w:txbxContent>
            </v:textbox>
            <w10:wrap type="none"/>
          </v:shape>
        </w:pict>
      </w:r>
      <w:r>
        <w:rPr/>
        <w:pict>
          <v:line style="position:absolute;mso-position-horizontal-relative:page;mso-position-vertical-relative:paragraph;z-index:27568" from="93.199997pt,-19.614155pt" to="546.799997pt,-19.614155pt" stroked="true" strokeweight=".479981pt" strokecolor="#000000">
            <w10:wrap type="none"/>
          </v:line>
        </w:pict>
      </w:r>
      <w:r>
        <w:rPr/>
        <w:pict>
          <v:group style="position:absolute;margin-left:363.355499pt;margin-top:65.106438pt;width:75.25pt;height:16.9pt;mso-position-horizontal-relative:page;mso-position-vertical-relative:paragraph;z-index:-1130440" coordorigin="7267,1302" coordsize="1505,338">
            <v:shape style="position:absolute;left:7273;top:1308;width:2;height:327" coordorigin="7273,1308" coordsize="0,327" path="m7273,1308l7273,1476m7273,1466l7273,1634e" filled="false" stroked="true" strokeweight=".525pt" strokecolor="#baf9f5">
              <v:path arrowok="t"/>
            </v:shape>
            <v:shape style="position:absolute;left:7278;top:1308;width:1494;height:327" coordorigin="7278,1308" coordsize="1494,327" path="m8772,1308l7278,1308,7278,1466,7278,1476,7278,1634,8772,1634,8772,1476,8772,1466,8772,1308e" filled="true" fillcolor="#baf9f5" stroked="false">
              <v:path arrowok="t"/>
              <v:fill type="solid"/>
            </v:shape>
            <w10:wrap type="none"/>
          </v:group>
        </w:pict>
      </w:r>
      <w:r>
        <w:rPr/>
        <w:pict>
          <v:shape style="position:absolute;margin-left:472.243011pt;margin-top:96.969803pt;width:34.75pt;height:16.3500pt;mso-position-horizontal-relative:page;mso-position-vertical-relative:paragraph;z-index:-1130416" coordorigin="9445,1939" coordsize="695,327" path="m10139,1939l9445,1939,9445,2097,9445,2108,9445,2266,10139,2266,10139,2108,10139,2097,10139,1939e" filled="true" fillcolor="#ffff00" stroked="false">
            <v:path arrowok="t"/>
            <v:fill type="solid"/>
            <w10:wrap type="none"/>
          </v:shape>
        </w:pict>
      </w:r>
      <w:r>
        <w:rPr/>
        <w:pict>
          <v:group style="position:absolute;margin-left:363.355499pt;margin-top:120.385437pt;width:75.25pt;height:24.8pt;mso-position-horizontal-relative:page;mso-position-vertical-relative:paragraph;z-index:-1130392" coordorigin="7267,2408" coordsize="1505,496">
            <v:shape style="position:absolute;left:7278;top:2413;width:1494;height:327" coordorigin="7278,2413" coordsize="1494,327" path="m8772,2582l7278,2582,7278,2740,8772,2740,8772,2582m8772,2413l7278,2413,7278,2582,8772,2582,8772,2413e" filled="true" fillcolor="#baf9f5" stroked="false">
              <v:path arrowok="t"/>
              <v:fill type="solid"/>
            </v:shape>
            <v:line style="position:absolute" from="7273,2413" to="7273,2898" stroked="true" strokeweight=".525pt" strokecolor="#baf9f5"/>
            <v:rect style="position:absolute;left:7278;top:2740;width:1494;height:158" filled="true" fillcolor="#baf9f5" stroked="false">
              <v:fill type="solid"/>
            </v:rect>
            <w10:wrap type="none"/>
          </v:group>
        </w:pict>
      </w:r>
      <w:r>
        <w:rPr/>
        <w:pict>
          <v:shape style="position:absolute;margin-left:472.243011pt;margin-top:120.660805pt;width:34.75pt;height:32.15pt;mso-position-horizontal-relative:page;mso-position-vertical-relative:paragraph;z-index:-1130368" coordorigin="9445,2413" coordsize="695,643" path="m10139,2740l9445,2740,9445,2887,9445,2898,9445,3055,10139,3055,10139,2898,10139,2887,10139,2740m10139,2582l9445,2582,9445,2740,10139,2740,10139,2582m10139,2413l9445,2413,9445,2582,10139,2582,10139,2413e" filled="true" fillcolor="#ffff00" stroked="false">
            <v:path arrowok="t"/>
            <v:fill type="solid"/>
            <w10:wrap type="none"/>
          </v:shape>
        </w:pict>
      </w:r>
      <w:r>
        <w:rPr/>
        <w:t>Tabla 75. ISE Hacienda de las Fuentes</w:t>
      </w:r>
    </w:p>
    <w:p>
      <w:pPr>
        <w:pStyle w:val="BodyText"/>
        <w:spacing w:before="1"/>
        <w:rPr>
          <w:sz w:val="25"/>
        </w:rPr>
      </w:pP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9"/>
        <w:gridCol w:w="1826"/>
        <w:gridCol w:w="2805"/>
        <w:gridCol w:w="1317"/>
        <w:gridCol w:w="887"/>
        <w:gridCol w:w="685"/>
        <w:gridCol w:w="683"/>
      </w:tblGrid>
      <w:tr>
        <w:trPr>
          <w:trHeight w:val="437" w:hRule="exact"/>
        </w:trPr>
        <w:tc>
          <w:tcPr>
            <w:tcW w:w="5249" w:type="dxa"/>
            <w:gridSpan w:val="3"/>
            <w:tcBorders>
              <w:bottom w:val="single" w:sz="4" w:space="0" w:color="FFFFFF"/>
            </w:tcBorders>
            <w:shd w:val="clear" w:color="auto" w:fill="000000"/>
          </w:tcPr>
          <w:p>
            <w:pPr>
              <w:pStyle w:val="TableParagraph"/>
              <w:spacing w:line="273" w:lineRule="auto" w:before="61"/>
              <w:ind w:left="3308" w:right="10" w:firstLine="368"/>
              <w:jc w:val="left"/>
              <w:rPr>
                <w:b/>
                <w:sz w:val="12"/>
              </w:rPr>
            </w:pPr>
            <w:r>
              <w:rPr>
                <w:b/>
                <w:color w:val="FFFFFF"/>
                <w:w w:val="105"/>
                <w:sz w:val="12"/>
              </w:rPr>
              <w:t>Hacienda de las Fuentes Índice de sustentabilidad econó</w:t>
            </w:r>
          </w:p>
        </w:tc>
        <w:tc>
          <w:tcPr>
            <w:tcW w:w="3571" w:type="dxa"/>
            <w:gridSpan w:val="4"/>
            <w:tcBorders>
              <w:bottom w:val="single" w:sz="4" w:space="0" w:color="FFFFFF"/>
              <w:right w:val="single" w:sz="4" w:space="0" w:color="FBF111"/>
            </w:tcBorders>
            <w:shd w:val="clear" w:color="auto" w:fill="000000"/>
          </w:tcPr>
          <w:p>
            <w:pPr>
              <w:pStyle w:val="TableParagraph"/>
              <w:jc w:val="left"/>
              <w:rPr>
                <w:sz w:val="12"/>
              </w:rPr>
            </w:pPr>
          </w:p>
          <w:p>
            <w:pPr>
              <w:pStyle w:val="TableParagraph"/>
              <w:spacing w:before="81"/>
              <w:ind w:left="86"/>
              <w:jc w:val="left"/>
              <w:rPr>
                <w:b/>
                <w:sz w:val="12"/>
              </w:rPr>
            </w:pPr>
            <w:r>
              <w:rPr>
                <w:b/>
                <w:color w:val="FFFFFF"/>
                <w:w w:val="105"/>
                <w:sz w:val="12"/>
              </w:rPr>
              <w:t>ica</w:t>
            </w:r>
          </w:p>
        </w:tc>
      </w:tr>
      <w:tr>
        <w:trPr>
          <w:trHeight w:val="200" w:hRule="exact"/>
        </w:trPr>
        <w:tc>
          <w:tcPr>
            <w:tcW w:w="619" w:type="dxa"/>
            <w:tcBorders>
              <w:top w:val="single" w:sz="4" w:space="0" w:color="FFFFFF"/>
              <w:left w:val="single" w:sz="4" w:space="0" w:color="000000"/>
            </w:tcBorders>
            <w:shd w:val="clear" w:color="auto" w:fill="808080"/>
          </w:tcPr>
          <w:p>
            <w:pPr>
              <w:pStyle w:val="TableParagraph"/>
              <w:spacing w:line="136" w:lineRule="exact"/>
              <w:ind w:left="157"/>
              <w:jc w:val="left"/>
              <w:rPr>
                <w:b/>
                <w:sz w:val="12"/>
              </w:rPr>
            </w:pPr>
            <w:r>
              <w:rPr>
                <w:b/>
                <w:color w:val="FFFFFF"/>
                <w:w w:val="105"/>
                <w:sz w:val="12"/>
              </w:rPr>
              <w:t>Índice</w:t>
            </w:r>
          </w:p>
        </w:tc>
        <w:tc>
          <w:tcPr>
            <w:tcW w:w="1826" w:type="dxa"/>
            <w:tcBorders>
              <w:top w:val="single" w:sz="4" w:space="0" w:color="FFFFFF"/>
            </w:tcBorders>
            <w:shd w:val="clear" w:color="auto" w:fill="808080"/>
          </w:tcPr>
          <w:p>
            <w:pPr>
              <w:pStyle w:val="TableParagraph"/>
              <w:spacing w:line="136" w:lineRule="exact"/>
              <w:ind w:left="91"/>
              <w:jc w:val="left"/>
              <w:rPr>
                <w:b/>
                <w:sz w:val="12"/>
              </w:rPr>
            </w:pPr>
            <w:r>
              <w:rPr>
                <w:b/>
                <w:color w:val="FFFFFF"/>
                <w:w w:val="105"/>
                <w:sz w:val="12"/>
              </w:rPr>
              <w:t>Subíndice</w:t>
            </w:r>
          </w:p>
        </w:tc>
        <w:tc>
          <w:tcPr>
            <w:tcW w:w="2805" w:type="dxa"/>
            <w:tcBorders>
              <w:top w:val="single" w:sz="4" w:space="0" w:color="FFFFFF"/>
            </w:tcBorders>
            <w:shd w:val="clear" w:color="auto" w:fill="808080"/>
          </w:tcPr>
          <w:p>
            <w:pPr>
              <w:pStyle w:val="TableParagraph"/>
              <w:spacing w:line="136" w:lineRule="exact"/>
              <w:ind w:left="369" w:right="1141"/>
              <w:jc w:val="left"/>
              <w:rPr>
                <w:b/>
                <w:sz w:val="12"/>
              </w:rPr>
            </w:pPr>
            <w:r>
              <w:rPr>
                <w:b/>
                <w:color w:val="FFFFFF"/>
                <w:w w:val="105"/>
                <w:sz w:val="12"/>
              </w:rPr>
              <w:t>Indicador</w:t>
            </w:r>
          </w:p>
        </w:tc>
        <w:tc>
          <w:tcPr>
            <w:tcW w:w="1317" w:type="dxa"/>
            <w:tcBorders>
              <w:top w:val="single" w:sz="4" w:space="0" w:color="FFFFFF"/>
            </w:tcBorders>
            <w:shd w:val="clear" w:color="auto" w:fill="808080"/>
          </w:tcPr>
          <w:p>
            <w:pPr/>
          </w:p>
        </w:tc>
        <w:tc>
          <w:tcPr>
            <w:tcW w:w="887" w:type="dxa"/>
            <w:tcBorders>
              <w:top w:val="single" w:sz="4" w:space="0" w:color="FFFFFF"/>
            </w:tcBorders>
            <w:shd w:val="clear" w:color="auto" w:fill="808080"/>
          </w:tcPr>
          <w:p>
            <w:pPr>
              <w:pStyle w:val="TableParagraph"/>
              <w:spacing w:line="136" w:lineRule="exact"/>
              <w:ind w:left="266"/>
              <w:jc w:val="left"/>
              <w:rPr>
                <w:b/>
                <w:sz w:val="12"/>
              </w:rPr>
            </w:pPr>
            <w:r>
              <w:rPr>
                <w:b/>
                <w:color w:val="FFFFFF"/>
                <w:w w:val="105"/>
                <w:sz w:val="12"/>
              </w:rPr>
              <w:t>Valores</w:t>
            </w:r>
          </w:p>
        </w:tc>
        <w:tc>
          <w:tcPr>
            <w:tcW w:w="685" w:type="dxa"/>
            <w:tcBorders>
              <w:top w:val="single" w:sz="4" w:space="0" w:color="FFFFFF"/>
            </w:tcBorders>
            <w:shd w:val="clear" w:color="auto" w:fill="808080"/>
          </w:tcPr>
          <w:p>
            <w:pPr/>
          </w:p>
        </w:tc>
        <w:tc>
          <w:tcPr>
            <w:tcW w:w="683" w:type="dxa"/>
            <w:tcBorders>
              <w:top w:val="single" w:sz="4" w:space="0" w:color="FFFFFF"/>
              <w:right w:val="single" w:sz="8" w:space="0" w:color="000000"/>
            </w:tcBorders>
            <w:shd w:val="clear" w:color="auto" w:fill="808080"/>
          </w:tcPr>
          <w:p>
            <w:pPr/>
          </w:p>
        </w:tc>
      </w:tr>
      <w:tr>
        <w:trPr>
          <w:trHeight w:val="200" w:hRule="exact"/>
        </w:trPr>
        <w:tc>
          <w:tcPr>
            <w:tcW w:w="619" w:type="dxa"/>
            <w:vMerge w:val="restart"/>
            <w:tcBorders>
              <w:left w:val="single" w:sz="4" w:space="0" w:color="000000"/>
            </w:tcBorders>
          </w:tcPr>
          <w:p>
            <w:pPr/>
          </w:p>
        </w:tc>
        <w:tc>
          <w:tcPr>
            <w:tcW w:w="1826" w:type="dxa"/>
            <w:vMerge w:val="restart"/>
          </w:tcPr>
          <w:p>
            <w:pPr>
              <w:pStyle w:val="TableParagraph"/>
              <w:spacing w:before="6"/>
              <w:jc w:val="left"/>
              <w:rPr>
                <w:sz w:val="17"/>
              </w:rPr>
            </w:pPr>
          </w:p>
          <w:p>
            <w:pPr>
              <w:pStyle w:val="TableParagraph"/>
              <w:ind w:left="91"/>
              <w:jc w:val="left"/>
              <w:rPr>
                <w:rFonts w:ascii="Calibri" w:hAnsi="Calibri"/>
                <w:sz w:val="12"/>
              </w:rPr>
            </w:pPr>
            <w:r>
              <w:rPr>
                <w:rFonts w:ascii="Calibri" w:hAnsi="Calibri"/>
                <w:w w:val="105"/>
                <w:sz w:val="12"/>
              </w:rPr>
              <w:t>Situación de la vivienda</w:t>
            </w:r>
          </w:p>
        </w:tc>
        <w:tc>
          <w:tcPr>
            <w:tcW w:w="2805" w:type="dxa"/>
            <w:vMerge w:val="restart"/>
          </w:tcPr>
          <w:p>
            <w:pPr>
              <w:pStyle w:val="TableParagraph"/>
              <w:spacing w:before="6"/>
              <w:jc w:val="left"/>
              <w:rPr>
                <w:sz w:val="17"/>
              </w:rPr>
            </w:pPr>
          </w:p>
          <w:p>
            <w:pPr>
              <w:pStyle w:val="TableParagraph"/>
              <w:ind w:left="369" w:right="1141"/>
              <w:jc w:val="left"/>
              <w:rPr>
                <w:rFonts w:ascii="Calibri"/>
                <w:sz w:val="12"/>
              </w:rPr>
            </w:pPr>
            <w:r>
              <w:rPr>
                <w:rFonts w:ascii="Calibri"/>
                <w:w w:val="105"/>
                <w:sz w:val="12"/>
              </w:rPr>
              <w:t>Precio</w:t>
            </w:r>
          </w:p>
        </w:tc>
        <w:tc>
          <w:tcPr>
            <w:tcW w:w="1317" w:type="dxa"/>
            <w:vMerge w:val="restart"/>
          </w:tcPr>
          <w:p>
            <w:pPr>
              <w:pStyle w:val="TableParagraph"/>
              <w:spacing w:before="45"/>
              <w:ind w:left="427" w:right="184"/>
              <w:rPr>
                <w:b/>
                <w:sz w:val="12"/>
              </w:rPr>
            </w:pPr>
            <w:r>
              <w:rPr>
                <w:b/>
                <w:w w:val="105"/>
                <w:sz w:val="12"/>
              </w:rPr>
              <w:t>Evaluación</w:t>
            </w:r>
          </w:p>
          <w:p>
            <w:pPr>
              <w:pStyle w:val="TableParagraph"/>
              <w:spacing w:before="18"/>
              <w:ind w:left="425" w:right="184"/>
              <w:rPr>
                <w:rFonts w:ascii="Calibri"/>
                <w:sz w:val="12"/>
              </w:rPr>
            </w:pPr>
            <w:r>
              <w:rPr>
                <w:rFonts w:ascii="Calibri"/>
                <w:w w:val="105"/>
                <w:sz w:val="12"/>
              </w:rPr>
              <w:t>0.5</w:t>
            </w:r>
          </w:p>
          <w:p>
            <w:pPr>
              <w:pStyle w:val="TableParagraph"/>
              <w:spacing w:before="11"/>
              <w:ind w:left="423" w:right="184"/>
              <w:rPr>
                <w:rFonts w:ascii="Calibri"/>
                <w:sz w:val="12"/>
              </w:rPr>
            </w:pPr>
            <w:r>
              <w:rPr>
                <w:rFonts w:ascii="Calibri"/>
                <w:w w:val="105"/>
                <w:sz w:val="12"/>
              </w:rPr>
              <w:t>Subtotal</w:t>
            </w:r>
          </w:p>
        </w:tc>
        <w:tc>
          <w:tcPr>
            <w:tcW w:w="887" w:type="dxa"/>
            <w:vMerge w:val="restart"/>
          </w:tcPr>
          <w:p>
            <w:pPr>
              <w:pStyle w:val="TableParagraph"/>
              <w:tabs>
                <w:tab w:pos="897" w:val="left" w:leader="none"/>
              </w:tabs>
              <w:spacing w:before="45"/>
              <w:ind w:left="203" w:right="-11"/>
              <w:jc w:val="left"/>
              <w:rPr>
                <w:b/>
                <w:sz w:val="12"/>
              </w:rPr>
            </w:pPr>
            <w:r>
              <w:rPr>
                <w:b/>
                <w:w w:val="105"/>
                <w:sz w:val="12"/>
                <w:shd w:fill="F79646" w:color="auto" w:val="clear"/>
              </w:rPr>
              <w:t> </w:t>
            </w:r>
            <w:r>
              <w:rPr>
                <w:b/>
                <w:sz w:val="12"/>
                <w:shd w:fill="F79646" w:color="auto" w:val="clear"/>
              </w:rPr>
              <w:t>    </w:t>
            </w:r>
            <w:r>
              <w:rPr>
                <w:b/>
                <w:spacing w:val="8"/>
                <w:sz w:val="12"/>
                <w:shd w:fill="F79646" w:color="auto" w:val="clear"/>
              </w:rPr>
              <w:t> </w:t>
            </w:r>
            <w:r>
              <w:rPr>
                <w:b/>
                <w:w w:val="105"/>
                <w:sz w:val="12"/>
                <w:shd w:fill="F79646" w:color="auto" w:val="clear"/>
              </w:rPr>
              <w:t>Real</w:t>
            </w:r>
            <w:r>
              <w:rPr>
                <w:b/>
                <w:sz w:val="12"/>
                <w:shd w:fill="F79646" w:color="auto" w:val="clear"/>
              </w:rPr>
              <w:tab/>
            </w:r>
          </w:p>
          <w:p>
            <w:pPr>
              <w:pStyle w:val="TableParagraph"/>
              <w:spacing w:before="3"/>
              <w:jc w:val="left"/>
              <w:rPr>
                <w:sz w:val="15"/>
              </w:rPr>
            </w:pPr>
          </w:p>
          <w:p>
            <w:pPr>
              <w:pStyle w:val="TableParagraph"/>
              <w:tabs>
                <w:tab w:pos="466" w:val="left" w:leader="none"/>
                <w:tab w:pos="897" w:val="left" w:leader="none"/>
              </w:tabs>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0.5</w:t>
            </w:r>
            <w:r>
              <w:rPr>
                <w:rFonts w:ascii="Calibri"/>
                <w:sz w:val="12"/>
                <w:shd w:fill="F79646" w:color="auto" w:val="clear"/>
              </w:rPr>
              <w:tab/>
            </w:r>
          </w:p>
        </w:tc>
        <w:tc>
          <w:tcPr>
            <w:tcW w:w="685" w:type="dxa"/>
            <w:tcBorders>
              <w:right w:val="single" w:sz="4" w:space="0" w:color="FFFFFF"/>
            </w:tcBorders>
            <w:shd w:val="clear" w:color="auto" w:fill="FFFF00"/>
          </w:tcPr>
          <w:p>
            <w:pPr>
              <w:pStyle w:val="TableParagraph"/>
              <w:spacing w:before="45"/>
              <w:ind w:left="54" w:right="32"/>
              <w:rPr>
                <w:b/>
                <w:sz w:val="12"/>
              </w:rPr>
            </w:pPr>
            <w:r>
              <w:rPr>
                <w:b/>
                <w:w w:val="105"/>
                <w:sz w:val="12"/>
              </w:rPr>
              <w:t>Deseable</w:t>
            </w:r>
          </w:p>
        </w:tc>
        <w:tc>
          <w:tcPr>
            <w:tcW w:w="683" w:type="dxa"/>
            <w:tcBorders>
              <w:left w:val="single" w:sz="4" w:space="0" w:color="FFFFFF"/>
              <w:right w:val="single" w:sz="8" w:space="0" w:color="000000"/>
            </w:tcBorders>
            <w:shd w:val="clear" w:color="auto" w:fill="67ED4D"/>
          </w:tcPr>
          <w:p>
            <w:pPr>
              <w:pStyle w:val="TableParagraph"/>
              <w:spacing w:before="45"/>
              <w:ind w:left="100" w:right="86"/>
              <w:rPr>
                <w:b/>
                <w:sz w:val="12"/>
              </w:rPr>
            </w:pPr>
            <w:r>
              <w:rPr>
                <w:b/>
                <w:w w:val="105"/>
                <w:sz w:val="12"/>
              </w:rPr>
              <w:t>Óptimo</w:t>
            </w:r>
          </w:p>
        </w:tc>
      </w:tr>
      <w:tr>
        <w:trPr>
          <w:trHeight w:val="160" w:hRule="exact"/>
        </w:trPr>
        <w:tc>
          <w:tcPr>
            <w:tcW w:w="619" w:type="dxa"/>
            <w:vMerge/>
            <w:tcBorders>
              <w:left w:val="single" w:sz="4" w:space="0" w:color="000000"/>
            </w:tcBorders>
          </w:tcPr>
          <w:p>
            <w:pPr/>
          </w:p>
        </w:tc>
        <w:tc>
          <w:tcPr>
            <w:tcW w:w="1826" w:type="dxa"/>
            <w:vMerge/>
          </w:tcPr>
          <w:p>
            <w:pPr/>
          </w:p>
        </w:tc>
        <w:tc>
          <w:tcPr>
            <w:tcW w:w="2805" w:type="dxa"/>
            <w:vMerge/>
          </w:tcPr>
          <w:p>
            <w:pPr/>
          </w:p>
        </w:tc>
        <w:tc>
          <w:tcPr>
            <w:tcW w:w="1317" w:type="dxa"/>
            <w:vMerge/>
          </w:tcPr>
          <w:p>
            <w:pPr/>
          </w:p>
        </w:tc>
        <w:tc>
          <w:tcPr>
            <w:tcW w:w="887" w:type="dxa"/>
            <w:vMerge/>
          </w:tcPr>
          <w:p>
            <w:pPr/>
          </w:p>
        </w:tc>
        <w:tc>
          <w:tcPr>
            <w:tcW w:w="685" w:type="dxa"/>
            <w:tcBorders>
              <w:right w:val="single" w:sz="4" w:space="0" w:color="FFFFFF"/>
            </w:tcBorders>
            <w:shd w:val="clear" w:color="auto" w:fill="FFFF00"/>
          </w:tcPr>
          <w:p>
            <w:pPr>
              <w:pStyle w:val="TableParagraph"/>
              <w:spacing w:before="2"/>
              <w:ind w:left="38" w:right="32"/>
              <w:rPr>
                <w:rFonts w:ascii="Calibri"/>
                <w:sz w:val="12"/>
              </w:rPr>
            </w:pPr>
            <w:r>
              <w:rPr>
                <w:rFonts w:ascii="Calibri"/>
                <w:w w:val="105"/>
                <w:sz w:val="12"/>
              </w:rPr>
              <w:t>0.5</w:t>
            </w:r>
          </w:p>
        </w:tc>
        <w:tc>
          <w:tcPr>
            <w:tcW w:w="683" w:type="dxa"/>
            <w:tcBorders>
              <w:left w:val="single" w:sz="4" w:space="0" w:color="FFFFFF"/>
              <w:right w:val="single" w:sz="8" w:space="0" w:color="000000"/>
            </w:tcBorders>
            <w:shd w:val="clear" w:color="auto" w:fill="67ED4D"/>
          </w:tcPr>
          <w:p>
            <w:pPr>
              <w:pStyle w:val="TableParagraph"/>
              <w:spacing w:before="2"/>
              <w:ind w:left="15"/>
              <w:rPr>
                <w:rFonts w:ascii="Calibri"/>
                <w:sz w:val="12"/>
              </w:rPr>
            </w:pPr>
            <w:r>
              <w:rPr>
                <w:rFonts w:ascii="Calibri"/>
                <w:w w:val="105"/>
                <w:sz w:val="12"/>
              </w:rPr>
              <w:t>1</w:t>
            </w:r>
          </w:p>
        </w:tc>
      </w:tr>
      <w:tr>
        <w:trPr>
          <w:trHeight w:val="162" w:hRule="exact"/>
        </w:trPr>
        <w:tc>
          <w:tcPr>
            <w:tcW w:w="619" w:type="dxa"/>
            <w:vMerge/>
            <w:tcBorders>
              <w:left w:val="single" w:sz="4" w:space="0" w:color="000000"/>
            </w:tcBorders>
          </w:tcPr>
          <w:p>
            <w:pPr/>
          </w:p>
        </w:tc>
        <w:tc>
          <w:tcPr>
            <w:tcW w:w="1826" w:type="dxa"/>
            <w:vMerge/>
          </w:tcPr>
          <w:p>
            <w:pPr/>
          </w:p>
        </w:tc>
        <w:tc>
          <w:tcPr>
            <w:tcW w:w="2805" w:type="dxa"/>
            <w:vMerge/>
          </w:tcPr>
          <w:p>
            <w:pPr/>
          </w:p>
        </w:tc>
        <w:tc>
          <w:tcPr>
            <w:tcW w:w="1317" w:type="dxa"/>
            <w:vMerge/>
          </w:tcPr>
          <w:p>
            <w:pPr/>
          </w:p>
        </w:tc>
        <w:tc>
          <w:tcPr>
            <w:tcW w:w="887" w:type="dxa"/>
            <w:vMerge/>
          </w:tcPr>
          <w:p>
            <w:pPr/>
          </w:p>
        </w:tc>
        <w:tc>
          <w:tcPr>
            <w:tcW w:w="685" w:type="dxa"/>
            <w:tcBorders>
              <w:right w:val="single" w:sz="4" w:space="0" w:color="FFFFFF"/>
            </w:tcBorders>
            <w:shd w:val="clear" w:color="auto" w:fill="FFFF00"/>
          </w:tcPr>
          <w:p>
            <w:pPr>
              <w:pStyle w:val="TableParagraph"/>
              <w:ind w:left="38" w:right="32"/>
              <w:rPr>
                <w:rFonts w:ascii="Calibri"/>
                <w:sz w:val="12"/>
              </w:rPr>
            </w:pPr>
            <w:r>
              <w:rPr>
                <w:rFonts w:ascii="Calibri"/>
                <w:w w:val="105"/>
                <w:sz w:val="12"/>
              </w:rPr>
              <w:t>0.5</w:t>
            </w:r>
          </w:p>
        </w:tc>
        <w:tc>
          <w:tcPr>
            <w:tcW w:w="683" w:type="dxa"/>
            <w:tcBorders>
              <w:left w:val="single" w:sz="4" w:space="0" w:color="FFFFFF"/>
              <w:right w:val="single" w:sz="8" w:space="0" w:color="000000"/>
            </w:tcBorders>
            <w:shd w:val="clear" w:color="auto" w:fill="67ED4D"/>
          </w:tcPr>
          <w:p>
            <w:pPr>
              <w:pStyle w:val="TableParagraph"/>
              <w:ind w:left="15"/>
              <w:rPr>
                <w:rFonts w:ascii="Calibri"/>
                <w:sz w:val="12"/>
              </w:rPr>
            </w:pPr>
            <w:r>
              <w:rPr>
                <w:rFonts w:ascii="Calibri"/>
                <w:w w:val="105"/>
                <w:sz w:val="12"/>
              </w:rPr>
              <w:t>1</w:t>
            </w:r>
          </w:p>
        </w:tc>
      </w:tr>
      <w:tr>
        <w:trPr>
          <w:trHeight w:val="147" w:hRule="exact"/>
        </w:trPr>
        <w:tc>
          <w:tcPr>
            <w:tcW w:w="8821" w:type="dxa"/>
            <w:gridSpan w:val="7"/>
            <w:tcBorders>
              <w:left w:val="single" w:sz="4" w:space="0" w:color="000000"/>
              <w:right w:val="single" w:sz="8" w:space="0" w:color="000000"/>
            </w:tcBorders>
          </w:tcPr>
          <w:p>
            <w:pPr/>
          </w:p>
        </w:tc>
      </w:tr>
      <w:tr>
        <w:trPr>
          <w:trHeight w:val="163" w:hRule="exact"/>
        </w:trPr>
        <w:tc>
          <w:tcPr>
            <w:tcW w:w="619" w:type="dxa"/>
            <w:tcBorders>
              <w:left w:val="single" w:sz="4" w:space="0" w:color="000000"/>
            </w:tcBorders>
          </w:tcPr>
          <w:p>
            <w:pPr/>
          </w:p>
        </w:tc>
        <w:tc>
          <w:tcPr>
            <w:tcW w:w="1826" w:type="dxa"/>
          </w:tcPr>
          <w:p>
            <w:pPr>
              <w:pStyle w:val="TableParagraph"/>
              <w:spacing w:before="7"/>
              <w:ind w:left="91"/>
              <w:jc w:val="left"/>
              <w:rPr>
                <w:rFonts w:ascii="Calibri"/>
                <w:sz w:val="12"/>
              </w:rPr>
            </w:pPr>
            <w:r>
              <w:rPr>
                <w:rFonts w:ascii="Calibri"/>
                <w:w w:val="105"/>
                <w:sz w:val="12"/>
              </w:rPr>
              <w:t>INEX</w:t>
            </w:r>
          </w:p>
        </w:tc>
        <w:tc>
          <w:tcPr>
            <w:tcW w:w="2805" w:type="dxa"/>
          </w:tcPr>
          <w:p>
            <w:pPr>
              <w:pStyle w:val="TableParagraph"/>
              <w:spacing w:before="7"/>
              <w:ind w:left="369" w:right="1141"/>
              <w:jc w:val="left"/>
              <w:rPr>
                <w:rFonts w:ascii="Calibri"/>
                <w:sz w:val="12"/>
              </w:rPr>
            </w:pPr>
            <w:r>
              <w:rPr>
                <w:rFonts w:ascii="Calibri"/>
                <w:w w:val="105"/>
                <w:sz w:val="12"/>
              </w:rPr>
              <w:t>Infonavit</w:t>
            </w:r>
          </w:p>
        </w:tc>
        <w:tc>
          <w:tcPr>
            <w:tcW w:w="1317" w:type="dxa"/>
          </w:tcPr>
          <w:p>
            <w:pPr>
              <w:pStyle w:val="TableParagraph"/>
              <w:tabs>
                <w:tab w:pos="751" w:val="left" w:leader="none"/>
                <w:tab w:pos="1530" w:val="left" w:leader="none"/>
              </w:tabs>
              <w:spacing w:before="7"/>
              <w:ind w:left="26" w:right="-214"/>
              <w:rPr>
                <w:rFonts w:ascii="Calibri"/>
                <w:sz w:val="12"/>
              </w:rPr>
            </w:pPr>
            <w:r>
              <w:rPr>
                <w:rFonts w:ascii="Times New Roman"/>
                <w:w w:val="105"/>
                <w:sz w:val="12"/>
                <w:shd w:fill="BAF9F5" w:color="auto" w:val="clear"/>
              </w:rPr>
              <w:t> </w:t>
            </w:r>
            <w:r>
              <w:rPr>
                <w:rFonts w:ascii="Times New Roman"/>
                <w:sz w:val="12"/>
                <w:shd w:fill="BAF9F5" w:color="auto" w:val="clear"/>
              </w:rPr>
              <w:tab/>
            </w:r>
            <w:r>
              <w:rPr>
                <w:rFonts w:ascii="Calibri"/>
                <w:w w:val="105"/>
                <w:sz w:val="12"/>
                <w:shd w:fill="BAF9F5" w:color="auto" w:val="clear"/>
              </w:rPr>
              <w:t>0</w:t>
            </w:r>
            <w:r>
              <w:rPr>
                <w:rFonts w:ascii="Calibri"/>
                <w:sz w:val="12"/>
                <w:shd w:fill="BAF9F5" w:color="auto" w:val="clear"/>
              </w:rPr>
              <w:tab/>
            </w:r>
          </w:p>
        </w:tc>
        <w:tc>
          <w:tcPr>
            <w:tcW w:w="887" w:type="dxa"/>
          </w:tcPr>
          <w:p>
            <w:pPr/>
          </w:p>
        </w:tc>
        <w:tc>
          <w:tcPr>
            <w:tcW w:w="685" w:type="dxa"/>
          </w:tcPr>
          <w:p>
            <w:pPr>
              <w:pStyle w:val="TableParagraph"/>
              <w:spacing w:before="7"/>
              <w:ind w:left="243" w:right="242"/>
              <w:rPr>
                <w:rFonts w:ascii="Calibri"/>
                <w:sz w:val="12"/>
              </w:rPr>
            </w:pPr>
            <w:r>
              <w:rPr>
                <w:rFonts w:ascii="Calibri"/>
                <w:w w:val="105"/>
                <w:sz w:val="12"/>
              </w:rPr>
              <w:t>0.7</w:t>
            </w:r>
          </w:p>
        </w:tc>
        <w:tc>
          <w:tcPr>
            <w:tcW w:w="683" w:type="dxa"/>
            <w:tcBorders>
              <w:right w:val="single" w:sz="8" w:space="0" w:color="000000"/>
            </w:tcBorders>
            <w:shd w:val="clear" w:color="auto" w:fill="67ED4D"/>
          </w:tcPr>
          <w:p>
            <w:pPr>
              <w:pStyle w:val="TableParagraph"/>
              <w:spacing w:before="7"/>
              <w:ind w:left="20"/>
              <w:rPr>
                <w:rFonts w:ascii="Calibri"/>
                <w:sz w:val="12"/>
              </w:rPr>
            </w:pPr>
            <w:r>
              <w:rPr>
                <w:rFonts w:ascii="Calibri"/>
                <w:w w:val="105"/>
                <w:sz w:val="12"/>
              </w:rPr>
              <w:t>1</w:t>
            </w:r>
          </w:p>
        </w:tc>
      </w:tr>
      <w:tr>
        <w:trPr>
          <w:trHeight w:val="163" w:hRule="exact"/>
        </w:trPr>
        <w:tc>
          <w:tcPr>
            <w:tcW w:w="619" w:type="dxa"/>
            <w:tcBorders>
              <w:left w:val="single" w:sz="4" w:space="0" w:color="000000"/>
            </w:tcBorders>
          </w:tcPr>
          <w:p>
            <w:pPr/>
          </w:p>
        </w:tc>
        <w:tc>
          <w:tcPr>
            <w:tcW w:w="1826" w:type="dxa"/>
          </w:tcPr>
          <w:p>
            <w:pPr/>
          </w:p>
        </w:tc>
        <w:tc>
          <w:tcPr>
            <w:tcW w:w="2805" w:type="dxa"/>
          </w:tcPr>
          <w:p>
            <w:pPr/>
          </w:p>
        </w:tc>
        <w:tc>
          <w:tcPr>
            <w:tcW w:w="1317" w:type="dxa"/>
          </w:tcPr>
          <w:p>
            <w:pPr>
              <w:pStyle w:val="TableParagraph"/>
              <w:spacing w:before="1"/>
              <w:ind w:left="423" w:right="184"/>
              <w:rPr>
                <w:rFonts w:ascii="Calibri"/>
                <w:sz w:val="12"/>
              </w:rPr>
            </w:pPr>
            <w:r>
              <w:rPr>
                <w:rFonts w:ascii="Calibri"/>
                <w:w w:val="105"/>
                <w:sz w:val="12"/>
              </w:rPr>
              <w:t>Subtotal</w:t>
            </w:r>
          </w:p>
        </w:tc>
        <w:tc>
          <w:tcPr>
            <w:tcW w:w="887" w:type="dxa"/>
          </w:tcPr>
          <w:p>
            <w:pPr>
              <w:pStyle w:val="TableParagraph"/>
              <w:tabs>
                <w:tab w:pos="518"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0</w:t>
            </w:r>
            <w:r>
              <w:rPr>
                <w:rFonts w:ascii="Calibri"/>
                <w:sz w:val="12"/>
                <w:shd w:fill="F79646" w:color="auto" w:val="clear"/>
              </w:rPr>
              <w:tab/>
            </w:r>
          </w:p>
        </w:tc>
        <w:tc>
          <w:tcPr>
            <w:tcW w:w="685" w:type="dxa"/>
          </w:tcPr>
          <w:p>
            <w:pPr>
              <w:pStyle w:val="TableParagraph"/>
              <w:spacing w:before="1"/>
              <w:ind w:left="243" w:right="242"/>
              <w:rPr>
                <w:rFonts w:ascii="Calibri"/>
                <w:sz w:val="12"/>
              </w:rPr>
            </w:pPr>
            <w:r>
              <w:rPr>
                <w:rFonts w:ascii="Calibri"/>
                <w:w w:val="105"/>
                <w:sz w:val="12"/>
              </w:rPr>
              <w:t>0.7</w:t>
            </w:r>
          </w:p>
        </w:tc>
        <w:tc>
          <w:tcPr>
            <w:tcW w:w="683" w:type="dxa"/>
            <w:tcBorders>
              <w:right w:val="single" w:sz="8" w:space="0" w:color="000000"/>
            </w:tcBorders>
            <w:shd w:val="clear" w:color="auto" w:fill="67ED4D"/>
          </w:tcPr>
          <w:p>
            <w:pPr>
              <w:pStyle w:val="TableParagraph"/>
              <w:spacing w:before="1"/>
              <w:ind w:left="20"/>
              <w:rPr>
                <w:rFonts w:ascii="Calibri"/>
                <w:sz w:val="12"/>
              </w:rPr>
            </w:pPr>
            <w:r>
              <w:rPr>
                <w:rFonts w:ascii="Calibri"/>
                <w:w w:val="105"/>
                <w:sz w:val="12"/>
              </w:rPr>
              <w:t>1</w:t>
            </w:r>
          </w:p>
        </w:tc>
      </w:tr>
      <w:tr>
        <w:trPr>
          <w:trHeight w:val="147" w:hRule="exact"/>
        </w:trPr>
        <w:tc>
          <w:tcPr>
            <w:tcW w:w="8821" w:type="dxa"/>
            <w:gridSpan w:val="7"/>
            <w:tcBorders>
              <w:left w:val="single" w:sz="4" w:space="0" w:color="000000"/>
              <w:right w:val="single" w:sz="8" w:space="0" w:color="000000"/>
            </w:tcBorders>
          </w:tcPr>
          <w:p>
            <w:pPr/>
          </w:p>
        </w:tc>
      </w:tr>
      <w:tr>
        <w:trPr>
          <w:trHeight w:val="165" w:hRule="exact"/>
        </w:trPr>
        <w:tc>
          <w:tcPr>
            <w:tcW w:w="619" w:type="dxa"/>
            <w:vMerge w:val="restart"/>
            <w:tcBorders>
              <w:left w:val="single" w:sz="4" w:space="0" w:color="000000"/>
            </w:tcBorders>
          </w:tcPr>
          <w:p>
            <w:pPr/>
          </w:p>
        </w:tc>
        <w:tc>
          <w:tcPr>
            <w:tcW w:w="1826" w:type="dxa"/>
            <w:vMerge w:val="restart"/>
          </w:tcPr>
          <w:p>
            <w:pPr>
              <w:pStyle w:val="TableParagraph"/>
              <w:spacing w:before="3"/>
              <w:jc w:val="left"/>
              <w:rPr>
                <w:sz w:val="14"/>
              </w:rPr>
            </w:pPr>
          </w:p>
          <w:p>
            <w:pPr>
              <w:pStyle w:val="TableParagraph"/>
              <w:ind w:left="91"/>
              <w:jc w:val="left"/>
              <w:rPr>
                <w:rFonts w:ascii="Calibri" w:hAnsi="Calibri"/>
                <w:sz w:val="12"/>
              </w:rPr>
            </w:pPr>
            <w:r>
              <w:rPr>
                <w:rFonts w:ascii="Calibri" w:hAnsi="Calibri"/>
                <w:w w:val="105"/>
                <w:sz w:val="12"/>
              </w:rPr>
              <w:t>Ingresos por autorización</w:t>
            </w:r>
          </w:p>
        </w:tc>
        <w:tc>
          <w:tcPr>
            <w:tcW w:w="2805" w:type="dxa"/>
            <w:vMerge w:val="restart"/>
          </w:tcPr>
          <w:p>
            <w:pPr>
              <w:pStyle w:val="TableParagraph"/>
              <w:spacing w:line="259" w:lineRule="auto" w:before="7"/>
              <w:ind w:left="369" w:right="1141"/>
              <w:jc w:val="left"/>
              <w:rPr>
                <w:rFonts w:ascii="Calibri"/>
                <w:sz w:val="12"/>
              </w:rPr>
            </w:pPr>
            <w:r>
              <w:rPr>
                <w:rFonts w:ascii="Calibri"/>
                <w:w w:val="105"/>
                <w:sz w:val="12"/>
              </w:rPr>
              <w:t>Ingresos al Estado Ingresos al Municipio Ingresos al Desarrollador</w:t>
            </w:r>
          </w:p>
        </w:tc>
        <w:tc>
          <w:tcPr>
            <w:tcW w:w="1317" w:type="dxa"/>
            <w:vMerge w:val="restart"/>
          </w:tcPr>
          <w:p>
            <w:pPr>
              <w:pStyle w:val="TableParagraph"/>
              <w:spacing w:before="7"/>
              <w:ind w:left="251"/>
              <w:rPr>
                <w:rFonts w:ascii="Calibri"/>
                <w:sz w:val="12"/>
              </w:rPr>
            </w:pPr>
            <w:r>
              <w:rPr>
                <w:rFonts w:ascii="Calibri"/>
                <w:w w:val="105"/>
                <w:sz w:val="12"/>
              </w:rPr>
              <w:t>1</w:t>
            </w:r>
          </w:p>
          <w:p>
            <w:pPr>
              <w:pStyle w:val="TableParagraph"/>
              <w:spacing w:before="11"/>
              <w:ind w:left="425" w:right="184"/>
              <w:rPr>
                <w:rFonts w:ascii="Calibri"/>
                <w:sz w:val="12"/>
              </w:rPr>
            </w:pPr>
            <w:r>
              <w:rPr>
                <w:rFonts w:ascii="Calibri"/>
                <w:w w:val="105"/>
                <w:sz w:val="12"/>
              </w:rPr>
              <w:t>0.9</w:t>
            </w:r>
          </w:p>
          <w:p>
            <w:pPr>
              <w:pStyle w:val="TableParagraph"/>
              <w:spacing w:before="11"/>
              <w:ind w:left="425" w:right="184"/>
              <w:rPr>
                <w:rFonts w:ascii="Calibri"/>
                <w:sz w:val="12"/>
              </w:rPr>
            </w:pPr>
            <w:r>
              <w:rPr>
                <w:rFonts w:ascii="Calibri"/>
                <w:w w:val="105"/>
                <w:sz w:val="12"/>
              </w:rPr>
              <w:t>0.6</w:t>
            </w:r>
          </w:p>
          <w:p>
            <w:pPr>
              <w:pStyle w:val="TableParagraph"/>
              <w:spacing w:before="11"/>
              <w:ind w:left="423" w:right="184"/>
              <w:rPr>
                <w:rFonts w:ascii="Calibri"/>
                <w:sz w:val="12"/>
              </w:rPr>
            </w:pPr>
            <w:r>
              <w:rPr>
                <w:rFonts w:ascii="Calibri"/>
                <w:w w:val="105"/>
                <w:sz w:val="12"/>
              </w:rPr>
              <w:t>Subtotal</w:t>
            </w:r>
          </w:p>
        </w:tc>
        <w:tc>
          <w:tcPr>
            <w:tcW w:w="887" w:type="dxa"/>
            <w:vMerge w:val="restart"/>
          </w:tcPr>
          <w:p>
            <w:pPr>
              <w:pStyle w:val="TableParagraph"/>
              <w:jc w:val="left"/>
              <w:rPr>
                <w:sz w:val="12"/>
              </w:rPr>
            </w:pPr>
          </w:p>
          <w:p>
            <w:pPr>
              <w:pStyle w:val="TableParagraph"/>
              <w:jc w:val="left"/>
              <w:rPr>
                <w:sz w:val="12"/>
              </w:rPr>
            </w:pPr>
          </w:p>
          <w:p>
            <w:pPr>
              <w:pStyle w:val="TableParagraph"/>
              <w:spacing w:before="9"/>
              <w:jc w:val="left"/>
              <w:rPr>
                <w:sz w:val="17"/>
              </w:rPr>
            </w:pPr>
          </w:p>
          <w:p>
            <w:pPr>
              <w:pStyle w:val="TableParagraph"/>
              <w:tabs>
                <w:tab w:pos="466" w:val="left" w:leader="none"/>
                <w:tab w:pos="897" w:val="left" w:leader="none"/>
              </w:tabs>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2.5</w:t>
            </w:r>
            <w:r>
              <w:rPr>
                <w:rFonts w:ascii="Calibri"/>
                <w:sz w:val="12"/>
                <w:shd w:fill="F79646" w:color="auto" w:val="clear"/>
              </w:rPr>
              <w:tab/>
            </w:r>
          </w:p>
        </w:tc>
        <w:tc>
          <w:tcPr>
            <w:tcW w:w="685" w:type="dxa"/>
            <w:vMerge w:val="restart"/>
          </w:tcPr>
          <w:p>
            <w:pPr>
              <w:pStyle w:val="TableParagraph"/>
              <w:spacing w:before="7"/>
              <w:ind w:left="243" w:right="242"/>
              <w:rPr>
                <w:rFonts w:ascii="Calibri"/>
                <w:sz w:val="12"/>
              </w:rPr>
            </w:pPr>
            <w:r>
              <w:rPr>
                <w:rFonts w:ascii="Calibri"/>
                <w:w w:val="105"/>
                <w:sz w:val="12"/>
              </w:rPr>
              <w:t>0.9</w:t>
            </w:r>
          </w:p>
          <w:p>
            <w:pPr>
              <w:pStyle w:val="TableParagraph"/>
              <w:spacing w:before="11"/>
              <w:ind w:left="243" w:right="242"/>
              <w:rPr>
                <w:rFonts w:ascii="Calibri"/>
                <w:sz w:val="12"/>
              </w:rPr>
            </w:pPr>
            <w:r>
              <w:rPr>
                <w:rFonts w:ascii="Calibri"/>
                <w:w w:val="105"/>
                <w:sz w:val="12"/>
              </w:rPr>
              <w:t>0.9</w:t>
            </w:r>
          </w:p>
          <w:p>
            <w:pPr>
              <w:pStyle w:val="TableParagraph"/>
              <w:spacing w:before="11"/>
              <w:ind w:left="10"/>
              <w:rPr>
                <w:rFonts w:ascii="Calibri"/>
                <w:sz w:val="12"/>
              </w:rPr>
            </w:pPr>
            <w:r>
              <w:rPr>
                <w:rFonts w:ascii="Calibri"/>
                <w:w w:val="105"/>
                <w:sz w:val="12"/>
              </w:rPr>
              <w:t>1</w:t>
            </w:r>
          </w:p>
          <w:p>
            <w:pPr>
              <w:pStyle w:val="TableParagraph"/>
              <w:spacing w:before="11"/>
              <w:ind w:left="243" w:right="242"/>
              <w:rPr>
                <w:rFonts w:ascii="Calibri"/>
                <w:sz w:val="12"/>
              </w:rPr>
            </w:pPr>
            <w:r>
              <w:rPr>
                <w:rFonts w:ascii="Calibri"/>
                <w:w w:val="105"/>
                <w:sz w:val="12"/>
              </w:rPr>
              <w:t>2.8</w:t>
            </w:r>
          </w:p>
        </w:tc>
        <w:tc>
          <w:tcPr>
            <w:tcW w:w="683" w:type="dxa"/>
            <w:tcBorders>
              <w:right w:val="single" w:sz="8" w:space="0" w:color="000000"/>
            </w:tcBorders>
            <w:shd w:val="clear" w:color="auto" w:fill="67ED4D"/>
          </w:tcPr>
          <w:p>
            <w:pPr>
              <w:pStyle w:val="TableParagraph"/>
              <w:spacing w:before="7"/>
              <w:ind w:left="20"/>
              <w:rPr>
                <w:rFonts w:ascii="Calibri"/>
                <w:sz w:val="12"/>
              </w:rPr>
            </w:pPr>
            <w:r>
              <w:rPr>
                <w:rFonts w:ascii="Calibri"/>
                <w:w w:val="105"/>
                <w:sz w:val="12"/>
              </w:rPr>
              <w:t>1</w:t>
            </w:r>
          </w:p>
        </w:tc>
      </w:tr>
      <w:tr>
        <w:trPr>
          <w:trHeight w:val="158" w:hRule="exact"/>
        </w:trPr>
        <w:tc>
          <w:tcPr>
            <w:tcW w:w="619" w:type="dxa"/>
            <w:vMerge/>
            <w:tcBorders>
              <w:left w:val="single" w:sz="4" w:space="0" w:color="000000"/>
            </w:tcBorders>
          </w:tcPr>
          <w:p>
            <w:pPr/>
          </w:p>
        </w:tc>
        <w:tc>
          <w:tcPr>
            <w:tcW w:w="1826" w:type="dxa"/>
            <w:vMerge/>
          </w:tcPr>
          <w:p>
            <w:pPr/>
          </w:p>
        </w:tc>
        <w:tc>
          <w:tcPr>
            <w:tcW w:w="2805" w:type="dxa"/>
            <w:vMerge/>
          </w:tcPr>
          <w:p>
            <w:pPr/>
          </w:p>
        </w:tc>
        <w:tc>
          <w:tcPr>
            <w:tcW w:w="1317" w:type="dxa"/>
            <w:vMerge/>
          </w:tcPr>
          <w:p>
            <w:pPr/>
          </w:p>
        </w:tc>
        <w:tc>
          <w:tcPr>
            <w:tcW w:w="887" w:type="dxa"/>
            <w:vMerge/>
          </w:tcPr>
          <w:p>
            <w:pPr/>
          </w:p>
        </w:tc>
        <w:tc>
          <w:tcPr>
            <w:tcW w:w="685" w:type="dxa"/>
            <w:vMerge/>
          </w:tcPr>
          <w:p>
            <w:pPr/>
          </w:p>
        </w:tc>
        <w:tc>
          <w:tcPr>
            <w:tcW w:w="683" w:type="dxa"/>
            <w:tcBorders>
              <w:right w:val="single" w:sz="8" w:space="0" w:color="000000"/>
            </w:tcBorders>
            <w:shd w:val="clear" w:color="auto" w:fill="67ED4D"/>
          </w:tcPr>
          <w:p>
            <w:pPr>
              <w:pStyle w:val="TableParagraph"/>
              <w:ind w:left="20"/>
              <w:rPr>
                <w:rFonts w:ascii="Calibri"/>
                <w:sz w:val="12"/>
              </w:rPr>
            </w:pPr>
            <w:r>
              <w:rPr>
                <w:rFonts w:ascii="Calibri"/>
                <w:w w:val="105"/>
                <w:sz w:val="12"/>
              </w:rPr>
              <w:t>1</w:t>
            </w:r>
          </w:p>
        </w:tc>
      </w:tr>
      <w:tr>
        <w:trPr>
          <w:trHeight w:val="158" w:hRule="exact"/>
        </w:trPr>
        <w:tc>
          <w:tcPr>
            <w:tcW w:w="619" w:type="dxa"/>
            <w:vMerge/>
            <w:tcBorders>
              <w:left w:val="single" w:sz="4" w:space="0" w:color="000000"/>
            </w:tcBorders>
          </w:tcPr>
          <w:p>
            <w:pPr/>
          </w:p>
        </w:tc>
        <w:tc>
          <w:tcPr>
            <w:tcW w:w="1826" w:type="dxa"/>
            <w:vMerge/>
          </w:tcPr>
          <w:p>
            <w:pPr/>
          </w:p>
        </w:tc>
        <w:tc>
          <w:tcPr>
            <w:tcW w:w="2805" w:type="dxa"/>
            <w:vMerge/>
          </w:tcPr>
          <w:p>
            <w:pPr/>
          </w:p>
        </w:tc>
        <w:tc>
          <w:tcPr>
            <w:tcW w:w="1317" w:type="dxa"/>
            <w:vMerge/>
          </w:tcPr>
          <w:p>
            <w:pPr/>
          </w:p>
        </w:tc>
        <w:tc>
          <w:tcPr>
            <w:tcW w:w="887" w:type="dxa"/>
            <w:vMerge/>
          </w:tcPr>
          <w:p>
            <w:pPr/>
          </w:p>
        </w:tc>
        <w:tc>
          <w:tcPr>
            <w:tcW w:w="685" w:type="dxa"/>
            <w:vMerge/>
          </w:tcPr>
          <w:p>
            <w:pPr/>
          </w:p>
        </w:tc>
        <w:tc>
          <w:tcPr>
            <w:tcW w:w="683" w:type="dxa"/>
            <w:tcBorders>
              <w:right w:val="single" w:sz="8" w:space="0" w:color="000000"/>
            </w:tcBorders>
            <w:shd w:val="clear" w:color="auto" w:fill="67ED4D"/>
          </w:tcPr>
          <w:p>
            <w:pPr>
              <w:pStyle w:val="TableParagraph"/>
              <w:ind w:left="20"/>
              <w:rPr>
                <w:rFonts w:ascii="Calibri"/>
                <w:sz w:val="12"/>
              </w:rPr>
            </w:pPr>
            <w:r>
              <w:rPr>
                <w:rFonts w:ascii="Calibri"/>
                <w:w w:val="105"/>
                <w:sz w:val="12"/>
              </w:rPr>
              <w:t>1</w:t>
            </w:r>
          </w:p>
        </w:tc>
      </w:tr>
      <w:tr>
        <w:trPr>
          <w:trHeight w:val="162" w:hRule="exact"/>
        </w:trPr>
        <w:tc>
          <w:tcPr>
            <w:tcW w:w="619" w:type="dxa"/>
            <w:vMerge/>
            <w:tcBorders>
              <w:left w:val="single" w:sz="4" w:space="0" w:color="000000"/>
            </w:tcBorders>
          </w:tcPr>
          <w:p>
            <w:pPr/>
          </w:p>
        </w:tc>
        <w:tc>
          <w:tcPr>
            <w:tcW w:w="1826" w:type="dxa"/>
            <w:vMerge/>
          </w:tcPr>
          <w:p>
            <w:pPr/>
          </w:p>
        </w:tc>
        <w:tc>
          <w:tcPr>
            <w:tcW w:w="2805" w:type="dxa"/>
            <w:vMerge/>
          </w:tcPr>
          <w:p>
            <w:pPr/>
          </w:p>
        </w:tc>
        <w:tc>
          <w:tcPr>
            <w:tcW w:w="1317" w:type="dxa"/>
            <w:vMerge/>
          </w:tcPr>
          <w:p>
            <w:pPr/>
          </w:p>
        </w:tc>
        <w:tc>
          <w:tcPr>
            <w:tcW w:w="887" w:type="dxa"/>
            <w:vMerge/>
          </w:tcPr>
          <w:p>
            <w:pPr/>
          </w:p>
        </w:tc>
        <w:tc>
          <w:tcPr>
            <w:tcW w:w="685" w:type="dxa"/>
            <w:vMerge/>
          </w:tcPr>
          <w:p>
            <w:pPr/>
          </w:p>
        </w:tc>
        <w:tc>
          <w:tcPr>
            <w:tcW w:w="683" w:type="dxa"/>
            <w:tcBorders>
              <w:right w:val="single" w:sz="8" w:space="0" w:color="000000"/>
            </w:tcBorders>
            <w:shd w:val="clear" w:color="auto" w:fill="67ED4D"/>
          </w:tcPr>
          <w:p>
            <w:pPr>
              <w:pStyle w:val="TableParagraph"/>
              <w:ind w:left="20"/>
              <w:rPr>
                <w:rFonts w:ascii="Calibri"/>
                <w:sz w:val="12"/>
              </w:rPr>
            </w:pPr>
            <w:r>
              <w:rPr>
                <w:rFonts w:ascii="Calibri"/>
                <w:w w:val="105"/>
                <w:sz w:val="12"/>
              </w:rPr>
              <w:t>3</w:t>
            </w:r>
          </w:p>
        </w:tc>
      </w:tr>
      <w:tr>
        <w:trPr>
          <w:trHeight w:val="147" w:hRule="exact"/>
        </w:trPr>
        <w:tc>
          <w:tcPr>
            <w:tcW w:w="8821" w:type="dxa"/>
            <w:gridSpan w:val="7"/>
            <w:tcBorders>
              <w:left w:val="single" w:sz="4" w:space="0" w:color="000000"/>
              <w:right w:val="single" w:sz="8" w:space="0" w:color="000000"/>
            </w:tcBorders>
          </w:tcPr>
          <w:p>
            <w:pPr>
              <w:pStyle w:val="TableParagraph"/>
              <w:spacing w:line="143" w:lineRule="exact"/>
              <w:ind w:left="52"/>
              <w:jc w:val="left"/>
              <w:rPr>
                <w:rFonts w:ascii="Calibri" w:hAnsi="Calibri"/>
                <w:sz w:val="12"/>
              </w:rPr>
            </w:pPr>
            <w:r>
              <w:rPr>
                <w:rFonts w:ascii="Calibri" w:hAnsi="Calibri"/>
                <w:w w:val="105"/>
                <w:sz w:val="12"/>
              </w:rPr>
              <w:t>Económico</w:t>
            </w:r>
          </w:p>
        </w:tc>
      </w:tr>
      <w:tr>
        <w:trPr>
          <w:trHeight w:val="165" w:hRule="exact"/>
        </w:trPr>
        <w:tc>
          <w:tcPr>
            <w:tcW w:w="619" w:type="dxa"/>
            <w:tcBorders>
              <w:left w:val="single" w:sz="4" w:space="0" w:color="000000"/>
            </w:tcBorders>
          </w:tcPr>
          <w:p>
            <w:pPr/>
          </w:p>
        </w:tc>
        <w:tc>
          <w:tcPr>
            <w:tcW w:w="1826" w:type="dxa"/>
          </w:tcPr>
          <w:p>
            <w:pPr/>
          </w:p>
        </w:tc>
        <w:tc>
          <w:tcPr>
            <w:tcW w:w="2805" w:type="dxa"/>
          </w:tcPr>
          <w:p>
            <w:pPr>
              <w:pStyle w:val="TableParagraph"/>
              <w:spacing w:before="7"/>
              <w:ind w:left="369" w:right="1141"/>
              <w:jc w:val="left"/>
              <w:rPr>
                <w:rFonts w:ascii="Calibri"/>
                <w:sz w:val="12"/>
              </w:rPr>
            </w:pPr>
            <w:r>
              <w:rPr>
                <w:rFonts w:ascii="Calibri"/>
                <w:w w:val="105"/>
                <w:sz w:val="12"/>
              </w:rPr>
              <w:t>Pago de CFE</w:t>
            </w:r>
          </w:p>
        </w:tc>
        <w:tc>
          <w:tcPr>
            <w:tcW w:w="1317" w:type="dxa"/>
          </w:tcPr>
          <w:p>
            <w:pPr>
              <w:pStyle w:val="TableParagraph"/>
              <w:spacing w:before="7"/>
              <w:ind w:left="425" w:right="184"/>
              <w:rPr>
                <w:rFonts w:ascii="Calibri"/>
                <w:sz w:val="12"/>
              </w:rPr>
            </w:pPr>
            <w:r>
              <w:rPr>
                <w:rFonts w:ascii="Calibri"/>
                <w:w w:val="105"/>
                <w:sz w:val="12"/>
              </w:rPr>
              <w:t>0.7</w:t>
            </w:r>
          </w:p>
        </w:tc>
        <w:tc>
          <w:tcPr>
            <w:tcW w:w="887" w:type="dxa"/>
          </w:tcPr>
          <w:p>
            <w:pPr/>
          </w:p>
        </w:tc>
        <w:tc>
          <w:tcPr>
            <w:tcW w:w="685" w:type="dxa"/>
          </w:tcPr>
          <w:p>
            <w:pPr>
              <w:pStyle w:val="TableParagraph"/>
              <w:spacing w:before="7"/>
              <w:ind w:left="243" w:right="242"/>
              <w:rPr>
                <w:rFonts w:ascii="Calibri"/>
                <w:sz w:val="12"/>
              </w:rPr>
            </w:pPr>
            <w:r>
              <w:rPr>
                <w:rFonts w:ascii="Calibri"/>
                <w:w w:val="105"/>
                <w:sz w:val="12"/>
              </w:rPr>
              <w:t>0.7</w:t>
            </w:r>
          </w:p>
        </w:tc>
        <w:tc>
          <w:tcPr>
            <w:tcW w:w="683" w:type="dxa"/>
            <w:tcBorders>
              <w:right w:val="single" w:sz="8" w:space="0" w:color="000000"/>
            </w:tcBorders>
            <w:shd w:val="clear" w:color="auto" w:fill="67ED4D"/>
          </w:tcPr>
          <w:p>
            <w:pPr>
              <w:pStyle w:val="TableParagraph"/>
              <w:spacing w:before="7"/>
              <w:ind w:left="20"/>
              <w:rPr>
                <w:rFonts w:ascii="Calibri"/>
                <w:sz w:val="12"/>
              </w:rPr>
            </w:pPr>
            <w:r>
              <w:rPr>
                <w:rFonts w:ascii="Calibri"/>
                <w:w w:val="105"/>
                <w:sz w:val="12"/>
              </w:rPr>
              <w:t>1</w:t>
            </w:r>
          </w:p>
        </w:tc>
      </w:tr>
      <w:tr>
        <w:trPr>
          <w:trHeight w:val="158" w:hRule="exact"/>
        </w:trPr>
        <w:tc>
          <w:tcPr>
            <w:tcW w:w="619" w:type="dxa"/>
            <w:tcBorders>
              <w:left w:val="single" w:sz="4" w:space="0" w:color="000000"/>
            </w:tcBorders>
          </w:tcPr>
          <w:p>
            <w:pPr/>
          </w:p>
        </w:tc>
        <w:tc>
          <w:tcPr>
            <w:tcW w:w="1826" w:type="dxa"/>
          </w:tcPr>
          <w:p>
            <w:pPr/>
          </w:p>
        </w:tc>
        <w:tc>
          <w:tcPr>
            <w:tcW w:w="2805" w:type="dxa"/>
          </w:tcPr>
          <w:p>
            <w:pPr>
              <w:pStyle w:val="TableParagraph"/>
              <w:ind w:left="369" w:right="1141"/>
              <w:jc w:val="left"/>
              <w:rPr>
                <w:rFonts w:ascii="Calibri"/>
                <w:sz w:val="12"/>
              </w:rPr>
            </w:pPr>
            <w:r>
              <w:rPr>
                <w:rFonts w:ascii="Calibri"/>
                <w:w w:val="105"/>
                <w:sz w:val="12"/>
              </w:rPr>
              <w:t>Pago de agua</w:t>
            </w:r>
          </w:p>
        </w:tc>
        <w:tc>
          <w:tcPr>
            <w:tcW w:w="1317" w:type="dxa"/>
          </w:tcPr>
          <w:p>
            <w:pPr>
              <w:pStyle w:val="TableParagraph"/>
              <w:ind w:left="251"/>
              <w:rPr>
                <w:rFonts w:ascii="Calibri"/>
                <w:sz w:val="12"/>
              </w:rPr>
            </w:pPr>
            <w:r>
              <w:rPr>
                <w:rFonts w:ascii="Calibri"/>
                <w:w w:val="105"/>
                <w:sz w:val="12"/>
              </w:rPr>
              <w:t>0</w:t>
            </w:r>
          </w:p>
        </w:tc>
        <w:tc>
          <w:tcPr>
            <w:tcW w:w="887" w:type="dxa"/>
          </w:tcPr>
          <w:p>
            <w:pPr/>
          </w:p>
        </w:tc>
        <w:tc>
          <w:tcPr>
            <w:tcW w:w="685" w:type="dxa"/>
          </w:tcPr>
          <w:p>
            <w:pPr>
              <w:pStyle w:val="TableParagraph"/>
              <w:ind w:left="243" w:right="242"/>
              <w:rPr>
                <w:rFonts w:ascii="Calibri"/>
                <w:sz w:val="12"/>
              </w:rPr>
            </w:pPr>
            <w:r>
              <w:rPr>
                <w:rFonts w:ascii="Calibri"/>
                <w:w w:val="105"/>
                <w:sz w:val="12"/>
              </w:rPr>
              <w:t>0.7</w:t>
            </w:r>
          </w:p>
        </w:tc>
        <w:tc>
          <w:tcPr>
            <w:tcW w:w="683" w:type="dxa"/>
            <w:tcBorders>
              <w:right w:val="single" w:sz="8" w:space="0" w:color="000000"/>
            </w:tcBorders>
            <w:shd w:val="clear" w:color="auto" w:fill="67ED4D"/>
          </w:tcPr>
          <w:p>
            <w:pPr>
              <w:pStyle w:val="TableParagraph"/>
              <w:ind w:left="20"/>
              <w:rPr>
                <w:rFonts w:ascii="Calibri"/>
                <w:sz w:val="12"/>
              </w:rPr>
            </w:pPr>
            <w:r>
              <w:rPr>
                <w:rFonts w:ascii="Calibri"/>
                <w:w w:val="105"/>
                <w:sz w:val="12"/>
              </w:rPr>
              <w:t>1</w:t>
            </w:r>
          </w:p>
        </w:tc>
      </w:tr>
      <w:tr>
        <w:trPr>
          <w:trHeight w:val="158" w:hRule="exact"/>
        </w:trPr>
        <w:tc>
          <w:tcPr>
            <w:tcW w:w="619" w:type="dxa"/>
            <w:tcBorders>
              <w:left w:val="single" w:sz="4" w:space="0" w:color="000000"/>
            </w:tcBorders>
          </w:tcPr>
          <w:p>
            <w:pPr/>
          </w:p>
        </w:tc>
        <w:tc>
          <w:tcPr>
            <w:tcW w:w="1826" w:type="dxa"/>
          </w:tcPr>
          <w:p>
            <w:pPr>
              <w:pStyle w:val="TableParagraph"/>
              <w:ind w:left="91"/>
              <w:jc w:val="left"/>
              <w:rPr>
                <w:rFonts w:ascii="Calibri"/>
                <w:sz w:val="12"/>
              </w:rPr>
            </w:pPr>
            <w:r>
              <w:rPr>
                <w:rFonts w:ascii="Calibri"/>
                <w:w w:val="105"/>
                <w:sz w:val="12"/>
              </w:rPr>
              <w:t>Gastos de habitabilidad</w:t>
            </w:r>
          </w:p>
        </w:tc>
        <w:tc>
          <w:tcPr>
            <w:tcW w:w="2805" w:type="dxa"/>
          </w:tcPr>
          <w:p>
            <w:pPr>
              <w:pStyle w:val="TableParagraph"/>
              <w:ind w:left="369" w:right="1141"/>
              <w:jc w:val="left"/>
              <w:rPr>
                <w:rFonts w:ascii="Calibri"/>
                <w:sz w:val="12"/>
              </w:rPr>
            </w:pPr>
            <w:r>
              <w:rPr>
                <w:rFonts w:ascii="Calibri"/>
                <w:w w:val="105"/>
                <w:sz w:val="12"/>
              </w:rPr>
              <w:t>Pago predial</w:t>
            </w:r>
          </w:p>
        </w:tc>
        <w:tc>
          <w:tcPr>
            <w:tcW w:w="1317" w:type="dxa"/>
          </w:tcPr>
          <w:p>
            <w:pPr>
              <w:pStyle w:val="TableParagraph"/>
              <w:ind w:left="425" w:right="184"/>
              <w:rPr>
                <w:rFonts w:ascii="Calibri"/>
                <w:sz w:val="12"/>
              </w:rPr>
            </w:pPr>
            <w:r>
              <w:rPr>
                <w:rFonts w:ascii="Calibri"/>
                <w:w w:val="105"/>
                <w:sz w:val="12"/>
              </w:rPr>
              <w:t>0.6</w:t>
            </w:r>
          </w:p>
        </w:tc>
        <w:tc>
          <w:tcPr>
            <w:tcW w:w="887" w:type="dxa"/>
          </w:tcPr>
          <w:p>
            <w:pPr/>
          </w:p>
        </w:tc>
        <w:tc>
          <w:tcPr>
            <w:tcW w:w="685" w:type="dxa"/>
          </w:tcPr>
          <w:p>
            <w:pPr>
              <w:pStyle w:val="TableParagraph"/>
              <w:ind w:left="243" w:right="242"/>
              <w:rPr>
                <w:rFonts w:ascii="Calibri"/>
                <w:sz w:val="12"/>
              </w:rPr>
            </w:pPr>
            <w:r>
              <w:rPr>
                <w:rFonts w:ascii="Calibri"/>
                <w:w w:val="105"/>
                <w:sz w:val="12"/>
              </w:rPr>
              <w:t>0.7</w:t>
            </w:r>
          </w:p>
        </w:tc>
        <w:tc>
          <w:tcPr>
            <w:tcW w:w="683" w:type="dxa"/>
            <w:tcBorders>
              <w:right w:val="single" w:sz="8" w:space="0" w:color="000000"/>
            </w:tcBorders>
            <w:shd w:val="clear" w:color="auto" w:fill="67ED4D"/>
          </w:tcPr>
          <w:p>
            <w:pPr>
              <w:pStyle w:val="TableParagraph"/>
              <w:ind w:left="20"/>
              <w:rPr>
                <w:rFonts w:ascii="Calibri"/>
                <w:sz w:val="12"/>
              </w:rPr>
            </w:pPr>
            <w:r>
              <w:rPr>
                <w:rFonts w:ascii="Calibri"/>
                <w:w w:val="105"/>
                <w:sz w:val="12"/>
              </w:rPr>
              <w:t>1</w:t>
            </w:r>
          </w:p>
        </w:tc>
      </w:tr>
      <w:tr>
        <w:trPr>
          <w:trHeight w:val="158" w:hRule="exact"/>
        </w:trPr>
        <w:tc>
          <w:tcPr>
            <w:tcW w:w="619" w:type="dxa"/>
            <w:tcBorders>
              <w:left w:val="single" w:sz="4" w:space="0" w:color="000000"/>
            </w:tcBorders>
          </w:tcPr>
          <w:p>
            <w:pPr/>
          </w:p>
        </w:tc>
        <w:tc>
          <w:tcPr>
            <w:tcW w:w="1826" w:type="dxa"/>
          </w:tcPr>
          <w:p>
            <w:pPr/>
          </w:p>
        </w:tc>
        <w:tc>
          <w:tcPr>
            <w:tcW w:w="2805" w:type="dxa"/>
          </w:tcPr>
          <w:p>
            <w:pPr>
              <w:pStyle w:val="TableParagraph"/>
              <w:ind w:left="369" w:right="1141"/>
              <w:jc w:val="left"/>
              <w:rPr>
                <w:rFonts w:ascii="Calibri" w:hAnsi="Calibri"/>
                <w:sz w:val="12"/>
              </w:rPr>
            </w:pPr>
            <w:r>
              <w:rPr>
                <w:rFonts w:ascii="Calibri" w:hAnsi="Calibri"/>
                <w:w w:val="105"/>
                <w:sz w:val="12"/>
              </w:rPr>
              <w:t>Comunicación</w:t>
            </w:r>
          </w:p>
        </w:tc>
        <w:tc>
          <w:tcPr>
            <w:tcW w:w="1317" w:type="dxa"/>
          </w:tcPr>
          <w:p>
            <w:pPr>
              <w:pStyle w:val="TableParagraph"/>
              <w:ind w:left="425" w:right="184"/>
              <w:rPr>
                <w:rFonts w:ascii="Calibri"/>
                <w:sz w:val="12"/>
              </w:rPr>
            </w:pPr>
            <w:r>
              <w:rPr>
                <w:rFonts w:ascii="Calibri"/>
                <w:w w:val="105"/>
                <w:sz w:val="12"/>
              </w:rPr>
              <w:t>0.7</w:t>
            </w:r>
          </w:p>
        </w:tc>
        <w:tc>
          <w:tcPr>
            <w:tcW w:w="887" w:type="dxa"/>
          </w:tcPr>
          <w:p>
            <w:pPr/>
          </w:p>
        </w:tc>
        <w:tc>
          <w:tcPr>
            <w:tcW w:w="685" w:type="dxa"/>
          </w:tcPr>
          <w:p>
            <w:pPr>
              <w:pStyle w:val="TableParagraph"/>
              <w:ind w:left="243" w:right="242"/>
              <w:rPr>
                <w:rFonts w:ascii="Calibri"/>
                <w:sz w:val="12"/>
              </w:rPr>
            </w:pPr>
            <w:r>
              <w:rPr>
                <w:rFonts w:ascii="Calibri"/>
                <w:w w:val="105"/>
                <w:sz w:val="12"/>
              </w:rPr>
              <w:t>0.7</w:t>
            </w:r>
          </w:p>
        </w:tc>
        <w:tc>
          <w:tcPr>
            <w:tcW w:w="683" w:type="dxa"/>
            <w:tcBorders>
              <w:right w:val="single" w:sz="8" w:space="0" w:color="000000"/>
            </w:tcBorders>
            <w:shd w:val="clear" w:color="auto" w:fill="67ED4D"/>
          </w:tcPr>
          <w:p>
            <w:pPr>
              <w:pStyle w:val="TableParagraph"/>
              <w:ind w:left="20"/>
              <w:rPr>
                <w:rFonts w:ascii="Calibri"/>
                <w:sz w:val="12"/>
              </w:rPr>
            </w:pPr>
            <w:r>
              <w:rPr>
                <w:rFonts w:ascii="Calibri"/>
                <w:w w:val="105"/>
                <w:sz w:val="12"/>
              </w:rPr>
              <w:t>1</w:t>
            </w:r>
          </w:p>
        </w:tc>
      </w:tr>
      <w:tr>
        <w:trPr>
          <w:trHeight w:val="156" w:hRule="exact"/>
        </w:trPr>
        <w:tc>
          <w:tcPr>
            <w:tcW w:w="619" w:type="dxa"/>
            <w:tcBorders>
              <w:left w:val="single" w:sz="4" w:space="0" w:color="000000"/>
            </w:tcBorders>
          </w:tcPr>
          <w:p>
            <w:pPr/>
          </w:p>
        </w:tc>
        <w:tc>
          <w:tcPr>
            <w:tcW w:w="1826" w:type="dxa"/>
          </w:tcPr>
          <w:p>
            <w:pPr/>
          </w:p>
        </w:tc>
        <w:tc>
          <w:tcPr>
            <w:tcW w:w="2805" w:type="dxa"/>
          </w:tcPr>
          <w:p>
            <w:pPr>
              <w:pStyle w:val="TableParagraph"/>
              <w:ind w:left="369" w:right="1141"/>
              <w:jc w:val="left"/>
              <w:rPr>
                <w:rFonts w:ascii="Calibri"/>
                <w:sz w:val="12"/>
              </w:rPr>
            </w:pPr>
            <w:r>
              <w:rPr>
                <w:rFonts w:ascii="Calibri"/>
                <w:w w:val="105"/>
                <w:sz w:val="12"/>
              </w:rPr>
              <w:t>Comunidad</w:t>
            </w:r>
          </w:p>
        </w:tc>
        <w:tc>
          <w:tcPr>
            <w:tcW w:w="1317" w:type="dxa"/>
          </w:tcPr>
          <w:p>
            <w:pPr>
              <w:pStyle w:val="TableParagraph"/>
              <w:ind w:left="425" w:right="184"/>
              <w:rPr>
                <w:rFonts w:ascii="Calibri"/>
                <w:sz w:val="12"/>
              </w:rPr>
            </w:pPr>
            <w:r>
              <w:rPr>
                <w:rFonts w:ascii="Calibri"/>
                <w:w w:val="105"/>
                <w:sz w:val="12"/>
              </w:rPr>
              <w:t>0.7</w:t>
            </w:r>
          </w:p>
        </w:tc>
        <w:tc>
          <w:tcPr>
            <w:tcW w:w="887" w:type="dxa"/>
          </w:tcPr>
          <w:p>
            <w:pPr/>
          </w:p>
        </w:tc>
        <w:tc>
          <w:tcPr>
            <w:tcW w:w="685" w:type="dxa"/>
          </w:tcPr>
          <w:p>
            <w:pPr>
              <w:pStyle w:val="TableParagraph"/>
              <w:ind w:left="243" w:right="242"/>
              <w:rPr>
                <w:rFonts w:ascii="Calibri"/>
                <w:sz w:val="12"/>
              </w:rPr>
            </w:pPr>
            <w:r>
              <w:rPr>
                <w:rFonts w:ascii="Calibri"/>
                <w:w w:val="105"/>
                <w:sz w:val="12"/>
              </w:rPr>
              <w:t>0.7</w:t>
            </w:r>
          </w:p>
        </w:tc>
        <w:tc>
          <w:tcPr>
            <w:tcW w:w="683" w:type="dxa"/>
            <w:tcBorders>
              <w:right w:val="single" w:sz="8" w:space="0" w:color="000000"/>
            </w:tcBorders>
            <w:shd w:val="clear" w:color="auto" w:fill="67ED4D"/>
          </w:tcPr>
          <w:p>
            <w:pPr>
              <w:pStyle w:val="TableParagraph"/>
              <w:ind w:left="20"/>
              <w:rPr>
                <w:rFonts w:ascii="Calibri"/>
                <w:sz w:val="12"/>
              </w:rPr>
            </w:pPr>
            <w:r>
              <w:rPr>
                <w:rFonts w:ascii="Calibri"/>
                <w:w w:val="105"/>
                <w:sz w:val="12"/>
              </w:rPr>
              <w:t>1</w:t>
            </w:r>
          </w:p>
        </w:tc>
      </w:tr>
      <w:tr>
        <w:trPr>
          <w:trHeight w:val="163" w:hRule="exact"/>
        </w:trPr>
        <w:tc>
          <w:tcPr>
            <w:tcW w:w="619" w:type="dxa"/>
            <w:tcBorders>
              <w:left w:val="single" w:sz="4" w:space="0" w:color="000000"/>
            </w:tcBorders>
          </w:tcPr>
          <w:p>
            <w:pPr/>
          </w:p>
        </w:tc>
        <w:tc>
          <w:tcPr>
            <w:tcW w:w="1826" w:type="dxa"/>
          </w:tcPr>
          <w:p>
            <w:pPr/>
          </w:p>
        </w:tc>
        <w:tc>
          <w:tcPr>
            <w:tcW w:w="2805" w:type="dxa"/>
          </w:tcPr>
          <w:p>
            <w:pPr/>
          </w:p>
        </w:tc>
        <w:tc>
          <w:tcPr>
            <w:tcW w:w="1317" w:type="dxa"/>
          </w:tcPr>
          <w:p>
            <w:pPr>
              <w:pStyle w:val="TableParagraph"/>
              <w:spacing w:before="1"/>
              <w:ind w:left="423" w:right="184"/>
              <w:rPr>
                <w:rFonts w:ascii="Calibri"/>
                <w:sz w:val="12"/>
              </w:rPr>
            </w:pPr>
            <w:r>
              <w:rPr>
                <w:rFonts w:ascii="Calibri"/>
                <w:w w:val="105"/>
                <w:sz w:val="12"/>
              </w:rPr>
              <w:t>Subtotal</w:t>
            </w:r>
          </w:p>
        </w:tc>
        <w:tc>
          <w:tcPr>
            <w:tcW w:w="887" w:type="dxa"/>
          </w:tcPr>
          <w:p>
            <w:pPr>
              <w:pStyle w:val="TableParagraph"/>
              <w:tabs>
                <w:tab w:pos="466"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2.7</w:t>
            </w:r>
            <w:r>
              <w:rPr>
                <w:rFonts w:ascii="Calibri"/>
                <w:sz w:val="12"/>
                <w:shd w:fill="F79646" w:color="auto" w:val="clear"/>
              </w:rPr>
              <w:tab/>
            </w:r>
          </w:p>
        </w:tc>
        <w:tc>
          <w:tcPr>
            <w:tcW w:w="685" w:type="dxa"/>
          </w:tcPr>
          <w:p>
            <w:pPr>
              <w:pStyle w:val="TableParagraph"/>
              <w:spacing w:before="1"/>
              <w:ind w:left="243" w:right="242"/>
              <w:rPr>
                <w:rFonts w:ascii="Calibri"/>
                <w:sz w:val="12"/>
              </w:rPr>
            </w:pPr>
            <w:r>
              <w:rPr>
                <w:rFonts w:ascii="Calibri"/>
                <w:w w:val="105"/>
                <w:sz w:val="12"/>
              </w:rPr>
              <w:t>4.2</w:t>
            </w:r>
          </w:p>
        </w:tc>
        <w:tc>
          <w:tcPr>
            <w:tcW w:w="683" w:type="dxa"/>
            <w:tcBorders>
              <w:right w:val="single" w:sz="8" w:space="0" w:color="000000"/>
            </w:tcBorders>
            <w:shd w:val="clear" w:color="auto" w:fill="67ED4D"/>
          </w:tcPr>
          <w:p>
            <w:pPr>
              <w:pStyle w:val="TableParagraph"/>
              <w:spacing w:before="1"/>
              <w:ind w:left="20"/>
              <w:rPr>
                <w:rFonts w:ascii="Calibri"/>
                <w:sz w:val="12"/>
              </w:rPr>
            </w:pPr>
            <w:r>
              <w:rPr>
                <w:rFonts w:ascii="Calibri"/>
                <w:w w:val="105"/>
                <w:sz w:val="12"/>
              </w:rPr>
              <w:t>5</w:t>
            </w:r>
          </w:p>
        </w:tc>
      </w:tr>
      <w:tr>
        <w:trPr>
          <w:trHeight w:val="147" w:hRule="exact"/>
        </w:trPr>
        <w:tc>
          <w:tcPr>
            <w:tcW w:w="8821" w:type="dxa"/>
            <w:gridSpan w:val="7"/>
            <w:tcBorders>
              <w:left w:val="single" w:sz="4" w:space="0" w:color="000000"/>
              <w:right w:val="single" w:sz="8" w:space="0" w:color="000000"/>
            </w:tcBorders>
          </w:tcPr>
          <w:p>
            <w:pPr/>
          </w:p>
        </w:tc>
      </w:tr>
      <w:tr>
        <w:trPr>
          <w:trHeight w:val="163" w:hRule="exact"/>
        </w:trPr>
        <w:tc>
          <w:tcPr>
            <w:tcW w:w="619" w:type="dxa"/>
            <w:tcBorders>
              <w:left w:val="single" w:sz="4" w:space="0" w:color="000000"/>
            </w:tcBorders>
          </w:tcPr>
          <w:p>
            <w:pPr/>
          </w:p>
        </w:tc>
        <w:tc>
          <w:tcPr>
            <w:tcW w:w="1826" w:type="dxa"/>
          </w:tcPr>
          <w:p>
            <w:pPr>
              <w:pStyle w:val="TableParagraph"/>
              <w:spacing w:before="7"/>
              <w:ind w:left="91"/>
              <w:jc w:val="left"/>
              <w:rPr>
                <w:rFonts w:ascii="Calibri" w:hAnsi="Calibri"/>
                <w:sz w:val="12"/>
              </w:rPr>
            </w:pPr>
            <w:r>
              <w:rPr>
                <w:rFonts w:ascii="Calibri" w:hAnsi="Calibri"/>
                <w:w w:val="105"/>
                <w:sz w:val="12"/>
              </w:rPr>
              <w:t>Índice para una vida mejor</w:t>
            </w:r>
          </w:p>
        </w:tc>
        <w:tc>
          <w:tcPr>
            <w:tcW w:w="2805" w:type="dxa"/>
          </w:tcPr>
          <w:p>
            <w:pPr>
              <w:pStyle w:val="TableParagraph"/>
              <w:spacing w:before="7"/>
              <w:ind w:left="369" w:right="1141"/>
              <w:jc w:val="left"/>
              <w:rPr>
                <w:rFonts w:ascii="Calibri"/>
                <w:sz w:val="12"/>
              </w:rPr>
            </w:pPr>
            <w:r>
              <w:rPr>
                <w:rFonts w:ascii="Calibri"/>
                <w:w w:val="105"/>
                <w:sz w:val="12"/>
              </w:rPr>
              <w:t>Gasto en vivienda</w:t>
            </w:r>
          </w:p>
        </w:tc>
        <w:tc>
          <w:tcPr>
            <w:tcW w:w="1317" w:type="dxa"/>
          </w:tcPr>
          <w:p>
            <w:pPr>
              <w:pStyle w:val="TableParagraph"/>
              <w:tabs>
                <w:tab w:pos="699" w:val="left" w:leader="none"/>
                <w:tab w:pos="1530" w:val="left" w:leader="none"/>
              </w:tabs>
              <w:spacing w:before="7"/>
              <w:ind w:left="26" w:right="-214"/>
              <w:rPr>
                <w:rFonts w:ascii="Calibri"/>
                <w:sz w:val="12"/>
              </w:rPr>
            </w:pPr>
            <w:r>
              <w:rPr>
                <w:rFonts w:ascii="Times New Roman"/>
                <w:w w:val="105"/>
                <w:sz w:val="12"/>
                <w:shd w:fill="BAF9F5" w:color="auto" w:val="clear"/>
              </w:rPr>
              <w:t> </w:t>
            </w:r>
            <w:r>
              <w:rPr>
                <w:rFonts w:ascii="Times New Roman"/>
                <w:sz w:val="12"/>
                <w:shd w:fill="BAF9F5" w:color="auto" w:val="clear"/>
              </w:rPr>
              <w:tab/>
            </w:r>
            <w:r>
              <w:rPr>
                <w:rFonts w:ascii="Calibri"/>
                <w:w w:val="105"/>
                <w:sz w:val="12"/>
                <w:shd w:fill="BAF9F5" w:color="auto" w:val="clear"/>
              </w:rPr>
              <w:t>0.6</w:t>
            </w:r>
            <w:r>
              <w:rPr>
                <w:rFonts w:ascii="Calibri"/>
                <w:sz w:val="12"/>
                <w:shd w:fill="BAF9F5" w:color="auto" w:val="clear"/>
              </w:rPr>
              <w:tab/>
            </w:r>
          </w:p>
        </w:tc>
        <w:tc>
          <w:tcPr>
            <w:tcW w:w="887" w:type="dxa"/>
          </w:tcPr>
          <w:p>
            <w:pPr/>
          </w:p>
        </w:tc>
        <w:tc>
          <w:tcPr>
            <w:tcW w:w="685" w:type="dxa"/>
          </w:tcPr>
          <w:p>
            <w:pPr>
              <w:pStyle w:val="TableParagraph"/>
              <w:spacing w:before="7"/>
              <w:ind w:left="243" w:right="242"/>
              <w:rPr>
                <w:rFonts w:ascii="Calibri"/>
                <w:sz w:val="12"/>
              </w:rPr>
            </w:pPr>
            <w:r>
              <w:rPr>
                <w:rFonts w:ascii="Calibri"/>
                <w:w w:val="105"/>
                <w:sz w:val="12"/>
              </w:rPr>
              <w:t>0.8</w:t>
            </w:r>
          </w:p>
        </w:tc>
        <w:tc>
          <w:tcPr>
            <w:tcW w:w="683" w:type="dxa"/>
            <w:tcBorders>
              <w:right w:val="single" w:sz="8" w:space="0" w:color="000000"/>
            </w:tcBorders>
            <w:shd w:val="clear" w:color="auto" w:fill="67ED4D"/>
          </w:tcPr>
          <w:p>
            <w:pPr>
              <w:pStyle w:val="TableParagraph"/>
              <w:spacing w:before="7"/>
              <w:ind w:left="20"/>
              <w:rPr>
                <w:rFonts w:ascii="Calibri"/>
                <w:sz w:val="12"/>
              </w:rPr>
            </w:pPr>
            <w:r>
              <w:rPr>
                <w:rFonts w:ascii="Calibri"/>
                <w:w w:val="105"/>
                <w:sz w:val="12"/>
              </w:rPr>
              <w:t>1</w:t>
            </w:r>
          </w:p>
        </w:tc>
      </w:tr>
      <w:tr>
        <w:trPr>
          <w:trHeight w:val="163" w:hRule="exact"/>
        </w:trPr>
        <w:tc>
          <w:tcPr>
            <w:tcW w:w="619" w:type="dxa"/>
            <w:tcBorders>
              <w:left w:val="single" w:sz="4" w:space="0" w:color="000000"/>
            </w:tcBorders>
          </w:tcPr>
          <w:p>
            <w:pPr/>
          </w:p>
        </w:tc>
        <w:tc>
          <w:tcPr>
            <w:tcW w:w="1826" w:type="dxa"/>
          </w:tcPr>
          <w:p>
            <w:pPr/>
          </w:p>
        </w:tc>
        <w:tc>
          <w:tcPr>
            <w:tcW w:w="2805" w:type="dxa"/>
          </w:tcPr>
          <w:p>
            <w:pPr/>
          </w:p>
        </w:tc>
        <w:tc>
          <w:tcPr>
            <w:tcW w:w="1317" w:type="dxa"/>
          </w:tcPr>
          <w:p>
            <w:pPr>
              <w:pStyle w:val="TableParagraph"/>
              <w:spacing w:before="1"/>
              <w:ind w:left="423" w:right="184"/>
              <w:rPr>
                <w:rFonts w:ascii="Calibri"/>
                <w:sz w:val="12"/>
              </w:rPr>
            </w:pPr>
            <w:r>
              <w:rPr>
                <w:rFonts w:ascii="Calibri"/>
                <w:w w:val="105"/>
                <w:sz w:val="12"/>
              </w:rPr>
              <w:t>Subtotal</w:t>
            </w:r>
          </w:p>
        </w:tc>
        <w:tc>
          <w:tcPr>
            <w:tcW w:w="887" w:type="dxa"/>
          </w:tcPr>
          <w:p>
            <w:pPr>
              <w:pStyle w:val="TableParagraph"/>
              <w:tabs>
                <w:tab w:pos="466"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0.6</w:t>
            </w:r>
            <w:r>
              <w:rPr>
                <w:rFonts w:ascii="Calibri"/>
                <w:sz w:val="12"/>
                <w:shd w:fill="F79646" w:color="auto" w:val="clear"/>
              </w:rPr>
              <w:tab/>
            </w:r>
          </w:p>
        </w:tc>
        <w:tc>
          <w:tcPr>
            <w:tcW w:w="685" w:type="dxa"/>
          </w:tcPr>
          <w:p>
            <w:pPr>
              <w:pStyle w:val="TableParagraph"/>
              <w:spacing w:before="1"/>
              <w:ind w:left="243" w:right="242"/>
              <w:rPr>
                <w:rFonts w:ascii="Calibri"/>
                <w:sz w:val="12"/>
              </w:rPr>
            </w:pPr>
            <w:r>
              <w:rPr>
                <w:rFonts w:ascii="Calibri"/>
                <w:w w:val="105"/>
                <w:sz w:val="12"/>
              </w:rPr>
              <w:t>0.8</w:t>
            </w:r>
          </w:p>
        </w:tc>
        <w:tc>
          <w:tcPr>
            <w:tcW w:w="683" w:type="dxa"/>
            <w:tcBorders>
              <w:right w:val="single" w:sz="8" w:space="0" w:color="000000"/>
            </w:tcBorders>
            <w:shd w:val="clear" w:color="auto" w:fill="67ED4D"/>
          </w:tcPr>
          <w:p>
            <w:pPr>
              <w:pStyle w:val="TableParagraph"/>
              <w:spacing w:before="1"/>
              <w:ind w:left="20"/>
              <w:rPr>
                <w:rFonts w:ascii="Calibri"/>
                <w:sz w:val="12"/>
              </w:rPr>
            </w:pPr>
            <w:r>
              <w:rPr>
                <w:rFonts w:ascii="Calibri"/>
                <w:w w:val="105"/>
                <w:sz w:val="12"/>
              </w:rPr>
              <w:t>1</w:t>
            </w:r>
          </w:p>
        </w:tc>
      </w:tr>
      <w:tr>
        <w:trPr>
          <w:trHeight w:val="474" w:hRule="exact"/>
        </w:trPr>
        <w:tc>
          <w:tcPr>
            <w:tcW w:w="619" w:type="dxa"/>
            <w:tcBorders>
              <w:left w:val="single" w:sz="4" w:space="0" w:color="000000"/>
              <w:bottom w:val="single" w:sz="8" w:space="0" w:color="000000"/>
            </w:tcBorders>
          </w:tcPr>
          <w:p>
            <w:pPr/>
          </w:p>
        </w:tc>
        <w:tc>
          <w:tcPr>
            <w:tcW w:w="1826" w:type="dxa"/>
            <w:tcBorders>
              <w:bottom w:val="single" w:sz="8" w:space="0" w:color="000000"/>
            </w:tcBorders>
          </w:tcPr>
          <w:p>
            <w:pPr/>
          </w:p>
        </w:tc>
        <w:tc>
          <w:tcPr>
            <w:tcW w:w="2805" w:type="dxa"/>
            <w:tcBorders>
              <w:bottom w:val="single" w:sz="8" w:space="0" w:color="000000"/>
            </w:tcBorders>
          </w:tcPr>
          <w:p>
            <w:pPr/>
          </w:p>
        </w:tc>
        <w:tc>
          <w:tcPr>
            <w:tcW w:w="1317" w:type="dxa"/>
            <w:tcBorders>
              <w:bottom w:val="single" w:sz="8" w:space="0" w:color="000000"/>
            </w:tcBorders>
          </w:tcPr>
          <w:p>
            <w:pPr>
              <w:pStyle w:val="TableParagraph"/>
              <w:spacing w:before="4"/>
              <w:jc w:val="left"/>
              <w:rPr>
                <w:sz w:val="13"/>
              </w:rPr>
            </w:pPr>
          </w:p>
          <w:p>
            <w:pPr>
              <w:pStyle w:val="TableParagraph"/>
              <w:ind w:left="416" w:right="184"/>
              <w:rPr>
                <w:rFonts w:ascii="Calibri"/>
                <w:sz w:val="12"/>
              </w:rPr>
            </w:pPr>
            <w:r>
              <w:rPr>
                <w:rFonts w:ascii="Calibri"/>
                <w:w w:val="105"/>
                <w:sz w:val="12"/>
              </w:rPr>
              <w:t>Total IE</w:t>
            </w:r>
          </w:p>
        </w:tc>
        <w:tc>
          <w:tcPr>
            <w:tcW w:w="887" w:type="dxa"/>
            <w:tcBorders>
              <w:bottom w:val="single" w:sz="8" w:space="0" w:color="000000"/>
            </w:tcBorders>
          </w:tcPr>
          <w:p>
            <w:pPr>
              <w:pStyle w:val="TableParagraph"/>
              <w:spacing w:before="4"/>
              <w:jc w:val="left"/>
              <w:rPr>
                <w:sz w:val="13"/>
              </w:rPr>
            </w:pPr>
          </w:p>
          <w:p>
            <w:pPr>
              <w:pStyle w:val="TableParagraph"/>
              <w:tabs>
                <w:tab w:pos="466" w:val="left" w:leader="none"/>
                <w:tab w:pos="897" w:val="left" w:leader="none"/>
              </w:tabs>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6.3</w:t>
            </w:r>
            <w:r>
              <w:rPr>
                <w:rFonts w:ascii="Calibri"/>
                <w:sz w:val="12"/>
                <w:shd w:fill="F79646" w:color="auto" w:val="clear"/>
              </w:rPr>
              <w:tab/>
            </w:r>
          </w:p>
        </w:tc>
        <w:tc>
          <w:tcPr>
            <w:tcW w:w="685" w:type="dxa"/>
            <w:tcBorders>
              <w:bottom w:val="single" w:sz="8" w:space="0" w:color="000000"/>
            </w:tcBorders>
          </w:tcPr>
          <w:p>
            <w:pPr>
              <w:pStyle w:val="TableParagraph"/>
              <w:spacing w:before="4"/>
              <w:jc w:val="left"/>
              <w:rPr>
                <w:sz w:val="13"/>
              </w:rPr>
            </w:pPr>
          </w:p>
          <w:p>
            <w:pPr>
              <w:pStyle w:val="TableParagraph"/>
              <w:tabs>
                <w:tab w:pos="315" w:val="left" w:leader="none"/>
                <w:tab w:pos="694" w:val="left" w:leader="none"/>
              </w:tabs>
              <w:ind w:left="-1" w:right="-10"/>
              <w:rPr>
                <w:rFonts w:ascii="Calibri"/>
                <w:sz w:val="12"/>
              </w:rPr>
            </w:pPr>
            <w:r>
              <w:rPr>
                <w:rFonts w:ascii="Times New Roman"/>
                <w:w w:val="105"/>
                <w:sz w:val="12"/>
                <w:shd w:fill="FFFF00" w:color="auto" w:val="clear"/>
              </w:rPr>
              <w:t> </w:t>
            </w:r>
            <w:r>
              <w:rPr>
                <w:rFonts w:ascii="Times New Roman"/>
                <w:sz w:val="12"/>
                <w:shd w:fill="FFFF00" w:color="auto" w:val="clear"/>
              </w:rPr>
              <w:tab/>
            </w:r>
            <w:r>
              <w:rPr>
                <w:rFonts w:ascii="Calibri"/>
                <w:w w:val="105"/>
                <w:sz w:val="12"/>
                <w:shd w:fill="FFFF00" w:color="auto" w:val="clear"/>
              </w:rPr>
              <w:t>9</w:t>
            </w:r>
            <w:r>
              <w:rPr>
                <w:rFonts w:ascii="Calibri"/>
                <w:sz w:val="12"/>
                <w:shd w:fill="FFFF00" w:color="auto" w:val="clear"/>
              </w:rPr>
              <w:tab/>
            </w:r>
          </w:p>
        </w:tc>
        <w:tc>
          <w:tcPr>
            <w:tcW w:w="683" w:type="dxa"/>
            <w:tcBorders>
              <w:bottom w:val="single" w:sz="8" w:space="0" w:color="000000"/>
              <w:right w:val="single" w:sz="8" w:space="0" w:color="000000"/>
            </w:tcBorders>
          </w:tcPr>
          <w:p>
            <w:pPr>
              <w:pStyle w:val="TableParagraph"/>
              <w:spacing w:before="4"/>
              <w:jc w:val="left"/>
              <w:rPr>
                <w:sz w:val="13"/>
              </w:rPr>
            </w:pPr>
          </w:p>
          <w:p>
            <w:pPr>
              <w:pStyle w:val="TableParagraph"/>
              <w:ind w:left="262" w:right="241"/>
              <w:rPr>
                <w:rFonts w:ascii="Calibri"/>
                <w:sz w:val="12"/>
              </w:rPr>
            </w:pPr>
            <w:r>
              <w:rPr>
                <w:rFonts w:ascii="Calibri"/>
                <w:w w:val="105"/>
                <w:sz w:val="12"/>
              </w:rPr>
              <w:t>11</w:t>
            </w:r>
          </w:p>
        </w:tc>
      </w:tr>
    </w:tbl>
    <w:p>
      <w:pPr>
        <w:spacing w:before="128"/>
        <w:ind w:left="268" w:right="0" w:firstLine="0"/>
        <w:jc w:val="left"/>
        <w:rPr>
          <w:sz w:val="21"/>
        </w:rPr>
      </w:pPr>
      <w:r>
        <w:rPr/>
        <w:pict>
          <v:group style="position:absolute;margin-left:363.355499pt;margin-top:-96.106537pt;width:75.25pt;height:40.6pt;mso-position-horizontal-relative:page;mso-position-vertical-relative:paragraph;z-index:-1130344" coordorigin="7267,-1922" coordsize="1505,812">
            <v:line style="position:absolute" from="7273,-1917" to="7273,-1748" stroked="true" strokeweight=".525pt" strokecolor="#baf9f5"/>
            <v:rect style="position:absolute;left:7278;top:-1917;width:1494;height:168" filled="true" fillcolor="#baf9f5" stroked="false">
              <v:fill type="solid"/>
            </v:rect>
            <v:line style="position:absolute" from="7273,-1748" to="7273,-1590" stroked="true" strokeweight=".525pt" strokecolor="#baf9f5"/>
            <v:rect style="position:absolute;left:7278;top:-1748;width:1494;height:158" filled="true" fillcolor="#baf9f5" stroked="false">
              <v:fill type="solid"/>
            </v:rect>
            <v:line style="position:absolute" from="7273,-1590" to="7273,-1432" stroked="true" strokeweight=".525pt" strokecolor="#baf9f5"/>
            <v:rect style="position:absolute;left:7278;top:-1590;width:1494;height:158" filled="true" fillcolor="#baf9f5" stroked="false">
              <v:fill type="solid"/>
            </v:rect>
            <v:line style="position:absolute" from="7273,-1432" to="7273,-1274" stroked="true" strokeweight=".525pt" strokecolor="#baf9f5"/>
            <v:rect style="position:absolute;left:7278;top:-1432;width:1494;height:158" filled="true" fillcolor="#baf9f5" stroked="false">
              <v:fill type="solid"/>
            </v:rect>
            <v:line style="position:absolute" from="7273,-1274" to="7273,-1116" stroked="true" strokeweight=".525pt" strokecolor="#baf9f5"/>
            <v:rect style="position:absolute;left:7278;top:-1274;width:1494;height:158" filled="true" fillcolor="#baf9f5" stroked="false">
              <v:fill type="solid"/>
            </v:rect>
            <w10:wrap type="none"/>
          </v:group>
        </w:pict>
      </w:r>
      <w:r>
        <w:rPr/>
        <w:pict>
          <v:shape style="position:absolute;margin-left:472.243011pt;margin-top:-95.831161pt;width:34.75pt;height:47.95pt;mso-position-horizontal-relative:page;mso-position-vertical-relative:paragraph;z-index:-1130320" coordorigin="9445,-1917" coordsize="695,959" path="m10139,-1432l9445,-1432,9445,-1274,9445,-1127,9445,-1116,9445,-958,10139,-958,10139,-1116,10139,-1127,10139,-1274,10139,-1432m10139,-1590l9445,-1590,9445,-1432,10139,-1432,10139,-1590m10139,-1748l9445,-1748,9445,-1590,10139,-1590,10139,-1748m10139,-1917l9445,-1917,9445,-1748,10139,-1748,10139,-1917e" filled="true" fillcolor="#ffff00" stroked="false">
            <v:path arrowok="t"/>
            <v:fill type="solid"/>
            <w10:wrap type="none"/>
          </v:shape>
        </w:pict>
      </w:r>
      <w:r>
        <w:rPr/>
        <w:pict>
          <v:shape style="position:absolute;margin-left:472.243011pt;margin-top:-40.552158pt;width:34.75pt;height:16.3500pt;mso-position-horizontal-relative:page;mso-position-vertical-relative:paragraph;z-index:-1130296" coordorigin="9445,-811" coordsize="695,327" path="m10139,-811l9445,-811,9445,-653,9445,-643,9445,-485,10139,-485,10139,-643,10139,-653,10139,-811e" filled="true" fillcolor="#ffff00" stroked="false">
            <v:path arrowok="t"/>
            <v:fill type="solid"/>
            <w10:wrap type="none"/>
          </v:shape>
        </w:pict>
      </w:r>
      <w:r>
        <w:rPr/>
        <w:pict>
          <v:rect style="position:absolute;margin-left:506.432007pt;margin-top:-16.862537pt;width:34.7141pt;height:8.423400pt;mso-position-horizontal-relative:page;mso-position-vertical-relative:paragraph;z-index:-1130272" filled="true" fillcolor="#67ed4d" stroked="false">
            <v:fill type="solid"/>
            <w10:wrap type="none"/>
          </v:rect>
        </w:pict>
      </w:r>
      <w:r>
        <w:rPr>
          <w:w w:val="105"/>
          <w:sz w:val="21"/>
        </w:rPr>
        <w:t>Fuente: Elaboración propia con base al estudio realizado.</w:t>
      </w:r>
    </w:p>
    <w:p>
      <w:pPr>
        <w:pStyle w:val="BodyText"/>
        <w:spacing w:before="2"/>
        <w:rPr>
          <w:sz w:val="21"/>
        </w:rPr>
      </w:pPr>
    </w:p>
    <w:p>
      <w:pPr>
        <w:pStyle w:val="BodyText"/>
        <w:spacing w:after="16"/>
        <w:ind w:left="335"/>
      </w:pPr>
      <w:r>
        <w:rPr/>
        <w:pict>
          <v:group style="position:absolute;margin-left:363.367004pt;margin-top:50.120712pt;width:75.25pt;height:24.8pt;mso-position-horizontal-relative:page;mso-position-vertical-relative:paragraph;z-index:-1130248" coordorigin="7267,1002" coordsize="1505,496">
            <v:line style="position:absolute" from="7273,1008" to="7273,1176" stroked="true" strokeweight=".526pt" strokecolor="#baf9f5"/>
            <v:shape style="position:absolute;left:7278;top:1008;width:1494;height:327" coordorigin="7278,1008" coordsize="1494,327" path="m8772,1008l7278,1008,7278,1166,7278,1176,7278,1334,8772,1334,8772,1176,8772,1166,8772,1008e" filled="true" fillcolor="#baf9f5" stroked="false">
              <v:path arrowok="t"/>
              <v:fill type="solid"/>
            </v:shape>
            <v:line style="position:absolute" from="7273,1166" to="7273,1492" stroked="true" strokeweight=".526pt" strokecolor="#baf9f5"/>
            <v:rect style="position:absolute;left:7278;top:1334;width:1494;height:158" filled="true" fillcolor="#baf9f5" stroked="false">
              <v:fill type="solid"/>
            </v:rect>
            <w10:wrap type="none"/>
          </v:group>
        </w:pict>
      </w:r>
      <w:r>
        <w:rPr/>
        <w:pict>
          <v:group style="position:absolute;margin-left:363.367004pt;margin-top:89.589851pt;width:75.25pt;height:16.9pt;mso-position-horizontal-relative:page;mso-position-vertical-relative:paragraph;z-index:-1130224" coordorigin="7267,1792" coordsize="1505,338">
            <v:line style="position:absolute" from="7273,1797" to="7273,1966" stroked="true" strokeweight=".526pt" strokecolor="#baf9f5"/>
            <v:rect style="position:absolute;left:7278;top:1797;width:1494;height:168" filled="true" fillcolor="#baf9f5" stroked="false">
              <v:fill type="solid"/>
            </v:rect>
            <v:line style="position:absolute" from="7273,1966" to="7273,2124" stroked="true" strokeweight=".526pt" strokecolor="#baf9f5"/>
            <v:rect style="position:absolute;left:7278;top:1966;width:1494;height:158" filled="true" fillcolor="#baf9f5" stroked="false">
              <v:fill type="solid"/>
            </v:rect>
            <w10:wrap type="none"/>
          </v:group>
        </w:pict>
      </w:r>
      <w:r>
        <w:rPr/>
        <w:pict>
          <v:shape style="position:absolute;margin-left:472.259033pt;margin-top:89.864838pt;width:34.75pt;height:24.25pt;mso-position-horizontal-relative:page;mso-position-vertical-relative:paragraph;z-index:-1130200" coordorigin="9445,1797" coordsize="695,485" path="m10139,1966l9445,1966,9445,2113,9445,2124,9445,2281,10139,2281,10139,2124,10139,2113,10139,1966m10139,1797l9445,1797,9445,1966,10139,1966,10139,1797e" filled="true" fillcolor="#ffff00" stroked="false">
            <v:path arrowok="t"/>
            <v:fill type="solid"/>
            <w10:wrap type="none"/>
          </v:shape>
        </w:pict>
      </w:r>
      <w:r>
        <w:rPr/>
        <w:pict>
          <v:group style="position:absolute;margin-left:363.367004pt;margin-top:121.165855pt;width:75.25pt;height:16.9pt;mso-position-horizontal-relative:page;mso-position-vertical-relative:paragraph;z-index:-1130176" coordorigin="7267,2423" coordsize="1505,338">
            <v:line style="position:absolute" from="7273,2429" to="7273,2597" stroked="true" strokeweight=".526pt" strokecolor="#baf9f5"/>
            <v:rect style="position:absolute;left:7278;top:2429;width:1494;height:168" filled="true" fillcolor="#baf9f5" stroked="false">
              <v:fill type="solid"/>
            </v:rect>
            <v:line style="position:absolute" from="7273,2597" to="7273,2755" stroked="true" strokeweight=".526pt" strokecolor="#baf9f5"/>
            <v:rect style="position:absolute;left:7278;top:2597;width:1494;height:158" filled="true" fillcolor="#baf9f5" stroked="false">
              <v:fill type="solid"/>
            </v:rect>
            <w10:wrap type="none"/>
          </v:group>
        </w:pict>
      </w:r>
      <w:r>
        <w:rPr/>
        <w:pict>
          <v:shape style="position:absolute;margin-left:472.259033pt;margin-top:121.440842pt;width:34.75pt;height:24.25pt;mso-position-horizontal-relative:page;mso-position-vertical-relative:paragraph;z-index:-1130152" coordorigin="9445,2429" coordsize="695,485" path="m10139,2429l9445,2429,9445,2597,9445,2745,9445,2755,9445,2913,10139,2913,10139,2755,10139,2745,10139,2597,10139,2429e" filled="true" fillcolor="#ffff00" stroked="false">
            <v:path arrowok="t"/>
            <v:fill type="solid"/>
            <w10:wrap type="none"/>
          </v:shape>
        </w:pict>
      </w:r>
      <w:r>
        <w:rPr/>
        <w:pict>
          <v:group style="position:absolute;margin-left:363.367004pt;margin-top:152.74086pt;width:75.25pt;height:16.9pt;mso-position-horizontal-relative:page;mso-position-vertical-relative:paragraph;z-index:-1130128" coordorigin="7267,3055" coordsize="1505,338">
            <v:line style="position:absolute" from="7273,3060" to="7273,3229" stroked="true" strokeweight=".526pt" strokecolor="#baf9f5"/>
            <v:rect style="position:absolute;left:7278;top:3060;width:1494;height:168" filled="true" fillcolor="#baf9f5" stroked="false">
              <v:fill type="solid"/>
            </v:rect>
            <v:line style="position:absolute" from="7273,3229" to="7273,3387" stroked="true" strokeweight=".526pt" strokecolor="#baf9f5"/>
            <v:rect style="position:absolute;left:7278;top:3229;width:1494;height:158" filled="true" fillcolor="#baf9f5" stroked="false">
              <v:fill type="solid"/>
            </v:rect>
            <w10:wrap type="none"/>
          </v:group>
        </w:pict>
      </w:r>
      <w:r>
        <w:rPr/>
        <w:pict>
          <v:shape style="position:absolute;margin-left:472.259033pt;margin-top:153.015839pt;width:34.75pt;height:24.25pt;mso-position-horizontal-relative:page;mso-position-vertical-relative:paragraph;z-index:-1130104" coordorigin="9445,3060" coordsize="695,485" path="m10139,3229l9445,3229,9445,3376,9445,3387,9445,3544,10139,3544,10139,3387,10139,3376,10139,3229m10139,3060l9445,3060,9445,3229,10139,3229,10139,3060e" filled="true" fillcolor="#ffff00" stroked="false">
            <v:path arrowok="t"/>
            <v:fill type="solid"/>
            <w10:wrap type="none"/>
          </v:shape>
        </w:pict>
      </w:r>
      <w:r>
        <w:rPr/>
        <w:t>Tabla 76. IST Hacienda de las Fuentes</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9"/>
        <w:gridCol w:w="1863"/>
        <w:gridCol w:w="2562"/>
        <w:gridCol w:w="1522"/>
        <w:gridCol w:w="887"/>
        <w:gridCol w:w="685"/>
        <w:gridCol w:w="683"/>
      </w:tblGrid>
      <w:tr>
        <w:trPr>
          <w:trHeight w:val="489" w:hRule="exact"/>
        </w:trPr>
        <w:tc>
          <w:tcPr>
            <w:tcW w:w="8821" w:type="dxa"/>
            <w:gridSpan w:val="7"/>
            <w:tcBorders>
              <w:bottom w:val="nil"/>
              <w:right w:val="single" w:sz="4" w:space="0" w:color="EEECE1"/>
            </w:tcBorders>
            <w:shd w:val="clear" w:color="auto" w:fill="000000"/>
          </w:tcPr>
          <w:p>
            <w:pPr>
              <w:pStyle w:val="TableParagraph"/>
              <w:spacing w:line="273" w:lineRule="auto" w:before="82"/>
              <w:ind w:left="3361" w:right="3341" w:firstLine="315"/>
              <w:jc w:val="left"/>
              <w:rPr>
                <w:b/>
                <w:sz w:val="12"/>
              </w:rPr>
            </w:pPr>
            <w:r>
              <w:rPr>
                <w:b/>
                <w:color w:val="FFFFFF"/>
                <w:w w:val="105"/>
                <w:sz w:val="12"/>
              </w:rPr>
              <w:t>Hacienda de las Fuentes Índice de sustentabilidad territorial</w:t>
            </w:r>
          </w:p>
        </w:tc>
      </w:tr>
      <w:tr>
        <w:trPr>
          <w:trHeight w:val="195" w:hRule="exact"/>
        </w:trPr>
        <w:tc>
          <w:tcPr>
            <w:tcW w:w="619" w:type="dxa"/>
            <w:tcBorders>
              <w:top w:val="single" w:sz="4" w:space="0" w:color="FFFFFF"/>
              <w:left w:val="single" w:sz="4" w:space="0" w:color="000000"/>
            </w:tcBorders>
            <w:shd w:val="clear" w:color="auto" w:fill="808080"/>
          </w:tcPr>
          <w:p>
            <w:pPr>
              <w:pStyle w:val="TableParagraph"/>
              <w:spacing w:line="136" w:lineRule="exact"/>
              <w:ind w:left="157"/>
              <w:jc w:val="left"/>
              <w:rPr>
                <w:b/>
                <w:sz w:val="12"/>
              </w:rPr>
            </w:pPr>
            <w:r>
              <w:rPr>
                <w:b/>
                <w:color w:val="FFFFFF"/>
                <w:w w:val="105"/>
                <w:sz w:val="12"/>
              </w:rPr>
              <w:t>Índice</w:t>
            </w:r>
          </w:p>
        </w:tc>
        <w:tc>
          <w:tcPr>
            <w:tcW w:w="1863" w:type="dxa"/>
            <w:tcBorders>
              <w:top w:val="single" w:sz="4" w:space="0" w:color="FFFFFF"/>
            </w:tcBorders>
            <w:shd w:val="clear" w:color="auto" w:fill="808080"/>
          </w:tcPr>
          <w:p>
            <w:pPr>
              <w:pStyle w:val="TableParagraph"/>
              <w:spacing w:line="136" w:lineRule="exact"/>
              <w:ind w:left="91"/>
              <w:jc w:val="left"/>
              <w:rPr>
                <w:b/>
                <w:sz w:val="12"/>
              </w:rPr>
            </w:pPr>
            <w:r>
              <w:rPr>
                <w:b/>
                <w:color w:val="FFFFFF"/>
                <w:w w:val="105"/>
                <w:sz w:val="12"/>
              </w:rPr>
              <w:t>Subíndice</w:t>
            </w:r>
          </w:p>
        </w:tc>
        <w:tc>
          <w:tcPr>
            <w:tcW w:w="2562" w:type="dxa"/>
            <w:tcBorders>
              <w:top w:val="single" w:sz="4" w:space="0" w:color="FFFFFF"/>
            </w:tcBorders>
            <w:shd w:val="clear" w:color="auto" w:fill="808080"/>
          </w:tcPr>
          <w:p>
            <w:pPr>
              <w:pStyle w:val="TableParagraph"/>
              <w:spacing w:line="136" w:lineRule="exact"/>
              <w:ind w:left="332" w:right="1043"/>
              <w:jc w:val="left"/>
              <w:rPr>
                <w:b/>
                <w:sz w:val="12"/>
              </w:rPr>
            </w:pPr>
            <w:r>
              <w:rPr>
                <w:b/>
                <w:color w:val="FFFFFF"/>
                <w:w w:val="105"/>
                <w:sz w:val="12"/>
              </w:rPr>
              <w:t>Indicador</w:t>
            </w:r>
          </w:p>
        </w:tc>
        <w:tc>
          <w:tcPr>
            <w:tcW w:w="1522" w:type="dxa"/>
            <w:tcBorders>
              <w:top w:val="single" w:sz="4" w:space="0" w:color="FFFFFF"/>
            </w:tcBorders>
            <w:shd w:val="clear" w:color="auto" w:fill="808080"/>
          </w:tcPr>
          <w:p>
            <w:pPr/>
          </w:p>
        </w:tc>
        <w:tc>
          <w:tcPr>
            <w:tcW w:w="887" w:type="dxa"/>
            <w:tcBorders>
              <w:top w:val="single" w:sz="4" w:space="0" w:color="FFFFFF"/>
            </w:tcBorders>
            <w:shd w:val="clear" w:color="auto" w:fill="808080"/>
          </w:tcPr>
          <w:p>
            <w:pPr>
              <w:pStyle w:val="TableParagraph"/>
              <w:spacing w:line="136" w:lineRule="exact"/>
              <w:ind w:left="266"/>
              <w:jc w:val="left"/>
              <w:rPr>
                <w:b/>
                <w:sz w:val="12"/>
              </w:rPr>
            </w:pPr>
            <w:r>
              <w:rPr>
                <w:b/>
                <w:color w:val="FFFFFF"/>
                <w:w w:val="105"/>
                <w:sz w:val="12"/>
              </w:rPr>
              <w:t>Valores</w:t>
            </w:r>
          </w:p>
        </w:tc>
        <w:tc>
          <w:tcPr>
            <w:tcW w:w="685" w:type="dxa"/>
            <w:tcBorders>
              <w:top w:val="single" w:sz="4" w:space="0" w:color="FFFFFF"/>
            </w:tcBorders>
            <w:shd w:val="clear" w:color="auto" w:fill="808080"/>
          </w:tcPr>
          <w:p>
            <w:pPr/>
          </w:p>
        </w:tc>
        <w:tc>
          <w:tcPr>
            <w:tcW w:w="683" w:type="dxa"/>
            <w:tcBorders>
              <w:top w:val="single" w:sz="4" w:space="0" w:color="FFFFFF"/>
              <w:right w:val="single" w:sz="8" w:space="0" w:color="000000"/>
            </w:tcBorders>
            <w:shd w:val="clear" w:color="auto" w:fill="808080"/>
          </w:tcPr>
          <w:p>
            <w:pPr/>
          </w:p>
        </w:tc>
      </w:tr>
      <w:tr>
        <w:trPr>
          <w:trHeight w:val="194" w:hRule="exact"/>
        </w:trPr>
        <w:tc>
          <w:tcPr>
            <w:tcW w:w="619" w:type="dxa"/>
            <w:vMerge w:val="restart"/>
            <w:tcBorders>
              <w:left w:val="single" w:sz="4" w:space="0" w:color="000000"/>
            </w:tcBorders>
          </w:tcPr>
          <w:p>
            <w:pPr/>
          </w:p>
        </w:tc>
        <w:tc>
          <w:tcPr>
            <w:tcW w:w="1863" w:type="dxa"/>
          </w:tcPr>
          <w:p>
            <w:pPr/>
          </w:p>
        </w:tc>
        <w:tc>
          <w:tcPr>
            <w:tcW w:w="2562" w:type="dxa"/>
          </w:tcPr>
          <w:p>
            <w:pPr/>
          </w:p>
        </w:tc>
        <w:tc>
          <w:tcPr>
            <w:tcW w:w="1522" w:type="dxa"/>
          </w:tcPr>
          <w:p>
            <w:pPr>
              <w:pStyle w:val="TableParagraph"/>
              <w:spacing w:before="40"/>
              <w:ind w:right="201"/>
              <w:jc w:val="right"/>
              <w:rPr>
                <w:b/>
                <w:sz w:val="12"/>
              </w:rPr>
            </w:pPr>
            <w:r>
              <w:rPr>
                <w:b/>
                <w:w w:val="105"/>
                <w:sz w:val="12"/>
              </w:rPr>
              <w:t>Evaluación</w:t>
            </w:r>
          </w:p>
        </w:tc>
        <w:tc>
          <w:tcPr>
            <w:tcW w:w="887" w:type="dxa"/>
          </w:tcPr>
          <w:p>
            <w:pPr>
              <w:pStyle w:val="TableParagraph"/>
              <w:tabs>
                <w:tab w:pos="897" w:val="left" w:leader="none"/>
              </w:tabs>
              <w:spacing w:before="40"/>
              <w:ind w:left="203" w:right="-11"/>
              <w:jc w:val="left"/>
              <w:rPr>
                <w:b/>
                <w:sz w:val="12"/>
              </w:rPr>
            </w:pPr>
            <w:r>
              <w:rPr>
                <w:b/>
                <w:w w:val="105"/>
                <w:sz w:val="12"/>
                <w:shd w:fill="F79646" w:color="auto" w:val="clear"/>
              </w:rPr>
              <w:t> </w:t>
            </w:r>
            <w:r>
              <w:rPr>
                <w:b/>
                <w:sz w:val="12"/>
                <w:shd w:fill="F79646" w:color="auto" w:val="clear"/>
              </w:rPr>
              <w:t>    </w:t>
            </w:r>
            <w:r>
              <w:rPr>
                <w:b/>
                <w:spacing w:val="8"/>
                <w:sz w:val="12"/>
                <w:shd w:fill="F79646" w:color="auto" w:val="clear"/>
              </w:rPr>
              <w:t> </w:t>
            </w:r>
            <w:r>
              <w:rPr>
                <w:b/>
                <w:w w:val="105"/>
                <w:sz w:val="12"/>
                <w:shd w:fill="F79646" w:color="auto" w:val="clear"/>
              </w:rPr>
              <w:t>Real</w:t>
            </w:r>
            <w:r>
              <w:rPr>
                <w:b/>
                <w:sz w:val="12"/>
                <w:shd w:fill="F79646" w:color="auto" w:val="clear"/>
              </w:rPr>
              <w:tab/>
            </w:r>
          </w:p>
        </w:tc>
        <w:tc>
          <w:tcPr>
            <w:tcW w:w="685" w:type="dxa"/>
            <w:tcBorders>
              <w:right w:val="single" w:sz="4" w:space="0" w:color="FFFFFF"/>
            </w:tcBorders>
            <w:shd w:val="clear" w:color="auto" w:fill="FFFF00"/>
          </w:tcPr>
          <w:p>
            <w:pPr>
              <w:pStyle w:val="TableParagraph"/>
              <w:spacing w:before="40"/>
              <w:ind w:left="54" w:right="32"/>
              <w:rPr>
                <w:b/>
                <w:sz w:val="12"/>
              </w:rPr>
            </w:pPr>
            <w:r>
              <w:rPr>
                <w:b/>
                <w:w w:val="105"/>
                <w:sz w:val="12"/>
              </w:rPr>
              <w:t>Deseable</w:t>
            </w:r>
          </w:p>
        </w:tc>
        <w:tc>
          <w:tcPr>
            <w:tcW w:w="683" w:type="dxa"/>
            <w:tcBorders>
              <w:left w:val="single" w:sz="4" w:space="0" w:color="FFFFFF"/>
              <w:right w:val="single" w:sz="8" w:space="0" w:color="000000"/>
            </w:tcBorders>
            <w:shd w:val="clear" w:color="auto" w:fill="67ED4D"/>
          </w:tcPr>
          <w:p>
            <w:pPr>
              <w:pStyle w:val="TableParagraph"/>
              <w:spacing w:before="40"/>
              <w:ind w:left="100" w:right="86"/>
              <w:rPr>
                <w:b/>
                <w:sz w:val="12"/>
              </w:rPr>
            </w:pPr>
            <w:r>
              <w:rPr>
                <w:b/>
                <w:w w:val="105"/>
                <w:sz w:val="12"/>
              </w:rPr>
              <w:t>Óptimo</w:t>
            </w:r>
          </w:p>
        </w:tc>
      </w:tr>
      <w:tr>
        <w:trPr>
          <w:trHeight w:val="160" w:hRule="exact"/>
        </w:trPr>
        <w:tc>
          <w:tcPr>
            <w:tcW w:w="619" w:type="dxa"/>
            <w:vMerge/>
            <w:tcBorders>
              <w:left w:val="single" w:sz="4" w:space="0" w:color="000000"/>
            </w:tcBorders>
          </w:tcPr>
          <w:p>
            <w:pPr/>
          </w:p>
        </w:tc>
        <w:tc>
          <w:tcPr>
            <w:tcW w:w="1863" w:type="dxa"/>
            <w:vMerge w:val="restart"/>
          </w:tcPr>
          <w:p>
            <w:pPr>
              <w:pStyle w:val="TableParagraph"/>
              <w:spacing w:before="75"/>
              <w:ind w:left="91"/>
              <w:jc w:val="left"/>
              <w:rPr>
                <w:rFonts w:ascii="Calibri"/>
                <w:sz w:val="12"/>
              </w:rPr>
            </w:pPr>
            <w:r>
              <w:rPr>
                <w:rFonts w:ascii="Calibri"/>
                <w:w w:val="105"/>
                <w:sz w:val="12"/>
              </w:rPr>
              <w:t>Uso de suelo</w:t>
            </w:r>
          </w:p>
        </w:tc>
        <w:tc>
          <w:tcPr>
            <w:tcW w:w="2562" w:type="dxa"/>
            <w:vMerge w:val="restart"/>
          </w:tcPr>
          <w:p>
            <w:pPr>
              <w:pStyle w:val="TableParagraph"/>
              <w:spacing w:line="259" w:lineRule="auto" w:before="2"/>
              <w:ind w:left="332" w:right="1043"/>
              <w:jc w:val="left"/>
              <w:rPr>
                <w:rFonts w:ascii="Calibri" w:hAnsi="Calibri"/>
                <w:sz w:val="12"/>
              </w:rPr>
            </w:pPr>
            <w:r>
              <w:rPr>
                <w:rFonts w:ascii="Calibri" w:hAnsi="Calibri"/>
                <w:w w:val="105"/>
                <w:sz w:val="12"/>
              </w:rPr>
              <w:t>Clasificación del suelo Densidad de población</w:t>
            </w:r>
          </w:p>
        </w:tc>
        <w:tc>
          <w:tcPr>
            <w:tcW w:w="1522" w:type="dxa"/>
            <w:vMerge w:val="restart"/>
          </w:tcPr>
          <w:p>
            <w:pPr>
              <w:pStyle w:val="TableParagraph"/>
              <w:spacing w:before="2"/>
              <w:ind w:left="905"/>
              <w:jc w:val="left"/>
              <w:rPr>
                <w:rFonts w:ascii="Calibri"/>
                <w:sz w:val="12"/>
              </w:rPr>
            </w:pPr>
            <w:r>
              <w:rPr>
                <w:rFonts w:ascii="Calibri"/>
                <w:w w:val="105"/>
                <w:sz w:val="12"/>
              </w:rPr>
              <w:t>0.5</w:t>
            </w:r>
          </w:p>
          <w:p>
            <w:pPr>
              <w:pStyle w:val="TableParagraph"/>
              <w:spacing w:before="11"/>
              <w:ind w:left="905"/>
              <w:jc w:val="left"/>
              <w:rPr>
                <w:rFonts w:ascii="Calibri"/>
                <w:sz w:val="12"/>
              </w:rPr>
            </w:pPr>
            <w:r>
              <w:rPr>
                <w:rFonts w:ascii="Calibri"/>
                <w:w w:val="105"/>
                <w:sz w:val="12"/>
              </w:rPr>
              <w:t>0.5</w:t>
            </w:r>
          </w:p>
        </w:tc>
        <w:tc>
          <w:tcPr>
            <w:tcW w:w="887" w:type="dxa"/>
            <w:vMerge w:val="restart"/>
          </w:tcPr>
          <w:p>
            <w:pPr/>
          </w:p>
        </w:tc>
        <w:tc>
          <w:tcPr>
            <w:tcW w:w="685" w:type="dxa"/>
            <w:tcBorders>
              <w:right w:val="single" w:sz="4" w:space="0" w:color="FFFFFF"/>
            </w:tcBorders>
            <w:shd w:val="clear" w:color="auto" w:fill="FFFF00"/>
          </w:tcPr>
          <w:p>
            <w:pPr>
              <w:pStyle w:val="TableParagraph"/>
              <w:spacing w:before="2"/>
              <w:ind w:left="38" w:right="32"/>
              <w:rPr>
                <w:rFonts w:ascii="Calibri"/>
                <w:sz w:val="12"/>
              </w:rPr>
            </w:pPr>
            <w:r>
              <w:rPr>
                <w:rFonts w:ascii="Calibri"/>
                <w:w w:val="105"/>
                <w:sz w:val="12"/>
              </w:rPr>
              <w:t>0.5</w:t>
            </w:r>
          </w:p>
        </w:tc>
        <w:tc>
          <w:tcPr>
            <w:tcW w:w="683" w:type="dxa"/>
            <w:tcBorders>
              <w:left w:val="single" w:sz="4" w:space="0" w:color="FFFFFF"/>
              <w:right w:val="single" w:sz="8" w:space="0" w:color="000000"/>
            </w:tcBorders>
            <w:shd w:val="clear" w:color="auto" w:fill="67ED4D"/>
          </w:tcPr>
          <w:p>
            <w:pPr>
              <w:pStyle w:val="TableParagraph"/>
              <w:spacing w:before="2"/>
              <w:ind w:left="15"/>
              <w:rPr>
                <w:rFonts w:ascii="Calibri"/>
                <w:sz w:val="12"/>
              </w:rPr>
            </w:pPr>
            <w:r>
              <w:rPr>
                <w:rFonts w:ascii="Calibri"/>
                <w:w w:val="105"/>
                <w:sz w:val="12"/>
              </w:rPr>
              <w:t>1</w:t>
            </w:r>
          </w:p>
        </w:tc>
      </w:tr>
      <w:tr>
        <w:trPr>
          <w:trHeight w:val="158" w:hRule="exact"/>
        </w:trPr>
        <w:tc>
          <w:tcPr>
            <w:tcW w:w="619" w:type="dxa"/>
            <w:vMerge/>
            <w:tcBorders>
              <w:left w:val="single" w:sz="4" w:space="0" w:color="000000"/>
            </w:tcBorders>
          </w:tcPr>
          <w:p>
            <w:pPr/>
          </w:p>
        </w:tc>
        <w:tc>
          <w:tcPr>
            <w:tcW w:w="1863" w:type="dxa"/>
            <w:vMerge/>
          </w:tcPr>
          <w:p>
            <w:pPr/>
          </w:p>
        </w:tc>
        <w:tc>
          <w:tcPr>
            <w:tcW w:w="2562" w:type="dxa"/>
            <w:vMerge/>
          </w:tcPr>
          <w:p>
            <w:pPr/>
          </w:p>
        </w:tc>
        <w:tc>
          <w:tcPr>
            <w:tcW w:w="1522" w:type="dxa"/>
            <w:vMerge/>
          </w:tcPr>
          <w:p>
            <w:pPr/>
          </w:p>
        </w:tc>
        <w:tc>
          <w:tcPr>
            <w:tcW w:w="887" w:type="dxa"/>
            <w:vMerge/>
          </w:tcPr>
          <w:p>
            <w:pPr/>
          </w:p>
        </w:tc>
        <w:tc>
          <w:tcPr>
            <w:tcW w:w="685" w:type="dxa"/>
            <w:tcBorders>
              <w:right w:val="single" w:sz="4" w:space="0" w:color="FFFFFF"/>
            </w:tcBorders>
            <w:shd w:val="clear" w:color="auto" w:fill="FFFF00"/>
          </w:tcPr>
          <w:p>
            <w:pPr>
              <w:pStyle w:val="TableParagraph"/>
              <w:ind w:left="38" w:right="32"/>
              <w:rPr>
                <w:rFonts w:ascii="Calibri"/>
                <w:sz w:val="12"/>
              </w:rPr>
            </w:pPr>
            <w:r>
              <w:rPr>
                <w:rFonts w:ascii="Calibri"/>
                <w:w w:val="105"/>
                <w:sz w:val="12"/>
              </w:rPr>
              <w:t>0.5</w:t>
            </w:r>
          </w:p>
        </w:tc>
        <w:tc>
          <w:tcPr>
            <w:tcW w:w="683" w:type="dxa"/>
            <w:tcBorders>
              <w:left w:val="single" w:sz="4" w:space="0" w:color="FFFFFF"/>
              <w:right w:val="single" w:sz="8" w:space="0" w:color="000000"/>
            </w:tcBorders>
            <w:shd w:val="clear" w:color="auto" w:fill="67ED4D"/>
          </w:tcPr>
          <w:p>
            <w:pPr>
              <w:pStyle w:val="TableParagraph"/>
              <w:ind w:left="15"/>
              <w:rPr>
                <w:rFonts w:ascii="Calibri"/>
                <w:sz w:val="12"/>
              </w:rPr>
            </w:pPr>
            <w:r>
              <w:rPr>
                <w:rFonts w:ascii="Calibri"/>
                <w:w w:val="105"/>
                <w:sz w:val="12"/>
              </w:rPr>
              <w:t>1</w:t>
            </w:r>
          </w:p>
        </w:tc>
      </w:tr>
      <w:tr>
        <w:trPr>
          <w:trHeight w:val="162" w:hRule="exact"/>
        </w:trPr>
        <w:tc>
          <w:tcPr>
            <w:tcW w:w="619" w:type="dxa"/>
            <w:vMerge/>
            <w:tcBorders>
              <w:left w:val="single" w:sz="4" w:space="0" w:color="000000"/>
            </w:tcBorders>
          </w:tcPr>
          <w:p>
            <w:pPr/>
          </w:p>
        </w:tc>
        <w:tc>
          <w:tcPr>
            <w:tcW w:w="1863" w:type="dxa"/>
          </w:tcPr>
          <w:p>
            <w:pPr/>
          </w:p>
        </w:tc>
        <w:tc>
          <w:tcPr>
            <w:tcW w:w="2562" w:type="dxa"/>
          </w:tcPr>
          <w:p>
            <w:pPr/>
          </w:p>
        </w:tc>
        <w:tc>
          <w:tcPr>
            <w:tcW w:w="1522" w:type="dxa"/>
          </w:tcPr>
          <w:p>
            <w:pPr>
              <w:pStyle w:val="TableParagraph"/>
              <w:spacing w:before="1"/>
              <w:ind w:right="320"/>
              <w:jc w:val="right"/>
              <w:rPr>
                <w:rFonts w:ascii="Calibri"/>
                <w:sz w:val="12"/>
              </w:rPr>
            </w:pPr>
            <w:r>
              <w:rPr>
                <w:rFonts w:ascii="Calibri"/>
                <w:w w:val="105"/>
                <w:sz w:val="12"/>
              </w:rPr>
              <w:t>Subtotal</w:t>
            </w:r>
          </w:p>
        </w:tc>
        <w:tc>
          <w:tcPr>
            <w:tcW w:w="887" w:type="dxa"/>
          </w:tcPr>
          <w:p>
            <w:pPr>
              <w:pStyle w:val="TableParagraph"/>
              <w:tabs>
                <w:tab w:pos="518"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1</w:t>
            </w:r>
            <w:r>
              <w:rPr>
                <w:rFonts w:ascii="Calibri"/>
                <w:sz w:val="12"/>
                <w:shd w:fill="F79646" w:color="auto" w:val="clear"/>
              </w:rPr>
              <w:tab/>
            </w:r>
          </w:p>
        </w:tc>
        <w:tc>
          <w:tcPr>
            <w:tcW w:w="685" w:type="dxa"/>
            <w:tcBorders>
              <w:right w:val="single" w:sz="4" w:space="0" w:color="FFFFFF"/>
            </w:tcBorders>
            <w:shd w:val="clear" w:color="auto" w:fill="FFFF00"/>
          </w:tcPr>
          <w:p>
            <w:pPr>
              <w:pStyle w:val="TableParagraph"/>
              <w:ind w:left="15"/>
              <w:rPr>
                <w:rFonts w:ascii="Calibri"/>
                <w:sz w:val="12"/>
              </w:rPr>
            </w:pPr>
            <w:r>
              <w:rPr>
                <w:rFonts w:ascii="Calibri"/>
                <w:w w:val="105"/>
                <w:sz w:val="12"/>
              </w:rPr>
              <w:t>1</w:t>
            </w:r>
          </w:p>
        </w:tc>
        <w:tc>
          <w:tcPr>
            <w:tcW w:w="683" w:type="dxa"/>
            <w:tcBorders>
              <w:left w:val="single" w:sz="4" w:space="0" w:color="FFFFFF"/>
              <w:right w:val="single" w:sz="8" w:space="0" w:color="000000"/>
            </w:tcBorders>
            <w:shd w:val="clear" w:color="auto" w:fill="67ED4D"/>
          </w:tcPr>
          <w:p>
            <w:pPr>
              <w:pStyle w:val="TableParagraph"/>
              <w:ind w:left="15"/>
              <w:rPr>
                <w:rFonts w:ascii="Calibri"/>
                <w:sz w:val="12"/>
              </w:rPr>
            </w:pPr>
            <w:r>
              <w:rPr>
                <w:rFonts w:ascii="Calibri"/>
                <w:w w:val="105"/>
                <w:sz w:val="12"/>
              </w:rPr>
              <w:t>2</w:t>
            </w:r>
          </w:p>
        </w:tc>
      </w:tr>
      <w:tr>
        <w:trPr>
          <w:trHeight w:val="147" w:hRule="exact"/>
        </w:trPr>
        <w:tc>
          <w:tcPr>
            <w:tcW w:w="8821" w:type="dxa"/>
            <w:gridSpan w:val="7"/>
            <w:tcBorders>
              <w:left w:val="single" w:sz="4" w:space="0" w:color="000000"/>
              <w:right w:val="single" w:sz="8" w:space="0" w:color="000000"/>
            </w:tcBorders>
          </w:tcPr>
          <w:p>
            <w:pPr/>
          </w:p>
        </w:tc>
      </w:tr>
      <w:tr>
        <w:trPr>
          <w:trHeight w:val="165" w:hRule="exact"/>
        </w:trPr>
        <w:tc>
          <w:tcPr>
            <w:tcW w:w="619" w:type="dxa"/>
            <w:vMerge w:val="restart"/>
            <w:tcBorders>
              <w:left w:val="single" w:sz="4" w:space="0" w:color="000000"/>
            </w:tcBorders>
          </w:tcPr>
          <w:p>
            <w:pPr/>
          </w:p>
        </w:tc>
        <w:tc>
          <w:tcPr>
            <w:tcW w:w="1863" w:type="dxa"/>
            <w:vMerge w:val="restart"/>
          </w:tcPr>
          <w:p>
            <w:pPr>
              <w:pStyle w:val="TableParagraph"/>
              <w:spacing w:before="80"/>
              <w:ind w:left="91"/>
              <w:jc w:val="left"/>
              <w:rPr>
                <w:rFonts w:ascii="Calibri"/>
                <w:sz w:val="12"/>
              </w:rPr>
            </w:pPr>
            <w:r>
              <w:rPr>
                <w:rFonts w:ascii="Calibri"/>
                <w:w w:val="105"/>
                <w:sz w:val="12"/>
              </w:rPr>
              <w:t>Vivienda</w:t>
            </w:r>
          </w:p>
        </w:tc>
        <w:tc>
          <w:tcPr>
            <w:tcW w:w="2562" w:type="dxa"/>
            <w:vMerge w:val="restart"/>
          </w:tcPr>
          <w:p>
            <w:pPr>
              <w:pStyle w:val="TableParagraph"/>
              <w:spacing w:line="259" w:lineRule="auto" w:before="6"/>
              <w:ind w:left="332" w:right="1603"/>
              <w:jc w:val="left"/>
              <w:rPr>
                <w:rFonts w:ascii="Calibri"/>
                <w:sz w:val="12"/>
              </w:rPr>
            </w:pPr>
            <w:r>
              <w:rPr>
                <w:rFonts w:ascii="Calibri"/>
                <w:w w:val="105"/>
                <w:sz w:val="12"/>
              </w:rPr>
              <w:t>Autorizadas Tipo</w:t>
            </w:r>
          </w:p>
        </w:tc>
        <w:tc>
          <w:tcPr>
            <w:tcW w:w="1522" w:type="dxa"/>
            <w:vMerge w:val="restart"/>
          </w:tcPr>
          <w:p>
            <w:pPr>
              <w:pStyle w:val="TableParagraph"/>
              <w:spacing w:before="6"/>
              <w:ind w:left="957"/>
              <w:jc w:val="left"/>
              <w:rPr>
                <w:rFonts w:ascii="Calibri"/>
                <w:sz w:val="12"/>
              </w:rPr>
            </w:pPr>
            <w:r>
              <w:rPr>
                <w:rFonts w:ascii="Calibri"/>
                <w:w w:val="105"/>
                <w:sz w:val="12"/>
              </w:rPr>
              <w:t>1</w:t>
            </w:r>
          </w:p>
          <w:p>
            <w:pPr>
              <w:pStyle w:val="TableParagraph"/>
              <w:spacing w:before="11"/>
              <w:ind w:left="905"/>
              <w:jc w:val="left"/>
              <w:rPr>
                <w:rFonts w:ascii="Calibri"/>
                <w:sz w:val="12"/>
              </w:rPr>
            </w:pPr>
            <w:r>
              <w:rPr>
                <w:rFonts w:ascii="Calibri"/>
                <w:w w:val="105"/>
                <w:sz w:val="12"/>
              </w:rPr>
              <w:t>0.5</w:t>
            </w:r>
          </w:p>
        </w:tc>
        <w:tc>
          <w:tcPr>
            <w:tcW w:w="887" w:type="dxa"/>
            <w:vMerge w:val="restart"/>
          </w:tcPr>
          <w:p>
            <w:pPr/>
          </w:p>
        </w:tc>
        <w:tc>
          <w:tcPr>
            <w:tcW w:w="685" w:type="dxa"/>
            <w:vMerge w:val="restart"/>
          </w:tcPr>
          <w:p>
            <w:pPr>
              <w:pStyle w:val="TableParagraph"/>
              <w:spacing w:before="6"/>
              <w:ind w:left="10"/>
              <w:rPr>
                <w:rFonts w:ascii="Calibri"/>
                <w:sz w:val="12"/>
              </w:rPr>
            </w:pPr>
            <w:r>
              <w:rPr>
                <w:rFonts w:ascii="Calibri"/>
                <w:w w:val="105"/>
                <w:sz w:val="12"/>
              </w:rPr>
              <w:t>1</w:t>
            </w:r>
          </w:p>
          <w:p>
            <w:pPr>
              <w:pStyle w:val="TableParagraph"/>
              <w:spacing w:before="11"/>
              <w:ind w:left="210" w:right="209"/>
              <w:rPr>
                <w:rFonts w:ascii="Calibri"/>
                <w:sz w:val="12"/>
              </w:rPr>
            </w:pPr>
            <w:r>
              <w:rPr>
                <w:rFonts w:ascii="Calibri"/>
                <w:w w:val="105"/>
                <w:sz w:val="12"/>
              </w:rPr>
              <w:t>0.5</w:t>
            </w:r>
          </w:p>
        </w:tc>
        <w:tc>
          <w:tcPr>
            <w:tcW w:w="683" w:type="dxa"/>
            <w:tcBorders>
              <w:right w:val="single" w:sz="8" w:space="0" w:color="000000"/>
            </w:tcBorders>
            <w:shd w:val="clear" w:color="auto" w:fill="67ED4D"/>
          </w:tcPr>
          <w:p>
            <w:pPr>
              <w:pStyle w:val="TableParagraph"/>
              <w:spacing w:before="6"/>
              <w:ind w:left="21"/>
              <w:rPr>
                <w:rFonts w:ascii="Calibri"/>
                <w:sz w:val="12"/>
              </w:rPr>
            </w:pPr>
            <w:r>
              <w:rPr>
                <w:rFonts w:ascii="Calibri"/>
                <w:w w:val="105"/>
                <w:sz w:val="12"/>
              </w:rPr>
              <w:t>1</w:t>
            </w:r>
          </w:p>
        </w:tc>
      </w:tr>
      <w:tr>
        <w:trPr>
          <w:trHeight w:val="158" w:hRule="exact"/>
        </w:trPr>
        <w:tc>
          <w:tcPr>
            <w:tcW w:w="619" w:type="dxa"/>
            <w:vMerge/>
            <w:tcBorders>
              <w:left w:val="single" w:sz="4" w:space="0" w:color="000000"/>
            </w:tcBorders>
          </w:tcPr>
          <w:p>
            <w:pPr/>
          </w:p>
        </w:tc>
        <w:tc>
          <w:tcPr>
            <w:tcW w:w="1863" w:type="dxa"/>
            <w:vMerge/>
          </w:tcPr>
          <w:p>
            <w:pPr/>
          </w:p>
        </w:tc>
        <w:tc>
          <w:tcPr>
            <w:tcW w:w="2562" w:type="dxa"/>
            <w:vMerge/>
          </w:tcPr>
          <w:p>
            <w:pPr/>
          </w:p>
        </w:tc>
        <w:tc>
          <w:tcPr>
            <w:tcW w:w="1522" w:type="dxa"/>
            <w:vMerge/>
          </w:tcPr>
          <w:p>
            <w:pPr/>
          </w:p>
        </w:tc>
        <w:tc>
          <w:tcPr>
            <w:tcW w:w="887" w:type="dxa"/>
            <w:vMerge/>
          </w:tcPr>
          <w:p>
            <w:pPr/>
          </w:p>
        </w:tc>
        <w:tc>
          <w:tcPr>
            <w:tcW w:w="685" w:type="dxa"/>
            <w:vMerge/>
          </w:tcPr>
          <w:p>
            <w:pP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62" w:hRule="exact"/>
        </w:trPr>
        <w:tc>
          <w:tcPr>
            <w:tcW w:w="619" w:type="dxa"/>
            <w:vMerge/>
            <w:tcBorders>
              <w:left w:val="single" w:sz="4" w:space="0" w:color="000000"/>
            </w:tcBorders>
          </w:tcPr>
          <w:p>
            <w:pPr/>
          </w:p>
        </w:tc>
        <w:tc>
          <w:tcPr>
            <w:tcW w:w="1863" w:type="dxa"/>
          </w:tcPr>
          <w:p>
            <w:pPr/>
          </w:p>
        </w:tc>
        <w:tc>
          <w:tcPr>
            <w:tcW w:w="2562" w:type="dxa"/>
          </w:tcPr>
          <w:p>
            <w:pPr/>
          </w:p>
        </w:tc>
        <w:tc>
          <w:tcPr>
            <w:tcW w:w="1522" w:type="dxa"/>
          </w:tcPr>
          <w:p>
            <w:pPr>
              <w:pStyle w:val="TableParagraph"/>
              <w:spacing w:before="1"/>
              <w:ind w:right="320"/>
              <w:jc w:val="right"/>
              <w:rPr>
                <w:rFonts w:ascii="Calibri"/>
                <w:sz w:val="12"/>
              </w:rPr>
            </w:pPr>
            <w:r>
              <w:rPr>
                <w:rFonts w:ascii="Calibri"/>
                <w:w w:val="105"/>
                <w:sz w:val="12"/>
              </w:rPr>
              <w:t>Subtotal</w:t>
            </w:r>
          </w:p>
        </w:tc>
        <w:tc>
          <w:tcPr>
            <w:tcW w:w="887" w:type="dxa"/>
          </w:tcPr>
          <w:p>
            <w:pPr>
              <w:pStyle w:val="TableParagraph"/>
              <w:tabs>
                <w:tab w:pos="466"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1.5</w:t>
            </w:r>
            <w:r>
              <w:rPr>
                <w:rFonts w:ascii="Calibri"/>
                <w:sz w:val="12"/>
                <w:shd w:fill="F79646" w:color="auto" w:val="clear"/>
              </w:rPr>
              <w:tab/>
            </w:r>
          </w:p>
        </w:tc>
        <w:tc>
          <w:tcPr>
            <w:tcW w:w="685" w:type="dxa"/>
          </w:tcPr>
          <w:p>
            <w:pPr>
              <w:pStyle w:val="TableParagraph"/>
              <w:spacing w:before="1"/>
              <w:ind w:left="210" w:right="209"/>
              <w:rPr>
                <w:rFonts w:ascii="Calibri"/>
                <w:sz w:val="12"/>
              </w:rPr>
            </w:pPr>
            <w:r>
              <w:rPr>
                <w:rFonts w:ascii="Calibri"/>
                <w:w w:val="105"/>
                <w:sz w:val="12"/>
              </w:rPr>
              <w:t>1.5</w:t>
            </w: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2</w:t>
            </w:r>
          </w:p>
        </w:tc>
      </w:tr>
      <w:tr>
        <w:trPr>
          <w:trHeight w:val="147" w:hRule="exact"/>
        </w:trPr>
        <w:tc>
          <w:tcPr>
            <w:tcW w:w="8821" w:type="dxa"/>
            <w:gridSpan w:val="7"/>
            <w:tcBorders>
              <w:left w:val="single" w:sz="4" w:space="0" w:color="000000"/>
              <w:right w:val="single" w:sz="8" w:space="0" w:color="000000"/>
            </w:tcBorders>
          </w:tcPr>
          <w:p>
            <w:pPr/>
          </w:p>
        </w:tc>
      </w:tr>
      <w:tr>
        <w:trPr>
          <w:trHeight w:val="165" w:hRule="exact"/>
        </w:trPr>
        <w:tc>
          <w:tcPr>
            <w:tcW w:w="619" w:type="dxa"/>
            <w:vMerge w:val="restart"/>
            <w:tcBorders>
              <w:left w:val="single" w:sz="4" w:space="0" w:color="000000"/>
            </w:tcBorders>
          </w:tcPr>
          <w:p>
            <w:pPr/>
          </w:p>
        </w:tc>
        <w:tc>
          <w:tcPr>
            <w:tcW w:w="1863" w:type="dxa"/>
            <w:vMerge w:val="restart"/>
          </w:tcPr>
          <w:p>
            <w:pPr>
              <w:pStyle w:val="TableParagraph"/>
              <w:spacing w:before="80"/>
              <w:ind w:left="91"/>
              <w:jc w:val="left"/>
              <w:rPr>
                <w:rFonts w:ascii="Calibri" w:hAnsi="Calibri"/>
                <w:sz w:val="12"/>
              </w:rPr>
            </w:pPr>
            <w:r>
              <w:rPr>
                <w:rFonts w:ascii="Calibri" w:hAnsi="Calibri"/>
                <w:w w:val="105"/>
                <w:sz w:val="12"/>
              </w:rPr>
              <w:t>Municipalización</w:t>
            </w:r>
          </w:p>
        </w:tc>
        <w:tc>
          <w:tcPr>
            <w:tcW w:w="2562" w:type="dxa"/>
            <w:vMerge w:val="restart"/>
          </w:tcPr>
          <w:p>
            <w:pPr>
              <w:pStyle w:val="TableParagraph"/>
              <w:spacing w:line="259" w:lineRule="auto" w:before="6"/>
              <w:ind w:left="332" w:right="1869"/>
              <w:jc w:val="left"/>
              <w:rPr>
                <w:rFonts w:ascii="Calibri"/>
                <w:sz w:val="12"/>
              </w:rPr>
            </w:pPr>
            <w:r>
              <w:rPr>
                <w:rFonts w:ascii="Calibri"/>
                <w:w w:val="105"/>
                <w:sz w:val="12"/>
              </w:rPr>
              <w:t>Parcial Total</w:t>
            </w:r>
          </w:p>
        </w:tc>
        <w:tc>
          <w:tcPr>
            <w:tcW w:w="1522" w:type="dxa"/>
            <w:vMerge w:val="restart"/>
          </w:tcPr>
          <w:p>
            <w:pPr>
              <w:pStyle w:val="TableParagraph"/>
              <w:spacing w:before="6"/>
              <w:ind w:left="905"/>
              <w:jc w:val="left"/>
              <w:rPr>
                <w:rFonts w:ascii="Calibri"/>
                <w:sz w:val="12"/>
              </w:rPr>
            </w:pPr>
            <w:r>
              <w:rPr>
                <w:rFonts w:ascii="Calibri"/>
                <w:w w:val="105"/>
                <w:sz w:val="12"/>
              </w:rPr>
              <w:t>0.5</w:t>
            </w:r>
          </w:p>
          <w:p>
            <w:pPr>
              <w:pStyle w:val="TableParagraph"/>
              <w:spacing w:before="11"/>
              <w:ind w:left="957"/>
              <w:jc w:val="left"/>
              <w:rPr>
                <w:rFonts w:ascii="Calibri"/>
                <w:sz w:val="12"/>
              </w:rPr>
            </w:pPr>
            <w:r>
              <w:rPr>
                <w:rFonts w:ascii="Calibri"/>
                <w:w w:val="105"/>
                <w:sz w:val="12"/>
              </w:rPr>
              <w:t>0</w:t>
            </w:r>
          </w:p>
        </w:tc>
        <w:tc>
          <w:tcPr>
            <w:tcW w:w="887" w:type="dxa"/>
            <w:vMerge w:val="restart"/>
          </w:tcPr>
          <w:p>
            <w:pPr/>
          </w:p>
        </w:tc>
        <w:tc>
          <w:tcPr>
            <w:tcW w:w="685" w:type="dxa"/>
            <w:vMerge w:val="restart"/>
          </w:tcPr>
          <w:p>
            <w:pPr>
              <w:pStyle w:val="TableParagraph"/>
              <w:spacing w:before="6"/>
              <w:ind w:left="210" w:right="209"/>
              <w:rPr>
                <w:rFonts w:ascii="Calibri"/>
                <w:sz w:val="12"/>
              </w:rPr>
            </w:pPr>
            <w:r>
              <w:rPr>
                <w:rFonts w:ascii="Calibri"/>
                <w:w w:val="105"/>
                <w:sz w:val="12"/>
              </w:rPr>
              <w:t>0.5</w:t>
            </w:r>
          </w:p>
          <w:p>
            <w:pPr>
              <w:pStyle w:val="TableParagraph"/>
              <w:spacing w:before="11"/>
              <w:ind w:left="210" w:right="209"/>
              <w:rPr>
                <w:rFonts w:ascii="Calibri"/>
                <w:sz w:val="12"/>
              </w:rPr>
            </w:pPr>
            <w:r>
              <w:rPr>
                <w:rFonts w:ascii="Calibri"/>
                <w:w w:val="105"/>
                <w:sz w:val="12"/>
              </w:rPr>
              <w:t>0.5</w:t>
            </w:r>
          </w:p>
        </w:tc>
        <w:tc>
          <w:tcPr>
            <w:tcW w:w="683" w:type="dxa"/>
            <w:tcBorders>
              <w:right w:val="single" w:sz="8" w:space="0" w:color="000000"/>
            </w:tcBorders>
            <w:shd w:val="clear" w:color="auto" w:fill="67ED4D"/>
          </w:tcPr>
          <w:p>
            <w:pPr>
              <w:pStyle w:val="TableParagraph"/>
              <w:spacing w:before="6"/>
              <w:ind w:left="21"/>
              <w:rPr>
                <w:rFonts w:ascii="Calibri"/>
                <w:sz w:val="12"/>
              </w:rPr>
            </w:pPr>
            <w:r>
              <w:rPr>
                <w:rFonts w:ascii="Calibri"/>
                <w:w w:val="105"/>
                <w:sz w:val="12"/>
              </w:rPr>
              <w:t>1</w:t>
            </w:r>
          </w:p>
        </w:tc>
      </w:tr>
      <w:tr>
        <w:trPr>
          <w:trHeight w:val="158" w:hRule="exact"/>
        </w:trPr>
        <w:tc>
          <w:tcPr>
            <w:tcW w:w="619" w:type="dxa"/>
            <w:vMerge/>
            <w:tcBorders>
              <w:left w:val="single" w:sz="4" w:space="0" w:color="000000"/>
            </w:tcBorders>
          </w:tcPr>
          <w:p>
            <w:pPr/>
          </w:p>
        </w:tc>
        <w:tc>
          <w:tcPr>
            <w:tcW w:w="1863" w:type="dxa"/>
            <w:vMerge/>
          </w:tcPr>
          <w:p>
            <w:pPr/>
          </w:p>
        </w:tc>
        <w:tc>
          <w:tcPr>
            <w:tcW w:w="2562" w:type="dxa"/>
            <w:vMerge/>
          </w:tcPr>
          <w:p>
            <w:pPr/>
          </w:p>
        </w:tc>
        <w:tc>
          <w:tcPr>
            <w:tcW w:w="1522" w:type="dxa"/>
            <w:vMerge/>
          </w:tcPr>
          <w:p>
            <w:pPr/>
          </w:p>
        </w:tc>
        <w:tc>
          <w:tcPr>
            <w:tcW w:w="887" w:type="dxa"/>
            <w:vMerge/>
          </w:tcPr>
          <w:p>
            <w:pPr/>
          </w:p>
        </w:tc>
        <w:tc>
          <w:tcPr>
            <w:tcW w:w="685" w:type="dxa"/>
            <w:vMerge/>
          </w:tcPr>
          <w:p>
            <w:pP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62" w:hRule="exact"/>
        </w:trPr>
        <w:tc>
          <w:tcPr>
            <w:tcW w:w="619" w:type="dxa"/>
            <w:vMerge/>
            <w:tcBorders>
              <w:left w:val="single" w:sz="4" w:space="0" w:color="000000"/>
            </w:tcBorders>
          </w:tcPr>
          <w:p>
            <w:pPr/>
          </w:p>
        </w:tc>
        <w:tc>
          <w:tcPr>
            <w:tcW w:w="1863" w:type="dxa"/>
          </w:tcPr>
          <w:p>
            <w:pPr/>
          </w:p>
        </w:tc>
        <w:tc>
          <w:tcPr>
            <w:tcW w:w="2562" w:type="dxa"/>
          </w:tcPr>
          <w:p>
            <w:pPr/>
          </w:p>
        </w:tc>
        <w:tc>
          <w:tcPr>
            <w:tcW w:w="1522" w:type="dxa"/>
          </w:tcPr>
          <w:p>
            <w:pPr>
              <w:pStyle w:val="TableParagraph"/>
              <w:spacing w:before="1"/>
              <w:ind w:right="320"/>
              <w:jc w:val="right"/>
              <w:rPr>
                <w:rFonts w:ascii="Calibri"/>
                <w:sz w:val="12"/>
              </w:rPr>
            </w:pPr>
            <w:r>
              <w:rPr>
                <w:rFonts w:ascii="Calibri"/>
                <w:w w:val="105"/>
                <w:sz w:val="12"/>
              </w:rPr>
              <w:t>Subtotal</w:t>
            </w:r>
          </w:p>
        </w:tc>
        <w:tc>
          <w:tcPr>
            <w:tcW w:w="887" w:type="dxa"/>
          </w:tcPr>
          <w:p>
            <w:pPr>
              <w:pStyle w:val="TableParagraph"/>
              <w:tabs>
                <w:tab w:pos="466"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0.5</w:t>
            </w:r>
            <w:r>
              <w:rPr>
                <w:rFonts w:ascii="Calibri"/>
                <w:sz w:val="12"/>
                <w:shd w:fill="F79646" w:color="auto" w:val="clear"/>
              </w:rPr>
              <w:tab/>
            </w:r>
          </w:p>
        </w:tc>
        <w:tc>
          <w:tcPr>
            <w:tcW w:w="685" w:type="dxa"/>
          </w:tcPr>
          <w:p>
            <w:pPr>
              <w:pStyle w:val="TableParagraph"/>
              <w:spacing w:before="1"/>
              <w:ind w:left="10"/>
              <w:rPr>
                <w:rFonts w:ascii="Calibri"/>
                <w:sz w:val="12"/>
              </w:rPr>
            </w:pPr>
            <w:r>
              <w:rPr>
                <w:rFonts w:ascii="Calibri"/>
                <w:w w:val="105"/>
                <w:sz w:val="12"/>
              </w:rPr>
              <w:t>1</w:t>
            </w: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2</w:t>
            </w:r>
          </w:p>
        </w:tc>
      </w:tr>
      <w:tr>
        <w:trPr>
          <w:trHeight w:val="147" w:hRule="exact"/>
        </w:trPr>
        <w:tc>
          <w:tcPr>
            <w:tcW w:w="8821" w:type="dxa"/>
            <w:gridSpan w:val="7"/>
            <w:tcBorders>
              <w:left w:val="single" w:sz="4" w:space="0" w:color="000000"/>
              <w:right w:val="single" w:sz="8" w:space="0" w:color="000000"/>
            </w:tcBorders>
          </w:tcPr>
          <w:p>
            <w:pPr/>
          </w:p>
        </w:tc>
      </w:tr>
      <w:tr>
        <w:trPr>
          <w:trHeight w:val="165" w:hRule="exact"/>
        </w:trPr>
        <w:tc>
          <w:tcPr>
            <w:tcW w:w="619" w:type="dxa"/>
            <w:vMerge w:val="restart"/>
            <w:tcBorders>
              <w:left w:val="single" w:sz="4" w:space="0" w:color="000000"/>
            </w:tcBorders>
          </w:tcPr>
          <w:p>
            <w:pPr/>
          </w:p>
        </w:tc>
        <w:tc>
          <w:tcPr>
            <w:tcW w:w="1863" w:type="dxa"/>
            <w:vMerge w:val="restart"/>
          </w:tcPr>
          <w:p>
            <w:pPr>
              <w:pStyle w:val="TableParagraph"/>
              <w:spacing w:before="80"/>
              <w:ind w:left="91"/>
              <w:jc w:val="left"/>
              <w:rPr>
                <w:rFonts w:ascii="Calibri"/>
                <w:sz w:val="12"/>
              </w:rPr>
            </w:pPr>
            <w:r>
              <w:rPr>
                <w:rFonts w:ascii="Calibri"/>
                <w:w w:val="105"/>
                <w:sz w:val="12"/>
              </w:rPr>
              <w:t>Infraestrutura utilizada</w:t>
            </w:r>
          </w:p>
        </w:tc>
        <w:tc>
          <w:tcPr>
            <w:tcW w:w="2562" w:type="dxa"/>
            <w:vMerge w:val="restart"/>
          </w:tcPr>
          <w:p>
            <w:pPr>
              <w:pStyle w:val="TableParagraph"/>
              <w:spacing w:line="259" w:lineRule="auto" w:before="6"/>
              <w:ind w:left="332" w:right="1686"/>
              <w:jc w:val="left"/>
              <w:rPr>
                <w:rFonts w:ascii="Calibri"/>
                <w:sz w:val="12"/>
              </w:rPr>
            </w:pPr>
            <w:r>
              <w:rPr>
                <w:rFonts w:ascii="Calibri"/>
                <w:w w:val="105"/>
                <w:sz w:val="12"/>
              </w:rPr>
              <w:t>Vialidades Redes</w:t>
            </w:r>
          </w:p>
        </w:tc>
        <w:tc>
          <w:tcPr>
            <w:tcW w:w="1522" w:type="dxa"/>
            <w:vMerge w:val="restart"/>
          </w:tcPr>
          <w:p>
            <w:pPr>
              <w:pStyle w:val="TableParagraph"/>
              <w:spacing w:before="6"/>
              <w:ind w:left="905"/>
              <w:jc w:val="left"/>
              <w:rPr>
                <w:rFonts w:ascii="Calibri"/>
                <w:sz w:val="12"/>
              </w:rPr>
            </w:pPr>
            <w:r>
              <w:rPr>
                <w:rFonts w:ascii="Calibri"/>
                <w:w w:val="105"/>
                <w:sz w:val="12"/>
              </w:rPr>
              <w:t>0.5</w:t>
            </w:r>
          </w:p>
          <w:p>
            <w:pPr>
              <w:pStyle w:val="TableParagraph"/>
              <w:spacing w:before="11"/>
              <w:ind w:left="905"/>
              <w:jc w:val="left"/>
              <w:rPr>
                <w:rFonts w:ascii="Calibri"/>
                <w:sz w:val="12"/>
              </w:rPr>
            </w:pPr>
            <w:r>
              <w:rPr>
                <w:rFonts w:ascii="Calibri"/>
                <w:w w:val="105"/>
                <w:sz w:val="12"/>
              </w:rPr>
              <w:t>0.4</w:t>
            </w:r>
          </w:p>
        </w:tc>
        <w:tc>
          <w:tcPr>
            <w:tcW w:w="887" w:type="dxa"/>
            <w:vMerge w:val="restart"/>
          </w:tcPr>
          <w:p>
            <w:pPr/>
          </w:p>
        </w:tc>
        <w:tc>
          <w:tcPr>
            <w:tcW w:w="685" w:type="dxa"/>
            <w:vMerge w:val="restart"/>
          </w:tcPr>
          <w:p>
            <w:pPr>
              <w:pStyle w:val="TableParagraph"/>
              <w:spacing w:before="6"/>
              <w:ind w:left="211" w:right="209"/>
              <w:rPr>
                <w:rFonts w:ascii="Calibri"/>
                <w:sz w:val="12"/>
              </w:rPr>
            </w:pPr>
            <w:r>
              <w:rPr>
                <w:rFonts w:ascii="Calibri"/>
                <w:w w:val="105"/>
                <w:sz w:val="12"/>
              </w:rPr>
              <w:t>0.75</w:t>
            </w:r>
          </w:p>
          <w:p>
            <w:pPr>
              <w:pStyle w:val="TableParagraph"/>
              <w:spacing w:before="11"/>
              <w:ind w:left="210" w:right="209"/>
              <w:rPr>
                <w:rFonts w:ascii="Calibri"/>
                <w:sz w:val="12"/>
              </w:rPr>
            </w:pPr>
            <w:r>
              <w:rPr>
                <w:rFonts w:ascii="Calibri"/>
                <w:w w:val="105"/>
                <w:sz w:val="12"/>
              </w:rPr>
              <w:t>0.8</w:t>
            </w:r>
          </w:p>
        </w:tc>
        <w:tc>
          <w:tcPr>
            <w:tcW w:w="683" w:type="dxa"/>
            <w:tcBorders>
              <w:right w:val="single" w:sz="8" w:space="0" w:color="000000"/>
            </w:tcBorders>
            <w:shd w:val="clear" w:color="auto" w:fill="67ED4D"/>
          </w:tcPr>
          <w:p>
            <w:pPr>
              <w:pStyle w:val="TableParagraph"/>
              <w:spacing w:before="6"/>
              <w:ind w:left="21"/>
              <w:rPr>
                <w:rFonts w:ascii="Calibri"/>
                <w:sz w:val="12"/>
              </w:rPr>
            </w:pPr>
            <w:r>
              <w:rPr>
                <w:rFonts w:ascii="Calibri"/>
                <w:w w:val="105"/>
                <w:sz w:val="12"/>
              </w:rPr>
              <w:t>1</w:t>
            </w:r>
          </w:p>
        </w:tc>
      </w:tr>
      <w:tr>
        <w:trPr>
          <w:trHeight w:val="158" w:hRule="exact"/>
        </w:trPr>
        <w:tc>
          <w:tcPr>
            <w:tcW w:w="619" w:type="dxa"/>
            <w:vMerge/>
            <w:tcBorders>
              <w:left w:val="single" w:sz="4" w:space="0" w:color="000000"/>
            </w:tcBorders>
          </w:tcPr>
          <w:p>
            <w:pPr/>
          </w:p>
        </w:tc>
        <w:tc>
          <w:tcPr>
            <w:tcW w:w="1863" w:type="dxa"/>
            <w:vMerge/>
          </w:tcPr>
          <w:p>
            <w:pPr/>
          </w:p>
        </w:tc>
        <w:tc>
          <w:tcPr>
            <w:tcW w:w="2562" w:type="dxa"/>
            <w:vMerge/>
          </w:tcPr>
          <w:p>
            <w:pPr/>
          </w:p>
        </w:tc>
        <w:tc>
          <w:tcPr>
            <w:tcW w:w="1522" w:type="dxa"/>
            <w:vMerge/>
          </w:tcPr>
          <w:p>
            <w:pPr/>
          </w:p>
        </w:tc>
        <w:tc>
          <w:tcPr>
            <w:tcW w:w="887" w:type="dxa"/>
            <w:vMerge/>
          </w:tcPr>
          <w:p>
            <w:pPr/>
          </w:p>
        </w:tc>
        <w:tc>
          <w:tcPr>
            <w:tcW w:w="685" w:type="dxa"/>
            <w:vMerge/>
          </w:tcPr>
          <w:p>
            <w:pP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62" w:hRule="exact"/>
        </w:trPr>
        <w:tc>
          <w:tcPr>
            <w:tcW w:w="619" w:type="dxa"/>
            <w:vMerge/>
            <w:tcBorders>
              <w:left w:val="single" w:sz="4" w:space="0" w:color="000000"/>
            </w:tcBorders>
          </w:tcPr>
          <w:p>
            <w:pPr/>
          </w:p>
        </w:tc>
        <w:tc>
          <w:tcPr>
            <w:tcW w:w="1863" w:type="dxa"/>
          </w:tcPr>
          <w:p>
            <w:pPr/>
          </w:p>
        </w:tc>
        <w:tc>
          <w:tcPr>
            <w:tcW w:w="2562" w:type="dxa"/>
          </w:tcPr>
          <w:p>
            <w:pPr/>
          </w:p>
        </w:tc>
        <w:tc>
          <w:tcPr>
            <w:tcW w:w="1522" w:type="dxa"/>
          </w:tcPr>
          <w:p>
            <w:pPr>
              <w:pStyle w:val="TableParagraph"/>
              <w:spacing w:before="1"/>
              <w:ind w:right="320"/>
              <w:jc w:val="right"/>
              <w:rPr>
                <w:rFonts w:ascii="Calibri"/>
                <w:sz w:val="12"/>
              </w:rPr>
            </w:pPr>
            <w:r>
              <w:rPr>
                <w:rFonts w:ascii="Calibri"/>
                <w:w w:val="105"/>
                <w:sz w:val="12"/>
              </w:rPr>
              <w:t>Subtotal</w:t>
            </w:r>
          </w:p>
        </w:tc>
        <w:tc>
          <w:tcPr>
            <w:tcW w:w="887" w:type="dxa"/>
          </w:tcPr>
          <w:p>
            <w:pPr>
              <w:pStyle w:val="TableParagraph"/>
              <w:tabs>
                <w:tab w:pos="466"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0.9</w:t>
            </w:r>
            <w:r>
              <w:rPr>
                <w:rFonts w:ascii="Calibri"/>
                <w:sz w:val="12"/>
                <w:shd w:fill="F79646" w:color="auto" w:val="clear"/>
              </w:rPr>
              <w:tab/>
            </w:r>
          </w:p>
        </w:tc>
        <w:tc>
          <w:tcPr>
            <w:tcW w:w="685" w:type="dxa"/>
          </w:tcPr>
          <w:p>
            <w:pPr>
              <w:pStyle w:val="TableParagraph"/>
              <w:spacing w:before="1"/>
              <w:ind w:left="211" w:right="209"/>
              <w:rPr>
                <w:rFonts w:ascii="Calibri"/>
                <w:sz w:val="12"/>
              </w:rPr>
            </w:pPr>
            <w:r>
              <w:rPr>
                <w:rFonts w:ascii="Calibri"/>
                <w:w w:val="105"/>
                <w:sz w:val="12"/>
              </w:rPr>
              <w:t>1.55</w:t>
            </w: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2</w:t>
            </w:r>
          </w:p>
        </w:tc>
      </w:tr>
      <w:tr>
        <w:trPr>
          <w:trHeight w:val="305" w:hRule="exact"/>
        </w:trPr>
        <w:tc>
          <w:tcPr>
            <w:tcW w:w="8821" w:type="dxa"/>
            <w:gridSpan w:val="7"/>
            <w:tcBorders>
              <w:left w:val="single" w:sz="4" w:space="0" w:color="000000"/>
              <w:right w:val="single" w:sz="8" w:space="0" w:color="000000"/>
            </w:tcBorders>
          </w:tcPr>
          <w:p>
            <w:pPr>
              <w:pStyle w:val="TableParagraph"/>
              <w:spacing w:before="70"/>
              <w:ind w:left="94"/>
              <w:jc w:val="left"/>
              <w:rPr>
                <w:rFonts w:ascii="Calibri"/>
                <w:sz w:val="12"/>
              </w:rPr>
            </w:pPr>
            <w:r>
              <w:rPr>
                <w:rFonts w:ascii="Calibri"/>
                <w:w w:val="105"/>
                <w:sz w:val="12"/>
              </w:rPr>
              <w:t>Territorio</w:t>
            </w:r>
          </w:p>
        </w:tc>
      </w:tr>
      <w:tr>
        <w:trPr>
          <w:trHeight w:val="321" w:hRule="exact"/>
        </w:trPr>
        <w:tc>
          <w:tcPr>
            <w:tcW w:w="619" w:type="dxa"/>
            <w:tcBorders>
              <w:left w:val="single" w:sz="4" w:space="0" w:color="000000"/>
            </w:tcBorders>
          </w:tcPr>
          <w:p>
            <w:pPr/>
          </w:p>
        </w:tc>
        <w:tc>
          <w:tcPr>
            <w:tcW w:w="1863" w:type="dxa"/>
          </w:tcPr>
          <w:p>
            <w:pPr>
              <w:pStyle w:val="TableParagraph"/>
              <w:spacing w:before="80"/>
              <w:ind w:left="91"/>
              <w:jc w:val="left"/>
              <w:rPr>
                <w:rFonts w:ascii="Calibri"/>
                <w:sz w:val="12"/>
              </w:rPr>
            </w:pPr>
            <w:r>
              <w:rPr>
                <w:rFonts w:ascii="Calibri"/>
                <w:w w:val="105"/>
                <w:sz w:val="12"/>
              </w:rPr>
              <w:t>Infraestructura desarrollada</w:t>
            </w:r>
          </w:p>
        </w:tc>
        <w:tc>
          <w:tcPr>
            <w:tcW w:w="2562" w:type="dxa"/>
          </w:tcPr>
          <w:p>
            <w:pPr>
              <w:pStyle w:val="TableParagraph"/>
              <w:spacing w:line="259" w:lineRule="auto" w:before="6"/>
              <w:ind w:left="332" w:right="1686"/>
              <w:jc w:val="left"/>
              <w:rPr>
                <w:rFonts w:ascii="Calibri"/>
                <w:sz w:val="12"/>
              </w:rPr>
            </w:pPr>
            <w:r>
              <w:rPr>
                <w:rFonts w:ascii="Calibri"/>
                <w:w w:val="105"/>
                <w:sz w:val="12"/>
              </w:rPr>
              <w:t>Vialidades Redes</w:t>
            </w:r>
          </w:p>
        </w:tc>
        <w:tc>
          <w:tcPr>
            <w:tcW w:w="1522" w:type="dxa"/>
          </w:tcPr>
          <w:p>
            <w:pPr>
              <w:pStyle w:val="TableParagraph"/>
              <w:spacing w:before="6"/>
              <w:ind w:left="873"/>
              <w:jc w:val="left"/>
              <w:rPr>
                <w:rFonts w:ascii="Calibri"/>
                <w:sz w:val="12"/>
              </w:rPr>
            </w:pPr>
            <w:r>
              <w:rPr>
                <w:rFonts w:ascii="Calibri"/>
                <w:w w:val="105"/>
                <w:sz w:val="12"/>
              </w:rPr>
              <w:t>0.75</w:t>
            </w:r>
          </w:p>
          <w:p>
            <w:pPr>
              <w:pStyle w:val="TableParagraph"/>
              <w:spacing w:before="11"/>
              <w:ind w:left="873"/>
              <w:jc w:val="left"/>
              <w:rPr>
                <w:rFonts w:ascii="Calibri"/>
                <w:sz w:val="12"/>
              </w:rPr>
            </w:pPr>
            <w:r>
              <w:rPr>
                <w:rFonts w:ascii="Calibri"/>
                <w:w w:val="105"/>
                <w:sz w:val="12"/>
              </w:rPr>
              <w:t>0.66</w:t>
            </w:r>
          </w:p>
        </w:tc>
        <w:tc>
          <w:tcPr>
            <w:tcW w:w="887" w:type="dxa"/>
          </w:tcPr>
          <w:p>
            <w:pPr/>
          </w:p>
        </w:tc>
        <w:tc>
          <w:tcPr>
            <w:tcW w:w="685" w:type="dxa"/>
          </w:tcPr>
          <w:p>
            <w:pPr>
              <w:pStyle w:val="TableParagraph"/>
              <w:spacing w:before="6"/>
              <w:ind w:left="211" w:right="209"/>
              <w:rPr>
                <w:rFonts w:ascii="Calibri"/>
                <w:sz w:val="12"/>
              </w:rPr>
            </w:pPr>
            <w:r>
              <w:rPr>
                <w:rFonts w:ascii="Calibri"/>
                <w:w w:val="105"/>
                <w:sz w:val="12"/>
              </w:rPr>
              <w:t>0.75</w:t>
            </w:r>
          </w:p>
          <w:p>
            <w:pPr>
              <w:pStyle w:val="TableParagraph"/>
              <w:spacing w:before="11"/>
              <w:ind w:left="211" w:right="209"/>
              <w:rPr>
                <w:rFonts w:ascii="Calibri"/>
                <w:sz w:val="12"/>
              </w:rPr>
            </w:pPr>
            <w:r>
              <w:rPr>
                <w:rFonts w:ascii="Calibri"/>
                <w:w w:val="105"/>
                <w:sz w:val="12"/>
              </w:rPr>
              <w:t>0.66</w:t>
            </w:r>
          </w:p>
        </w:tc>
        <w:tc>
          <w:tcPr>
            <w:tcW w:w="683" w:type="dxa"/>
            <w:tcBorders>
              <w:right w:val="single" w:sz="8" w:space="0" w:color="000000"/>
            </w:tcBorders>
            <w:shd w:val="clear" w:color="auto" w:fill="67ED4D"/>
          </w:tcPr>
          <w:p>
            <w:pPr>
              <w:pStyle w:val="TableParagraph"/>
              <w:spacing w:before="6"/>
              <w:ind w:left="21"/>
              <w:rPr>
                <w:rFonts w:ascii="Calibri"/>
                <w:sz w:val="12"/>
              </w:rPr>
            </w:pPr>
            <w:r>
              <w:rPr>
                <w:rFonts w:ascii="Calibri"/>
                <w:w w:val="105"/>
                <w:sz w:val="12"/>
              </w:rPr>
              <w:t>1</w:t>
            </w:r>
          </w:p>
          <w:p>
            <w:pPr>
              <w:pStyle w:val="TableParagraph"/>
              <w:spacing w:before="11"/>
              <w:ind w:left="21"/>
              <w:rPr>
                <w:rFonts w:ascii="Calibri"/>
                <w:sz w:val="12"/>
              </w:rPr>
            </w:pPr>
            <w:r>
              <w:rPr>
                <w:rFonts w:ascii="Calibri"/>
                <w:w w:val="105"/>
                <w:sz w:val="12"/>
              </w:rPr>
              <w:t>1</w:t>
            </w:r>
          </w:p>
        </w:tc>
      </w:tr>
      <w:tr>
        <w:trPr>
          <w:trHeight w:val="163" w:hRule="exact"/>
        </w:trPr>
        <w:tc>
          <w:tcPr>
            <w:tcW w:w="619" w:type="dxa"/>
            <w:tcBorders>
              <w:left w:val="single" w:sz="4" w:space="0" w:color="000000"/>
            </w:tcBorders>
          </w:tcPr>
          <w:p>
            <w:pPr/>
          </w:p>
        </w:tc>
        <w:tc>
          <w:tcPr>
            <w:tcW w:w="1863" w:type="dxa"/>
          </w:tcPr>
          <w:p>
            <w:pPr/>
          </w:p>
        </w:tc>
        <w:tc>
          <w:tcPr>
            <w:tcW w:w="2562" w:type="dxa"/>
          </w:tcPr>
          <w:p>
            <w:pPr/>
          </w:p>
        </w:tc>
        <w:tc>
          <w:tcPr>
            <w:tcW w:w="1522" w:type="dxa"/>
          </w:tcPr>
          <w:p>
            <w:pPr>
              <w:pStyle w:val="TableParagraph"/>
              <w:spacing w:before="1"/>
              <w:ind w:right="320"/>
              <w:jc w:val="right"/>
              <w:rPr>
                <w:rFonts w:ascii="Calibri"/>
                <w:sz w:val="12"/>
              </w:rPr>
            </w:pPr>
            <w:r>
              <w:rPr>
                <w:rFonts w:ascii="Calibri"/>
                <w:w w:val="105"/>
                <w:sz w:val="12"/>
              </w:rPr>
              <w:t>Subtotal</w:t>
            </w:r>
          </w:p>
        </w:tc>
        <w:tc>
          <w:tcPr>
            <w:tcW w:w="887" w:type="dxa"/>
          </w:tcPr>
          <w:p>
            <w:pPr>
              <w:pStyle w:val="TableParagraph"/>
              <w:tabs>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      </w:t>
            </w:r>
            <w:r>
              <w:rPr>
                <w:rFonts w:ascii="Times New Roman"/>
                <w:spacing w:val="-11"/>
                <w:sz w:val="12"/>
                <w:shd w:fill="F79646" w:color="auto" w:val="clear"/>
              </w:rPr>
              <w:t> </w:t>
            </w:r>
            <w:r>
              <w:rPr>
                <w:rFonts w:ascii="Calibri"/>
                <w:w w:val="105"/>
                <w:sz w:val="12"/>
                <w:shd w:fill="F79646" w:color="auto" w:val="clear"/>
              </w:rPr>
              <w:t>1.41</w:t>
            </w:r>
            <w:r>
              <w:rPr>
                <w:rFonts w:ascii="Calibri"/>
                <w:sz w:val="12"/>
                <w:shd w:fill="F79646" w:color="auto" w:val="clear"/>
              </w:rPr>
              <w:tab/>
            </w:r>
          </w:p>
        </w:tc>
        <w:tc>
          <w:tcPr>
            <w:tcW w:w="685" w:type="dxa"/>
          </w:tcPr>
          <w:p>
            <w:pPr>
              <w:pStyle w:val="TableParagraph"/>
              <w:spacing w:before="1"/>
              <w:ind w:left="211" w:right="209"/>
              <w:rPr>
                <w:rFonts w:ascii="Calibri"/>
                <w:sz w:val="12"/>
              </w:rPr>
            </w:pPr>
            <w:r>
              <w:rPr>
                <w:rFonts w:ascii="Calibri"/>
                <w:w w:val="105"/>
                <w:sz w:val="12"/>
              </w:rPr>
              <w:t>1.41</w:t>
            </w:r>
          </w:p>
        </w:tc>
        <w:tc>
          <w:tcPr>
            <w:tcW w:w="683" w:type="dxa"/>
            <w:tcBorders>
              <w:right w:val="single" w:sz="8" w:space="0" w:color="000000"/>
            </w:tcBorders>
            <w:shd w:val="clear" w:color="auto" w:fill="67ED4D"/>
          </w:tcPr>
          <w:p>
            <w:pPr>
              <w:pStyle w:val="TableParagraph"/>
              <w:spacing w:before="1"/>
              <w:ind w:left="21"/>
              <w:rPr>
                <w:rFonts w:ascii="Calibri"/>
                <w:sz w:val="12"/>
              </w:rPr>
            </w:pPr>
            <w:r>
              <w:rPr>
                <w:rFonts w:ascii="Calibri"/>
                <w:w w:val="105"/>
                <w:sz w:val="12"/>
              </w:rPr>
              <w:t>2</w:t>
            </w:r>
          </w:p>
        </w:tc>
      </w:tr>
      <w:tr>
        <w:trPr>
          <w:trHeight w:val="147" w:hRule="exact"/>
        </w:trPr>
        <w:tc>
          <w:tcPr>
            <w:tcW w:w="8821" w:type="dxa"/>
            <w:gridSpan w:val="7"/>
            <w:tcBorders>
              <w:left w:val="single" w:sz="4" w:space="0" w:color="000000"/>
              <w:right w:val="single" w:sz="8" w:space="0" w:color="000000"/>
            </w:tcBorders>
          </w:tcPr>
          <w:p>
            <w:pPr/>
          </w:p>
        </w:tc>
      </w:tr>
      <w:tr>
        <w:trPr>
          <w:trHeight w:val="321" w:hRule="exact"/>
        </w:trPr>
        <w:tc>
          <w:tcPr>
            <w:tcW w:w="619" w:type="dxa"/>
            <w:tcBorders>
              <w:left w:val="single" w:sz="4" w:space="0" w:color="000000"/>
            </w:tcBorders>
          </w:tcPr>
          <w:p>
            <w:pPr/>
          </w:p>
        </w:tc>
        <w:tc>
          <w:tcPr>
            <w:tcW w:w="1863" w:type="dxa"/>
          </w:tcPr>
          <w:p>
            <w:pPr>
              <w:pStyle w:val="TableParagraph"/>
              <w:spacing w:before="80"/>
              <w:ind w:left="91"/>
              <w:jc w:val="left"/>
              <w:rPr>
                <w:rFonts w:ascii="Calibri"/>
                <w:sz w:val="12"/>
              </w:rPr>
            </w:pPr>
            <w:r>
              <w:rPr>
                <w:rFonts w:ascii="Calibri"/>
                <w:w w:val="105"/>
                <w:sz w:val="12"/>
              </w:rPr>
              <w:t>Equipamiento desarrollado</w:t>
            </w:r>
          </w:p>
        </w:tc>
        <w:tc>
          <w:tcPr>
            <w:tcW w:w="2562" w:type="dxa"/>
          </w:tcPr>
          <w:p>
            <w:pPr>
              <w:pStyle w:val="TableParagraph"/>
              <w:spacing w:line="259" w:lineRule="auto" w:before="6"/>
              <w:ind w:left="332" w:right="1703"/>
              <w:jc w:val="left"/>
              <w:rPr>
                <w:rFonts w:ascii="Calibri"/>
                <w:sz w:val="12"/>
              </w:rPr>
            </w:pPr>
            <w:r>
              <w:rPr>
                <w:rFonts w:ascii="Calibri"/>
                <w:w w:val="105"/>
                <w:sz w:val="12"/>
              </w:rPr>
              <w:t>Municipal Estatal</w:t>
            </w:r>
          </w:p>
        </w:tc>
        <w:tc>
          <w:tcPr>
            <w:tcW w:w="1522" w:type="dxa"/>
          </w:tcPr>
          <w:p>
            <w:pPr>
              <w:pStyle w:val="TableParagraph"/>
              <w:spacing w:before="6"/>
              <w:ind w:left="905"/>
              <w:jc w:val="left"/>
              <w:rPr>
                <w:rFonts w:ascii="Calibri"/>
                <w:sz w:val="12"/>
              </w:rPr>
            </w:pPr>
            <w:r>
              <w:rPr>
                <w:rFonts w:ascii="Calibri"/>
                <w:w w:val="105"/>
                <w:sz w:val="12"/>
              </w:rPr>
              <w:t>0.8</w:t>
            </w:r>
          </w:p>
          <w:p>
            <w:pPr>
              <w:pStyle w:val="TableParagraph"/>
              <w:spacing w:before="11"/>
              <w:ind w:left="905"/>
              <w:jc w:val="left"/>
              <w:rPr>
                <w:rFonts w:ascii="Calibri"/>
                <w:sz w:val="12"/>
              </w:rPr>
            </w:pPr>
            <w:r>
              <w:rPr>
                <w:rFonts w:ascii="Calibri"/>
                <w:w w:val="105"/>
                <w:sz w:val="12"/>
              </w:rPr>
              <w:t>0.2</w:t>
            </w:r>
          </w:p>
        </w:tc>
        <w:tc>
          <w:tcPr>
            <w:tcW w:w="887" w:type="dxa"/>
          </w:tcPr>
          <w:p>
            <w:pPr/>
          </w:p>
        </w:tc>
        <w:tc>
          <w:tcPr>
            <w:tcW w:w="685" w:type="dxa"/>
          </w:tcPr>
          <w:p>
            <w:pPr>
              <w:pStyle w:val="TableParagraph"/>
              <w:spacing w:before="6"/>
              <w:ind w:left="210" w:right="209"/>
              <w:rPr>
                <w:rFonts w:ascii="Calibri"/>
                <w:sz w:val="12"/>
              </w:rPr>
            </w:pPr>
            <w:r>
              <w:rPr>
                <w:rFonts w:ascii="Calibri"/>
                <w:w w:val="105"/>
                <w:sz w:val="12"/>
              </w:rPr>
              <w:t>0.8</w:t>
            </w:r>
          </w:p>
          <w:p>
            <w:pPr>
              <w:pStyle w:val="TableParagraph"/>
              <w:spacing w:before="11"/>
              <w:ind w:left="210" w:right="209"/>
              <w:rPr>
                <w:rFonts w:ascii="Calibri"/>
                <w:sz w:val="12"/>
              </w:rPr>
            </w:pPr>
            <w:r>
              <w:rPr>
                <w:rFonts w:ascii="Calibri"/>
                <w:w w:val="105"/>
                <w:sz w:val="12"/>
              </w:rPr>
              <w:t>0.6</w:t>
            </w:r>
          </w:p>
        </w:tc>
        <w:tc>
          <w:tcPr>
            <w:tcW w:w="683" w:type="dxa"/>
            <w:tcBorders>
              <w:right w:val="single" w:sz="8" w:space="0" w:color="000000"/>
            </w:tcBorders>
            <w:shd w:val="clear" w:color="auto" w:fill="67ED4D"/>
          </w:tcPr>
          <w:p>
            <w:pPr>
              <w:pStyle w:val="TableParagraph"/>
              <w:spacing w:before="6"/>
              <w:ind w:left="21"/>
              <w:rPr>
                <w:rFonts w:ascii="Calibri"/>
                <w:sz w:val="12"/>
              </w:rPr>
            </w:pPr>
            <w:r>
              <w:rPr>
                <w:rFonts w:ascii="Calibri"/>
                <w:w w:val="105"/>
                <w:sz w:val="12"/>
              </w:rPr>
              <w:t>1</w:t>
            </w:r>
          </w:p>
          <w:p>
            <w:pPr>
              <w:pStyle w:val="TableParagraph"/>
              <w:spacing w:before="11"/>
              <w:ind w:left="21"/>
              <w:rPr>
                <w:rFonts w:ascii="Calibri"/>
                <w:sz w:val="12"/>
              </w:rPr>
            </w:pPr>
            <w:r>
              <w:rPr>
                <w:rFonts w:ascii="Calibri"/>
                <w:w w:val="105"/>
                <w:sz w:val="12"/>
              </w:rPr>
              <w:t>1</w:t>
            </w:r>
          </w:p>
        </w:tc>
      </w:tr>
      <w:tr>
        <w:trPr>
          <w:trHeight w:val="163" w:hRule="exact"/>
        </w:trPr>
        <w:tc>
          <w:tcPr>
            <w:tcW w:w="619" w:type="dxa"/>
            <w:tcBorders>
              <w:left w:val="single" w:sz="4" w:space="0" w:color="000000"/>
            </w:tcBorders>
          </w:tcPr>
          <w:p>
            <w:pPr/>
          </w:p>
        </w:tc>
        <w:tc>
          <w:tcPr>
            <w:tcW w:w="1863" w:type="dxa"/>
          </w:tcPr>
          <w:p>
            <w:pPr/>
          </w:p>
        </w:tc>
        <w:tc>
          <w:tcPr>
            <w:tcW w:w="2562" w:type="dxa"/>
          </w:tcPr>
          <w:p>
            <w:pPr/>
          </w:p>
        </w:tc>
        <w:tc>
          <w:tcPr>
            <w:tcW w:w="1522" w:type="dxa"/>
          </w:tcPr>
          <w:p>
            <w:pPr>
              <w:pStyle w:val="TableParagraph"/>
              <w:spacing w:before="1"/>
              <w:ind w:right="320"/>
              <w:jc w:val="right"/>
              <w:rPr>
                <w:rFonts w:ascii="Calibri"/>
                <w:sz w:val="12"/>
              </w:rPr>
            </w:pPr>
            <w:r>
              <w:rPr>
                <w:rFonts w:ascii="Calibri"/>
                <w:w w:val="105"/>
                <w:sz w:val="12"/>
              </w:rPr>
              <w:t>Subtotal</w:t>
            </w:r>
          </w:p>
        </w:tc>
        <w:tc>
          <w:tcPr>
            <w:tcW w:w="887" w:type="dxa"/>
          </w:tcPr>
          <w:p>
            <w:pPr>
              <w:pStyle w:val="TableParagraph"/>
              <w:tabs>
                <w:tab w:pos="518"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1</w:t>
            </w:r>
            <w:r>
              <w:rPr>
                <w:rFonts w:ascii="Calibri"/>
                <w:sz w:val="12"/>
                <w:shd w:fill="F79646" w:color="auto" w:val="clear"/>
              </w:rPr>
              <w:tab/>
            </w:r>
          </w:p>
        </w:tc>
        <w:tc>
          <w:tcPr>
            <w:tcW w:w="685" w:type="dxa"/>
          </w:tcPr>
          <w:p>
            <w:pPr>
              <w:pStyle w:val="TableParagraph"/>
              <w:spacing w:before="1"/>
              <w:ind w:left="210" w:right="209"/>
              <w:rPr>
                <w:rFonts w:ascii="Calibri"/>
                <w:sz w:val="12"/>
              </w:rPr>
            </w:pPr>
            <w:r>
              <w:rPr>
                <w:rFonts w:ascii="Calibri"/>
                <w:w w:val="105"/>
                <w:sz w:val="12"/>
              </w:rPr>
              <w:t>1.4</w:t>
            </w:r>
          </w:p>
        </w:tc>
        <w:tc>
          <w:tcPr>
            <w:tcW w:w="683" w:type="dxa"/>
            <w:tcBorders>
              <w:right w:val="single" w:sz="8" w:space="0" w:color="000000"/>
            </w:tcBorders>
            <w:shd w:val="clear" w:color="auto" w:fill="67ED4D"/>
          </w:tcPr>
          <w:p>
            <w:pPr>
              <w:pStyle w:val="TableParagraph"/>
              <w:spacing w:before="1"/>
              <w:ind w:left="21"/>
              <w:rPr>
                <w:rFonts w:ascii="Calibri"/>
                <w:sz w:val="12"/>
              </w:rPr>
            </w:pPr>
            <w:r>
              <w:rPr>
                <w:rFonts w:ascii="Calibri"/>
                <w:w w:val="105"/>
                <w:sz w:val="12"/>
              </w:rPr>
              <w:t>2</w:t>
            </w:r>
          </w:p>
        </w:tc>
      </w:tr>
      <w:tr>
        <w:trPr>
          <w:trHeight w:val="147" w:hRule="exact"/>
        </w:trPr>
        <w:tc>
          <w:tcPr>
            <w:tcW w:w="8821" w:type="dxa"/>
            <w:gridSpan w:val="7"/>
            <w:tcBorders>
              <w:left w:val="single" w:sz="4" w:space="0" w:color="000000"/>
              <w:right w:val="single" w:sz="8" w:space="0" w:color="000000"/>
            </w:tcBorders>
          </w:tcPr>
          <w:p>
            <w:pPr/>
          </w:p>
        </w:tc>
      </w:tr>
      <w:tr>
        <w:trPr>
          <w:trHeight w:val="165" w:hRule="exact"/>
        </w:trPr>
        <w:tc>
          <w:tcPr>
            <w:tcW w:w="619" w:type="dxa"/>
            <w:vMerge w:val="restart"/>
            <w:tcBorders>
              <w:left w:val="single" w:sz="4" w:space="0" w:color="000000"/>
            </w:tcBorders>
          </w:tcPr>
          <w:p>
            <w:pPr/>
          </w:p>
        </w:tc>
        <w:tc>
          <w:tcPr>
            <w:tcW w:w="1863" w:type="dxa"/>
          </w:tcPr>
          <w:p>
            <w:pPr/>
          </w:p>
        </w:tc>
        <w:tc>
          <w:tcPr>
            <w:tcW w:w="2562" w:type="dxa"/>
          </w:tcPr>
          <w:p>
            <w:pPr>
              <w:pStyle w:val="TableParagraph"/>
              <w:spacing w:before="6"/>
              <w:ind w:left="332"/>
              <w:jc w:val="left"/>
              <w:rPr>
                <w:rFonts w:ascii="Calibri" w:hAnsi="Calibri"/>
                <w:sz w:val="12"/>
              </w:rPr>
            </w:pPr>
            <w:r>
              <w:rPr>
                <w:rFonts w:ascii="Calibri" w:hAnsi="Calibri"/>
                <w:w w:val="105"/>
                <w:sz w:val="12"/>
              </w:rPr>
              <w:t>Ubicación del conjunto urbano</w:t>
            </w:r>
          </w:p>
        </w:tc>
        <w:tc>
          <w:tcPr>
            <w:tcW w:w="1522" w:type="dxa"/>
          </w:tcPr>
          <w:p>
            <w:pPr>
              <w:pStyle w:val="TableParagraph"/>
              <w:spacing w:before="6"/>
              <w:ind w:left="905"/>
              <w:jc w:val="left"/>
              <w:rPr>
                <w:rFonts w:ascii="Calibri"/>
                <w:sz w:val="12"/>
              </w:rPr>
            </w:pPr>
            <w:r>
              <w:rPr>
                <w:rFonts w:ascii="Calibri"/>
                <w:w w:val="105"/>
                <w:sz w:val="12"/>
              </w:rPr>
              <w:t>0.4</w:t>
            </w:r>
          </w:p>
        </w:tc>
        <w:tc>
          <w:tcPr>
            <w:tcW w:w="887" w:type="dxa"/>
          </w:tcPr>
          <w:p>
            <w:pPr/>
          </w:p>
        </w:tc>
        <w:tc>
          <w:tcPr>
            <w:tcW w:w="685" w:type="dxa"/>
          </w:tcPr>
          <w:p>
            <w:pPr>
              <w:pStyle w:val="TableParagraph"/>
              <w:spacing w:before="6"/>
              <w:ind w:left="210" w:right="209"/>
              <w:rPr>
                <w:rFonts w:ascii="Calibri"/>
                <w:sz w:val="12"/>
              </w:rPr>
            </w:pPr>
            <w:r>
              <w:rPr>
                <w:rFonts w:ascii="Calibri"/>
                <w:w w:val="105"/>
                <w:sz w:val="12"/>
              </w:rPr>
              <w:t>0.8</w:t>
            </w:r>
          </w:p>
        </w:tc>
        <w:tc>
          <w:tcPr>
            <w:tcW w:w="683" w:type="dxa"/>
            <w:tcBorders>
              <w:right w:val="single" w:sz="8" w:space="0" w:color="000000"/>
            </w:tcBorders>
            <w:shd w:val="clear" w:color="auto" w:fill="67ED4D"/>
          </w:tcPr>
          <w:p>
            <w:pPr>
              <w:pStyle w:val="TableParagraph"/>
              <w:spacing w:before="6"/>
              <w:ind w:left="21"/>
              <w:rPr>
                <w:rFonts w:ascii="Calibri"/>
                <w:sz w:val="12"/>
              </w:rPr>
            </w:pPr>
            <w:r>
              <w:rPr>
                <w:rFonts w:ascii="Calibri"/>
                <w:w w:val="105"/>
                <w:sz w:val="12"/>
              </w:rPr>
              <w:t>1</w:t>
            </w:r>
          </w:p>
        </w:tc>
      </w:tr>
      <w:tr>
        <w:trPr>
          <w:trHeight w:val="158" w:hRule="exact"/>
        </w:trPr>
        <w:tc>
          <w:tcPr>
            <w:tcW w:w="619" w:type="dxa"/>
            <w:vMerge/>
            <w:tcBorders>
              <w:left w:val="single" w:sz="4" w:space="0" w:color="000000"/>
            </w:tcBorders>
          </w:tcPr>
          <w:p>
            <w:pPr/>
          </w:p>
        </w:tc>
        <w:tc>
          <w:tcPr>
            <w:tcW w:w="1863" w:type="dxa"/>
          </w:tcPr>
          <w:p>
            <w:pPr/>
          </w:p>
        </w:tc>
        <w:tc>
          <w:tcPr>
            <w:tcW w:w="2562" w:type="dxa"/>
          </w:tcPr>
          <w:p>
            <w:pPr>
              <w:pStyle w:val="TableParagraph"/>
              <w:ind w:left="332" w:right="1043"/>
              <w:jc w:val="left"/>
              <w:rPr>
                <w:rFonts w:ascii="Calibri"/>
                <w:sz w:val="12"/>
              </w:rPr>
            </w:pPr>
            <w:r>
              <w:rPr>
                <w:rFonts w:ascii="Calibri"/>
                <w:w w:val="105"/>
                <w:sz w:val="12"/>
              </w:rPr>
              <w:t>Abierto</w:t>
            </w:r>
          </w:p>
        </w:tc>
        <w:tc>
          <w:tcPr>
            <w:tcW w:w="1522" w:type="dxa"/>
          </w:tcPr>
          <w:p>
            <w:pPr>
              <w:pStyle w:val="TableParagraph"/>
              <w:ind w:left="905"/>
              <w:jc w:val="left"/>
              <w:rPr>
                <w:rFonts w:ascii="Calibri"/>
                <w:sz w:val="12"/>
              </w:rPr>
            </w:pPr>
            <w:r>
              <w:rPr>
                <w:rFonts w:ascii="Calibri"/>
                <w:w w:val="105"/>
                <w:sz w:val="12"/>
              </w:rPr>
              <w:t>0.5</w:t>
            </w:r>
          </w:p>
        </w:tc>
        <w:tc>
          <w:tcPr>
            <w:tcW w:w="887" w:type="dxa"/>
          </w:tcPr>
          <w:p>
            <w:pPr/>
          </w:p>
        </w:tc>
        <w:tc>
          <w:tcPr>
            <w:tcW w:w="685" w:type="dxa"/>
          </w:tcPr>
          <w:p>
            <w:pPr>
              <w:pStyle w:val="TableParagraph"/>
              <w:ind w:left="10"/>
              <w:rPr>
                <w:rFonts w:ascii="Calibri"/>
                <w:sz w:val="12"/>
              </w:rPr>
            </w:pPr>
            <w:r>
              <w:rPr>
                <w:rFonts w:ascii="Calibri"/>
                <w:w w:val="105"/>
                <w:sz w:val="12"/>
              </w:rPr>
              <w:t>1</w:t>
            </w: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19" w:type="dxa"/>
            <w:vMerge/>
            <w:tcBorders>
              <w:left w:val="single" w:sz="4" w:space="0" w:color="000000"/>
            </w:tcBorders>
          </w:tcPr>
          <w:p>
            <w:pPr/>
          </w:p>
        </w:tc>
        <w:tc>
          <w:tcPr>
            <w:tcW w:w="1863" w:type="dxa"/>
          </w:tcPr>
          <w:p>
            <w:pPr>
              <w:pStyle w:val="TableParagraph"/>
              <w:ind w:left="91"/>
              <w:jc w:val="left"/>
              <w:rPr>
                <w:rFonts w:ascii="Calibri" w:hAnsi="Calibri"/>
                <w:sz w:val="12"/>
              </w:rPr>
            </w:pPr>
            <w:r>
              <w:rPr>
                <w:rFonts w:ascii="Calibri" w:hAnsi="Calibri"/>
                <w:w w:val="105"/>
                <w:sz w:val="12"/>
              </w:rPr>
              <w:t>Integración al territorio</w:t>
            </w:r>
          </w:p>
        </w:tc>
        <w:tc>
          <w:tcPr>
            <w:tcW w:w="2562" w:type="dxa"/>
          </w:tcPr>
          <w:p>
            <w:pPr>
              <w:pStyle w:val="TableParagraph"/>
              <w:ind w:left="332" w:right="1043"/>
              <w:jc w:val="left"/>
              <w:rPr>
                <w:rFonts w:ascii="Calibri" w:hAnsi="Calibri"/>
                <w:sz w:val="12"/>
              </w:rPr>
            </w:pPr>
            <w:r>
              <w:rPr>
                <w:rFonts w:ascii="Calibri" w:hAnsi="Calibri"/>
                <w:w w:val="105"/>
                <w:sz w:val="12"/>
              </w:rPr>
              <w:t>Integración social</w:t>
            </w:r>
          </w:p>
        </w:tc>
        <w:tc>
          <w:tcPr>
            <w:tcW w:w="1522" w:type="dxa"/>
          </w:tcPr>
          <w:p>
            <w:pPr>
              <w:pStyle w:val="TableParagraph"/>
              <w:ind w:left="905"/>
              <w:jc w:val="left"/>
              <w:rPr>
                <w:rFonts w:ascii="Calibri"/>
                <w:sz w:val="12"/>
              </w:rPr>
            </w:pPr>
            <w:r>
              <w:rPr>
                <w:rFonts w:ascii="Calibri"/>
                <w:w w:val="105"/>
                <w:sz w:val="12"/>
              </w:rPr>
              <w:t>0.5</w:t>
            </w:r>
          </w:p>
        </w:tc>
        <w:tc>
          <w:tcPr>
            <w:tcW w:w="887" w:type="dxa"/>
          </w:tcPr>
          <w:p>
            <w:pPr/>
          </w:p>
        </w:tc>
        <w:tc>
          <w:tcPr>
            <w:tcW w:w="685" w:type="dxa"/>
          </w:tcPr>
          <w:p>
            <w:pPr>
              <w:pStyle w:val="TableParagraph"/>
              <w:ind w:left="10"/>
              <w:rPr>
                <w:rFonts w:ascii="Calibri"/>
                <w:sz w:val="12"/>
              </w:rPr>
            </w:pPr>
            <w:r>
              <w:rPr>
                <w:rFonts w:ascii="Calibri"/>
                <w:w w:val="105"/>
                <w:sz w:val="12"/>
              </w:rPr>
              <w:t>1</w:t>
            </w: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19" w:type="dxa"/>
            <w:vMerge/>
            <w:tcBorders>
              <w:left w:val="single" w:sz="4" w:space="0" w:color="000000"/>
            </w:tcBorders>
          </w:tcPr>
          <w:p>
            <w:pPr/>
          </w:p>
        </w:tc>
        <w:tc>
          <w:tcPr>
            <w:tcW w:w="1863" w:type="dxa"/>
          </w:tcPr>
          <w:p>
            <w:pPr/>
          </w:p>
        </w:tc>
        <w:tc>
          <w:tcPr>
            <w:tcW w:w="2562" w:type="dxa"/>
          </w:tcPr>
          <w:p>
            <w:pPr>
              <w:pStyle w:val="TableParagraph"/>
              <w:ind w:left="332" w:right="1043"/>
              <w:jc w:val="left"/>
              <w:rPr>
                <w:rFonts w:ascii="Calibri" w:hAnsi="Calibri"/>
                <w:sz w:val="12"/>
              </w:rPr>
            </w:pPr>
            <w:r>
              <w:rPr>
                <w:rFonts w:ascii="Calibri" w:hAnsi="Calibri"/>
                <w:w w:val="105"/>
                <w:sz w:val="12"/>
              </w:rPr>
              <w:t>Protección civil</w:t>
            </w:r>
          </w:p>
        </w:tc>
        <w:tc>
          <w:tcPr>
            <w:tcW w:w="1522" w:type="dxa"/>
          </w:tcPr>
          <w:p>
            <w:pPr>
              <w:pStyle w:val="TableParagraph"/>
              <w:ind w:left="957"/>
              <w:jc w:val="left"/>
              <w:rPr>
                <w:rFonts w:ascii="Calibri"/>
                <w:sz w:val="12"/>
              </w:rPr>
            </w:pPr>
            <w:r>
              <w:rPr>
                <w:rFonts w:ascii="Calibri"/>
                <w:w w:val="105"/>
                <w:sz w:val="12"/>
              </w:rPr>
              <w:t>0</w:t>
            </w:r>
          </w:p>
        </w:tc>
        <w:tc>
          <w:tcPr>
            <w:tcW w:w="887" w:type="dxa"/>
          </w:tcPr>
          <w:p>
            <w:pPr/>
          </w:p>
        </w:tc>
        <w:tc>
          <w:tcPr>
            <w:tcW w:w="685" w:type="dxa"/>
          </w:tcPr>
          <w:p>
            <w:pPr>
              <w:pStyle w:val="TableParagraph"/>
              <w:ind w:left="10"/>
              <w:rPr>
                <w:rFonts w:ascii="Calibri"/>
                <w:sz w:val="12"/>
              </w:rPr>
            </w:pPr>
            <w:r>
              <w:rPr>
                <w:rFonts w:ascii="Calibri"/>
                <w:w w:val="105"/>
                <w:sz w:val="12"/>
              </w:rPr>
              <w:t>1</w:t>
            </w: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19" w:type="dxa"/>
            <w:vMerge/>
            <w:tcBorders>
              <w:left w:val="single" w:sz="4" w:space="0" w:color="000000"/>
            </w:tcBorders>
          </w:tcPr>
          <w:p>
            <w:pPr/>
          </w:p>
        </w:tc>
        <w:tc>
          <w:tcPr>
            <w:tcW w:w="1863" w:type="dxa"/>
          </w:tcPr>
          <w:p>
            <w:pPr/>
          </w:p>
        </w:tc>
        <w:tc>
          <w:tcPr>
            <w:tcW w:w="2562" w:type="dxa"/>
          </w:tcPr>
          <w:p>
            <w:pPr>
              <w:pStyle w:val="TableParagraph"/>
              <w:ind w:left="332" w:right="1043"/>
              <w:jc w:val="left"/>
              <w:rPr>
                <w:rFonts w:ascii="Calibri"/>
                <w:sz w:val="12"/>
              </w:rPr>
            </w:pPr>
            <w:r>
              <w:rPr>
                <w:rFonts w:ascii="Calibri"/>
                <w:w w:val="105"/>
                <w:sz w:val="12"/>
              </w:rPr>
              <w:t>Seguridad</w:t>
            </w:r>
          </w:p>
        </w:tc>
        <w:tc>
          <w:tcPr>
            <w:tcW w:w="1522" w:type="dxa"/>
          </w:tcPr>
          <w:p>
            <w:pPr>
              <w:pStyle w:val="TableParagraph"/>
              <w:ind w:left="905"/>
              <w:jc w:val="left"/>
              <w:rPr>
                <w:rFonts w:ascii="Calibri"/>
                <w:sz w:val="12"/>
              </w:rPr>
            </w:pPr>
            <w:r>
              <w:rPr>
                <w:rFonts w:ascii="Calibri"/>
                <w:w w:val="105"/>
                <w:sz w:val="12"/>
              </w:rPr>
              <w:t>0.5</w:t>
            </w:r>
          </w:p>
        </w:tc>
        <w:tc>
          <w:tcPr>
            <w:tcW w:w="887" w:type="dxa"/>
          </w:tcPr>
          <w:p>
            <w:pPr/>
          </w:p>
        </w:tc>
        <w:tc>
          <w:tcPr>
            <w:tcW w:w="685" w:type="dxa"/>
          </w:tcPr>
          <w:p>
            <w:pPr>
              <w:pStyle w:val="TableParagraph"/>
              <w:ind w:left="10"/>
              <w:rPr>
                <w:rFonts w:ascii="Calibri"/>
                <w:sz w:val="12"/>
              </w:rPr>
            </w:pPr>
            <w:r>
              <w:rPr>
                <w:rFonts w:ascii="Calibri"/>
                <w:w w:val="105"/>
                <w:sz w:val="12"/>
              </w:rPr>
              <w:t>1</w:t>
            </w: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62" w:hRule="exact"/>
        </w:trPr>
        <w:tc>
          <w:tcPr>
            <w:tcW w:w="619" w:type="dxa"/>
            <w:vMerge/>
            <w:tcBorders>
              <w:left w:val="single" w:sz="4" w:space="0" w:color="000000"/>
            </w:tcBorders>
          </w:tcPr>
          <w:p>
            <w:pPr/>
          </w:p>
        </w:tc>
        <w:tc>
          <w:tcPr>
            <w:tcW w:w="1863" w:type="dxa"/>
          </w:tcPr>
          <w:p>
            <w:pPr/>
          </w:p>
        </w:tc>
        <w:tc>
          <w:tcPr>
            <w:tcW w:w="2562" w:type="dxa"/>
          </w:tcPr>
          <w:p>
            <w:pPr/>
          </w:p>
        </w:tc>
        <w:tc>
          <w:tcPr>
            <w:tcW w:w="1522" w:type="dxa"/>
          </w:tcPr>
          <w:p>
            <w:pPr>
              <w:pStyle w:val="TableParagraph"/>
              <w:spacing w:before="1"/>
              <w:ind w:right="320"/>
              <w:jc w:val="right"/>
              <w:rPr>
                <w:rFonts w:ascii="Calibri"/>
                <w:sz w:val="12"/>
              </w:rPr>
            </w:pPr>
            <w:r>
              <w:rPr>
                <w:rFonts w:ascii="Calibri"/>
                <w:w w:val="105"/>
                <w:sz w:val="12"/>
              </w:rPr>
              <w:t>Subtotal</w:t>
            </w:r>
          </w:p>
        </w:tc>
        <w:tc>
          <w:tcPr>
            <w:tcW w:w="887" w:type="dxa"/>
          </w:tcPr>
          <w:p>
            <w:pPr>
              <w:pStyle w:val="TableParagraph"/>
              <w:tabs>
                <w:tab w:pos="466"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1.9</w:t>
            </w:r>
            <w:r>
              <w:rPr>
                <w:rFonts w:ascii="Calibri"/>
                <w:sz w:val="12"/>
                <w:shd w:fill="F79646" w:color="auto" w:val="clear"/>
              </w:rPr>
              <w:tab/>
            </w:r>
          </w:p>
        </w:tc>
        <w:tc>
          <w:tcPr>
            <w:tcW w:w="685" w:type="dxa"/>
          </w:tcPr>
          <w:p>
            <w:pPr>
              <w:pStyle w:val="TableParagraph"/>
              <w:spacing w:before="1"/>
              <w:ind w:left="210" w:right="209"/>
              <w:rPr>
                <w:rFonts w:ascii="Calibri"/>
                <w:sz w:val="12"/>
              </w:rPr>
            </w:pPr>
            <w:r>
              <w:rPr>
                <w:rFonts w:ascii="Calibri"/>
                <w:w w:val="105"/>
                <w:sz w:val="12"/>
              </w:rPr>
              <w:t>4.8</w:t>
            </w:r>
          </w:p>
        </w:tc>
        <w:tc>
          <w:tcPr>
            <w:tcW w:w="683" w:type="dxa"/>
            <w:tcBorders>
              <w:right w:val="single" w:sz="8" w:space="0" w:color="000000"/>
            </w:tcBorders>
            <w:shd w:val="clear" w:color="auto" w:fill="67ED4D"/>
          </w:tcPr>
          <w:p>
            <w:pPr>
              <w:pStyle w:val="TableParagraph"/>
              <w:ind w:left="21"/>
              <w:rPr>
                <w:rFonts w:ascii="Calibri"/>
                <w:sz w:val="12"/>
              </w:rPr>
            </w:pPr>
            <w:r>
              <w:rPr>
                <w:rFonts w:ascii="Calibri"/>
                <w:w w:val="105"/>
                <w:sz w:val="12"/>
              </w:rPr>
              <w:t>5</w:t>
            </w:r>
          </w:p>
        </w:tc>
      </w:tr>
      <w:tr>
        <w:trPr>
          <w:trHeight w:val="474" w:hRule="exact"/>
        </w:trPr>
        <w:tc>
          <w:tcPr>
            <w:tcW w:w="619" w:type="dxa"/>
            <w:tcBorders>
              <w:left w:val="single" w:sz="4" w:space="0" w:color="000000"/>
              <w:bottom w:val="single" w:sz="8" w:space="0" w:color="000000"/>
            </w:tcBorders>
          </w:tcPr>
          <w:p>
            <w:pPr/>
          </w:p>
        </w:tc>
        <w:tc>
          <w:tcPr>
            <w:tcW w:w="1863" w:type="dxa"/>
            <w:tcBorders>
              <w:bottom w:val="single" w:sz="8" w:space="0" w:color="000000"/>
            </w:tcBorders>
          </w:tcPr>
          <w:p>
            <w:pPr/>
          </w:p>
        </w:tc>
        <w:tc>
          <w:tcPr>
            <w:tcW w:w="2562" w:type="dxa"/>
            <w:tcBorders>
              <w:bottom w:val="single" w:sz="8" w:space="0" w:color="000000"/>
            </w:tcBorders>
          </w:tcPr>
          <w:p>
            <w:pPr/>
          </w:p>
        </w:tc>
        <w:tc>
          <w:tcPr>
            <w:tcW w:w="1522" w:type="dxa"/>
            <w:tcBorders>
              <w:bottom w:val="single" w:sz="8" w:space="0" w:color="000000"/>
            </w:tcBorders>
          </w:tcPr>
          <w:p>
            <w:pPr>
              <w:pStyle w:val="TableParagraph"/>
              <w:spacing w:before="4"/>
              <w:jc w:val="left"/>
              <w:rPr>
                <w:sz w:val="13"/>
              </w:rPr>
            </w:pPr>
          </w:p>
          <w:p>
            <w:pPr>
              <w:pStyle w:val="TableParagraph"/>
              <w:ind w:right="349"/>
              <w:jc w:val="right"/>
              <w:rPr>
                <w:rFonts w:ascii="Calibri"/>
                <w:sz w:val="12"/>
              </w:rPr>
            </w:pPr>
            <w:r>
              <w:rPr>
                <w:rFonts w:ascii="Calibri"/>
                <w:w w:val="105"/>
                <w:sz w:val="12"/>
              </w:rPr>
              <w:t>Total IT</w:t>
            </w:r>
          </w:p>
        </w:tc>
        <w:tc>
          <w:tcPr>
            <w:tcW w:w="887" w:type="dxa"/>
            <w:tcBorders>
              <w:bottom w:val="single" w:sz="8" w:space="0" w:color="000000"/>
            </w:tcBorders>
          </w:tcPr>
          <w:p>
            <w:pPr>
              <w:pStyle w:val="TableParagraph"/>
              <w:spacing w:before="4"/>
              <w:jc w:val="left"/>
              <w:rPr>
                <w:sz w:val="13"/>
              </w:rPr>
            </w:pPr>
          </w:p>
          <w:p>
            <w:pPr>
              <w:pStyle w:val="TableParagraph"/>
              <w:tabs>
                <w:tab w:pos="897" w:val="left" w:leader="none"/>
              </w:tabs>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      </w:t>
            </w:r>
            <w:r>
              <w:rPr>
                <w:rFonts w:ascii="Times New Roman"/>
                <w:spacing w:val="-11"/>
                <w:sz w:val="12"/>
                <w:shd w:fill="F79646" w:color="auto" w:val="clear"/>
              </w:rPr>
              <w:t> </w:t>
            </w:r>
            <w:r>
              <w:rPr>
                <w:rFonts w:ascii="Calibri"/>
                <w:w w:val="105"/>
                <w:sz w:val="12"/>
                <w:shd w:fill="F79646" w:color="auto" w:val="clear"/>
              </w:rPr>
              <w:t>8.21</w:t>
            </w:r>
            <w:r>
              <w:rPr>
                <w:rFonts w:ascii="Calibri"/>
                <w:sz w:val="12"/>
                <w:shd w:fill="F79646" w:color="auto" w:val="clear"/>
              </w:rPr>
              <w:tab/>
            </w:r>
          </w:p>
        </w:tc>
        <w:tc>
          <w:tcPr>
            <w:tcW w:w="685" w:type="dxa"/>
            <w:tcBorders>
              <w:bottom w:val="single" w:sz="8" w:space="0" w:color="000000"/>
            </w:tcBorders>
          </w:tcPr>
          <w:p>
            <w:pPr>
              <w:pStyle w:val="TableParagraph"/>
              <w:spacing w:before="4"/>
              <w:jc w:val="left"/>
              <w:rPr>
                <w:sz w:val="13"/>
              </w:rPr>
            </w:pPr>
          </w:p>
          <w:p>
            <w:pPr>
              <w:pStyle w:val="TableParagraph"/>
              <w:tabs>
                <w:tab w:pos="694" w:val="left" w:leader="none"/>
              </w:tabs>
              <w:ind w:right="-10"/>
              <w:rPr>
                <w:rFonts w:ascii="Calibri"/>
                <w:sz w:val="12"/>
              </w:rPr>
            </w:pPr>
            <w:r>
              <w:rPr>
                <w:rFonts w:ascii="Times New Roman"/>
                <w:w w:val="105"/>
                <w:sz w:val="12"/>
                <w:shd w:fill="FFFF00" w:color="auto" w:val="clear"/>
              </w:rPr>
              <w:t> </w:t>
            </w:r>
            <w:r>
              <w:rPr>
                <w:rFonts w:ascii="Times New Roman"/>
                <w:sz w:val="12"/>
                <w:shd w:fill="FFFF00" w:color="auto" w:val="clear"/>
              </w:rPr>
              <w:t>     </w:t>
            </w:r>
            <w:r>
              <w:rPr>
                <w:rFonts w:ascii="Times New Roman"/>
                <w:spacing w:val="-12"/>
                <w:sz w:val="12"/>
                <w:shd w:fill="FFFF00" w:color="auto" w:val="clear"/>
              </w:rPr>
              <w:t> </w:t>
            </w:r>
            <w:r>
              <w:rPr>
                <w:rFonts w:ascii="Calibri"/>
                <w:w w:val="105"/>
                <w:sz w:val="12"/>
                <w:shd w:fill="FFFF00" w:color="auto" w:val="clear"/>
              </w:rPr>
              <w:t>12.66</w:t>
            </w:r>
            <w:r>
              <w:rPr>
                <w:rFonts w:ascii="Calibri"/>
                <w:sz w:val="12"/>
                <w:shd w:fill="FFFF00" w:color="auto" w:val="clear"/>
              </w:rPr>
              <w:tab/>
            </w:r>
          </w:p>
        </w:tc>
        <w:tc>
          <w:tcPr>
            <w:tcW w:w="683" w:type="dxa"/>
            <w:tcBorders>
              <w:bottom w:val="single" w:sz="8" w:space="0" w:color="000000"/>
              <w:right w:val="single" w:sz="8" w:space="0" w:color="000000"/>
            </w:tcBorders>
          </w:tcPr>
          <w:p>
            <w:pPr>
              <w:pStyle w:val="TableParagraph"/>
              <w:spacing w:before="4"/>
              <w:jc w:val="left"/>
              <w:rPr>
                <w:sz w:val="13"/>
              </w:rPr>
            </w:pPr>
          </w:p>
          <w:p>
            <w:pPr>
              <w:pStyle w:val="TableParagraph"/>
              <w:ind w:left="263" w:right="241"/>
              <w:rPr>
                <w:rFonts w:ascii="Calibri"/>
                <w:sz w:val="12"/>
              </w:rPr>
            </w:pPr>
            <w:r>
              <w:rPr>
                <w:rFonts w:ascii="Calibri"/>
                <w:w w:val="105"/>
                <w:sz w:val="12"/>
              </w:rPr>
              <w:t>17</w:t>
            </w:r>
          </w:p>
        </w:tc>
      </w:tr>
    </w:tbl>
    <w:p>
      <w:pPr>
        <w:spacing w:before="136"/>
        <w:ind w:left="268" w:right="0" w:firstLine="0"/>
        <w:jc w:val="left"/>
        <w:rPr>
          <w:sz w:val="21"/>
        </w:rPr>
      </w:pPr>
      <w:r>
        <w:rPr/>
        <w:pict>
          <v:group style="position:absolute;margin-left:363.367004pt;margin-top:-135.516129pt;width:75.25pt;height:16.9pt;mso-position-horizontal-relative:page;mso-position-vertical-relative:paragraph;z-index:-1130080" coordorigin="7267,-2710" coordsize="1505,338">
            <v:line style="position:absolute" from="7273,-2705" to="7273,-2536" stroked="true" strokeweight=".526pt" strokecolor="#baf9f5"/>
            <v:rect style="position:absolute;left:7278;top:-2705;width:1494;height:168" filled="true" fillcolor="#baf9f5" stroked="false">
              <v:fill type="solid"/>
            </v:rect>
            <v:line style="position:absolute" from="7273,-2536" to="7273,-2379" stroked="true" strokeweight=".526pt" strokecolor="#baf9f5"/>
            <v:rect style="position:absolute;left:7278;top:-2536;width:1494;height:158" filled="true" fillcolor="#baf9f5" stroked="false">
              <v:fill type="solid"/>
            </v:rect>
            <w10:wrap type="none"/>
          </v:group>
        </w:pict>
      </w:r>
      <w:r>
        <w:rPr/>
        <w:pict>
          <v:shape style="position:absolute;margin-left:472.259033pt;margin-top:-135.241135pt;width:34.75pt;height:24.25pt;mso-position-horizontal-relative:page;mso-position-vertical-relative:paragraph;z-index:-1130056" coordorigin="9445,-2705" coordsize="695,485" path="m10139,-2705l9445,-2705,9445,-2536,9445,-2389,9445,-2379,9445,-2221,10139,-2221,10139,-2379,10139,-2389,10139,-2536,10139,-2705e" filled="true" fillcolor="#ffff00" stroked="false">
            <v:path arrowok="t"/>
            <v:fill type="solid"/>
            <w10:wrap type="none"/>
          </v:shape>
        </w:pict>
      </w:r>
      <w:r>
        <w:rPr/>
        <w:pict>
          <v:group style="position:absolute;margin-left:363.367004pt;margin-top:-103.941124pt;width:75.25pt;height:16.9pt;mso-position-horizontal-relative:page;mso-position-vertical-relative:paragraph;z-index:-1130032" coordorigin="7267,-2079" coordsize="1505,338">
            <v:line style="position:absolute" from="7273,-2073" to="7273,-1905" stroked="true" strokeweight=".526pt" strokecolor="#baf9f5"/>
            <v:rect style="position:absolute;left:7278;top:-2073;width:1494;height:168" filled="true" fillcolor="#baf9f5" stroked="false">
              <v:fill type="solid"/>
            </v:rect>
            <v:line style="position:absolute" from="7273,-1905" to="7273,-1747" stroked="true" strokeweight=".526pt" strokecolor="#baf9f5"/>
            <v:rect style="position:absolute;left:7278;top:-1905;width:1494;height:158" filled="true" fillcolor="#baf9f5" stroked="false">
              <v:fill type="solid"/>
            </v:rect>
            <w10:wrap type="none"/>
          </v:group>
        </w:pict>
      </w:r>
      <w:r>
        <w:rPr/>
        <w:pict>
          <v:shape style="position:absolute;margin-left:472.259033pt;margin-top:-103.666138pt;width:34.75pt;height:24.25pt;mso-position-horizontal-relative:page;mso-position-vertical-relative:paragraph;z-index:-1130008" coordorigin="9445,-2073" coordsize="695,485" path="m10139,-1905l9445,-1905,9445,-1758,9445,-1747,9445,-1589,10139,-1589,10139,-1747,10139,-1758,10139,-1905m10139,-2073l9445,-2073,9445,-1905,10139,-1905,10139,-2073e" filled="true" fillcolor="#ffff00" stroked="false">
            <v:path arrowok="t"/>
            <v:fill type="solid"/>
            <w10:wrap type="none"/>
          </v:shape>
        </w:pict>
      </w:r>
      <w:r>
        <w:rPr/>
        <w:pict>
          <v:group style="position:absolute;margin-left:363.367004pt;margin-top:-72.365128pt;width:75.25pt;height:40.550pt;mso-position-horizontal-relative:page;mso-position-vertical-relative:paragraph;z-index:-1129984" coordorigin="7267,-1447" coordsize="1505,811">
            <v:line style="position:absolute" from="7273,-1442" to="7273,-1273" stroked="true" strokeweight=".526pt" strokecolor="#baf9f5"/>
            <v:rect style="position:absolute;left:7278;top:-1442;width:1494;height:168" filled="true" fillcolor="#baf9f5" stroked="false">
              <v:fill type="solid"/>
            </v:rect>
            <v:line style="position:absolute" from="7273,-1273" to="7273,-1116" stroked="true" strokeweight=".526pt" strokecolor="#baf9f5"/>
            <v:rect style="position:absolute;left:7278;top:-1273;width:1494;height:158" filled="true" fillcolor="#baf9f5" stroked="false">
              <v:fill type="solid"/>
            </v:rect>
            <v:line style="position:absolute" from="7273,-1116" to="7273,-958" stroked="true" strokeweight=".526pt" strokecolor="#baf9f5"/>
            <v:rect style="position:absolute;left:7278;top:-1116;width:1494;height:158" filled="true" fillcolor="#baf9f5" stroked="false">
              <v:fill type="solid"/>
            </v:rect>
            <v:line style="position:absolute" from="7273,-958" to="7273,-800" stroked="true" strokeweight=".526pt" strokecolor="#baf9f5"/>
            <v:rect style="position:absolute;left:7278;top:-958;width:1494;height:158" filled="true" fillcolor="#baf9f5" stroked="false">
              <v:fill type="solid"/>
            </v:rect>
            <v:line style="position:absolute" from="7273,-800" to="7273,-642" stroked="true" strokeweight=".526pt" strokecolor="#baf9f5"/>
            <v:rect style="position:absolute;left:7278;top:-800;width:1494;height:158" filled="true" fillcolor="#baf9f5" stroked="false">
              <v:fill type="solid"/>
            </v:rect>
            <w10:wrap type="none"/>
          </v:group>
        </w:pict>
      </w:r>
      <w:r>
        <w:rPr/>
        <w:pict>
          <v:shape style="position:absolute;margin-left:472.259033pt;margin-top:-72.090134pt;width:34.75pt;height:47.9pt;mso-position-horizontal-relative:page;mso-position-vertical-relative:paragraph;z-index:-1129960" coordorigin="9445,-1442" coordsize="695,958" path="m10139,-800l9445,-800,9445,-652,9445,-642,9445,-484,10139,-484,10139,-642,10139,-652,10139,-800m10139,-1116l9445,-1116,9445,-958,9445,-800,10139,-800,10139,-958,10139,-1116m10139,-1273l9445,-1273,9445,-1116,10139,-1116,10139,-1273m10139,-1442l9445,-1442,9445,-1273,10139,-1273,10139,-1442e" filled="true" fillcolor="#ffff00" stroked="false">
            <v:path arrowok="t"/>
            <v:fill type="solid"/>
            <w10:wrap type="none"/>
          </v:shape>
        </w:pict>
      </w:r>
      <w:r>
        <w:rPr/>
        <w:pict>
          <v:rect style="position:absolute;margin-left:506.449005pt;margin-top:-16.833254pt;width:34.7156pt;height:8.42013pt;mso-position-horizontal-relative:page;mso-position-vertical-relative:paragraph;z-index:-1129936" filled="true" fillcolor="#67ed4d"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spacing w:before="1"/>
        <w:rPr>
          <w:sz w:val="18"/>
        </w:rPr>
      </w:pPr>
    </w:p>
    <w:p>
      <w:pPr>
        <w:pStyle w:val="BodyText"/>
        <w:spacing w:before="69" w:after="22"/>
        <w:ind w:left="268"/>
      </w:pPr>
      <w:r>
        <w:rPr/>
        <w:pict>
          <v:line style="position:absolute;mso-position-horizontal-relative:page;mso-position-vertical-relative:paragraph;z-index:28120" from="93.199997pt,-19.614155pt" to="546.799997pt,-19.614155pt" stroked="true" strokeweight=".479981pt" strokecolor="#000000">
            <w10:wrap type="none"/>
          </v:line>
        </w:pict>
      </w:r>
      <w:r>
        <w:rPr/>
        <w:t>Tabla 77. Datos Valle de las Fuentes</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02"/>
        <w:gridCol w:w="5243"/>
      </w:tblGrid>
      <w:tr>
        <w:trPr>
          <w:trHeight w:val="690" w:hRule="exact"/>
        </w:trPr>
        <w:tc>
          <w:tcPr>
            <w:tcW w:w="7845" w:type="dxa"/>
            <w:gridSpan w:val="2"/>
            <w:tcBorders>
              <w:left w:val="single" w:sz="8" w:space="0" w:color="000000"/>
              <w:bottom w:val="single" w:sz="8" w:space="0" w:color="BFBFBF"/>
              <w:right w:val="single" w:sz="8" w:space="0" w:color="000000"/>
            </w:tcBorders>
            <w:shd w:val="clear" w:color="auto" w:fill="0D0D0D"/>
          </w:tcPr>
          <w:p>
            <w:pPr>
              <w:pStyle w:val="TableParagraph"/>
              <w:spacing w:before="184"/>
              <w:ind w:left="2603" w:right="2606"/>
              <w:rPr>
                <w:b/>
                <w:sz w:val="24"/>
              </w:rPr>
            </w:pPr>
            <w:r>
              <w:rPr>
                <w:b/>
                <w:color w:val="FFFFFF"/>
                <w:sz w:val="24"/>
              </w:rPr>
              <w:t>Valle de las fuentes</w:t>
            </w:r>
          </w:p>
        </w:tc>
      </w:tr>
      <w:tr>
        <w:trPr>
          <w:trHeight w:val="300" w:hRule="exact"/>
        </w:trPr>
        <w:tc>
          <w:tcPr>
            <w:tcW w:w="2602" w:type="dxa"/>
            <w:tcBorders>
              <w:top w:val="single" w:sz="8" w:space="0" w:color="BFBFBF"/>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Empresa</w:t>
            </w:r>
          </w:p>
        </w:tc>
        <w:tc>
          <w:tcPr>
            <w:tcW w:w="5243" w:type="dxa"/>
            <w:tcBorders>
              <w:top w:val="single" w:sz="8" w:space="0" w:color="BFBFBF"/>
              <w:left w:val="single" w:sz="8" w:space="0" w:color="000000"/>
              <w:bottom w:val="single" w:sz="8" w:space="0" w:color="000000"/>
              <w:right w:val="single" w:sz="8" w:space="0" w:color="000000"/>
            </w:tcBorders>
          </w:tcPr>
          <w:p>
            <w:pPr>
              <w:pStyle w:val="TableParagraph"/>
              <w:spacing w:line="274" w:lineRule="exact"/>
              <w:ind w:left="229" w:right="251"/>
              <w:rPr>
                <w:rFonts w:ascii="Calibri"/>
                <w:sz w:val="24"/>
              </w:rPr>
            </w:pPr>
            <w:r>
              <w:rPr>
                <w:rFonts w:ascii="Calibri"/>
                <w:sz w:val="24"/>
              </w:rPr>
              <w:t>Consorcio Inmobiliario ZERO, S.A. de C.V.</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Tipo de vivienda</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42" w:right="243"/>
              <w:rPr>
                <w:rFonts w:ascii="Calibri"/>
                <w:sz w:val="24"/>
              </w:rPr>
            </w:pPr>
            <w:r>
              <w:rPr>
                <w:rFonts w:ascii="Calibri"/>
                <w:sz w:val="24"/>
              </w:rPr>
              <w:t>Residencial</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No. de viviendas</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38" w:right="251"/>
              <w:rPr>
                <w:rFonts w:ascii="Calibri"/>
                <w:sz w:val="24"/>
              </w:rPr>
            </w:pPr>
            <w:r>
              <w:rPr>
                <w:rFonts w:ascii="Calibri"/>
                <w:sz w:val="24"/>
              </w:rPr>
              <w:t>464</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V. Medio</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right="16"/>
              <w:rPr>
                <w:rFonts w:ascii="Calibri"/>
                <w:sz w:val="24"/>
              </w:rPr>
            </w:pPr>
            <w:r>
              <w:rPr>
                <w:rFonts w:ascii="Calibri"/>
                <w:w w:val="100"/>
                <w:sz w:val="24"/>
              </w:rPr>
              <w:t>0</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V. Interés Social</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right="16"/>
              <w:rPr>
                <w:rFonts w:ascii="Calibri"/>
                <w:sz w:val="24"/>
              </w:rPr>
            </w:pPr>
            <w:r>
              <w:rPr>
                <w:rFonts w:ascii="Calibri"/>
                <w:w w:val="100"/>
                <w:sz w:val="24"/>
              </w:rPr>
              <w:t>0</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V. Residencial</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38" w:right="251"/>
              <w:rPr>
                <w:rFonts w:ascii="Calibri"/>
                <w:sz w:val="24"/>
              </w:rPr>
            </w:pPr>
            <w:r>
              <w:rPr>
                <w:rFonts w:ascii="Calibri"/>
                <w:sz w:val="24"/>
              </w:rPr>
              <w:t>464</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Manzanas</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37" w:right="251"/>
              <w:rPr>
                <w:rFonts w:ascii="Calibri"/>
                <w:sz w:val="24"/>
              </w:rPr>
            </w:pPr>
            <w:r>
              <w:rPr>
                <w:rFonts w:ascii="Calibri"/>
                <w:sz w:val="24"/>
              </w:rPr>
              <w:t>23</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Lotes</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38" w:right="251"/>
              <w:rPr>
                <w:rFonts w:ascii="Calibri"/>
                <w:sz w:val="24"/>
              </w:rPr>
            </w:pPr>
            <w:r>
              <w:rPr>
                <w:rFonts w:ascii="Calibri"/>
                <w:sz w:val="24"/>
              </w:rPr>
              <w:t>469</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Superficie CU (m2)</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42" w:right="244"/>
              <w:rPr>
                <w:rFonts w:ascii="Calibri"/>
                <w:sz w:val="24"/>
              </w:rPr>
            </w:pPr>
            <w:r>
              <w:rPr>
                <w:rFonts w:ascii="Calibri"/>
                <w:sz w:val="24"/>
              </w:rPr>
              <w:t>230,285.720</w:t>
            </w:r>
          </w:p>
        </w:tc>
      </w:tr>
      <w:tr>
        <w:trPr>
          <w:trHeight w:val="3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line="261" w:lineRule="exact"/>
              <w:ind w:left="40"/>
              <w:jc w:val="left"/>
              <w:rPr>
                <w:b/>
                <w:sz w:val="24"/>
              </w:rPr>
            </w:pPr>
            <w:r>
              <w:rPr>
                <w:b/>
                <w:sz w:val="24"/>
              </w:rPr>
              <w:t>Pob. Beneficiada</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20" w:right="251"/>
              <w:rPr>
                <w:rFonts w:ascii="Calibri"/>
                <w:sz w:val="24"/>
              </w:rPr>
            </w:pPr>
            <w:r>
              <w:rPr>
                <w:rFonts w:ascii="Calibri"/>
                <w:sz w:val="24"/>
              </w:rPr>
              <w:t>2,088</w:t>
            </w:r>
          </w:p>
        </w:tc>
      </w:tr>
      <w:tr>
        <w:trPr>
          <w:trHeight w:val="400" w:hRule="exact"/>
        </w:trPr>
        <w:tc>
          <w:tcPr>
            <w:tcW w:w="2602" w:type="dxa"/>
            <w:tcBorders>
              <w:top w:val="single" w:sz="8" w:space="0" w:color="000000"/>
              <w:left w:val="single" w:sz="8" w:space="0" w:color="000000"/>
              <w:bottom w:val="single" w:sz="8" w:space="0" w:color="000000"/>
              <w:right w:val="single" w:sz="8" w:space="0" w:color="000000"/>
            </w:tcBorders>
          </w:tcPr>
          <w:p>
            <w:pPr>
              <w:pStyle w:val="TableParagraph"/>
              <w:spacing w:before="24"/>
              <w:ind w:left="40"/>
              <w:jc w:val="left"/>
              <w:rPr>
                <w:b/>
                <w:sz w:val="24"/>
              </w:rPr>
            </w:pPr>
            <w:r>
              <w:rPr>
                <w:b/>
                <w:sz w:val="24"/>
              </w:rPr>
              <w:t>Fecha de publicación</w:t>
            </w:r>
          </w:p>
        </w:tc>
        <w:tc>
          <w:tcPr>
            <w:tcW w:w="5243" w:type="dxa"/>
            <w:tcBorders>
              <w:top w:val="single" w:sz="8" w:space="0" w:color="000000"/>
              <w:left w:val="single" w:sz="8" w:space="0" w:color="000000"/>
              <w:bottom w:val="single" w:sz="8" w:space="0" w:color="000000"/>
              <w:right w:val="single" w:sz="8" w:space="0" w:color="000000"/>
            </w:tcBorders>
          </w:tcPr>
          <w:p>
            <w:pPr>
              <w:pStyle w:val="TableParagraph"/>
              <w:spacing w:before="21"/>
              <w:ind w:left="229" w:right="251"/>
              <w:rPr>
                <w:rFonts w:ascii="Calibri"/>
                <w:sz w:val="24"/>
              </w:rPr>
            </w:pPr>
            <w:r>
              <w:rPr>
                <w:rFonts w:ascii="Calibri"/>
                <w:sz w:val="24"/>
              </w:rPr>
              <w:t>21/12/10</w:t>
            </w:r>
          </w:p>
        </w:tc>
      </w:tr>
    </w:tbl>
    <w:p>
      <w:pPr>
        <w:spacing w:before="130"/>
        <w:ind w:left="268" w:right="0" w:firstLine="0"/>
        <w:jc w:val="left"/>
        <w:rPr>
          <w:sz w:val="21"/>
        </w:rPr>
      </w:pPr>
      <w:r>
        <w:rPr>
          <w:w w:val="105"/>
          <w:sz w:val="21"/>
        </w:rPr>
        <w:t>Fuente: Elaboración propia con base al estudio realizado.</w:t>
      </w:r>
    </w:p>
    <w:p>
      <w:pPr>
        <w:pStyle w:val="BodyText"/>
        <w:rPr>
          <w:sz w:val="22"/>
        </w:rPr>
      </w:pPr>
    </w:p>
    <w:p>
      <w:pPr>
        <w:pStyle w:val="BodyText"/>
        <w:rPr>
          <w:sz w:val="22"/>
        </w:rPr>
      </w:pPr>
    </w:p>
    <w:p>
      <w:pPr>
        <w:pStyle w:val="BodyText"/>
        <w:spacing w:before="136" w:after="15"/>
        <w:ind w:left="268"/>
      </w:pPr>
      <w:r>
        <w:rPr/>
        <w:pict>
          <v:group style="position:absolute;margin-left:363.402008pt;margin-top:56.834126pt;width:75.25pt;height:40.550pt;mso-position-horizontal-relative:page;mso-position-vertical-relative:paragraph;z-index:-1129888" coordorigin="7268,1137" coordsize="1505,811">
            <v:line style="position:absolute" from="7274,1142" to="7274,1311" stroked="true" strokeweight=".526pt" strokecolor="#baf9f5"/>
            <v:shape style="position:absolute;left:7279;top:1142;width:1495;height:642" coordorigin="7279,1142" coordsize="1495,642" path="m8773,1468l7279,1468,7279,1626,7279,1784,8773,1784,8773,1626,8773,1468m8773,1142l7279,1142,7279,1300,7279,1311,7279,1468,8773,1468,8773,1311,8773,1300,8773,1142e" filled="true" fillcolor="#baf9f5" stroked="false">
              <v:path arrowok="t"/>
              <v:fill type="solid"/>
            </v:shape>
            <v:line style="position:absolute" from="7274,1300" to="7274,1942" stroked="true" strokeweight=".526pt" strokecolor="#baf9f5"/>
            <v:rect style="position:absolute;left:7279;top:1784;width:1494;height:158" filled="true" fillcolor="#baf9f5" stroked="false">
              <v:fill type="solid"/>
            </v:rect>
            <w10:wrap type="none"/>
          </v:group>
        </w:pict>
      </w:r>
      <w:r>
        <w:rPr/>
        <w:pict>
          <v:group style="position:absolute;margin-left:363.402008pt;margin-top:112.082558pt;width:75.25pt;height:64.25pt;mso-position-horizontal-relative:page;mso-position-vertical-relative:paragraph;z-index:-1129864" coordorigin="7268,2242" coordsize="1505,1285">
            <v:line style="position:absolute" from="7274,2247" to="7274,2416" stroked="true" strokeweight=".526pt" strokecolor="#baf9f5"/>
            <v:rect style="position:absolute;left:7279;top:2247;width:1494;height:168" filled="true" fillcolor="#baf9f5" stroked="false">
              <v:fill type="solid"/>
            </v:rect>
            <v:line style="position:absolute" from="7274,2416" to="7274,2573" stroked="true" strokeweight=".526pt" strokecolor="#baf9f5"/>
            <v:rect style="position:absolute;left:7279;top:2416;width:1494;height:158" filled="true" fillcolor="#baf9f5" stroked="false">
              <v:fill type="solid"/>
            </v:rect>
            <v:line style="position:absolute" from="7274,2573" to="7274,2731" stroked="true" strokeweight=".526pt" strokecolor="#baf9f5"/>
            <v:rect style="position:absolute;left:7279;top:2573;width:1494;height:158" filled="true" fillcolor="#baf9f5" stroked="false">
              <v:fill type="solid"/>
            </v:rect>
            <v:line style="position:absolute" from="7274,2731" to="7274,2889" stroked="true" strokeweight=".526pt" strokecolor="#baf9f5"/>
            <v:rect style="position:absolute;left:7279;top:2731;width:1494;height:158" filled="true" fillcolor="#baf9f5" stroked="false">
              <v:fill type="solid"/>
            </v:rect>
            <v:line style="position:absolute" from="7274,2889" to="7274,3047" stroked="true" strokeweight=".526pt" strokecolor="#baf9f5"/>
            <v:rect style="position:absolute;left:7279;top:2889;width:1494;height:158" filled="true" fillcolor="#baf9f5" stroked="false">
              <v:fill type="solid"/>
            </v:rect>
            <v:line style="position:absolute" from="7274,3047" to="7274,3205" stroked="true" strokeweight=".526pt" strokecolor="#baf9f5"/>
            <v:rect style="position:absolute;left:7279;top:3047;width:1494;height:158" filled="true" fillcolor="#baf9f5" stroked="false">
              <v:fill type="solid"/>
            </v:rect>
            <v:line style="position:absolute" from="7274,3205" to="7274,3363" stroked="true" strokeweight=".526pt" strokecolor="#baf9f5"/>
            <v:rect style="position:absolute;left:7279;top:3205;width:1494;height:158" filled="true" fillcolor="#baf9f5" stroked="false">
              <v:fill type="solid"/>
            </v:rect>
            <v:line style="position:absolute" from="7274,3363" to="7274,3520" stroked="true" strokeweight=".526pt" strokecolor="#baf9f5"/>
            <v:rect style="position:absolute;left:7279;top:3363;width:1494;height:158" filled="true" fillcolor="#baf9f5" stroked="false">
              <v:fill type="solid"/>
            </v:rect>
            <w10:wrap type="none"/>
          </v:group>
        </w:pict>
      </w:r>
      <w:r>
        <w:rPr/>
        <w:pict>
          <v:shape style="position:absolute;margin-left:472.309021pt;margin-top:112.357841pt;width:34.75pt;height:71.6pt;mso-position-horizontal-relative:page;mso-position-vertical-relative:paragraph;z-index:-1129840" coordorigin="9446,2247" coordsize="695,1432" path="m10141,3205l9446,3205,9446,3363,9446,3510,9446,3520,9446,3678,10141,3678,10141,3520,10141,3510,10141,3363,10141,3205m10141,2889l9446,2889,9446,3047,9446,3205,10141,3205,10141,3047,10141,2889m10141,2573l9446,2573,9446,2731,9446,2889,10141,2889,10141,2731,10141,2573m10141,2247l9446,2247,9446,2416,9446,2573,10141,2573,10141,2416,10141,2247e" filled="true" fillcolor="#ffff00" stroked="false">
            <v:path arrowok="t"/>
            <v:fill type="solid"/>
            <w10:wrap type="none"/>
          </v:shape>
        </w:pict>
      </w:r>
      <w:r>
        <w:rPr/>
        <w:t>Tabla 78. ISS Vlle de las Fuentes</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9"/>
        <w:gridCol w:w="2074"/>
        <w:gridCol w:w="2101"/>
        <w:gridCol w:w="1773"/>
        <w:gridCol w:w="887"/>
        <w:gridCol w:w="685"/>
        <w:gridCol w:w="683"/>
      </w:tblGrid>
      <w:tr>
        <w:trPr>
          <w:trHeight w:val="468" w:hRule="exact"/>
        </w:trPr>
        <w:tc>
          <w:tcPr>
            <w:tcW w:w="8822" w:type="dxa"/>
            <w:gridSpan w:val="7"/>
            <w:tcBorders>
              <w:bottom w:val="nil"/>
              <w:right w:val="single" w:sz="4" w:space="0" w:color="CB5AD4"/>
            </w:tcBorders>
            <w:shd w:val="clear" w:color="auto" w:fill="000000"/>
          </w:tcPr>
          <w:p>
            <w:pPr>
              <w:pStyle w:val="TableParagraph"/>
              <w:spacing w:line="273" w:lineRule="auto" w:before="71"/>
              <w:ind w:left="3466" w:right="3435" w:firstLine="347"/>
              <w:jc w:val="left"/>
              <w:rPr>
                <w:b/>
                <w:sz w:val="12"/>
              </w:rPr>
            </w:pPr>
            <w:r>
              <w:rPr>
                <w:b/>
                <w:color w:val="FFFFFF"/>
                <w:w w:val="105"/>
                <w:sz w:val="12"/>
              </w:rPr>
              <w:t>Valle de las Fuentes Índice de sustentabilidad social</w:t>
            </w:r>
          </w:p>
        </w:tc>
      </w:tr>
      <w:tr>
        <w:trPr>
          <w:trHeight w:val="205" w:hRule="exact"/>
        </w:trPr>
        <w:tc>
          <w:tcPr>
            <w:tcW w:w="619" w:type="dxa"/>
            <w:tcBorders>
              <w:top w:val="single" w:sz="4" w:space="0" w:color="FFFFFF"/>
              <w:left w:val="single" w:sz="4" w:space="0" w:color="000000"/>
            </w:tcBorders>
            <w:shd w:val="clear" w:color="auto" w:fill="808080"/>
          </w:tcPr>
          <w:p>
            <w:pPr>
              <w:pStyle w:val="TableParagraph"/>
              <w:spacing w:line="136" w:lineRule="exact"/>
              <w:ind w:left="137" w:right="71"/>
              <w:rPr>
                <w:b/>
                <w:sz w:val="12"/>
              </w:rPr>
            </w:pPr>
            <w:r>
              <w:rPr>
                <w:b/>
                <w:color w:val="FFFFFF"/>
                <w:w w:val="105"/>
                <w:sz w:val="12"/>
              </w:rPr>
              <w:t>Índice</w:t>
            </w:r>
          </w:p>
        </w:tc>
        <w:tc>
          <w:tcPr>
            <w:tcW w:w="2074" w:type="dxa"/>
            <w:tcBorders>
              <w:top w:val="single" w:sz="4" w:space="0" w:color="FFFFFF"/>
            </w:tcBorders>
            <w:shd w:val="clear" w:color="auto" w:fill="808080"/>
          </w:tcPr>
          <w:p>
            <w:pPr>
              <w:pStyle w:val="TableParagraph"/>
              <w:spacing w:line="136" w:lineRule="exact"/>
              <w:ind w:left="91"/>
              <w:jc w:val="left"/>
              <w:rPr>
                <w:b/>
                <w:sz w:val="12"/>
              </w:rPr>
            </w:pPr>
            <w:r>
              <w:rPr>
                <w:b/>
                <w:color w:val="FFFFFF"/>
                <w:w w:val="105"/>
                <w:sz w:val="12"/>
              </w:rPr>
              <w:t>Subíndice</w:t>
            </w:r>
          </w:p>
        </w:tc>
        <w:tc>
          <w:tcPr>
            <w:tcW w:w="2101" w:type="dxa"/>
            <w:tcBorders>
              <w:top w:val="single" w:sz="4" w:space="0" w:color="FFFFFF"/>
            </w:tcBorders>
            <w:shd w:val="clear" w:color="auto" w:fill="808080"/>
          </w:tcPr>
          <w:p>
            <w:pPr>
              <w:pStyle w:val="TableParagraph"/>
              <w:spacing w:line="136" w:lineRule="exact"/>
              <w:ind w:left="121" w:right="746"/>
              <w:jc w:val="left"/>
              <w:rPr>
                <w:b/>
                <w:sz w:val="12"/>
              </w:rPr>
            </w:pPr>
            <w:r>
              <w:rPr>
                <w:b/>
                <w:color w:val="FFFFFF"/>
                <w:w w:val="105"/>
                <w:sz w:val="12"/>
              </w:rPr>
              <w:t>Indicador</w:t>
            </w:r>
          </w:p>
        </w:tc>
        <w:tc>
          <w:tcPr>
            <w:tcW w:w="1773" w:type="dxa"/>
            <w:tcBorders>
              <w:top w:val="single" w:sz="4" w:space="0" w:color="FFFFFF"/>
            </w:tcBorders>
            <w:shd w:val="clear" w:color="auto" w:fill="808080"/>
          </w:tcPr>
          <w:p>
            <w:pPr/>
          </w:p>
        </w:tc>
        <w:tc>
          <w:tcPr>
            <w:tcW w:w="887" w:type="dxa"/>
            <w:tcBorders>
              <w:top w:val="single" w:sz="4" w:space="0" w:color="FFFFFF"/>
            </w:tcBorders>
            <w:shd w:val="clear" w:color="auto" w:fill="808080"/>
          </w:tcPr>
          <w:p>
            <w:pPr>
              <w:pStyle w:val="TableParagraph"/>
              <w:spacing w:line="136" w:lineRule="exact"/>
              <w:ind w:left="266"/>
              <w:jc w:val="left"/>
              <w:rPr>
                <w:b/>
                <w:sz w:val="12"/>
              </w:rPr>
            </w:pPr>
            <w:r>
              <w:rPr>
                <w:b/>
                <w:color w:val="FFFFFF"/>
                <w:w w:val="105"/>
                <w:sz w:val="12"/>
              </w:rPr>
              <w:t>Valores</w:t>
            </w:r>
          </w:p>
        </w:tc>
        <w:tc>
          <w:tcPr>
            <w:tcW w:w="685" w:type="dxa"/>
            <w:tcBorders>
              <w:top w:val="single" w:sz="4" w:space="0" w:color="FFFFFF"/>
            </w:tcBorders>
            <w:shd w:val="clear" w:color="auto" w:fill="808080"/>
          </w:tcPr>
          <w:p>
            <w:pPr/>
          </w:p>
        </w:tc>
        <w:tc>
          <w:tcPr>
            <w:tcW w:w="683" w:type="dxa"/>
            <w:tcBorders>
              <w:top w:val="single" w:sz="4" w:space="0" w:color="FFFFFF"/>
              <w:right w:val="single" w:sz="8" w:space="0" w:color="000000"/>
            </w:tcBorders>
            <w:shd w:val="clear" w:color="auto" w:fill="808080"/>
          </w:tcPr>
          <w:p>
            <w:pPr/>
          </w:p>
        </w:tc>
      </w:tr>
      <w:tr>
        <w:trPr>
          <w:trHeight w:val="205" w:hRule="exact"/>
        </w:trPr>
        <w:tc>
          <w:tcPr>
            <w:tcW w:w="619" w:type="dxa"/>
            <w:vMerge w:val="restart"/>
            <w:tcBorders>
              <w:left w:val="single" w:sz="4" w:space="0" w:color="000000"/>
            </w:tcBorders>
          </w:tcPr>
          <w:p>
            <w:pPr/>
          </w:p>
        </w:tc>
        <w:tc>
          <w:tcPr>
            <w:tcW w:w="2074" w:type="dxa"/>
            <w:vMerge w:val="restart"/>
          </w:tcPr>
          <w:p>
            <w:pPr>
              <w:pStyle w:val="TableParagraph"/>
              <w:jc w:val="left"/>
              <w:rPr>
                <w:sz w:val="12"/>
              </w:rPr>
            </w:pPr>
          </w:p>
          <w:p>
            <w:pPr>
              <w:pStyle w:val="TableParagraph"/>
              <w:jc w:val="left"/>
              <w:rPr>
                <w:sz w:val="12"/>
              </w:rPr>
            </w:pPr>
          </w:p>
          <w:p>
            <w:pPr>
              <w:pStyle w:val="TableParagraph"/>
              <w:spacing w:before="1"/>
              <w:jc w:val="left"/>
              <w:rPr>
                <w:sz w:val="14"/>
              </w:rPr>
            </w:pPr>
          </w:p>
          <w:p>
            <w:pPr>
              <w:pStyle w:val="TableParagraph"/>
              <w:ind w:left="91"/>
              <w:jc w:val="left"/>
              <w:rPr>
                <w:rFonts w:ascii="Calibri"/>
                <w:sz w:val="12"/>
              </w:rPr>
            </w:pPr>
            <w:r>
              <w:rPr>
                <w:rFonts w:ascii="Calibri"/>
                <w:w w:val="105"/>
                <w:sz w:val="12"/>
              </w:rPr>
              <w:t>Habitabilidad</w:t>
            </w:r>
          </w:p>
        </w:tc>
        <w:tc>
          <w:tcPr>
            <w:tcW w:w="2101" w:type="dxa"/>
            <w:vMerge w:val="restart"/>
          </w:tcPr>
          <w:p>
            <w:pPr>
              <w:pStyle w:val="TableParagraph"/>
              <w:spacing w:before="11"/>
              <w:jc w:val="left"/>
              <w:rPr>
                <w:sz w:val="17"/>
              </w:rPr>
            </w:pPr>
          </w:p>
          <w:p>
            <w:pPr>
              <w:pStyle w:val="TableParagraph"/>
              <w:spacing w:line="259" w:lineRule="auto"/>
              <w:ind w:left="121" w:right="746"/>
              <w:jc w:val="left"/>
              <w:rPr>
                <w:rFonts w:ascii="Calibri" w:hAnsi="Calibri"/>
                <w:sz w:val="12"/>
              </w:rPr>
            </w:pPr>
            <w:r>
              <w:rPr>
                <w:rFonts w:ascii="Calibri" w:hAnsi="Calibri"/>
                <w:w w:val="105"/>
                <w:sz w:val="12"/>
              </w:rPr>
              <w:t>Espacios habitables Metros de construcción Metros de terreno Hacinamiento</w:t>
            </w:r>
          </w:p>
        </w:tc>
        <w:tc>
          <w:tcPr>
            <w:tcW w:w="1773" w:type="dxa"/>
            <w:vMerge w:val="restart"/>
          </w:tcPr>
          <w:p>
            <w:pPr>
              <w:pStyle w:val="TableParagraph"/>
              <w:spacing w:before="50"/>
              <w:ind w:left="884" w:right="184"/>
              <w:rPr>
                <w:b/>
                <w:sz w:val="12"/>
              </w:rPr>
            </w:pPr>
            <w:r>
              <w:rPr>
                <w:b/>
                <w:w w:val="105"/>
                <w:sz w:val="12"/>
              </w:rPr>
              <w:t>Evaluación</w:t>
            </w:r>
          </w:p>
          <w:p>
            <w:pPr>
              <w:pStyle w:val="TableParagraph"/>
              <w:spacing w:before="18"/>
              <w:ind w:right="455"/>
              <w:jc w:val="right"/>
              <w:rPr>
                <w:rFonts w:ascii="Calibri"/>
                <w:sz w:val="12"/>
              </w:rPr>
            </w:pPr>
            <w:r>
              <w:rPr>
                <w:rFonts w:ascii="Calibri"/>
                <w:w w:val="105"/>
                <w:sz w:val="12"/>
              </w:rPr>
              <w:t>0.7</w:t>
            </w:r>
          </w:p>
          <w:p>
            <w:pPr>
              <w:pStyle w:val="TableParagraph"/>
              <w:spacing w:before="11"/>
              <w:ind w:right="498"/>
              <w:jc w:val="right"/>
              <w:rPr>
                <w:rFonts w:ascii="Calibri"/>
                <w:sz w:val="12"/>
              </w:rPr>
            </w:pPr>
            <w:r>
              <w:rPr>
                <w:rFonts w:ascii="Calibri"/>
                <w:w w:val="105"/>
                <w:sz w:val="12"/>
              </w:rPr>
              <w:t>1</w:t>
            </w:r>
          </w:p>
          <w:p>
            <w:pPr>
              <w:pStyle w:val="TableParagraph"/>
              <w:spacing w:before="11"/>
              <w:ind w:right="498"/>
              <w:jc w:val="right"/>
              <w:rPr>
                <w:rFonts w:ascii="Calibri"/>
                <w:sz w:val="12"/>
              </w:rPr>
            </w:pPr>
            <w:r>
              <w:rPr>
                <w:rFonts w:ascii="Calibri"/>
                <w:w w:val="105"/>
                <w:sz w:val="12"/>
              </w:rPr>
              <w:t>1</w:t>
            </w:r>
          </w:p>
          <w:p>
            <w:pPr>
              <w:pStyle w:val="TableParagraph"/>
              <w:spacing w:before="11"/>
              <w:ind w:right="498"/>
              <w:jc w:val="right"/>
              <w:rPr>
                <w:rFonts w:ascii="Calibri"/>
                <w:sz w:val="12"/>
              </w:rPr>
            </w:pPr>
            <w:r>
              <w:rPr>
                <w:rFonts w:ascii="Calibri"/>
                <w:w w:val="105"/>
                <w:sz w:val="12"/>
              </w:rPr>
              <w:t>1</w:t>
            </w:r>
          </w:p>
          <w:p>
            <w:pPr>
              <w:pStyle w:val="TableParagraph"/>
              <w:spacing w:before="11"/>
              <w:ind w:left="880" w:right="184"/>
              <w:rPr>
                <w:rFonts w:ascii="Calibri"/>
                <w:sz w:val="12"/>
              </w:rPr>
            </w:pPr>
            <w:r>
              <w:rPr>
                <w:rFonts w:ascii="Calibri"/>
                <w:w w:val="105"/>
                <w:sz w:val="12"/>
              </w:rPr>
              <w:t>Subtotal</w:t>
            </w:r>
          </w:p>
        </w:tc>
        <w:tc>
          <w:tcPr>
            <w:tcW w:w="887" w:type="dxa"/>
            <w:vMerge w:val="restart"/>
          </w:tcPr>
          <w:p>
            <w:pPr>
              <w:pStyle w:val="TableParagraph"/>
              <w:tabs>
                <w:tab w:pos="897" w:val="left" w:leader="none"/>
              </w:tabs>
              <w:spacing w:before="50"/>
              <w:ind w:left="203" w:right="-11"/>
              <w:jc w:val="left"/>
              <w:rPr>
                <w:b/>
                <w:sz w:val="12"/>
              </w:rPr>
            </w:pPr>
            <w:r>
              <w:rPr>
                <w:b/>
                <w:w w:val="105"/>
                <w:sz w:val="12"/>
                <w:shd w:fill="F79646" w:color="auto" w:val="clear"/>
              </w:rPr>
              <w:t> </w:t>
            </w:r>
            <w:r>
              <w:rPr>
                <w:b/>
                <w:sz w:val="12"/>
                <w:shd w:fill="F79646" w:color="auto" w:val="clear"/>
              </w:rPr>
              <w:t>    </w:t>
            </w:r>
            <w:r>
              <w:rPr>
                <w:b/>
                <w:spacing w:val="8"/>
                <w:sz w:val="12"/>
                <w:shd w:fill="F79646" w:color="auto" w:val="clear"/>
              </w:rPr>
              <w:t> </w:t>
            </w:r>
            <w:r>
              <w:rPr>
                <w:b/>
                <w:w w:val="105"/>
                <w:sz w:val="12"/>
                <w:shd w:fill="F79646" w:color="auto" w:val="clear"/>
              </w:rPr>
              <w:t>Real</w:t>
            </w:r>
            <w:r>
              <w:rPr>
                <w:b/>
                <w:sz w:val="12"/>
                <w:shd w:fill="F79646" w:color="auto" w:val="clear"/>
              </w:rPr>
              <w:tab/>
            </w:r>
          </w:p>
          <w:p>
            <w:pPr>
              <w:pStyle w:val="TableParagraph"/>
              <w:jc w:val="left"/>
              <w:rPr>
                <w:sz w:val="12"/>
              </w:rPr>
            </w:pPr>
          </w:p>
          <w:p>
            <w:pPr>
              <w:pStyle w:val="TableParagraph"/>
              <w:jc w:val="left"/>
              <w:rPr>
                <w:sz w:val="12"/>
              </w:rPr>
            </w:pPr>
          </w:p>
          <w:p>
            <w:pPr>
              <w:pStyle w:val="TableParagraph"/>
              <w:jc w:val="left"/>
              <w:rPr>
                <w:sz w:val="12"/>
              </w:rPr>
            </w:pPr>
          </w:p>
          <w:p>
            <w:pPr>
              <w:pStyle w:val="TableParagraph"/>
              <w:jc w:val="left"/>
              <w:rPr>
                <w:sz w:val="12"/>
              </w:rPr>
            </w:pPr>
          </w:p>
          <w:p>
            <w:pPr>
              <w:pStyle w:val="TableParagraph"/>
              <w:tabs>
                <w:tab w:pos="466" w:val="left" w:leader="none"/>
                <w:tab w:pos="897" w:val="left" w:leader="none"/>
              </w:tabs>
              <w:spacing w:before="97"/>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3.7</w:t>
            </w:r>
            <w:r>
              <w:rPr>
                <w:rFonts w:ascii="Calibri"/>
                <w:sz w:val="12"/>
                <w:shd w:fill="F79646" w:color="auto" w:val="clear"/>
              </w:rPr>
              <w:tab/>
            </w:r>
          </w:p>
        </w:tc>
        <w:tc>
          <w:tcPr>
            <w:tcW w:w="685" w:type="dxa"/>
            <w:tcBorders>
              <w:right w:val="single" w:sz="4" w:space="0" w:color="FFFFFF"/>
            </w:tcBorders>
            <w:shd w:val="clear" w:color="auto" w:fill="FFFF00"/>
          </w:tcPr>
          <w:p>
            <w:pPr>
              <w:pStyle w:val="TableParagraph"/>
              <w:spacing w:before="50"/>
              <w:ind w:left="54" w:right="32"/>
              <w:rPr>
                <w:b/>
                <w:sz w:val="12"/>
              </w:rPr>
            </w:pPr>
            <w:r>
              <w:rPr>
                <w:b/>
                <w:w w:val="105"/>
                <w:sz w:val="12"/>
              </w:rPr>
              <w:t>Deseable</w:t>
            </w:r>
          </w:p>
        </w:tc>
        <w:tc>
          <w:tcPr>
            <w:tcW w:w="683" w:type="dxa"/>
            <w:tcBorders>
              <w:left w:val="single" w:sz="4" w:space="0" w:color="FFFFFF"/>
              <w:right w:val="single" w:sz="8" w:space="0" w:color="000000"/>
            </w:tcBorders>
            <w:shd w:val="clear" w:color="auto" w:fill="67ED4D"/>
          </w:tcPr>
          <w:p>
            <w:pPr>
              <w:pStyle w:val="TableParagraph"/>
              <w:spacing w:before="50"/>
              <w:ind w:left="100" w:right="86"/>
              <w:rPr>
                <w:b/>
                <w:sz w:val="12"/>
              </w:rPr>
            </w:pPr>
            <w:r>
              <w:rPr>
                <w:b/>
                <w:w w:val="105"/>
                <w:sz w:val="12"/>
              </w:rPr>
              <w:t>Óptimo</w:t>
            </w:r>
          </w:p>
        </w:tc>
      </w:tr>
      <w:tr>
        <w:trPr>
          <w:trHeight w:val="160" w:hRule="exact"/>
        </w:trPr>
        <w:tc>
          <w:tcPr>
            <w:tcW w:w="619" w:type="dxa"/>
            <w:vMerge/>
            <w:tcBorders>
              <w:left w:val="single" w:sz="4" w:space="0" w:color="000000"/>
            </w:tcBorders>
          </w:tcPr>
          <w:p>
            <w:pPr/>
          </w:p>
        </w:tc>
        <w:tc>
          <w:tcPr>
            <w:tcW w:w="2074" w:type="dxa"/>
            <w:vMerge/>
          </w:tcPr>
          <w:p>
            <w:pPr/>
          </w:p>
        </w:tc>
        <w:tc>
          <w:tcPr>
            <w:tcW w:w="2101" w:type="dxa"/>
            <w:vMerge/>
          </w:tcPr>
          <w:p>
            <w:pPr/>
          </w:p>
        </w:tc>
        <w:tc>
          <w:tcPr>
            <w:tcW w:w="1773" w:type="dxa"/>
            <w:vMerge/>
          </w:tcPr>
          <w:p>
            <w:pPr/>
          </w:p>
        </w:tc>
        <w:tc>
          <w:tcPr>
            <w:tcW w:w="887" w:type="dxa"/>
            <w:vMerge/>
          </w:tcPr>
          <w:p>
            <w:pPr/>
          </w:p>
        </w:tc>
        <w:tc>
          <w:tcPr>
            <w:tcW w:w="685" w:type="dxa"/>
            <w:tcBorders>
              <w:right w:val="single" w:sz="4" w:space="0" w:color="FFFFFF"/>
            </w:tcBorders>
            <w:shd w:val="clear" w:color="auto" w:fill="FFFF00"/>
          </w:tcPr>
          <w:p>
            <w:pPr>
              <w:pStyle w:val="TableParagraph"/>
              <w:spacing w:before="2"/>
              <w:ind w:left="38" w:right="32"/>
              <w:rPr>
                <w:rFonts w:ascii="Calibri"/>
                <w:sz w:val="12"/>
              </w:rPr>
            </w:pPr>
            <w:r>
              <w:rPr>
                <w:rFonts w:ascii="Calibri"/>
                <w:w w:val="105"/>
                <w:sz w:val="12"/>
              </w:rPr>
              <w:t>0.7</w:t>
            </w:r>
          </w:p>
        </w:tc>
        <w:tc>
          <w:tcPr>
            <w:tcW w:w="683" w:type="dxa"/>
            <w:tcBorders>
              <w:left w:val="single" w:sz="4" w:space="0" w:color="FFFFFF"/>
              <w:right w:val="single" w:sz="8" w:space="0" w:color="000000"/>
            </w:tcBorders>
            <w:shd w:val="clear" w:color="auto" w:fill="67ED4D"/>
          </w:tcPr>
          <w:p>
            <w:pPr>
              <w:pStyle w:val="TableParagraph"/>
              <w:spacing w:before="2"/>
              <w:ind w:left="15"/>
              <w:rPr>
                <w:rFonts w:ascii="Calibri"/>
                <w:sz w:val="12"/>
              </w:rPr>
            </w:pPr>
            <w:r>
              <w:rPr>
                <w:rFonts w:ascii="Calibri"/>
                <w:w w:val="105"/>
                <w:sz w:val="12"/>
              </w:rPr>
              <w:t>1</w:t>
            </w:r>
          </w:p>
        </w:tc>
      </w:tr>
      <w:tr>
        <w:trPr>
          <w:trHeight w:val="158" w:hRule="exact"/>
        </w:trPr>
        <w:tc>
          <w:tcPr>
            <w:tcW w:w="619" w:type="dxa"/>
            <w:vMerge/>
            <w:tcBorders>
              <w:left w:val="single" w:sz="4" w:space="0" w:color="000000"/>
            </w:tcBorders>
          </w:tcPr>
          <w:p>
            <w:pPr/>
          </w:p>
        </w:tc>
        <w:tc>
          <w:tcPr>
            <w:tcW w:w="2074" w:type="dxa"/>
            <w:vMerge/>
          </w:tcPr>
          <w:p>
            <w:pPr/>
          </w:p>
        </w:tc>
        <w:tc>
          <w:tcPr>
            <w:tcW w:w="2101" w:type="dxa"/>
            <w:vMerge/>
          </w:tcPr>
          <w:p>
            <w:pPr/>
          </w:p>
        </w:tc>
        <w:tc>
          <w:tcPr>
            <w:tcW w:w="1773" w:type="dxa"/>
            <w:vMerge/>
          </w:tcPr>
          <w:p>
            <w:pPr/>
          </w:p>
        </w:tc>
        <w:tc>
          <w:tcPr>
            <w:tcW w:w="887" w:type="dxa"/>
            <w:vMerge/>
          </w:tcPr>
          <w:p>
            <w:pPr/>
          </w:p>
        </w:tc>
        <w:tc>
          <w:tcPr>
            <w:tcW w:w="685" w:type="dxa"/>
            <w:tcBorders>
              <w:right w:val="single" w:sz="4" w:space="0" w:color="FFFFFF"/>
            </w:tcBorders>
            <w:shd w:val="clear" w:color="auto" w:fill="FFFF00"/>
          </w:tcPr>
          <w:p>
            <w:pPr>
              <w:pStyle w:val="TableParagraph"/>
              <w:ind w:left="38" w:right="32"/>
              <w:rPr>
                <w:rFonts w:ascii="Calibri"/>
                <w:sz w:val="12"/>
              </w:rPr>
            </w:pPr>
            <w:r>
              <w:rPr>
                <w:rFonts w:ascii="Calibri"/>
                <w:w w:val="105"/>
                <w:sz w:val="12"/>
              </w:rPr>
              <w:t>0.9</w:t>
            </w:r>
          </w:p>
        </w:tc>
        <w:tc>
          <w:tcPr>
            <w:tcW w:w="683" w:type="dxa"/>
            <w:tcBorders>
              <w:left w:val="single" w:sz="4" w:space="0" w:color="FFFFFF"/>
              <w:right w:val="single" w:sz="8" w:space="0" w:color="000000"/>
            </w:tcBorders>
            <w:shd w:val="clear" w:color="auto" w:fill="67ED4D"/>
          </w:tcPr>
          <w:p>
            <w:pPr>
              <w:pStyle w:val="TableParagraph"/>
              <w:ind w:left="15"/>
              <w:rPr>
                <w:rFonts w:ascii="Calibri"/>
                <w:sz w:val="12"/>
              </w:rPr>
            </w:pPr>
            <w:r>
              <w:rPr>
                <w:rFonts w:ascii="Calibri"/>
                <w:w w:val="105"/>
                <w:sz w:val="12"/>
              </w:rPr>
              <w:t>1</w:t>
            </w:r>
          </w:p>
        </w:tc>
      </w:tr>
      <w:tr>
        <w:trPr>
          <w:trHeight w:val="158" w:hRule="exact"/>
        </w:trPr>
        <w:tc>
          <w:tcPr>
            <w:tcW w:w="619" w:type="dxa"/>
            <w:vMerge/>
            <w:tcBorders>
              <w:left w:val="single" w:sz="4" w:space="0" w:color="000000"/>
            </w:tcBorders>
          </w:tcPr>
          <w:p>
            <w:pPr/>
          </w:p>
        </w:tc>
        <w:tc>
          <w:tcPr>
            <w:tcW w:w="2074" w:type="dxa"/>
            <w:vMerge/>
          </w:tcPr>
          <w:p>
            <w:pPr/>
          </w:p>
        </w:tc>
        <w:tc>
          <w:tcPr>
            <w:tcW w:w="2101" w:type="dxa"/>
            <w:vMerge/>
          </w:tcPr>
          <w:p>
            <w:pPr/>
          </w:p>
        </w:tc>
        <w:tc>
          <w:tcPr>
            <w:tcW w:w="1773" w:type="dxa"/>
            <w:vMerge/>
          </w:tcPr>
          <w:p>
            <w:pPr/>
          </w:p>
        </w:tc>
        <w:tc>
          <w:tcPr>
            <w:tcW w:w="887" w:type="dxa"/>
            <w:vMerge/>
          </w:tcPr>
          <w:p>
            <w:pPr/>
          </w:p>
        </w:tc>
        <w:tc>
          <w:tcPr>
            <w:tcW w:w="685" w:type="dxa"/>
            <w:tcBorders>
              <w:right w:val="single" w:sz="4" w:space="0" w:color="FFFFFF"/>
            </w:tcBorders>
            <w:shd w:val="clear" w:color="auto" w:fill="FFFF00"/>
          </w:tcPr>
          <w:p>
            <w:pPr>
              <w:pStyle w:val="TableParagraph"/>
              <w:ind w:left="38" w:right="32"/>
              <w:rPr>
                <w:rFonts w:ascii="Calibri"/>
                <w:sz w:val="12"/>
              </w:rPr>
            </w:pPr>
            <w:r>
              <w:rPr>
                <w:rFonts w:ascii="Calibri"/>
                <w:w w:val="105"/>
                <w:sz w:val="12"/>
              </w:rPr>
              <w:t>0.8</w:t>
            </w:r>
          </w:p>
        </w:tc>
        <w:tc>
          <w:tcPr>
            <w:tcW w:w="683" w:type="dxa"/>
            <w:tcBorders>
              <w:left w:val="single" w:sz="4" w:space="0" w:color="FFFFFF"/>
              <w:right w:val="single" w:sz="8" w:space="0" w:color="000000"/>
            </w:tcBorders>
            <w:shd w:val="clear" w:color="auto" w:fill="67ED4D"/>
          </w:tcPr>
          <w:p>
            <w:pPr>
              <w:pStyle w:val="TableParagraph"/>
              <w:ind w:left="15"/>
              <w:rPr>
                <w:rFonts w:ascii="Calibri"/>
                <w:sz w:val="12"/>
              </w:rPr>
            </w:pPr>
            <w:r>
              <w:rPr>
                <w:rFonts w:ascii="Calibri"/>
                <w:w w:val="105"/>
                <w:sz w:val="12"/>
              </w:rPr>
              <w:t>1</w:t>
            </w:r>
          </w:p>
        </w:tc>
      </w:tr>
      <w:tr>
        <w:trPr>
          <w:trHeight w:val="158" w:hRule="exact"/>
        </w:trPr>
        <w:tc>
          <w:tcPr>
            <w:tcW w:w="619" w:type="dxa"/>
            <w:vMerge/>
            <w:tcBorders>
              <w:left w:val="single" w:sz="4" w:space="0" w:color="000000"/>
            </w:tcBorders>
          </w:tcPr>
          <w:p>
            <w:pPr/>
          </w:p>
        </w:tc>
        <w:tc>
          <w:tcPr>
            <w:tcW w:w="2074" w:type="dxa"/>
            <w:vMerge/>
          </w:tcPr>
          <w:p>
            <w:pPr/>
          </w:p>
        </w:tc>
        <w:tc>
          <w:tcPr>
            <w:tcW w:w="2101" w:type="dxa"/>
            <w:vMerge/>
          </w:tcPr>
          <w:p>
            <w:pPr/>
          </w:p>
        </w:tc>
        <w:tc>
          <w:tcPr>
            <w:tcW w:w="1773" w:type="dxa"/>
            <w:vMerge/>
          </w:tcPr>
          <w:p>
            <w:pPr/>
          </w:p>
        </w:tc>
        <w:tc>
          <w:tcPr>
            <w:tcW w:w="887" w:type="dxa"/>
            <w:vMerge/>
          </w:tcPr>
          <w:p>
            <w:pPr/>
          </w:p>
        </w:tc>
        <w:tc>
          <w:tcPr>
            <w:tcW w:w="685" w:type="dxa"/>
            <w:tcBorders>
              <w:right w:val="single" w:sz="4" w:space="0" w:color="FFFFFF"/>
            </w:tcBorders>
            <w:shd w:val="clear" w:color="auto" w:fill="FFFF00"/>
          </w:tcPr>
          <w:p>
            <w:pPr>
              <w:pStyle w:val="TableParagraph"/>
              <w:ind w:left="38" w:right="32"/>
              <w:rPr>
                <w:rFonts w:ascii="Calibri"/>
                <w:sz w:val="12"/>
              </w:rPr>
            </w:pPr>
            <w:r>
              <w:rPr>
                <w:rFonts w:ascii="Calibri"/>
                <w:w w:val="105"/>
                <w:sz w:val="12"/>
              </w:rPr>
              <w:t>0.5</w:t>
            </w:r>
          </w:p>
        </w:tc>
        <w:tc>
          <w:tcPr>
            <w:tcW w:w="683" w:type="dxa"/>
            <w:tcBorders>
              <w:left w:val="single" w:sz="4" w:space="0" w:color="FFFFFF"/>
              <w:right w:val="single" w:sz="8" w:space="0" w:color="000000"/>
            </w:tcBorders>
            <w:shd w:val="clear" w:color="auto" w:fill="67ED4D"/>
          </w:tcPr>
          <w:p>
            <w:pPr>
              <w:pStyle w:val="TableParagraph"/>
              <w:ind w:left="15"/>
              <w:rPr>
                <w:rFonts w:ascii="Calibri"/>
                <w:sz w:val="12"/>
              </w:rPr>
            </w:pPr>
            <w:r>
              <w:rPr>
                <w:rFonts w:ascii="Calibri"/>
                <w:w w:val="105"/>
                <w:sz w:val="12"/>
              </w:rPr>
              <w:t>1</w:t>
            </w:r>
          </w:p>
        </w:tc>
      </w:tr>
      <w:tr>
        <w:trPr>
          <w:trHeight w:val="162" w:hRule="exact"/>
        </w:trPr>
        <w:tc>
          <w:tcPr>
            <w:tcW w:w="619" w:type="dxa"/>
            <w:vMerge/>
            <w:tcBorders>
              <w:left w:val="single" w:sz="4" w:space="0" w:color="000000"/>
            </w:tcBorders>
          </w:tcPr>
          <w:p>
            <w:pPr/>
          </w:p>
        </w:tc>
        <w:tc>
          <w:tcPr>
            <w:tcW w:w="2074" w:type="dxa"/>
            <w:vMerge/>
          </w:tcPr>
          <w:p>
            <w:pPr/>
          </w:p>
        </w:tc>
        <w:tc>
          <w:tcPr>
            <w:tcW w:w="2101" w:type="dxa"/>
            <w:vMerge/>
          </w:tcPr>
          <w:p>
            <w:pPr/>
          </w:p>
        </w:tc>
        <w:tc>
          <w:tcPr>
            <w:tcW w:w="1773" w:type="dxa"/>
            <w:vMerge/>
          </w:tcPr>
          <w:p>
            <w:pPr/>
          </w:p>
        </w:tc>
        <w:tc>
          <w:tcPr>
            <w:tcW w:w="887" w:type="dxa"/>
            <w:vMerge/>
          </w:tcPr>
          <w:p>
            <w:pPr/>
          </w:p>
        </w:tc>
        <w:tc>
          <w:tcPr>
            <w:tcW w:w="685" w:type="dxa"/>
            <w:tcBorders>
              <w:right w:val="single" w:sz="4" w:space="0" w:color="FFFFFF"/>
            </w:tcBorders>
            <w:shd w:val="clear" w:color="auto" w:fill="FFFF00"/>
          </w:tcPr>
          <w:p>
            <w:pPr>
              <w:pStyle w:val="TableParagraph"/>
              <w:ind w:left="38" w:right="32"/>
              <w:rPr>
                <w:rFonts w:ascii="Calibri"/>
                <w:sz w:val="12"/>
              </w:rPr>
            </w:pPr>
            <w:r>
              <w:rPr>
                <w:rFonts w:ascii="Calibri"/>
                <w:w w:val="105"/>
                <w:sz w:val="12"/>
              </w:rPr>
              <w:t>2.9</w:t>
            </w:r>
          </w:p>
        </w:tc>
        <w:tc>
          <w:tcPr>
            <w:tcW w:w="683" w:type="dxa"/>
            <w:tcBorders>
              <w:left w:val="single" w:sz="4" w:space="0" w:color="FFFFFF"/>
              <w:right w:val="single" w:sz="8" w:space="0" w:color="000000"/>
            </w:tcBorders>
            <w:shd w:val="clear" w:color="auto" w:fill="67ED4D"/>
          </w:tcPr>
          <w:p>
            <w:pPr>
              <w:pStyle w:val="TableParagraph"/>
              <w:ind w:left="15"/>
              <w:rPr>
                <w:rFonts w:ascii="Calibri"/>
                <w:sz w:val="12"/>
              </w:rPr>
            </w:pPr>
            <w:r>
              <w:rPr>
                <w:rFonts w:ascii="Calibri"/>
                <w:w w:val="105"/>
                <w:sz w:val="12"/>
              </w:rPr>
              <w:t>4</w:t>
            </w:r>
          </w:p>
        </w:tc>
      </w:tr>
      <w:tr>
        <w:trPr>
          <w:trHeight w:val="147" w:hRule="exact"/>
        </w:trPr>
        <w:tc>
          <w:tcPr>
            <w:tcW w:w="8822" w:type="dxa"/>
            <w:gridSpan w:val="7"/>
            <w:tcBorders>
              <w:left w:val="single" w:sz="4" w:space="0" w:color="000000"/>
              <w:right w:val="single" w:sz="8" w:space="0" w:color="000000"/>
            </w:tcBorders>
          </w:tcPr>
          <w:p>
            <w:pPr/>
          </w:p>
        </w:tc>
      </w:tr>
      <w:tr>
        <w:trPr>
          <w:trHeight w:val="165" w:hRule="exact"/>
        </w:trPr>
        <w:tc>
          <w:tcPr>
            <w:tcW w:w="619" w:type="dxa"/>
            <w:tcBorders>
              <w:left w:val="single" w:sz="4" w:space="0" w:color="000000"/>
            </w:tcBorders>
          </w:tcPr>
          <w:p>
            <w:pPr/>
          </w:p>
        </w:tc>
        <w:tc>
          <w:tcPr>
            <w:tcW w:w="2074" w:type="dxa"/>
          </w:tcPr>
          <w:p>
            <w:pPr/>
          </w:p>
        </w:tc>
        <w:tc>
          <w:tcPr>
            <w:tcW w:w="2101" w:type="dxa"/>
          </w:tcPr>
          <w:p>
            <w:pPr>
              <w:pStyle w:val="TableParagraph"/>
              <w:spacing w:before="6"/>
              <w:ind w:left="121" w:right="746"/>
              <w:jc w:val="left"/>
              <w:rPr>
                <w:rFonts w:ascii="Calibri"/>
                <w:sz w:val="12"/>
              </w:rPr>
            </w:pPr>
            <w:r>
              <w:rPr>
                <w:rFonts w:ascii="Calibri"/>
                <w:w w:val="105"/>
                <w:sz w:val="12"/>
              </w:rPr>
              <w:t>Empleo</w:t>
            </w:r>
          </w:p>
        </w:tc>
        <w:tc>
          <w:tcPr>
            <w:tcW w:w="1773" w:type="dxa"/>
          </w:tcPr>
          <w:p>
            <w:pPr>
              <w:pStyle w:val="TableParagraph"/>
              <w:spacing w:before="6"/>
              <w:ind w:left="882" w:right="184"/>
              <w:rPr>
                <w:rFonts w:ascii="Calibri"/>
                <w:sz w:val="12"/>
              </w:rPr>
            </w:pPr>
            <w:r>
              <w:rPr>
                <w:rFonts w:ascii="Calibri"/>
                <w:w w:val="105"/>
                <w:sz w:val="12"/>
              </w:rPr>
              <w:t>0.6</w:t>
            </w:r>
          </w:p>
        </w:tc>
        <w:tc>
          <w:tcPr>
            <w:tcW w:w="887" w:type="dxa"/>
          </w:tcPr>
          <w:p>
            <w:pPr/>
          </w:p>
        </w:tc>
        <w:tc>
          <w:tcPr>
            <w:tcW w:w="685" w:type="dxa"/>
          </w:tcPr>
          <w:p>
            <w:pPr>
              <w:pStyle w:val="TableParagraph"/>
              <w:spacing w:before="6"/>
              <w:ind w:left="243" w:right="242"/>
              <w:rPr>
                <w:rFonts w:ascii="Calibri"/>
                <w:sz w:val="12"/>
              </w:rPr>
            </w:pPr>
            <w:r>
              <w:rPr>
                <w:rFonts w:ascii="Calibri"/>
                <w:w w:val="105"/>
                <w:sz w:val="12"/>
              </w:rPr>
              <w:t>0.8</w:t>
            </w:r>
          </w:p>
        </w:tc>
        <w:tc>
          <w:tcPr>
            <w:tcW w:w="683" w:type="dxa"/>
            <w:tcBorders>
              <w:right w:val="single" w:sz="8" w:space="0" w:color="000000"/>
            </w:tcBorders>
            <w:shd w:val="clear" w:color="auto" w:fill="67ED4D"/>
          </w:tcPr>
          <w:p>
            <w:pPr>
              <w:pStyle w:val="TableParagraph"/>
              <w:spacing w:before="6"/>
              <w:ind w:left="20"/>
              <w:rPr>
                <w:rFonts w:ascii="Calibri"/>
                <w:sz w:val="12"/>
              </w:rPr>
            </w:pPr>
            <w:r>
              <w:rPr>
                <w:rFonts w:ascii="Calibri"/>
                <w:w w:val="105"/>
                <w:sz w:val="12"/>
              </w:rPr>
              <w:t>1</w:t>
            </w:r>
          </w:p>
        </w:tc>
      </w:tr>
      <w:tr>
        <w:trPr>
          <w:trHeight w:val="158" w:hRule="exact"/>
        </w:trPr>
        <w:tc>
          <w:tcPr>
            <w:tcW w:w="619" w:type="dxa"/>
            <w:tcBorders>
              <w:left w:val="single" w:sz="4" w:space="0" w:color="000000"/>
            </w:tcBorders>
          </w:tcPr>
          <w:p>
            <w:pPr/>
          </w:p>
        </w:tc>
        <w:tc>
          <w:tcPr>
            <w:tcW w:w="2074" w:type="dxa"/>
          </w:tcPr>
          <w:p>
            <w:pPr/>
          </w:p>
        </w:tc>
        <w:tc>
          <w:tcPr>
            <w:tcW w:w="2101" w:type="dxa"/>
          </w:tcPr>
          <w:p>
            <w:pPr>
              <w:pStyle w:val="TableParagraph"/>
              <w:ind w:left="121" w:right="746"/>
              <w:jc w:val="left"/>
              <w:rPr>
                <w:rFonts w:ascii="Calibri" w:hAnsi="Calibri"/>
                <w:sz w:val="12"/>
              </w:rPr>
            </w:pPr>
            <w:r>
              <w:rPr>
                <w:rFonts w:ascii="Calibri" w:hAnsi="Calibri"/>
                <w:w w:val="105"/>
                <w:sz w:val="12"/>
              </w:rPr>
              <w:t>Educación</w:t>
            </w:r>
          </w:p>
        </w:tc>
        <w:tc>
          <w:tcPr>
            <w:tcW w:w="1773" w:type="dxa"/>
          </w:tcPr>
          <w:p>
            <w:pPr>
              <w:pStyle w:val="TableParagraph"/>
              <w:ind w:left="882" w:right="184"/>
              <w:rPr>
                <w:rFonts w:ascii="Calibri"/>
                <w:sz w:val="12"/>
              </w:rPr>
            </w:pPr>
            <w:r>
              <w:rPr>
                <w:rFonts w:ascii="Calibri"/>
                <w:w w:val="105"/>
                <w:sz w:val="12"/>
              </w:rPr>
              <w:t>0.7</w:t>
            </w:r>
          </w:p>
        </w:tc>
        <w:tc>
          <w:tcPr>
            <w:tcW w:w="887" w:type="dxa"/>
          </w:tcPr>
          <w:p>
            <w:pPr/>
          </w:p>
        </w:tc>
        <w:tc>
          <w:tcPr>
            <w:tcW w:w="685" w:type="dxa"/>
          </w:tcPr>
          <w:p>
            <w:pPr>
              <w:pStyle w:val="TableParagraph"/>
              <w:ind w:left="243" w:right="242"/>
              <w:rPr>
                <w:rFonts w:ascii="Calibri"/>
                <w:sz w:val="12"/>
              </w:rPr>
            </w:pPr>
            <w:r>
              <w:rPr>
                <w:rFonts w:ascii="Calibri"/>
                <w:w w:val="105"/>
                <w:sz w:val="12"/>
              </w:rPr>
              <w:t>0.7</w:t>
            </w:r>
          </w:p>
        </w:tc>
        <w:tc>
          <w:tcPr>
            <w:tcW w:w="683" w:type="dxa"/>
            <w:tcBorders>
              <w:right w:val="single" w:sz="8" w:space="0" w:color="000000"/>
            </w:tcBorders>
            <w:shd w:val="clear" w:color="auto" w:fill="67ED4D"/>
          </w:tcPr>
          <w:p>
            <w:pPr>
              <w:pStyle w:val="TableParagraph"/>
              <w:ind w:left="20"/>
              <w:rPr>
                <w:rFonts w:ascii="Calibri"/>
                <w:sz w:val="12"/>
              </w:rPr>
            </w:pPr>
            <w:r>
              <w:rPr>
                <w:rFonts w:ascii="Calibri"/>
                <w:w w:val="105"/>
                <w:sz w:val="12"/>
              </w:rPr>
              <w:t>1</w:t>
            </w:r>
          </w:p>
        </w:tc>
      </w:tr>
      <w:tr>
        <w:trPr>
          <w:trHeight w:val="158" w:hRule="exact"/>
        </w:trPr>
        <w:tc>
          <w:tcPr>
            <w:tcW w:w="619" w:type="dxa"/>
            <w:tcBorders>
              <w:left w:val="single" w:sz="4" w:space="0" w:color="000000"/>
            </w:tcBorders>
          </w:tcPr>
          <w:p>
            <w:pPr/>
          </w:p>
        </w:tc>
        <w:tc>
          <w:tcPr>
            <w:tcW w:w="2074" w:type="dxa"/>
          </w:tcPr>
          <w:p>
            <w:pPr/>
          </w:p>
        </w:tc>
        <w:tc>
          <w:tcPr>
            <w:tcW w:w="2101" w:type="dxa"/>
          </w:tcPr>
          <w:p>
            <w:pPr>
              <w:pStyle w:val="TableParagraph"/>
              <w:ind w:left="121" w:right="746"/>
              <w:jc w:val="left"/>
              <w:rPr>
                <w:rFonts w:ascii="Calibri"/>
                <w:sz w:val="12"/>
              </w:rPr>
            </w:pPr>
            <w:r>
              <w:rPr>
                <w:rFonts w:ascii="Calibri"/>
                <w:w w:val="105"/>
                <w:sz w:val="12"/>
              </w:rPr>
              <w:t>Salud</w:t>
            </w:r>
          </w:p>
        </w:tc>
        <w:tc>
          <w:tcPr>
            <w:tcW w:w="1773" w:type="dxa"/>
          </w:tcPr>
          <w:p>
            <w:pPr>
              <w:pStyle w:val="TableParagraph"/>
              <w:ind w:left="882" w:right="184"/>
              <w:rPr>
                <w:rFonts w:ascii="Calibri"/>
                <w:sz w:val="12"/>
              </w:rPr>
            </w:pPr>
            <w:r>
              <w:rPr>
                <w:rFonts w:ascii="Calibri"/>
                <w:w w:val="105"/>
                <w:sz w:val="12"/>
              </w:rPr>
              <w:t>0.7</w:t>
            </w:r>
          </w:p>
        </w:tc>
        <w:tc>
          <w:tcPr>
            <w:tcW w:w="887" w:type="dxa"/>
          </w:tcPr>
          <w:p>
            <w:pPr/>
          </w:p>
        </w:tc>
        <w:tc>
          <w:tcPr>
            <w:tcW w:w="685" w:type="dxa"/>
          </w:tcPr>
          <w:p>
            <w:pPr>
              <w:pStyle w:val="TableParagraph"/>
              <w:ind w:left="243" w:right="242"/>
              <w:rPr>
                <w:rFonts w:ascii="Calibri"/>
                <w:sz w:val="12"/>
              </w:rPr>
            </w:pPr>
            <w:r>
              <w:rPr>
                <w:rFonts w:ascii="Calibri"/>
                <w:w w:val="105"/>
                <w:sz w:val="12"/>
              </w:rPr>
              <w:t>0.9</w:t>
            </w:r>
          </w:p>
        </w:tc>
        <w:tc>
          <w:tcPr>
            <w:tcW w:w="683" w:type="dxa"/>
            <w:tcBorders>
              <w:right w:val="single" w:sz="8" w:space="0" w:color="000000"/>
            </w:tcBorders>
            <w:shd w:val="clear" w:color="auto" w:fill="67ED4D"/>
          </w:tcPr>
          <w:p>
            <w:pPr>
              <w:pStyle w:val="TableParagraph"/>
              <w:ind w:left="20"/>
              <w:rPr>
                <w:rFonts w:ascii="Calibri"/>
                <w:sz w:val="12"/>
              </w:rPr>
            </w:pPr>
            <w:r>
              <w:rPr>
                <w:rFonts w:ascii="Calibri"/>
                <w:w w:val="105"/>
                <w:sz w:val="12"/>
              </w:rPr>
              <w:t>1</w:t>
            </w:r>
          </w:p>
        </w:tc>
      </w:tr>
      <w:tr>
        <w:trPr>
          <w:trHeight w:val="316" w:hRule="exact"/>
        </w:trPr>
        <w:tc>
          <w:tcPr>
            <w:tcW w:w="619" w:type="dxa"/>
            <w:tcBorders>
              <w:left w:val="single" w:sz="4" w:space="0" w:color="000000"/>
            </w:tcBorders>
          </w:tcPr>
          <w:p>
            <w:pPr/>
          </w:p>
        </w:tc>
        <w:tc>
          <w:tcPr>
            <w:tcW w:w="2074" w:type="dxa"/>
          </w:tcPr>
          <w:p>
            <w:pPr>
              <w:pStyle w:val="TableParagraph"/>
              <w:spacing w:before="73"/>
              <w:ind w:left="91"/>
              <w:jc w:val="left"/>
              <w:rPr>
                <w:rFonts w:ascii="Calibri"/>
                <w:sz w:val="12"/>
              </w:rPr>
            </w:pPr>
            <w:r>
              <w:rPr>
                <w:rFonts w:ascii="Calibri"/>
                <w:w w:val="105"/>
                <w:sz w:val="12"/>
              </w:rPr>
              <w:t>Oportunidades urbanas</w:t>
            </w:r>
          </w:p>
        </w:tc>
        <w:tc>
          <w:tcPr>
            <w:tcW w:w="2101" w:type="dxa"/>
          </w:tcPr>
          <w:p>
            <w:pPr>
              <w:pStyle w:val="TableParagraph"/>
              <w:spacing w:line="259" w:lineRule="auto"/>
              <w:ind w:left="121" w:right="1448"/>
              <w:jc w:val="left"/>
              <w:rPr>
                <w:rFonts w:ascii="Calibri"/>
                <w:sz w:val="12"/>
              </w:rPr>
            </w:pPr>
            <w:r>
              <w:rPr>
                <w:rFonts w:ascii="Calibri"/>
                <w:w w:val="105"/>
                <w:sz w:val="12"/>
              </w:rPr>
              <w:t>Seguridad Abasto</w:t>
            </w:r>
          </w:p>
        </w:tc>
        <w:tc>
          <w:tcPr>
            <w:tcW w:w="1773" w:type="dxa"/>
          </w:tcPr>
          <w:p>
            <w:pPr>
              <w:pStyle w:val="TableParagraph"/>
              <w:ind w:left="1156"/>
              <w:jc w:val="left"/>
              <w:rPr>
                <w:rFonts w:ascii="Calibri"/>
                <w:sz w:val="12"/>
              </w:rPr>
            </w:pPr>
            <w:r>
              <w:rPr>
                <w:rFonts w:ascii="Calibri"/>
                <w:w w:val="105"/>
                <w:sz w:val="12"/>
              </w:rPr>
              <w:t>0.9</w:t>
            </w:r>
          </w:p>
          <w:p>
            <w:pPr>
              <w:pStyle w:val="TableParagraph"/>
              <w:spacing w:before="11"/>
              <w:ind w:left="1156"/>
              <w:jc w:val="left"/>
              <w:rPr>
                <w:rFonts w:ascii="Calibri"/>
                <w:sz w:val="12"/>
              </w:rPr>
            </w:pPr>
            <w:r>
              <w:rPr>
                <w:rFonts w:ascii="Calibri"/>
                <w:w w:val="105"/>
                <w:sz w:val="12"/>
              </w:rPr>
              <w:t>0.9</w:t>
            </w:r>
          </w:p>
        </w:tc>
        <w:tc>
          <w:tcPr>
            <w:tcW w:w="887" w:type="dxa"/>
          </w:tcPr>
          <w:p>
            <w:pPr/>
          </w:p>
        </w:tc>
        <w:tc>
          <w:tcPr>
            <w:tcW w:w="685" w:type="dxa"/>
          </w:tcPr>
          <w:p>
            <w:pPr>
              <w:pStyle w:val="TableParagraph"/>
              <w:ind w:left="243" w:right="242"/>
              <w:rPr>
                <w:rFonts w:ascii="Calibri"/>
                <w:sz w:val="12"/>
              </w:rPr>
            </w:pPr>
            <w:r>
              <w:rPr>
                <w:rFonts w:ascii="Calibri"/>
                <w:w w:val="105"/>
                <w:sz w:val="12"/>
              </w:rPr>
              <w:t>0.9</w:t>
            </w:r>
          </w:p>
          <w:p>
            <w:pPr>
              <w:pStyle w:val="TableParagraph"/>
              <w:spacing w:before="11"/>
              <w:ind w:left="243" w:right="242"/>
              <w:rPr>
                <w:rFonts w:ascii="Calibri"/>
                <w:sz w:val="12"/>
              </w:rPr>
            </w:pPr>
            <w:r>
              <w:rPr>
                <w:rFonts w:ascii="Calibri"/>
                <w:w w:val="105"/>
                <w:sz w:val="12"/>
              </w:rPr>
              <w:t>0.9</w:t>
            </w:r>
          </w:p>
        </w:tc>
        <w:tc>
          <w:tcPr>
            <w:tcW w:w="683" w:type="dxa"/>
            <w:tcBorders>
              <w:right w:val="single" w:sz="8" w:space="0" w:color="000000"/>
            </w:tcBorders>
            <w:shd w:val="clear" w:color="auto" w:fill="67ED4D"/>
          </w:tcPr>
          <w:p>
            <w:pPr>
              <w:pStyle w:val="TableParagraph"/>
              <w:ind w:left="20"/>
              <w:rPr>
                <w:rFonts w:ascii="Calibri"/>
                <w:sz w:val="12"/>
              </w:rPr>
            </w:pPr>
            <w:r>
              <w:rPr>
                <w:rFonts w:ascii="Calibri"/>
                <w:w w:val="105"/>
                <w:sz w:val="12"/>
              </w:rPr>
              <w:t>1</w:t>
            </w:r>
          </w:p>
          <w:p>
            <w:pPr>
              <w:pStyle w:val="TableParagraph"/>
              <w:spacing w:before="11"/>
              <w:ind w:left="20"/>
              <w:rPr>
                <w:rFonts w:ascii="Calibri"/>
                <w:sz w:val="12"/>
              </w:rPr>
            </w:pPr>
            <w:r>
              <w:rPr>
                <w:rFonts w:ascii="Calibri"/>
                <w:w w:val="105"/>
                <w:sz w:val="12"/>
              </w:rPr>
              <w:t>1</w:t>
            </w:r>
          </w:p>
        </w:tc>
      </w:tr>
      <w:tr>
        <w:trPr>
          <w:trHeight w:val="158" w:hRule="exact"/>
        </w:trPr>
        <w:tc>
          <w:tcPr>
            <w:tcW w:w="619" w:type="dxa"/>
            <w:tcBorders>
              <w:left w:val="single" w:sz="4" w:space="0" w:color="000000"/>
            </w:tcBorders>
          </w:tcPr>
          <w:p>
            <w:pPr/>
          </w:p>
        </w:tc>
        <w:tc>
          <w:tcPr>
            <w:tcW w:w="2074" w:type="dxa"/>
          </w:tcPr>
          <w:p>
            <w:pPr/>
          </w:p>
        </w:tc>
        <w:tc>
          <w:tcPr>
            <w:tcW w:w="2101" w:type="dxa"/>
          </w:tcPr>
          <w:p>
            <w:pPr>
              <w:pStyle w:val="TableParagraph"/>
              <w:ind w:left="121" w:right="746"/>
              <w:jc w:val="left"/>
              <w:rPr>
                <w:rFonts w:ascii="Calibri"/>
                <w:sz w:val="12"/>
              </w:rPr>
            </w:pPr>
            <w:r>
              <w:rPr>
                <w:rFonts w:ascii="Calibri"/>
                <w:w w:val="105"/>
                <w:sz w:val="12"/>
              </w:rPr>
              <w:t>Transporte</w:t>
            </w:r>
          </w:p>
        </w:tc>
        <w:tc>
          <w:tcPr>
            <w:tcW w:w="1773" w:type="dxa"/>
          </w:tcPr>
          <w:p>
            <w:pPr>
              <w:pStyle w:val="TableParagraph"/>
              <w:ind w:left="882" w:right="184"/>
              <w:rPr>
                <w:rFonts w:ascii="Calibri"/>
                <w:sz w:val="12"/>
              </w:rPr>
            </w:pPr>
            <w:r>
              <w:rPr>
                <w:rFonts w:ascii="Calibri"/>
                <w:w w:val="105"/>
                <w:sz w:val="12"/>
              </w:rPr>
              <w:t>0.6</w:t>
            </w:r>
          </w:p>
        </w:tc>
        <w:tc>
          <w:tcPr>
            <w:tcW w:w="887" w:type="dxa"/>
          </w:tcPr>
          <w:p>
            <w:pPr/>
          </w:p>
        </w:tc>
        <w:tc>
          <w:tcPr>
            <w:tcW w:w="685" w:type="dxa"/>
          </w:tcPr>
          <w:p>
            <w:pPr>
              <w:pStyle w:val="TableParagraph"/>
              <w:ind w:left="243" w:right="242"/>
              <w:rPr>
                <w:rFonts w:ascii="Calibri"/>
                <w:sz w:val="12"/>
              </w:rPr>
            </w:pPr>
            <w:r>
              <w:rPr>
                <w:rFonts w:ascii="Calibri"/>
                <w:w w:val="105"/>
                <w:sz w:val="12"/>
              </w:rPr>
              <w:t>0.6</w:t>
            </w:r>
          </w:p>
        </w:tc>
        <w:tc>
          <w:tcPr>
            <w:tcW w:w="683" w:type="dxa"/>
            <w:tcBorders>
              <w:right w:val="single" w:sz="8" w:space="0" w:color="000000"/>
            </w:tcBorders>
            <w:shd w:val="clear" w:color="auto" w:fill="67ED4D"/>
          </w:tcPr>
          <w:p>
            <w:pPr>
              <w:pStyle w:val="TableParagraph"/>
              <w:ind w:left="20"/>
              <w:rPr>
                <w:rFonts w:ascii="Calibri"/>
                <w:sz w:val="12"/>
              </w:rPr>
            </w:pPr>
            <w:r>
              <w:rPr>
                <w:rFonts w:ascii="Calibri"/>
                <w:w w:val="105"/>
                <w:sz w:val="12"/>
              </w:rPr>
              <w:t>1</w:t>
            </w:r>
          </w:p>
        </w:tc>
      </w:tr>
      <w:tr>
        <w:trPr>
          <w:trHeight w:val="158" w:hRule="exact"/>
        </w:trPr>
        <w:tc>
          <w:tcPr>
            <w:tcW w:w="619" w:type="dxa"/>
            <w:tcBorders>
              <w:left w:val="single" w:sz="4" w:space="0" w:color="000000"/>
            </w:tcBorders>
          </w:tcPr>
          <w:p>
            <w:pPr>
              <w:pStyle w:val="TableParagraph"/>
              <w:ind w:left="132" w:right="71"/>
              <w:rPr>
                <w:rFonts w:ascii="Calibri"/>
                <w:sz w:val="12"/>
              </w:rPr>
            </w:pPr>
            <w:r>
              <w:rPr>
                <w:rFonts w:ascii="Calibri"/>
                <w:w w:val="105"/>
                <w:sz w:val="12"/>
              </w:rPr>
              <w:t>Social</w:t>
            </w:r>
          </w:p>
        </w:tc>
        <w:tc>
          <w:tcPr>
            <w:tcW w:w="2074" w:type="dxa"/>
          </w:tcPr>
          <w:p>
            <w:pPr/>
          </w:p>
        </w:tc>
        <w:tc>
          <w:tcPr>
            <w:tcW w:w="2101" w:type="dxa"/>
          </w:tcPr>
          <w:p>
            <w:pPr>
              <w:pStyle w:val="TableParagraph"/>
              <w:ind w:left="121" w:right="746"/>
              <w:jc w:val="left"/>
              <w:rPr>
                <w:rFonts w:ascii="Calibri" w:hAnsi="Calibri"/>
                <w:sz w:val="12"/>
              </w:rPr>
            </w:pPr>
            <w:r>
              <w:rPr>
                <w:rFonts w:ascii="Calibri" w:hAnsi="Calibri"/>
                <w:w w:val="105"/>
                <w:sz w:val="12"/>
              </w:rPr>
              <w:t>Recreación</w:t>
            </w:r>
          </w:p>
        </w:tc>
        <w:tc>
          <w:tcPr>
            <w:tcW w:w="1773" w:type="dxa"/>
          </w:tcPr>
          <w:p>
            <w:pPr>
              <w:pStyle w:val="TableParagraph"/>
              <w:ind w:left="882" w:right="184"/>
              <w:rPr>
                <w:rFonts w:ascii="Calibri"/>
                <w:sz w:val="12"/>
              </w:rPr>
            </w:pPr>
            <w:r>
              <w:rPr>
                <w:rFonts w:ascii="Calibri"/>
                <w:w w:val="105"/>
                <w:sz w:val="12"/>
              </w:rPr>
              <w:t>0.9</w:t>
            </w:r>
          </w:p>
        </w:tc>
        <w:tc>
          <w:tcPr>
            <w:tcW w:w="887" w:type="dxa"/>
          </w:tcPr>
          <w:p>
            <w:pPr/>
          </w:p>
        </w:tc>
        <w:tc>
          <w:tcPr>
            <w:tcW w:w="685" w:type="dxa"/>
          </w:tcPr>
          <w:p>
            <w:pPr>
              <w:pStyle w:val="TableParagraph"/>
              <w:ind w:left="243" w:right="242"/>
              <w:rPr>
                <w:rFonts w:ascii="Calibri"/>
                <w:sz w:val="12"/>
              </w:rPr>
            </w:pPr>
            <w:r>
              <w:rPr>
                <w:rFonts w:ascii="Calibri"/>
                <w:w w:val="105"/>
                <w:sz w:val="12"/>
              </w:rPr>
              <w:t>0.8</w:t>
            </w:r>
          </w:p>
        </w:tc>
        <w:tc>
          <w:tcPr>
            <w:tcW w:w="683" w:type="dxa"/>
            <w:tcBorders>
              <w:right w:val="single" w:sz="8" w:space="0" w:color="000000"/>
            </w:tcBorders>
            <w:shd w:val="clear" w:color="auto" w:fill="67ED4D"/>
          </w:tcPr>
          <w:p>
            <w:pPr>
              <w:pStyle w:val="TableParagraph"/>
              <w:ind w:left="20"/>
              <w:rPr>
                <w:rFonts w:ascii="Calibri"/>
                <w:sz w:val="12"/>
              </w:rPr>
            </w:pPr>
            <w:r>
              <w:rPr>
                <w:rFonts w:ascii="Calibri"/>
                <w:w w:val="105"/>
                <w:sz w:val="12"/>
              </w:rPr>
              <w:t>1</w:t>
            </w:r>
          </w:p>
        </w:tc>
      </w:tr>
      <w:tr>
        <w:trPr>
          <w:trHeight w:val="156" w:hRule="exact"/>
        </w:trPr>
        <w:tc>
          <w:tcPr>
            <w:tcW w:w="619" w:type="dxa"/>
            <w:tcBorders>
              <w:left w:val="single" w:sz="4" w:space="0" w:color="000000"/>
            </w:tcBorders>
          </w:tcPr>
          <w:p>
            <w:pPr/>
          </w:p>
        </w:tc>
        <w:tc>
          <w:tcPr>
            <w:tcW w:w="2074" w:type="dxa"/>
          </w:tcPr>
          <w:p>
            <w:pPr/>
          </w:p>
        </w:tc>
        <w:tc>
          <w:tcPr>
            <w:tcW w:w="2101" w:type="dxa"/>
          </w:tcPr>
          <w:p>
            <w:pPr>
              <w:pStyle w:val="TableParagraph"/>
              <w:ind w:left="121"/>
              <w:jc w:val="left"/>
              <w:rPr>
                <w:rFonts w:ascii="Calibri"/>
                <w:sz w:val="12"/>
              </w:rPr>
            </w:pPr>
            <w:r>
              <w:rPr>
                <w:rFonts w:ascii="Calibri"/>
                <w:w w:val="105"/>
                <w:sz w:val="12"/>
              </w:rPr>
              <w:t>Servicios especializados</w:t>
            </w:r>
          </w:p>
        </w:tc>
        <w:tc>
          <w:tcPr>
            <w:tcW w:w="1773" w:type="dxa"/>
          </w:tcPr>
          <w:p>
            <w:pPr>
              <w:pStyle w:val="TableParagraph"/>
              <w:ind w:left="882" w:right="184"/>
              <w:rPr>
                <w:rFonts w:ascii="Calibri"/>
                <w:sz w:val="12"/>
              </w:rPr>
            </w:pPr>
            <w:r>
              <w:rPr>
                <w:rFonts w:ascii="Calibri"/>
                <w:w w:val="105"/>
                <w:sz w:val="12"/>
              </w:rPr>
              <w:t>0.6</w:t>
            </w:r>
          </w:p>
        </w:tc>
        <w:tc>
          <w:tcPr>
            <w:tcW w:w="887" w:type="dxa"/>
          </w:tcPr>
          <w:p>
            <w:pPr/>
          </w:p>
        </w:tc>
        <w:tc>
          <w:tcPr>
            <w:tcW w:w="685" w:type="dxa"/>
          </w:tcPr>
          <w:p>
            <w:pPr>
              <w:pStyle w:val="TableParagraph"/>
              <w:ind w:left="243" w:right="242"/>
              <w:rPr>
                <w:rFonts w:ascii="Calibri"/>
                <w:sz w:val="12"/>
              </w:rPr>
            </w:pPr>
            <w:r>
              <w:rPr>
                <w:rFonts w:ascii="Calibri"/>
                <w:w w:val="105"/>
                <w:sz w:val="12"/>
              </w:rPr>
              <w:t>0.7</w:t>
            </w:r>
          </w:p>
        </w:tc>
        <w:tc>
          <w:tcPr>
            <w:tcW w:w="683" w:type="dxa"/>
            <w:tcBorders>
              <w:right w:val="single" w:sz="8" w:space="0" w:color="000000"/>
            </w:tcBorders>
            <w:shd w:val="clear" w:color="auto" w:fill="67ED4D"/>
          </w:tcPr>
          <w:p>
            <w:pPr>
              <w:pStyle w:val="TableParagraph"/>
              <w:ind w:left="20"/>
              <w:rPr>
                <w:rFonts w:ascii="Calibri"/>
                <w:sz w:val="12"/>
              </w:rPr>
            </w:pPr>
            <w:r>
              <w:rPr>
                <w:rFonts w:ascii="Calibri"/>
                <w:w w:val="105"/>
                <w:sz w:val="12"/>
              </w:rPr>
              <w:t>1</w:t>
            </w:r>
          </w:p>
        </w:tc>
      </w:tr>
      <w:tr>
        <w:trPr>
          <w:trHeight w:val="163" w:hRule="exact"/>
        </w:trPr>
        <w:tc>
          <w:tcPr>
            <w:tcW w:w="619" w:type="dxa"/>
            <w:tcBorders>
              <w:left w:val="single" w:sz="4" w:space="0" w:color="000000"/>
            </w:tcBorders>
          </w:tcPr>
          <w:p>
            <w:pPr/>
          </w:p>
        </w:tc>
        <w:tc>
          <w:tcPr>
            <w:tcW w:w="2074" w:type="dxa"/>
          </w:tcPr>
          <w:p>
            <w:pPr/>
          </w:p>
        </w:tc>
        <w:tc>
          <w:tcPr>
            <w:tcW w:w="2101" w:type="dxa"/>
          </w:tcPr>
          <w:p>
            <w:pPr/>
          </w:p>
        </w:tc>
        <w:tc>
          <w:tcPr>
            <w:tcW w:w="1773" w:type="dxa"/>
          </w:tcPr>
          <w:p>
            <w:pPr>
              <w:pStyle w:val="TableParagraph"/>
              <w:spacing w:before="1"/>
              <w:ind w:left="880" w:right="184"/>
              <w:rPr>
                <w:rFonts w:ascii="Calibri"/>
                <w:sz w:val="12"/>
              </w:rPr>
            </w:pPr>
            <w:r>
              <w:rPr>
                <w:rFonts w:ascii="Calibri"/>
                <w:w w:val="105"/>
                <w:sz w:val="12"/>
              </w:rPr>
              <w:t>Subtotal</w:t>
            </w:r>
          </w:p>
        </w:tc>
        <w:tc>
          <w:tcPr>
            <w:tcW w:w="887" w:type="dxa"/>
          </w:tcPr>
          <w:p>
            <w:pPr>
              <w:pStyle w:val="TableParagraph"/>
              <w:tabs>
                <w:tab w:pos="466"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5.9</w:t>
            </w:r>
            <w:r>
              <w:rPr>
                <w:rFonts w:ascii="Calibri"/>
                <w:sz w:val="12"/>
                <w:shd w:fill="F79646" w:color="auto" w:val="clear"/>
              </w:rPr>
              <w:tab/>
            </w:r>
          </w:p>
        </w:tc>
        <w:tc>
          <w:tcPr>
            <w:tcW w:w="685" w:type="dxa"/>
          </w:tcPr>
          <w:p>
            <w:pPr>
              <w:pStyle w:val="TableParagraph"/>
              <w:spacing w:before="1"/>
              <w:ind w:left="243" w:right="242"/>
              <w:rPr>
                <w:rFonts w:ascii="Calibri"/>
                <w:sz w:val="12"/>
              </w:rPr>
            </w:pPr>
            <w:r>
              <w:rPr>
                <w:rFonts w:ascii="Calibri"/>
                <w:w w:val="105"/>
                <w:sz w:val="12"/>
              </w:rPr>
              <w:t>6.3</w:t>
            </w:r>
          </w:p>
        </w:tc>
        <w:tc>
          <w:tcPr>
            <w:tcW w:w="683" w:type="dxa"/>
            <w:tcBorders>
              <w:right w:val="single" w:sz="8" w:space="0" w:color="000000"/>
            </w:tcBorders>
            <w:shd w:val="clear" w:color="auto" w:fill="67ED4D"/>
          </w:tcPr>
          <w:p>
            <w:pPr>
              <w:pStyle w:val="TableParagraph"/>
              <w:spacing w:before="1"/>
              <w:ind w:left="20"/>
              <w:rPr>
                <w:rFonts w:ascii="Calibri"/>
                <w:sz w:val="12"/>
              </w:rPr>
            </w:pPr>
            <w:r>
              <w:rPr>
                <w:rFonts w:ascii="Calibri"/>
                <w:w w:val="105"/>
                <w:sz w:val="12"/>
              </w:rPr>
              <w:t>8</w:t>
            </w:r>
          </w:p>
        </w:tc>
      </w:tr>
      <w:tr>
        <w:trPr>
          <w:trHeight w:val="147" w:hRule="exact"/>
        </w:trPr>
        <w:tc>
          <w:tcPr>
            <w:tcW w:w="8822" w:type="dxa"/>
            <w:gridSpan w:val="7"/>
            <w:tcBorders>
              <w:left w:val="single" w:sz="4" w:space="0" w:color="000000"/>
              <w:right w:val="single" w:sz="8" w:space="0" w:color="000000"/>
            </w:tcBorders>
          </w:tcPr>
          <w:p>
            <w:pPr/>
          </w:p>
        </w:tc>
      </w:tr>
      <w:tr>
        <w:trPr>
          <w:trHeight w:val="163" w:hRule="exact"/>
        </w:trPr>
        <w:tc>
          <w:tcPr>
            <w:tcW w:w="619" w:type="dxa"/>
            <w:tcBorders>
              <w:left w:val="single" w:sz="4" w:space="0" w:color="000000"/>
            </w:tcBorders>
          </w:tcPr>
          <w:p>
            <w:pPr/>
          </w:p>
        </w:tc>
        <w:tc>
          <w:tcPr>
            <w:tcW w:w="2074" w:type="dxa"/>
          </w:tcPr>
          <w:p>
            <w:pPr>
              <w:pStyle w:val="TableParagraph"/>
              <w:spacing w:before="6"/>
              <w:ind w:left="91"/>
              <w:jc w:val="left"/>
              <w:rPr>
                <w:rFonts w:ascii="Calibri" w:hAnsi="Calibri"/>
                <w:sz w:val="12"/>
              </w:rPr>
            </w:pPr>
            <w:r>
              <w:rPr>
                <w:rFonts w:ascii="Calibri" w:hAnsi="Calibri"/>
                <w:w w:val="105"/>
                <w:sz w:val="12"/>
              </w:rPr>
              <w:t>Organización vecinal</w:t>
            </w:r>
          </w:p>
        </w:tc>
        <w:tc>
          <w:tcPr>
            <w:tcW w:w="2101" w:type="dxa"/>
          </w:tcPr>
          <w:p>
            <w:pPr>
              <w:pStyle w:val="TableParagraph"/>
              <w:spacing w:before="6"/>
              <w:ind w:left="121"/>
              <w:jc w:val="left"/>
              <w:rPr>
                <w:rFonts w:ascii="Calibri" w:hAnsi="Calibri"/>
                <w:sz w:val="12"/>
              </w:rPr>
            </w:pPr>
            <w:r>
              <w:rPr>
                <w:rFonts w:ascii="Calibri" w:hAnsi="Calibri"/>
                <w:w w:val="105"/>
                <w:sz w:val="12"/>
              </w:rPr>
              <w:t>Administración ciudadana</w:t>
            </w:r>
          </w:p>
        </w:tc>
        <w:tc>
          <w:tcPr>
            <w:tcW w:w="1773" w:type="dxa"/>
          </w:tcPr>
          <w:p>
            <w:pPr>
              <w:pStyle w:val="TableParagraph"/>
              <w:tabs>
                <w:tab w:pos="1156" w:val="left" w:leader="none"/>
                <w:tab w:pos="1987" w:val="left" w:leader="none"/>
              </w:tabs>
              <w:spacing w:before="6"/>
              <w:ind w:left="482" w:right="-214"/>
              <w:rPr>
                <w:rFonts w:ascii="Calibri"/>
                <w:sz w:val="12"/>
              </w:rPr>
            </w:pPr>
            <w:r>
              <w:rPr>
                <w:rFonts w:ascii="Times New Roman"/>
                <w:w w:val="105"/>
                <w:sz w:val="12"/>
                <w:shd w:fill="BAF9F5" w:color="auto" w:val="clear"/>
              </w:rPr>
              <w:t> </w:t>
            </w:r>
            <w:r>
              <w:rPr>
                <w:rFonts w:ascii="Times New Roman"/>
                <w:sz w:val="12"/>
                <w:shd w:fill="BAF9F5" w:color="auto" w:val="clear"/>
              </w:rPr>
              <w:tab/>
            </w:r>
            <w:r>
              <w:rPr>
                <w:rFonts w:ascii="Calibri"/>
                <w:w w:val="105"/>
                <w:sz w:val="12"/>
                <w:shd w:fill="BAF9F5" w:color="auto" w:val="clear"/>
              </w:rPr>
              <w:t>0.8</w:t>
            </w:r>
            <w:r>
              <w:rPr>
                <w:rFonts w:ascii="Calibri"/>
                <w:sz w:val="12"/>
                <w:shd w:fill="BAF9F5" w:color="auto" w:val="clear"/>
              </w:rPr>
              <w:tab/>
            </w:r>
          </w:p>
        </w:tc>
        <w:tc>
          <w:tcPr>
            <w:tcW w:w="887" w:type="dxa"/>
          </w:tcPr>
          <w:p>
            <w:pPr/>
          </w:p>
        </w:tc>
        <w:tc>
          <w:tcPr>
            <w:tcW w:w="685" w:type="dxa"/>
          </w:tcPr>
          <w:p>
            <w:pPr>
              <w:pStyle w:val="TableParagraph"/>
              <w:spacing w:before="6"/>
              <w:ind w:left="243" w:right="242"/>
              <w:rPr>
                <w:rFonts w:ascii="Calibri"/>
                <w:sz w:val="12"/>
              </w:rPr>
            </w:pPr>
            <w:r>
              <w:rPr>
                <w:rFonts w:ascii="Calibri"/>
                <w:w w:val="105"/>
                <w:sz w:val="12"/>
              </w:rPr>
              <w:t>0.8</w:t>
            </w:r>
          </w:p>
        </w:tc>
        <w:tc>
          <w:tcPr>
            <w:tcW w:w="683" w:type="dxa"/>
            <w:tcBorders>
              <w:right w:val="single" w:sz="8" w:space="0" w:color="000000"/>
            </w:tcBorders>
            <w:shd w:val="clear" w:color="auto" w:fill="67ED4D"/>
          </w:tcPr>
          <w:p>
            <w:pPr>
              <w:pStyle w:val="TableParagraph"/>
              <w:spacing w:before="6"/>
              <w:ind w:left="20"/>
              <w:rPr>
                <w:rFonts w:ascii="Calibri"/>
                <w:sz w:val="12"/>
              </w:rPr>
            </w:pPr>
            <w:r>
              <w:rPr>
                <w:rFonts w:ascii="Calibri"/>
                <w:w w:val="105"/>
                <w:sz w:val="12"/>
              </w:rPr>
              <w:t>1</w:t>
            </w:r>
          </w:p>
        </w:tc>
      </w:tr>
      <w:tr>
        <w:trPr>
          <w:trHeight w:val="163" w:hRule="exact"/>
        </w:trPr>
        <w:tc>
          <w:tcPr>
            <w:tcW w:w="619" w:type="dxa"/>
            <w:tcBorders>
              <w:left w:val="single" w:sz="4" w:space="0" w:color="000000"/>
            </w:tcBorders>
          </w:tcPr>
          <w:p>
            <w:pPr/>
          </w:p>
        </w:tc>
        <w:tc>
          <w:tcPr>
            <w:tcW w:w="2074" w:type="dxa"/>
          </w:tcPr>
          <w:p>
            <w:pPr/>
          </w:p>
        </w:tc>
        <w:tc>
          <w:tcPr>
            <w:tcW w:w="2101" w:type="dxa"/>
          </w:tcPr>
          <w:p>
            <w:pPr/>
          </w:p>
        </w:tc>
        <w:tc>
          <w:tcPr>
            <w:tcW w:w="1773" w:type="dxa"/>
          </w:tcPr>
          <w:p>
            <w:pPr>
              <w:pStyle w:val="TableParagraph"/>
              <w:spacing w:before="1"/>
              <w:ind w:left="880" w:right="184"/>
              <w:rPr>
                <w:rFonts w:ascii="Calibri"/>
                <w:sz w:val="12"/>
              </w:rPr>
            </w:pPr>
            <w:r>
              <w:rPr>
                <w:rFonts w:ascii="Calibri"/>
                <w:w w:val="105"/>
                <w:sz w:val="12"/>
              </w:rPr>
              <w:t>Subtotal</w:t>
            </w:r>
          </w:p>
        </w:tc>
        <w:tc>
          <w:tcPr>
            <w:tcW w:w="887" w:type="dxa"/>
          </w:tcPr>
          <w:p>
            <w:pPr>
              <w:pStyle w:val="TableParagraph"/>
              <w:tabs>
                <w:tab w:pos="466"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0.8</w:t>
            </w:r>
            <w:r>
              <w:rPr>
                <w:rFonts w:ascii="Calibri"/>
                <w:sz w:val="12"/>
                <w:shd w:fill="F79646" w:color="auto" w:val="clear"/>
              </w:rPr>
              <w:tab/>
            </w:r>
          </w:p>
        </w:tc>
        <w:tc>
          <w:tcPr>
            <w:tcW w:w="685" w:type="dxa"/>
          </w:tcPr>
          <w:p>
            <w:pPr>
              <w:pStyle w:val="TableParagraph"/>
              <w:spacing w:before="1"/>
              <w:ind w:left="243" w:right="242"/>
              <w:rPr>
                <w:rFonts w:ascii="Calibri"/>
                <w:sz w:val="12"/>
              </w:rPr>
            </w:pPr>
            <w:r>
              <w:rPr>
                <w:rFonts w:ascii="Calibri"/>
                <w:w w:val="105"/>
                <w:sz w:val="12"/>
              </w:rPr>
              <w:t>0.8</w:t>
            </w:r>
          </w:p>
        </w:tc>
        <w:tc>
          <w:tcPr>
            <w:tcW w:w="683" w:type="dxa"/>
            <w:tcBorders>
              <w:right w:val="single" w:sz="8" w:space="0" w:color="000000"/>
            </w:tcBorders>
            <w:shd w:val="clear" w:color="auto" w:fill="67ED4D"/>
          </w:tcPr>
          <w:p>
            <w:pPr>
              <w:pStyle w:val="TableParagraph"/>
              <w:spacing w:before="1"/>
              <w:ind w:left="20"/>
              <w:rPr>
                <w:rFonts w:ascii="Calibri"/>
                <w:sz w:val="12"/>
              </w:rPr>
            </w:pPr>
            <w:r>
              <w:rPr>
                <w:rFonts w:ascii="Calibri"/>
                <w:w w:val="105"/>
                <w:sz w:val="12"/>
              </w:rPr>
              <w:t>1</w:t>
            </w:r>
          </w:p>
        </w:tc>
      </w:tr>
      <w:tr>
        <w:trPr>
          <w:trHeight w:val="147" w:hRule="exact"/>
        </w:trPr>
        <w:tc>
          <w:tcPr>
            <w:tcW w:w="8822" w:type="dxa"/>
            <w:gridSpan w:val="7"/>
            <w:tcBorders>
              <w:left w:val="single" w:sz="4" w:space="0" w:color="000000"/>
              <w:right w:val="single" w:sz="8" w:space="0" w:color="000000"/>
            </w:tcBorders>
          </w:tcPr>
          <w:p>
            <w:pPr/>
          </w:p>
        </w:tc>
      </w:tr>
      <w:tr>
        <w:trPr>
          <w:trHeight w:val="163" w:hRule="exact"/>
        </w:trPr>
        <w:tc>
          <w:tcPr>
            <w:tcW w:w="619" w:type="dxa"/>
            <w:tcBorders>
              <w:left w:val="single" w:sz="4" w:space="0" w:color="000000"/>
            </w:tcBorders>
          </w:tcPr>
          <w:p>
            <w:pPr/>
          </w:p>
        </w:tc>
        <w:tc>
          <w:tcPr>
            <w:tcW w:w="2074" w:type="dxa"/>
          </w:tcPr>
          <w:p>
            <w:pPr>
              <w:pStyle w:val="TableParagraph"/>
              <w:spacing w:before="6"/>
              <w:ind w:left="91"/>
              <w:jc w:val="left"/>
              <w:rPr>
                <w:rFonts w:ascii="Calibri" w:hAnsi="Calibri"/>
                <w:sz w:val="12"/>
              </w:rPr>
            </w:pPr>
            <w:r>
              <w:rPr>
                <w:rFonts w:ascii="Calibri" w:hAnsi="Calibri"/>
                <w:w w:val="105"/>
                <w:sz w:val="12"/>
              </w:rPr>
              <w:t>Índice de satisfacción del acreditado</w:t>
            </w:r>
          </w:p>
        </w:tc>
        <w:tc>
          <w:tcPr>
            <w:tcW w:w="2101" w:type="dxa"/>
          </w:tcPr>
          <w:p>
            <w:pPr>
              <w:pStyle w:val="TableParagraph"/>
              <w:spacing w:before="6"/>
              <w:ind w:left="121" w:right="746"/>
              <w:jc w:val="left"/>
              <w:rPr>
                <w:rFonts w:ascii="Calibri"/>
                <w:sz w:val="12"/>
              </w:rPr>
            </w:pPr>
            <w:r>
              <w:rPr>
                <w:rFonts w:ascii="Calibri"/>
                <w:w w:val="105"/>
                <w:sz w:val="12"/>
              </w:rPr>
              <w:t>Infonavit</w:t>
            </w:r>
          </w:p>
        </w:tc>
        <w:tc>
          <w:tcPr>
            <w:tcW w:w="1773" w:type="dxa"/>
          </w:tcPr>
          <w:p>
            <w:pPr>
              <w:pStyle w:val="TableParagraph"/>
              <w:tabs>
                <w:tab w:pos="1156" w:val="left" w:leader="none"/>
                <w:tab w:pos="1987" w:val="left" w:leader="none"/>
              </w:tabs>
              <w:spacing w:before="6"/>
              <w:ind w:left="482" w:right="-214"/>
              <w:rPr>
                <w:rFonts w:ascii="Calibri"/>
                <w:sz w:val="12"/>
              </w:rPr>
            </w:pPr>
            <w:r>
              <w:rPr>
                <w:rFonts w:ascii="Times New Roman"/>
                <w:w w:val="105"/>
                <w:sz w:val="12"/>
                <w:shd w:fill="BAF9F5" w:color="auto" w:val="clear"/>
              </w:rPr>
              <w:t> </w:t>
            </w:r>
            <w:r>
              <w:rPr>
                <w:rFonts w:ascii="Times New Roman"/>
                <w:sz w:val="12"/>
                <w:shd w:fill="BAF9F5" w:color="auto" w:val="clear"/>
              </w:rPr>
              <w:tab/>
            </w:r>
            <w:r>
              <w:rPr>
                <w:rFonts w:ascii="Calibri"/>
                <w:w w:val="105"/>
                <w:sz w:val="12"/>
                <w:shd w:fill="BAF9F5" w:color="auto" w:val="clear"/>
              </w:rPr>
              <w:t>0.7</w:t>
            </w:r>
            <w:r>
              <w:rPr>
                <w:rFonts w:ascii="Calibri"/>
                <w:sz w:val="12"/>
                <w:shd w:fill="BAF9F5" w:color="auto" w:val="clear"/>
              </w:rPr>
              <w:tab/>
            </w:r>
          </w:p>
        </w:tc>
        <w:tc>
          <w:tcPr>
            <w:tcW w:w="887" w:type="dxa"/>
          </w:tcPr>
          <w:p>
            <w:pPr/>
          </w:p>
        </w:tc>
        <w:tc>
          <w:tcPr>
            <w:tcW w:w="685" w:type="dxa"/>
          </w:tcPr>
          <w:p>
            <w:pPr>
              <w:pStyle w:val="TableParagraph"/>
              <w:spacing w:before="6"/>
              <w:ind w:left="243" w:right="242"/>
              <w:rPr>
                <w:rFonts w:ascii="Calibri"/>
                <w:sz w:val="12"/>
              </w:rPr>
            </w:pPr>
            <w:r>
              <w:rPr>
                <w:rFonts w:ascii="Calibri"/>
                <w:w w:val="105"/>
                <w:sz w:val="12"/>
              </w:rPr>
              <w:t>0.7</w:t>
            </w:r>
          </w:p>
        </w:tc>
        <w:tc>
          <w:tcPr>
            <w:tcW w:w="683" w:type="dxa"/>
            <w:tcBorders>
              <w:right w:val="single" w:sz="8" w:space="0" w:color="000000"/>
            </w:tcBorders>
            <w:shd w:val="clear" w:color="auto" w:fill="67ED4D"/>
          </w:tcPr>
          <w:p>
            <w:pPr>
              <w:pStyle w:val="TableParagraph"/>
              <w:spacing w:before="6"/>
              <w:ind w:left="20"/>
              <w:rPr>
                <w:rFonts w:ascii="Calibri"/>
                <w:sz w:val="12"/>
              </w:rPr>
            </w:pPr>
            <w:r>
              <w:rPr>
                <w:rFonts w:ascii="Calibri"/>
                <w:w w:val="105"/>
                <w:sz w:val="12"/>
              </w:rPr>
              <w:t>1</w:t>
            </w:r>
          </w:p>
        </w:tc>
      </w:tr>
      <w:tr>
        <w:trPr>
          <w:trHeight w:val="163" w:hRule="exact"/>
        </w:trPr>
        <w:tc>
          <w:tcPr>
            <w:tcW w:w="619" w:type="dxa"/>
            <w:tcBorders>
              <w:left w:val="single" w:sz="4" w:space="0" w:color="000000"/>
            </w:tcBorders>
          </w:tcPr>
          <w:p>
            <w:pPr/>
          </w:p>
        </w:tc>
        <w:tc>
          <w:tcPr>
            <w:tcW w:w="2074" w:type="dxa"/>
          </w:tcPr>
          <w:p>
            <w:pPr/>
          </w:p>
        </w:tc>
        <w:tc>
          <w:tcPr>
            <w:tcW w:w="2101" w:type="dxa"/>
          </w:tcPr>
          <w:p>
            <w:pPr/>
          </w:p>
        </w:tc>
        <w:tc>
          <w:tcPr>
            <w:tcW w:w="1773" w:type="dxa"/>
          </w:tcPr>
          <w:p>
            <w:pPr>
              <w:pStyle w:val="TableParagraph"/>
              <w:spacing w:before="1"/>
              <w:ind w:left="880" w:right="184"/>
              <w:rPr>
                <w:rFonts w:ascii="Calibri"/>
                <w:sz w:val="12"/>
              </w:rPr>
            </w:pPr>
            <w:r>
              <w:rPr>
                <w:rFonts w:ascii="Calibri"/>
                <w:w w:val="105"/>
                <w:sz w:val="12"/>
              </w:rPr>
              <w:t>Subtotal</w:t>
            </w:r>
          </w:p>
        </w:tc>
        <w:tc>
          <w:tcPr>
            <w:tcW w:w="887" w:type="dxa"/>
          </w:tcPr>
          <w:p>
            <w:pPr>
              <w:pStyle w:val="TableParagraph"/>
              <w:tabs>
                <w:tab w:pos="466"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0.7</w:t>
            </w:r>
            <w:r>
              <w:rPr>
                <w:rFonts w:ascii="Calibri"/>
                <w:sz w:val="12"/>
                <w:shd w:fill="F79646" w:color="auto" w:val="clear"/>
              </w:rPr>
              <w:tab/>
            </w:r>
          </w:p>
        </w:tc>
        <w:tc>
          <w:tcPr>
            <w:tcW w:w="685" w:type="dxa"/>
          </w:tcPr>
          <w:p>
            <w:pPr>
              <w:pStyle w:val="TableParagraph"/>
              <w:spacing w:before="1"/>
              <w:ind w:left="243" w:right="242"/>
              <w:rPr>
                <w:rFonts w:ascii="Calibri"/>
                <w:sz w:val="12"/>
              </w:rPr>
            </w:pPr>
            <w:r>
              <w:rPr>
                <w:rFonts w:ascii="Calibri"/>
                <w:w w:val="105"/>
                <w:sz w:val="12"/>
              </w:rPr>
              <w:t>0.7</w:t>
            </w:r>
          </w:p>
        </w:tc>
        <w:tc>
          <w:tcPr>
            <w:tcW w:w="683" w:type="dxa"/>
            <w:tcBorders>
              <w:right w:val="single" w:sz="8" w:space="0" w:color="000000"/>
            </w:tcBorders>
            <w:shd w:val="clear" w:color="auto" w:fill="67ED4D"/>
          </w:tcPr>
          <w:p>
            <w:pPr>
              <w:pStyle w:val="TableParagraph"/>
              <w:spacing w:before="1"/>
              <w:ind w:left="20"/>
              <w:rPr>
                <w:rFonts w:ascii="Calibri"/>
                <w:sz w:val="12"/>
              </w:rPr>
            </w:pPr>
            <w:r>
              <w:rPr>
                <w:rFonts w:ascii="Calibri"/>
                <w:w w:val="105"/>
                <w:sz w:val="12"/>
              </w:rPr>
              <w:t>1</w:t>
            </w:r>
          </w:p>
        </w:tc>
      </w:tr>
      <w:tr>
        <w:trPr>
          <w:trHeight w:val="147" w:hRule="exact"/>
        </w:trPr>
        <w:tc>
          <w:tcPr>
            <w:tcW w:w="8822" w:type="dxa"/>
            <w:gridSpan w:val="7"/>
            <w:tcBorders>
              <w:left w:val="single" w:sz="4" w:space="0" w:color="000000"/>
              <w:right w:val="single" w:sz="8" w:space="0" w:color="000000"/>
            </w:tcBorders>
          </w:tcPr>
          <w:p>
            <w:pPr/>
          </w:p>
        </w:tc>
      </w:tr>
      <w:tr>
        <w:trPr>
          <w:trHeight w:val="163" w:hRule="exact"/>
        </w:trPr>
        <w:tc>
          <w:tcPr>
            <w:tcW w:w="619" w:type="dxa"/>
            <w:tcBorders>
              <w:left w:val="single" w:sz="4" w:space="0" w:color="000000"/>
            </w:tcBorders>
          </w:tcPr>
          <w:p>
            <w:pPr/>
          </w:p>
        </w:tc>
        <w:tc>
          <w:tcPr>
            <w:tcW w:w="2074" w:type="dxa"/>
          </w:tcPr>
          <w:p>
            <w:pPr>
              <w:pStyle w:val="TableParagraph"/>
              <w:spacing w:before="6"/>
              <w:ind w:left="91"/>
              <w:jc w:val="left"/>
              <w:rPr>
                <w:rFonts w:ascii="Calibri" w:hAnsi="Calibri"/>
                <w:sz w:val="12"/>
              </w:rPr>
            </w:pPr>
            <w:r>
              <w:rPr>
                <w:rFonts w:ascii="Calibri" w:hAnsi="Calibri"/>
                <w:w w:val="105"/>
                <w:sz w:val="12"/>
              </w:rPr>
              <w:t>Índice de satisfacción residencial</w:t>
            </w:r>
          </w:p>
        </w:tc>
        <w:tc>
          <w:tcPr>
            <w:tcW w:w="2101" w:type="dxa"/>
          </w:tcPr>
          <w:p>
            <w:pPr>
              <w:pStyle w:val="TableParagraph"/>
              <w:spacing w:before="6"/>
              <w:ind w:left="121"/>
              <w:jc w:val="left"/>
              <w:rPr>
                <w:rFonts w:ascii="Calibri"/>
                <w:sz w:val="12"/>
              </w:rPr>
            </w:pPr>
            <w:r>
              <w:rPr>
                <w:rFonts w:ascii="Calibri"/>
                <w:w w:val="105"/>
                <w:sz w:val="12"/>
              </w:rPr>
              <w:t>Sociedad Hipotecaria Federal</w:t>
            </w:r>
          </w:p>
        </w:tc>
        <w:tc>
          <w:tcPr>
            <w:tcW w:w="1773" w:type="dxa"/>
          </w:tcPr>
          <w:p>
            <w:pPr>
              <w:pStyle w:val="TableParagraph"/>
              <w:tabs>
                <w:tab w:pos="1208" w:val="left" w:leader="none"/>
                <w:tab w:pos="1987" w:val="left" w:leader="none"/>
              </w:tabs>
              <w:spacing w:before="6"/>
              <w:ind w:left="482" w:right="-214"/>
              <w:rPr>
                <w:rFonts w:ascii="Calibri"/>
                <w:sz w:val="12"/>
              </w:rPr>
            </w:pPr>
            <w:r>
              <w:rPr>
                <w:rFonts w:ascii="Times New Roman"/>
                <w:w w:val="105"/>
                <w:sz w:val="12"/>
                <w:shd w:fill="BAF9F5" w:color="auto" w:val="clear"/>
              </w:rPr>
              <w:t> </w:t>
            </w:r>
            <w:r>
              <w:rPr>
                <w:rFonts w:ascii="Times New Roman"/>
                <w:sz w:val="12"/>
                <w:shd w:fill="BAF9F5" w:color="auto" w:val="clear"/>
              </w:rPr>
              <w:tab/>
            </w:r>
            <w:r>
              <w:rPr>
                <w:rFonts w:ascii="Calibri"/>
                <w:w w:val="105"/>
                <w:sz w:val="12"/>
                <w:shd w:fill="BAF9F5" w:color="auto" w:val="clear"/>
              </w:rPr>
              <w:t>1</w:t>
            </w:r>
            <w:r>
              <w:rPr>
                <w:rFonts w:ascii="Calibri"/>
                <w:sz w:val="12"/>
                <w:shd w:fill="BAF9F5" w:color="auto" w:val="clear"/>
              </w:rPr>
              <w:tab/>
            </w:r>
          </w:p>
        </w:tc>
        <w:tc>
          <w:tcPr>
            <w:tcW w:w="887" w:type="dxa"/>
          </w:tcPr>
          <w:p>
            <w:pPr/>
          </w:p>
        </w:tc>
        <w:tc>
          <w:tcPr>
            <w:tcW w:w="685" w:type="dxa"/>
          </w:tcPr>
          <w:p>
            <w:pPr>
              <w:pStyle w:val="TableParagraph"/>
              <w:spacing w:before="6"/>
              <w:ind w:left="243" w:right="242"/>
              <w:rPr>
                <w:rFonts w:ascii="Calibri"/>
                <w:sz w:val="12"/>
              </w:rPr>
            </w:pPr>
            <w:r>
              <w:rPr>
                <w:rFonts w:ascii="Calibri"/>
                <w:w w:val="105"/>
                <w:sz w:val="12"/>
              </w:rPr>
              <w:t>0.7</w:t>
            </w:r>
          </w:p>
        </w:tc>
        <w:tc>
          <w:tcPr>
            <w:tcW w:w="683" w:type="dxa"/>
            <w:tcBorders>
              <w:right w:val="single" w:sz="8" w:space="0" w:color="000000"/>
            </w:tcBorders>
            <w:shd w:val="clear" w:color="auto" w:fill="67ED4D"/>
          </w:tcPr>
          <w:p>
            <w:pPr>
              <w:pStyle w:val="TableParagraph"/>
              <w:spacing w:before="6"/>
              <w:ind w:left="20"/>
              <w:rPr>
                <w:rFonts w:ascii="Calibri"/>
                <w:sz w:val="12"/>
              </w:rPr>
            </w:pPr>
            <w:r>
              <w:rPr>
                <w:rFonts w:ascii="Calibri"/>
                <w:w w:val="105"/>
                <w:sz w:val="12"/>
              </w:rPr>
              <w:t>1</w:t>
            </w:r>
          </w:p>
        </w:tc>
      </w:tr>
      <w:tr>
        <w:trPr>
          <w:trHeight w:val="163" w:hRule="exact"/>
        </w:trPr>
        <w:tc>
          <w:tcPr>
            <w:tcW w:w="619" w:type="dxa"/>
            <w:tcBorders>
              <w:left w:val="single" w:sz="4" w:space="0" w:color="000000"/>
            </w:tcBorders>
          </w:tcPr>
          <w:p>
            <w:pPr/>
          </w:p>
        </w:tc>
        <w:tc>
          <w:tcPr>
            <w:tcW w:w="2074" w:type="dxa"/>
          </w:tcPr>
          <w:p>
            <w:pPr/>
          </w:p>
        </w:tc>
        <w:tc>
          <w:tcPr>
            <w:tcW w:w="2101" w:type="dxa"/>
          </w:tcPr>
          <w:p>
            <w:pPr/>
          </w:p>
        </w:tc>
        <w:tc>
          <w:tcPr>
            <w:tcW w:w="1773" w:type="dxa"/>
          </w:tcPr>
          <w:p>
            <w:pPr>
              <w:pStyle w:val="TableParagraph"/>
              <w:spacing w:before="1"/>
              <w:ind w:left="880" w:right="184"/>
              <w:rPr>
                <w:rFonts w:ascii="Calibri"/>
                <w:sz w:val="12"/>
              </w:rPr>
            </w:pPr>
            <w:r>
              <w:rPr>
                <w:rFonts w:ascii="Calibri"/>
                <w:w w:val="105"/>
                <w:sz w:val="12"/>
              </w:rPr>
              <w:t>Subtotal</w:t>
            </w:r>
          </w:p>
        </w:tc>
        <w:tc>
          <w:tcPr>
            <w:tcW w:w="887" w:type="dxa"/>
          </w:tcPr>
          <w:p>
            <w:pPr>
              <w:pStyle w:val="TableParagraph"/>
              <w:tabs>
                <w:tab w:pos="518"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1</w:t>
            </w:r>
            <w:r>
              <w:rPr>
                <w:rFonts w:ascii="Calibri"/>
                <w:sz w:val="12"/>
                <w:shd w:fill="F79646" w:color="auto" w:val="clear"/>
              </w:rPr>
              <w:tab/>
            </w:r>
          </w:p>
        </w:tc>
        <w:tc>
          <w:tcPr>
            <w:tcW w:w="685" w:type="dxa"/>
          </w:tcPr>
          <w:p>
            <w:pPr>
              <w:pStyle w:val="TableParagraph"/>
              <w:spacing w:before="1"/>
              <w:ind w:left="243" w:right="242"/>
              <w:rPr>
                <w:rFonts w:ascii="Calibri"/>
                <w:sz w:val="12"/>
              </w:rPr>
            </w:pPr>
            <w:r>
              <w:rPr>
                <w:rFonts w:ascii="Calibri"/>
                <w:w w:val="105"/>
                <w:sz w:val="12"/>
              </w:rPr>
              <w:t>0.7</w:t>
            </w:r>
          </w:p>
        </w:tc>
        <w:tc>
          <w:tcPr>
            <w:tcW w:w="683" w:type="dxa"/>
            <w:tcBorders>
              <w:right w:val="single" w:sz="8" w:space="0" w:color="000000"/>
            </w:tcBorders>
            <w:shd w:val="clear" w:color="auto" w:fill="67ED4D"/>
          </w:tcPr>
          <w:p>
            <w:pPr>
              <w:pStyle w:val="TableParagraph"/>
              <w:spacing w:before="1"/>
              <w:ind w:left="20"/>
              <w:rPr>
                <w:rFonts w:ascii="Calibri"/>
                <w:sz w:val="12"/>
              </w:rPr>
            </w:pPr>
            <w:r>
              <w:rPr>
                <w:rFonts w:ascii="Calibri"/>
                <w:w w:val="105"/>
                <w:sz w:val="12"/>
              </w:rPr>
              <w:t>1</w:t>
            </w:r>
          </w:p>
        </w:tc>
      </w:tr>
      <w:tr>
        <w:trPr>
          <w:trHeight w:val="474" w:hRule="exact"/>
        </w:trPr>
        <w:tc>
          <w:tcPr>
            <w:tcW w:w="619" w:type="dxa"/>
            <w:tcBorders>
              <w:left w:val="single" w:sz="4" w:space="0" w:color="000000"/>
              <w:bottom w:val="single" w:sz="8" w:space="0" w:color="000000"/>
            </w:tcBorders>
          </w:tcPr>
          <w:p>
            <w:pPr/>
          </w:p>
        </w:tc>
        <w:tc>
          <w:tcPr>
            <w:tcW w:w="2074" w:type="dxa"/>
            <w:tcBorders>
              <w:bottom w:val="single" w:sz="8" w:space="0" w:color="000000"/>
            </w:tcBorders>
          </w:tcPr>
          <w:p>
            <w:pPr/>
          </w:p>
        </w:tc>
        <w:tc>
          <w:tcPr>
            <w:tcW w:w="2101" w:type="dxa"/>
            <w:tcBorders>
              <w:bottom w:val="single" w:sz="8" w:space="0" w:color="000000"/>
            </w:tcBorders>
          </w:tcPr>
          <w:p>
            <w:pPr/>
          </w:p>
        </w:tc>
        <w:tc>
          <w:tcPr>
            <w:tcW w:w="1773" w:type="dxa"/>
            <w:tcBorders>
              <w:bottom w:val="single" w:sz="8" w:space="0" w:color="000000"/>
            </w:tcBorders>
          </w:tcPr>
          <w:p>
            <w:pPr>
              <w:pStyle w:val="TableParagraph"/>
              <w:spacing w:before="4"/>
              <w:jc w:val="left"/>
              <w:rPr>
                <w:sz w:val="13"/>
              </w:rPr>
            </w:pPr>
          </w:p>
          <w:p>
            <w:pPr>
              <w:pStyle w:val="TableParagraph"/>
              <w:ind w:left="884" w:right="178"/>
              <w:rPr>
                <w:rFonts w:ascii="Calibri"/>
                <w:sz w:val="12"/>
              </w:rPr>
            </w:pPr>
            <w:r>
              <w:rPr>
                <w:rFonts w:ascii="Calibri"/>
                <w:w w:val="105"/>
                <w:sz w:val="12"/>
              </w:rPr>
              <w:t>Total IS</w:t>
            </w:r>
          </w:p>
        </w:tc>
        <w:tc>
          <w:tcPr>
            <w:tcW w:w="887" w:type="dxa"/>
            <w:tcBorders>
              <w:bottom w:val="single" w:sz="8" w:space="0" w:color="000000"/>
            </w:tcBorders>
          </w:tcPr>
          <w:p>
            <w:pPr>
              <w:pStyle w:val="TableParagraph"/>
              <w:spacing w:before="4"/>
              <w:jc w:val="left"/>
              <w:rPr>
                <w:sz w:val="13"/>
              </w:rPr>
            </w:pPr>
          </w:p>
          <w:p>
            <w:pPr>
              <w:pStyle w:val="TableParagraph"/>
              <w:tabs>
                <w:tab w:pos="897" w:val="left" w:leader="none"/>
              </w:tabs>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      </w:t>
            </w:r>
            <w:r>
              <w:rPr>
                <w:rFonts w:ascii="Times New Roman"/>
                <w:spacing w:val="-11"/>
                <w:sz w:val="12"/>
                <w:shd w:fill="F79646" w:color="auto" w:val="clear"/>
              </w:rPr>
              <w:t> </w:t>
            </w:r>
            <w:r>
              <w:rPr>
                <w:rFonts w:ascii="Calibri"/>
                <w:w w:val="105"/>
                <w:sz w:val="12"/>
                <w:shd w:fill="F79646" w:color="auto" w:val="clear"/>
              </w:rPr>
              <w:t>12.1</w:t>
            </w:r>
            <w:r>
              <w:rPr>
                <w:rFonts w:ascii="Calibri"/>
                <w:sz w:val="12"/>
                <w:shd w:fill="F79646" w:color="auto" w:val="clear"/>
              </w:rPr>
              <w:tab/>
            </w:r>
          </w:p>
        </w:tc>
        <w:tc>
          <w:tcPr>
            <w:tcW w:w="685" w:type="dxa"/>
            <w:tcBorders>
              <w:bottom w:val="single" w:sz="8" w:space="0" w:color="000000"/>
            </w:tcBorders>
          </w:tcPr>
          <w:p>
            <w:pPr>
              <w:pStyle w:val="TableParagraph"/>
              <w:spacing w:before="4"/>
              <w:jc w:val="left"/>
              <w:rPr>
                <w:sz w:val="13"/>
              </w:rPr>
            </w:pPr>
          </w:p>
          <w:p>
            <w:pPr>
              <w:pStyle w:val="TableParagraph"/>
              <w:tabs>
                <w:tab w:pos="694" w:val="left" w:leader="none"/>
              </w:tabs>
              <w:ind w:right="-10"/>
              <w:rPr>
                <w:rFonts w:ascii="Calibri"/>
                <w:sz w:val="12"/>
              </w:rPr>
            </w:pPr>
            <w:r>
              <w:rPr>
                <w:rFonts w:ascii="Times New Roman"/>
                <w:w w:val="105"/>
                <w:sz w:val="12"/>
                <w:shd w:fill="FFFF00" w:color="auto" w:val="clear"/>
              </w:rPr>
              <w:t> </w:t>
            </w:r>
            <w:r>
              <w:rPr>
                <w:rFonts w:ascii="Times New Roman"/>
                <w:sz w:val="12"/>
                <w:shd w:fill="FFFF00" w:color="auto" w:val="clear"/>
              </w:rPr>
              <w:t>      </w:t>
            </w:r>
            <w:r>
              <w:rPr>
                <w:rFonts w:ascii="Times New Roman"/>
                <w:spacing w:val="-11"/>
                <w:sz w:val="12"/>
                <w:shd w:fill="FFFF00" w:color="auto" w:val="clear"/>
              </w:rPr>
              <w:t> </w:t>
            </w:r>
            <w:r>
              <w:rPr>
                <w:rFonts w:ascii="Calibri"/>
                <w:w w:val="105"/>
                <w:sz w:val="12"/>
                <w:shd w:fill="FFFF00" w:color="auto" w:val="clear"/>
              </w:rPr>
              <w:t>11.4</w:t>
            </w:r>
            <w:r>
              <w:rPr>
                <w:rFonts w:ascii="Calibri"/>
                <w:sz w:val="12"/>
                <w:shd w:fill="FFFF00" w:color="auto" w:val="clear"/>
              </w:rPr>
              <w:tab/>
            </w:r>
          </w:p>
        </w:tc>
        <w:tc>
          <w:tcPr>
            <w:tcW w:w="683" w:type="dxa"/>
            <w:tcBorders>
              <w:bottom w:val="single" w:sz="8" w:space="0" w:color="000000"/>
              <w:right w:val="single" w:sz="8" w:space="0" w:color="000000"/>
            </w:tcBorders>
          </w:tcPr>
          <w:p>
            <w:pPr>
              <w:pStyle w:val="TableParagraph"/>
              <w:spacing w:before="4"/>
              <w:jc w:val="left"/>
              <w:rPr>
                <w:sz w:val="13"/>
              </w:rPr>
            </w:pPr>
          </w:p>
          <w:p>
            <w:pPr>
              <w:pStyle w:val="TableParagraph"/>
              <w:ind w:left="262" w:right="241"/>
              <w:rPr>
                <w:rFonts w:ascii="Calibri"/>
                <w:sz w:val="12"/>
              </w:rPr>
            </w:pPr>
            <w:r>
              <w:rPr>
                <w:rFonts w:ascii="Calibri"/>
                <w:w w:val="105"/>
                <w:sz w:val="12"/>
              </w:rPr>
              <w:t>15</w:t>
            </w:r>
          </w:p>
        </w:tc>
      </w:tr>
    </w:tbl>
    <w:p>
      <w:pPr>
        <w:spacing w:before="130"/>
        <w:ind w:left="268" w:right="0" w:firstLine="0"/>
        <w:jc w:val="left"/>
        <w:rPr>
          <w:sz w:val="21"/>
        </w:rPr>
      </w:pPr>
      <w:r>
        <w:rPr/>
        <w:pict>
          <v:shape style="position:absolute;margin-left:472.309021pt;margin-top:-87.863144pt;width:34.75pt;height:16.3500pt;mso-position-horizontal-relative:page;mso-position-vertical-relative:paragraph;z-index:-1129816" coordorigin="9446,-1757" coordsize="695,327" path="m10141,-1757l9446,-1757,9446,-1599,9446,-1589,9446,-1431,10141,-1431,10141,-1589,10141,-1599,10141,-1757e" filled="true" fillcolor="#ffff00" stroked="false">
            <v:path arrowok="t"/>
            <v:fill type="solid"/>
            <w10:wrap type="none"/>
          </v:shape>
        </w:pict>
      </w:r>
      <w:r>
        <w:rPr/>
        <w:pict>
          <v:shape style="position:absolute;margin-left:472.309021pt;margin-top:-64.185143pt;width:34.75pt;height:16.3500pt;mso-position-horizontal-relative:page;mso-position-vertical-relative:paragraph;z-index:-1129792" coordorigin="9446,-1284" coordsize="695,327" path="m10141,-1284l9446,-1284,9446,-1126,9446,-1115,9446,-958,10141,-958,10141,-1115,10141,-1126,10141,-1284e" filled="true" fillcolor="#ffff00" stroked="false">
            <v:path arrowok="t"/>
            <v:fill type="solid"/>
            <w10:wrap type="none"/>
          </v:shape>
        </w:pict>
      </w:r>
      <w:r>
        <w:rPr/>
        <w:pict>
          <v:shape style="position:absolute;margin-left:472.309021pt;margin-top:-40.507141pt;width:34.75pt;height:16.3500pt;mso-position-horizontal-relative:page;mso-position-vertical-relative:paragraph;z-index:-1129768" coordorigin="9446,-810" coordsize="695,327" path="m10141,-810l9446,-810,9446,-652,9446,-642,9446,-484,10141,-484,10141,-642,10141,-652,10141,-810e" filled="true" fillcolor="#ffff00" stroked="false">
            <v:path arrowok="t"/>
            <v:fill type="solid"/>
            <w10:wrap type="none"/>
          </v:shape>
        </w:pict>
      </w:r>
      <w:r>
        <w:rPr/>
        <w:pict>
          <v:rect style="position:absolute;margin-left:506.502991pt;margin-top:-16.830881pt;width:34.7202pt;height:8.418750pt;mso-position-horizontal-relative:page;mso-position-vertical-relative:paragraph;z-index:-1129744" filled="true" fillcolor="#67ed4d"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rPr>
          <w:sz w:val="20"/>
        </w:rPr>
      </w:pPr>
    </w:p>
    <w:p>
      <w:pPr>
        <w:pStyle w:val="BodyText"/>
        <w:rPr>
          <w:sz w:val="20"/>
        </w:rPr>
      </w:pPr>
    </w:p>
    <w:p>
      <w:pPr>
        <w:pStyle w:val="BodyText"/>
        <w:spacing w:before="211" w:after="15"/>
        <w:ind w:left="268"/>
      </w:pPr>
      <w:r>
        <w:rPr/>
        <w:pict>
          <v:line style="position:absolute;mso-position-horizontal-relative:page;mso-position-vertical-relative:paragraph;z-index:28312" from="93.199997pt,-32.194149pt" to="546.799997pt,-32.194149pt" stroked="true" strokeweight=".479981pt" strokecolor="#000000">
            <w10:wrap type="none"/>
          </v:line>
        </w:pict>
      </w:r>
      <w:r>
        <w:rPr/>
        <w:pict>
          <v:group style="position:absolute;margin-left:363.378998pt;margin-top:57.984413pt;width:75.25pt;height:40.550pt;mso-position-horizontal-relative:page;mso-position-vertical-relative:paragraph;z-index:-1129696" coordorigin="7268,1160" coordsize="1505,811">
            <v:line style="position:absolute" from="7273,1165" to="7273,1334" stroked="true" strokeweight=".526pt" strokecolor="#baf9f5"/>
            <v:shape style="position:absolute;left:7278;top:1165;width:1494;height:642" coordorigin="7278,1165" coordsize="1494,642" path="m8772,1165l7278,1165,7278,1323,7278,1334,7278,1491,7278,1649,7278,1807,8772,1807,8772,1649,8772,1491,8772,1334,8772,1323,8772,1165e" filled="true" fillcolor="#baf9f5" stroked="false">
              <v:path arrowok="t"/>
              <v:fill type="solid"/>
            </v:shape>
            <v:line style="position:absolute" from="7273,1323" to="7273,1965" stroked="true" strokeweight=".526pt" strokecolor="#baf9f5"/>
            <v:rect style="position:absolute;left:7278;top:1807;width:1494;height:158" filled="true" fillcolor="#baf9f5" stroked="false">
              <v:fill type="solid"/>
            </v:rect>
            <w10:wrap type="none"/>
          </v:group>
        </w:pict>
      </w:r>
      <w:r>
        <w:rPr/>
        <w:pict>
          <v:shape style="position:absolute;margin-left:472.277008pt;margin-top:58.259811pt;width:34.75pt;height:47.9pt;mso-position-horizontal-relative:page;mso-position-vertical-relative:paragraph;z-index:-1129672" coordorigin="9446,1165" coordsize="695,958" path="m10140,1807l9446,1807,9446,1955,9446,1965,9446,2123,10140,2123,10140,1965,10140,1955,10140,1807m10140,1165l9446,1165,9446,1323,9446,1334,9446,1491,9446,1649,9446,1807,10140,1807,10140,1649,10140,1491,10140,1334,10140,1323,10140,1165e" filled="true" fillcolor="#ffff00" stroked="false">
            <v:path arrowok="t"/>
            <v:fill type="solid"/>
            <w10:wrap type="none"/>
          </v:shape>
        </w:pict>
      </w:r>
      <w:r>
        <w:rPr/>
        <w:pict>
          <v:group style="position:absolute;margin-left:363.378998pt;margin-top:136.916245pt;width:75.25pt;height:56.35pt;mso-position-horizontal-relative:page;mso-position-vertical-relative:paragraph;z-index:-1129648" coordorigin="7268,2738" coordsize="1505,1127">
            <v:line style="position:absolute" from="7273,2744" to="7273,2912" stroked="true" strokeweight=".526pt" strokecolor="#baf9f5"/>
            <v:rect style="position:absolute;left:7278;top:2744;width:1494;height:168" filled="true" fillcolor="#baf9f5" stroked="false">
              <v:fill type="solid"/>
            </v:rect>
            <v:line style="position:absolute" from="7273,2912" to="7273,3070" stroked="true" strokeweight=".526pt" strokecolor="#baf9f5"/>
            <v:rect style="position:absolute;left:7278;top:2912;width:1494;height:158" filled="true" fillcolor="#baf9f5" stroked="false">
              <v:fill type="solid"/>
            </v:rect>
            <v:line style="position:absolute" from="7273,3070" to="7273,3228" stroked="true" strokeweight=".526pt" strokecolor="#baf9f5"/>
            <v:rect style="position:absolute;left:7278;top:3070;width:1494;height:158" filled="true" fillcolor="#baf9f5" stroked="false">
              <v:fill type="solid"/>
            </v:rect>
            <v:line style="position:absolute" from="7273,3228" to="7273,3386" stroked="true" strokeweight=".526pt" strokecolor="#baf9f5"/>
            <v:rect style="position:absolute;left:7278;top:3228;width:1494;height:158" filled="true" fillcolor="#baf9f5" stroked="false">
              <v:fill type="solid"/>
            </v:rect>
            <v:line style="position:absolute" from="7273,3386" to="7273,3544" stroked="true" strokeweight=".526pt" strokecolor="#baf9f5"/>
            <v:rect style="position:absolute;left:7278;top:3386;width:1494;height:158" filled="true" fillcolor="#baf9f5" stroked="false">
              <v:fill type="solid"/>
            </v:rect>
            <v:line style="position:absolute" from="7273,3544" to="7273,3702" stroked="true" strokeweight=".526pt" strokecolor="#baf9f5"/>
            <v:rect style="position:absolute;left:7278;top:3544;width:1494;height:158" filled="true" fillcolor="#baf9f5" stroked="false">
              <v:fill type="solid"/>
            </v:rect>
            <v:line style="position:absolute" from="7273,3702" to="7273,3859" stroked="true" strokeweight=".526pt" strokecolor="#baf9f5"/>
            <v:rect style="position:absolute;left:7278;top:3702;width:1494;height:158" filled="true" fillcolor="#baf9f5" stroked="false">
              <v:fill type="solid"/>
            </v:rect>
            <w10:wrap type="none"/>
          </v:group>
        </w:pict>
      </w:r>
      <w:r>
        <w:rPr/>
        <w:pict>
          <v:shape style="position:absolute;margin-left:472.277008pt;margin-top:113.511818pt;width:34.75pt;height:16.3500pt;mso-position-horizontal-relative:page;mso-position-vertical-relative:paragraph;z-index:-1129624" coordorigin="9446,2270" coordsize="695,327" path="m10140,2270l9446,2270,9446,2428,9446,2439,9446,2596,10140,2596,10140,2439,10140,2428,10140,2270e" filled="true" fillcolor="#ffff00" stroked="false">
            <v:path arrowok="t"/>
            <v:fill type="solid"/>
            <w10:wrap type="none"/>
          </v:shape>
        </w:pict>
      </w:r>
      <w:r>
        <w:rPr/>
        <w:pict>
          <v:shape style="position:absolute;margin-left:472.277008pt;margin-top:137.191818pt;width:34.75pt;height:63.7pt;mso-position-horizontal-relative:page;mso-position-vertical-relative:paragraph;z-index:-1129600" coordorigin="9446,2744" coordsize="695,1274" path="m10140,3702l9446,3702,9446,3849,9446,3859,9446,4017,10140,4017,10140,3859,10140,3849,10140,3702m10140,2744l9446,2744,9446,2912,9446,3070,9446,3228,9446,3386,9446,3544,9446,3702,10140,3702,10140,3544,10140,3386,10140,3228,10140,3070,10140,2912,10140,2744e" filled="true" fillcolor="#ffff00" stroked="false">
            <v:path arrowok="t"/>
            <v:fill type="solid"/>
            <w10:wrap type="none"/>
          </v:shape>
        </w:pict>
      </w:r>
      <w:r>
        <w:rPr/>
        <w:t>Tabla 79. ISA Valle de las Fuentes</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0"/>
        <w:gridCol w:w="1802"/>
        <w:gridCol w:w="2247"/>
        <w:gridCol w:w="1857"/>
        <w:gridCol w:w="801"/>
        <w:gridCol w:w="770"/>
        <w:gridCol w:w="684"/>
      </w:tblGrid>
      <w:tr>
        <w:trPr>
          <w:trHeight w:val="437" w:hRule="exact"/>
        </w:trPr>
        <w:tc>
          <w:tcPr>
            <w:tcW w:w="8821" w:type="dxa"/>
            <w:gridSpan w:val="7"/>
            <w:tcBorders>
              <w:bottom w:val="nil"/>
              <w:right w:val="single" w:sz="4" w:space="0" w:color="76933C"/>
            </w:tcBorders>
            <w:shd w:val="clear" w:color="auto" w:fill="000000"/>
          </w:tcPr>
          <w:p>
            <w:pPr>
              <w:pStyle w:val="TableParagraph"/>
              <w:spacing w:before="50"/>
              <w:ind w:left="3326" w:right="3315"/>
              <w:rPr>
                <w:b/>
                <w:sz w:val="12"/>
              </w:rPr>
            </w:pPr>
            <w:r>
              <w:rPr>
                <w:b/>
                <w:color w:val="FFFFFF"/>
                <w:w w:val="105"/>
                <w:sz w:val="12"/>
              </w:rPr>
              <w:t>Valle de las Fuentes</w:t>
            </w:r>
          </w:p>
          <w:p>
            <w:pPr>
              <w:pStyle w:val="TableParagraph"/>
              <w:spacing w:before="20"/>
              <w:ind w:left="3332" w:right="3315"/>
              <w:rPr>
                <w:b/>
                <w:sz w:val="12"/>
              </w:rPr>
            </w:pPr>
            <w:r>
              <w:rPr>
                <w:b/>
                <w:color w:val="FFFFFF"/>
                <w:w w:val="105"/>
                <w:sz w:val="12"/>
              </w:rPr>
              <w:t>Índice de sustentabilidad ambiental</w:t>
            </w:r>
          </w:p>
        </w:tc>
      </w:tr>
      <w:tr>
        <w:trPr>
          <w:trHeight w:val="163" w:hRule="exact"/>
        </w:trPr>
        <w:tc>
          <w:tcPr>
            <w:tcW w:w="660" w:type="dxa"/>
            <w:tcBorders>
              <w:top w:val="single" w:sz="4" w:space="0" w:color="FFFFFF"/>
              <w:left w:val="single" w:sz="4" w:space="0" w:color="000000"/>
            </w:tcBorders>
            <w:shd w:val="clear" w:color="auto" w:fill="808080"/>
          </w:tcPr>
          <w:p>
            <w:pPr>
              <w:pStyle w:val="TableParagraph"/>
              <w:spacing w:line="136" w:lineRule="exact"/>
              <w:ind w:left="157"/>
              <w:jc w:val="left"/>
              <w:rPr>
                <w:b/>
                <w:sz w:val="12"/>
              </w:rPr>
            </w:pPr>
            <w:r>
              <w:rPr>
                <w:b/>
                <w:color w:val="FFFFFF"/>
                <w:w w:val="105"/>
                <w:sz w:val="12"/>
              </w:rPr>
              <w:t>Índice</w:t>
            </w:r>
          </w:p>
        </w:tc>
        <w:tc>
          <w:tcPr>
            <w:tcW w:w="1802" w:type="dxa"/>
            <w:tcBorders>
              <w:top w:val="single" w:sz="4" w:space="0" w:color="FFFFFF"/>
            </w:tcBorders>
            <w:shd w:val="clear" w:color="auto" w:fill="808080"/>
          </w:tcPr>
          <w:p>
            <w:pPr>
              <w:pStyle w:val="TableParagraph"/>
              <w:spacing w:line="136" w:lineRule="exact"/>
              <w:ind w:left="50"/>
              <w:jc w:val="left"/>
              <w:rPr>
                <w:b/>
                <w:sz w:val="12"/>
              </w:rPr>
            </w:pPr>
            <w:r>
              <w:rPr>
                <w:b/>
                <w:color w:val="FFFFFF"/>
                <w:w w:val="105"/>
                <w:sz w:val="12"/>
              </w:rPr>
              <w:t>Subíndice</w:t>
            </w:r>
          </w:p>
        </w:tc>
        <w:tc>
          <w:tcPr>
            <w:tcW w:w="2247" w:type="dxa"/>
            <w:tcBorders>
              <w:top w:val="single" w:sz="4" w:space="0" w:color="FFFFFF"/>
            </w:tcBorders>
            <w:shd w:val="clear" w:color="auto" w:fill="808080"/>
          </w:tcPr>
          <w:p>
            <w:pPr>
              <w:pStyle w:val="TableParagraph"/>
              <w:spacing w:line="136" w:lineRule="exact"/>
              <w:ind w:left="352" w:right="661"/>
              <w:jc w:val="left"/>
              <w:rPr>
                <w:b/>
                <w:sz w:val="12"/>
              </w:rPr>
            </w:pPr>
            <w:r>
              <w:rPr>
                <w:b/>
                <w:color w:val="FFFFFF"/>
                <w:w w:val="105"/>
                <w:sz w:val="12"/>
              </w:rPr>
              <w:t>Indicador</w:t>
            </w:r>
          </w:p>
        </w:tc>
        <w:tc>
          <w:tcPr>
            <w:tcW w:w="1857" w:type="dxa"/>
            <w:tcBorders>
              <w:top w:val="single" w:sz="4" w:space="0" w:color="FFFFFF"/>
            </w:tcBorders>
            <w:shd w:val="clear" w:color="auto" w:fill="808080"/>
          </w:tcPr>
          <w:p>
            <w:pPr/>
          </w:p>
        </w:tc>
        <w:tc>
          <w:tcPr>
            <w:tcW w:w="801" w:type="dxa"/>
            <w:tcBorders>
              <w:top w:val="single" w:sz="4" w:space="0" w:color="FFFFFF"/>
            </w:tcBorders>
            <w:shd w:val="clear" w:color="auto" w:fill="808080"/>
          </w:tcPr>
          <w:p>
            <w:pPr>
              <w:pStyle w:val="TableParagraph"/>
              <w:spacing w:line="136" w:lineRule="exact"/>
              <w:ind w:left="266" w:right="-97"/>
              <w:jc w:val="left"/>
              <w:rPr>
                <w:b/>
                <w:sz w:val="12"/>
              </w:rPr>
            </w:pPr>
            <w:r>
              <w:rPr>
                <w:b/>
                <w:color w:val="FFFFFF"/>
                <w:w w:val="105"/>
                <w:sz w:val="12"/>
              </w:rPr>
              <w:t>Valores</w:t>
            </w:r>
          </w:p>
        </w:tc>
        <w:tc>
          <w:tcPr>
            <w:tcW w:w="770" w:type="dxa"/>
            <w:tcBorders>
              <w:top w:val="single" w:sz="4" w:space="0" w:color="FFFFFF"/>
            </w:tcBorders>
            <w:shd w:val="clear" w:color="auto" w:fill="808080"/>
          </w:tcPr>
          <w:p>
            <w:pPr/>
          </w:p>
        </w:tc>
        <w:tc>
          <w:tcPr>
            <w:tcW w:w="684" w:type="dxa"/>
            <w:tcBorders>
              <w:top w:val="single" w:sz="4" w:space="0" w:color="FFFFFF"/>
              <w:right w:val="single" w:sz="8" w:space="0" w:color="000000"/>
            </w:tcBorders>
            <w:shd w:val="clear" w:color="auto" w:fill="808080"/>
          </w:tcPr>
          <w:p>
            <w:pPr/>
          </w:p>
        </w:tc>
      </w:tr>
      <w:tr>
        <w:trPr>
          <w:trHeight w:val="63" w:hRule="exact"/>
        </w:trPr>
        <w:tc>
          <w:tcPr>
            <w:tcW w:w="8821" w:type="dxa"/>
            <w:gridSpan w:val="7"/>
            <w:tcBorders>
              <w:left w:val="single" w:sz="4" w:space="0" w:color="000000"/>
              <w:right w:val="single" w:sz="8" w:space="0" w:color="000000"/>
            </w:tcBorders>
            <w:shd w:val="clear" w:color="auto" w:fill="808080"/>
          </w:tcPr>
          <w:p>
            <w:pPr/>
          </w:p>
        </w:tc>
      </w:tr>
      <w:tr>
        <w:trPr>
          <w:trHeight w:val="163" w:hRule="exact"/>
        </w:trPr>
        <w:tc>
          <w:tcPr>
            <w:tcW w:w="660" w:type="dxa"/>
            <w:vMerge w:val="restart"/>
            <w:tcBorders>
              <w:left w:val="single" w:sz="4" w:space="0" w:color="000000"/>
            </w:tcBorders>
          </w:tcPr>
          <w:p>
            <w:pPr/>
          </w:p>
        </w:tc>
        <w:tc>
          <w:tcPr>
            <w:tcW w:w="1802" w:type="dxa"/>
          </w:tcPr>
          <w:p>
            <w:pPr/>
          </w:p>
        </w:tc>
        <w:tc>
          <w:tcPr>
            <w:tcW w:w="2247" w:type="dxa"/>
          </w:tcPr>
          <w:p>
            <w:pPr/>
          </w:p>
        </w:tc>
        <w:tc>
          <w:tcPr>
            <w:tcW w:w="1857" w:type="dxa"/>
          </w:tcPr>
          <w:p>
            <w:pPr>
              <w:pStyle w:val="TableParagraph"/>
              <w:spacing w:before="8"/>
              <w:ind w:left="968" w:right="184"/>
              <w:rPr>
                <w:b/>
                <w:sz w:val="12"/>
              </w:rPr>
            </w:pPr>
            <w:r>
              <w:rPr>
                <w:b/>
                <w:w w:val="105"/>
                <w:sz w:val="12"/>
              </w:rPr>
              <w:t>Evaluación</w:t>
            </w:r>
          </w:p>
        </w:tc>
        <w:tc>
          <w:tcPr>
            <w:tcW w:w="801" w:type="dxa"/>
          </w:tcPr>
          <w:p>
            <w:pPr>
              <w:pStyle w:val="TableParagraph"/>
              <w:tabs>
                <w:tab w:pos="897" w:val="left" w:leader="none"/>
              </w:tabs>
              <w:spacing w:before="8"/>
              <w:ind w:left="203" w:right="-97"/>
              <w:jc w:val="left"/>
              <w:rPr>
                <w:b/>
                <w:sz w:val="12"/>
              </w:rPr>
            </w:pPr>
            <w:r>
              <w:rPr>
                <w:b/>
                <w:w w:val="105"/>
                <w:sz w:val="12"/>
                <w:shd w:fill="F79646" w:color="auto" w:val="clear"/>
              </w:rPr>
              <w:t> </w:t>
            </w:r>
            <w:r>
              <w:rPr>
                <w:b/>
                <w:sz w:val="12"/>
                <w:shd w:fill="F79646" w:color="auto" w:val="clear"/>
              </w:rPr>
              <w:t>    </w:t>
            </w:r>
            <w:r>
              <w:rPr>
                <w:b/>
                <w:spacing w:val="8"/>
                <w:sz w:val="12"/>
                <w:shd w:fill="F79646" w:color="auto" w:val="clear"/>
              </w:rPr>
              <w:t> </w:t>
            </w:r>
            <w:r>
              <w:rPr>
                <w:b/>
                <w:w w:val="105"/>
                <w:sz w:val="12"/>
                <w:shd w:fill="F79646" w:color="auto" w:val="clear"/>
              </w:rPr>
              <w:t>Real</w:t>
            </w:r>
            <w:r>
              <w:rPr>
                <w:b/>
                <w:sz w:val="12"/>
                <w:shd w:fill="F79646" w:color="auto" w:val="clear"/>
              </w:rPr>
              <w:tab/>
            </w:r>
          </w:p>
        </w:tc>
        <w:tc>
          <w:tcPr>
            <w:tcW w:w="770" w:type="dxa"/>
          </w:tcPr>
          <w:p>
            <w:pPr>
              <w:pStyle w:val="TableParagraph"/>
              <w:spacing w:before="8"/>
              <w:ind w:left="159"/>
              <w:jc w:val="left"/>
              <w:rPr>
                <w:b/>
                <w:sz w:val="12"/>
              </w:rPr>
            </w:pPr>
            <w:r>
              <w:rPr>
                <w:b/>
                <w:w w:val="105"/>
                <w:sz w:val="12"/>
              </w:rPr>
              <w:t>Deseable</w:t>
            </w:r>
          </w:p>
        </w:tc>
        <w:tc>
          <w:tcPr>
            <w:tcW w:w="684" w:type="dxa"/>
            <w:tcBorders>
              <w:right w:val="single" w:sz="8" w:space="0" w:color="000000"/>
            </w:tcBorders>
            <w:shd w:val="clear" w:color="auto" w:fill="67ED4D"/>
          </w:tcPr>
          <w:p>
            <w:pPr>
              <w:pStyle w:val="TableParagraph"/>
              <w:spacing w:before="8"/>
              <w:ind w:left="106" w:right="86"/>
              <w:rPr>
                <w:b/>
                <w:sz w:val="12"/>
              </w:rPr>
            </w:pPr>
            <w:r>
              <w:rPr>
                <w:b/>
                <w:w w:val="105"/>
                <w:sz w:val="12"/>
              </w:rPr>
              <w:t>Óptimo</w:t>
            </w:r>
          </w:p>
        </w:tc>
      </w:tr>
      <w:tr>
        <w:trPr>
          <w:trHeight w:val="160" w:hRule="exact"/>
        </w:trPr>
        <w:tc>
          <w:tcPr>
            <w:tcW w:w="660" w:type="dxa"/>
            <w:vMerge/>
            <w:tcBorders>
              <w:left w:val="single" w:sz="4" w:space="0" w:color="000000"/>
            </w:tcBorders>
          </w:tcPr>
          <w:p>
            <w:pPr/>
          </w:p>
        </w:tc>
        <w:tc>
          <w:tcPr>
            <w:tcW w:w="1802" w:type="dxa"/>
          </w:tcPr>
          <w:p>
            <w:pPr/>
          </w:p>
        </w:tc>
        <w:tc>
          <w:tcPr>
            <w:tcW w:w="2247" w:type="dxa"/>
          </w:tcPr>
          <w:p>
            <w:pPr>
              <w:pStyle w:val="TableParagraph"/>
              <w:spacing w:before="2"/>
              <w:ind w:left="352" w:right="661"/>
              <w:jc w:val="left"/>
              <w:rPr>
                <w:rFonts w:ascii="Calibri"/>
                <w:sz w:val="12"/>
              </w:rPr>
            </w:pPr>
            <w:r>
              <w:rPr>
                <w:rFonts w:ascii="Calibri"/>
                <w:w w:val="105"/>
                <w:sz w:val="12"/>
              </w:rPr>
              <w:t>Tipo de la vivienda</w:t>
            </w:r>
          </w:p>
        </w:tc>
        <w:tc>
          <w:tcPr>
            <w:tcW w:w="1857" w:type="dxa"/>
          </w:tcPr>
          <w:p>
            <w:pPr>
              <w:pStyle w:val="TableParagraph"/>
              <w:spacing w:before="2"/>
              <w:ind w:left="966" w:right="184"/>
              <w:rPr>
                <w:rFonts w:ascii="Calibri"/>
                <w:sz w:val="12"/>
              </w:rPr>
            </w:pPr>
            <w:r>
              <w:rPr>
                <w:rFonts w:ascii="Calibri"/>
                <w:w w:val="105"/>
                <w:sz w:val="12"/>
              </w:rPr>
              <w:t>0.6</w:t>
            </w:r>
          </w:p>
        </w:tc>
        <w:tc>
          <w:tcPr>
            <w:tcW w:w="801" w:type="dxa"/>
          </w:tcPr>
          <w:p>
            <w:pPr/>
          </w:p>
        </w:tc>
        <w:tc>
          <w:tcPr>
            <w:tcW w:w="770" w:type="dxa"/>
          </w:tcPr>
          <w:p>
            <w:pPr>
              <w:pStyle w:val="TableParagraph"/>
              <w:spacing w:before="2"/>
              <w:ind w:left="328" w:right="241"/>
              <w:rPr>
                <w:rFonts w:ascii="Calibri"/>
                <w:sz w:val="12"/>
              </w:rPr>
            </w:pPr>
            <w:r>
              <w:rPr>
                <w:rFonts w:ascii="Calibri"/>
                <w:w w:val="105"/>
                <w:sz w:val="12"/>
              </w:rPr>
              <w:t>0.6</w:t>
            </w:r>
          </w:p>
        </w:tc>
        <w:tc>
          <w:tcPr>
            <w:tcW w:w="684" w:type="dxa"/>
            <w:tcBorders>
              <w:right w:val="single" w:sz="8" w:space="0" w:color="000000"/>
            </w:tcBorders>
            <w:shd w:val="clear" w:color="auto" w:fill="67ED4D"/>
          </w:tcPr>
          <w:p>
            <w:pPr>
              <w:pStyle w:val="TableParagraph"/>
              <w:spacing w:before="2"/>
              <w:ind w:left="21"/>
              <w:rPr>
                <w:rFonts w:ascii="Calibri"/>
                <w:sz w:val="12"/>
              </w:rPr>
            </w:pPr>
            <w:r>
              <w:rPr>
                <w:rFonts w:ascii="Calibri"/>
                <w:w w:val="105"/>
                <w:sz w:val="12"/>
              </w:rPr>
              <w:t>1</w:t>
            </w:r>
          </w:p>
        </w:tc>
      </w:tr>
      <w:tr>
        <w:trPr>
          <w:trHeight w:val="158" w:hRule="exact"/>
        </w:trPr>
        <w:tc>
          <w:tcPr>
            <w:tcW w:w="660" w:type="dxa"/>
            <w:vMerge/>
            <w:tcBorders>
              <w:left w:val="single" w:sz="4" w:space="0" w:color="000000"/>
            </w:tcBorders>
          </w:tcPr>
          <w:p>
            <w:pPr/>
          </w:p>
        </w:tc>
        <w:tc>
          <w:tcPr>
            <w:tcW w:w="1802" w:type="dxa"/>
            <w:vMerge w:val="restart"/>
          </w:tcPr>
          <w:p>
            <w:pPr>
              <w:pStyle w:val="TableParagraph"/>
              <w:spacing w:before="73"/>
              <w:ind w:left="50"/>
              <w:jc w:val="left"/>
              <w:rPr>
                <w:rFonts w:ascii="Calibri"/>
                <w:sz w:val="12"/>
              </w:rPr>
            </w:pPr>
            <w:r>
              <w:rPr>
                <w:rFonts w:ascii="Calibri"/>
                <w:w w:val="105"/>
                <w:sz w:val="12"/>
              </w:rPr>
              <w:t>Autorizaciones</w:t>
            </w:r>
          </w:p>
        </w:tc>
        <w:tc>
          <w:tcPr>
            <w:tcW w:w="2247" w:type="dxa"/>
            <w:vMerge w:val="restart"/>
          </w:tcPr>
          <w:p>
            <w:pPr>
              <w:pStyle w:val="TableParagraph"/>
              <w:spacing w:line="259" w:lineRule="auto"/>
              <w:ind w:left="352" w:right="661"/>
              <w:jc w:val="left"/>
              <w:rPr>
                <w:rFonts w:ascii="Calibri" w:hAnsi="Calibri"/>
                <w:sz w:val="12"/>
              </w:rPr>
            </w:pPr>
            <w:r>
              <w:rPr>
                <w:rFonts w:ascii="Calibri" w:hAnsi="Calibri"/>
                <w:w w:val="105"/>
                <w:sz w:val="12"/>
              </w:rPr>
              <w:t>Metros de construcción Metros de terreno</w:t>
            </w:r>
          </w:p>
        </w:tc>
        <w:tc>
          <w:tcPr>
            <w:tcW w:w="1857" w:type="dxa"/>
            <w:vMerge w:val="restart"/>
          </w:tcPr>
          <w:p>
            <w:pPr>
              <w:pStyle w:val="TableParagraph"/>
              <w:ind w:right="498"/>
              <w:jc w:val="right"/>
              <w:rPr>
                <w:rFonts w:ascii="Calibri"/>
                <w:sz w:val="12"/>
              </w:rPr>
            </w:pPr>
            <w:r>
              <w:rPr>
                <w:rFonts w:ascii="Calibri"/>
                <w:w w:val="105"/>
                <w:sz w:val="12"/>
              </w:rPr>
              <w:t>1</w:t>
            </w:r>
          </w:p>
          <w:p>
            <w:pPr>
              <w:pStyle w:val="TableParagraph"/>
              <w:spacing w:before="11"/>
              <w:ind w:right="498"/>
              <w:jc w:val="right"/>
              <w:rPr>
                <w:rFonts w:ascii="Calibri"/>
                <w:sz w:val="12"/>
              </w:rPr>
            </w:pPr>
            <w:r>
              <w:rPr>
                <w:rFonts w:ascii="Calibri"/>
                <w:w w:val="105"/>
                <w:sz w:val="12"/>
              </w:rPr>
              <w:t>1</w:t>
            </w:r>
          </w:p>
        </w:tc>
        <w:tc>
          <w:tcPr>
            <w:tcW w:w="801" w:type="dxa"/>
            <w:vMerge w:val="restart"/>
          </w:tcPr>
          <w:p>
            <w:pPr/>
          </w:p>
        </w:tc>
        <w:tc>
          <w:tcPr>
            <w:tcW w:w="770" w:type="dxa"/>
            <w:vMerge w:val="restart"/>
          </w:tcPr>
          <w:p>
            <w:pPr>
              <w:pStyle w:val="TableParagraph"/>
              <w:ind w:left="97"/>
              <w:rPr>
                <w:rFonts w:ascii="Calibri"/>
                <w:sz w:val="12"/>
              </w:rPr>
            </w:pPr>
            <w:r>
              <w:rPr>
                <w:rFonts w:ascii="Calibri"/>
                <w:w w:val="105"/>
                <w:sz w:val="12"/>
              </w:rPr>
              <w:t>1</w:t>
            </w:r>
          </w:p>
          <w:p>
            <w:pPr>
              <w:pStyle w:val="TableParagraph"/>
              <w:spacing w:before="11"/>
              <w:ind w:left="97"/>
              <w:rPr>
                <w:rFonts w:ascii="Calibri"/>
                <w:sz w:val="12"/>
              </w:rPr>
            </w:pPr>
            <w:r>
              <w:rPr>
                <w:rFonts w:ascii="Calibri"/>
                <w:w w:val="105"/>
                <w:sz w:val="12"/>
              </w:rPr>
              <w:t>1</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60" w:type="dxa"/>
            <w:vMerge/>
            <w:tcBorders>
              <w:left w:val="single" w:sz="4" w:space="0" w:color="000000"/>
            </w:tcBorders>
          </w:tcPr>
          <w:p>
            <w:pPr/>
          </w:p>
        </w:tc>
        <w:tc>
          <w:tcPr>
            <w:tcW w:w="1802" w:type="dxa"/>
            <w:vMerge/>
          </w:tcPr>
          <w:p>
            <w:pPr/>
          </w:p>
        </w:tc>
        <w:tc>
          <w:tcPr>
            <w:tcW w:w="2247" w:type="dxa"/>
            <w:vMerge/>
          </w:tcPr>
          <w:p>
            <w:pPr/>
          </w:p>
        </w:tc>
        <w:tc>
          <w:tcPr>
            <w:tcW w:w="1857" w:type="dxa"/>
            <w:vMerge/>
          </w:tcPr>
          <w:p>
            <w:pPr/>
          </w:p>
        </w:tc>
        <w:tc>
          <w:tcPr>
            <w:tcW w:w="801" w:type="dxa"/>
            <w:vMerge/>
          </w:tcPr>
          <w:p>
            <w:pPr/>
          </w:p>
        </w:tc>
        <w:tc>
          <w:tcPr>
            <w:tcW w:w="770" w:type="dxa"/>
            <w:vMerge/>
          </w:tcPr>
          <w:p>
            <w:pP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60" w:type="dxa"/>
            <w:vMerge/>
            <w:tcBorders>
              <w:left w:val="single" w:sz="4" w:space="0" w:color="000000"/>
            </w:tcBorders>
          </w:tcPr>
          <w:p>
            <w:pPr/>
          </w:p>
        </w:tc>
        <w:tc>
          <w:tcPr>
            <w:tcW w:w="1802" w:type="dxa"/>
          </w:tcPr>
          <w:p>
            <w:pPr/>
          </w:p>
        </w:tc>
        <w:tc>
          <w:tcPr>
            <w:tcW w:w="2247" w:type="dxa"/>
          </w:tcPr>
          <w:p>
            <w:pPr>
              <w:pStyle w:val="TableParagraph"/>
              <w:ind w:left="352" w:right="661"/>
              <w:jc w:val="left"/>
              <w:rPr>
                <w:rFonts w:ascii="Calibri"/>
                <w:sz w:val="12"/>
              </w:rPr>
            </w:pPr>
            <w:r>
              <w:rPr>
                <w:rFonts w:ascii="Calibri"/>
                <w:w w:val="105"/>
                <w:sz w:val="12"/>
              </w:rPr>
              <w:t>Plan ambiental</w:t>
            </w:r>
          </w:p>
        </w:tc>
        <w:tc>
          <w:tcPr>
            <w:tcW w:w="1857" w:type="dxa"/>
          </w:tcPr>
          <w:p>
            <w:pPr>
              <w:pStyle w:val="TableParagraph"/>
              <w:ind w:left="791"/>
              <w:rPr>
                <w:rFonts w:ascii="Calibri"/>
                <w:sz w:val="12"/>
              </w:rPr>
            </w:pPr>
            <w:r>
              <w:rPr>
                <w:rFonts w:ascii="Calibri"/>
                <w:w w:val="105"/>
                <w:sz w:val="12"/>
              </w:rPr>
              <w:t>0</w:t>
            </w:r>
          </w:p>
        </w:tc>
        <w:tc>
          <w:tcPr>
            <w:tcW w:w="801" w:type="dxa"/>
          </w:tcPr>
          <w:p>
            <w:pPr/>
          </w:p>
        </w:tc>
        <w:tc>
          <w:tcPr>
            <w:tcW w:w="770" w:type="dxa"/>
          </w:tcPr>
          <w:p>
            <w:pPr>
              <w:pStyle w:val="TableParagraph"/>
              <w:ind w:left="97"/>
              <w:rPr>
                <w:rFonts w:ascii="Calibri"/>
                <w:sz w:val="12"/>
              </w:rPr>
            </w:pPr>
            <w:r>
              <w:rPr>
                <w:rFonts w:ascii="Calibri"/>
                <w:w w:val="105"/>
                <w:sz w:val="12"/>
              </w:rPr>
              <w:t>1</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62" w:hRule="exact"/>
        </w:trPr>
        <w:tc>
          <w:tcPr>
            <w:tcW w:w="660" w:type="dxa"/>
            <w:vMerge/>
            <w:tcBorders>
              <w:left w:val="single" w:sz="4" w:space="0" w:color="000000"/>
            </w:tcBorders>
          </w:tcPr>
          <w:p>
            <w:pPr/>
          </w:p>
        </w:tc>
        <w:tc>
          <w:tcPr>
            <w:tcW w:w="1802" w:type="dxa"/>
          </w:tcPr>
          <w:p>
            <w:pPr/>
          </w:p>
        </w:tc>
        <w:tc>
          <w:tcPr>
            <w:tcW w:w="2247" w:type="dxa"/>
          </w:tcPr>
          <w:p>
            <w:pPr/>
          </w:p>
        </w:tc>
        <w:tc>
          <w:tcPr>
            <w:tcW w:w="1857" w:type="dxa"/>
          </w:tcPr>
          <w:p>
            <w:pPr>
              <w:pStyle w:val="TableParagraph"/>
              <w:spacing w:before="1"/>
              <w:ind w:left="964" w:right="184"/>
              <w:rPr>
                <w:rFonts w:ascii="Calibri"/>
                <w:sz w:val="12"/>
              </w:rPr>
            </w:pPr>
            <w:r>
              <w:rPr>
                <w:rFonts w:ascii="Calibri"/>
                <w:w w:val="105"/>
                <w:sz w:val="12"/>
              </w:rPr>
              <w:t>Subtotal</w:t>
            </w:r>
          </w:p>
        </w:tc>
        <w:tc>
          <w:tcPr>
            <w:tcW w:w="801" w:type="dxa"/>
          </w:tcPr>
          <w:p>
            <w:pPr>
              <w:pStyle w:val="TableParagraph"/>
              <w:tabs>
                <w:tab w:pos="466" w:val="left" w:leader="none"/>
                <w:tab w:pos="897" w:val="left" w:leader="none"/>
              </w:tabs>
              <w:spacing w:before="1"/>
              <w:ind w:left="203" w:right="-97"/>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2.6</w:t>
            </w:r>
            <w:r>
              <w:rPr>
                <w:rFonts w:ascii="Calibri"/>
                <w:sz w:val="12"/>
                <w:shd w:fill="F79646" w:color="auto" w:val="clear"/>
              </w:rPr>
              <w:tab/>
            </w:r>
          </w:p>
        </w:tc>
        <w:tc>
          <w:tcPr>
            <w:tcW w:w="770" w:type="dxa"/>
          </w:tcPr>
          <w:p>
            <w:pPr>
              <w:pStyle w:val="TableParagraph"/>
              <w:spacing w:before="1"/>
              <w:ind w:left="328" w:right="241"/>
              <w:rPr>
                <w:rFonts w:ascii="Calibri"/>
                <w:sz w:val="12"/>
              </w:rPr>
            </w:pPr>
            <w:r>
              <w:rPr>
                <w:rFonts w:ascii="Calibri"/>
                <w:w w:val="105"/>
                <w:sz w:val="12"/>
              </w:rPr>
              <w:t>3.6</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4</w:t>
            </w:r>
          </w:p>
        </w:tc>
      </w:tr>
      <w:tr>
        <w:trPr>
          <w:trHeight w:val="147" w:hRule="exact"/>
        </w:trPr>
        <w:tc>
          <w:tcPr>
            <w:tcW w:w="8821" w:type="dxa"/>
            <w:gridSpan w:val="7"/>
            <w:tcBorders>
              <w:left w:val="single" w:sz="4" w:space="0" w:color="000000"/>
              <w:right w:val="single" w:sz="8" w:space="0" w:color="000000"/>
            </w:tcBorders>
          </w:tcPr>
          <w:p>
            <w:pPr/>
          </w:p>
        </w:tc>
      </w:tr>
      <w:tr>
        <w:trPr>
          <w:trHeight w:val="163" w:hRule="exact"/>
        </w:trPr>
        <w:tc>
          <w:tcPr>
            <w:tcW w:w="660" w:type="dxa"/>
            <w:tcBorders>
              <w:left w:val="single" w:sz="4" w:space="0" w:color="000000"/>
            </w:tcBorders>
          </w:tcPr>
          <w:p>
            <w:pPr/>
          </w:p>
        </w:tc>
        <w:tc>
          <w:tcPr>
            <w:tcW w:w="1802" w:type="dxa"/>
          </w:tcPr>
          <w:p>
            <w:pPr>
              <w:pStyle w:val="TableParagraph"/>
              <w:spacing w:before="6"/>
              <w:ind w:left="50"/>
              <w:jc w:val="left"/>
              <w:rPr>
                <w:rFonts w:ascii="Calibri"/>
                <w:sz w:val="12"/>
              </w:rPr>
            </w:pPr>
            <w:r>
              <w:rPr>
                <w:rFonts w:ascii="Calibri"/>
                <w:w w:val="105"/>
                <w:sz w:val="12"/>
              </w:rPr>
              <w:t>Agua</w:t>
            </w:r>
          </w:p>
        </w:tc>
        <w:tc>
          <w:tcPr>
            <w:tcW w:w="2247" w:type="dxa"/>
          </w:tcPr>
          <w:p>
            <w:pPr>
              <w:pStyle w:val="TableParagraph"/>
              <w:spacing w:before="6"/>
              <w:ind w:left="352"/>
              <w:jc w:val="left"/>
              <w:rPr>
                <w:rFonts w:ascii="Calibri"/>
                <w:sz w:val="12"/>
              </w:rPr>
            </w:pPr>
            <w:r>
              <w:rPr>
                <w:rFonts w:ascii="Calibri"/>
                <w:w w:val="105"/>
                <w:sz w:val="12"/>
              </w:rPr>
              <w:t>Tipo de abastecimiento</w:t>
            </w:r>
          </w:p>
        </w:tc>
        <w:tc>
          <w:tcPr>
            <w:tcW w:w="1857" w:type="dxa"/>
          </w:tcPr>
          <w:p>
            <w:pPr>
              <w:pStyle w:val="TableParagraph"/>
              <w:tabs>
                <w:tab w:pos="1292" w:val="left" w:leader="none"/>
                <w:tab w:pos="2071" w:val="left" w:leader="none"/>
              </w:tabs>
              <w:spacing w:before="6"/>
              <w:ind w:left="566" w:right="-214"/>
              <w:rPr>
                <w:rFonts w:ascii="Calibri"/>
                <w:sz w:val="12"/>
              </w:rPr>
            </w:pPr>
            <w:r>
              <w:rPr>
                <w:rFonts w:ascii="Times New Roman"/>
                <w:w w:val="105"/>
                <w:sz w:val="12"/>
                <w:shd w:fill="BAF9F5" w:color="auto" w:val="clear"/>
              </w:rPr>
              <w:t> </w:t>
            </w:r>
            <w:r>
              <w:rPr>
                <w:rFonts w:ascii="Times New Roman"/>
                <w:sz w:val="12"/>
                <w:shd w:fill="BAF9F5" w:color="auto" w:val="clear"/>
              </w:rPr>
              <w:tab/>
            </w:r>
            <w:r>
              <w:rPr>
                <w:rFonts w:ascii="Calibri"/>
                <w:w w:val="105"/>
                <w:sz w:val="12"/>
                <w:shd w:fill="BAF9F5" w:color="auto" w:val="clear"/>
              </w:rPr>
              <w:t>1</w:t>
            </w:r>
            <w:r>
              <w:rPr>
                <w:rFonts w:ascii="Calibri"/>
                <w:sz w:val="12"/>
                <w:shd w:fill="BAF9F5" w:color="auto" w:val="clear"/>
              </w:rPr>
              <w:tab/>
            </w:r>
          </w:p>
        </w:tc>
        <w:tc>
          <w:tcPr>
            <w:tcW w:w="801" w:type="dxa"/>
          </w:tcPr>
          <w:p>
            <w:pPr/>
          </w:p>
        </w:tc>
        <w:tc>
          <w:tcPr>
            <w:tcW w:w="770" w:type="dxa"/>
          </w:tcPr>
          <w:p>
            <w:pPr>
              <w:pStyle w:val="TableParagraph"/>
              <w:spacing w:before="6"/>
              <w:ind w:left="328" w:right="241"/>
              <w:rPr>
                <w:rFonts w:ascii="Calibri"/>
                <w:sz w:val="12"/>
              </w:rPr>
            </w:pPr>
            <w:r>
              <w:rPr>
                <w:rFonts w:ascii="Calibri"/>
                <w:w w:val="105"/>
                <w:sz w:val="12"/>
              </w:rPr>
              <w:t>0.7</w:t>
            </w:r>
          </w:p>
        </w:tc>
        <w:tc>
          <w:tcPr>
            <w:tcW w:w="684" w:type="dxa"/>
            <w:tcBorders>
              <w:right w:val="single" w:sz="8" w:space="0" w:color="000000"/>
            </w:tcBorders>
            <w:shd w:val="clear" w:color="auto" w:fill="67ED4D"/>
          </w:tcPr>
          <w:p>
            <w:pPr>
              <w:pStyle w:val="TableParagraph"/>
              <w:spacing w:before="6"/>
              <w:ind w:left="21"/>
              <w:rPr>
                <w:rFonts w:ascii="Calibri"/>
                <w:sz w:val="12"/>
              </w:rPr>
            </w:pPr>
            <w:r>
              <w:rPr>
                <w:rFonts w:ascii="Calibri"/>
                <w:w w:val="105"/>
                <w:sz w:val="12"/>
              </w:rPr>
              <w:t>1</w:t>
            </w:r>
          </w:p>
        </w:tc>
      </w:tr>
      <w:tr>
        <w:trPr>
          <w:trHeight w:val="163" w:hRule="exact"/>
        </w:trPr>
        <w:tc>
          <w:tcPr>
            <w:tcW w:w="660" w:type="dxa"/>
            <w:tcBorders>
              <w:left w:val="single" w:sz="4" w:space="0" w:color="000000"/>
            </w:tcBorders>
          </w:tcPr>
          <w:p>
            <w:pPr/>
          </w:p>
        </w:tc>
        <w:tc>
          <w:tcPr>
            <w:tcW w:w="1802" w:type="dxa"/>
          </w:tcPr>
          <w:p>
            <w:pPr/>
          </w:p>
        </w:tc>
        <w:tc>
          <w:tcPr>
            <w:tcW w:w="2247" w:type="dxa"/>
          </w:tcPr>
          <w:p>
            <w:pPr/>
          </w:p>
        </w:tc>
        <w:tc>
          <w:tcPr>
            <w:tcW w:w="1857" w:type="dxa"/>
          </w:tcPr>
          <w:p>
            <w:pPr>
              <w:pStyle w:val="TableParagraph"/>
              <w:spacing w:before="1"/>
              <w:ind w:left="964" w:right="184"/>
              <w:rPr>
                <w:rFonts w:ascii="Calibri"/>
                <w:sz w:val="12"/>
              </w:rPr>
            </w:pPr>
            <w:r>
              <w:rPr>
                <w:rFonts w:ascii="Calibri"/>
                <w:w w:val="105"/>
                <w:sz w:val="12"/>
              </w:rPr>
              <w:t>Subtotal</w:t>
            </w:r>
          </w:p>
        </w:tc>
        <w:tc>
          <w:tcPr>
            <w:tcW w:w="801" w:type="dxa"/>
          </w:tcPr>
          <w:p>
            <w:pPr>
              <w:pStyle w:val="TableParagraph"/>
              <w:tabs>
                <w:tab w:pos="518" w:val="left" w:leader="none"/>
                <w:tab w:pos="897" w:val="left" w:leader="none"/>
              </w:tabs>
              <w:spacing w:before="1"/>
              <w:ind w:left="203" w:right="-97"/>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1</w:t>
            </w:r>
            <w:r>
              <w:rPr>
                <w:rFonts w:ascii="Calibri"/>
                <w:sz w:val="12"/>
                <w:shd w:fill="F79646" w:color="auto" w:val="clear"/>
              </w:rPr>
              <w:tab/>
            </w:r>
          </w:p>
        </w:tc>
        <w:tc>
          <w:tcPr>
            <w:tcW w:w="770" w:type="dxa"/>
          </w:tcPr>
          <w:p>
            <w:pPr>
              <w:pStyle w:val="TableParagraph"/>
              <w:spacing w:before="1"/>
              <w:ind w:left="328" w:right="241"/>
              <w:rPr>
                <w:rFonts w:ascii="Calibri"/>
                <w:sz w:val="12"/>
              </w:rPr>
            </w:pPr>
            <w:r>
              <w:rPr>
                <w:rFonts w:ascii="Calibri"/>
                <w:w w:val="105"/>
                <w:sz w:val="12"/>
              </w:rPr>
              <w:t>0.7</w:t>
            </w:r>
          </w:p>
        </w:tc>
        <w:tc>
          <w:tcPr>
            <w:tcW w:w="684" w:type="dxa"/>
            <w:tcBorders>
              <w:right w:val="single" w:sz="8" w:space="0" w:color="000000"/>
            </w:tcBorders>
            <w:shd w:val="clear" w:color="auto" w:fill="67ED4D"/>
          </w:tcPr>
          <w:p>
            <w:pPr>
              <w:pStyle w:val="TableParagraph"/>
              <w:spacing w:before="1"/>
              <w:ind w:left="21"/>
              <w:rPr>
                <w:rFonts w:ascii="Calibri"/>
                <w:sz w:val="12"/>
              </w:rPr>
            </w:pPr>
            <w:r>
              <w:rPr>
                <w:rFonts w:ascii="Calibri"/>
                <w:w w:val="105"/>
                <w:sz w:val="12"/>
              </w:rPr>
              <w:t>1</w:t>
            </w:r>
          </w:p>
        </w:tc>
      </w:tr>
      <w:tr>
        <w:trPr>
          <w:trHeight w:val="147" w:hRule="exact"/>
        </w:trPr>
        <w:tc>
          <w:tcPr>
            <w:tcW w:w="8821" w:type="dxa"/>
            <w:gridSpan w:val="7"/>
            <w:tcBorders>
              <w:left w:val="single" w:sz="4" w:space="0" w:color="000000"/>
              <w:right w:val="single" w:sz="8" w:space="0" w:color="000000"/>
            </w:tcBorders>
          </w:tcPr>
          <w:p>
            <w:pPr/>
          </w:p>
        </w:tc>
      </w:tr>
      <w:tr>
        <w:trPr>
          <w:trHeight w:val="165" w:hRule="exact"/>
        </w:trPr>
        <w:tc>
          <w:tcPr>
            <w:tcW w:w="660" w:type="dxa"/>
            <w:tcBorders>
              <w:left w:val="single" w:sz="4" w:space="0" w:color="000000"/>
            </w:tcBorders>
          </w:tcPr>
          <w:p>
            <w:pPr/>
          </w:p>
        </w:tc>
        <w:tc>
          <w:tcPr>
            <w:tcW w:w="1802" w:type="dxa"/>
          </w:tcPr>
          <w:p>
            <w:pPr/>
          </w:p>
        </w:tc>
        <w:tc>
          <w:tcPr>
            <w:tcW w:w="2247" w:type="dxa"/>
          </w:tcPr>
          <w:p>
            <w:pPr>
              <w:pStyle w:val="TableParagraph"/>
              <w:spacing w:before="6"/>
              <w:ind w:left="352" w:right="661"/>
              <w:jc w:val="left"/>
              <w:rPr>
                <w:rFonts w:ascii="Calibri"/>
                <w:sz w:val="12"/>
              </w:rPr>
            </w:pPr>
            <w:r>
              <w:rPr>
                <w:rFonts w:ascii="Calibri"/>
                <w:w w:val="105"/>
                <w:sz w:val="12"/>
              </w:rPr>
              <w:t>Agua potable</w:t>
            </w:r>
          </w:p>
        </w:tc>
        <w:tc>
          <w:tcPr>
            <w:tcW w:w="1857" w:type="dxa"/>
          </w:tcPr>
          <w:p>
            <w:pPr>
              <w:pStyle w:val="TableParagraph"/>
              <w:spacing w:before="6"/>
              <w:ind w:left="791"/>
              <w:rPr>
                <w:rFonts w:ascii="Calibri"/>
                <w:sz w:val="12"/>
              </w:rPr>
            </w:pPr>
            <w:r>
              <w:rPr>
                <w:rFonts w:ascii="Calibri"/>
                <w:w w:val="105"/>
                <w:sz w:val="12"/>
              </w:rPr>
              <w:t>0</w:t>
            </w:r>
          </w:p>
        </w:tc>
        <w:tc>
          <w:tcPr>
            <w:tcW w:w="801" w:type="dxa"/>
          </w:tcPr>
          <w:p>
            <w:pPr/>
          </w:p>
        </w:tc>
        <w:tc>
          <w:tcPr>
            <w:tcW w:w="770" w:type="dxa"/>
          </w:tcPr>
          <w:p>
            <w:pPr>
              <w:pStyle w:val="TableParagraph"/>
              <w:spacing w:before="6"/>
              <w:ind w:left="328" w:right="241"/>
              <w:rPr>
                <w:rFonts w:ascii="Calibri"/>
                <w:sz w:val="12"/>
              </w:rPr>
            </w:pPr>
            <w:r>
              <w:rPr>
                <w:rFonts w:ascii="Calibri"/>
                <w:w w:val="105"/>
                <w:sz w:val="12"/>
              </w:rPr>
              <w:t>0.5</w:t>
            </w:r>
          </w:p>
        </w:tc>
        <w:tc>
          <w:tcPr>
            <w:tcW w:w="684" w:type="dxa"/>
            <w:tcBorders>
              <w:right w:val="single" w:sz="8" w:space="0" w:color="000000"/>
            </w:tcBorders>
            <w:shd w:val="clear" w:color="auto" w:fill="67ED4D"/>
          </w:tcPr>
          <w:p>
            <w:pPr>
              <w:pStyle w:val="TableParagraph"/>
              <w:spacing w:before="6"/>
              <w:ind w:left="21"/>
              <w:rPr>
                <w:rFonts w:ascii="Calibri"/>
                <w:sz w:val="12"/>
              </w:rPr>
            </w:pPr>
            <w:r>
              <w:rPr>
                <w:rFonts w:ascii="Calibri"/>
                <w:w w:val="105"/>
                <w:sz w:val="12"/>
              </w:rPr>
              <w:t>1</w:t>
            </w:r>
          </w:p>
        </w:tc>
      </w:tr>
      <w:tr>
        <w:trPr>
          <w:trHeight w:val="158" w:hRule="exact"/>
        </w:trPr>
        <w:tc>
          <w:tcPr>
            <w:tcW w:w="660" w:type="dxa"/>
            <w:tcBorders>
              <w:left w:val="single" w:sz="4" w:space="0" w:color="000000"/>
            </w:tcBorders>
          </w:tcPr>
          <w:p>
            <w:pPr/>
          </w:p>
        </w:tc>
        <w:tc>
          <w:tcPr>
            <w:tcW w:w="1802" w:type="dxa"/>
          </w:tcPr>
          <w:p>
            <w:pPr/>
          </w:p>
        </w:tc>
        <w:tc>
          <w:tcPr>
            <w:tcW w:w="2247" w:type="dxa"/>
          </w:tcPr>
          <w:p>
            <w:pPr>
              <w:pStyle w:val="TableParagraph"/>
              <w:ind w:left="352" w:right="661"/>
              <w:jc w:val="left"/>
              <w:rPr>
                <w:rFonts w:ascii="Calibri" w:hAnsi="Calibri"/>
                <w:sz w:val="12"/>
              </w:rPr>
            </w:pPr>
            <w:r>
              <w:rPr>
                <w:rFonts w:ascii="Calibri" w:hAnsi="Calibri"/>
                <w:w w:val="105"/>
                <w:sz w:val="12"/>
              </w:rPr>
              <w:t>Energía eléctrica</w:t>
            </w:r>
          </w:p>
        </w:tc>
        <w:tc>
          <w:tcPr>
            <w:tcW w:w="1857" w:type="dxa"/>
          </w:tcPr>
          <w:p>
            <w:pPr>
              <w:pStyle w:val="TableParagraph"/>
              <w:ind w:left="966" w:right="184"/>
              <w:rPr>
                <w:rFonts w:ascii="Calibri"/>
                <w:sz w:val="12"/>
              </w:rPr>
            </w:pPr>
            <w:r>
              <w:rPr>
                <w:rFonts w:ascii="Calibri"/>
                <w:w w:val="105"/>
                <w:sz w:val="12"/>
              </w:rPr>
              <w:t>0.5</w:t>
            </w:r>
          </w:p>
        </w:tc>
        <w:tc>
          <w:tcPr>
            <w:tcW w:w="801" w:type="dxa"/>
          </w:tcPr>
          <w:p>
            <w:pPr/>
          </w:p>
        </w:tc>
        <w:tc>
          <w:tcPr>
            <w:tcW w:w="770" w:type="dxa"/>
          </w:tcPr>
          <w:p>
            <w:pPr>
              <w:pStyle w:val="TableParagraph"/>
              <w:ind w:left="328" w:right="241"/>
              <w:rPr>
                <w:rFonts w:ascii="Calibri"/>
                <w:sz w:val="12"/>
              </w:rPr>
            </w:pPr>
            <w:r>
              <w:rPr>
                <w:rFonts w:ascii="Calibri"/>
                <w:w w:val="105"/>
                <w:sz w:val="12"/>
              </w:rPr>
              <w:t>0.5</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60" w:type="dxa"/>
            <w:tcBorders>
              <w:left w:val="single" w:sz="4" w:space="0" w:color="000000"/>
            </w:tcBorders>
          </w:tcPr>
          <w:p>
            <w:pPr/>
          </w:p>
        </w:tc>
        <w:tc>
          <w:tcPr>
            <w:tcW w:w="1802" w:type="dxa"/>
          </w:tcPr>
          <w:p>
            <w:pPr/>
          </w:p>
        </w:tc>
        <w:tc>
          <w:tcPr>
            <w:tcW w:w="2247" w:type="dxa"/>
          </w:tcPr>
          <w:p>
            <w:pPr>
              <w:pStyle w:val="TableParagraph"/>
              <w:ind w:left="352" w:right="661"/>
              <w:jc w:val="left"/>
              <w:rPr>
                <w:rFonts w:ascii="Calibri"/>
                <w:sz w:val="12"/>
              </w:rPr>
            </w:pPr>
            <w:r>
              <w:rPr>
                <w:rFonts w:ascii="Calibri"/>
                <w:w w:val="105"/>
                <w:sz w:val="12"/>
              </w:rPr>
              <w:t>Drenaje sanitario</w:t>
            </w:r>
          </w:p>
        </w:tc>
        <w:tc>
          <w:tcPr>
            <w:tcW w:w="1857" w:type="dxa"/>
          </w:tcPr>
          <w:p>
            <w:pPr>
              <w:pStyle w:val="TableParagraph"/>
              <w:ind w:left="791"/>
              <w:rPr>
                <w:rFonts w:ascii="Calibri"/>
                <w:sz w:val="12"/>
              </w:rPr>
            </w:pPr>
            <w:r>
              <w:rPr>
                <w:rFonts w:ascii="Calibri"/>
                <w:w w:val="105"/>
                <w:sz w:val="12"/>
              </w:rPr>
              <w:t>0</w:t>
            </w:r>
          </w:p>
        </w:tc>
        <w:tc>
          <w:tcPr>
            <w:tcW w:w="801" w:type="dxa"/>
          </w:tcPr>
          <w:p>
            <w:pPr/>
          </w:p>
        </w:tc>
        <w:tc>
          <w:tcPr>
            <w:tcW w:w="770" w:type="dxa"/>
          </w:tcPr>
          <w:p>
            <w:pPr>
              <w:pStyle w:val="TableParagraph"/>
              <w:ind w:left="328" w:right="241"/>
              <w:rPr>
                <w:rFonts w:ascii="Calibri"/>
                <w:sz w:val="12"/>
              </w:rPr>
            </w:pPr>
            <w:r>
              <w:rPr>
                <w:rFonts w:ascii="Calibri"/>
                <w:w w:val="105"/>
                <w:sz w:val="12"/>
              </w:rPr>
              <w:t>0.5</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60" w:type="dxa"/>
            <w:tcBorders>
              <w:left w:val="single" w:sz="4" w:space="0" w:color="000000"/>
            </w:tcBorders>
          </w:tcPr>
          <w:p>
            <w:pPr/>
          </w:p>
        </w:tc>
        <w:tc>
          <w:tcPr>
            <w:tcW w:w="1802" w:type="dxa"/>
          </w:tcPr>
          <w:p>
            <w:pPr>
              <w:pStyle w:val="TableParagraph"/>
              <w:ind w:left="50"/>
              <w:jc w:val="left"/>
              <w:rPr>
                <w:rFonts w:ascii="Calibri"/>
                <w:sz w:val="12"/>
              </w:rPr>
            </w:pPr>
            <w:r>
              <w:rPr>
                <w:rFonts w:ascii="Calibri"/>
                <w:w w:val="105"/>
                <w:sz w:val="12"/>
              </w:rPr>
              <w:t>Infraestructura</w:t>
            </w:r>
          </w:p>
        </w:tc>
        <w:tc>
          <w:tcPr>
            <w:tcW w:w="2247" w:type="dxa"/>
          </w:tcPr>
          <w:p>
            <w:pPr>
              <w:pStyle w:val="TableParagraph"/>
              <w:ind w:left="352" w:right="661"/>
              <w:jc w:val="left"/>
              <w:rPr>
                <w:rFonts w:ascii="Calibri"/>
                <w:sz w:val="12"/>
              </w:rPr>
            </w:pPr>
            <w:r>
              <w:rPr>
                <w:rFonts w:ascii="Calibri"/>
                <w:w w:val="105"/>
                <w:sz w:val="12"/>
              </w:rPr>
              <w:t>Drenaje pluvial</w:t>
            </w:r>
          </w:p>
        </w:tc>
        <w:tc>
          <w:tcPr>
            <w:tcW w:w="1857" w:type="dxa"/>
          </w:tcPr>
          <w:p>
            <w:pPr>
              <w:pStyle w:val="TableParagraph"/>
              <w:ind w:left="791"/>
              <w:rPr>
                <w:rFonts w:ascii="Calibri"/>
                <w:sz w:val="12"/>
              </w:rPr>
            </w:pPr>
            <w:r>
              <w:rPr>
                <w:rFonts w:ascii="Calibri"/>
                <w:w w:val="105"/>
                <w:sz w:val="12"/>
              </w:rPr>
              <w:t>0</w:t>
            </w:r>
          </w:p>
        </w:tc>
        <w:tc>
          <w:tcPr>
            <w:tcW w:w="801" w:type="dxa"/>
          </w:tcPr>
          <w:p>
            <w:pPr/>
          </w:p>
        </w:tc>
        <w:tc>
          <w:tcPr>
            <w:tcW w:w="770" w:type="dxa"/>
          </w:tcPr>
          <w:p>
            <w:pPr>
              <w:pStyle w:val="TableParagraph"/>
              <w:ind w:left="328" w:right="241"/>
              <w:rPr>
                <w:rFonts w:ascii="Calibri"/>
                <w:sz w:val="12"/>
              </w:rPr>
            </w:pPr>
            <w:r>
              <w:rPr>
                <w:rFonts w:ascii="Calibri"/>
                <w:w w:val="105"/>
                <w:sz w:val="12"/>
              </w:rPr>
              <w:t>0.5</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60" w:type="dxa"/>
            <w:tcBorders>
              <w:left w:val="single" w:sz="4" w:space="0" w:color="000000"/>
            </w:tcBorders>
          </w:tcPr>
          <w:p>
            <w:pPr/>
          </w:p>
        </w:tc>
        <w:tc>
          <w:tcPr>
            <w:tcW w:w="1802" w:type="dxa"/>
          </w:tcPr>
          <w:p>
            <w:pPr/>
          </w:p>
        </w:tc>
        <w:tc>
          <w:tcPr>
            <w:tcW w:w="2247" w:type="dxa"/>
          </w:tcPr>
          <w:p>
            <w:pPr>
              <w:pStyle w:val="TableParagraph"/>
              <w:ind w:left="352"/>
              <w:jc w:val="left"/>
              <w:rPr>
                <w:rFonts w:ascii="Calibri"/>
                <w:sz w:val="12"/>
              </w:rPr>
            </w:pPr>
            <w:r>
              <w:rPr>
                <w:rFonts w:ascii="Calibri"/>
                <w:w w:val="105"/>
                <w:sz w:val="12"/>
              </w:rPr>
              <w:t>Guarniciones y banquetas</w:t>
            </w:r>
          </w:p>
        </w:tc>
        <w:tc>
          <w:tcPr>
            <w:tcW w:w="1857" w:type="dxa"/>
          </w:tcPr>
          <w:p>
            <w:pPr>
              <w:pStyle w:val="TableParagraph"/>
              <w:ind w:left="791"/>
              <w:rPr>
                <w:rFonts w:ascii="Calibri"/>
                <w:sz w:val="12"/>
              </w:rPr>
            </w:pPr>
            <w:r>
              <w:rPr>
                <w:rFonts w:ascii="Calibri"/>
                <w:w w:val="105"/>
                <w:sz w:val="12"/>
              </w:rPr>
              <w:t>0</w:t>
            </w:r>
          </w:p>
        </w:tc>
        <w:tc>
          <w:tcPr>
            <w:tcW w:w="801" w:type="dxa"/>
          </w:tcPr>
          <w:p>
            <w:pPr/>
          </w:p>
        </w:tc>
        <w:tc>
          <w:tcPr>
            <w:tcW w:w="770" w:type="dxa"/>
          </w:tcPr>
          <w:p>
            <w:pPr>
              <w:pStyle w:val="TableParagraph"/>
              <w:ind w:left="328" w:right="241"/>
              <w:rPr>
                <w:rFonts w:ascii="Calibri"/>
                <w:sz w:val="12"/>
              </w:rPr>
            </w:pPr>
            <w:r>
              <w:rPr>
                <w:rFonts w:ascii="Calibri"/>
                <w:w w:val="105"/>
                <w:sz w:val="12"/>
              </w:rPr>
              <w:t>0.5</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60" w:type="dxa"/>
            <w:tcBorders>
              <w:left w:val="single" w:sz="4" w:space="0" w:color="000000"/>
            </w:tcBorders>
          </w:tcPr>
          <w:p>
            <w:pPr/>
          </w:p>
        </w:tc>
        <w:tc>
          <w:tcPr>
            <w:tcW w:w="1802" w:type="dxa"/>
          </w:tcPr>
          <w:p>
            <w:pPr/>
          </w:p>
        </w:tc>
        <w:tc>
          <w:tcPr>
            <w:tcW w:w="2247" w:type="dxa"/>
          </w:tcPr>
          <w:p>
            <w:pPr>
              <w:pStyle w:val="TableParagraph"/>
              <w:ind w:left="352" w:right="661"/>
              <w:jc w:val="left"/>
              <w:rPr>
                <w:rFonts w:ascii="Calibri"/>
                <w:sz w:val="12"/>
              </w:rPr>
            </w:pPr>
            <w:r>
              <w:rPr>
                <w:rFonts w:ascii="Calibri"/>
                <w:w w:val="105"/>
                <w:sz w:val="12"/>
              </w:rPr>
              <w:t>Vialidades y calles</w:t>
            </w:r>
          </w:p>
        </w:tc>
        <w:tc>
          <w:tcPr>
            <w:tcW w:w="1857" w:type="dxa"/>
          </w:tcPr>
          <w:p>
            <w:pPr>
              <w:pStyle w:val="TableParagraph"/>
              <w:ind w:left="791"/>
              <w:rPr>
                <w:rFonts w:ascii="Calibri"/>
                <w:sz w:val="12"/>
              </w:rPr>
            </w:pPr>
            <w:r>
              <w:rPr>
                <w:rFonts w:ascii="Calibri"/>
                <w:w w:val="105"/>
                <w:sz w:val="12"/>
              </w:rPr>
              <w:t>0</w:t>
            </w:r>
          </w:p>
        </w:tc>
        <w:tc>
          <w:tcPr>
            <w:tcW w:w="801" w:type="dxa"/>
          </w:tcPr>
          <w:p>
            <w:pPr/>
          </w:p>
        </w:tc>
        <w:tc>
          <w:tcPr>
            <w:tcW w:w="770" w:type="dxa"/>
          </w:tcPr>
          <w:p>
            <w:pPr>
              <w:pStyle w:val="TableParagraph"/>
              <w:ind w:left="328" w:right="241"/>
              <w:rPr>
                <w:rFonts w:ascii="Calibri"/>
                <w:sz w:val="12"/>
              </w:rPr>
            </w:pPr>
            <w:r>
              <w:rPr>
                <w:rFonts w:ascii="Calibri"/>
                <w:w w:val="105"/>
                <w:sz w:val="12"/>
              </w:rPr>
              <w:t>0.5</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6" w:hRule="exact"/>
        </w:trPr>
        <w:tc>
          <w:tcPr>
            <w:tcW w:w="660" w:type="dxa"/>
            <w:tcBorders>
              <w:left w:val="single" w:sz="4" w:space="0" w:color="000000"/>
            </w:tcBorders>
          </w:tcPr>
          <w:p>
            <w:pPr/>
          </w:p>
        </w:tc>
        <w:tc>
          <w:tcPr>
            <w:tcW w:w="1802" w:type="dxa"/>
          </w:tcPr>
          <w:p>
            <w:pPr/>
          </w:p>
        </w:tc>
        <w:tc>
          <w:tcPr>
            <w:tcW w:w="2247" w:type="dxa"/>
          </w:tcPr>
          <w:p>
            <w:pPr>
              <w:pStyle w:val="TableParagraph"/>
              <w:ind w:left="352" w:right="661"/>
              <w:jc w:val="left"/>
              <w:rPr>
                <w:rFonts w:ascii="Calibri" w:hAnsi="Calibri"/>
                <w:sz w:val="12"/>
              </w:rPr>
            </w:pPr>
            <w:r>
              <w:rPr>
                <w:rFonts w:ascii="Calibri" w:hAnsi="Calibri"/>
                <w:w w:val="105"/>
                <w:sz w:val="12"/>
              </w:rPr>
              <w:t>Señalización</w:t>
            </w:r>
          </w:p>
        </w:tc>
        <w:tc>
          <w:tcPr>
            <w:tcW w:w="1857" w:type="dxa"/>
          </w:tcPr>
          <w:p>
            <w:pPr>
              <w:pStyle w:val="TableParagraph"/>
              <w:ind w:left="791"/>
              <w:rPr>
                <w:rFonts w:ascii="Calibri"/>
                <w:sz w:val="12"/>
              </w:rPr>
            </w:pPr>
            <w:r>
              <w:rPr>
                <w:rFonts w:ascii="Calibri"/>
                <w:w w:val="105"/>
                <w:sz w:val="12"/>
              </w:rPr>
              <w:t>0</w:t>
            </w:r>
          </w:p>
        </w:tc>
        <w:tc>
          <w:tcPr>
            <w:tcW w:w="801" w:type="dxa"/>
          </w:tcPr>
          <w:p>
            <w:pPr/>
          </w:p>
        </w:tc>
        <w:tc>
          <w:tcPr>
            <w:tcW w:w="770" w:type="dxa"/>
          </w:tcPr>
          <w:p>
            <w:pPr>
              <w:pStyle w:val="TableParagraph"/>
              <w:ind w:left="328" w:right="241"/>
              <w:rPr>
                <w:rFonts w:ascii="Calibri"/>
                <w:sz w:val="12"/>
              </w:rPr>
            </w:pPr>
            <w:r>
              <w:rPr>
                <w:rFonts w:ascii="Calibri"/>
                <w:w w:val="105"/>
                <w:sz w:val="12"/>
              </w:rPr>
              <w:t>0.5</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63" w:hRule="exact"/>
        </w:trPr>
        <w:tc>
          <w:tcPr>
            <w:tcW w:w="660" w:type="dxa"/>
            <w:tcBorders>
              <w:left w:val="single" w:sz="4" w:space="0" w:color="000000"/>
            </w:tcBorders>
          </w:tcPr>
          <w:p>
            <w:pPr/>
          </w:p>
        </w:tc>
        <w:tc>
          <w:tcPr>
            <w:tcW w:w="1802" w:type="dxa"/>
          </w:tcPr>
          <w:p>
            <w:pPr/>
          </w:p>
        </w:tc>
        <w:tc>
          <w:tcPr>
            <w:tcW w:w="2247" w:type="dxa"/>
          </w:tcPr>
          <w:p>
            <w:pPr/>
          </w:p>
        </w:tc>
        <w:tc>
          <w:tcPr>
            <w:tcW w:w="1857" w:type="dxa"/>
          </w:tcPr>
          <w:p>
            <w:pPr>
              <w:pStyle w:val="TableParagraph"/>
              <w:spacing w:before="1"/>
              <w:ind w:left="964" w:right="184"/>
              <w:rPr>
                <w:rFonts w:ascii="Calibri"/>
                <w:sz w:val="12"/>
              </w:rPr>
            </w:pPr>
            <w:r>
              <w:rPr>
                <w:rFonts w:ascii="Calibri"/>
                <w:w w:val="105"/>
                <w:sz w:val="12"/>
              </w:rPr>
              <w:t>Subtotal</w:t>
            </w:r>
          </w:p>
        </w:tc>
        <w:tc>
          <w:tcPr>
            <w:tcW w:w="801" w:type="dxa"/>
          </w:tcPr>
          <w:p>
            <w:pPr>
              <w:pStyle w:val="TableParagraph"/>
              <w:tabs>
                <w:tab w:pos="466" w:val="left" w:leader="none"/>
                <w:tab w:pos="897" w:val="left" w:leader="none"/>
              </w:tabs>
              <w:spacing w:before="1"/>
              <w:ind w:left="203" w:right="-97"/>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0.5</w:t>
            </w:r>
            <w:r>
              <w:rPr>
                <w:rFonts w:ascii="Calibri"/>
                <w:sz w:val="12"/>
                <w:shd w:fill="F79646" w:color="auto" w:val="clear"/>
              </w:rPr>
              <w:tab/>
            </w:r>
          </w:p>
        </w:tc>
        <w:tc>
          <w:tcPr>
            <w:tcW w:w="770" w:type="dxa"/>
          </w:tcPr>
          <w:p>
            <w:pPr>
              <w:pStyle w:val="TableParagraph"/>
              <w:spacing w:before="1"/>
              <w:ind w:left="328" w:right="241"/>
              <w:rPr>
                <w:rFonts w:ascii="Calibri"/>
                <w:sz w:val="12"/>
              </w:rPr>
            </w:pPr>
            <w:r>
              <w:rPr>
                <w:rFonts w:ascii="Calibri"/>
                <w:w w:val="105"/>
                <w:sz w:val="12"/>
              </w:rPr>
              <w:t>3.5</w:t>
            </w:r>
          </w:p>
        </w:tc>
        <w:tc>
          <w:tcPr>
            <w:tcW w:w="684" w:type="dxa"/>
            <w:tcBorders>
              <w:right w:val="single" w:sz="8" w:space="0" w:color="000000"/>
            </w:tcBorders>
            <w:shd w:val="clear" w:color="auto" w:fill="67ED4D"/>
          </w:tcPr>
          <w:p>
            <w:pPr>
              <w:pStyle w:val="TableParagraph"/>
              <w:spacing w:before="1"/>
              <w:ind w:left="21"/>
              <w:rPr>
                <w:rFonts w:ascii="Calibri"/>
                <w:sz w:val="12"/>
              </w:rPr>
            </w:pPr>
            <w:r>
              <w:rPr>
                <w:rFonts w:ascii="Calibri"/>
                <w:w w:val="105"/>
                <w:sz w:val="12"/>
              </w:rPr>
              <w:t>7</w:t>
            </w:r>
          </w:p>
        </w:tc>
      </w:tr>
      <w:tr>
        <w:trPr>
          <w:trHeight w:val="147" w:hRule="exact"/>
        </w:trPr>
        <w:tc>
          <w:tcPr>
            <w:tcW w:w="8821" w:type="dxa"/>
            <w:gridSpan w:val="7"/>
            <w:tcBorders>
              <w:left w:val="single" w:sz="4" w:space="0" w:color="000000"/>
              <w:right w:val="single" w:sz="8" w:space="0" w:color="000000"/>
            </w:tcBorders>
          </w:tcPr>
          <w:p>
            <w:pPr/>
          </w:p>
        </w:tc>
      </w:tr>
      <w:tr>
        <w:trPr>
          <w:trHeight w:val="165" w:hRule="exact"/>
        </w:trPr>
        <w:tc>
          <w:tcPr>
            <w:tcW w:w="660" w:type="dxa"/>
            <w:vMerge w:val="restart"/>
            <w:tcBorders>
              <w:left w:val="single" w:sz="4" w:space="0" w:color="000000"/>
            </w:tcBorders>
          </w:tcPr>
          <w:p>
            <w:pPr>
              <w:pStyle w:val="TableParagraph"/>
              <w:spacing w:before="80"/>
              <w:ind w:left="73"/>
              <w:jc w:val="left"/>
              <w:rPr>
                <w:rFonts w:ascii="Calibri"/>
                <w:sz w:val="12"/>
              </w:rPr>
            </w:pPr>
            <w:r>
              <w:rPr>
                <w:rFonts w:ascii="Calibri"/>
                <w:w w:val="105"/>
                <w:sz w:val="12"/>
              </w:rPr>
              <w:t>Ambiental</w:t>
            </w:r>
          </w:p>
        </w:tc>
        <w:tc>
          <w:tcPr>
            <w:tcW w:w="1802" w:type="dxa"/>
            <w:vMerge w:val="restart"/>
          </w:tcPr>
          <w:p>
            <w:pPr>
              <w:pStyle w:val="TableParagraph"/>
              <w:spacing w:before="3"/>
              <w:jc w:val="left"/>
              <w:rPr>
                <w:sz w:val="14"/>
              </w:rPr>
            </w:pPr>
          </w:p>
          <w:p>
            <w:pPr>
              <w:pStyle w:val="TableParagraph"/>
              <w:ind w:left="50"/>
              <w:jc w:val="left"/>
              <w:rPr>
                <w:rFonts w:ascii="Calibri" w:hAnsi="Calibri"/>
                <w:sz w:val="12"/>
              </w:rPr>
            </w:pPr>
            <w:r>
              <w:rPr>
                <w:rFonts w:ascii="Calibri" w:hAnsi="Calibri"/>
                <w:w w:val="105"/>
                <w:sz w:val="12"/>
              </w:rPr>
              <w:t>Áreas verdes</w:t>
            </w:r>
          </w:p>
        </w:tc>
        <w:tc>
          <w:tcPr>
            <w:tcW w:w="2247" w:type="dxa"/>
            <w:vMerge w:val="restart"/>
          </w:tcPr>
          <w:p>
            <w:pPr>
              <w:pStyle w:val="TableParagraph"/>
              <w:spacing w:line="259" w:lineRule="auto" w:before="6"/>
              <w:ind w:left="352" w:right="1288"/>
              <w:jc w:val="left"/>
              <w:rPr>
                <w:rFonts w:ascii="Calibri" w:hAnsi="Calibri"/>
                <w:sz w:val="12"/>
              </w:rPr>
            </w:pPr>
            <w:r>
              <w:rPr>
                <w:rFonts w:ascii="Calibri" w:hAnsi="Calibri"/>
                <w:w w:val="105"/>
                <w:sz w:val="12"/>
              </w:rPr>
              <w:t>Superficie Índice OMS</w:t>
            </w:r>
          </w:p>
        </w:tc>
        <w:tc>
          <w:tcPr>
            <w:tcW w:w="1857" w:type="dxa"/>
            <w:vMerge w:val="restart"/>
          </w:tcPr>
          <w:p>
            <w:pPr>
              <w:pStyle w:val="TableParagraph"/>
              <w:spacing w:before="6"/>
              <w:ind w:right="498"/>
              <w:jc w:val="right"/>
              <w:rPr>
                <w:rFonts w:ascii="Calibri"/>
                <w:sz w:val="12"/>
              </w:rPr>
            </w:pPr>
            <w:r>
              <w:rPr>
                <w:rFonts w:ascii="Calibri"/>
                <w:w w:val="105"/>
                <w:sz w:val="12"/>
              </w:rPr>
              <w:t>1</w:t>
            </w:r>
          </w:p>
          <w:p>
            <w:pPr>
              <w:pStyle w:val="TableParagraph"/>
              <w:spacing w:before="11"/>
              <w:ind w:right="455"/>
              <w:jc w:val="right"/>
              <w:rPr>
                <w:rFonts w:ascii="Calibri"/>
                <w:sz w:val="12"/>
              </w:rPr>
            </w:pPr>
            <w:r>
              <w:rPr>
                <w:rFonts w:ascii="Calibri"/>
                <w:w w:val="105"/>
                <w:sz w:val="12"/>
              </w:rPr>
              <w:t>0.5</w:t>
            </w:r>
          </w:p>
        </w:tc>
        <w:tc>
          <w:tcPr>
            <w:tcW w:w="801" w:type="dxa"/>
            <w:vMerge w:val="restart"/>
          </w:tcPr>
          <w:p>
            <w:pPr/>
          </w:p>
        </w:tc>
        <w:tc>
          <w:tcPr>
            <w:tcW w:w="770" w:type="dxa"/>
            <w:vMerge w:val="restart"/>
          </w:tcPr>
          <w:p>
            <w:pPr>
              <w:pStyle w:val="TableParagraph"/>
              <w:spacing w:before="6"/>
              <w:ind w:left="97"/>
              <w:rPr>
                <w:rFonts w:ascii="Calibri"/>
                <w:sz w:val="12"/>
              </w:rPr>
            </w:pPr>
            <w:r>
              <w:rPr>
                <w:rFonts w:ascii="Calibri"/>
                <w:w w:val="105"/>
                <w:sz w:val="12"/>
              </w:rPr>
              <w:t>1</w:t>
            </w:r>
          </w:p>
          <w:p>
            <w:pPr>
              <w:pStyle w:val="TableParagraph"/>
              <w:spacing w:before="11"/>
              <w:ind w:left="328" w:right="241"/>
              <w:rPr>
                <w:rFonts w:ascii="Calibri"/>
                <w:sz w:val="12"/>
              </w:rPr>
            </w:pPr>
            <w:r>
              <w:rPr>
                <w:rFonts w:ascii="Calibri"/>
                <w:w w:val="105"/>
                <w:sz w:val="12"/>
              </w:rPr>
              <w:t>0.8</w:t>
            </w:r>
          </w:p>
        </w:tc>
        <w:tc>
          <w:tcPr>
            <w:tcW w:w="684" w:type="dxa"/>
            <w:tcBorders>
              <w:right w:val="single" w:sz="8" w:space="0" w:color="000000"/>
            </w:tcBorders>
            <w:shd w:val="clear" w:color="auto" w:fill="67ED4D"/>
          </w:tcPr>
          <w:p>
            <w:pPr>
              <w:pStyle w:val="TableParagraph"/>
              <w:spacing w:before="6"/>
              <w:ind w:left="21"/>
              <w:rPr>
                <w:rFonts w:ascii="Calibri"/>
                <w:sz w:val="12"/>
              </w:rPr>
            </w:pPr>
            <w:r>
              <w:rPr>
                <w:rFonts w:ascii="Calibri"/>
                <w:w w:val="105"/>
                <w:sz w:val="12"/>
              </w:rPr>
              <w:t>1</w:t>
            </w:r>
          </w:p>
        </w:tc>
      </w:tr>
      <w:tr>
        <w:trPr>
          <w:trHeight w:val="158" w:hRule="exact"/>
        </w:trPr>
        <w:tc>
          <w:tcPr>
            <w:tcW w:w="660" w:type="dxa"/>
            <w:vMerge/>
            <w:tcBorders>
              <w:left w:val="single" w:sz="4" w:space="0" w:color="000000"/>
            </w:tcBorders>
          </w:tcPr>
          <w:p>
            <w:pPr/>
          </w:p>
        </w:tc>
        <w:tc>
          <w:tcPr>
            <w:tcW w:w="1802" w:type="dxa"/>
            <w:vMerge/>
          </w:tcPr>
          <w:p>
            <w:pPr/>
          </w:p>
        </w:tc>
        <w:tc>
          <w:tcPr>
            <w:tcW w:w="2247" w:type="dxa"/>
            <w:vMerge/>
          </w:tcPr>
          <w:p>
            <w:pPr/>
          </w:p>
        </w:tc>
        <w:tc>
          <w:tcPr>
            <w:tcW w:w="1857" w:type="dxa"/>
            <w:vMerge/>
          </w:tcPr>
          <w:p>
            <w:pPr/>
          </w:p>
        </w:tc>
        <w:tc>
          <w:tcPr>
            <w:tcW w:w="801" w:type="dxa"/>
            <w:vMerge/>
          </w:tcPr>
          <w:p>
            <w:pPr/>
          </w:p>
        </w:tc>
        <w:tc>
          <w:tcPr>
            <w:tcW w:w="770" w:type="dxa"/>
            <w:vMerge/>
          </w:tcPr>
          <w:p>
            <w:pP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60" w:type="dxa"/>
            <w:tcBorders>
              <w:left w:val="single" w:sz="4" w:space="0" w:color="000000"/>
            </w:tcBorders>
          </w:tcPr>
          <w:p>
            <w:pPr/>
          </w:p>
        </w:tc>
        <w:tc>
          <w:tcPr>
            <w:tcW w:w="1802" w:type="dxa"/>
          </w:tcPr>
          <w:p>
            <w:pPr/>
          </w:p>
        </w:tc>
        <w:tc>
          <w:tcPr>
            <w:tcW w:w="2247" w:type="dxa"/>
          </w:tcPr>
          <w:p>
            <w:pPr>
              <w:pStyle w:val="TableParagraph"/>
              <w:ind w:left="352" w:right="661"/>
              <w:jc w:val="left"/>
              <w:rPr>
                <w:rFonts w:ascii="Calibri" w:hAnsi="Calibri"/>
                <w:sz w:val="12"/>
              </w:rPr>
            </w:pPr>
            <w:r>
              <w:rPr>
                <w:rFonts w:ascii="Calibri" w:hAnsi="Calibri"/>
                <w:w w:val="105"/>
                <w:sz w:val="12"/>
              </w:rPr>
              <w:t>Índice ONU</w:t>
            </w:r>
          </w:p>
        </w:tc>
        <w:tc>
          <w:tcPr>
            <w:tcW w:w="1857" w:type="dxa"/>
          </w:tcPr>
          <w:p>
            <w:pPr>
              <w:pStyle w:val="TableParagraph"/>
              <w:ind w:left="966" w:right="184"/>
              <w:rPr>
                <w:rFonts w:ascii="Calibri"/>
                <w:sz w:val="12"/>
              </w:rPr>
            </w:pPr>
            <w:r>
              <w:rPr>
                <w:rFonts w:ascii="Calibri"/>
                <w:w w:val="105"/>
                <w:sz w:val="12"/>
              </w:rPr>
              <w:t>0.5</w:t>
            </w:r>
          </w:p>
        </w:tc>
        <w:tc>
          <w:tcPr>
            <w:tcW w:w="801" w:type="dxa"/>
          </w:tcPr>
          <w:p>
            <w:pPr/>
          </w:p>
        </w:tc>
        <w:tc>
          <w:tcPr>
            <w:tcW w:w="770" w:type="dxa"/>
          </w:tcPr>
          <w:p>
            <w:pPr>
              <w:pStyle w:val="TableParagraph"/>
              <w:ind w:left="328" w:right="241"/>
              <w:rPr>
                <w:rFonts w:ascii="Calibri"/>
                <w:sz w:val="12"/>
              </w:rPr>
            </w:pPr>
            <w:r>
              <w:rPr>
                <w:rFonts w:ascii="Calibri"/>
                <w:w w:val="105"/>
                <w:sz w:val="12"/>
              </w:rPr>
              <w:t>0.8</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62" w:hRule="exact"/>
        </w:trPr>
        <w:tc>
          <w:tcPr>
            <w:tcW w:w="660" w:type="dxa"/>
            <w:tcBorders>
              <w:left w:val="single" w:sz="4" w:space="0" w:color="000000"/>
            </w:tcBorders>
          </w:tcPr>
          <w:p>
            <w:pPr/>
          </w:p>
        </w:tc>
        <w:tc>
          <w:tcPr>
            <w:tcW w:w="1802" w:type="dxa"/>
          </w:tcPr>
          <w:p>
            <w:pPr/>
          </w:p>
        </w:tc>
        <w:tc>
          <w:tcPr>
            <w:tcW w:w="2247" w:type="dxa"/>
          </w:tcPr>
          <w:p>
            <w:pPr/>
          </w:p>
        </w:tc>
        <w:tc>
          <w:tcPr>
            <w:tcW w:w="1857" w:type="dxa"/>
          </w:tcPr>
          <w:p>
            <w:pPr>
              <w:pStyle w:val="TableParagraph"/>
              <w:spacing w:before="1"/>
              <w:ind w:left="964" w:right="184"/>
              <w:rPr>
                <w:rFonts w:ascii="Calibri"/>
                <w:sz w:val="12"/>
              </w:rPr>
            </w:pPr>
            <w:r>
              <w:rPr>
                <w:rFonts w:ascii="Calibri"/>
                <w:w w:val="105"/>
                <w:sz w:val="12"/>
              </w:rPr>
              <w:t>Subtotal</w:t>
            </w:r>
          </w:p>
        </w:tc>
        <w:tc>
          <w:tcPr>
            <w:tcW w:w="801" w:type="dxa"/>
          </w:tcPr>
          <w:p>
            <w:pPr>
              <w:pStyle w:val="TableParagraph"/>
              <w:tabs>
                <w:tab w:pos="518" w:val="left" w:leader="none"/>
                <w:tab w:pos="897" w:val="left" w:leader="none"/>
              </w:tabs>
              <w:spacing w:before="1"/>
              <w:ind w:left="203" w:right="-97"/>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2</w:t>
            </w:r>
            <w:r>
              <w:rPr>
                <w:rFonts w:ascii="Calibri"/>
                <w:sz w:val="12"/>
                <w:shd w:fill="F79646" w:color="auto" w:val="clear"/>
              </w:rPr>
              <w:tab/>
            </w:r>
          </w:p>
        </w:tc>
        <w:tc>
          <w:tcPr>
            <w:tcW w:w="770" w:type="dxa"/>
          </w:tcPr>
          <w:p>
            <w:pPr>
              <w:pStyle w:val="TableParagraph"/>
              <w:spacing w:before="1"/>
              <w:ind w:left="328" w:right="241"/>
              <w:rPr>
                <w:rFonts w:ascii="Calibri"/>
                <w:sz w:val="12"/>
              </w:rPr>
            </w:pPr>
            <w:r>
              <w:rPr>
                <w:rFonts w:ascii="Calibri"/>
                <w:w w:val="105"/>
                <w:sz w:val="12"/>
              </w:rPr>
              <w:t>2.6</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3</w:t>
            </w:r>
          </w:p>
        </w:tc>
      </w:tr>
      <w:tr>
        <w:trPr>
          <w:trHeight w:val="147" w:hRule="exact"/>
        </w:trPr>
        <w:tc>
          <w:tcPr>
            <w:tcW w:w="8821" w:type="dxa"/>
            <w:gridSpan w:val="7"/>
            <w:tcBorders>
              <w:left w:val="single" w:sz="4" w:space="0" w:color="000000"/>
              <w:right w:val="single" w:sz="8" w:space="0" w:color="000000"/>
            </w:tcBorders>
          </w:tcPr>
          <w:p>
            <w:pPr/>
          </w:p>
        </w:tc>
      </w:tr>
      <w:tr>
        <w:trPr>
          <w:trHeight w:val="165" w:hRule="exact"/>
        </w:trPr>
        <w:tc>
          <w:tcPr>
            <w:tcW w:w="660" w:type="dxa"/>
            <w:vMerge w:val="restart"/>
            <w:tcBorders>
              <w:left w:val="single" w:sz="4" w:space="0" w:color="000000"/>
            </w:tcBorders>
          </w:tcPr>
          <w:p>
            <w:pPr/>
          </w:p>
        </w:tc>
        <w:tc>
          <w:tcPr>
            <w:tcW w:w="1802" w:type="dxa"/>
          </w:tcPr>
          <w:p>
            <w:pPr/>
          </w:p>
        </w:tc>
        <w:tc>
          <w:tcPr>
            <w:tcW w:w="2247" w:type="dxa"/>
          </w:tcPr>
          <w:p>
            <w:pPr>
              <w:pStyle w:val="TableParagraph"/>
              <w:spacing w:before="6"/>
              <w:ind w:left="352" w:right="661"/>
              <w:jc w:val="left"/>
              <w:rPr>
                <w:rFonts w:ascii="Calibri" w:hAnsi="Calibri"/>
                <w:sz w:val="12"/>
              </w:rPr>
            </w:pPr>
            <w:r>
              <w:rPr>
                <w:rFonts w:ascii="Calibri" w:hAnsi="Calibri"/>
                <w:w w:val="105"/>
                <w:sz w:val="12"/>
              </w:rPr>
              <w:t>Separación</w:t>
            </w:r>
          </w:p>
        </w:tc>
        <w:tc>
          <w:tcPr>
            <w:tcW w:w="1857" w:type="dxa"/>
          </w:tcPr>
          <w:p>
            <w:pPr>
              <w:pStyle w:val="TableParagraph"/>
              <w:spacing w:before="6"/>
              <w:ind w:left="791"/>
              <w:rPr>
                <w:rFonts w:ascii="Calibri"/>
                <w:sz w:val="12"/>
              </w:rPr>
            </w:pPr>
            <w:r>
              <w:rPr>
                <w:rFonts w:ascii="Calibri"/>
                <w:w w:val="105"/>
                <w:sz w:val="12"/>
              </w:rPr>
              <w:t>0</w:t>
            </w:r>
          </w:p>
        </w:tc>
        <w:tc>
          <w:tcPr>
            <w:tcW w:w="801" w:type="dxa"/>
          </w:tcPr>
          <w:p>
            <w:pPr/>
          </w:p>
        </w:tc>
        <w:tc>
          <w:tcPr>
            <w:tcW w:w="770" w:type="dxa"/>
          </w:tcPr>
          <w:p>
            <w:pPr>
              <w:pStyle w:val="TableParagraph"/>
              <w:spacing w:before="6"/>
              <w:ind w:left="97"/>
              <w:rPr>
                <w:rFonts w:ascii="Calibri"/>
                <w:sz w:val="12"/>
              </w:rPr>
            </w:pPr>
            <w:r>
              <w:rPr>
                <w:rFonts w:ascii="Calibri"/>
                <w:w w:val="105"/>
                <w:sz w:val="12"/>
              </w:rPr>
              <w:t>1</w:t>
            </w:r>
          </w:p>
        </w:tc>
        <w:tc>
          <w:tcPr>
            <w:tcW w:w="684" w:type="dxa"/>
            <w:tcBorders>
              <w:right w:val="single" w:sz="8" w:space="0" w:color="000000"/>
            </w:tcBorders>
            <w:shd w:val="clear" w:color="auto" w:fill="67ED4D"/>
          </w:tcPr>
          <w:p>
            <w:pPr>
              <w:pStyle w:val="TableParagraph"/>
              <w:spacing w:before="6"/>
              <w:ind w:left="21"/>
              <w:rPr>
                <w:rFonts w:ascii="Calibri"/>
                <w:sz w:val="12"/>
              </w:rPr>
            </w:pPr>
            <w:r>
              <w:rPr>
                <w:rFonts w:ascii="Calibri"/>
                <w:w w:val="105"/>
                <w:sz w:val="12"/>
              </w:rPr>
              <w:t>1</w:t>
            </w:r>
          </w:p>
        </w:tc>
      </w:tr>
      <w:tr>
        <w:trPr>
          <w:trHeight w:val="158" w:hRule="exact"/>
        </w:trPr>
        <w:tc>
          <w:tcPr>
            <w:tcW w:w="660" w:type="dxa"/>
            <w:vMerge/>
            <w:tcBorders>
              <w:left w:val="single" w:sz="4" w:space="0" w:color="000000"/>
            </w:tcBorders>
          </w:tcPr>
          <w:p>
            <w:pPr/>
          </w:p>
        </w:tc>
        <w:tc>
          <w:tcPr>
            <w:tcW w:w="1802" w:type="dxa"/>
          </w:tcPr>
          <w:p>
            <w:pPr>
              <w:pStyle w:val="TableParagraph"/>
              <w:ind w:left="50"/>
              <w:jc w:val="left"/>
              <w:rPr>
                <w:rFonts w:ascii="Calibri"/>
                <w:sz w:val="12"/>
              </w:rPr>
            </w:pPr>
            <w:r>
              <w:rPr>
                <w:rFonts w:ascii="Calibri"/>
                <w:w w:val="105"/>
                <w:sz w:val="12"/>
              </w:rPr>
              <w:t>Manejo de residuos solidos</w:t>
            </w:r>
          </w:p>
        </w:tc>
        <w:tc>
          <w:tcPr>
            <w:tcW w:w="2247" w:type="dxa"/>
          </w:tcPr>
          <w:p>
            <w:pPr>
              <w:pStyle w:val="TableParagraph"/>
              <w:ind w:left="352" w:right="661"/>
              <w:jc w:val="left"/>
              <w:rPr>
                <w:rFonts w:ascii="Calibri" w:hAnsi="Calibri"/>
                <w:sz w:val="12"/>
              </w:rPr>
            </w:pPr>
            <w:r>
              <w:rPr>
                <w:rFonts w:ascii="Calibri" w:hAnsi="Calibri"/>
                <w:w w:val="105"/>
                <w:sz w:val="12"/>
              </w:rPr>
              <w:t>Recolección</w:t>
            </w:r>
          </w:p>
        </w:tc>
        <w:tc>
          <w:tcPr>
            <w:tcW w:w="1857" w:type="dxa"/>
          </w:tcPr>
          <w:p>
            <w:pPr>
              <w:pStyle w:val="TableParagraph"/>
              <w:ind w:left="791"/>
              <w:rPr>
                <w:rFonts w:ascii="Calibri"/>
                <w:sz w:val="12"/>
              </w:rPr>
            </w:pPr>
            <w:r>
              <w:rPr>
                <w:rFonts w:ascii="Calibri"/>
                <w:w w:val="105"/>
                <w:sz w:val="12"/>
              </w:rPr>
              <w:t>1</w:t>
            </w:r>
          </w:p>
        </w:tc>
        <w:tc>
          <w:tcPr>
            <w:tcW w:w="801" w:type="dxa"/>
          </w:tcPr>
          <w:p>
            <w:pPr/>
          </w:p>
        </w:tc>
        <w:tc>
          <w:tcPr>
            <w:tcW w:w="770" w:type="dxa"/>
          </w:tcPr>
          <w:p>
            <w:pPr>
              <w:pStyle w:val="TableParagraph"/>
              <w:ind w:left="97"/>
              <w:rPr>
                <w:rFonts w:ascii="Calibri"/>
                <w:sz w:val="12"/>
              </w:rPr>
            </w:pPr>
            <w:r>
              <w:rPr>
                <w:rFonts w:ascii="Calibri"/>
                <w:w w:val="105"/>
                <w:sz w:val="12"/>
              </w:rPr>
              <w:t>1</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60" w:type="dxa"/>
            <w:vMerge/>
            <w:tcBorders>
              <w:left w:val="single" w:sz="4" w:space="0" w:color="000000"/>
            </w:tcBorders>
          </w:tcPr>
          <w:p>
            <w:pPr/>
          </w:p>
        </w:tc>
        <w:tc>
          <w:tcPr>
            <w:tcW w:w="1802" w:type="dxa"/>
          </w:tcPr>
          <w:p>
            <w:pPr/>
          </w:p>
        </w:tc>
        <w:tc>
          <w:tcPr>
            <w:tcW w:w="2247" w:type="dxa"/>
          </w:tcPr>
          <w:p>
            <w:pPr>
              <w:pStyle w:val="TableParagraph"/>
              <w:ind w:left="352" w:right="661"/>
              <w:jc w:val="left"/>
              <w:rPr>
                <w:rFonts w:ascii="Calibri" w:hAnsi="Calibri"/>
                <w:sz w:val="12"/>
              </w:rPr>
            </w:pPr>
            <w:r>
              <w:rPr>
                <w:rFonts w:ascii="Calibri" w:hAnsi="Calibri"/>
                <w:w w:val="105"/>
                <w:sz w:val="12"/>
              </w:rPr>
              <w:t>Disposición</w:t>
            </w:r>
          </w:p>
        </w:tc>
        <w:tc>
          <w:tcPr>
            <w:tcW w:w="1857" w:type="dxa"/>
          </w:tcPr>
          <w:p>
            <w:pPr>
              <w:pStyle w:val="TableParagraph"/>
              <w:ind w:left="966" w:right="184"/>
              <w:rPr>
                <w:rFonts w:ascii="Calibri"/>
                <w:sz w:val="12"/>
              </w:rPr>
            </w:pPr>
            <w:r>
              <w:rPr>
                <w:rFonts w:ascii="Calibri"/>
                <w:w w:val="105"/>
                <w:sz w:val="12"/>
              </w:rPr>
              <w:t>0.5</w:t>
            </w:r>
          </w:p>
        </w:tc>
        <w:tc>
          <w:tcPr>
            <w:tcW w:w="801" w:type="dxa"/>
          </w:tcPr>
          <w:p>
            <w:pPr/>
          </w:p>
        </w:tc>
        <w:tc>
          <w:tcPr>
            <w:tcW w:w="770" w:type="dxa"/>
          </w:tcPr>
          <w:p>
            <w:pPr>
              <w:pStyle w:val="TableParagraph"/>
              <w:ind w:left="328" w:right="241"/>
              <w:rPr>
                <w:rFonts w:ascii="Calibri"/>
                <w:sz w:val="12"/>
              </w:rPr>
            </w:pPr>
            <w:r>
              <w:rPr>
                <w:rFonts w:ascii="Calibri"/>
                <w:w w:val="105"/>
                <w:sz w:val="12"/>
              </w:rPr>
              <w:t>0.8</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62" w:hRule="exact"/>
        </w:trPr>
        <w:tc>
          <w:tcPr>
            <w:tcW w:w="660" w:type="dxa"/>
            <w:vMerge/>
            <w:tcBorders>
              <w:left w:val="single" w:sz="4" w:space="0" w:color="000000"/>
            </w:tcBorders>
          </w:tcPr>
          <w:p>
            <w:pPr/>
          </w:p>
        </w:tc>
        <w:tc>
          <w:tcPr>
            <w:tcW w:w="1802" w:type="dxa"/>
          </w:tcPr>
          <w:p>
            <w:pPr/>
          </w:p>
        </w:tc>
        <w:tc>
          <w:tcPr>
            <w:tcW w:w="2247" w:type="dxa"/>
          </w:tcPr>
          <w:p>
            <w:pPr/>
          </w:p>
        </w:tc>
        <w:tc>
          <w:tcPr>
            <w:tcW w:w="1857" w:type="dxa"/>
          </w:tcPr>
          <w:p>
            <w:pPr>
              <w:pStyle w:val="TableParagraph"/>
              <w:spacing w:before="1"/>
              <w:ind w:left="964" w:right="184"/>
              <w:rPr>
                <w:rFonts w:ascii="Calibri"/>
                <w:sz w:val="12"/>
              </w:rPr>
            </w:pPr>
            <w:r>
              <w:rPr>
                <w:rFonts w:ascii="Calibri"/>
                <w:w w:val="105"/>
                <w:sz w:val="12"/>
              </w:rPr>
              <w:t>Subtotal</w:t>
            </w:r>
          </w:p>
        </w:tc>
        <w:tc>
          <w:tcPr>
            <w:tcW w:w="801" w:type="dxa"/>
          </w:tcPr>
          <w:p>
            <w:pPr>
              <w:pStyle w:val="TableParagraph"/>
              <w:tabs>
                <w:tab w:pos="466" w:val="left" w:leader="none"/>
                <w:tab w:pos="897" w:val="left" w:leader="none"/>
              </w:tabs>
              <w:spacing w:before="1"/>
              <w:ind w:left="203" w:right="-97"/>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1.5</w:t>
            </w:r>
            <w:r>
              <w:rPr>
                <w:rFonts w:ascii="Calibri"/>
                <w:sz w:val="12"/>
                <w:shd w:fill="F79646" w:color="auto" w:val="clear"/>
              </w:rPr>
              <w:tab/>
            </w:r>
          </w:p>
        </w:tc>
        <w:tc>
          <w:tcPr>
            <w:tcW w:w="770" w:type="dxa"/>
          </w:tcPr>
          <w:p>
            <w:pPr>
              <w:pStyle w:val="TableParagraph"/>
              <w:spacing w:before="1"/>
              <w:ind w:left="328" w:right="241"/>
              <w:rPr>
                <w:rFonts w:ascii="Calibri"/>
                <w:sz w:val="12"/>
              </w:rPr>
            </w:pPr>
            <w:r>
              <w:rPr>
                <w:rFonts w:ascii="Calibri"/>
                <w:w w:val="105"/>
                <w:sz w:val="12"/>
              </w:rPr>
              <w:t>2.8</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3</w:t>
            </w:r>
          </w:p>
        </w:tc>
      </w:tr>
      <w:tr>
        <w:trPr>
          <w:trHeight w:val="147" w:hRule="exact"/>
        </w:trPr>
        <w:tc>
          <w:tcPr>
            <w:tcW w:w="8821" w:type="dxa"/>
            <w:gridSpan w:val="7"/>
            <w:tcBorders>
              <w:left w:val="single" w:sz="4" w:space="0" w:color="000000"/>
              <w:right w:val="single" w:sz="8" w:space="0" w:color="000000"/>
            </w:tcBorders>
          </w:tcPr>
          <w:p>
            <w:pPr/>
          </w:p>
        </w:tc>
      </w:tr>
      <w:tr>
        <w:trPr>
          <w:trHeight w:val="165" w:hRule="exact"/>
        </w:trPr>
        <w:tc>
          <w:tcPr>
            <w:tcW w:w="660" w:type="dxa"/>
            <w:vMerge w:val="restart"/>
            <w:tcBorders>
              <w:left w:val="single" w:sz="4" w:space="0" w:color="000000"/>
            </w:tcBorders>
          </w:tcPr>
          <w:p>
            <w:pPr/>
          </w:p>
        </w:tc>
        <w:tc>
          <w:tcPr>
            <w:tcW w:w="1802" w:type="dxa"/>
          </w:tcPr>
          <w:p>
            <w:pPr/>
          </w:p>
        </w:tc>
        <w:tc>
          <w:tcPr>
            <w:tcW w:w="2247" w:type="dxa"/>
          </w:tcPr>
          <w:p>
            <w:pPr>
              <w:pStyle w:val="TableParagraph"/>
              <w:spacing w:before="6"/>
              <w:ind w:left="352" w:right="661"/>
              <w:jc w:val="left"/>
              <w:rPr>
                <w:rFonts w:ascii="Calibri"/>
                <w:sz w:val="12"/>
              </w:rPr>
            </w:pPr>
            <w:r>
              <w:rPr>
                <w:rFonts w:ascii="Calibri"/>
                <w:w w:val="105"/>
                <w:sz w:val="12"/>
              </w:rPr>
              <w:t>Vivienda</w:t>
            </w:r>
          </w:p>
        </w:tc>
        <w:tc>
          <w:tcPr>
            <w:tcW w:w="1857" w:type="dxa"/>
          </w:tcPr>
          <w:p>
            <w:pPr>
              <w:pStyle w:val="TableParagraph"/>
              <w:spacing w:before="6"/>
              <w:ind w:left="966" w:right="184"/>
              <w:rPr>
                <w:rFonts w:ascii="Calibri"/>
                <w:sz w:val="12"/>
              </w:rPr>
            </w:pPr>
            <w:r>
              <w:rPr>
                <w:rFonts w:ascii="Calibri"/>
                <w:w w:val="105"/>
                <w:sz w:val="12"/>
              </w:rPr>
              <w:t>0.2</w:t>
            </w:r>
          </w:p>
        </w:tc>
        <w:tc>
          <w:tcPr>
            <w:tcW w:w="801" w:type="dxa"/>
          </w:tcPr>
          <w:p>
            <w:pPr/>
          </w:p>
        </w:tc>
        <w:tc>
          <w:tcPr>
            <w:tcW w:w="770" w:type="dxa"/>
          </w:tcPr>
          <w:p>
            <w:pPr>
              <w:pStyle w:val="TableParagraph"/>
              <w:spacing w:before="6"/>
              <w:ind w:left="328" w:right="241"/>
              <w:rPr>
                <w:rFonts w:ascii="Calibri"/>
                <w:sz w:val="12"/>
              </w:rPr>
            </w:pPr>
            <w:r>
              <w:rPr>
                <w:rFonts w:ascii="Calibri"/>
                <w:w w:val="105"/>
                <w:sz w:val="12"/>
              </w:rPr>
              <w:t>0.6</w:t>
            </w:r>
          </w:p>
        </w:tc>
        <w:tc>
          <w:tcPr>
            <w:tcW w:w="684" w:type="dxa"/>
            <w:tcBorders>
              <w:right w:val="single" w:sz="8" w:space="0" w:color="000000"/>
            </w:tcBorders>
            <w:shd w:val="clear" w:color="auto" w:fill="67ED4D"/>
          </w:tcPr>
          <w:p>
            <w:pPr>
              <w:pStyle w:val="TableParagraph"/>
              <w:spacing w:before="6"/>
              <w:ind w:left="21"/>
              <w:rPr>
                <w:rFonts w:ascii="Calibri"/>
                <w:sz w:val="12"/>
              </w:rPr>
            </w:pPr>
            <w:r>
              <w:rPr>
                <w:rFonts w:ascii="Calibri"/>
                <w:w w:val="105"/>
                <w:sz w:val="12"/>
              </w:rPr>
              <w:t>1</w:t>
            </w:r>
          </w:p>
        </w:tc>
      </w:tr>
      <w:tr>
        <w:trPr>
          <w:trHeight w:val="158" w:hRule="exact"/>
        </w:trPr>
        <w:tc>
          <w:tcPr>
            <w:tcW w:w="660" w:type="dxa"/>
            <w:vMerge/>
            <w:tcBorders>
              <w:left w:val="single" w:sz="4" w:space="0" w:color="000000"/>
            </w:tcBorders>
          </w:tcPr>
          <w:p>
            <w:pPr/>
          </w:p>
        </w:tc>
        <w:tc>
          <w:tcPr>
            <w:tcW w:w="1802" w:type="dxa"/>
            <w:vMerge w:val="restart"/>
          </w:tcPr>
          <w:p>
            <w:pPr>
              <w:pStyle w:val="TableParagraph"/>
              <w:spacing w:before="73"/>
              <w:ind w:left="50"/>
              <w:jc w:val="left"/>
              <w:rPr>
                <w:rFonts w:ascii="Calibri" w:hAnsi="Calibri"/>
                <w:sz w:val="12"/>
              </w:rPr>
            </w:pPr>
            <w:r>
              <w:rPr>
                <w:rFonts w:ascii="Calibri" w:hAnsi="Calibri"/>
                <w:w w:val="105"/>
                <w:sz w:val="12"/>
              </w:rPr>
              <w:t>Ecotegnologías</w:t>
            </w:r>
          </w:p>
        </w:tc>
        <w:tc>
          <w:tcPr>
            <w:tcW w:w="2247" w:type="dxa"/>
            <w:vMerge w:val="restart"/>
          </w:tcPr>
          <w:p>
            <w:pPr>
              <w:pStyle w:val="TableParagraph"/>
              <w:spacing w:line="259" w:lineRule="auto"/>
              <w:ind w:left="352" w:right="1159"/>
              <w:jc w:val="left"/>
              <w:rPr>
                <w:rFonts w:ascii="Calibri" w:hAnsi="Calibri"/>
                <w:sz w:val="12"/>
              </w:rPr>
            </w:pPr>
            <w:r>
              <w:rPr>
                <w:rFonts w:ascii="Calibri" w:hAnsi="Calibri"/>
                <w:w w:val="105"/>
                <w:sz w:val="12"/>
              </w:rPr>
              <w:t>Urbanización Equipamiento</w:t>
            </w:r>
          </w:p>
        </w:tc>
        <w:tc>
          <w:tcPr>
            <w:tcW w:w="1857" w:type="dxa"/>
            <w:vMerge w:val="restart"/>
          </w:tcPr>
          <w:p>
            <w:pPr>
              <w:pStyle w:val="TableParagraph"/>
              <w:ind w:right="498"/>
              <w:jc w:val="right"/>
              <w:rPr>
                <w:rFonts w:ascii="Calibri"/>
                <w:sz w:val="12"/>
              </w:rPr>
            </w:pPr>
            <w:r>
              <w:rPr>
                <w:rFonts w:ascii="Calibri"/>
                <w:w w:val="105"/>
                <w:sz w:val="12"/>
              </w:rPr>
              <w:t>0</w:t>
            </w:r>
          </w:p>
          <w:p>
            <w:pPr>
              <w:pStyle w:val="TableParagraph"/>
              <w:spacing w:before="11"/>
              <w:ind w:right="498"/>
              <w:jc w:val="right"/>
              <w:rPr>
                <w:rFonts w:ascii="Calibri"/>
                <w:sz w:val="12"/>
              </w:rPr>
            </w:pPr>
            <w:r>
              <w:rPr>
                <w:rFonts w:ascii="Calibri"/>
                <w:w w:val="105"/>
                <w:sz w:val="12"/>
              </w:rPr>
              <w:t>0</w:t>
            </w:r>
          </w:p>
        </w:tc>
        <w:tc>
          <w:tcPr>
            <w:tcW w:w="801" w:type="dxa"/>
            <w:vMerge w:val="restart"/>
          </w:tcPr>
          <w:p>
            <w:pPr/>
          </w:p>
        </w:tc>
        <w:tc>
          <w:tcPr>
            <w:tcW w:w="770" w:type="dxa"/>
            <w:vMerge w:val="restart"/>
          </w:tcPr>
          <w:p>
            <w:pPr>
              <w:pStyle w:val="TableParagraph"/>
              <w:ind w:left="328" w:right="241"/>
              <w:rPr>
                <w:rFonts w:ascii="Calibri"/>
                <w:sz w:val="12"/>
              </w:rPr>
            </w:pPr>
            <w:r>
              <w:rPr>
                <w:rFonts w:ascii="Calibri"/>
                <w:w w:val="105"/>
                <w:sz w:val="12"/>
              </w:rPr>
              <w:t>0.5</w:t>
            </w:r>
          </w:p>
          <w:p>
            <w:pPr>
              <w:pStyle w:val="TableParagraph"/>
              <w:spacing w:before="11"/>
              <w:ind w:left="97"/>
              <w:rPr>
                <w:rFonts w:ascii="Calibri"/>
                <w:sz w:val="12"/>
              </w:rPr>
            </w:pPr>
            <w:r>
              <w:rPr>
                <w:rFonts w:ascii="Calibri"/>
                <w:w w:val="105"/>
                <w:sz w:val="12"/>
              </w:rPr>
              <w:t>1</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60" w:type="dxa"/>
            <w:vMerge/>
            <w:tcBorders>
              <w:left w:val="single" w:sz="4" w:space="0" w:color="000000"/>
            </w:tcBorders>
          </w:tcPr>
          <w:p>
            <w:pPr/>
          </w:p>
        </w:tc>
        <w:tc>
          <w:tcPr>
            <w:tcW w:w="1802" w:type="dxa"/>
            <w:vMerge/>
          </w:tcPr>
          <w:p>
            <w:pPr/>
          </w:p>
        </w:tc>
        <w:tc>
          <w:tcPr>
            <w:tcW w:w="2247" w:type="dxa"/>
            <w:vMerge/>
          </w:tcPr>
          <w:p>
            <w:pPr/>
          </w:p>
        </w:tc>
        <w:tc>
          <w:tcPr>
            <w:tcW w:w="1857" w:type="dxa"/>
            <w:vMerge/>
          </w:tcPr>
          <w:p>
            <w:pPr/>
          </w:p>
        </w:tc>
        <w:tc>
          <w:tcPr>
            <w:tcW w:w="801" w:type="dxa"/>
            <w:vMerge/>
          </w:tcPr>
          <w:p>
            <w:pPr/>
          </w:p>
        </w:tc>
        <w:tc>
          <w:tcPr>
            <w:tcW w:w="770" w:type="dxa"/>
            <w:vMerge/>
          </w:tcPr>
          <w:p>
            <w:pP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60" w:type="dxa"/>
            <w:vMerge/>
            <w:tcBorders>
              <w:left w:val="single" w:sz="4" w:space="0" w:color="000000"/>
            </w:tcBorders>
          </w:tcPr>
          <w:p>
            <w:pPr/>
          </w:p>
        </w:tc>
        <w:tc>
          <w:tcPr>
            <w:tcW w:w="1802" w:type="dxa"/>
          </w:tcPr>
          <w:p>
            <w:pPr/>
          </w:p>
        </w:tc>
        <w:tc>
          <w:tcPr>
            <w:tcW w:w="2247" w:type="dxa"/>
          </w:tcPr>
          <w:p>
            <w:pPr>
              <w:pStyle w:val="TableParagraph"/>
              <w:ind w:left="352" w:right="661"/>
              <w:jc w:val="left"/>
              <w:rPr>
                <w:rFonts w:ascii="Calibri"/>
                <w:sz w:val="12"/>
              </w:rPr>
            </w:pPr>
            <w:r>
              <w:rPr>
                <w:rFonts w:ascii="Calibri"/>
                <w:w w:val="105"/>
                <w:sz w:val="12"/>
              </w:rPr>
              <w:t>Mobiliario</w:t>
            </w:r>
          </w:p>
        </w:tc>
        <w:tc>
          <w:tcPr>
            <w:tcW w:w="1857" w:type="dxa"/>
          </w:tcPr>
          <w:p>
            <w:pPr>
              <w:pStyle w:val="TableParagraph"/>
              <w:ind w:left="791"/>
              <w:rPr>
                <w:rFonts w:ascii="Calibri"/>
                <w:sz w:val="12"/>
              </w:rPr>
            </w:pPr>
            <w:r>
              <w:rPr>
                <w:rFonts w:ascii="Calibri"/>
                <w:w w:val="105"/>
                <w:sz w:val="12"/>
              </w:rPr>
              <w:t>0</w:t>
            </w:r>
          </w:p>
        </w:tc>
        <w:tc>
          <w:tcPr>
            <w:tcW w:w="801" w:type="dxa"/>
          </w:tcPr>
          <w:p>
            <w:pPr/>
          </w:p>
        </w:tc>
        <w:tc>
          <w:tcPr>
            <w:tcW w:w="770" w:type="dxa"/>
          </w:tcPr>
          <w:p>
            <w:pPr>
              <w:pStyle w:val="TableParagraph"/>
              <w:ind w:left="97"/>
              <w:rPr>
                <w:rFonts w:ascii="Calibri"/>
                <w:sz w:val="12"/>
              </w:rPr>
            </w:pPr>
            <w:r>
              <w:rPr>
                <w:rFonts w:ascii="Calibri"/>
                <w:w w:val="105"/>
                <w:sz w:val="12"/>
              </w:rPr>
              <w:t>1</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62" w:hRule="exact"/>
        </w:trPr>
        <w:tc>
          <w:tcPr>
            <w:tcW w:w="660" w:type="dxa"/>
            <w:vMerge/>
            <w:tcBorders>
              <w:left w:val="single" w:sz="4" w:space="0" w:color="000000"/>
            </w:tcBorders>
          </w:tcPr>
          <w:p>
            <w:pPr/>
          </w:p>
        </w:tc>
        <w:tc>
          <w:tcPr>
            <w:tcW w:w="1802" w:type="dxa"/>
          </w:tcPr>
          <w:p>
            <w:pPr/>
          </w:p>
        </w:tc>
        <w:tc>
          <w:tcPr>
            <w:tcW w:w="2247" w:type="dxa"/>
          </w:tcPr>
          <w:p>
            <w:pPr/>
          </w:p>
        </w:tc>
        <w:tc>
          <w:tcPr>
            <w:tcW w:w="1857" w:type="dxa"/>
          </w:tcPr>
          <w:p>
            <w:pPr>
              <w:pStyle w:val="TableParagraph"/>
              <w:spacing w:before="1"/>
              <w:ind w:left="964" w:right="184"/>
              <w:rPr>
                <w:rFonts w:ascii="Calibri"/>
                <w:sz w:val="12"/>
              </w:rPr>
            </w:pPr>
            <w:r>
              <w:rPr>
                <w:rFonts w:ascii="Calibri"/>
                <w:w w:val="105"/>
                <w:sz w:val="12"/>
              </w:rPr>
              <w:t>Subtotal</w:t>
            </w:r>
          </w:p>
        </w:tc>
        <w:tc>
          <w:tcPr>
            <w:tcW w:w="801" w:type="dxa"/>
          </w:tcPr>
          <w:p>
            <w:pPr>
              <w:pStyle w:val="TableParagraph"/>
              <w:tabs>
                <w:tab w:pos="466" w:val="left" w:leader="none"/>
                <w:tab w:pos="897" w:val="left" w:leader="none"/>
              </w:tabs>
              <w:spacing w:before="1"/>
              <w:ind w:left="203" w:right="-97"/>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0.2</w:t>
            </w:r>
            <w:r>
              <w:rPr>
                <w:rFonts w:ascii="Calibri"/>
                <w:sz w:val="12"/>
                <w:shd w:fill="F79646" w:color="auto" w:val="clear"/>
              </w:rPr>
              <w:tab/>
            </w:r>
          </w:p>
        </w:tc>
        <w:tc>
          <w:tcPr>
            <w:tcW w:w="770" w:type="dxa"/>
          </w:tcPr>
          <w:p>
            <w:pPr>
              <w:pStyle w:val="TableParagraph"/>
              <w:spacing w:before="1"/>
              <w:ind w:left="328" w:right="241"/>
              <w:rPr>
                <w:rFonts w:ascii="Calibri"/>
                <w:sz w:val="12"/>
              </w:rPr>
            </w:pPr>
            <w:r>
              <w:rPr>
                <w:rFonts w:ascii="Calibri"/>
                <w:w w:val="105"/>
                <w:sz w:val="12"/>
              </w:rPr>
              <w:t>3.1</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4</w:t>
            </w:r>
          </w:p>
        </w:tc>
      </w:tr>
      <w:tr>
        <w:trPr>
          <w:trHeight w:val="147" w:hRule="exact"/>
        </w:trPr>
        <w:tc>
          <w:tcPr>
            <w:tcW w:w="8821" w:type="dxa"/>
            <w:gridSpan w:val="7"/>
            <w:tcBorders>
              <w:left w:val="single" w:sz="4" w:space="0" w:color="000000"/>
              <w:right w:val="single" w:sz="8" w:space="0" w:color="000000"/>
            </w:tcBorders>
          </w:tcPr>
          <w:p>
            <w:pPr/>
          </w:p>
        </w:tc>
      </w:tr>
      <w:tr>
        <w:trPr>
          <w:trHeight w:val="321" w:hRule="exact"/>
        </w:trPr>
        <w:tc>
          <w:tcPr>
            <w:tcW w:w="660" w:type="dxa"/>
            <w:tcBorders>
              <w:left w:val="single" w:sz="4" w:space="0" w:color="000000"/>
            </w:tcBorders>
          </w:tcPr>
          <w:p>
            <w:pPr/>
          </w:p>
        </w:tc>
        <w:tc>
          <w:tcPr>
            <w:tcW w:w="1802" w:type="dxa"/>
          </w:tcPr>
          <w:p>
            <w:pPr>
              <w:pStyle w:val="TableParagraph"/>
              <w:spacing w:before="80"/>
              <w:ind w:left="50"/>
              <w:jc w:val="left"/>
              <w:rPr>
                <w:rFonts w:ascii="Calibri" w:hAnsi="Calibri"/>
                <w:sz w:val="12"/>
              </w:rPr>
            </w:pPr>
            <w:r>
              <w:rPr>
                <w:rFonts w:ascii="Calibri" w:hAnsi="Calibri"/>
                <w:w w:val="105"/>
                <w:sz w:val="12"/>
              </w:rPr>
              <w:t>Educación ambiental</w:t>
            </w:r>
          </w:p>
        </w:tc>
        <w:tc>
          <w:tcPr>
            <w:tcW w:w="2247" w:type="dxa"/>
          </w:tcPr>
          <w:p>
            <w:pPr>
              <w:pStyle w:val="TableParagraph"/>
              <w:spacing w:line="259" w:lineRule="auto" w:before="6"/>
              <w:ind w:left="352" w:right="1326"/>
              <w:jc w:val="left"/>
              <w:rPr>
                <w:rFonts w:ascii="Calibri"/>
                <w:sz w:val="12"/>
              </w:rPr>
            </w:pPr>
            <w:r>
              <w:rPr>
                <w:rFonts w:ascii="Calibri"/>
                <w:w w:val="105"/>
                <w:sz w:val="12"/>
              </w:rPr>
              <w:t>Planes Programas</w:t>
            </w:r>
          </w:p>
        </w:tc>
        <w:tc>
          <w:tcPr>
            <w:tcW w:w="1857" w:type="dxa"/>
          </w:tcPr>
          <w:p>
            <w:pPr>
              <w:pStyle w:val="TableParagraph"/>
              <w:spacing w:before="6"/>
              <w:ind w:right="498"/>
              <w:jc w:val="right"/>
              <w:rPr>
                <w:rFonts w:ascii="Calibri"/>
                <w:sz w:val="12"/>
              </w:rPr>
            </w:pPr>
            <w:r>
              <w:rPr>
                <w:rFonts w:ascii="Calibri"/>
                <w:w w:val="105"/>
                <w:sz w:val="12"/>
              </w:rPr>
              <w:t>0</w:t>
            </w:r>
          </w:p>
          <w:p>
            <w:pPr>
              <w:pStyle w:val="TableParagraph"/>
              <w:spacing w:before="11"/>
              <w:ind w:right="498"/>
              <w:jc w:val="right"/>
              <w:rPr>
                <w:rFonts w:ascii="Calibri"/>
                <w:sz w:val="12"/>
              </w:rPr>
            </w:pPr>
            <w:r>
              <w:rPr>
                <w:rFonts w:ascii="Calibri"/>
                <w:w w:val="105"/>
                <w:sz w:val="12"/>
              </w:rPr>
              <w:t>0</w:t>
            </w:r>
          </w:p>
        </w:tc>
        <w:tc>
          <w:tcPr>
            <w:tcW w:w="801" w:type="dxa"/>
          </w:tcPr>
          <w:p>
            <w:pPr/>
          </w:p>
        </w:tc>
        <w:tc>
          <w:tcPr>
            <w:tcW w:w="770" w:type="dxa"/>
          </w:tcPr>
          <w:p>
            <w:pPr>
              <w:pStyle w:val="TableParagraph"/>
              <w:spacing w:before="6"/>
              <w:ind w:left="97"/>
              <w:rPr>
                <w:rFonts w:ascii="Calibri"/>
                <w:sz w:val="12"/>
              </w:rPr>
            </w:pPr>
            <w:r>
              <w:rPr>
                <w:rFonts w:ascii="Calibri"/>
                <w:w w:val="105"/>
                <w:sz w:val="12"/>
              </w:rPr>
              <w:t>1</w:t>
            </w:r>
          </w:p>
          <w:p>
            <w:pPr>
              <w:pStyle w:val="TableParagraph"/>
              <w:spacing w:before="11"/>
              <w:ind w:left="97"/>
              <w:rPr>
                <w:rFonts w:ascii="Calibri"/>
                <w:sz w:val="12"/>
              </w:rPr>
            </w:pPr>
            <w:r>
              <w:rPr>
                <w:rFonts w:ascii="Calibri"/>
                <w:w w:val="105"/>
                <w:sz w:val="12"/>
              </w:rPr>
              <w:t>1</w:t>
            </w:r>
          </w:p>
        </w:tc>
        <w:tc>
          <w:tcPr>
            <w:tcW w:w="684" w:type="dxa"/>
            <w:tcBorders>
              <w:right w:val="single" w:sz="8" w:space="0" w:color="000000"/>
            </w:tcBorders>
            <w:shd w:val="clear" w:color="auto" w:fill="67ED4D"/>
          </w:tcPr>
          <w:p>
            <w:pPr>
              <w:pStyle w:val="TableParagraph"/>
              <w:spacing w:before="6"/>
              <w:ind w:left="21"/>
              <w:rPr>
                <w:rFonts w:ascii="Calibri"/>
                <w:sz w:val="12"/>
              </w:rPr>
            </w:pPr>
            <w:r>
              <w:rPr>
                <w:rFonts w:ascii="Calibri"/>
                <w:w w:val="105"/>
                <w:sz w:val="12"/>
              </w:rPr>
              <w:t>1</w:t>
            </w:r>
          </w:p>
          <w:p>
            <w:pPr>
              <w:pStyle w:val="TableParagraph"/>
              <w:spacing w:before="11"/>
              <w:ind w:left="21"/>
              <w:rPr>
                <w:rFonts w:ascii="Calibri"/>
                <w:sz w:val="12"/>
              </w:rPr>
            </w:pPr>
            <w:r>
              <w:rPr>
                <w:rFonts w:ascii="Calibri"/>
                <w:w w:val="105"/>
                <w:sz w:val="12"/>
              </w:rPr>
              <w:t>1</w:t>
            </w:r>
          </w:p>
        </w:tc>
      </w:tr>
      <w:tr>
        <w:trPr>
          <w:trHeight w:val="163" w:hRule="exact"/>
        </w:trPr>
        <w:tc>
          <w:tcPr>
            <w:tcW w:w="660" w:type="dxa"/>
            <w:tcBorders>
              <w:left w:val="single" w:sz="4" w:space="0" w:color="000000"/>
            </w:tcBorders>
          </w:tcPr>
          <w:p>
            <w:pPr/>
          </w:p>
        </w:tc>
        <w:tc>
          <w:tcPr>
            <w:tcW w:w="1802" w:type="dxa"/>
          </w:tcPr>
          <w:p>
            <w:pPr/>
          </w:p>
        </w:tc>
        <w:tc>
          <w:tcPr>
            <w:tcW w:w="2247" w:type="dxa"/>
          </w:tcPr>
          <w:p>
            <w:pPr/>
          </w:p>
        </w:tc>
        <w:tc>
          <w:tcPr>
            <w:tcW w:w="1857" w:type="dxa"/>
          </w:tcPr>
          <w:p>
            <w:pPr>
              <w:pStyle w:val="TableParagraph"/>
              <w:spacing w:before="1"/>
              <w:ind w:left="964" w:right="184"/>
              <w:rPr>
                <w:rFonts w:ascii="Calibri"/>
                <w:sz w:val="12"/>
              </w:rPr>
            </w:pPr>
            <w:r>
              <w:rPr>
                <w:rFonts w:ascii="Calibri"/>
                <w:w w:val="105"/>
                <w:sz w:val="12"/>
              </w:rPr>
              <w:t>Subtotal</w:t>
            </w:r>
          </w:p>
        </w:tc>
        <w:tc>
          <w:tcPr>
            <w:tcW w:w="801" w:type="dxa"/>
          </w:tcPr>
          <w:p>
            <w:pPr>
              <w:pStyle w:val="TableParagraph"/>
              <w:tabs>
                <w:tab w:pos="518" w:val="left" w:leader="none"/>
                <w:tab w:pos="897" w:val="left" w:leader="none"/>
              </w:tabs>
              <w:spacing w:before="1"/>
              <w:ind w:left="203" w:right="-97"/>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0</w:t>
            </w:r>
            <w:r>
              <w:rPr>
                <w:rFonts w:ascii="Calibri"/>
                <w:sz w:val="12"/>
                <w:shd w:fill="F79646" w:color="auto" w:val="clear"/>
              </w:rPr>
              <w:tab/>
            </w:r>
          </w:p>
        </w:tc>
        <w:tc>
          <w:tcPr>
            <w:tcW w:w="770" w:type="dxa"/>
          </w:tcPr>
          <w:p>
            <w:pPr>
              <w:pStyle w:val="TableParagraph"/>
              <w:spacing w:before="1"/>
              <w:ind w:left="97"/>
              <w:rPr>
                <w:rFonts w:ascii="Calibri"/>
                <w:sz w:val="12"/>
              </w:rPr>
            </w:pPr>
            <w:r>
              <w:rPr>
                <w:rFonts w:ascii="Calibri"/>
                <w:w w:val="105"/>
                <w:sz w:val="12"/>
              </w:rPr>
              <w:t>2</w:t>
            </w:r>
          </w:p>
        </w:tc>
        <w:tc>
          <w:tcPr>
            <w:tcW w:w="684" w:type="dxa"/>
            <w:tcBorders>
              <w:right w:val="single" w:sz="8" w:space="0" w:color="000000"/>
            </w:tcBorders>
            <w:shd w:val="clear" w:color="auto" w:fill="67ED4D"/>
          </w:tcPr>
          <w:p>
            <w:pPr>
              <w:pStyle w:val="TableParagraph"/>
              <w:spacing w:before="1"/>
              <w:ind w:left="21"/>
              <w:rPr>
                <w:rFonts w:ascii="Calibri"/>
                <w:sz w:val="12"/>
              </w:rPr>
            </w:pPr>
            <w:r>
              <w:rPr>
                <w:rFonts w:ascii="Calibri"/>
                <w:w w:val="105"/>
                <w:sz w:val="12"/>
              </w:rPr>
              <w:t>2</w:t>
            </w:r>
          </w:p>
        </w:tc>
      </w:tr>
      <w:tr>
        <w:trPr>
          <w:trHeight w:val="474" w:hRule="exact"/>
        </w:trPr>
        <w:tc>
          <w:tcPr>
            <w:tcW w:w="660" w:type="dxa"/>
            <w:tcBorders>
              <w:left w:val="single" w:sz="4" w:space="0" w:color="000000"/>
              <w:bottom w:val="single" w:sz="8" w:space="0" w:color="000000"/>
            </w:tcBorders>
          </w:tcPr>
          <w:p>
            <w:pPr/>
          </w:p>
        </w:tc>
        <w:tc>
          <w:tcPr>
            <w:tcW w:w="1802" w:type="dxa"/>
            <w:tcBorders>
              <w:bottom w:val="single" w:sz="8" w:space="0" w:color="000000"/>
            </w:tcBorders>
          </w:tcPr>
          <w:p>
            <w:pPr/>
          </w:p>
        </w:tc>
        <w:tc>
          <w:tcPr>
            <w:tcW w:w="2247" w:type="dxa"/>
            <w:tcBorders>
              <w:bottom w:val="single" w:sz="8" w:space="0" w:color="000000"/>
            </w:tcBorders>
          </w:tcPr>
          <w:p>
            <w:pPr/>
          </w:p>
        </w:tc>
        <w:tc>
          <w:tcPr>
            <w:tcW w:w="1857" w:type="dxa"/>
            <w:tcBorders>
              <w:bottom w:val="single" w:sz="8" w:space="0" w:color="000000"/>
            </w:tcBorders>
          </w:tcPr>
          <w:p>
            <w:pPr>
              <w:pStyle w:val="TableParagraph"/>
              <w:spacing w:before="4"/>
              <w:jc w:val="left"/>
              <w:rPr>
                <w:sz w:val="13"/>
              </w:rPr>
            </w:pPr>
          </w:p>
          <w:p>
            <w:pPr>
              <w:pStyle w:val="TableParagraph"/>
              <w:ind w:left="968" w:right="184"/>
              <w:rPr>
                <w:rFonts w:ascii="Calibri"/>
                <w:sz w:val="12"/>
              </w:rPr>
            </w:pPr>
            <w:r>
              <w:rPr>
                <w:rFonts w:ascii="Calibri"/>
                <w:w w:val="105"/>
                <w:sz w:val="12"/>
              </w:rPr>
              <w:t>Total IA</w:t>
            </w:r>
          </w:p>
        </w:tc>
        <w:tc>
          <w:tcPr>
            <w:tcW w:w="801" w:type="dxa"/>
            <w:tcBorders>
              <w:bottom w:val="single" w:sz="8" w:space="0" w:color="000000"/>
            </w:tcBorders>
          </w:tcPr>
          <w:p>
            <w:pPr>
              <w:pStyle w:val="TableParagraph"/>
              <w:spacing w:before="4"/>
              <w:jc w:val="left"/>
              <w:rPr>
                <w:sz w:val="13"/>
              </w:rPr>
            </w:pPr>
          </w:p>
          <w:p>
            <w:pPr>
              <w:pStyle w:val="TableParagraph"/>
              <w:tabs>
                <w:tab w:pos="466" w:val="left" w:leader="none"/>
                <w:tab w:pos="897" w:val="left" w:leader="none"/>
              </w:tabs>
              <w:ind w:left="203" w:right="-97"/>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7.8</w:t>
            </w:r>
            <w:r>
              <w:rPr>
                <w:rFonts w:ascii="Calibri"/>
                <w:sz w:val="12"/>
                <w:shd w:fill="F79646" w:color="auto" w:val="clear"/>
              </w:rPr>
              <w:tab/>
            </w:r>
          </w:p>
        </w:tc>
        <w:tc>
          <w:tcPr>
            <w:tcW w:w="770" w:type="dxa"/>
            <w:tcBorders>
              <w:bottom w:val="single" w:sz="8" w:space="0" w:color="000000"/>
            </w:tcBorders>
          </w:tcPr>
          <w:p>
            <w:pPr>
              <w:pStyle w:val="TableParagraph"/>
              <w:spacing w:before="4"/>
              <w:jc w:val="left"/>
              <w:rPr>
                <w:sz w:val="13"/>
              </w:rPr>
            </w:pPr>
          </w:p>
          <w:p>
            <w:pPr>
              <w:pStyle w:val="TableParagraph"/>
              <w:tabs>
                <w:tab w:pos="780" w:val="left" w:leader="none"/>
              </w:tabs>
              <w:ind w:left="85" w:right="-11"/>
              <w:jc w:val="left"/>
              <w:rPr>
                <w:rFonts w:ascii="Calibri"/>
                <w:sz w:val="12"/>
              </w:rPr>
            </w:pPr>
            <w:r>
              <w:rPr>
                <w:rFonts w:ascii="Times New Roman"/>
                <w:w w:val="105"/>
                <w:sz w:val="12"/>
                <w:shd w:fill="FFFF00" w:color="auto" w:val="clear"/>
              </w:rPr>
              <w:t> </w:t>
            </w:r>
            <w:r>
              <w:rPr>
                <w:rFonts w:ascii="Times New Roman"/>
                <w:sz w:val="12"/>
                <w:shd w:fill="FFFF00" w:color="auto" w:val="clear"/>
              </w:rPr>
              <w:t>      </w:t>
            </w:r>
            <w:r>
              <w:rPr>
                <w:rFonts w:ascii="Times New Roman"/>
                <w:spacing w:val="-11"/>
                <w:sz w:val="12"/>
                <w:shd w:fill="FFFF00" w:color="auto" w:val="clear"/>
              </w:rPr>
              <w:t> </w:t>
            </w:r>
            <w:r>
              <w:rPr>
                <w:rFonts w:ascii="Calibri"/>
                <w:w w:val="105"/>
                <w:sz w:val="12"/>
                <w:shd w:fill="FFFF00" w:color="auto" w:val="clear"/>
              </w:rPr>
              <w:t>18.3</w:t>
            </w:r>
            <w:r>
              <w:rPr>
                <w:rFonts w:ascii="Calibri"/>
                <w:sz w:val="12"/>
                <w:shd w:fill="FFFF00" w:color="auto" w:val="clear"/>
              </w:rPr>
              <w:tab/>
            </w:r>
          </w:p>
        </w:tc>
        <w:tc>
          <w:tcPr>
            <w:tcW w:w="684" w:type="dxa"/>
            <w:tcBorders>
              <w:bottom w:val="single" w:sz="8" w:space="0" w:color="000000"/>
              <w:right w:val="single" w:sz="8" w:space="0" w:color="000000"/>
            </w:tcBorders>
          </w:tcPr>
          <w:p>
            <w:pPr>
              <w:pStyle w:val="TableParagraph"/>
              <w:spacing w:before="4"/>
              <w:jc w:val="left"/>
              <w:rPr>
                <w:sz w:val="13"/>
              </w:rPr>
            </w:pPr>
          </w:p>
          <w:p>
            <w:pPr>
              <w:pStyle w:val="TableParagraph"/>
              <w:ind w:left="106" w:right="84"/>
              <w:rPr>
                <w:rFonts w:ascii="Calibri"/>
                <w:sz w:val="12"/>
              </w:rPr>
            </w:pPr>
            <w:r>
              <w:rPr>
                <w:rFonts w:ascii="Calibri"/>
                <w:w w:val="105"/>
                <w:sz w:val="12"/>
              </w:rPr>
              <w:t>24</w:t>
            </w:r>
          </w:p>
        </w:tc>
      </w:tr>
    </w:tbl>
    <w:p>
      <w:pPr>
        <w:spacing w:before="131"/>
        <w:ind w:left="268" w:right="0" w:firstLine="0"/>
        <w:jc w:val="left"/>
        <w:rPr>
          <w:sz w:val="21"/>
        </w:rPr>
      </w:pPr>
      <w:r>
        <w:rPr/>
        <w:pict>
          <v:group style="position:absolute;margin-left:363.378998pt;margin-top:-174.972733pt;width:75.25pt;height:24.8pt;mso-position-horizontal-relative:page;mso-position-vertical-relative:paragraph;z-index:-1129576" coordorigin="7268,-3499" coordsize="1505,496">
            <v:line style="position:absolute" from="7273,-3494" to="7273,-3326" stroked="true" strokeweight=".526pt" strokecolor="#baf9f5"/>
            <v:rect style="position:absolute;left:7278;top:-3494;width:1494;height:168" filled="true" fillcolor="#baf9f5" stroked="false">
              <v:fill type="solid"/>
            </v:rect>
            <v:line style="position:absolute" from="7273,-3326" to="7273,-3168" stroked="true" strokeweight=".526pt" strokecolor="#baf9f5"/>
            <v:rect style="position:absolute;left:7278;top:-3326;width:1494;height:158" filled="true" fillcolor="#baf9f5" stroked="false">
              <v:fill type="solid"/>
            </v:rect>
            <v:line style="position:absolute" from="7273,-3168" to="7273,-3010" stroked="true" strokeweight=".526pt" strokecolor="#baf9f5"/>
            <v:rect style="position:absolute;left:7278;top:-3168;width:1494;height:158" filled="true" fillcolor="#baf9f5" stroked="false">
              <v:fill type="solid"/>
            </v:rect>
            <w10:wrap type="none"/>
          </v:group>
        </w:pict>
      </w:r>
      <w:r>
        <w:rPr/>
        <w:pict>
          <v:shape style="position:absolute;margin-left:472.277008pt;margin-top:-174.697159pt;width:34.75pt;height:32.1pt;mso-position-horizontal-relative:page;mso-position-vertical-relative:paragraph;z-index:-1129552" coordorigin="9446,-3494" coordsize="695,642" path="m10140,-3168l9446,-3168,9446,-3020,9446,-3010,9446,-2852,10140,-2852,10140,-3010,10140,-3020,10140,-3168m10140,-3494l9446,-3494,9446,-3326,9446,-3168,10140,-3168,10140,-3326,10140,-3494e" filled="true" fillcolor="#ffff00" stroked="false">
            <v:path arrowok="t"/>
            <v:fill type="solid"/>
            <w10:wrap type="none"/>
          </v:shape>
        </w:pict>
      </w:r>
      <w:r>
        <w:rPr/>
        <w:pict>
          <v:group style="position:absolute;margin-left:363.378998pt;margin-top:-135.506622pt;width:75.25pt;height:24.8pt;mso-position-horizontal-relative:page;mso-position-vertical-relative:paragraph;z-index:-1129528" coordorigin="7268,-2710" coordsize="1505,496">
            <v:line style="position:absolute" from="7273,-2705" to="7273,-2536" stroked="true" strokeweight=".526pt" strokecolor="#baf9f5"/>
            <v:rect style="position:absolute;left:7278;top:-2705;width:1494;height:168" filled="true" fillcolor="#baf9f5" stroked="false">
              <v:fill type="solid"/>
            </v:rect>
            <v:line style="position:absolute" from="7273,-2536" to="7273,-2378" stroked="true" strokeweight=".526pt" strokecolor="#baf9f5"/>
            <v:rect style="position:absolute;left:7278;top:-2536;width:1494;height:158" filled="true" fillcolor="#baf9f5" stroked="false">
              <v:fill type="solid"/>
            </v:rect>
            <v:line style="position:absolute" from="7273,-2378" to="7273,-2221" stroked="true" strokeweight=".526pt" strokecolor="#baf9f5"/>
            <v:rect style="position:absolute;left:7278;top:-2378;width:1494;height:158" filled="true" fillcolor="#baf9f5" stroked="false">
              <v:fill type="solid"/>
            </v:rect>
            <w10:wrap type="none"/>
          </v:group>
        </w:pict>
      </w:r>
      <w:r>
        <w:rPr/>
        <w:pict>
          <v:shape style="position:absolute;margin-left:472.277008pt;margin-top:-135.231155pt;width:34.75pt;height:32.1pt;mso-position-horizontal-relative:page;mso-position-vertical-relative:paragraph;z-index:-1129504" coordorigin="9446,-2705" coordsize="695,642" path="m10140,-2378l9446,-2378,9446,-2231,9446,-2221,9446,-2063,10140,-2063,10140,-2221,10140,-2231,10140,-2378m10140,-2705l9446,-2705,9446,-2536,9446,-2378,10140,-2378,10140,-2536,10140,-2705e" filled="true" fillcolor="#ffff00" stroked="false">
            <v:path arrowok="t"/>
            <v:fill type="solid"/>
            <w10:wrap type="none"/>
          </v:shape>
        </w:pict>
      </w:r>
      <w:r>
        <w:rPr/>
        <w:pict>
          <v:group style="position:absolute;margin-left:363.378998pt;margin-top:-96.040726pt;width:75.25pt;height:32.65pt;mso-position-horizontal-relative:page;mso-position-vertical-relative:paragraph;z-index:-1129480" coordorigin="7268,-1921" coordsize="1505,653">
            <v:line style="position:absolute" from="7273,-1915" to="7273,-1747" stroked="true" strokeweight=".526pt" strokecolor="#baf9f5"/>
            <v:rect style="position:absolute;left:7278;top:-1915;width:1494;height:168" filled="true" fillcolor="#baf9f5" stroked="false">
              <v:fill type="solid"/>
            </v:rect>
            <v:line style="position:absolute" from="7273,-1747" to="7273,-1589" stroked="true" strokeweight=".526pt" strokecolor="#baf9f5"/>
            <v:rect style="position:absolute;left:7278;top:-1747;width:1494;height:158" filled="true" fillcolor="#baf9f5" stroked="false">
              <v:fill type="solid"/>
            </v:rect>
            <v:line style="position:absolute" from="7273,-1589" to="7273,-1431" stroked="true" strokeweight=".526pt" strokecolor="#baf9f5"/>
            <v:rect style="position:absolute;left:7278;top:-1589;width:1494;height:158" filled="true" fillcolor="#baf9f5" stroked="false">
              <v:fill type="solid"/>
            </v:rect>
            <v:line style="position:absolute" from="7273,-1431" to="7273,-1273" stroked="true" strokeweight=".526pt" strokecolor="#baf9f5"/>
            <v:rect style="position:absolute;left:7278;top:-1431;width:1494;height:158" filled="true" fillcolor="#baf9f5" stroked="false">
              <v:fill type="solid"/>
            </v:rect>
            <w10:wrap type="none"/>
          </v:group>
        </w:pict>
      </w:r>
      <w:r>
        <w:rPr/>
        <w:pict>
          <v:shape style="position:absolute;margin-left:472.277008pt;margin-top:-95.765152pt;width:34.75pt;height:40pt;mso-position-horizontal-relative:page;mso-position-vertical-relative:paragraph;z-index:-1129456" coordorigin="9446,-1915" coordsize="695,800" path="m10140,-1431l9446,-1431,9446,-1284,9446,-1273,9446,-1115,10140,-1115,10140,-1273,10140,-1284,10140,-1431m10140,-1915l9446,-1915,9446,-1747,9446,-1589,9446,-1431,10140,-1431,10140,-1589,10140,-1747,10140,-1915e" filled="true" fillcolor="#ffff00" stroked="false">
            <v:path arrowok="t"/>
            <v:fill type="solid"/>
            <w10:wrap type="none"/>
          </v:shape>
        </w:pict>
      </w:r>
      <w:r>
        <w:rPr/>
        <w:pict>
          <v:group style="position:absolute;margin-left:363.378998pt;margin-top:-48.681629pt;width:75.25pt;height:16.9pt;mso-position-horizontal-relative:page;mso-position-vertical-relative:paragraph;z-index:-1129432" coordorigin="7268,-974" coordsize="1505,338">
            <v:line style="position:absolute" from="7273,-968" to="7273,-800" stroked="true" strokeweight=".526pt" strokecolor="#baf9f5"/>
            <v:rect style="position:absolute;left:7278;top:-968;width:1494;height:168" filled="true" fillcolor="#baf9f5" stroked="false">
              <v:fill type="solid"/>
            </v:rect>
            <v:line style="position:absolute" from="7273,-800" to="7273,-642" stroked="true" strokeweight=".526pt" strokecolor="#baf9f5"/>
            <v:rect style="position:absolute;left:7278;top:-800;width:1494;height:158" filled="true" fillcolor="#baf9f5" stroked="false">
              <v:fill type="solid"/>
            </v:rect>
            <w10:wrap type="none"/>
          </v:group>
        </w:pict>
      </w:r>
      <w:r>
        <w:rPr/>
        <w:pict>
          <v:shape style="position:absolute;margin-left:472.277008pt;margin-top:-48.406147pt;width:34.75pt;height:24.25pt;mso-position-horizontal-relative:page;mso-position-vertical-relative:paragraph;z-index:-1129408" coordorigin="9446,-968" coordsize="695,485" path="m10140,-968l9446,-968,9446,-800,9446,-652,9446,-642,9446,-484,10140,-484,10140,-642,10140,-652,10140,-800,10140,-968e" filled="true" fillcolor="#ffff00" stroked="false">
            <v:path arrowok="t"/>
            <v:fill type="solid"/>
            <w10:wrap type="none"/>
          </v:shape>
        </w:pict>
      </w:r>
      <w:r>
        <w:rPr/>
        <w:pict>
          <v:rect style="position:absolute;margin-left:506.467987pt;margin-top:-16.83453pt;width:34.7172pt;height:8.4194pt;mso-position-horizontal-relative:page;mso-position-vertical-relative:paragraph;z-index:-1129384" filled="true" fillcolor="#67ed4d"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spacing w:before="1"/>
        <w:rPr>
          <w:sz w:val="18"/>
        </w:rPr>
      </w:pPr>
    </w:p>
    <w:p>
      <w:pPr>
        <w:pStyle w:val="BodyText"/>
        <w:spacing w:before="69" w:after="13"/>
        <w:ind w:left="268"/>
      </w:pPr>
      <w:r>
        <w:rPr/>
        <w:pict>
          <v:shape style="position:absolute;margin-left:360.784058pt;margin-top:17.889034pt;width:180.45pt;height:23.2pt;mso-position-horizontal-relative:page;mso-position-vertical-relative:paragraph;z-index:-1129360" type="#_x0000_t202" filled="false" stroked="false">
            <v:textbox inset="0,0,0,0">
              <w:txbxContent>
                <w:p>
                  <w:pPr>
                    <w:pStyle w:val="BodyText"/>
                    <w:rPr>
                      <w:sz w:val="12"/>
                    </w:rPr>
                  </w:pPr>
                </w:p>
                <w:p>
                  <w:pPr>
                    <w:spacing w:before="91"/>
                    <w:ind w:left="0" w:right="0" w:firstLine="0"/>
                    <w:jc w:val="left"/>
                    <w:rPr>
                      <w:b/>
                      <w:sz w:val="12"/>
                    </w:rPr>
                  </w:pPr>
                  <w:r>
                    <w:rPr>
                      <w:b/>
                      <w:color w:val="FFFFFF"/>
                      <w:w w:val="105"/>
                      <w:sz w:val="12"/>
                    </w:rPr>
                    <w:t>m</w:t>
                  </w:r>
                </w:p>
              </w:txbxContent>
            </v:textbox>
            <w10:wrap type="none"/>
          </v:shape>
        </w:pict>
      </w:r>
      <w:r>
        <w:rPr/>
        <w:pict>
          <v:line style="position:absolute;mso-position-horizontal-relative:page;mso-position-vertical-relative:paragraph;z-index:28696" from="93.199997pt,-19.614155pt" to="546.799997pt,-19.614155pt" stroked="true" strokeweight=".479981pt" strokecolor="#000000">
            <w10:wrap type="none"/>
          </v:line>
        </w:pict>
      </w:r>
      <w:r>
        <w:rPr/>
        <w:pict>
          <v:group style="position:absolute;margin-left:363.386993pt;margin-top:51.830414pt;width:75.25pt;height:16.9pt;mso-position-horizontal-relative:page;mso-position-vertical-relative:paragraph;z-index:-1129312" coordorigin="7268,1037" coordsize="1505,338">
            <v:shape style="position:absolute;left:7273;top:1042;width:2;height:327" coordorigin="7273,1042" coordsize="0,327" path="m7273,1042l7273,1211m7273,1200l7273,1368e" filled="false" stroked="true" strokeweight=".526pt" strokecolor="#baf9f5">
              <v:path arrowok="t"/>
            </v:shape>
            <v:shape style="position:absolute;left:7279;top:1042;width:1494;height:327" coordorigin="7279,1042" coordsize="1494,327" path="m8772,1042l7279,1042,7279,1200,7279,1211,7279,1368,8772,1368,8772,1211,8772,1200,8772,1042e" filled="true" fillcolor="#baf9f5" stroked="false">
              <v:path arrowok="t"/>
              <v:fill type="solid"/>
            </v:shape>
            <w10:wrap type="none"/>
          </v:group>
        </w:pict>
      </w:r>
      <w:r>
        <w:rPr/>
        <w:pict>
          <v:shape style="position:absolute;margin-left:472.287018pt;margin-top:52.105804pt;width:34.75pt;height:24.25pt;mso-position-horizontal-relative:page;mso-position-vertical-relative:paragraph;z-index:-1129288" coordorigin="9446,1042" coordsize="695,485" path="m10140,1042l9446,1042,9446,1200,9446,1211,9446,1358,9446,1368,9446,1526,10140,1526,10140,1368,10140,1358,10140,1211,10140,1200,10140,1042e" filled="true" fillcolor="#ffff00" stroked="false">
            <v:path arrowok="t"/>
            <v:fill type="solid"/>
            <w10:wrap type="none"/>
          </v:shape>
        </w:pict>
      </w:r>
      <w:r>
        <w:rPr/>
        <w:pict>
          <v:shape style="position:absolute;margin-left:472.287018pt;margin-top:83.689804pt;width:34.75pt;height:16.3500pt;mso-position-horizontal-relative:page;mso-position-vertical-relative:paragraph;z-index:-1129264" coordorigin="9446,1674" coordsize="695,327" path="m10140,1674l9446,1674,9446,1832,9446,1842,9446,2000,10140,2000,10140,1842,10140,1832,10140,1674e" filled="true" fillcolor="#ffff00" stroked="false">
            <v:path arrowok="t"/>
            <v:fill type="solid"/>
            <w10:wrap type="none"/>
          </v:shape>
        </w:pict>
      </w:r>
      <w:r>
        <w:rPr/>
        <w:pict>
          <v:group style="position:absolute;margin-left:363.386993pt;margin-top:107.102417pt;width:75.25pt;height:24.8pt;mso-position-horizontal-relative:page;mso-position-vertical-relative:paragraph;z-index:-1129240" coordorigin="7268,2142" coordsize="1505,496">
            <v:shape style="position:absolute;left:7279;top:2148;width:1494;height:327" coordorigin="7279,2148" coordsize="1494,327" path="m8772,2148l7279,2148,7279,2316,7279,2474,8772,2474,8772,2316,8772,2148e" filled="true" fillcolor="#baf9f5" stroked="false">
              <v:path arrowok="t"/>
              <v:fill type="solid"/>
            </v:shape>
            <v:line style="position:absolute" from="7273,2148" to="7273,2632" stroked="true" strokeweight=".526pt" strokecolor="#baf9f5"/>
            <v:rect style="position:absolute;left:7278;top:2474;width:1494;height:158" filled="true" fillcolor="#baf9f5" stroked="false">
              <v:fill type="solid"/>
            </v:rect>
            <w10:wrap type="none"/>
          </v:group>
        </w:pict>
      </w:r>
      <w:r>
        <w:rPr/>
        <w:pict>
          <v:shape style="position:absolute;margin-left:472.287018pt;margin-top:107.377808pt;width:34.75pt;height:32.15pt;mso-position-horizontal-relative:page;mso-position-vertical-relative:paragraph;z-index:-1129216" coordorigin="9446,2148" coordsize="695,643" path="m10140,2148l9446,2148,9446,2316,9446,2474,9446,2621,9446,2632,9446,2790,10140,2790,10140,2632,10140,2621,10140,2474,10140,2316,10140,2148e" filled="true" fillcolor="#ffff00" stroked="false">
            <v:path arrowok="t"/>
            <v:fill type="solid"/>
            <w10:wrap type="none"/>
          </v:shape>
        </w:pict>
      </w:r>
      <w:r>
        <w:rPr/>
        <w:t>Tabla 80. ISE Valle de las Fuentes</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9"/>
        <w:gridCol w:w="1980"/>
        <w:gridCol w:w="2651"/>
        <w:gridCol w:w="1317"/>
        <w:gridCol w:w="838"/>
        <w:gridCol w:w="733"/>
        <w:gridCol w:w="684"/>
      </w:tblGrid>
      <w:tr>
        <w:trPr>
          <w:trHeight w:val="458" w:hRule="exact"/>
        </w:trPr>
        <w:tc>
          <w:tcPr>
            <w:tcW w:w="5250" w:type="dxa"/>
            <w:gridSpan w:val="3"/>
            <w:tcBorders>
              <w:bottom w:val="single" w:sz="4" w:space="0" w:color="FFFFFF"/>
            </w:tcBorders>
            <w:shd w:val="clear" w:color="auto" w:fill="000000"/>
          </w:tcPr>
          <w:p>
            <w:pPr>
              <w:pStyle w:val="TableParagraph"/>
              <w:spacing w:line="273" w:lineRule="auto" w:before="71"/>
              <w:ind w:left="3308" w:right="10" w:firstLine="505"/>
              <w:jc w:val="left"/>
              <w:rPr>
                <w:b/>
                <w:sz w:val="12"/>
              </w:rPr>
            </w:pPr>
            <w:r>
              <w:rPr>
                <w:b/>
                <w:color w:val="FFFFFF"/>
                <w:w w:val="105"/>
                <w:sz w:val="12"/>
              </w:rPr>
              <w:t>Valle de las Fuentes Índice de sustentabilidad econó</w:t>
            </w:r>
          </w:p>
        </w:tc>
        <w:tc>
          <w:tcPr>
            <w:tcW w:w="3572" w:type="dxa"/>
            <w:gridSpan w:val="4"/>
            <w:tcBorders>
              <w:bottom w:val="single" w:sz="4" w:space="0" w:color="FFFFFF"/>
              <w:right w:val="single" w:sz="4" w:space="0" w:color="FBF111"/>
            </w:tcBorders>
            <w:shd w:val="clear" w:color="auto" w:fill="000000"/>
          </w:tcPr>
          <w:p>
            <w:pPr>
              <w:pStyle w:val="TableParagraph"/>
              <w:jc w:val="left"/>
              <w:rPr>
                <w:sz w:val="12"/>
              </w:rPr>
            </w:pPr>
          </w:p>
          <w:p>
            <w:pPr>
              <w:pStyle w:val="TableParagraph"/>
              <w:spacing w:before="91"/>
              <w:ind w:left="86"/>
              <w:jc w:val="left"/>
              <w:rPr>
                <w:b/>
                <w:sz w:val="12"/>
              </w:rPr>
            </w:pPr>
            <w:r>
              <w:rPr>
                <w:b/>
                <w:color w:val="FFFFFF"/>
                <w:w w:val="105"/>
                <w:sz w:val="12"/>
              </w:rPr>
              <w:t>ica</w:t>
            </w:r>
          </w:p>
        </w:tc>
      </w:tr>
      <w:tr>
        <w:trPr>
          <w:trHeight w:val="163" w:hRule="exact"/>
        </w:trPr>
        <w:tc>
          <w:tcPr>
            <w:tcW w:w="619" w:type="dxa"/>
            <w:tcBorders>
              <w:top w:val="single" w:sz="4" w:space="0" w:color="FFFFFF"/>
              <w:left w:val="single" w:sz="4" w:space="0" w:color="000000"/>
            </w:tcBorders>
            <w:shd w:val="clear" w:color="auto" w:fill="808080"/>
          </w:tcPr>
          <w:p>
            <w:pPr>
              <w:pStyle w:val="TableParagraph"/>
              <w:spacing w:line="136" w:lineRule="exact"/>
              <w:ind w:left="157"/>
              <w:jc w:val="left"/>
              <w:rPr>
                <w:b/>
                <w:sz w:val="12"/>
              </w:rPr>
            </w:pPr>
            <w:r>
              <w:rPr>
                <w:b/>
                <w:color w:val="FFFFFF"/>
                <w:w w:val="105"/>
                <w:sz w:val="12"/>
              </w:rPr>
              <w:t>Índice</w:t>
            </w:r>
          </w:p>
        </w:tc>
        <w:tc>
          <w:tcPr>
            <w:tcW w:w="1980" w:type="dxa"/>
            <w:tcBorders>
              <w:top w:val="single" w:sz="4" w:space="0" w:color="FFFFFF"/>
            </w:tcBorders>
            <w:shd w:val="clear" w:color="auto" w:fill="808080"/>
          </w:tcPr>
          <w:p>
            <w:pPr>
              <w:pStyle w:val="TableParagraph"/>
              <w:spacing w:line="136" w:lineRule="exact"/>
              <w:ind w:left="91"/>
              <w:jc w:val="left"/>
              <w:rPr>
                <w:b/>
                <w:sz w:val="12"/>
              </w:rPr>
            </w:pPr>
            <w:r>
              <w:rPr>
                <w:b/>
                <w:color w:val="FFFFFF"/>
                <w:w w:val="105"/>
                <w:sz w:val="12"/>
              </w:rPr>
              <w:t>Subíndice</w:t>
            </w:r>
          </w:p>
        </w:tc>
        <w:tc>
          <w:tcPr>
            <w:tcW w:w="2651" w:type="dxa"/>
            <w:tcBorders>
              <w:top w:val="single" w:sz="4" w:space="0" w:color="FFFFFF"/>
            </w:tcBorders>
            <w:shd w:val="clear" w:color="auto" w:fill="808080"/>
          </w:tcPr>
          <w:p>
            <w:pPr>
              <w:pStyle w:val="TableParagraph"/>
              <w:spacing w:line="136" w:lineRule="exact"/>
              <w:ind w:left="215"/>
              <w:jc w:val="left"/>
              <w:rPr>
                <w:b/>
                <w:sz w:val="12"/>
              </w:rPr>
            </w:pPr>
            <w:r>
              <w:rPr>
                <w:b/>
                <w:color w:val="FFFFFF"/>
                <w:w w:val="105"/>
                <w:sz w:val="12"/>
              </w:rPr>
              <w:t>Indicador</w:t>
            </w:r>
          </w:p>
        </w:tc>
        <w:tc>
          <w:tcPr>
            <w:tcW w:w="1317" w:type="dxa"/>
            <w:tcBorders>
              <w:top w:val="single" w:sz="4" w:space="0" w:color="FFFFFF"/>
            </w:tcBorders>
            <w:shd w:val="clear" w:color="auto" w:fill="808080"/>
          </w:tcPr>
          <w:p>
            <w:pPr/>
          </w:p>
        </w:tc>
        <w:tc>
          <w:tcPr>
            <w:tcW w:w="838" w:type="dxa"/>
            <w:tcBorders>
              <w:top w:val="single" w:sz="4" w:space="0" w:color="FFFFFF"/>
            </w:tcBorders>
            <w:shd w:val="clear" w:color="auto" w:fill="808080"/>
          </w:tcPr>
          <w:p>
            <w:pPr>
              <w:pStyle w:val="TableParagraph"/>
              <w:spacing w:line="136" w:lineRule="exact"/>
              <w:ind w:left="266" w:right="-60"/>
              <w:jc w:val="left"/>
              <w:rPr>
                <w:b/>
                <w:sz w:val="12"/>
              </w:rPr>
            </w:pPr>
            <w:r>
              <w:rPr>
                <w:b/>
                <w:color w:val="FFFFFF"/>
                <w:w w:val="105"/>
                <w:sz w:val="12"/>
              </w:rPr>
              <w:t>Valores</w:t>
            </w:r>
          </w:p>
        </w:tc>
        <w:tc>
          <w:tcPr>
            <w:tcW w:w="733" w:type="dxa"/>
            <w:tcBorders>
              <w:top w:val="single" w:sz="4" w:space="0" w:color="FFFFFF"/>
            </w:tcBorders>
            <w:shd w:val="clear" w:color="auto" w:fill="808080"/>
          </w:tcPr>
          <w:p>
            <w:pPr/>
          </w:p>
        </w:tc>
        <w:tc>
          <w:tcPr>
            <w:tcW w:w="684" w:type="dxa"/>
            <w:tcBorders>
              <w:top w:val="single" w:sz="4" w:space="0" w:color="FFFFFF"/>
              <w:right w:val="single" w:sz="8" w:space="0" w:color="000000"/>
            </w:tcBorders>
            <w:shd w:val="clear" w:color="auto" w:fill="808080"/>
          </w:tcPr>
          <w:p>
            <w:pPr/>
          </w:p>
        </w:tc>
      </w:tr>
      <w:tr>
        <w:trPr>
          <w:trHeight w:val="63" w:hRule="exact"/>
        </w:trPr>
        <w:tc>
          <w:tcPr>
            <w:tcW w:w="8822" w:type="dxa"/>
            <w:gridSpan w:val="7"/>
            <w:tcBorders>
              <w:left w:val="single" w:sz="4" w:space="0" w:color="000000"/>
              <w:right w:val="single" w:sz="8" w:space="0" w:color="000000"/>
            </w:tcBorders>
            <w:shd w:val="clear" w:color="auto" w:fill="808080"/>
          </w:tcPr>
          <w:p>
            <w:pPr/>
          </w:p>
        </w:tc>
      </w:tr>
      <w:tr>
        <w:trPr>
          <w:trHeight w:val="163" w:hRule="exact"/>
        </w:trPr>
        <w:tc>
          <w:tcPr>
            <w:tcW w:w="619" w:type="dxa"/>
            <w:vMerge w:val="restart"/>
            <w:tcBorders>
              <w:left w:val="single" w:sz="4" w:space="0" w:color="000000"/>
            </w:tcBorders>
          </w:tcPr>
          <w:p>
            <w:pPr/>
          </w:p>
        </w:tc>
        <w:tc>
          <w:tcPr>
            <w:tcW w:w="1980" w:type="dxa"/>
          </w:tcPr>
          <w:p>
            <w:pPr/>
          </w:p>
        </w:tc>
        <w:tc>
          <w:tcPr>
            <w:tcW w:w="2651" w:type="dxa"/>
          </w:tcPr>
          <w:p>
            <w:pPr/>
          </w:p>
        </w:tc>
        <w:tc>
          <w:tcPr>
            <w:tcW w:w="1317" w:type="dxa"/>
          </w:tcPr>
          <w:p>
            <w:pPr>
              <w:pStyle w:val="TableParagraph"/>
              <w:spacing w:before="8"/>
              <w:ind w:left="427" w:right="184"/>
              <w:rPr>
                <w:b/>
                <w:sz w:val="12"/>
              </w:rPr>
            </w:pPr>
            <w:r>
              <w:rPr>
                <w:b/>
                <w:w w:val="105"/>
                <w:sz w:val="12"/>
              </w:rPr>
              <w:t>Evaluación</w:t>
            </w:r>
          </w:p>
        </w:tc>
        <w:tc>
          <w:tcPr>
            <w:tcW w:w="838" w:type="dxa"/>
          </w:tcPr>
          <w:p>
            <w:pPr>
              <w:pStyle w:val="TableParagraph"/>
              <w:tabs>
                <w:tab w:pos="897" w:val="left" w:leader="none"/>
              </w:tabs>
              <w:spacing w:before="8"/>
              <w:ind w:left="203" w:right="-60"/>
              <w:jc w:val="left"/>
              <w:rPr>
                <w:b/>
                <w:sz w:val="12"/>
              </w:rPr>
            </w:pPr>
            <w:r>
              <w:rPr>
                <w:b/>
                <w:w w:val="105"/>
                <w:sz w:val="12"/>
                <w:shd w:fill="F79646" w:color="auto" w:val="clear"/>
              </w:rPr>
              <w:t> </w:t>
            </w:r>
            <w:r>
              <w:rPr>
                <w:b/>
                <w:sz w:val="12"/>
                <w:shd w:fill="F79646" w:color="auto" w:val="clear"/>
              </w:rPr>
              <w:t>    </w:t>
            </w:r>
            <w:r>
              <w:rPr>
                <w:b/>
                <w:spacing w:val="8"/>
                <w:sz w:val="12"/>
                <w:shd w:fill="F79646" w:color="auto" w:val="clear"/>
              </w:rPr>
              <w:t> </w:t>
            </w:r>
            <w:r>
              <w:rPr>
                <w:b/>
                <w:w w:val="105"/>
                <w:sz w:val="12"/>
                <w:shd w:fill="F79646" w:color="auto" w:val="clear"/>
              </w:rPr>
              <w:t>Real</w:t>
            </w:r>
            <w:r>
              <w:rPr>
                <w:b/>
                <w:sz w:val="12"/>
                <w:shd w:fill="F79646" w:color="auto" w:val="clear"/>
              </w:rPr>
              <w:tab/>
            </w:r>
          </w:p>
        </w:tc>
        <w:tc>
          <w:tcPr>
            <w:tcW w:w="733" w:type="dxa"/>
          </w:tcPr>
          <w:p>
            <w:pPr>
              <w:pStyle w:val="TableParagraph"/>
              <w:spacing w:before="8"/>
              <w:ind w:left="102" w:right="36"/>
              <w:rPr>
                <w:b/>
                <w:sz w:val="12"/>
              </w:rPr>
            </w:pPr>
            <w:r>
              <w:rPr>
                <w:b/>
                <w:w w:val="105"/>
                <w:sz w:val="12"/>
              </w:rPr>
              <w:t>Deseable</w:t>
            </w:r>
          </w:p>
        </w:tc>
        <w:tc>
          <w:tcPr>
            <w:tcW w:w="684" w:type="dxa"/>
            <w:tcBorders>
              <w:right w:val="single" w:sz="8" w:space="0" w:color="000000"/>
            </w:tcBorders>
            <w:shd w:val="clear" w:color="auto" w:fill="67ED4D"/>
          </w:tcPr>
          <w:p>
            <w:pPr>
              <w:pStyle w:val="TableParagraph"/>
              <w:spacing w:before="8"/>
              <w:ind w:left="106" w:right="86"/>
              <w:rPr>
                <w:b/>
                <w:sz w:val="12"/>
              </w:rPr>
            </w:pPr>
            <w:r>
              <w:rPr>
                <w:b/>
                <w:w w:val="105"/>
                <w:sz w:val="12"/>
              </w:rPr>
              <w:t>Óptimo</w:t>
            </w:r>
          </w:p>
        </w:tc>
      </w:tr>
      <w:tr>
        <w:trPr>
          <w:trHeight w:val="160" w:hRule="exact"/>
        </w:trPr>
        <w:tc>
          <w:tcPr>
            <w:tcW w:w="619" w:type="dxa"/>
            <w:vMerge/>
            <w:tcBorders>
              <w:left w:val="single" w:sz="4" w:space="0" w:color="000000"/>
            </w:tcBorders>
          </w:tcPr>
          <w:p>
            <w:pPr/>
          </w:p>
        </w:tc>
        <w:tc>
          <w:tcPr>
            <w:tcW w:w="1980" w:type="dxa"/>
          </w:tcPr>
          <w:p>
            <w:pPr>
              <w:pStyle w:val="TableParagraph"/>
              <w:spacing w:before="2"/>
              <w:ind w:left="91"/>
              <w:jc w:val="left"/>
              <w:rPr>
                <w:rFonts w:ascii="Calibri" w:hAnsi="Calibri"/>
                <w:sz w:val="12"/>
              </w:rPr>
            </w:pPr>
            <w:r>
              <w:rPr>
                <w:rFonts w:ascii="Calibri" w:hAnsi="Calibri"/>
                <w:w w:val="105"/>
                <w:sz w:val="12"/>
              </w:rPr>
              <w:t>Situación de la vivienda</w:t>
            </w:r>
          </w:p>
        </w:tc>
        <w:tc>
          <w:tcPr>
            <w:tcW w:w="2651" w:type="dxa"/>
          </w:tcPr>
          <w:p>
            <w:pPr>
              <w:pStyle w:val="TableParagraph"/>
              <w:spacing w:before="2"/>
              <w:ind w:left="215"/>
              <w:jc w:val="left"/>
              <w:rPr>
                <w:rFonts w:ascii="Calibri"/>
                <w:sz w:val="12"/>
              </w:rPr>
            </w:pPr>
            <w:r>
              <w:rPr>
                <w:rFonts w:ascii="Calibri"/>
                <w:w w:val="105"/>
                <w:sz w:val="12"/>
              </w:rPr>
              <w:t>Precio</w:t>
            </w:r>
          </w:p>
        </w:tc>
        <w:tc>
          <w:tcPr>
            <w:tcW w:w="1317" w:type="dxa"/>
          </w:tcPr>
          <w:p>
            <w:pPr>
              <w:pStyle w:val="TableParagraph"/>
              <w:spacing w:before="2"/>
              <w:ind w:left="251"/>
              <w:rPr>
                <w:rFonts w:ascii="Calibri"/>
                <w:sz w:val="12"/>
              </w:rPr>
            </w:pPr>
            <w:r>
              <w:rPr>
                <w:rFonts w:ascii="Calibri"/>
                <w:w w:val="105"/>
                <w:sz w:val="12"/>
              </w:rPr>
              <w:t>1</w:t>
            </w:r>
          </w:p>
        </w:tc>
        <w:tc>
          <w:tcPr>
            <w:tcW w:w="838" w:type="dxa"/>
          </w:tcPr>
          <w:p>
            <w:pPr/>
          </w:p>
        </w:tc>
        <w:tc>
          <w:tcPr>
            <w:tcW w:w="733" w:type="dxa"/>
          </w:tcPr>
          <w:p>
            <w:pPr>
              <w:pStyle w:val="TableParagraph"/>
              <w:spacing w:before="2"/>
              <w:ind w:left="87" w:right="36"/>
              <w:rPr>
                <w:rFonts w:ascii="Calibri"/>
                <w:sz w:val="12"/>
              </w:rPr>
            </w:pPr>
            <w:r>
              <w:rPr>
                <w:rFonts w:ascii="Calibri"/>
                <w:w w:val="105"/>
                <w:sz w:val="12"/>
              </w:rPr>
              <w:t>0.5</w:t>
            </w:r>
          </w:p>
        </w:tc>
        <w:tc>
          <w:tcPr>
            <w:tcW w:w="684" w:type="dxa"/>
            <w:tcBorders>
              <w:right w:val="single" w:sz="8" w:space="0" w:color="000000"/>
            </w:tcBorders>
            <w:shd w:val="clear" w:color="auto" w:fill="67ED4D"/>
          </w:tcPr>
          <w:p>
            <w:pPr>
              <w:pStyle w:val="TableParagraph"/>
              <w:spacing w:before="2"/>
              <w:ind w:left="21"/>
              <w:rPr>
                <w:rFonts w:ascii="Calibri"/>
                <w:sz w:val="12"/>
              </w:rPr>
            </w:pPr>
            <w:r>
              <w:rPr>
                <w:rFonts w:ascii="Calibri"/>
                <w:w w:val="105"/>
                <w:sz w:val="12"/>
              </w:rPr>
              <w:t>1</w:t>
            </w:r>
          </w:p>
        </w:tc>
      </w:tr>
      <w:tr>
        <w:trPr>
          <w:trHeight w:val="162" w:hRule="exact"/>
        </w:trPr>
        <w:tc>
          <w:tcPr>
            <w:tcW w:w="619" w:type="dxa"/>
            <w:vMerge/>
            <w:tcBorders>
              <w:left w:val="single" w:sz="4" w:space="0" w:color="000000"/>
            </w:tcBorders>
          </w:tcPr>
          <w:p>
            <w:pPr/>
          </w:p>
        </w:tc>
        <w:tc>
          <w:tcPr>
            <w:tcW w:w="1980" w:type="dxa"/>
          </w:tcPr>
          <w:p>
            <w:pPr/>
          </w:p>
        </w:tc>
        <w:tc>
          <w:tcPr>
            <w:tcW w:w="2651" w:type="dxa"/>
          </w:tcPr>
          <w:p>
            <w:pPr/>
          </w:p>
        </w:tc>
        <w:tc>
          <w:tcPr>
            <w:tcW w:w="1317" w:type="dxa"/>
          </w:tcPr>
          <w:p>
            <w:pPr>
              <w:pStyle w:val="TableParagraph"/>
              <w:spacing w:before="1"/>
              <w:ind w:left="423" w:right="184"/>
              <w:rPr>
                <w:rFonts w:ascii="Calibri"/>
                <w:sz w:val="12"/>
              </w:rPr>
            </w:pPr>
            <w:r>
              <w:rPr>
                <w:rFonts w:ascii="Calibri"/>
                <w:w w:val="105"/>
                <w:sz w:val="12"/>
              </w:rPr>
              <w:t>Subtotal</w:t>
            </w:r>
          </w:p>
        </w:tc>
        <w:tc>
          <w:tcPr>
            <w:tcW w:w="838" w:type="dxa"/>
          </w:tcPr>
          <w:p>
            <w:pPr>
              <w:pStyle w:val="TableParagraph"/>
              <w:tabs>
                <w:tab w:pos="518" w:val="left" w:leader="none"/>
                <w:tab w:pos="897" w:val="left" w:leader="none"/>
              </w:tabs>
              <w:spacing w:before="1"/>
              <w:ind w:left="203" w:right="-60"/>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1</w:t>
            </w:r>
            <w:r>
              <w:rPr>
                <w:rFonts w:ascii="Calibri"/>
                <w:sz w:val="12"/>
                <w:shd w:fill="F79646" w:color="auto" w:val="clear"/>
              </w:rPr>
              <w:tab/>
            </w:r>
          </w:p>
        </w:tc>
        <w:tc>
          <w:tcPr>
            <w:tcW w:w="733" w:type="dxa"/>
          </w:tcPr>
          <w:p>
            <w:pPr>
              <w:pStyle w:val="TableParagraph"/>
              <w:spacing w:before="1"/>
              <w:ind w:left="87" w:right="36"/>
              <w:rPr>
                <w:rFonts w:ascii="Calibri"/>
                <w:sz w:val="12"/>
              </w:rPr>
            </w:pPr>
            <w:r>
              <w:rPr>
                <w:rFonts w:ascii="Calibri"/>
                <w:w w:val="105"/>
                <w:sz w:val="12"/>
              </w:rPr>
              <w:t>0.5</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47" w:hRule="exact"/>
        </w:trPr>
        <w:tc>
          <w:tcPr>
            <w:tcW w:w="8822" w:type="dxa"/>
            <w:gridSpan w:val="7"/>
            <w:tcBorders>
              <w:left w:val="single" w:sz="4" w:space="0" w:color="000000"/>
              <w:right w:val="single" w:sz="8" w:space="0" w:color="000000"/>
            </w:tcBorders>
          </w:tcPr>
          <w:p>
            <w:pPr/>
          </w:p>
        </w:tc>
      </w:tr>
      <w:tr>
        <w:trPr>
          <w:trHeight w:val="163" w:hRule="exact"/>
        </w:trPr>
        <w:tc>
          <w:tcPr>
            <w:tcW w:w="619" w:type="dxa"/>
            <w:tcBorders>
              <w:left w:val="single" w:sz="4" w:space="0" w:color="000000"/>
            </w:tcBorders>
          </w:tcPr>
          <w:p>
            <w:pPr/>
          </w:p>
        </w:tc>
        <w:tc>
          <w:tcPr>
            <w:tcW w:w="1980" w:type="dxa"/>
          </w:tcPr>
          <w:p>
            <w:pPr>
              <w:pStyle w:val="TableParagraph"/>
              <w:spacing w:before="7"/>
              <w:ind w:left="91"/>
              <w:jc w:val="left"/>
              <w:rPr>
                <w:rFonts w:ascii="Calibri"/>
                <w:sz w:val="12"/>
              </w:rPr>
            </w:pPr>
            <w:r>
              <w:rPr>
                <w:rFonts w:ascii="Calibri"/>
                <w:w w:val="105"/>
                <w:sz w:val="12"/>
              </w:rPr>
              <w:t>INEX</w:t>
            </w:r>
          </w:p>
        </w:tc>
        <w:tc>
          <w:tcPr>
            <w:tcW w:w="2651" w:type="dxa"/>
          </w:tcPr>
          <w:p>
            <w:pPr>
              <w:pStyle w:val="TableParagraph"/>
              <w:spacing w:before="7"/>
              <w:ind w:left="215"/>
              <w:jc w:val="left"/>
              <w:rPr>
                <w:rFonts w:ascii="Calibri"/>
                <w:sz w:val="12"/>
              </w:rPr>
            </w:pPr>
            <w:r>
              <w:rPr>
                <w:rFonts w:ascii="Calibri"/>
                <w:w w:val="105"/>
                <w:sz w:val="12"/>
              </w:rPr>
              <w:t>Infonavit</w:t>
            </w:r>
          </w:p>
        </w:tc>
        <w:tc>
          <w:tcPr>
            <w:tcW w:w="1317" w:type="dxa"/>
          </w:tcPr>
          <w:p>
            <w:pPr>
              <w:pStyle w:val="TableParagraph"/>
              <w:tabs>
                <w:tab w:pos="751" w:val="left" w:leader="none"/>
                <w:tab w:pos="1530" w:val="left" w:leader="none"/>
              </w:tabs>
              <w:spacing w:before="7"/>
              <w:ind w:left="26" w:right="-214"/>
              <w:rPr>
                <w:rFonts w:ascii="Calibri"/>
                <w:sz w:val="12"/>
              </w:rPr>
            </w:pPr>
            <w:r>
              <w:rPr>
                <w:rFonts w:ascii="Times New Roman"/>
                <w:w w:val="105"/>
                <w:sz w:val="12"/>
                <w:shd w:fill="BAF9F5" w:color="auto" w:val="clear"/>
              </w:rPr>
              <w:t> </w:t>
            </w:r>
            <w:r>
              <w:rPr>
                <w:rFonts w:ascii="Times New Roman"/>
                <w:sz w:val="12"/>
                <w:shd w:fill="BAF9F5" w:color="auto" w:val="clear"/>
              </w:rPr>
              <w:tab/>
            </w:r>
            <w:r>
              <w:rPr>
                <w:rFonts w:ascii="Calibri"/>
                <w:w w:val="105"/>
                <w:sz w:val="12"/>
                <w:shd w:fill="BAF9F5" w:color="auto" w:val="clear"/>
              </w:rPr>
              <w:t>0</w:t>
            </w:r>
            <w:r>
              <w:rPr>
                <w:rFonts w:ascii="Calibri"/>
                <w:sz w:val="12"/>
                <w:shd w:fill="BAF9F5" w:color="auto" w:val="clear"/>
              </w:rPr>
              <w:tab/>
            </w:r>
          </w:p>
        </w:tc>
        <w:tc>
          <w:tcPr>
            <w:tcW w:w="838" w:type="dxa"/>
          </w:tcPr>
          <w:p>
            <w:pPr/>
          </w:p>
        </w:tc>
        <w:tc>
          <w:tcPr>
            <w:tcW w:w="733" w:type="dxa"/>
          </w:tcPr>
          <w:p>
            <w:pPr>
              <w:pStyle w:val="TableParagraph"/>
              <w:spacing w:before="7"/>
              <w:ind w:left="87" w:right="36"/>
              <w:rPr>
                <w:rFonts w:ascii="Calibri"/>
                <w:sz w:val="12"/>
              </w:rPr>
            </w:pPr>
            <w:r>
              <w:rPr>
                <w:rFonts w:ascii="Calibri"/>
                <w:w w:val="105"/>
                <w:sz w:val="12"/>
              </w:rPr>
              <w:t>0.7</w:t>
            </w:r>
          </w:p>
        </w:tc>
        <w:tc>
          <w:tcPr>
            <w:tcW w:w="684" w:type="dxa"/>
            <w:tcBorders>
              <w:right w:val="single" w:sz="8" w:space="0" w:color="000000"/>
            </w:tcBorders>
            <w:shd w:val="clear" w:color="auto" w:fill="67ED4D"/>
          </w:tcPr>
          <w:p>
            <w:pPr>
              <w:pStyle w:val="TableParagraph"/>
              <w:spacing w:before="7"/>
              <w:ind w:left="21"/>
              <w:rPr>
                <w:rFonts w:ascii="Calibri"/>
                <w:sz w:val="12"/>
              </w:rPr>
            </w:pPr>
            <w:r>
              <w:rPr>
                <w:rFonts w:ascii="Calibri"/>
                <w:w w:val="105"/>
                <w:sz w:val="12"/>
              </w:rPr>
              <w:t>1</w:t>
            </w:r>
          </w:p>
        </w:tc>
      </w:tr>
      <w:tr>
        <w:trPr>
          <w:trHeight w:val="163" w:hRule="exact"/>
        </w:trPr>
        <w:tc>
          <w:tcPr>
            <w:tcW w:w="619" w:type="dxa"/>
            <w:tcBorders>
              <w:left w:val="single" w:sz="4" w:space="0" w:color="000000"/>
            </w:tcBorders>
          </w:tcPr>
          <w:p>
            <w:pPr/>
          </w:p>
        </w:tc>
        <w:tc>
          <w:tcPr>
            <w:tcW w:w="1980" w:type="dxa"/>
          </w:tcPr>
          <w:p>
            <w:pPr/>
          </w:p>
        </w:tc>
        <w:tc>
          <w:tcPr>
            <w:tcW w:w="2651" w:type="dxa"/>
          </w:tcPr>
          <w:p>
            <w:pPr/>
          </w:p>
        </w:tc>
        <w:tc>
          <w:tcPr>
            <w:tcW w:w="1317" w:type="dxa"/>
          </w:tcPr>
          <w:p>
            <w:pPr>
              <w:pStyle w:val="TableParagraph"/>
              <w:spacing w:before="1"/>
              <w:ind w:left="423" w:right="184"/>
              <w:rPr>
                <w:rFonts w:ascii="Calibri"/>
                <w:sz w:val="12"/>
              </w:rPr>
            </w:pPr>
            <w:r>
              <w:rPr>
                <w:rFonts w:ascii="Calibri"/>
                <w:w w:val="105"/>
                <w:sz w:val="12"/>
              </w:rPr>
              <w:t>Subtotal</w:t>
            </w:r>
          </w:p>
        </w:tc>
        <w:tc>
          <w:tcPr>
            <w:tcW w:w="838" w:type="dxa"/>
          </w:tcPr>
          <w:p>
            <w:pPr>
              <w:pStyle w:val="TableParagraph"/>
              <w:tabs>
                <w:tab w:pos="518" w:val="left" w:leader="none"/>
                <w:tab w:pos="897" w:val="left" w:leader="none"/>
              </w:tabs>
              <w:spacing w:before="1"/>
              <w:ind w:left="203" w:right="-60"/>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0</w:t>
            </w:r>
            <w:r>
              <w:rPr>
                <w:rFonts w:ascii="Calibri"/>
                <w:sz w:val="12"/>
                <w:shd w:fill="F79646" w:color="auto" w:val="clear"/>
              </w:rPr>
              <w:tab/>
            </w:r>
          </w:p>
        </w:tc>
        <w:tc>
          <w:tcPr>
            <w:tcW w:w="733" w:type="dxa"/>
          </w:tcPr>
          <w:p>
            <w:pPr>
              <w:pStyle w:val="TableParagraph"/>
              <w:spacing w:before="1"/>
              <w:ind w:left="87" w:right="36"/>
              <w:rPr>
                <w:rFonts w:ascii="Calibri"/>
                <w:sz w:val="12"/>
              </w:rPr>
            </w:pPr>
            <w:r>
              <w:rPr>
                <w:rFonts w:ascii="Calibri"/>
                <w:w w:val="105"/>
                <w:sz w:val="12"/>
              </w:rPr>
              <w:t>0.7</w:t>
            </w:r>
          </w:p>
        </w:tc>
        <w:tc>
          <w:tcPr>
            <w:tcW w:w="684" w:type="dxa"/>
            <w:tcBorders>
              <w:right w:val="single" w:sz="8" w:space="0" w:color="000000"/>
            </w:tcBorders>
            <w:shd w:val="clear" w:color="auto" w:fill="67ED4D"/>
          </w:tcPr>
          <w:p>
            <w:pPr>
              <w:pStyle w:val="TableParagraph"/>
              <w:spacing w:before="1"/>
              <w:ind w:left="21"/>
              <w:rPr>
                <w:rFonts w:ascii="Calibri"/>
                <w:sz w:val="12"/>
              </w:rPr>
            </w:pPr>
            <w:r>
              <w:rPr>
                <w:rFonts w:ascii="Calibri"/>
                <w:w w:val="105"/>
                <w:sz w:val="12"/>
              </w:rPr>
              <w:t>1</w:t>
            </w:r>
          </w:p>
        </w:tc>
      </w:tr>
      <w:tr>
        <w:trPr>
          <w:trHeight w:val="147" w:hRule="exact"/>
        </w:trPr>
        <w:tc>
          <w:tcPr>
            <w:tcW w:w="8822" w:type="dxa"/>
            <w:gridSpan w:val="7"/>
            <w:tcBorders>
              <w:left w:val="single" w:sz="4" w:space="0" w:color="000000"/>
              <w:right w:val="single" w:sz="8" w:space="0" w:color="000000"/>
            </w:tcBorders>
          </w:tcPr>
          <w:p>
            <w:pPr/>
          </w:p>
        </w:tc>
      </w:tr>
      <w:tr>
        <w:trPr>
          <w:trHeight w:val="165" w:hRule="exact"/>
        </w:trPr>
        <w:tc>
          <w:tcPr>
            <w:tcW w:w="619" w:type="dxa"/>
            <w:vMerge w:val="restart"/>
            <w:tcBorders>
              <w:left w:val="single" w:sz="4" w:space="0" w:color="000000"/>
            </w:tcBorders>
          </w:tcPr>
          <w:p>
            <w:pPr/>
          </w:p>
        </w:tc>
        <w:tc>
          <w:tcPr>
            <w:tcW w:w="1980" w:type="dxa"/>
          </w:tcPr>
          <w:p>
            <w:pPr/>
          </w:p>
        </w:tc>
        <w:tc>
          <w:tcPr>
            <w:tcW w:w="2651" w:type="dxa"/>
          </w:tcPr>
          <w:p>
            <w:pPr>
              <w:pStyle w:val="TableParagraph"/>
              <w:spacing w:before="7"/>
              <w:ind w:left="215"/>
              <w:jc w:val="left"/>
              <w:rPr>
                <w:rFonts w:ascii="Calibri"/>
                <w:sz w:val="12"/>
              </w:rPr>
            </w:pPr>
            <w:r>
              <w:rPr>
                <w:rFonts w:ascii="Calibri"/>
                <w:w w:val="105"/>
                <w:sz w:val="12"/>
              </w:rPr>
              <w:t>Ingresos al Estado</w:t>
            </w:r>
          </w:p>
        </w:tc>
        <w:tc>
          <w:tcPr>
            <w:tcW w:w="1317" w:type="dxa"/>
          </w:tcPr>
          <w:p>
            <w:pPr>
              <w:pStyle w:val="TableParagraph"/>
              <w:spacing w:before="7"/>
              <w:ind w:left="426" w:right="184"/>
              <w:rPr>
                <w:rFonts w:ascii="Calibri"/>
                <w:sz w:val="12"/>
              </w:rPr>
            </w:pPr>
            <w:r>
              <w:rPr>
                <w:rFonts w:ascii="Calibri"/>
                <w:w w:val="105"/>
                <w:sz w:val="12"/>
              </w:rPr>
              <w:t>0.5</w:t>
            </w:r>
          </w:p>
        </w:tc>
        <w:tc>
          <w:tcPr>
            <w:tcW w:w="838" w:type="dxa"/>
          </w:tcPr>
          <w:p>
            <w:pPr/>
          </w:p>
        </w:tc>
        <w:tc>
          <w:tcPr>
            <w:tcW w:w="733" w:type="dxa"/>
          </w:tcPr>
          <w:p>
            <w:pPr>
              <w:pStyle w:val="TableParagraph"/>
              <w:spacing w:before="7"/>
              <w:ind w:left="87" w:right="36"/>
              <w:rPr>
                <w:rFonts w:ascii="Calibri"/>
                <w:sz w:val="12"/>
              </w:rPr>
            </w:pPr>
            <w:r>
              <w:rPr>
                <w:rFonts w:ascii="Calibri"/>
                <w:w w:val="105"/>
                <w:sz w:val="12"/>
              </w:rPr>
              <w:t>0.9</w:t>
            </w:r>
          </w:p>
        </w:tc>
        <w:tc>
          <w:tcPr>
            <w:tcW w:w="684" w:type="dxa"/>
            <w:tcBorders>
              <w:right w:val="single" w:sz="8" w:space="0" w:color="000000"/>
            </w:tcBorders>
            <w:shd w:val="clear" w:color="auto" w:fill="67ED4D"/>
          </w:tcPr>
          <w:p>
            <w:pPr>
              <w:pStyle w:val="TableParagraph"/>
              <w:spacing w:before="7"/>
              <w:ind w:left="21"/>
              <w:rPr>
                <w:rFonts w:ascii="Calibri"/>
                <w:sz w:val="12"/>
              </w:rPr>
            </w:pPr>
            <w:r>
              <w:rPr>
                <w:rFonts w:ascii="Calibri"/>
                <w:w w:val="105"/>
                <w:sz w:val="12"/>
              </w:rPr>
              <w:t>1</w:t>
            </w:r>
          </w:p>
        </w:tc>
      </w:tr>
      <w:tr>
        <w:trPr>
          <w:trHeight w:val="158" w:hRule="exact"/>
        </w:trPr>
        <w:tc>
          <w:tcPr>
            <w:tcW w:w="619" w:type="dxa"/>
            <w:vMerge/>
            <w:tcBorders>
              <w:left w:val="single" w:sz="4" w:space="0" w:color="000000"/>
            </w:tcBorders>
          </w:tcPr>
          <w:p>
            <w:pPr/>
          </w:p>
        </w:tc>
        <w:tc>
          <w:tcPr>
            <w:tcW w:w="1980" w:type="dxa"/>
          </w:tcPr>
          <w:p>
            <w:pPr>
              <w:pStyle w:val="TableParagraph"/>
              <w:ind w:left="91"/>
              <w:jc w:val="left"/>
              <w:rPr>
                <w:rFonts w:ascii="Calibri" w:hAnsi="Calibri"/>
                <w:sz w:val="12"/>
              </w:rPr>
            </w:pPr>
            <w:r>
              <w:rPr>
                <w:rFonts w:ascii="Calibri" w:hAnsi="Calibri"/>
                <w:w w:val="105"/>
                <w:sz w:val="12"/>
              </w:rPr>
              <w:t>Ingresos por autorización</w:t>
            </w:r>
          </w:p>
        </w:tc>
        <w:tc>
          <w:tcPr>
            <w:tcW w:w="2651" w:type="dxa"/>
          </w:tcPr>
          <w:p>
            <w:pPr>
              <w:pStyle w:val="TableParagraph"/>
              <w:ind w:left="215"/>
              <w:jc w:val="left"/>
              <w:rPr>
                <w:rFonts w:ascii="Calibri"/>
                <w:sz w:val="12"/>
              </w:rPr>
            </w:pPr>
            <w:r>
              <w:rPr>
                <w:rFonts w:ascii="Calibri"/>
                <w:w w:val="105"/>
                <w:sz w:val="12"/>
              </w:rPr>
              <w:t>Ingresos al Municipio</w:t>
            </w:r>
          </w:p>
        </w:tc>
        <w:tc>
          <w:tcPr>
            <w:tcW w:w="1317" w:type="dxa"/>
          </w:tcPr>
          <w:p>
            <w:pPr>
              <w:pStyle w:val="TableParagraph"/>
              <w:ind w:left="426" w:right="184"/>
              <w:rPr>
                <w:rFonts w:ascii="Calibri"/>
                <w:sz w:val="12"/>
              </w:rPr>
            </w:pPr>
            <w:r>
              <w:rPr>
                <w:rFonts w:ascii="Calibri"/>
                <w:w w:val="105"/>
                <w:sz w:val="12"/>
              </w:rPr>
              <w:t>0.1</w:t>
            </w:r>
          </w:p>
        </w:tc>
        <w:tc>
          <w:tcPr>
            <w:tcW w:w="838" w:type="dxa"/>
          </w:tcPr>
          <w:p>
            <w:pPr/>
          </w:p>
        </w:tc>
        <w:tc>
          <w:tcPr>
            <w:tcW w:w="733" w:type="dxa"/>
          </w:tcPr>
          <w:p>
            <w:pPr>
              <w:pStyle w:val="TableParagraph"/>
              <w:ind w:left="87" w:right="36"/>
              <w:rPr>
                <w:rFonts w:ascii="Calibri"/>
                <w:sz w:val="12"/>
              </w:rPr>
            </w:pPr>
            <w:r>
              <w:rPr>
                <w:rFonts w:ascii="Calibri"/>
                <w:w w:val="105"/>
                <w:sz w:val="12"/>
              </w:rPr>
              <w:t>0.9</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19" w:type="dxa"/>
            <w:vMerge/>
            <w:tcBorders>
              <w:left w:val="single" w:sz="4" w:space="0" w:color="000000"/>
            </w:tcBorders>
          </w:tcPr>
          <w:p>
            <w:pPr/>
          </w:p>
        </w:tc>
        <w:tc>
          <w:tcPr>
            <w:tcW w:w="1980" w:type="dxa"/>
          </w:tcPr>
          <w:p>
            <w:pPr/>
          </w:p>
        </w:tc>
        <w:tc>
          <w:tcPr>
            <w:tcW w:w="2651" w:type="dxa"/>
          </w:tcPr>
          <w:p>
            <w:pPr>
              <w:pStyle w:val="TableParagraph"/>
              <w:ind w:left="215"/>
              <w:jc w:val="left"/>
              <w:rPr>
                <w:rFonts w:ascii="Calibri"/>
                <w:sz w:val="12"/>
              </w:rPr>
            </w:pPr>
            <w:r>
              <w:rPr>
                <w:rFonts w:ascii="Calibri"/>
                <w:w w:val="105"/>
                <w:sz w:val="12"/>
              </w:rPr>
              <w:t>Ingresos al Desarrollador</w:t>
            </w:r>
          </w:p>
        </w:tc>
        <w:tc>
          <w:tcPr>
            <w:tcW w:w="1317" w:type="dxa"/>
          </w:tcPr>
          <w:p>
            <w:pPr>
              <w:pStyle w:val="TableParagraph"/>
              <w:ind w:left="426" w:right="184"/>
              <w:rPr>
                <w:rFonts w:ascii="Calibri"/>
                <w:sz w:val="12"/>
              </w:rPr>
            </w:pPr>
            <w:r>
              <w:rPr>
                <w:rFonts w:ascii="Calibri"/>
                <w:w w:val="105"/>
                <w:sz w:val="12"/>
              </w:rPr>
              <w:t>0.6</w:t>
            </w:r>
          </w:p>
        </w:tc>
        <w:tc>
          <w:tcPr>
            <w:tcW w:w="838" w:type="dxa"/>
          </w:tcPr>
          <w:p>
            <w:pPr/>
          </w:p>
        </w:tc>
        <w:tc>
          <w:tcPr>
            <w:tcW w:w="733" w:type="dxa"/>
          </w:tcPr>
          <w:p>
            <w:pPr>
              <w:pStyle w:val="TableParagraph"/>
              <w:ind w:left="60"/>
              <w:rPr>
                <w:rFonts w:ascii="Calibri"/>
                <w:sz w:val="12"/>
              </w:rPr>
            </w:pPr>
            <w:r>
              <w:rPr>
                <w:rFonts w:ascii="Calibri"/>
                <w:w w:val="105"/>
                <w:sz w:val="12"/>
              </w:rPr>
              <w:t>1</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62" w:hRule="exact"/>
        </w:trPr>
        <w:tc>
          <w:tcPr>
            <w:tcW w:w="619" w:type="dxa"/>
            <w:vMerge/>
            <w:tcBorders>
              <w:left w:val="single" w:sz="4" w:space="0" w:color="000000"/>
            </w:tcBorders>
          </w:tcPr>
          <w:p>
            <w:pPr/>
          </w:p>
        </w:tc>
        <w:tc>
          <w:tcPr>
            <w:tcW w:w="1980" w:type="dxa"/>
          </w:tcPr>
          <w:p>
            <w:pPr/>
          </w:p>
        </w:tc>
        <w:tc>
          <w:tcPr>
            <w:tcW w:w="2651" w:type="dxa"/>
          </w:tcPr>
          <w:p>
            <w:pPr/>
          </w:p>
        </w:tc>
        <w:tc>
          <w:tcPr>
            <w:tcW w:w="1317" w:type="dxa"/>
          </w:tcPr>
          <w:p>
            <w:pPr>
              <w:pStyle w:val="TableParagraph"/>
              <w:spacing w:before="1"/>
              <w:ind w:left="423" w:right="184"/>
              <w:rPr>
                <w:rFonts w:ascii="Calibri"/>
                <w:sz w:val="12"/>
              </w:rPr>
            </w:pPr>
            <w:r>
              <w:rPr>
                <w:rFonts w:ascii="Calibri"/>
                <w:w w:val="105"/>
                <w:sz w:val="12"/>
              </w:rPr>
              <w:t>Subtotal</w:t>
            </w:r>
          </w:p>
        </w:tc>
        <w:tc>
          <w:tcPr>
            <w:tcW w:w="838" w:type="dxa"/>
          </w:tcPr>
          <w:p>
            <w:pPr>
              <w:pStyle w:val="TableParagraph"/>
              <w:tabs>
                <w:tab w:pos="466" w:val="left" w:leader="none"/>
                <w:tab w:pos="897" w:val="left" w:leader="none"/>
              </w:tabs>
              <w:spacing w:before="1"/>
              <w:ind w:left="203" w:right="-60"/>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1.2</w:t>
            </w:r>
            <w:r>
              <w:rPr>
                <w:rFonts w:ascii="Calibri"/>
                <w:sz w:val="12"/>
                <w:shd w:fill="F79646" w:color="auto" w:val="clear"/>
              </w:rPr>
              <w:tab/>
            </w:r>
          </w:p>
        </w:tc>
        <w:tc>
          <w:tcPr>
            <w:tcW w:w="733" w:type="dxa"/>
          </w:tcPr>
          <w:p>
            <w:pPr>
              <w:pStyle w:val="TableParagraph"/>
              <w:spacing w:before="1"/>
              <w:ind w:left="87" w:right="36"/>
              <w:rPr>
                <w:rFonts w:ascii="Calibri"/>
                <w:sz w:val="12"/>
              </w:rPr>
            </w:pPr>
            <w:r>
              <w:rPr>
                <w:rFonts w:ascii="Calibri"/>
                <w:w w:val="105"/>
                <w:sz w:val="12"/>
              </w:rPr>
              <w:t>2.8</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3</w:t>
            </w:r>
          </w:p>
        </w:tc>
      </w:tr>
      <w:tr>
        <w:trPr>
          <w:trHeight w:val="147" w:hRule="exact"/>
        </w:trPr>
        <w:tc>
          <w:tcPr>
            <w:tcW w:w="8822" w:type="dxa"/>
            <w:gridSpan w:val="7"/>
            <w:tcBorders>
              <w:left w:val="single" w:sz="4" w:space="0" w:color="000000"/>
              <w:right w:val="single" w:sz="8" w:space="0" w:color="000000"/>
            </w:tcBorders>
          </w:tcPr>
          <w:p>
            <w:pPr>
              <w:pStyle w:val="TableParagraph"/>
              <w:spacing w:line="143" w:lineRule="exact"/>
              <w:ind w:left="52"/>
              <w:jc w:val="left"/>
              <w:rPr>
                <w:rFonts w:ascii="Calibri" w:hAnsi="Calibri"/>
                <w:sz w:val="12"/>
              </w:rPr>
            </w:pPr>
            <w:r>
              <w:rPr>
                <w:rFonts w:ascii="Calibri" w:hAnsi="Calibri"/>
                <w:w w:val="105"/>
                <w:sz w:val="12"/>
              </w:rPr>
              <w:t>Económico</w:t>
            </w:r>
          </w:p>
        </w:tc>
      </w:tr>
      <w:tr>
        <w:trPr>
          <w:trHeight w:val="165" w:hRule="exact"/>
        </w:trPr>
        <w:tc>
          <w:tcPr>
            <w:tcW w:w="619" w:type="dxa"/>
            <w:tcBorders>
              <w:left w:val="single" w:sz="4" w:space="0" w:color="000000"/>
            </w:tcBorders>
          </w:tcPr>
          <w:p>
            <w:pPr/>
          </w:p>
        </w:tc>
        <w:tc>
          <w:tcPr>
            <w:tcW w:w="1980" w:type="dxa"/>
          </w:tcPr>
          <w:p>
            <w:pPr/>
          </w:p>
        </w:tc>
        <w:tc>
          <w:tcPr>
            <w:tcW w:w="2651" w:type="dxa"/>
          </w:tcPr>
          <w:p>
            <w:pPr>
              <w:pStyle w:val="TableParagraph"/>
              <w:spacing w:before="7"/>
              <w:ind w:left="215"/>
              <w:jc w:val="left"/>
              <w:rPr>
                <w:rFonts w:ascii="Calibri"/>
                <w:sz w:val="12"/>
              </w:rPr>
            </w:pPr>
            <w:r>
              <w:rPr>
                <w:rFonts w:ascii="Calibri"/>
                <w:w w:val="105"/>
                <w:sz w:val="12"/>
              </w:rPr>
              <w:t>Pago de CFE</w:t>
            </w:r>
          </w:p>
        </w:tc>
        <w:tc>
          <w:tcPr>
            <w:tcW w:w="1317" w:type="dxa"/>
          </w:tcPr>
          <w:p>
            <w:pPr>
              <w:pStyle w:val="TableParagraph"/>
              <w:spacing w:before="7"/>
              <w:ind w:left="426" w:right="184"/>
              <w:rPr>
                <w:rFonts w:ascii="Calibri"/>
                <w:sz w:val="12"/>
              </w:rPr>
            </w:pPr>
            <w:r>
              <w:rPr>
                <w:rFonts w:ascii="Calibri"/>
                <w:w w:val="105"/>
                <w:sz w:val="12"/>
              </w:rPr>
              <w:t>0.6</w:t>
            </w:r>
          </w:p>
        </w:tc>
        <w:tc>
          <w:tcPr>
            <w:tcW w:w="838" w:type="dxa"/>
          </w:tcPr>
          <w:p>
            <w:pPr/>
          </w:p>
        </w:tc>
        <w:tc>
          <w:tcPr>
            <w:tcW w:w="733" w:type="dxa"/>
          </w:tcPr>
          <w:p>
            <w:pPr>
              <w:pStyle w:val="TableParagraph"/>
              <w:spacing w:before="7"/>
              <w:ind w:left="87" w:right="36"/>
              <w:rPr>
                <w:rFonts w:ascii="Calibri"/>
                <w:sz w:val="12"/>
              </w:rPr>
            </w:pPr>
            <w:r>
              <w:rPr>
                <w:rFonts w:ascii="Calibri"/>
                <w:w w:val="105"/>
                <w:sz w:val="12"/>
              </w:rPr>
              <w:t>0.7</w:t>
            </w:r>
          </w:p>
        </w:tc>
        <w:tc>
          <w:tcPr>
            <w:tcW w:w="684" w:type="dxa"/>
            <w:tcBorders>
              <w:right w:val="single" w:sz="8" w:space="0" w:color="000000"/>
            </w:tcBorders>
            <w:shd w:val="clear" w:color="auto" w:fill="67ED4D"/>
          </w:tcPr>
          <w:p>
            <w:pPr>
              <w:pStyle w:val="TableParagraph"/>
              <w:spacing w:before="7"/>
              <w:ind w:left="21"/>
              <w:rPr>
                <w:rFonts w:ascii="Calibri"/>
                <w:sz w:val="12"/>
              </w:rPr>
            </w:pPr>
            <w:r>
              <w:rPr>
                <w:rFonts w:ascii="Calibri"/>
                <w:w w:val="105"/>
                <w:sz w:val="12"/>
              </w:rPr>
              <w:t>1</w:t>
            </w:r>
          </w:p>
        </w:tc>
      </w:tr>
      <w:tr>
        <w:trPr>
          <w:trHeight w:val="158" w:hRule="exact"/>
        </w:trPr>
        <w:tc>
          <w:tcPr>
            <w:tcW w:w="619" w:type="dxa"/>
            <w:tcBorders>
              <w:left w:val="single" w:sz="4" w:space="0" w:color="000000"/>
            </w:tcBorders>
          </w:tcPr>
          <w:p>
            <w:pPr/>
          </w:p>
        </w:tc>
        <w:tc>
          <w:tcPr>
            <w:tcW w:w="1980" w:type="dxa"/>
          </w:tcPr>
          <w:p>
            <w:pPr/>
          </w:p>
        </w:tc>
        <w:tc>
          <w:tcPr>
            <w:tcW w:w="2651" w:type="dxa"/>
          </w:tcPr>
          <w:p>
            <w:pPr>
              <w:pStyle w:val="TableParagraph"/>
              <w:ind w:left="215"/>
              <w:jc w:val="left"/>
              <w:rPr>
                <w:rFonts w:ascii="Calibri"/>
                <w:sz w:val="12"/>
              </w:rPr>
            </w:pPr>
            <w:r>
              <w:rPr>
                <w:rFonts w:ascii="Calibri"/>
                <w:w w:val="105"/>
                <w:sz w:val="12"/>
              </w:rPr>
              <w:t>Pago de agua</w:t>
            </w:r>
          </w:p>
        </w:tc>
        <w:tc>
          <w:tcPr>
            <w:tcW w:w="1317" w:type="dxa"/>
          </w:tcPr>
          <w:p>
            <w:pPr>
              <w:pStyle w:val="TableParagraph"/>
              <w:ind w:left="251"/>
              <w:rPr>
                <w:rFonts w:ascii="Calibri"/>
                <w:sz w:val="12"/>
              </w:rPr>
            </w:pPr>
            <w:r>
              <w:rPr>
                <w:rFonts w:ascii="Calibri"/>
                <w:w w:val="105"/>
                <w:sz w:val="12"/>
              </w:rPr>
              <w:t>0</w:t>
            </w:r>
          </w:p>
        </w:tc>
        <w:tc>
          <w:tcPr>
            <w:tcW w:w="838" w:type="dxa"/>
          </w:tcPr>
          <w:p>
            <w:pPr/>
          </w:p>
        </w:tc>
        <w:tc>
          <w:tcPr>
            <w:tcW w:w="733" w:type="dxa"/>
          </w:tcPr>
          <w:p>
            <w:pPr>
              <w:pStyle w:val="TableParagraph"/>
              <w:ind w:left="87" w:right="36"/>
              <w:rPr>
                <w:rFonts w:ascii="Calibri"/>
                <w:sz w:val="12"/>
              </w:rPr>
            </w:pPr>
            <w:r>
              <w:rPr>
                <w:rFonts w:ascii="Calibri"/>
                <w:w w:val="105"/>
                <w:sz w:val="12"/>
              </w:rPr>
              <w:t>0.7</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19" w:type="dxa"/>
            <w:tcBorders>
              <w:left w:val="single" w:sz="4" w:space="0" w:color="000000"/>
            </w:tcBorders>
          </w:tcPr>
          <w:p>
            <w:pPr/>
          </w:p>
        </w:tc>
        <w:tc>
          <w:tcPr>
            <w:tcW w:w="1980" w:type="dxa"/>
          </w:tcPr>
          <w:p>
            <w:pPr>
              <w:pStyle w:val="TableParagraph"/>
              <w:ind w:left="91"/>
              <w:jc w:val="left"/>
              <w:rPr>
                <w:rFonts w:ascii="Calibri"/>
                <w:sz w:val="12"/>
              </w:rPr>
            </w:pPr>
            <w:r>
              <w:rPr>
                <w:rFonts w:ascii="Calibri"/>
                <w:w w:val="105"/>
                <w:sz w:val="12"/>
              </w:rPr>
              <w:t>Gastos de habitabilidad</w:t>
            </w:r>
          </w:p>
        </w:tc>
        <w:tc>
          <w:tcPr>
            <w:tcW w:w="2651" w:type="dxa"/>
          </w:tcPr>
          <w:p>
            <w:pPr>
              <w:pStyle w:val="TableParagraph"/>
              <w:ind w:left="215"/>
              <w:jc w:val="left"/>
              <w:rPr>
                <w:rFonts w:ascii="Calibri"/>
                <w:sz w:val="12"/>
              </w:rPr>
            </w:pPr>
            <w:r>
              <w:rPr>
                <w:rFonts w:ascii="Calibri"/>
                <w:w w:val="105"/>
                <w:sz w:val="12"/>
              </w:rPr>
              <w:t>Pago predial</w:t>
            </w:r>
          </w:p>
        </w:tc>
        <w:tc>
          <w:tcPr>
            <w:tcW w:w="1317" w:type="dxa"/>
          </w:tcPr>
          <w:p>
            <w:pPr>
              <w:pStyle w:val="TableParagraph"/>
              <w:ind w:left="251"/>
              <w:rPr>
                <w:rFonts w:ascii="Calibri"/>
                <w:sz w:val="12"/>
              </w:rPr>
            </w:pPr>
            <w:r>
              <w:rPr>
                <w:rFonts w:ascii="Calibri"/>
                <w:w w:val="105"/>
                <w:sz w:val="12"/>
              </w:rPr>
              <w:t>0</w:t>
            </w:r>
          </w:p>
        </w:tc>
        <w:tc>
          <w:tcPr>
            <w:tcW w:w="838" w:type="dxa"/>
          </w:tcPr>
          <w:p>
            <w:pPr/>
          </w:p>
        </w:tc>
        <w:tc>
          <w:tcPr>
            <w:tcW w:w="733" w:type="dxa"/>
          </w:tcPr>
          <w:p>
            <w:pPr>
              <w:pStyle w:val="TableParagraph"/>
              <w:ind w:left="87" w:right="36"/>
              <w:rPr>
                <w:rFonts w:ascii="Calibri"/>
                <w:sz w:val="12"/>
              </w:rPr>
            </w:pPr>
            <w:r>
              <w:rPr>
                <w:rFonts w:ascii="Calibri"/>
                <w:w w:val="105"/>
                <w:sz w:val="12"/>
              </w:rPr>
              <w:t>0.7</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8" w:hRule="exact"/>
        </w:trPr>
        <w:tc>
          <w:tcPr>
            <w:tcW w:w="619" w:type="dxa"/>
            <w:tcBorders>
              <w:left w:val="single" w:sz="4" w:space="0" w:color="000000"/>
            </w:tcBorders>
          </w:tcPr>
          <w:p>
            <w:pPr/>
          </w:p>
        </w:tc>
        <w:tc>
          <w:tcPr>
            <w:tcW w:w="1980" w:type="dxa"/>
          </w:tcPr>
          <w:p>
            <w:pPr/>
          </w:p>
        </w:tc>
        <w:tc>
          <w:tcPr>
            <w:tcW w:w="2651" w:type="dxa"/>
          </w:tcPr>
          <w:p>
            <w:pPr>
              <w:pStyle w:val="TableParagraph"/>
              <w:ind w:left="215"/>
              <w:jc w:val="left"/>
              <w:rPr>
                <w:rFonts w:ascii="Calibri" w:hAnsi="Calibri"/>
                <w:sz w:val="12"/>
              </w:rPr>
            </w:pPr>
            <w:r>
              <w:rPr>
                <w:rFonts w:ascii="Calibri" w:hAnsi="Calibri"/>
                <w:w w:val="105"/>
                <w:sz w:val="12"/>
              </w:rPr>
              <w:t>Comunicación</w:t>
            </w:r>
          </w:p>
        </w:tc>
        <w:tc>
          <w:tcPr>
            <w:tcW w:w="1317" w:type="dxa"/>
          </w:tcPr>
          <w:p>
            <w:pPr>
              <w:pStyle w:val="TableParagraph"/>
              <w:ind w:left="426" w:right="184"/>
              <w:rPr>
                <w:rFonts w:ascii="Calibri"/>
                <w:sz w:val="12"/>
              </w:rPr>
            </w:pPr>
            <w:r>
              <w:rPr>
                <w:rFonts w:ascii="Calibri"/>
                <w:w w:val="105"/>
                <w:sz w:val="12"/>
              </w:rPr>
              <w:t>0.6</w:t>
            </w:r>
          </w:p>
        </w:tc>
        <w:tc>
          <w:tcPr>
            <w:tcW w:w="838" w:type="dxa"/>
          </w:tcPr>
          <w:p>
            <w:pPr/>
          </w:p>
        </w:tc>
        <w:tc>
          <w:tcPr>
            <w:tcW w:w="733" w:type="dxa"/>
          </w:tcPr>
          <w:p>
            <w:pPr>
              <w:pStyle w:val="TableParagraph"/>
              <w:ind w:left="87" w:right="36"/>
              <w:rPr>
                <w:rFonts w:ascii="Calibri"/>
                <w:sz w:val="12"/>
              </w:rPr>
            </w:pPr>
            <w:r>
              <w:rPr>
                <w:rFonts w:ascii="Calibri"/>
                <w:w w:val="105"/>
                <w:sz w:val="12"/>
              </w:rPr>
              <w:t>0.7</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56" w:hRule="exact"/>
        </w:trPr>
        <w:tc>
          <w:tcPr>
            <w:tcW w:w="619" w:type="dxa"/>
            <w:tcBorders>
              <w:left w:val="single" w:sz="4" w:space="0" w:color="000000"/>
            </w:tcBorders>
          </w:tcPr>
          <w:p>
            <w:pPr/>
          </w:p>
        </w:tc>
        <w:tc>
          <w:tcPr>
            <w:tcW w:w="1980" w:type="dxa"/>
          </w:tcPr>
          <w:p>
            <w:pPr/>
          </w:p>
        </w:tc>
        <w:tc>
          <w:tcPr>
            <w:tcW w:w="2651" w:type="dxa"/>
          </w:tcPr>
          <w:p>
            <w:pPr>
              <w:pStyle w:val="TableParagraph"/>
              <w:ind w:left="215"/>
              <w:jc w:val="left"/>
              <w:rPr>
                <w:rFonts w:ascii="Calibri"/>
                <w:sz w:val="12"/>
              </w:rPr>
            </w:pPr>
            <w:r>
              <w:rPr>
                <w:rFonts w:ascii="Calibri"/>
                <w:w w:val="105"/>
                <w:sz w:val="12"/>
              </w:rPr>
              <w:t>Comunidad</w:t>
            </w:r>
          </w:p>
        </w:tc>
        <w:tc>
          <w:tcPr>
            <w:tcW w:w="1317" w:type="dxa"/>
          </w:tcPr>
          <w:p>
            <w:pPr>
              <w:pStyle w:val="TableParagraph"/>
              <w:ind w:left="426" w:right="184"/>
              <w:rPr>
                <w:rFonts w:ascii="Calibri"/>
                <w:sz w:val="12"/>
              </w:rPr>
            </w:pPr>
            <w:r>
              <w:rPr>
                <w:rFonts w:ascii="Calibri"/>
                <w:w w:val="105"/>
                <w:sz w:val="12"/>
              </w:rPr>
              <w:t>0.6</w:t>
            </w:r>
          </w:p>
        </w:tc>
        <w:tc>
          <w:tcPr>
            <w:tcW w:w="838" w:type="dxa"/>
          </w:tcPr>
          <w:p>
            <w:pPr/>
          </w:p>
        </w:tc>
        <w:tc>
          <w:tcPr>
            <w:tcW w:w="733" w:type="dxa"/>
          </w:tcPr>
          <w:p>
            <w:pPr>
              <w:pStyle w:val="TableParagraph"/>
              <w:ind w:left="87" w:right="36"/>
              <w:rPr>
                <w:rFonts w:ascii="Calibri"/>
                <w:sz w:val="12"/>
              </w:rPr>
            </w:pPr>
            <w:r>
              <w:rPr>
                <w:rFonts w:ascii="Calibri"/>
                <w:w w:val="105"/>
                <w:sz w:val="12"/>
              </w:rPr>
              <w:t>0.7</w:t>
            </w:r>
          </w:p>
        </w:tc>
        <w:tc>
          <w:tcPr>
            <w:tcW w:w="684" w:type="dxa"/>
            <w:tcBorders>
              <w:right w:val="single" w:sz="8" w:space="0" w:color="000000"/>
            </w:tcBorders>
            <w:shd w:val="clear" w:color="auto" w:fill="67ED4D"/>
          </w:tcPr>
          <w:p>
            <w:pPr>
              <w:pStyle w:val="TableParagraph"/>
              <w:ind w:left="21"/>
              <w:rPr>
                <w:rFonts w:ascii="Calibri"/>
                <w:sz w:val="12"/>
              </w:rPr>
            </w:pPr>
            <w:r>
              <w:rPr>
                <w:rFonts w:ascii="Calibri"/>
                <w:w w:val="105"/>
                <w:sz w:val="12"/>
              </w:rPr>
              <w:t>1</w:t>
            </w:r>
          </w:p>
        </w:tc>
      </w:tr>
      <w:tr>
        <w:trPr>
          <w:trHeight w:val="163" w:hRule="exact"/>
        </w:trPr>
        <w:tc>
          <w:tcPr>
            <w:tcW w:w="619" w:type="dxa"/>
            <w:tcBorders>
              <w:left w:val="single" w:sz="4" w:space="0" w:color="000000"/>
            </w:tcBorders>
          </w:tcPr>
          <w:p>
            <w:pPr/>
          </w:p>
        </w:tc>
        <w:tc>
          <w:tcPr>
            <w:tcW w:w="1980" w:type="dxa"/>
          </w:tcPr>
          <w:p>
            <w:pPr/>
          </w:p>
        </w:tc>
        <w:tc>
          <w:tcPr>
            <w:tcW w:w="2651" w:type="dxa"/>
          </w:tcPr>
          <w:p>
            <w:pPr/>
          </w:p>
        </w:tc>
        <w:tc>
          <w:tcPr>
            <w:tcW w:w="1317" w:type="dxa"/>
          </w:tcPr>
          <w:p>
            <w:pPr>
              <w:pStyle w:val="TableParagraph"/>
              <w:spacing w:before="1"/>
              <w:ind w:left="423" w:right="184"/>
              <w:rPr>
                <w:rFonts w:ascii="Calibri"/>
                <w:sz w:val="12"/>
              </w:rPr>
            </w:pPr>
            <w:r>
              <w:rPr>
                <w:rFonts w:ascii="Calibri"/>
                <w:w w:val="105"/>
                <w:sz w:val="12"/>
              </w:rPr>
              <w:t>Subtotal</w:t>
            </w:r>
          </w:p>
        </w:tc>
        <w:tc>
          <w:tcPr>
            <w:tcW w:w="838" w:type="dxa"/>
          </w:tcPr>
          <w:p>
            <w:pPr>
              <w:pStyle w:val="TableParagraph"/>
              <w:tabs>
                <w:tab w:pos="466" w:val="left" w:leader="none"/>
                <w:tab w:pos="897" w:val="left" w:leader="none"/>
              </w:tabs>
              <w:spacing w:before="1"/>
              <w:ind w:left="203" w:right="-60"/>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1.8</w:t>
            </w:r>
            <w:r>
              <w:rPr>
                <w:rFonts w:ascii="Calibri"/>
                <w:sz w:val="12"/>
                <w:shd w:fill="F79646" w:color="auto" w:val="clear"/>
              </w:rPr>
              <w:tab/>
            </w:r>
          </w:p>
        </w:tc>
        <w:tc>
          <w:tcPr>
            <w:tcW w:w="733" w:type="dxa"/>
          </w:tcPr>
          <w:p>
            <w:pPr>
              <w:pStyle w:val="TableParagraph"/>
              <w:spacing w:before="1"/>
              <w:ind w:left="87" w:right="36"/>
              <w:rPr>
                <w:rFonts w:ascii="Calibri"/>
                <w:sz w:val="12"/>
              </w:rPr>
            </w:pPr>
            <w:r>
              <w:rPr>
                <w:rFonts w:ascii="Calibri"/>
                <w:w w:val="105"/>
                <w:sz w:val="12"/>
              </w:rPr>
              <w:t>4.2</w:t>
            </w:r>
          </w:p>
        </w:tc>
        <w:tc>
          <w:tcPr>
            <w:tcW w:w="684" w:type="dxa"/>
            <w:tcBorders>
              <w:right w:val="single" w:sz="8" w:space="0" w:color="000000"/>
            </w:tcBorders>
            <w:shd w:val="clear" w:color="auto" w:fill="67ED4D"/>
          </w:tcPr>
          <w:p>
            <w:pPr>
              <w:pStyle w:val="TableParagraph"/>
              <w:spacing w:before="1"/>
              <w:ind w:left="21"/>
              <w:rPr>
                <w:rFonts w:ascii="Calibri"/>
                <w:sz w:val="12"/>
              </w:rPr>
            </w:pPr>
            <w:r>
              <w:rPr>
                <w:rFonts w:ascii="Calibri"/>
                <w:w w:val="105"/>
                <w:sz w:val="12"/>
              </w:rPr>
              <w:t>5</w:t>
            </w:r>
          </w:p>
        </w:tc>
      </w:tr>
      <w:tr>
        <w:trPr>
          <w:trHeight w:val="147" w:hRule="exact"/>
        </w:trPr>
        <w:tc>
          <w:tcPr>
            <w:tcW w:w="8822" w:type="dxa"/>
            <w:gridSpan w:val="7"/>
            <w:tcBorders>
              <w:left w:val="single" w:sz="4" w:space="0" w:color="000000"/>
              <w:right w:val="single" w:sz="8" w:space="0" w:color="000000"/>
            </w:tcBorders>
          </w:tcPr>
          <w:p>
            <w:pPr/>
          </w:p>
        </w:tc>
      </w:tr>
      <w:tr>
        <w:trPr>
          <w:trHeight w:val="163" w:hRule="exact"/>
        </w:trPr>
        <w:tc>
          <w:tcPr>
            <w:tcW w:w="619" w:type="dxa"/>
            <w:tcBorders>
              <w:left w:val="single" w:sz="4" w:space="0" w:color="000000"/>
            </w:tcBorders>
          </w:tcPr>
          <w:p>
            <w:pPr/>
          </w:p>
        </w:tc>
        <w:tc>
          <w:tcPr>
            <w:tcW w:w="1980" w:type="dxa"/>
          </w:tcPr>
          <w:p>
            <w:pPr>
              <w:pStyle w:val="TableParagraph"/>
              <w:spacing w:before="7"/>
              <w:ind w:left="91"/>
              <w:jc w:val="left"/>
              <w:rPr>
                <w:rFonts w:ascii="Calibri" w:hAnsi="Calibri"/>
                <w:sz w:val="12"/>
              </w:rPr>
            </w:pPr>
            <w:r>
              <w:rPr>
                <w:rFonts w:ascii="Calibri" w:hAnsi="Calibri"/>
                <w:w w:val="105"/>
                <w:sz w:val="12"/>
              </w:rPr>
              <w:t>Índice para una vida mejor OCCE</w:t>
            </w:r>
          </w:p>
        </w:tc>
        <w:tc>
          <w:tcPr>
            <w:tcW w:w="2651" w:type="dxa"/>
          </w:tcPr>
          <w:p>
            <w:pPr>
              <w:pStyle w:val="TableParagraph"/>
              <w:spacing w:before="7"/>
              <w:ind w:left="215"/>
              <w:jc w:val="left"/>
              <w:rPr>
                <w:rFonts w:ascii="Calibri"/>
                <w:sz w:val="12"/>
              </w:rPr>
            </w:pPr>
            <w:r>
              <w:rPr>
                <w:rFonts w:ascii="Calibri"/>
                <w:w w:val="105"/>
                <w:sz w:val="12"/>
              </w:rPr>
              <w:t>Gasto en vivienda</w:t>
            </w:r>
          </w:p>
        </w:tc>
        <w:tc>
          <w:tcPr>
            <w:tcW w:w="1317" w:type="dxa"/>
          </w:tcPr>
          <w:p>
            <w:pPr>
              <w:pStyle w:val="TableParagraph"/>
              <w:tabs>
                <w:tab w:pos="699" w:val="left" w:leader="none"/>
                <w:tab w:pos="1530" w:val="left" w:leader="none"/>
              </w:tabs>
              <w:spacing w:before="7"/>
              <w:ind w:left="26" w:right="-214"/>
              <w:rPr>
                <w:rFonts w:ascii="Calibri"/>
                <w:sz w:val="12"/>
              </w:rPr>
            </w:pPr>
            <w:r>
              <w:rPr>
                <w:rFonts w:ascii="Times New Roman"/>
                <w:w w:val="105"/>
                <w:sz w:val="12"/>
                <w:shd w:fill="BAF9F5" w:color="auto" w:val="clear"/>
              </w:rPr>
              <w:t> </w:t>
            </w:r>
            <w:r>
              <w:rPr>
                <w:rFonts w:ascii="Times New Roman"/>
                <w:sz w:val="12"/>
                <w:shd w:fill="BAF9F5" w:color="auto" w:val="clear"/>
              </w:rPr>
              <w:tab/>
            </w:r>
            <w:r>
              <w:rPr>
                <w:rFonts w:ascii="Calibri"/>
                <w:w w:val="105"/>
                <w:sz w:val="12"/>
                <w:shd w:fill="BAF9F5" w:color="auto" w:val="clear"/>
              </w:rPr>
              <w:t>0.6</w:t>
            </w:r>
            <w:r>
              <w:rPr>
                <w:rFonts w:ascii="Calibri"/>
                <w:sz w:val="12"/>
                <w:shd w:fill="BAF9F5" w:color="auto" w:val="clear"/>
              </w:rPr>
              <w:tab/>
            </w:r>
          </w:p>
        </w:tc>
        <w:tc>
          <w:tcPr>
            <w:tcW w:w="838" w:type="dxa"/>
          </w:tcPr>
          <w:p>
            <w:pPr/>
          </w:p>
        </w:tc>
        <w:tc>
          <w:tcPr>
            <w:tcW w:w="733" w:type="dxa"/>
          </w:tcPr>
          <w:p>
            <w:pPr>
              <w:pStyle w:val="TableParagraph"/>
              <w:spacing w:before="7"/>
              <w:ind w:left="87" w:right="36"/>
              <w:rPr>
                <w:rFonts w:ascii="Calibri"/>
                <w:sz w:val="12"/>
              </w:rPr>
            </w:pPr>
            <w:r>
              <w:rPr>
                <w:rFonts w:ascii="Calibri"/>
                <w:w w:val="105"/>
                <w:sz w:val="12"/>
              </w:rPr>
              <w:t>0.8</w:t>
            </w:r>
          </w:p>
        </w:tc>
        <w:tc>
          <w:tcPr>
            <w:tcW w:w="684" w:type="dxa"/>
            <w:tcBorders>
              <w:right w:val="single" w:sz="8" w:space="0" w:color="000000"/>
            </w:tcBorders>
            <w:shd w:val="clear" w:color="auto" w:fill="67ED4D"/>
          </w:tcPr>
          <w:p>
            <w:pPr>
              <w:pStyle w:val="TableParagraph"/>
              <w:spacing w:before="7"/>
              <w:ind w:left="21"/>
              <w:rPr>
                <w:rFonts w:ascii="Calibri"/>
                <w:sz w:val="12"/>
              </w:rPr>
            </w:pPr>
            <w:r>
              <w:rPr>
                <w:rFonts w:ascii="Calibri"/>
                <w:w w:val="105"/>
                <w:sz w:val="12"/>
              </w:rPr>
              <w:t>1</w:t>
            </w:r>
          </w:p>
        </w:tc>
      </w:tr>
      <w:tr>
        <w:trPr>
          <w:trHeight w:val="163" w:hRule="exact"/>
        </w:trPr>
        <w:tc>
          <w:tcPr>
            <w:tcW w:w="619" w:type="dxa"/>
            <w:tcBorders>
              <w:left w:val="single" w:sz="4" w:space="0" w:color="000000"/>
            </w:tcBorders>
          </w:tcPr>
          <w:p>
            <w:pPr/>
          </w:p>
        </w:tc>
        <w:tc>
          <w:tcPr>
            <w:tcW w:w="1980" w:type="dxa"/>
          </w:tcPr>
          <w:p>
            <w:pPr/>
          </w:p>
        </w:tc>
        <w:tc>
          <w:tcPr>
            <w:tcW w:w="2651" w:type="dxa"/>
          </w:tcPr>
          <w:p>
            <w:pPr/>
          </w:p>
        </w:tc>
        <w:tc>
          <w:tcPr>
            <w:tcW w:w="1317" w:type="dxa"/>
          </w:tcPr>
          <w:p>
            <w:pPr>
              <w:pStyle w:val="TableParagraph"/>
              <w:spacing w:before="1"/>
              <w:ind w:left="423" w:right="184"/>
              <w:rPr>
                <w:rFonts w:ascii="Calibri"/>
                <w:sz w:val="12"/>
              </w:rPr>
            </w:pPr>
            <w:r>
              <w:rPr>
                <w:rFonts w:ascii="Calibri"/>
                <w:w w:val="105"/>
                <w:sz w:val="12"/>
              </w:rPr>
              <w:t>Subtotal</w:t>
            </w:r>
          </w:p>
        </w:tc>
        <w:tc>
          <w:tcPr>
            <w:tcW w:w="838" w:type="dxa"/>
          </w:tcPr>
          <w:p>
            <w:pPr>
              <w:pStyle w:val="TableParagraph"/>
              <w:tabs>
                <w:tab w:pos="466" w:val="left" w:leader="none"/>
                <w:tab w:pos="897" w:val="left" w:leader="none"/>
              </w:tabs>
              <w:spacing w:before="1"/>
              <w:ind w:left="203" w:right="-60"/>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0.6</w:t>
            </w:r>
            <w:r>
              <w:rPr>
                <w:rFonts w:ascii="Calibri"/>
                <w:sz w:val="12"/>
                <w:shd w:fill="F79646" w:color="auto" w:val="clear"/>
              </w:rPr>
              <w:tab/>
            </w:r>
          </w:p>
        </w:tc>
        <w:tc>
          <w:tcPr>
            <w:tcW w:w="733" w:type="dxa"/>
          </w:tcPr>
          <w:p>
            <w:pPr>
              <w:pStyle w:val="TableParagraph"/>
              <w:spacing w:before="1"/>
              <w:ind w:left="87" w:right="36"/>
              <w:rPr>
                <w:rFonts w:ascii="Calibri"/>
                <w:sz w:val="12"/>
              </w:rPr>
            </w:pPr>
            <w:r>
              <w:rPr>
                <w:rFonts w:ascii="Calibri"/>
                <w:w w:val="105"/>
                <w:sz w:val="12"/>
              </w:rPr>
              <w:t>0.8</w:t>
            </w:r>
          </w:p>
        </w:tc>
        <w:tc>
          <w:tcPr>
            <w:tcW w:w="684" w:type="dxa"/>
            <w:tcBorders>
              <w:right w:val="single" w:sz="8" w:space="0" w:color="000000"/>
            </w:tcBorders>
            <w:shd w:val="clear" w:color="auto" w:fill="67ED4D"/>
          </w:tcPr>
          <w:p>
            <w:pPr>
              <w:pStyle w:val="TableParagraph"/>
              <w:spacing w:before="1"/>
              <w:ind w:left="21"/>
              <w:rPr>
                <w:rFonts w:ascii="Calibri"/>
                <w:sz w:val="12"/>
              </w:rPr>
            </w:pPr>
            <w:r>
              <w:rPr>
                <w:rFonts w:ascii="Calibri"/>
                <w:w w:val="105"/>
                <w:sz w:val="12"/>
              </w:rPr>
              <w:t>1</w:t>
            </w:r>
          </w:p>
        </w:tc>
      </w:tr>
      <w:tr>
        <w:trPr>
          <w:trHeight w:val="147" w:hRule="exact"/>
        </w:trPr>
        <w:tc>
          <w:tcPr>
            <w:tcW w:w="8822" w:type="dxa"/>
            <w:gridSpan w:val="7"/>
            <w:tcBorders>
              <w:left w:val="single" w:sz="4" w:space="0" w:color="000000"/>
              <w:right w:val="single" w:sz="8" w:space="0" w:color="000000"/>
            </w:tcBorders>
          </w:tcPr>
          <w:p>
            <w:pPr/>
          </w:p>
        </w:tc>
      </w:tr>
      <w:tr>
        <w:trPr>
          <w:trHeight w:val="168" w:hRule="exact"/>
        </w:trPr>
        <w:tc>
          <w:tcPr>
            <w:tcW w:w="619" w:type="dxa"/>
            <w:tcBorders>
              <w:left w:val="single" w:sz="4" w:space="0" w:color="000000"/>
            </w:tcBorders>
          </w:tcPr>
          <w:p>
            <w:pPr/>
          </w:p>
        </w:tc>
        <w:tc>
          <w:tcPr>
            <w:tcW w:w="1980" w:type="dxa"/>
          </w:tcPr>
          <w:p>
            <w:pPr/>
          </w:p>
        </w:tc>
        <w:tc>
          <w:tcPr>
            <w:tcW w:w="2651" w:type="dxa"/>
          </w:tcPr>
          <w:p>
            <w:pPr/>
          </w:p>
        </w:tc>
        <w:tc>
          <w:tcPr>
            <w:tcW w:w="1317" w:type="dxa"/>
          </w:tcPr>
          <w:p>
            <w:pPr>
              <w:pStyle w:val="TableParagraph"/>
              <w:spacing w:before="7"/>
              <w:ind w:left="416" w:right="184"/>
              <w:rPr>
                <w:rFonts w:ascii="Calibri"/>
                <w:sz w:val="12"/>
              </w:rPr>
            </w:pPr>
            <w:r>
              <w:rPr>
                <w:rFonts w:ascii="Calibri"/>
                <w:w w:val="105"/>
                <w:sz w:val="12"/>
              </w:rPr>
              <w:t>Total IE</w:t>
            </w:r>
          </w:p>
        </w:tc>
        <w:tc>
          <w:tcPr>
            <w:tcW w:w="838" w:type="dxa"/>
          </w:tcPr>
          <w:p>
            <w:pPr>
              <w:pStyle w:val="TableParagraph"/>
              <w:tabs>
                <w:tab w:pos="466" w:val="left" w:leader="none"/>
                <w:tab w:pos="897" w:val="left" w:leader="none"/>
              </w:tabs>
              <w:spacing w:before="7"/>
              <w:ind w:left="203" w:right="-60"/>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4.6</w:t>
            </w:r>
            <w:r>
              <w:rPr>
                <w:rFonts w:ascii="Calibri"/>
                <w:sz w:val="12"/>
                <w:shd w:fill="F79646" w:color="auto" w:val="clear"/>
              </w:rPr>
              <w:tab/>
            </w:r>
          </w:p>
        </w:tc>
        <w:tc>
          <w:tcPr>
            <w:tcW w:w="733" w:type="dxa"/>
          </w:tcPr>
          <w:p>
            <w:pPr>
              <w:pStyle w:val="TableParagraph"/>
              <w:spacing w:before="7"/>
              <w:ind w:left="60"/>
              <w:rPr>
                <w:rFonts w:ascii="Calibri"/>
                <w:sz w:val="12"/>
              </w:rPr>
            </w:pPr>
            <w:r>
              <w:rPr>
                <w:rFonts w:ascii="Calibri"/>
                <w:w w:val="105"/>
                <w:sz w:val="12"/>
              </w:rPr>
              <w:t>9</w:t>
            </w:r>
          </w:p>
        </w:tc>
        <w:tc>
          <w:tcPr>
            <w:tcW w:w="684" w:type="dxa"/>
            <w:tcBorders>
              <w:right w:val="single" w:sz="8" w:space="0" w:color="000000"/>
            </w:tcBorders>
            <w:shd w:val="clear" w:color="auto" w:fill="67ED4D"/>
          </w:tcPr>
          <w:p>
            <w:pPr>
              <w:pStyle w:val="TableParagraph"/>
              <w:spacing w:before="7"/>
              <w:ind w:left="106" w:right="84"/>
              <w:rPr>
                <w:rFonts w:ascii="Calibri"/>
                <w:sz w:val="12"/>
              </w:rPr>
            </w:pPr>
            <w:r>
              <w:rPr>
                <w:rFonts w:ascii="Calibri"/>
                <w:w w:val="105"/>
                <w:sz w:val="12"/>
              </w:rPr>
              <w:t>11</w:t>
            </w:r>
          </w:p>
        </w:tc>
      </w:tr>
      <w:tr>
        <w:trPr>
          <w:trHeight w:val="158" w:hRule="exact"/>
        </w:trPr>
        <w:tc>
          <w:tcPr>
            <w:tcW w:w="8822" w:type="dxa"/>
            <w:gridSpan w:val="7"/>
            <w:tcBorders>
              <w:left w:val="single" w:sz="4" w:space="0" w:color="000000"/>
              <w:bottom w:val="single" w:sz="8" w:space="0" w:color="000000"/>
              <w:right w:val="single" w:sz="8" w:space="0" w:color="000000"/>
            </w:tcBorders>
          </w:tcPr>
          <w:p>
            <w:pPr/>
          </w:p>
        </w:tc>
      </w:tr>
    </w:tbl>
    <w:p>
      <w:pPr>
        <w:spacing w:before="144"/>
        <w:ind w:left="268" w:right="0" w:firstLine="0"/>
        <w:jc w:val="left"/>
        <w:rPr>
          <w:sz w:val="21"/>
        </w:rPr>
      </w:pPr>
      <w:r>
        <w:rPr/>
        <w:pict>
          <v:group style="position:absolute;margin-left:363.386993pt;margin-top:-96.114525pt;width:75.25pt;height:40.6pt;mso-position-horizontal-relative:page;mso-position-vertical-relative:paragraph;z-index:-1129192" coordorigin="7268,-1922" coordsize="1505,812">
            <v:line style="position:absolute" from="7273,-1917" to="7273,-1748" stroked="true" strokeweight=".526pt" strokecolor="#baf9f5"/>
            <v:rect style="position:absolute;left:7278;top:-1917;width:1494;height:168" filled="true" fillcolor="#baf9f5" stroked="false">
              <v:fill type="solid"/>
            </v:rect>
            <v:line style="position:absolute" from="7273,-1748" to="7273,-1590" stroked="true" strokeweight=".526pt" strokecolor="#baf9f5"/>
            <v:rect style="position:absolute;left:7278;top:-1748;width:1494;height:158" filled="true" fillcolor="#baf9f5" stroked="false">
              <v:fill type="solid"/>
            </v:rect>
            <v:line style="position:absolute" from="7273,-1590" to="7273,-1433" stroked="true" strokeweight=".526pt" strokecolor="#baf9f5"/>
            <v:rect style="position:absolute;left:7278;top:-1590;width:1494;height:158" filled="true" fillcolor="#baf9f5" stroked="false">
              <v:fill type="solid"/>
            </v:rect>
            <v:line style="position:absolute" from="7273,-1433" to="7273,-1275" stroked="true" strokeweight=".526pt" strokecolor="#baf9f5"/>
            <v:rect style="position:absolute;left:7278;top:-1433;width:1494;height:158" filled="true" fillcolor="#baf9f5" stroked="false">
              <v:fill type="solid"/>
            </v:rect>
            <v:line style="position:absolute" from="7273,-1275" to="7273,-1117" stroked="true" strokeweight=".526pt" strokecolor="#baf9f5"/>
            <v:rect style="position:absolute;left:7278;top:-1275;width:1494;height:158" filled="true" fillcolor="#baf9f5" stroked="false">
              <v:fill type="solid"/>
            </v:rect>
            <w10:wrap type="none"/>
          </v:group>
        </w:pict>
      </w:r>
      <w:r>
        <w:rPr/>
        <w:pict>
          <v:shape style="position:absolute;margin-left:472.287018pt;margin-top:-95.839149pt;width:34.75pt;height:47.95pt;mso-position-horizontal-relative:page;mso-position-vertical-relative:paragraph;z-index:-1129168" coordorigin="9446,-1917" coordsize="695,959" path="m10140,-1275l9446,-1275,9446,-1127,9446,-1117,9446,-959,10140,-959,10140,-1117,10140,-1127,10140,-1275m10140,-1917l9446,-1917,9446,-1748,9446,-1590,9446,-1433,9446,-1275,10140,-1275,10140,-1433,10140,-1590,10140,-1748,10140,-1917e" filled="true" fillcolor="#ffff00" stroked="false">
            <v:path arrowok="t"/>
            <v:fill type="solid"/>
            <w10:wrap type="none"/>
          </v:shape>
        </w:pict>
      </w:r>
      <w:r>
        <w:rPr/>
        <w:pict>
          <v:shape style="position:absolute;margin-left:472.287018pt;margin-top:-40.56715pt;width:34.75pt;height:16.3500pt;mso-position-horizontal-relative:page;mso-position-vertical-relative:paragraph;z-index:-1129144" coordorigin="9446,-811" coordsize="695,327" path="m10140,-811l9446,-811,9446,-653,9446,-643,9446,-485,10140,-485,10140,-643,10140,-653,10140,-811e" filled="true" fillcolor="#ffff00" stroked="false">
            <v:path arrowok="t"/>
            <v:fill type="solid"/>
            <w10:wrap type="none"/>
          </v:shape>
        </w:pict>
      </w:r>
      <w:r>
        <w:rPr/>
        <w:pict>
          <v:rect style="position:absolute;margin-left:472.286987pt;margin-top:-16.878546pt;width:34.718200pt;height:8.422420pt;mso-position-horizontal-relative:page;mso-position-vertical-relative:paragraph;z-index:-1129120" filled="true" fillcolor="#ffff00" stroked="false">
            <v:fill type="solid"/>
            <w10:wrap type="none"/>
          </v:rect>
        </w:pict>
      </w:r>
      <w:r>
        <w:rPr>
          <w:w w:val="105"/>
          <w:sz w:val="21"/>
        </w:rPr>
        <w:t>Fuente: Elaboración propia con base al estudio realizado.</w:t>
      </w:r>
    </w:p>
    <w:p>
      <w:pPr>
        <w:pStyle w:val="BodyText"/>
        <w:rPr>
          <w:sz w:val="22"/>
        </w:rPr>
      </w:pPr>
    </w:p>
    <w:p>
      <w:pPr>
        <w:pStyle w:val="BodyText"/>
        <w:rPr>
          <w:sz w:val="22"/>
        </w:rPr>
      </w:pPr>
    </w:p>
    <w:p>
      <w:pPr>
        <w:pStyle w:val="BodyText"/>
        <w:spacing w:before="6"/>
        <w:rPr>
          <w:sz w:val="23"/>
        </w:rPr>
      </w:pPr>
    </w:p>
    <w:p>
      <w:pPr>
        <w:pStyle w:val="BodyText"/>
        <w:spacing w:after="15"/>
        <w:ind w:left="268"/>
      </w:pPr>
      <w:r>
        <w:rPr/>
        <w:pict>
          <v:group style="position:absolute;margin-left:363.390991pt;margin-top:47.690159pt;width:75.25pt;height:24.5pt;mso-position-horizontal-relative:page;mso-position-vertical-relative:paragraph;z-index:-1129096" coordorigin="7268,954" coordsize="1505,490">
            <v:line style="position:absolute" from="7273,1112" to="7273,1280" stroked="true" strokeweight=".526pt" strokecolor="#baf9f5"/>
            <v:shape style="position:absolute;left:7279;top:954;width:1494;height:327" coordorigin="7279,954" coordsize="1494,327" path="m8773,954l7279,954,7279,1112,7279,1122,7279,1280,8773,1280,8773,1122,8773,1112,8773,954e" filled="true" fillcolor="#baf9f5" stroked="false">
              <v:path arrowok="t"/>
              <v:fill type="solid"/>
            </v:shape>
            <v:line style="position:absolute" from="7273,1280" to="7273,1438" stroked="true" strokeweight=".526pt" strokecolor="#baf9f5"/>
            <v:rect style="position:absolute;left:7279;top:1280;width:1494;height:158" filled="true" fillcolor="#baf9f5" stroked="false">
              <v:fill type="solid"/>
            </v:rect>
            <w10:wrap type="none"/>
          </v:group>
        </w:pict>
      </w:r>
      <w:r>
        <w:rPr/>
        <w:pict>
          <v:rect style="position:absolute;margin-left:506.485992pt;margin-top:47.690159pt;width:34.7187pt;height:8.416690pt;mso-position-horizontal-relative:page;mso-position-vertical-relative:paragraph;z-index:-1129072" filled="true" fillcolor="#67ed4d" stroked="false">
            <v:fill type="solid"/>
            <w10:wrap type="none"/>
          </v:rect>
        </w:pict>
      </w:r>
      <w:r>
        <w:rPr/>
        <w:pict>
          <v:group style="position:absolute;margin-left:363.390991pt;margin-top:86.868553pt;width:75.25pt;height:16.6pt;mso-position-horizontal-relative:page;mso-position-vertical-relative:paragraph;z-index:-1129048" coordorigin="7268,1737" coordsize="1505,332">
            <v:line style="position:absolute" from="7273,1743" to="7273,1911" stroked="true" strokeweight=".526pt" strokecolor="#baf9f5"/>
            <v:shape style="position:absolute;left:7279;top:1743;width:1494;height:327" coordorigin="7279,1743" coordsize="1494,327" path="m8773,1743l7279,1743,7279,1911,7279,2069,8773,2069,8773,1911,8773,1743e" filled="true" fillcolor="#baf9f5" stroked="false">
              <v:path arrowok="t"/>
              <v:fill type="solid"/>
            </v:shape>
            <w10:wrap type="none"/>
          </v:group>
        </w:pict>
      </w:r>
      <w:r>
        <w:rPr/>
        <w:pict>
          <v:shape style="position:absolute;margin-left:472.29303pt;margin-top:87.143837pt;width:68.95pt;height:16.3500pt;mso-position-horizontal-relative:page;mso-position-vertical-relative:paragraph;z-index:-1129024" coordorigin="9446,1743" coordsize="1379,327" path="m10824,1743l9446,1743,9446,1911,9446,2069,10824,2069,10824,1911,10824,1743e" filled="true" fillcolor="#baf9f5" stroked="false">
            <v:path arrowok="t"/>
            <v:fill type="solid"/>
            <w10:wrap type="none"/>
          </v:shape>
        </w:pict>
      </w:r>
      <w:r>
        <w:rPr/>
        <w:pict>
          <v:group style="position:absolute;margin-left:363.390991pt;margin-top:118.43055pt;width:75.25pt;height:16.9pt;mso-position-horizontal-relative:page;mso-position-vertical-relative:paragraph;z-index:-1129000" coordorigin="7268,2369" coordsize="1505,338">
            <v:line style="position:absolute" from="7273,2374" to="7273,2542" stroked="true" strokeweight=".526pt" strokecolor="#baf9f5"/>
            <v:rect style="position:absolute;left:7279;top:2374;width:1494;height:168" filled="true" fillcolor="#baf9f5" stroked="false">
              <v:fill type="solid"/>
            </v:rect>
            <v:line style="position:absolute" from="7273,2542" to="7273,2700" stroked="true" strokeweight=".526pt" strokecolor="#baf9f5"/>
            <v:rect style="position:absolute;left:7279;top:2542;width:1494;height:158" filled="true" fillcolor="#baf9f5" stroked="false">
              <v:fill type="solid"/>
            </v:rect>
            <w10:wrap type="none"/>
          </v:group>
        </w:pict>
      </w:r>
      <w:r>
        <w:rPr/>
        <w:pict>
          <v:group style="position:absolute;margin-left:363.390991pt;margin-top:149.993546pt;width:75.25pt;height:16.6pt;mso-position-horizontal-relative:page;mso-position-vertical-relative:paragraph;z-index:-1128976" coordorigin="7268,3000" coordsize="1505,332">
            <v:line style="position:absolute" from="7273,3005" to="7273,3174" stroked="true" strokeweight=".526pt" strokecolor="#baf9f5"/>
            <v:shape style="position:absolute;left:7279;top:3005;width:1494;height:327" coordorigin="7279,3005" coordsize="1494,327" path="m8773,3005l7279,3005,7279,3174,7279,3332,8773,3332,8773,3174,8773,3005e" filled="true" fillcolor="#baf9f5" stroked="false">
              <v:path arrowok="t"/>
              <v:fill type="solid"/>
            </v:shape>
            <w10:wrap type="none"/>
          </v:group>
        </w:pict>
      </w:r>
      <w:r>
        <w:rPr/>
        <w:pict>
          <v:shape style="position:absolute;margin-left:472.29303pt;margin-top:150.268845pt;width:68.95pt;height:16.3500pt;mso-position-horizontal-relative:page;mso-position-vertical-relative:paragraph;z-index:-1128952" coordorigin="9446,3005" coordsize="1379,327" path="m10824,3005l9446,3005,9446,3174,9446,3332,10824,3332,10824,3174,10824,3005e" filled="true" fillcolor="#baf9f5" stroked="false">
            <v:path arrowok="t"/>
            <v:fill type="solid"/>
            <w10:wrap type="none"/>
          </v:shape>
        </w:pict>
      </w:r>
      <w:r>
        <w:rPr/>
        <w:t>Tabla 81. IST Valle de las Fuentes</w:t>
      </w:r>
    </w:p>
    <w:tbl>
      <w:tblPr>
        <w:tblW w:w="0" w:type="auto"/>
        <w:jc w:val="left"/>
        <w:tblInd w:w="2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9"/>
        <w:gridCol w:w="1863"/>
        <w:gridCol w:w="2562"/>
        <w:gridCol w:w="1523"/>
        <w:gridCol w:w="887"/>
        <w:gridCol w:w="685"/>
        <w:gridCol w:w="682"/>
      </w:tblGrid>
      <w:tr>
        <w:trPr>
          <w:trHeight w:val="437" w:hRule="exact"/>
        </w:trPr>
        <w:tc>
          <w:tcPr>
            <w:tcW w:w="8822" w:type="dxa"/>
            <w:gridSpan w:val="7"/>
            <w:tcBorders>
              <w:bottom w:val="nil"/>
              <w:right w:val="single" w:sz="4" w:space="0" w:color="EEECE1"/>
            </w:tcBorders>
            <w:shd w:val="clear" w:color="auto" w:fill="000000"/>
          </w:tcPr>
          <w:p>
            <w:pPr>
              <w:pStyle w:val="TableParagraph"/>
              <w:spacing w:before="50"/>
              <w:ind w:left="3343" w:right="3332"/>
              <w:rPr>
                <w:b/>
                <w:sz w:val="12"/>
              </w:rPr>
            </w:pPr>
            <w:r>
              <w:rPr>
                <w:b/>
                <w:color w:val="FFFFFF"/>
                <w:w w:val="105"/>
                <w:sz w:val="12"/>
              </w:rPr>
              <w:t>Valle de las Fuentes</w:t>
            </w:r>
          </w:p>
          <w:p>
            <w:pPr>
              <w:pStyle w:val="TableParagraph"/>
              <w:spacing w:before="20"/>
              <w:ind w:left="3343" w:right="3340"/>
              <w:rPr>
                <w:b/>
                <w:sz w:val="12"/>
              </w:rPr>
            </w:pPr>
            <w:r>
              <w:rPr>
                <w:b/>
                <w:color w:val="FFFFFF"/>
                <w:w w:val="105"/>
                <w:sz w:val="12"/>
              </w:rPr>
              <w:t>Índice de sustentabilidad territorial</w:t>
            </w:r>
          </w:p>
        </w:tc>
      </w:tr>
      <w:tr>
        <w:trPr>
          <w:trHeight w:val="163" w:hRule="exact"/>
        </w:trPr>
        <w:tc>
          <w:tcPr>
            <w:tcW w:w="619" w:type="dxa"/>
            <w:tcBorders>
              <w:top w:val="single" w:sz="4" w:space="0" w:color="FFFFFF"/>
              <w:left w:val="single" w:sz="4" w:space="0" w:color="000000"/>
            </w:tcBorders>
            <w:shd w:val="clear" w:color="auto" w:fill="808080"/>
          </w:tcPr>
          <w:p>
            <w:pPr>
              <w:pStyle w:val="TableParagraph"/>
              <w:spacing w:line="136" w:lineRule="exact"/>
              <w:ind w:right="89"/>
              <w:jc w:val="right"/>
              <w:rPr>
                <w:b/>
                <w:sz w:val="12"/>
              </w:rPr>
            </w:pPr>
            <w:r>
              <w:rPr>
                <w:b/>
                <w:color w:val="FFFFFF"/>
                <w:w w:val="105"/>
                <w:sz w:val="12"/>
              </w:rPr>
              <w:t>Índice</w:t>
            </w:r>
          </w:p>
        </w:tc>
        <w:tc>
          <w:tcPr>
            <w:tcW w:w="1863" w:type="dxa"/>
            <w:tcBorders>
              <w:top w:val="single" w:sz="4" w:space="0" w:color="FFFFFF"/>
            </w:tcBorders>
            <w:shd w:val="clear" w:color="auto" w:fill="808080"/>
          </w:tcPr>
          <w:p>
            <w:pPr>
              <w:pStyle w:val="TableParagraph"/>
              <w:spacing w:line="136" w:lineRule="exact"/>
              <w:ind w:left="91"/>
              <w:jc w:val="left"/>
              <w:rPr>
                <w:b/>
                <w:sz w:val="12"/>
              </w:rPr>
            </w:pPr>
            <w:r>
              <w:rPr>
                <w:b/>
                <w:color w:val="FFFFFF"/>
                <w:w w:val="105"/>
                <w:sz w:val="12"/>
              </w:rPr>
              <w:t>Subíndice</w:t>
            </w:r>
          </w:p>
        </w:tc>
        <w:tc>
          <w:tcPr>
            <w:tcW w:w="2562" w:type="dxa"/>
            <w:tcBorders>
              <w:top w:val="single" w:sz="4" w:space="0" w:color="FFFFFF"/>
            </w:tcBorders>
            <w:shd w:val="clear" w:color="auto" w:fill="808080"/>
          </w:tcPr>
          <w:p>
            <w:pPr>
              <w:pStyle w:val="TableParagraph"/>
              <w:spacing w:line="136" w:lineRule="exact"/>
              <w:ind w:left="332" w:right="1043"/>
              <w:jc w:val="left"/>
              <w:rPr>
                <w:b/>
                <w:sz w:val="12"/>
              </w:rPr>
            </w:pPr>
            <w:r>
              <w:rPr>
                <w:b/>
                <w:color w:val="FFFFFF"/>
                <w:w w:val="105"/>
                <w:sz w:val="12"/>
              </w:rPr>
              <w:t>Indicador</w:t>
            </w:r>
          </w:p>
        </w:tc>
        <w:tc>
          <w:tcPr>
            <w:tcW w:w="1523" w:type="dxa"/>
            <w:tcBorders>
              <w:top w:val="single" w:sz="4" w:space="0" w:color="FFFFFF"/>
            </w:tcBorders>
            <w:shd w:val="clear" w:color="auto" w:fill="808080"/>
          </w:tcPr>
          <w:p>
            <w:pPr/>
          </w:p>
        </w:tc>
        <w:tc>
          <w:tcPr>
            <w:tcW w:w="887" w:type="dxa"/>
            <w:tcBorders>
              <w:top w:val="single" w:sz="4" w:space="0" w:color="FFFFFF"/>
            </w:tcBorders>
            <w:shd w:val="clear" w:color="auto" w:fill="808080"/>
          </w:tcPr>
          <w:p>
            <w:pPr>
              <w:pStyle w:val="TableParagraph"/>
              <w:spacing w:line="136" w:lineRule="exact"/>
              <w:ind w:left="266"/>
              <w:jc w:val="left"/>
              <w:rPr>
                <w:b/>
                <w:sz w:val="12"/>
              </w:rPr>
            </w:pPr>
            <w:r>
              <w:rPr>
                <w:b/>
                <w:color w:val="FFFFFF"/>
                <w:w w:val="105"/>
                <w:sz w:val="12"/>
              </w:rPr>
              <w:t>Valores</w:t>
            </w:r>
          </w:p>
        </w:tc>
        <w:tc>
          <w:tcPr>
            <w:tcW w:w="685" w:type="dxa"/>
            <w:tcBorders>
              <w:top w:val="single" w:sz="4" w:space="0" w:color="FFFFFF"/>
            </w:tcBorders>
            <w:shd w:val="clear" w:color="auto" w:fill="808080"/>
          </w:tcPr>
          <w:p>
            <w:pPr/>
          </w:p>
        </w:tc>
        <w:tc>
          <w:tcPr>
            <w:tcW w:w="682" w:type="dxa"/>
            <w:tcBorders>
              <w:top w:val="single" w:sz="4" w:space="0" w:color="FFFFFF"/>
              <w:right w:val="single" w:sz="8" w:space="0" w:color="000000"/>
            </w:tcBorders>
            <w:shd w:val="clear" w:color="auto" w:fill="808080"/>
          </w:tcPr>
          <w:p>
            <w:pPr/>
          </w:p>
        </w:tc>
      </w:tr>
      <w:tr>
        <w:trPr>
          <w:trHeight w:val="221" w:hRule="exact"/>
        </w:trPr>
        <w:tc>
          <w:tcPr>
            <w:tcW w:w="619" w:type="dxa"/>
            <w:tcBorders>
              <w:left w:val="single" w:sz="4" w:space="0" w:color="000000"/>
            </w:tcBorders>
          </w:tcPr>
          <w:p>
            <w:pPr/>
          </w:p>
        </w:tc>
        <w:tc>
          <w:tcPr>
            <w:tcW w:w="1863" w:type="dxa"/>
          </w:tcPr>
          <w:p>
            <w:pPr/>
          </w:p>
        </w:tc>
        <w:tc>
          <w:tcPr>
            <w:tcW w:w="2562" w:type="dxa"/>
          </w:tcPr>
          <w:p>
            <w:pPr/>
          </w:p>
        </w:tc>
        <w:tc>
          <w:tcPr>
            <w:tcW w:w="1523" w:type="dxa"/>
          </w:tcPr>
          <w:p>
            <w:pPr>
              <w:pStyle w:val="TableParagraph"/>
              <w:spacing w:before="71"/>
              <w:ind w:right="201"/>
              <w:jc w:val="right"/>
              <w:rPr>
                <w:b/>
                <w:sz w:val="12"/>
              </w:rPr>
            </w:pPr>
            <w:r>
              <w:rPr>
                <w:b/>
                <w:w w:val="105"/>
                <w:sz w:val="12"/>
              </w:rPr>
              <w:t>Evaluación</w:t>
            </w:r>
          </w:p>
        </w:tc>
        <w:tc>
          <w:tcPr>
            <w:tcW w:w="887" w:type="dxa"/>
          </w:tcPr>
          <w:p>
            <w:pPr>
              <w:pStyle w:val="TableParagraph"/>
              <w:tabs>
                <w:tab w:pos="897" w:val="left" w:leader="none"/>
              </w:tabs>
              <w:spacing w:before="71"/>
              <w:ind w:left="203" w:right="-11"/>
              <w:jc w:val="left"/>
              <w:rPr>
                <w:b/>
                <w:sz w:val="12"/>
              </w:rPr>
            </w:pPr>
            <w:r>
              <w:rPr>
                <w:b/>
                <w:w w:val="105"/>
                <w:sz w:val="12"/>
                <w:shd w:fill="F79646" w:color="auto" w:val="clear"/>
              </w:rPr>
              <w:t> </w:t>
            </w:r>
            <w:r>
              <w:rPr>
                <w:b/>
                <w:sz w:val="12"/>
                <w:shd w:fill="F79646" w:color="auto" w:val="clear"/>
              </w:rPr>
              <w:t>    </w:t>
            </w:r>
            <w:r>
              <w:rPr>
                <w:b/>
                <w:spacing w:val="8"/>
                <w:sz w:val="12"/>
                <w:shd w:fill="F79646" w:color="auto" w:val="clear"/>
              </w:rPr>
              <w:t> </w:t>
            </w:r>
            <w:r>
              <w:rPr>
                <w:b/>
                <w:w w:val="105"/>
                <w:sz w:val="12"/>
                <w:shd w:fill="F79646" w:color="auto" w:val="clear"/>
              </w:rPr>
              <w:t>Real</w:t>
            </w:r>
            <w:r>
              <w:rPr>
                <w:b/>
                <w:sz w:val="12"/>
                <w:shd w:fill="F79646" w:color="auto" w:val="clear"/>
              </w:rPr>
              <w:tab/>
            </w:r>
          </w:p>
        </w:tc>
        <w:tc>
          <w:tcPr>
            <w:tcW w:w="685" w:type="dxa"/>
          </w:tcPr>
          <w:p>
            <w:pPr>
              <w:pStyle w:val="TableParagraph"/>
              <w:spacing w:before="71"/>
              <w:ind w:left="-1" w:right="-9"/>
              <w:rPr>
                <w:b/>
                <w:sz w:val="12"/>
              </w:rPr>
            </w:pPr>
            <w:r>
              <w:rPr>
                <w:b/>
                <w:w w:val="105"/>
                <w:sz w:val="12"/>
                <w:shd w:fill="FFFF00" w:color="auto" w:val="clear"/>
              </w:rPr>
              <w:t> </w:t>
            </w:r>
            <w:r>
              <w:rPr>
                <w:b/>
                <w:spacing w:val="5"/>
                <w:sz w:val="12"/>
                <w:shd w:fill="FFFF00" w:color="auto" w:val="clear"/>
              </w:rPr>
              <w:t> </w:t>
            </w:r>
            <w:r>
              <w:rPr>
                <w:b/>
                <w:w w:val="105"/>
                <w:sz w:val="12"/>
                <w:shd w:fill="FFFF00" w:color="auto" w:val="clear"/>
              </w:rPr>
              <w:t>Deseable</w:t>
            </w:r>
            <w:r>
              <w:rPr>
                <w:b/>
                <w:spacing w:val="-1"/>
                <w:sz w:val="12"/>
                <w:shd w:fill="FFFF00" w:color="auto" w:val="clear"/>
              </w:rPr>
              <w:t> </w:t>
            </w:r>
          </w:p>
        </w:tc>
        <w:tc>
          <w:tcPr>
            <w:tcW w:w="682" w:type="dxa"/>
            <w:tcBorders>
              <w:right w:val="single" w:sz="8" w:space="0" w:color="000000"/>
            </w:tcBorders>
          </w:tcPr>
          <w:p>
            <w:pPr>
              <w:pStyle w:val="TableParagraph"/>
              <w:spacing w:before="71"/>
              <w:ind w:left="104" w:right="85"/>
              <w:rPr>
                <w:b/>
                <w:sz w:val="12"/>
              </w:rPr>
            </w:pPr>
            <w:r>
              <w:rPr>
                <w:b/>
                <w:w w:val="105"/>
                <w:sz w:val="12"/>
              </w:rPr>
              <w:t>Óptimo</w:t>
            </w:r>
          </w:p>
        </w:tc>
      </w:tr>
      <w:tr>
        <w:trPr>
          <w:trHeight w:val="165" w:hRule="exact"/>
        </w:trPr>
        <w:tc>
          <w:tcPr>
            <w:tcW w:w="619" w:type="dxa"/>
            <w:vMerge w:val="restart"/>
            <w:tcBorders>
              <w:left w:val="single" w:sz="4" w:space="0" w:color="000000"/>
            </w:tcBorders>
          </w:tcPr>
          <w:p>
            <w:pPr/>
          </w:p>
        </w:tc>
        <w:tc>
          <w:tcPr>
            <w:tcW w:w="1863" w:type="dxa"/>
            <w:vMerge w:val="restart"/>
          </w:tcPr>
          <w:p>
            <w:pPr>
              <w:pStyle w:val="TableParagraph"/>
              <w:spacing w:before="80"/>
              <w:ind w:left="91"/>
              <w:jc w:val="left"/>
              <w:rPr>
                <w:rFonts w:ascii="Calibri"/>
                <w:sz w:val="12"/>
              </w:rPr>
            </w:pPr>
            <w:r>
              <w:rPr>
                <w:rFonts w:ascii="Calibri"/>
                <w:w w:val="105"/>
                <w:sz w:val="12"/>
              </w:rPr>
              <w:t>Uso de suelo</w:t>
            </w:r>
          </w:p>
        </w:tc>
        <w:tc>
          <w:tcPr>
            <w:tcW w:w="2562" w:type="dxa"/>
            <w:vMerge w:val="restart"/>
          </w:tcPr>
          <w:p>
            <w:pPr>
              <w:pStyle w:val="TableParagraph"/>
              <w:spacing w:line="259" w:lineRule="auto" w:before="6"/>
              <w:ind w:left="332" w:right="1043"/>
              <w:jc w:val="left"/>
              <w:rPr>
                <w:rFonts w:ascii="Calibri" w:hAnsi="Calibri"/>
                <w:sz w:val="12"/>
              </w:rPr>
            </w:pPr>
            <w:r>
              <w:rPr>
                <w:rFonts w:ascii="Calibri" w:hAnsi="Calibri"/>
                <w:w w:val="105"/>
                <w:sz w:val="12"/>
              </w:rPr>
              <w:t>Clasificación del suelo Densidad de población</w:t>
            </w:r>
          </w:p>
        </w:tc>
        <w:tc>
          <w:tcPr>
            <w:tcW w:w="1523" w:type="dxa"/>
            <w:vMerge w:val="restart"/>
          </w:tcPr>
          <w:p>
            <w:pPr>
              <w:pStyle w:val="TableParagraph"/>
              <w:spacing w:before="6"/>
              <w:ind w:left="905"/>
              <w:jc w:val="left"/>
              <w:rPr>
                <w:rFonts w:ascii="Calibri"/>
                <w:sz w:val="12"/>
              </w:rPr>
            </w:pPr>
            <w:r>
              <w:rPr>
                <w:rFonts w:ascii="Calibri"/>
                <w:w w:val="105"/>
                <w:sz w:val="12"/>
              </w:rPr>
              <w:t>0.5</w:t>
            </w:r>
          </w:p>
          <w:p>
            <w:pPr>
              <w:pStyle w:val="TableParagraph"/>
              <w:spacing w:before="11"/>
              <w:ind w:left="905"/>
              <w:jc w:val="left"/>
              <w:rPr>
                <w:rFonts w:ascii="Calibri"/>
                <w:sz w:val="12"/>
              </w:rPr>
            </w:pPr>
            <w:r>
              <w:rPr>
                <w:rFonts w:ascii="Calibri"/>
                <w:w w:val="105"/>
                <w:sz w:val="12"/>
              </w:rPr>
              <w:t>0.5</w:t>
            </w:r>
          </w:p>
        </w:tc>
        <w:tc>
          <w:tcPr>
            <w:tcW w:w="887" w:type="dxa"/>
            <w:vMerge w:val="restart"/>
          </w:tcPr>
          <w:p>
            <w:pPr/>
          </w:p>
        </w:tc>
        <w:tc>
          <w:tcPr>
            <w:tcW w:w="685" w:type="dxa"/>
            <w:shd w:val="clear" w:color="auto" w:fill="BAF9F5"/>
          </w:tcPr>
          <w:p>
            <w:pPr>
              <w:pStyle w:val="TableParagraph"/>
              <w:spacing w:before="6"/>
              <w:ind w:left="70" w:right="70"/>
              <w:rPr>
                <w:rFonts w:ascii="Calibri"/>
                <w:sz w:val="12"/>
              </w:rPr>
            </w:pPr>
            <w:r>
              <w:rPr>
                <w:rFonts w:ascii="Calibri"/>
                <w:w w:val="105"/>
                <w:sz w:val="12"/>
              </w:rPr>
              <w:t>0.5</w:t>
            </w:r>
          </w:p>
        </w:tc>
        <w:tc>
          <w:tcPr>
            <w:tcW w:w="682" w:type="dxa"/>
            <w:tcBorders>
              <w:right w:val="single" w:sz="8" w:space="0" w:color="000000"/>
            </w:tcBorders>
            <w:shd w:val="clear" w:color="auto" w:fill="BAF9F5"/>
          </w:tcPr>
          <w:p>
            <w:pPr>
              <w:pStyle w:val="TableParagraph"/>
              <w:spacing w:before="6"/>
              <w:ind w:left="20"/>
              <w:rPr>
                <w:rFonts w:ascii="Calibri"/>
                <w:sz w:val="12"/>
              </w:rPr>
            </w:pPr>
            <w:r>
              <w:rPr>
                <w:rFonts w:ascii="Calibri"/>
                <w:w w:val="105"/>
                <w:sz w:val="12"/>
              </w:rPr>
              <w:t>1</w:t>
            </w:r>
          </w:p>
        </w:tc>
      </w:tr>
      <w:tr>
        <w:trPr>
          <w:trHeight w:val="156" w:hRule="exact"/>
        </w:trPr>
        <w:tc>
          <w:tcPr>
            <w:tcW w:w="619" w:type="dxa"/>
            <w:vMerge/>
            <w:tcBorders>
              <w:left w:val="single" w:sz="4" w:space="0" w:color="000000"/>
            </w:tcBorders>
          </w:tcPr>
          <w:p>
            <w:pPr/>
          </w:p>
        </w:tc>
        <w:tc>
          <w:tcPr>
            <w:tcW w:w="1863" w:type="dxa"/>
            <w:vMerge/>
          </w:tcPr>
          <w:p>
            <w:pPr/>
          </w:p>
        </w:tc>
        <w:tc>
          <w:tcPr>
            <w:tcW w:w="2562" w:type="dxa"/>
            <w:vMerge/>
          </w:tcPr>
          <w:p>
            <w:pPr/>
          </w:p>
        </w:tc>
        <w:tc>
          <w:tcPr>
            <w:tcW w:w="1523" w:type="dxa"/>
            <w:vMerge/>
          </w:tcPr>
          <w:p>
            <w:pPr/>
          </w:p>
        </w:tc>
        <w:tc>
          <w:tcPr>
            <w:tcW w:w="887" w:type="dxa"/>
            <w:vMerge/>
          </w:tcPr>
          <w:p>
            <w:pPr/>
          </w:p>
        </w:tc>
        <w:tc>
          <w:tcPr>
            <w:tcW w:w="685" w:type="dxa"/>
            <w:tcBorders>
              <w:bottom w:val="single" w:sz="4" w:space="0" w:color="FFFFFF"/>
            </w:tcBorders>
            <w:shd w:val="clear" w:color="auto" w:fill="BAF9F5"/>
          </w:tcPr>
          <w:p>
            <w:pPr>
              <w:pStyle w:val="TableParagraph"/>
              <w:ind w:left="70" w:right="70"/>
              <w:rPr>
                <w:rFonts w:ascii="Calibri"/>
                <w:sz w:val="12"/>
              </w:rPr>
            </w:pPr>
            <w:r>
              <w:rPr>
                <w:rFonts w:ascii="Calibri"/>
                <w:w w:val="105"/>
                <w:sz w:val="12"/>
              </w:rPr>
              <w:t>0.5</w:t>
            </w:r>
          </w:p>
        </w:tc>
        <w:tc>
          <w:tcPr>
            <w:tcW w:w="682" w:type="dxa"/>
            <w:tcBorders>
              <w:bottom w:val="single" w:sz="4" w:space="0" w:color="FFFFFF"/>
              <w:right w:val="single" w:sz="8" w:space="0" w:color="000000"/>
            </w:tcBorders>
            <w:shd w:val="clear" w:color="auto" w:fill="BAF9F5"/>
          </w:tcPr>
          <w:p>
            <w:pPr>
              <w:pStyle w:val="TableParagraph"/>
              <w:ind w:left="20"/>
              <w:rPr>
                <w:rFonts w:ascii="Calibri"/>
                <w:sz w:val="12"/>
              </w:rPr>
            </w:pPr>
            <w:r>
              <w:rPr>
                <w:rFonts w:ascii="Calibri"/>
                <w:w w:val="105"/>
                <w:sz w:val="12"/>
              </w:rPr>
              <w:t>1</w:t>
            </w:r>
          </w:p>
        </w:tc>
      </w:tr>
      <w:tr>
        <w:trPr>
          <w:trHeight w:val="163" w:hRule="exact"/>
        </w:trPr>
        <w:tc>
          <w:tcPr>
            <w:tcW w:w="619" w:type="dxa"/>
            <w:vMerge/>
            <w:tcBorders>
              <w:left w:val="single" w:sz="4" w:space="0" w:color="000000"/>
            </w:tcBorders>
          </w:tcPr>
          <w:p>
            <w:pPr/>
          </w:p>
        </w:tc>
        <w:tc>
          <w:tcPr>
            <w:tcW w:w="1863" w:type="dxa"/>
          </w:tcPr>
          <w:p>
            <w:pPr/>
          </w:p>
        </w:tc>
        <w:tc>
          <w:tcPr>
            <w:tcW w:w="2562" w:type="dxa"/>
          </w:tcPr>
          <w:p>
            <w:pPr/>
          </w:p>
        </w:tc>
        <w:tc>
          <w:tcPr>
            <w:tcW w:w="1523" w:type="dxa"/>
          </w:tcPr>
          <w:p>
            <w:pPr>
              <w:pStyle w:val="TableParagraph"/>
              <w:spacing w:before="1"/>
              <w:ind w:right="320"/>
              <w:jc w:val="right"/>
              <w:rPr>
                <w:rFonts w:ascii="Calibri"/>
                <w:sz w:val="12"/>
              </w:rPr>
            </w:pPr>
            <w:r>
              <w:rPr>
                <w:rFonts w:ascii="Calibri"/>
                <w:w w:val="105"/>
                <w:sz w:val="12"/>
              </w:rPr>
              <w:t>Subtotal</w:t>
            </w:r>
          </w:p>
        </w:tc>
        <w:tc>
          <w:tcPr>
            <w:tcW w:w="887" w:type="dxa"/>
          </w:tcPr>
          <w:p>
            <w:pPr>
              <w:pStyle w:val="TableParagraph"/>
              <w:tabs>
                <w:tab w:pos="518"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1</w:t>
            </w:r>
            <w:r>
              <w:rPr>
                <w:rFonts w:ascii="Calibri"/>
                <w:sz w:val="12"/>
                <w:shd w:fill="F79646" w:color="auto" w:val="clear"/>
              </w:rPr>
              <w:tab/>
            </w:r>
          </w:p>
        </w:tc>
        <w:tc>
          <w:tcPr>
            <w:tcW w:w="685" w:type="dxa"/>
            <w:tcBorders>
              <w:top w:val="single" w:sz="4" w:space="0" w:color="FFFFFF"/>
              <w:right w:val="single" w:sz="4" w:space="0" w:color="FFFFFF"/>
            </w:tcBorders>
            <w:shd w:val="clear" w:color="auto" w:fill="FFFF00"/>
          </w:tcPr>
          <w:p>
            <w:pPr>
              <w:pStyle w:val="TableParagraph"/>
              <w:spacing w:line="143" w:lineRule="exact"/>
              <w:ind w:left="15"/>
              <w:rPr>
                <w:rFonts w:ascii="Calibri"/>
                <w:sz w:val="12"/>
              </w:rPr>
            </w:pPr>
            <w:r>
              <w:rPr>
                <w:rFonts w:ascii="Calibri"/>
                <w:w w:val="105"/>
                <w:sz w:val="12"/>
              </w:rPr>
              <w:t>1</w:t>
            </w:r>
          </w:p>
        </w:tc>
        <w:tc>
          <w:tcPr>
            <w:tcW w:w="682" w:type="dxa"/>
            <w:tcBorders>
              <w:top w:val="single" w:sz="4" w:space="0" w:color="FFFFFF"/>
              <w:left w:val="single" w:sz="4" w:space="0" w:color="FFFFFF"/>
              <w:right w:val="single" w:sz="8" w:space="0" w:color="000000"/>
            </w:tcBorders>
            <w:shd w:val="clear" w:color="auto" w:fill="67ED4D"/>
          </w:tcPr>
          <w:p>
            <w:pPr>
              <w:pStyle w:val="TableParagraph"/>
              <w:spacing w:line="143" w:lineRule="exact"/>
              <w:ind w:left="15"/>
              <w:rPr>
                <w:rFonts w:ascii="Calibri"/>
                <w:sz w:val="12"/>
              </w:rPr>
            </w:pPr>
            <w:r>
              <w:rPr>
                <w:rFonts w:ascii="Calibri"/>
                <w:w w:val="105"/>
                <w:sz w:val="12"/>
              </w:rPr>
              <w:t>2</w:t>
            </w:r>
          </w:p>
        </w:tc>
      </w:tr>
      <w:tr>
        <w:trPr>
          <w:trHeight w:val="463" w:hRule="exact"/>
        </w:trPr>
        <w:tc>
          <w:tcPr>
            <w:tcW w:w="619" w:type="dxa"/>
            <w:tcBorders>
              <w:left w:val="single" w:sz="4" w:space="0" w:color="000000"/>
            </w:tcBorders>
          </w:tcPr>
          <w:p>
            <w:pPr/>
          </w:p>
        </w:tc>
        <w:tc>
          <w:tcPr>
            <w:tcW w:w="1863" w:type="dxa"/>
          </w:tcPr>
          <w:p>
            <w:pPr>
              <w:pStyle w:val="TableParagraph"/>
              <w:jc w:val="left"/>
              <w:rPr>
                <w:sz w:val="12"/>
              </w:rPr>
            </w:pPr>
          </w:p>
          <w:p>
            <w:pPr>
              <w:pStyle w:val="TableParagraph"/>
              <w:spacing w:before="89"/>
              <w:ind w:left="91"/>
              <w:jc w:val="left"/>
              <w:rPr>
                <w:rFonts w:ascii="Calibri"/>
                <w:sz w:val="12"/>
              </w:rPr>
            </w:pPr>
            <w:r>
              <w:rPr>
                <w:rFonts w:ascii="Calibri"/>
                <w:w w:val="105"/>
                <w:sz w:val="12"/>
              </w:rPr>
              <w:t>Vivienda</w:t>
            </w:r>
          </w:p>
        </w:tc>
        <w:tc>
          <w:tcPr>
            <w:tcW w:w="2562" w:type="dxa"/>
          </w:tcPr>
          <w:p>
            <w:pPr>
              <w:pStyle w:val="TableParagraph"/>
              <w:spacing w:before="4"/>
              <w:jc w:val="left"/>
              <w:rPr>
                <w:sz w:val="13"/>
              </w:rPr>
            </w:pPr>
          </w:p>
          <w:p>
            <w:pPr>
              <w:pStyle w:val="TableParagraph"/>
              <w:spacing w:line="259" w:lineRule="auto"/>
              <w:ind w:left="332" w:right="1603"/>
              <w:jc w:val="left"/>
              <w:rPr>
                <w:rFonts w:ascii="Calibri"/>
                <w:sz w:val="12"/>
              </w:rPr>
            </w:pPr>
            <w:r>
              <w:rPr>
                <w:rFonts w:ascii="Calibri"/>
                <w:w w:val="105"/>
                <w:sz w:val="12"/>
              </w:rPr>
              <w:t>Autorizadas Tipo</w:t>
            </w:r>
          </w:p>
        </w:tc>
        <w:tc>
          <w:tcPr>
            <w:tcW w:w="1523" w:type="dxa"/>
          </w:tcPr>
          <w:p>
            <w:pPr>
              <w:pStyle w:val="TableParagraph"/>
              <w:spacing w:before="4"/>
              <w:jc w:val="left"/>
              <w:rPr>
                <w:sz w:val="13"/>
              </w:rPr>
            </w:pPr>
          </w:p>
          <w:p>
            <w:pPr>
              <w:pStyle w:val="TableParagraph"/>
              <w:ind w:left="957"/>
              <w:jc w:val="left"/>
              <w:rPr>
                <w:rFonts w:ascii="Calibri"/>
                <w:sz w:val="12"/>
              </w:rPr>
            </w:pPr>
            <w:r>
              <w:rPr>
                <w:rFonts w:ascii="Calibri"/>
                <w:w w:val="105"/>
                <w:sz w:val="12"/>
              </w:rPr>
              <w:t>1</w:t>
            </w:r>
          </w:p>
          <w:p>
            <w:pPr>
              <w:pStyle w:val="TableParagraph"/>
              <w:spacing w:before="11"/>
              <w:ind w:left="905"/>
              <w:jc w:val="left"/>
              <w:rPr>
                <w:rFonts w:ascii="Calibri"/>
                <w:sz w:val="12"/>
              </w:rPr>
            </w:pPr>
            <w:r>
              <w:rPr>
                <w:rFonts w:ascii="Calibri"/>
                <w:w w:val="105"/>
                <w:sz w:val="12"/>
              </w:rPr>
              <w:t>0.5</w:t>
            </w:r>
          </w:p>
        </w:tc>
        <w:tc>
          <w:tcPr>
            <w:tcW w:w="887" w:type="dxa"/>
          </w:tcPr>
          <w:p>
            <w:pPr/>
          </w:p>
        </w:tc>
        <w:tc>
          <w:tcPr>
            <w:tcW w:w="685" w:type="dxa"/>
          </w:tcPr>
          <w:p>
            <w:pPr>
              <w:pStyle w:val="TableParagraph"/>
              <w:spacing w:before="4"/>
              <w:jc w:val="left"/>
              <w:rPr>
                <w:sz w:val="13"/>
              </w:rPr>
            </w:pPr>
          </w:p>
          <w:p>
            <w:pPr>
              <w:pStyle w:val="TableParagraph"/>
              <w:ind w:left="9"/>
              <w:rPr>
                <w:rFonts w:ascii="Calibri"/>
                <w:sz w:val="12"/>
              </w:rPr>
            </w:pPr>
            <w:r>
              <w:rPr>
                <w:rFonts w:ascii="Calibri"/>
                <w:w w:val="105"/>
                <w:sz w:val="12"/>
              </w:rPr>
              <w:t>1</w:t>
            </w:r>
          </w:p>
          <w:p>
            <w:pPr>
              <w:pStyle w:val="TableParagraph"/>
              <w:spacing w:before="11"/>
              <w:ind w:left="70" w:right="70"/>
              <w:rPr>
                <w:rFonts w:ascii="Calibri"/>
                <w:sz w:val="12"/>
              </w:rPr>
            </w:pPr>
            <w:r>
              <w:rPr>
                <w:rFonts w:ascii="Calibri"/>
                <w:w w:val="105"/>
                <w:sz w:val="12"/>
              </w:rPr>
              <w:t>0.5</w:t>
            </w:r>
          </w:p>
        </w:tc>
        <w:tc>
          <w:tcPr>
            <w:tcW w:w="682" w:type="dxa"/>
            <w:tcBorders>
              <w:right w:val="single" w:sz="8" w:space="0" w:color="000000"/>
            </w:tcBorders>
          </w:tcPr>
          <w:p>
            <w:pPr>
              <w:pStyle w:val="TableParagraph"/>
              <w:spacing w:before="4"/>
              <w:jc w:val="left"/>
              <w:rPr>
                <w:sz w:val="13"/>
              </w:rPr>
            </w:pPr>
          </w:p>
          <w:p>
            <w:pPr>
              <w:pStyle w:val="TableParagraph"/>
              <w:ind w:left="20"/>
              <w:rPr>
                <w:rFonts w:ascii="Calibri"/>
                <w:sz w:val="12"/>
              </w:rPr>
            </w:pPr>
            <w:r>
              <w:rPr>
                <w:rFonts w:ascii="Calibri"/>
                <w:w w:val="105"/>
                <w:sz w:val="12"/>
              </w:rPr>
              <w:t>1</w:t>
            </w:r>
          </w:p>
          <w:p>
            <w:pPr>
              <w:pStyle w:val="TableParagraph"/>
              <w:spacing w:before="11"/>
              <w:ind w:left="20"/>
              <w:rPr>
                <w:rFonts w:ascii="Calibri"/>
                <w:sz w:val="12"/>
              </w:rPr>
            </w:pPr>
            <w:r>
              <w:rPr>
                <w:rFonts w:ascii="Calibri"/>
                <w:w w:val="105"/>
                <w:sz w:val="12"/>
              </w:rPr>
              <w:t>1</w:t>
            </w:r>
          </w:p>
        </w:tc>
      </w:tr>
      <w:tr>
        <w:trPr>
          <w:trHeight w:val="168" w:hRule="exact"/>
        </w:trPr>
        <w:tc>
          <w:tcPr>
            <w:tcW w:w="619" w:type="dxa"/>
            <w:tcBorders>
              <w:left w:val="single" w:sz="4" w:space="0" w:color="000000"/>
            </w:tcBorders>
          </w:tcPr>
          <w:p>
            <w:pPr/>
          </w:p>
        </w:tc>
        <w:tc>
          <w:tcPr>
            <w:tcW w:w="1863" w:type="dxa"/>
          </w:tcPr>
          <w:p>
            <w:pPr/>
          </w:p>
        </w:tc>
        <w:tc>
          <w:tcPr>
            <w:tcW w:w="2562" w:type="dxa"/>
          </w:tcPr>
          <w:p>
            <w:pPr/>
          </w:p>
        </w:tc>
        <w:tc>
          <w:tcPr>
            <w:tcW w:w="1523" w:type="dxa"/>
          </w:tcPr>
          <w:p>
            <w:pPr>
              <w:pStyle w:val="TableParagraph"/>
              <w:spacing w:before="6"/>
              <w:ind w:right="320"/>
              <w:jc w:val="right"/>
              <w:rPr>
                <w:rFonts w:ascii="Calibri"/>
                <w:sz w:val="12"/>
              </w:rPr>
            </w:pPr>
            <w:r>
              <w:rPr>
                <w:rFonts w:ascii="Calibri"/>
                <w:w w:val="105"/>
                <w:sz w:val="12"/>
              </w:rPr>
              <w:t>Subtotal</w:t>
            </w:r>
          </w:p>
        </w:tc>
        <w:tc>
          <w:tcPr>
            <w:tcW w:w="887" w:type="dxa"/>
          </w:tcPr>
          <w:p>
            <w:pPr>
              <w:pStyle w:val="TableParagraph"/>
              <w:tabs>
                <w:tab w:pos="466" w:val="left" w:leader="none"/>
                <w:tab w:pos="897" w:val="left" w:leader="none"/>
              </w:tabs>
              <w:spacing w:before="6"/>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1.5</w:t>
            </w:r>
            <w:r>
              <w:rPr>
                <w:rFonts w:ascii="Calibri"/>
                <w:sz w:val="12"/>
                <w:shd w:fill="F79646" w:color="auto" w:val="clear"/>
              </w:rPr>
              <w:tab/>
            </w:r>
          </w:p>
        </w:tc>
        <w:tc>
          <w:tcPr>
            <w:tcW w:w="685" w:type="dxa"/>
          </w:tcPr>
          <w:p>
            <w:pPr>
              <w:pStyle w:val="TableParagraph"/>
              <w:tabs>
                <w:tab w:pos="262" w:val="left" w:leader="none"/>
                <w:tab w:pos="694" w:val="left" w:leader="none"/>
              </w:tabs>
              <w:spacing w:before="6"/>
              <w:ind w:right="-10"/>
              <w:rPr>
                <w:rFonts w:ascii="Calibri"/>
                <w:sz w:val="12"/>
              </w:rPr>
            </w:pPr>
            <w:r>
              <w:rPr>
                <w:rFonts w:ascii="Times New Roman"/>
                <w:w w:val="105"/>
                <w:sz w:val="12"/>
                <w:shd w:fill="FFFF00" w:color="auto" w:val="clear"/>
              </w:rPr>
              <w:t> </w:t>
            </w:r>
            <w:r>
              <w:rPr>
                <w:rFonts w:ascii="Times New Roman"/>
                <w:sz w:val="12"/>
                <w:shd w:fill="FFFF00" w:color="auto" w:val="clear"/>
              </w:rPr>
              <w:tab/>
            </w:r>
            <w:r>
              <w:rPr>
                <w:rFonts w:ascii="Calibri"/>
                <w:w w:val="105"/>
                <w:sz w:val="12"/>
                <w:shd w:fill="FFFF00" w:color="auto" w:val="clear"/>
              </w:rPr>
              <w:t>1.5</w:t>
            </w:r>
            <w:r>
              <w:rPr>
                <w:rFonts w:ascii="Calibri"/>
                <w:sz w:val="12"/>
                <w:shd w:fill="FFFF00" w:color="auto" w:val="clear"/>
              </w:rPr>
              <w:tab/>
            </w:r>
          </w:p>
        </w:tc>
        <w:tc>
          <w:tcPr>
            <w:tcW w:w="682" w:type="dxa"/>
            <w:tcBorders>
              <w:right w:val="single" w:sz="8" w:space="0" w:color="000000"/>
            </w:tcBorders>
            <w:shd w:val="clear" w:color="auto" w:fill="67ED4D"/>
          </w:tcPr>
          <w:p>
            <w:pPr>
              <w:pStyle w:val="TableParagraph"/>
              <w:spacing w:before="6"/>
              <w:ind w:left="20"/>
              <w:rPr>
                <w:rFonts w:ascii="Calibri"/>
                <w:sz w:val="12"/>
              </w:rPr>
            </w:pPr>
            <w:r>
              <w:rPr>
                <w:rFonts w:ascii="Calibri"/>
                <w:w w:val="105"/>
                <w:sz w:val="12"/>
              </w:rPr>
              <w:t>2</w:t>
            </w:r>
          </w:p>
        </w:tc>
      </w:tr>
      <w:tr>
        <w:trPr>
          <w:trHeight w:val="147" w:hRule="exact"/>
        </w:trPr>
        <w:tc>
          <w:tcPr>
            <w:tcW w:w="8822" w:type="dxa"/>
            <w:gridSpan w:val="7"/>
            <w:tcBorders>
              <w:left w:val="single" w:sz="4" w:space="0" w:color="000000"/>
              <w:right w:val="single" w:sz="8" w:space="0" w:color="000000"/>
            </w:tcBorders>
          </w:tcPr>
          <w:p>
            <w:pPr/>
          </w:p>
        </w:tc>
      </w:tr>
      <w:tr>
        <w:trPr>
          <w:trHeight w:val="165" w:hRule="exact"/>
        </w:trPr>
        <w:tc>
          <w:tcPr>
            <w:tcW w:w="619" w:type="dxa"/>
            <w:vMerge w:val="restart"/>
            <w:tcBorders>
              <w:left w:val="single" w:sz="4" w:space="0" w:color="000000"/>
            </w:tcBorders>
          </w:tcPr>
          <w:p>
            <w:pPr/>
          </w:p>
        </w:tc>
        <w:tc>
          <w:tcPr>
            <w:tcW w:w="1863" w:type="dxa"/>
            <w:vMerge w:val="restart"/>
          </w:tcPr>
          <w:p>
            <w:pPr>
              <w:pStyle w:val="TableParagraph"/>
              <w:spacing w:before="80"/>
              <w:ind w:left="91"/>
              <w:jc w:val="left"/>
              <w:rPr>
                <w:rFonts w:ascii="Calibri" w:hAnsi="Calibri"/>
                <w:sz w:val="12"/>
              </w:rPr>
            </w:pPr>
            <w:r>
              <w:rPr>
                <w:rFonts w:ascii="Calibri" w:hAnsi="Calibri"/>
                <w:w w:val="105"/>
                <w:sz w:val="12"/>
              </w:rPr>
              <w:t>Municipalización</w:t>
            </w:r>
          </w:p>
        </w:tc>
        <w:tc>
          <w:tcPr>
            <w:tcW w:w="2562" w:type="dxa"/>
            <w:vMerge w:val="restart"/>
          </w:tcPr>
          <w:p>
            <w:pPr>
              <w:pStyle w:val="TableParagraph"/>
              <w:spacing w:line="259" w:lineRule="auto" w:before="6"/>
              <w:ind w:left="332" w:right="1869"/>
              <w:jc w:val="left"/>
              <w:rPr>
                <w:rFonts w:ascii="Calibri"/>
                <w:sz w:val="12"/>
              </w:rPr>
            </w:pPr>
            <w:r>
              <w:rPr>
                <w:rFonts w:ascii="Calibri"/>
                <w:w w:val="105"/>
                <w:sz w:val="12"/>
              </w:rPr>
              <w:t>Parcial Total</w:t>
            </w:r>
          </w:p>
        </w:tc>
        <w:tc>
          <w:tcPr>
            <w:tcW w:w="1523" w:type="dxa"/>
            <w:vMerge w:val="restart"/>
          </w:tcPr>
          <w:p>
            <w:pPr>
              <w:pStyle w:val="TableParagraph"/>
              <w:spacing w:before="6"/>
              <w:ind w:left="905"/>
              <w:jc w:val="left"/>
              <w:rPr>
                <w:rFonts w:ascii="Calibri"/>
                <w:sz w:val="12"/>
              </w:rPr>
            </w:pPr>
            <w:r>
              <w:rPr>
                <w:rFonts w:ascii="Calibri"/>
                <w:w w:val="105"/>
                <w:sz w:val="12"/>
              </w:rPr>
              <w:t>0.5</w:t>
            </w:r>
          </w:p>
          <w:p>
            <w:pPr>
              <w:pStyle w:val="TableParagraph"/>
              <w:spacing w:before="11"/>
              <w:ind w:left="957"/>
              <w:jc w:val="left"/>
              <w:rPr>
                <w:rFonts w:ascii="Calibri"/>
                <w:sz w:val="12"/>
              </w:rPr>
            </w:pPr>
            <w:r>
              <w:rPr>
                <w:rFonts w:ascii="Calibri"/>
                <w:w w:val="105"/>
                <w:sz w:val="12"/>
              </w:rPr>
              <w:t>0</w:t>
            </w:r>
          </w:p>
        </w:tc>
        <w:tc>
          <w:tcPr>
            <w:tcW w:w="887" w:type="dxa"/>
            <w:vMerge w:val="restart"/>
          </w:tcPr>
          <w:p>
            <w:pPr/>
          </w:p>
        </w:tc>
        <w:tc>
          <w:tcPr>
            <w:tcW w:w="685" w:type="dxa"/>
            <w:shd w:val="clear" w:color="auto" w:fill="BAF9F5"/>
          </w:tcPr>
          <w:p>
            <w:pPr>
              <w:pStyle w:val="TableParagraph"/>
              <w:spacing w:before="6"/>
              <w:ind w:left="70" w:right="70"/>
              <w:rPr>
                <w:rFonts w:ascii="Calibri"/>
                <w:sz w:val="12"/>
              </w:rPr>
            </w:pPr>
            <w:r>
              <w:rPr>
                <w:rFonts w:ascii="Calibri"/>
                <w:w w:val="105"/>
                <w:sz w:val="12"/>
              </w:rPr>
              <w:t>0.5</w:t>
            </w:r>
          </w:p>
        </w:tc>
        <w:tc>
          <w:tcPr>
            <w:tcW w:w="682" w:type="dxa"/>
            <w:tcBorders>
              <w:right w:val="single" w:sz="8" w:space="0" w:color="000000"/>
            </w:tcBorders>
            <w:shd w:val="clear" w:color="auto" w:fill="BAF9F5"/>
          </w:tcPr>
          <w:p>
            <w:pPr>
              <w:pStyle w:val="TableParagraph"/>
              <w:spacing w:before="6"/>
              <w:ind w:left="20"/>
              <w:rPr>
                <w:rFonts w:ascii="Calibri"/>
                <w:sz w:val="12"/>
              </w:rPr>
            </w:pPr>
            <w:r>
              <w:rPr>
                <w:rFonts w:ascii="Calibri"/>
                <w:w w:val="105"/>
                <w:sz w:val="12"/>
              </w:rPr>
              <w:t>1</w:t>
            </w:r>
          </w:p>
        </w:tc>
      </w:tr>
      <w:tr>
        <w:trPr>
          <w:trHeight w:val="156" w:hRule="exact"/>
        </w:trPr>
        <w:tc>
          <w:tcPr>
            <w:tcW w:w="619" w:type="dxa"/>
            <w:vMerge/>
            <w:tcBorders>
              <w:left w:val="single" w:sz="4" w:space="0" w:color="000000"/>
            </w:tcBorders>
          </w:tcPr>
          <w:p>
            <w:pPr/>
          </w:p>
        </w:tc>
        <w:tc>
          <w:tcPr>
            <w:tcW w:w="1863" w:type="dxa"/>
            <w:vMerge/>
          </w:tcPr>
          <w:p>
            <w:pPr/>
          </w:p>
        </w:tc>
        <w:tc>
          <w:tcPr>
            <w:tcW w:w="2562" w:type="dxa"/>
            <w:vMerge/>
          </w:tcPr>
          <w:p>
            <w:pPr/>
          </w:p>
        </w:tc>
        <w:tc>
          <w:tcPr>
            <w:tcW w:w="1523" w:type="dxa"/>
            <w:vMerge/>
          </w:tcPr>
          <w:p>
            <w:pPr/>
          </w:p>
        </w:tc>
        <w:tc>
          <w:tcPr>
            <w:tcW w:w="887" w:type="dxa"/>
            <w:vMerge/>
          </w:tcPr>
          <w:p>
            <w:pPr/>
          </w:p>
        </w:tc>
        <w:tc>
          <w:tcPr>
            <w:tcW w:w="685" w:type="dxa"/>
            <w:tcBorders>
              <w:bottom w:val="single" w:sz="4" w:space="0" w:color="FFFFFF"/>
            </w:tcBorders>
            <w:shd w:val="clear" w:color="auto" w:fill="BAF9F5"/>
          </w:tcPr>
          <w:p>
            <w:pPr>
              <w:pStyle w:val="TableParagraph"/>
              <w:ind w:left="70" w:right="70"/>
              <w:rPr>
                <w:rFonts w:ascii="Calibri"/>
                <w:sz w:val="12"/>
              </w:rPr>
            </w:pPr>
            <w:r>
              <w:rPr>
                <w:rFonts w:ascii="Calibri"/>
                <w:w w:val="105"/>
                <w:sz w:val="12"/>
              </w:rPr>
              <w:t>0.5</w:t>
            </w:r>
          </w:p>
        </w:tc>
        <w:tc>
          <w:tcPr>
            <w:tcW w:w="682" w:type="dxa"/>
            <w:tcBorders>
              <w:bottom w:val="single" w:sz="4" w:space="0" w:color="FFFFFF"/>
              <w:right w:val="single" w:sz="8" w:space="0" w:color="000000"/>
            </w:tcBorders>
            <w:shd w:val="clear" w:color="auto" w:fill="BAF9F5"/>
          </w:tcPr>
          <w:p>
            <w:pPr>
              <w:pStyle w:val="TableParagraph"/>
              <w:ind w:left="20"/>
              <w:rPr>
                <w:rFonts w:ascii="Calibri"/>
                <w:sz w:val="12"/>
              </w:rPr>
            </w:pPr>
            <w:r>
              <w:rPr>
                <w:rFonts w:ascii="Calibri"/>
                <w:w w:val="105"/>
                <w:sz w:val="12"/>
              </w:rPr>
              <w:t>1</w:t>
            </w:r>
          </w:p>
        </w:tc>
      </w:tr>
      <w:tr>
        <w:trPr>
          <w:trHeight w:val="163" w:hRule="exact"/>
        </w:trPr>
        <w:tc>
          <w:tcPr>
            <w:tcW w:w="619" w:type="dxa"/>
            <w:vMerge/>
            <w:tcBorders>
              <w:left w:val="single" w:sz="4" w:space="0" w:color="000000"/>
            </w:tcBorders>
          </w:tcPr>
          <w:p>
            <w:pPr/>
          </w:p>
        </w:tc>
        <w:tc>
          <w:tcPr>
            <w:tcW w:w="1863" w:type="dxa"/>
          </w:tcPr>
          <w:p>
            <w:pPr/>
          </w:p>
        </w:tc>
        <w:tc>
          <w:tcPr>
            <w:tcW w:w="2562" w:type="dxa"/>
          </w:tcPr>
          <w:p>
            <w:pPr/>
          </w:p>
        </w:tc>
        <w:tc>
          <w:tcPr>
            <w:tcW w:w="1523" w:type="dxa"/>
          </w:tcPr>
          <w:p>
            <w:pPr>
              <w:pStyle w:val="TableParagraph"/>
              <w:spacing w:before="1"/>
              <w:ind w:right="320"/>
              <w:jc w:val="right"/>
              <w:rPr>
                <w:rFonts w:ascii="Calibri"/>
                <w:sz w:val="12"/>
              </w:rPr>
            </w:pPr>
            <w:r>
              <w:rPr>
                <w:rFonts w:ascii="Calibri"/>
                <w:w w:val="105"/>
                <w:sz w:val="12"/>
              </w:rPr>
              <w:t>Subtotal</w:t>
            </w:r>
          </w:p>
        </w:tc>
        <w:tc>
          <w:tcPr>
            <w:tcW w:w="887" w:type="dxa"/>
          </w:tcPr>
          <w:p>
            <w:pPr>
              <w:pStyle w:val="TableParagraph"/>
              <w:tabs>
                <w:tab w:pos="466" w:val="left" w:leader="none"/>
                <w:tab w:pos="897" w:val="left" w:leader="none"/>
              </w:tabs>
              <w:spacing w:before="1"/>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0.5</w:t>
            </w:r>
            <w:r>
              <w:rPr>
                <w:rFonts w:ascii="Calibri"/>
                <w:sz w:val="12"/>
                <w:shd w:fill="F79646" w:color="auto" w:val="clear"/>
              </w:rPr>
              <w:tab/>
            </w:r>
          </w:p>
        </w:tc>
        <w:tc>
          <w:tcPr>
            <w:tcW w:w="685" w:type="dxa"/>
            <w:tcBorders>
              <w:top w:val="single" w:sz="4" w:space="0" w:color="FFFFFF"/>
              <w:right w:val="single" w:sz="4" w:space="0" w:color="FFFFFF"/>
            </w:tcBorders>
            <w:shd w:val="clear" w:color="auto" w:fill="FFFF00"/>
          </w:tcPr>
          <w:p>
            <w:pPr>
              <w:pStyle w:val="TableParagraph"/>
              <w:spacing w:line="143" w:lineRule="exact"/>
              <w:ind w:left="15"/>
              <w:rPr>
                <w:rFonts w:ascii="Calibri"/>
                <w:sz w:val="12"/>
              </w:rPr>
            </w:pPr>
            <w:r>
              <w:rPr>
                <w:rFonts w:ascii="Calibri"/>
                <w:w w:val="105"/>
                <w:sz w:val="12"/>
              </w:rPr>
              <w:t>1</w:t>
            </w:r>
          </w:p>
        </w:tc>
        <w:tc>
          <w:tcPr>
            <w:tcW w:w="682" w:type="dxa"/>
            <w:tcBorders>
              <w:top w:val="single" w:sz="4" w:space="0" w:color="FFFFFF"/>
              <w:left w:val="single" w:sz="4" w:space="0" w:color="FFFFFF"/>
              <w:right w:val="single" w:sz="8" w:space="0" w:color="000000"/>
            </w:tcBorders>
            <w:shd w:val="clear" w:color="auto" w:fill="67ED4D"/>
          </w:tcPr>
          <w:p>
            <w:pPr>
              <w:pStyle w:val="TableParagraph"/>
              <w:spacing w:line="143" w:lineRule="exact"/>
              <w:ind w:left="15"/>
              <w:rPr>
                <w:rFonts w:ascii="Calibri"/>
                <w:sz w:val="12"/>
              </w:rPr>
            </w:pPr>
            <w:r>
              <w:rPr>
                <w:rFonts w:ascii="Calibri"/>
                <w:w w:val="105"/>
                <w:sz w:val="12"/>
              </w:rPr>
              <w:t>2</w:t>
            </w:r>
          </w:p>
        </w:tc>
      </w:tr>
      <w:tr>
        <w:trPr>
          <w:trHeight w:val="463" w:hRule="exact"/>
        </w:trPr>
        <w:tc>
          <w:tcPr>
            <w:tcW w:w="619" w:type="dxa"/>
            <w:tcBorders>
              <w:left w:val="single" w:sz="4" w:space="0" w:color="000000"/>
            </w:tcBorders>
          </w:tcPr>
          <w:p>
            <w:pPr/>
          </w:p>
        </w:tc>
        <w:tc>
          <w:tcPr>
            <w:tcW w:w="1863" w:type="dxa"/>
          </w:tcPr>
          <w:p>
            <w:pPr>
              <w:pStyle w:val="TableParagraph"/>
              <w:jc w:val="left"/>
              <w:rPr>
                <w:sz w:val="12"/>
              </w:rPr>
            </w:pPr>
          </w:p>
          <w:p>
            <w:pPr>
              <w:pStyle w:val="TableParagraph"/>
              <w:spacing w:before="89"/>
              <w:ind w:left="91"/>
              <w:jc w:val="left"/>
              <w:rPr>
                <w:rFonts w:ascii="Calibri"/>
                <w:sz w:val="12"/>
              </w:rPr>
            </w:pPr>
            <w:r>
              <w:rPr>
                <w:rFonts w:ascii="Calibri"/>
                <w:w w:val="105"/>
                <w:sz w:val="12"/>
              </w:rPr>
              <w:t>Infraestrutura utilizada</w:t>
            </w:r>
          </w:p>
        </w:tc>
        <w:tc>
          <w:tcPr>
            <w:tcW w:w="2562" w:type="dxa"/>
          </w:tcPr>
          <w:p>
            <w:pPr>
              <w:pStyle w:val="TableParagraph"/>
              <w:spacing w:before="4"/>
              <w:jc w:val="left"/>
              <w:rPr>
                <w:sz w:val="13"/>
              </w:rPr>
            </w:pPr>
          </w:p>
          <w:p>
            <w:pPr>
              <w:pStyle w:val="TableParagraph"/>
              <w:spacing w:line="259" w:lineRule="auto"/>
              <w:ind w:left="332" w:right="1686"/>
              <w:jc w:val="left"/>
              <w:rPr>
                <w:rFonts w:ascii="Calibri"/>
                <w:sz w:val="12"/>
              </w:rPr>
            </w:pPr>
            <w:r>
              <w:rPr>
                <w:rFonts w:ascii="Calibri"/>
                <w:w w:val="105"/>
                <w:sz w:val="12"/>
              </w:rPr>
              <w:t>Vialidades Redes</w:t>
            </w:r>
          </w:p>
        </w:tc>
        <w:tc>
          <w:tcPr>
            <w:tcW w:w="1523" w:type="dxa"/>
          </w:tcPr>
          <w:p>
            <w:pPr>
              <w:pStyle w:val="TableParagraph"/>
              <w:spacing w:before="4"/>
              <w:jc w:val="left"/>
              <w:rPr>
                <w:sz w:val="13"/>
              </w:rPr>
            </w:pPr>
          </w:p>
          <w:p>
            <w:pPr>
              <w:pStyle w:val="TableParagraph"/>
              <w:ind w:left="905"/>
              <w:jc w:val="left"/>
              <w:rPr>
                <w:rFonts w:ascii="Calibri"/>
                <w:sz w:val="12"/>
              </w:rPr>
            </w:pPr>
            <w:r>
              <w:rPr>
                <w:rFonts w:ascii="Calibri"/>
                <w:w w:val="105"/>
                <w:sz w:val="12"/>
              </w:rPr>
              <w:t>0.5</w:t>
            </w:r>
          </w:p>
          <w:p>
            <w:pPr>
              <w:pStyle w:val="TableParagraph"/>
              <w:spacing w:before="11"/>
              <w:ind w:left="905"/>
              <w:jc w:val="left"/>
              <w:rPr>
                <w:rFonts w:ascii="Calibri"/>
                <w:sz w:val="12"/>
              </w:rPr>
            </w:pPr>
            <w:r>
              <w:rPr>
                <w:rFonts w:ascii="Calibri"/>
                <w:w w:val="105"/>
                <w:sz w:val="12"/>
              </w:rPr>
              <w:t>0.4</w:t>
            </w:r>
          </w:p>
        </w:tc>
        <w:tc>
          <w:tcPr>
            <w:tcW w:w="887" w:type="dxa"/>
          </w:tcPr>
          <w:p>
            <w:pPr/>
          </w:p>
        </w:tc>
        <w:tc>
          <w:tcPr>
            <w:tcW w:w="685" w:type="dxa"/>
          </w:tcPr>
          <w:p>
            <w:pPr>
              <w:pStyle w:val="TableParagraph"/>
              <w:spacing w:before="4"/>
              <w:jc w:val="left"/>
              <w:rPr>
                <w:sz w:val="13"/>
              </w:rPr>
            </w:pPr>
          </w:p>
          <w:p>
            <w:pPr>
              <w:pStyle w:val="TableParagraph"/>
              <w:ind w:left="71" w:right="70"/>
              <w:rPr>
                <w:rFonts w:ascii="Calibri"/>
                <w:sz w:val="12"/>
              </w:rPr>
            </w:pPr>
            <w:r>
              <w:rPr>
                <w:rFonts w:ascii="Calibri"/>
                <w:w w:val="105"/>
                <w:sz w:val="12"/>
              </w:rPr>
              <w:t>0.75</w:t>
            </w:r>
          </w:p>
          <w:p>
            <w:pPr>
              <w:pStyle w:val="TableParagraph"/>
              <w:spacing w:before="11"/>
              <w:ind w:left="70" w:right="70"/>
              <w:rPr>
                <w:rFonts w:ascii="Calibri"/>
                <w:sz w:val="12"/>
              </w:rPr>
            </w:pPr>
            <w:r>
              <w:rPr>
                <w:rFonts w:ascii="Calibri"/>
                <w:w w:val="105"/>
                <w:sz w:val="12"/>
              </w:rPr>
              <w:t>0.8</w:t>
            </w:r>
          </w:p>
        </w:tc>
        <w:tc>
          <w:tcPr>
            <w:tcW w:w="682" w:type="dxa"/>
            <w:tcBorders>
              <w:right w:val="single" w:sz="8" w:space="0" w:color="000000"/>
            </w:tcBorders>
          </w:tcPr>
          <w:p>
            <w:pPr>
              <w:pStyle w:val="TableParagraph"/>
              <w:spacing w:before="4"/>
              <w:jc w:val="left"/>
              <w:rPr>
                <w:sz w:val="13"/>
              </w:rPr>
            </w:pPr>
          </w:p>
          <w:p>
            <w:pPr>
              <w:pStyle w:val="TableParagraph"/>
              <w:ind w:left="20"/>
              <w:rPr>
                <w:rFonts w:ascii="Calibri"/>
                <w:sz w:val="12"/>
              </w:rPr>
            </w:pPr>
            <w:r>
              <w:rPr>
                <w:rFonts w:ascii="Calibri"/>
                <w:w w:val="105"/>
                <w:sz w:val="12"/>
              </w:rPr>
              <w:t>1</w:t>
            </w:r>
          </w:p>
          <w:p>
            <w:pPr>
              <w:pStyle w:val="TableParagraph"/>
              <w:spacing w:before="11"/>
              <w:ind w:left="20"/>
              <w:rPr>
                <w:rFonts w:ascii="Calibri"/>
                <w:sz w:val="12"/>
              </w:rPr>
            </w:pPr>
            <w:r>
              <w:rPr>
                <w:rFonts w:ascii="Calibri"/>
                <w:w w:val="105"/>
                <w:sz w:val="12"/>
              </w:rPr>
              <w:t>1</w:t>
            </w:r>
          </w:p>
        </w:tc>
      </w:tr>
      <w:tr>
        <w:trPr>
          <w:trHeight w:val="168" w:hRule="exact"/>
        </w:trPr>
        <w:tc>
          <w:tcPr>
            <w:tcW w:w="619" w:type="dxa"/>
            <w:tcBorders>
              <w:left w:val="single" w:sz="4" w:space="0" w:color="000000"/>
            </w:tcBorders>
          </w:tcPr>
          <w:p>
            <w:pPr/>
          </w:p>
        </w:tc>
        <w:tc>
          <w:tcPr>
            <w:tcW w:w="1863" w:type="dxa"/>
          </w:tcPr>
          <w:p>
            <w:pPr/>
          </w:p>
        </w:tc>
        <w:tc>
          <w:tcPr>
            <w:tcW w:w="2562" w:type="dxa"/>
          </w:tcPr>
          <w:p>
            <w:pPr/>
          </w:p>
        </w:tc>
        <w:tc>
          <w:tcPr>
            <w:tcW w:w="1523" w:type="dxa"/>
          </w:tcPr>
          <w:p>
            <w:pPr>
              <w:pStyle w:val="TableParagraph"/>
              <w:spacing w:before="6"/>
              <w:ind w:right="320"/>
              <w:jc w:val="right"/>
              <w:rPr>
                <w:rFonts w:ascii="Calibri"/>
                <w:sz w:val="12"/>
              </w:rPr>
            </w:pPr>
            <w:r>
              <w:rPr>
                <w:rFonts w:ascii="Calibri"/>
                <w:w w:val="105"/>
                <w:sz w:val="12"/>
              </w:rPr>
              <w:t>Subtotal</w:t>
            </w:r>
          </w:p>
        </w:tc>
        <w:tc>
          <w:tcPr>
            <w:tcW w:w="887" w:type="dxa"/>
          </w:tcPr>
          <w:p>
            <w:pPr>
              <w:pStyle w:val="TableParagraph"/>
              <w:tabs>
                <w:tab w:pos="466" w:val="left" w:leader="none"/>
                <w:tab w:pos="897" w:val="left" w:leader="none"/>
              </w:tabs>
              <w:spacing w:before="6"/>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0.9</w:t>
            </w:r>
            <w:r>
              <w:rPr>
                <w:rFonts w:ascii="Calibri"/>
                <w:sz w:val="12"/>
                <w:shd w:fill="F79646" w:color="auto" w:val="clear"/>
              </w:rPr>
              <w:tab/>
            </w:r>
          </w:p>
        </w:tc>
        <w:tc>
          <w:tcPr>
            <w:tcW w:w="685" w:type="dxa"/>
          </w:tcPr>
          <w:p>
            <w:pPr>
              <w:pStyle w:val="TableParagraph"/>
              <w:tabs>
                <w:tab w:pos="694" w:val="left" w:leader="none"/>
              </w:tabs>
              <w:spacing w:before="6"/>
              <w:ind w:right="-10"/>
              <w:rPr>
                <w:rFonts w:ascii="Calibri"/>
                <w:sz w:val="12"/>
              </w:rPr>
            </w:pPr>
            <w:r>
              <w:rPr>
                <w:rFonts w:ascii="Times New Roman"/>
                <w:w w:val="105"/>
                <w:sz w:val="12"/>
                <w:shd w:fill="FFFF00" w:color="auto" w:val="clear"/>
              </w:rPr>
              <w:t> </w:t>
            </w:r>
            <w:r>
              <w:rPr>
                <w:rFonts w:ascii="Times New Roman"/>
                <w:sz w:val="12"/>
                <w:shd w:fill="FFFF00" w:color="auto" w:val="clear"/>
              </w:rPr>
              <w:t>      </w:t>
            </w:r>
            <w:r>
              <w:rPr>
                <w:rFonts w:ascii="Times New Roman"/>
                <w:spacing w:val="-11"/>
                <w:sz w:val="12"/>
                <w:shd w:fill="FFFF00" w:color="auto" w:val="clear"/>
              </w:rPr>
              <w:t> </w:t>
            </w:r>
            <w:r>
              <w:rPr>
                <w:rFonts w:ascii="Calibri"/>
                <w:w w:val="105"/>
                <w:sz w:val="12"/>
                <w:shd w:fill="FFFF00" w:color="auto" w:val="clear"/>
              </w:rPr>
              <w:t>1.55</w:t>
            </w:r>
            <w:r>
              <w:rPr>
                <w:rFonts w:ascii="Calibri"/>
                <w:sz w:val="12"/>
                <w:shd w:fill="FFFF00" w:color="auto" w:val="clear"/>
              </w:rPr>
              <w:tab/>
            </w:r>
          </w:p>
        </w:tc>
        <w:tc>
          <w:tcPr>
            <w:tcW w:w="682" w:type="dxa"/>
            <w:tcBorders>
              <w:right w:val="single" w:sz="8" w:space="0" w:color="000000"/>
            </w:tcBorders>
            <w:shd w:val="clear" w:color="auto" w:fill="67ED4D"/>
          </w:tcPr>
          <w:p>
            <w:pPr>
              <w:pStyle w:val="TableParagraph"/>
              <w:spacing w:before="6"/>
              <w:ind w:left="20"/>
              <w:rPr>
                <w:rFonts w:ascii="Calibri"/>
                <w:sz w:val="12"/>
              </w:rPr>
            </w:pPr>
            <w:r>
              <w:rPr>
                <w:rFonts w:ascii="Calibri"/>
                <w:w w:val="105"/>
                <w:sz w:val="12"/>
              </w:rPr>
              <w:t>2</w:t>
            </w:r>
          </w:p>
        </w:tc>
      </w:tr>
      <w:tr>
        <w:trPr>
          <w:trHeight w:val="154" w:hRule="exact"/>
        </w:trPr>
        <w:tc>
          <w:tcPr>
            <w:tcW w:w="619" w:type="dxa"/>
            <w:tcBorders>
              <w:left w:val="single" w:sz="4" w:space="0" w:color="000000"/>
            </w:tcBorders>
          </w:tcPr>
          <w:p>
            <w:pPr>
              <w:pStyle w:val="TableParagraph"/>
              <w:spacing w:line="143" w:lineRule="exact"/>
              <w:ind w:right="100"/>
              <w:jc w:val="right"/>
              <w:rPr>
                <w:rFonts w:ascii="Calibri"/>
                <w:sz w:val="12"/>
              </w:rPr>
            </w:pPr>
            <w:r>
              <w:rPr>
                <w:rFonts w:ascii="Calibri"/>
                <w:w w:val="105"/>
                <w:sz w:val="12"/>
              </w:rPr>
              <w:t>Territorio</w:t>
            </w:r>
          </w:p>
        </w:tc>
        <w:tc>
          <w:tcPr>
            <w:tcW w:w="1863" w:type="dxa"/>
          </w:tcPr>
          <w:p>
            <w:pPr/>
          </w:p>
        </w:tc>
        <w:tc>
          <w:tcPr>
            <w:tcW w:w="2562" w:type="dxa"/>
          </w:tcPr>
          <w:p>
            <w:pPr/>
          </w:p>
        </w:tc>
        <w:tc>
          <w:tcPr>
            <w:tcW w:w="1523" w:type="dxa"/>
          </w:tcPr>
          <w:p>
            <w:pPr/>
          </w:p>
        </w:tc>
        <w:tc>
          <w:tcPr>
            <w:tcW w:w="887" w:type="dxa"/>
            <w:vMerge w:val="restart"/>
          </w:tcPr>
          <w:p>
            <w:pPr/>
          </w:p>
        </w:tc>
        <w:tc>
          <w:tcPr>
            <w:tcW w:w="685" w:type="dxa"/>
          </w:tcPr>
          <w:p>
            <w:pPr/>
          </w:p>
        </w:tc>
        <w:tc>
          <w:tcPr>
            <w:tcW w:w="682" w:type="dxa"/>
            <w:tcBorders>
              <w:right w:val="single" w:sz="8" w:space="0" w:color="000000"/>
            </w:tcBorders>
          </w:tcPr>
          <w:p>
            <w:pPr/>
          </w:p>
        </w:tc>
      </w:tr>
      <w:tr>
        <w:trPr>
          <w:trHeight w:val="309" w:hRule="exact"/>
        </w:trPr>
        <w:tc>
          <w:tcPr>
            <w:tcW w:w="619" w:type="dxa"/>
            <w:tcBorders>
              <w:left w:val="single" w:sz="4" w:space="0" w:color="000000"/>
            </w:tcBorders>
          </w:tcPr>
          <w:p>
            <w:pPr/>
          </w:p>
        </w:tc>
        <w:tc>
          <w:tcPr>
            <w:tcW w:w="1863" w:type="dxa"/>
          </w:tcPr>
          <w:p>
            <w:pPr>
              <w:pStyle w:val="TableParagraph"/>
              <w:spacing w:before="73"/>
              <w:ind w:left="91"/>
              <w:jc w:val="left"/>
              <w:rPr>
                <w:rFonts w:ascii="Calibri"/>
                <w:sz w:val="12"/>
              </w:rPr>
            </w:pPr>
            <w:r>
              <w:rPr>
                <w:rFonts w:ascii="Calibri"/>
                <w:w w:val="105"/>
                <w:sz w:val="12"/>
              </w:rPr>
              <w:t>Infraestructura desarrollada</w:t>
            </w:r>
          </w:p>
        </w:tc>
        <w:tc>
          <w:tcPr>
            <w:tcW w:w="2562" w:type="dxa"/>
          </w:tcPr>
          <w:p>
            <w:pPr>
              <w:pStyle w:val="TableParagraph"/>
              <w:spacing w:line="259" w:lineRule="auto"/>
              <w:ind w:left="332" w:right="1686"/>
              <w:jc w:val="left"/>
              <w:rPr>
                <w:rFonts w:ascii="Calibri"/>
                <w:sz w:val="12"/>
              </w:rPr>
            </w:pPr>
            <w:r>
              <w:rPr>
                <w:rFonts w:ascii="Calibri"/>
                <w:w w:val="105"/>
                <w:sz w:val="12"/>
              </w:rPr>
              <w:t>Vialidades Redes</w:t>
            </w:r>
          </w:p>
        </w:tc>
        <w:tc>
          <w:tcPr>
            <w:tcW w:w="1523" w:type="dxa"/>
          </w:tcPr>
          <w:p>
            <w:pPr>
              <w:pStyle w:val="TableParagraph"/>
              <w:ind w:left="905"/>
              <w:jc w:val="left"/>
              <w:rPr>
                <w:rFonts w:ascii="Calibri"/>
                <w:sz w:val="12"/>
              </w:rPr>
            </w:pPr>
            <w:r>
              <w:rPr>
                <w:rFonts w:ascii="Calibri"/>
                <w:w w:val="105"/>
                <w:sz w:val="12"/>
              </w:rPr>
              <w:t>0.5</w:t>
            </w:r>
          </w:p>
          <w:p>
            <w:pPr>
              <w:pStyle w:val="TableParagraph"/>
              <w:spacing w:before="11"/>
              <w:ind w:left="873"/>
              <w:jc w:val="left"/>
              <w:rPr>
                <w:rFonts w:ascii="Calibri"/>
                <w:sz w:val="12"/>
              </w:rPr>
            </w:pPr>
            <w:r>
              <w:rPr>
                <w:rFonts w:ascii="Calibri"/>
                <w:w w:val="105"/>
                <w:sz w:val="12"/>
              </w:rPr>
              <w:t>0.66</w:t>
            </w:r>
          </w:p>
        </w:tc>
        <w:tc>
          <w:tcPr>
            <w:tcW w:w="887" w:type="dxa"/>
            <w:vMerge/>
          </w:tcPr>
          <w:p>
            <w:pPr/>
          </w:p>
        </w:tc>
        <w:tc>
          <w:tcPr>
            <w:tcW w:w="685" w:type="dxa"/>
          </w:tcPr>
          <w:p>
            <w:pPr>
              <w:pStyle w:val="TableParagraph"/>
              <w:ind w:left="71" w:right="70"/>
              <w:rPr>
                <w:rFonts w:ascii="Calibri"/>
                <w:sz w:val="12"/>
              </w:rPr>
            </w:pPr>
            <w:r>
              <w:rPr>
                <w:rFonts w:ascii="Calibri"/>
                <w:w w:val="105"/>
                <w:sz w:val="12"/>
              </w:rPr>
              <w:t>0.75</w:t>
            </w:r>
          </w:p>
          <w:p>
            <w:pPr>
              <w:pStyle w:val="TableParagraph"/>
              <w:spacing w:before="11"/>
              <w:ind w:left="71" w:right="70"/>
              <w:rPr>
                <w:rFonts w:ascii="Calibri"/>
                <w:sz w:val="12"/>
              </w:rPr>
            </w:pPr>
            <w:r>
              <w:rPr>
                <w:rFonts w:ascii="Calibri"/>
                <w:w w:val="105"/>
                <w:sz w:val="12"/>
              </w:rPr>
              <w:t>0.66</w:t>
            </w:r>
          </w:p>
        </w:tc>
        <w:tc>
          <w:tcPr>
            <w:tcW w:w="682" w:type="dxa"/>
            <w:tcBorders>
              <w:right w:val="single" w:sz="8" w:space="0" w:color="000000"/>
            </w:tcBorders>
          </w:tcPr>
          <w:p>
            <w:pPr>
              <w:pStyle w:val="TableParagraph"/>
              <w:ind w:left="20"/>
              <w:rPr>
                <w:rFonts w:ascii="Calibri"/>
                <w:sz w:val="12"/>
              </w:rPr>
            </w:pPr>
            <w:r>
              <w:rPr>
                <w:rFonts w:ascii="Calibri"/>
                <w:w w:val="105"/>
                <w:sz w:val="12"/>
              </w:rPr>
              <w:t>1</w:t>
            </w:r>
          </w:p>
          <w:p>
            <w:pPr>
              <w:pStyle w:val="TableParagraph"/>
              <w:spacing w:before="11"/>
              <w:ind w:left="20"/>
              <w:rPr>
                <w:rFonts w:ascii="Calibri"/>
                <w:sz w:val="12"/>
              </w:rPr>
            </w:pPr>
            <w:r>
              <w:rPr>
                <w:rFonts w:ascii="Calibri"/>
                <w:w w:val="105"/>
                <w:sz w:val="12"/>
              </w:rPr>
              <w:t>1</w:t>
            </w:r>
          </w:p>
        </w:tc>
      </w:tr>
      <w:tr>
        <w:trPr>
          <w:trHeight w:val="168" w:hRule="exact"/>
        </w:trPr>
        <w:tc>
          <w:tcPr>
            <w:tcW w:w="619" w:type="dxa"/>
            <w:tcBorders>
              <w:left w:val="single" w:sz="4" w:space="0" w:color="000000"/>
            </w:tcBorders>
          </w:tcPr>
          <w:p>
            <w:pPr/>
          </w:p>
        </w:tc>
        <w:tc>
          <w:tcPr>
            <w:tcW w:w="1863" w:type="dxa"/>
          </w:tcPr>
          <w:p>
            <w:pPr/>
          </w:p>
        </w:tc>
        <w:tc>
          <w:tcPr>
            <w:tcW w:w="2562" w:type="dxa"/>
          </w:tcPr>
          <w:p>
            <w:pPr/>
          </w:p>
        </w:tc>
        <w:tc>
          <w:tcPr>
            <w:tcW w:w="1523" w:type="dxa"/>
          </w:tcPr>
          <w:p>
            <w:pPr>
              <w:pStyle w:val="TableParagraph"/>
              <w:spacing w:before="6"/>
              <w:ind w:right="320"/>
              <w:jc w:val="right"/>
              <w:rPr>
                <w:rFonts w:ascii="Calibri"/>
                <w:sz w:val="12"/>
              </w:rPr>
            </w:pPr>
            <w:r>
              <w:rPr>
                <w:rFonts w:ascii="Calibri"/>
                <w:w w:val="105"/>
                <w:sz w:val="12"/>
              </w:rPr>
              <w:t>Subtotal</w:t>
            </w:r>
          </w:p>
        </w:tc>
        <w:tc>
          <w:tcPr>
            <w:tcW w:w="887" w:type="dxa"/>
          </w:tcPr>
          <w:p>
            <w:pPr>
              <w:pStyle w:val="TableParagraph"/>
              <w:tabs>
                <w:tab w:pos="897" w:val="left" w:leader="none"/>
              </w:tabs>
              <w:spacing w:before="6"/>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      </w:t>
            </w:r>
            <w:r>
              <w:rPr>
                <w:rFonts w:ascii="Times New Roman"/>
                <w:spacing w:val="-11"/>
                <w:sz w:val="12"/>
                <w:shd w:fill="F79646" w:color="auto" w:val="clear"/>
              </w:rPr>
              <w:t> </w:t>
            </w:r>
            <w:r>
              <w:rPr>
                <w:rFonts w:ascii="Calibri"/>
                <w:w w:val="105"/>
                <w:sz w:val="12"/>
                <w:shd w:fill="F79646" w:color="auto" w:val="clear"/>
              </w:rPr>
              <w:t>1.16</w:t>
            </w:r>
            <w:r>
              <w:rPr>
                <w:rFonts w:ascii="Calibri"/>
                <w:sz w:val="12"/>
                <w:shd w:fill="F79646" w:color="auto" w:val="clear"/>
              </w:rPr>
              <w:tab/>
            </w:r>
          </w:p>
        </w:tc>
        <w:tc>
          <w:tcPr>
            <w:tcW w:w="685" w:type="dxa"/>
          </w:tcPr>
          <w:p>
            <w:pPr>
              <w:pStyle w:val="TableParagraph"/>
              <w:tabs>
                <w:tab w:pos="694" w:val="left" w:leader="none"/>
              </w:tabs>
              <w:spacing w:before="6"/>
              <w:ind w:right="-10"/>
              <w:rPr>
                <w:rFonts w:ascii="Calibri"/>
                <w:sz w:val="12"/>
              </w:rPr>
            </w:pPr>
            <w:r>
              <w:rPr>
                <w:rFonts w:ascii="Times New Roman"/>
                <w:w w:val="105"/>
                <w:sz w:val="12"/>
                <w:shd w:fill="FFFF00" w:color="auto" w:val="clear"/>
              </w:rPr>
              <w:t> </w:t>
            </w:r>
            <w:r>
              <w:rPr>
                <w:rFonts w:ascii="Times New Roman"/>
                <w:sz w:val="12"/>
                <w:shd w:fill="FFFF00" w:color="auto" w:val="clear"/>
              </w:rPr>
              <w:t>      </w:t>
            </w:r>
            <w:r>
              <w:rPr>
                <w:rFonts w:ascii="Times New Roman"/>
                <w:spacing w:val="-11"/>
                <w:sz w:val="12"/>
                <w:shd w:fill="FFFF00" w:color="auto" w:val="clear"/>
              </w:rPr>
              <w:t> </w:t>
            </w:r>
            <w:r>
              <w:rPr>
                <w:rFonts w:ascii="Calibri"/>
                <w:w w:val="105"/>
                <w:sz w:val="12"/>
                <w:shd w:fill="FFFF00" w:color="auto" w:val="clear"/>
              </w:rPr>
              <w:t>1.41</w:t>
            </w:r>
            <w:r>
              <w:rPr>
                <w:rFonts w:ascii="Calibri"/>
                <w:sz w:val="12"/>
                <w:shd w:fill="FFFF00" w:color="auto" w:val="clear"/>
              </w:rPr>
              <w:tab/>
            </w:r>
          </w:p>
        </w:tc>
        <w:tc>
          <w:tcPr>
            <w:tcW w:w="682" w:type="dxa"/>
            <w:tcBorders>
              <w:right w:val="single" w:sz="8" w:space="0" w:color="000000"/>
            </w:tcBorders>
            <w:shd w:val="clear" w:color="auto" w:fill="67ED4D"/>
          </w:tcPr>
          <w:p>
            <w:pPr>
              <w:pStyle w:val="TableParagraph"/>
              <w:spacing w:before="6"/>
              <w:ind w:left="20"/>
              <w:rPr>
                <w:rFonts w:ascii="Calibri"/>
                <w:sz w:val="12"/>
              </w:rPr>
            </w:pPr>
            <w:r>
              <w:rPr>
                <w:rFonts w:ascii="Calibri"/>
                <w:w w:val="105"/>
                <w:sz w:val="12"/>
              </w:rPr>
              <w:t>2</w:t>
            </w:r>
          </w:p>
        </w:tc>
      </w:tr>
      <w:tr>
        <w:trPr>
          <w:trHeight w:val="463" w:hRule="exact"/>
        </w:trPr>
        <w:tc>
          <w:tcPr>
            <w:tcW w:w="619" w:type="dxa"/>
            <w:tcBorders>
              <w:left w:val="single" w:sz="4" w:space="0" w:color="000000"/>
            </w:tcBorders>
          </w:tcPr>
          <w:p>
            <w:pPr/>
          </w:p>
        </w:tc>
        <w:tc>
          <w:tcPr>
            <w:tcW w:w="1863" w:type="dxa"/>
          </w:tcPr>
          <w:p>
            <w:pPr>
              <w:pStyle w:val="TableParagraph"/>
              <w:jc w:val="left"/>
              <w:rPr>
                <w:sz w:val="12"/>
              </w:rPr>
            </w:pPr>
          </w:p>
          <w:p>
            <w:pPr>
              <w:pStyle w:val="TableParagraph"/>
              <w:spacing w:before="89"/>
              <w:ind w:left="91"/>
              <w:jc w:val="left"/>
              <w:rPr>
                <w:rFonts w:ascii="Calibri"/>
                <w:sz w:val="12"/>
              </w:rPr>
            </w:pPr>
            <w:r>
              <w:rPr>
                <w:rFonts w:ascii="Calibri"/>
                <w:w w:val="105"/>
                <w:sz w:val="12"/>
              </w:rPr>
              <w:t>Equipamiento desarrollado</w:t>
            </w:r>
          </w:p>
        </w:tc>
        <w:tc>
          <w:tcPr>
            <w:tcW w:w="2562" w:type="dxa"/>
          </w:tcPr>
          <w:p>
            <w:pPr>
              <w:pStyle w:val="TableParagraph"/>
              <w:spacing w:before="4"/>
              <w:jc w:val="left"/>
              <w:rPr>
                <w:sz w:val="13"/>
              </w:rPr>
            </w:pPr>
          </w:p>
          <w:p>
            <w:pPr>
              <w:pStyle w:val="TableParagraph"/>
              <w:spacing w:line="259" w:lineRule="auto"/>
              <w:ind w:left="332" w:right="1703"/>
              <w:jc w:val="left"/>
              <w:rPr>
                <w:rFonts w:ascii="Calibri"/>
                <w:sz w:val="12"/>
              </w:rPr>
            </w:pPr>
            <w:r>
              <w:rPr>
                <w:rFonts w:ascii="Calibri"/>
                <w:w w:val="105"/>
                <w:sz w:val="12"/>
              </w:rPr>
              <w:t>Municipal Estatal</w:t>
            </w:r>
          </w:p>
        </w:tc>
        <w:tc>
          <w:tcPr>
            <w:tcW w:w="1523" w:type="dxa"/>
          </w:tcPr>
          <w:p>
            <w:pPr>
              <w:pStyle w:val="TableParagraph"/>
              <w:spacing w:before="4"/>
              <w:jc w:val="left"/>
              <w:rPr>
                <w:sz w:val="13"/>
              </w:rPr>
            </w:pPr>
          </w:p>
          <w:p>
            <w:pPr>
              <w:pStyle w:val="TableParagraph"/>
              <w:ind w:left="905"/>
              <w:jc w:val="left"/>
              <w:rPr>
                <w:rFonts w:ascii="Calibri"/>
                <w:sz w:val="12"/>
              </w:rPr>
            </w:pPr>
            <w:r>
              <w:rPr>
                <w:rFonts w:ascii="Calibri"/>
                <w:w w:val="105"/>
                <w:sz w:val="12"/>
              </w:rPr>
              <w:t>0.8</w:t>
            </w:r>
          </w:p>
          <w:p>
            <w:pPr>
              <w:pStyle w:val="TableParagraph"/>
              <w:spacing w:before="11"/>
              <w:ind w:left="905"/>
              <w:jc w:val="left"/>
              <w:rPr>
                <w:rFonts w:ascii="Calibri"/>
                <w:sz w:val="12"/>
              </w:rPr>
            </w:pPr>
            <w:r>
              <w:rPr>
                <w:rFonts w:ascii="Calibri"/>
                <w:w w:val="105"/>
                <w:sz w:val="12"/>
              </w:rPr>
              <w:t>0.4</w:t>
            </w:r>
          </w:p>
        </w:tc>
        <w:tc>
          <w:tcPr>
            <w:tcW w:w="887" w:type="dxa"/>
          </w:tcPr>
          <w:p>
            <w:pPr/>
          </w:p>
        </w:tc>
        <w:tc>
          <w:tcPr>
            <w:tcW w:w="685" w:type="dxa"/>
          </w:tcPr>
          <w:p>
            <w:pPr>
              <w:pStyle w:val="TableParagraph"/>
              <w:spacing w:before="4"/>
              <w:jc w:val="left"/>
              <w:rPr>
                <w:sz w:val="13"/>
              </w:rPr>
            </w:pPr>
          </w:p>
          <w:p>
            <w:pPr>
              <w:pStyle w:val="TableParagraph"/>
              <w:ind w:left="70" w:right="70"/>
              <w:rPr>
                <w:rFonts w:ascii="Calibri"/>
                <w:sz w:val="12"/>
              </w:rPr>
            </w:pPr>
            <w:r>
              <w:rPr>
                <w:rFonts w:ascii="Calibri"/>
                <w:w w:val="105"/>
                <w:sz w:val="12"/>
              </w:rPr>
              <w:t>0.8</w:t>
            </w:r>
          </w:p>
          <w:p>
            <w:pPr>
              <w:pStyle w:val="TableParagraph"/>
              <w:spacing w:before="11"/>
              <w:ind w:left="70" w:right="70"/>
              <w:rPr>
                <w:rFonts w:ascii="Calibri"/>
                <w:sz w:val="12"/>
              </w:rPr>
            </w:pPr>
            <w:r>
              <w:rPr>
                <w:rFonts w:ascii="Calibri"/>
                <w:w w:val="105"/>
                <w:sz w:val="12"/>
              </w:rPr>
              <w:t>0.6</w:t>
            </w:r>
          </w:p>
        </w:tc>
        <w:tc>
          <w:tcPr>
            <w:tcW w:w="682" w:type="dxa"/>
            <w:tcBorders>
              <w:right w:val="single" w:sz="8" w:space="0" w:color="000000"/>
            </w:tcBorders>
          </w:tcPr>
          <w:p>
            <w:pPr>
              <w:pStyle w:val="TableParagraph"/>
              <w:spacing w:before="4"/>
              <w:jc w:val="left"/>
              <w:rPr>
                <w:sz w:val="13"/>
              </w:rPr>
            </w:pPr>
          </w:p>
          <w:p>
            <w:pPr>
              <w:pStyle w:val="TableParagraph"/>
              <w:ind w:left="20"/>
              <w:rPr>
                <w:rFonts w:ascii="Calibri"/>
                <w:sz w:val="12"/>
              </w:rPr>
            </w:pPr>
            <w:r>
              <w:rPr>
                <w:rFonts w:ascii="Calibri"/>
                <w:w w:val="105"/>
                <w:sz w:val="12"/>
              </w:rPr>
              <w:t>1</w:t>
            </w:r>
          </w:p>
          <w:p>
            <w:pPr>
              <w:pStyle w:val="TableParagraph"/>
              <w:spacing w:before="11"/>
              <w:ind w:left="20"/>
              <w:rPr>
                <w:rFonts w:ascii="Calibri"/>
                <w:sz w:val="12"/>
              </w:rPr>
            </w:pPr>
            <w:r>
              <w:rPr>
                <w:rFonts w:ascii="Calibri"/>
                <w:w w:val="105"/>
                <w:sz w:val="12"/>
              </w:rPr>
              <w:t>1</w:t>
            </w:r>
          </w:p>
        </w:tc>
      </w:tr>
      <w:tr>
        <w:trPr>
          <w:trHeight w:val="168" w:hRule="exact"/>
        </w:trPr>
        <w:tc>
          <w:tcPr>
            <w:tcW w:w="619" w:type="dxa"/>
            <w:tcBorders>
              <w:left w:val="single" w:sz="4" w:space="0" w:color="000000"/>
            </w:tcBorders>
          </w:tcPr>
          <w:p>
            <w:pPr/>
          </w:p>
        </w:tc>
        <w:tc>
          <w:tcPr>
            <w:tcW w:w="1863" w:type="dxa"/>
          </w:tcPr>
          <w:p>
            <w:pPr/>
          </w:p>
        </w:tc>
        <w:tc>
          <w:tcPr>
            <w:tcW w:w="2562" w:type="dxa"/>
          </w:tcPr>
          <w:p>
            <w:pPr/>
          </w:p>
        </w:tc>
        <w:tc>
          <w:tcPr>
            <w:tcW w:w="1523" w:type="dxa"/>
          </w:tcPr>
          <w:p>
            <w:pPr>
              <w:pStyle w:val="TableParagraph"/>
              <w:spacing w:before="6"/>
              <w:ind w:right="320"/>
              <w:jc w:val="right"/>
              <w:rPr>
                <w:rFonts w:ascii="Calibri"/>
                <w:sz w:val="12"/>
              </w:rPr>
            </w:pPr>
            <w:r>
              <w:rPr>
                <w:rFonts w:ascii="Calibri"/>
                <w:w w:val="105"/>
                <w:sz w:val="12"/>
              </w:rPr>
              <w:t>Subtotal</w:t>
            </w:r>
          </w:p>
        </w:tc>
        <w:tc>
          <w:tcPr>
            <w:tcW w:w="887" w:type="dxa"/>
          </w:tcPr>
          <w:p>
            <w:pPr>
              <w:pStyle w:val="TableParagraph"/>
              <w:tabs>
                <w:tab w:pos="466" w:val="left" w:leader="none"/>
                <w:tab w:pos="897" w:val="left" w:leader="none"/>
              </w:tabs>
              <w:spacing w:before="6"/>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1.2</w:t>
            </w:r>
            <w:r>
              <w:rPr>
                <w:rFonts w:ascii="Calibri"/>
                <w:sz w:val="12"/>
                <w:shd w:fill="F79646" w:color="auto" w:val="clear"/>
              </w:rPr>
              <w:tab/>
            </w:r>
          </w:p>
        </w:tc>
        <w:tc>
          <w:tcPr>
            <w:tcW w:w="685" w:type="dxa"/>
          </w:tcPr>
          <w:p>
            <w:pPr>
              <w:pStyle w:val="TableParagraph"/>
              <w:tabs>
                <w:tab w:pos="262" w:val="left" w:leader="none"/>
                <w:tab w:pos="694" w:val="left" w:leader="none"/>
              </w:tabs>
              <w:spacing w:before="6"/>
              <w:ind w:right="-10"/>
              <w:rPr>
                <w:rFonts w:ascii="Calibri"/>
                <w:sz w:val="12"/>
              </w:rPr>
            </w:pPr>
            <w:r>
              <w:rPr>
                <w:rFonts w:ascii="Times New Roman"/>
                <w:w w:val="105"/>
                <w:sz w:val="12"/>
                <w:shd w:fill="FFFF00" w:color="auto" w:val="clear"/>
              </w:rPr>
              <w:t> </w:t>
            </w:r>
            <w:r>
              <w:rPr>
                <w:rFonts w:ascii="Times New Roman"/>
                <w:sz w:val="12"/>
                <w:shd w:fill="FFFF00" w:color="auto" w:val="clear"/>
              </w:rPr>
              <w:tab/>
            </w:r>
            <w:r>
              <w:rPr>
                <w:rFonts w:ascii="Calibri"/>
                <w:w w:val="105"/>
                <w:sz w:val="12"/>
                <w:shd w:fill="FFFF00" w:color="auto" w:val="clear"/>
              </w:rPr>
              <w:t>1.4</w:t>
            </w:r>
            <w:r>
              <w:rPr>
                <w:rFonts w:ascii="Calibri"/>
                <w:sz w:val="12"/>
                <w:shd w:fill="FFFF00" w:color="auto" w:val="clear"/>
              </w:rPr>
              <w:tab/>
            </w:r>
          </w:p>
        </w:tc>
        <w:tc>
          <w:tcPr>
            <w:tcW w:w="682" w:type="dxa"/>
            <w:tcBorders>
              <w:right w:val="single" w:sz="8" w:space="0" w:color="000000"/>
            </w:tcBorders>
            <w:shd w:val="clear" w:color="auto" w:fill="67ED4D"/>
          </w:tcPr>
          <w:p>
            <w:pPr>
              <w:pStyle w:val="TableParagraph"/>
              <w:spacing w:before="6"/>
              <w:ind w:left="20"/>
              <w:rPr>
                <w:rFonts w:ascii="Calibri"/>
                <w:sz w:val="12"/>
              </w:rPr>
            </w:pPr>
            <w:r>
              <w:rPr>
                <w:rFonts w:ascii="Calibri"/>
                <w:w w:val="105"/>
                <w:sz w:val="12"/>
              </w:rPr>
              <w:t>2</w:t>
            </w:r>
          </w:p>
        </w:tc>
      </w:tr>
      <w:tr>
        <w:trPr>
          <w:trHeight w:val="312" w:hRule="exact"/>
        </w:trPr>
        <w:tc>
          <w:tcPr>
            <w:tcW w:w="619" w:type="dxa"/>
            <w:vMerge w:val="restart"/>
            <w:tcBorders>
              <w:left w:val="single" w:sz="4" w:space="0" w:color="000000"/>
            </w:tcBorders>
          </w:tcPr>
          <w:p>
            <w:pPr/>
          </w:p>
        </w:tc>
        <w:tc>
          <w:tcPr>
            <w:tcW w:w="1863" w:type="dxa"/>
          </w:tcPr>
          <w:p>
            <w:pPr/>
          </w:p>
        </w:tc>
        <w:tc>
          <w:tcPr>
            <w:tcW w:w="2562" w:type="dxa"/>
          </w:tcPr>
          <w:p>
            <w:pPr>
              <w:pStyle w:val="TableParagraph"/>
              <w:spacing w:before="4"/>
              <w:jc w:val="left"/>
              <w:rPr>
                <w:sz w:val="13"/>
              </w:rPr>
            </w:pPr>
          </w:p>
          <w:p>
            <w:pPr>
              <w:pStyle w:val="TableParagraph"/>
              <w:ind w:left="332"/>
              <w:jc w:val="left"/>
              <w:rPr>
                <w:rFonts w:ascii="Calibri" w:hAnsi="Calibri"/>
                <w:sz w:val="12"/>
              </w:rPr>
            </w:pPr>
            <w:r>
              <w:rPr>
                <w:rFonts w:ascii="Calibri" w:hAnsi="Calibri"/>
                <w:w w:val="105"/>
                <w:sz w:val="12"/>
              </w:rPr>
              <w:t>Ubicación del conjunto urbano</w:t>
            </w:r>
          </w:p>
        </w:tc>
        <w:tc>
          <w:tcPr>
            <w:tcW w:w="1523" w:type="dxa"/>
          </w:tcPr>
          <w:p>
            <w:pPr>
              <w:pStyle w:val="TableParagraph"/>
              <w:spacing w:before="4"/>
              <w:jc w:val="left"/>
              <w:rPr>
                <w:sz w:val="13"/>
              </w:rPr>
            </w:pPr>
          </w:p>
          <w:p>
            <w:pPr>
              <w:pStyle w:val="TableParagraph"/>
              <w:ind w:left="905"/>
              <w:jc w:val="left"/>
              <w:rPr>
                <w:rFonts w:ascii="Calibri"/>
                <w:sz w:val="12"/>
              </w:rPr>
            </w:pPr>
            <w:r>
              <w:rPr>
                <w:rFonts w:ascii="Calibri"/>
                <w:w w:val="105"/>
                <w:sz w:val="12"/>
              </w:rPr>
              <w:t>0.4</w:t>
            </w:r>
          </w:p>
        </w:tc>
        <w:tc>
          <w:tcPr>
            <w:tcW w:w="887" w:type="dxa"/>
            <w:vMerge w:val="restart"/>
          </w:tcPr>
          <w:p>
            <w:pPr/>
          </w:p>
        </w:tc>
        <w:tc>
          <w:tcPr>
            <w:tcW w:w="685" w:type="dxa"/>
          </w:tcPr>
          <w:p>
            <w:pPr>
              <w:pStyle w:val="TableParagraph"/>
              <w:spacing w:before="4"/>
              <w:jc w:val="left"/>
              <w:rPr>
                <w:sz w:val="13"/>
              </w:rPr>
            </w:pPr>
          </w:p>
          <w:p>
            <w:pPr>
              <w:pStyle w:val="TableParagraph"/>
              <w:ind w:left="70" w:right="70"/>
              <w:rPr>
                <w:rFonts w:ascii="Calibri"/>
                <w:sz w:val="12"/>
              </w:rPr>
            </w:pPr>
            <w:r>
              <w:rPr>
                <w:rFonts w:ascii="Calibri"/>
                <w:w w:val="105"/>
                <w:sz w:val="12"/>
              </w:rPr>
              <w:t>0.8</w:t>
            </w:r>
          </w:p>
        </w:tc>
        <w:tc>
          <w:tcPr>
            <w:tcW w:w="682" w:type="dxa"/>
            <w:tcBorders>
              <w:right w:val="single" w:sz="8" w:space="0" w:color="000000"/>
            </w:tcBorders>
          </w:tcPr>
          <w:p>
            <w:pPr>
              <w:pStyle w:val="TableParagraph"/>
              <w:spacing w:before="4"/>
              <w:jc w:val="left"/>
              <w:rPr>
                <w:sz w:val="13"/>
              </w:rPr>
            </w:pPr>
          </w:p>
          <w:p>
            <w:pPr>
              <w:pStyle w:val="TableParagraph"/>
              <w:ind w:left="20"/>
              <w:rPr>
                <w:rFonts w:ascii="Calibri"/>
                <w:sz w:val="12"/>
              </w:rPr>
            </w:pPr>
            <w:r>
              <w:rPr>
                <w:rFonts w:ascii="Calibri"/>
                <w:w w:val="105"/>
                <w:sz w:val="12"/>
              </w:rPr>
              <w:t>1</w:t>
            </w:r>
          </w:p>
        </w:tc>
      </w:tr>
      <w:tr>
        <w:trPr>
          <w:trHeight w:val="158" w:hRule="exact"/>
        </w:trPr>
        <w:tc>
          <w:tcPr>
            <w:tcW w:w="619" w:type="dxa"/>
            <w:vMerge/>
            <w:tcBorders>
              <w:left w:val="single" w:sz="4" w:space="0" w:color="000000"/>
            </w:tcBorders>
          </w:tcPr>
          <w:p>
            <w:pPr/>
          </w:p>
        </w:tc>
        <w:tc>
          <w:tcPr>
            <w:tcW w:w="1863" w:type="dxa"/>
          </w:tcPr>
          <w:p>
            <w:pPr/>
          </w:p>
        </w:tc>
        <w:tc>
          <w:tcPr>
            <w:tcW w:w="2562" w:type="dxa"/>
          </w:tcPr>
          <w:p>
            <w:pPr>
              <w:pStyle w:val="TableParagraph"/>
              <w:ind w:left="332" w:right="1043"/>
              <w:jc w:val="left"/>
              <w:rPr>
                <w:rFonts w:ascii="Calibri"/>
                <w:sz w:val="12"/>
              </w:rPr>
            </w:pPr>
            <w:r>
              <w:rPr>
                <w:rFonts w:ascii="Calibri"/>
                <w:w w:val="105"/>
                <w:sz w:val="12"/>
              </w:rPr>
              <w:t>Abierto</w:t>
            </w:r>
          </w:p>
        </w:tc>
        <w:tc>
          <w:tcPr>
            <w:tcW w:w="1523" w:type="dxa"/>
          </w:tcPr>
          <w:p>
            <w:pPr>
              <w:pStyle w:val="TableParagraph"/>
              <w:ind w:left="905"/>
              <w:jc w:val="left"/>
              <w:rPr>
                <w:rFonts w:ascii="Calibri"/>
                <w:sz w:val="12"/>
              </w:rPr>
            </w:pPr>
            <w:r>
              <w:rPr>
                <w:rFonts w:ascii="Calibri"/>
                <w:w w:val="105"/>
                <w:sz w:val="12"/>
              </w:rPr>
              <w:t>0.5</w:t>
            </w:r>
          </w:p>
        </w:tc>
        <w:tc>
          <w:tcPr>
            <w:tcW w:w="887" w:type="dxa"/>
            <w:vMerge/>
          </w:tcPr>
          <w:p>
            <w:pPr/>
          </w:p>
        </w:tc>
        <w:tc>
          <w:tcPr>
            <w:tcW w:w="685" w:type="dxa"/>
          </w:tcPr>
          <w:p>
            <w:pPr>
              <w:pStyle w:val="TableParagraph"/>
              <w:ind w:left="9"/>
              <w:rPr>
                <w:rFonts w:ascii="Calibri"/>
                <w:sz w:val="12"/>
              </w:rPr>
            </w:pPr>
            <w:r>
              <w:rPr>
                <w:rFonts w:ascii="Calibri"/>
                <w:w w:val="105"/>
                <w:sz w:val="12"/>
              </w:rPr>
              <w:t>1</w:t>
            </w:r>
          </w:p>
        </w:tc>
        <w:tc>
          <w:tcPr>
            <w:tcW w:w="682" w:type="dxa"/>
            <w:tcBorders>
              <w:right w:val="single" w:sz="8" w:space="0" w:color="000000"/>
            </w:tcBorders>
          </w:tcPr>
          <w:p>
            <w:pPr>
              <w:pStyle w:val="TableParagraph"/>
              <w:ind w:left="20"/>
              <w:rPr>
                <w:rFonts w:ascii="Calibri"/>
                <w:sz w:val="12"/>
              </w:rPr>
            </w:pPr>
            <w:r>
              <w:rPr>
                <w:rFonts w:ascii="Calibri"/>
                <w:w w:val="105"/>
                <w:sz w:val="12"/>
              </w:rPr>
              <w:t>1</w:t>
            </w:r>
          </w:p>
        </w:tc>
      </w:tr>
      <w:tr>
        <w:trPr>
          <w:trHeight w:val="158" w:hRule="exact"/>
        </w:trPr>
        <w:tc>
          <w:tcPr>
            <w:tcW w:w="619" w:type="dxa"/>
            <w:vMerge/>
            <w:tcBorders>
              <w:left w:val="single" w:sz="4" w:space="0" w:color="000000"/>
            </w:tcBorders>
          </w:tcPr>
          <w:p>
            <w:pPr/>
          </w:p>
        </w:tc>
        <w:tc>
          <w:tcPr>
            <w:tcW w:w="1863" w:type="dxa"/>
          </w:tcPr>
          <w:p>
            <w:pPr>
              <w:pStyle w:val="TableParagraph"/>
              <w:ind w:left="91"/>
              <w:jc w:val="left"/>
              <w:rPr>
                <w:rFonts w:ascii="Calibri" w:hAnsi="Calibri"/>
                <w:sz w:val="12"/>
              </w:rPr>
            </w:pPr>
            <w:r>
              <w:rPr>
                <w:rFonts w:ascii="Calibri" w:hAnsi="Calibri"/>
                <w:w w:val="105"/>
                <w:sz w:val="12"/>
              </w:rPr>
              <w:t>Integración al territorio</w:t>
            </w:r>
          </w:p>
        </w:tc>
        <w:tc>
          <w:tcPr>
            <w:tcW w:w="2562" w:type="dxa"/>
          </w:tcPr>
          <w:p>
            <w:pPr>
              <w:pStyle w:val="TableParagraph"/>
              <w:ind w:left="332" w:right="1043"/>
              <w:jc w:val="left"/>
              <w:rPr>
                <w:rFonts w:ascii="Calibri" w:hAnsi="Calibri"/>
                <w:sz w:val="12"/>
              </w:rPr>
            </w:pPr>
            <w:r>
              <w:rPr>
                <w:rFonts w:ascii="Calibri" w:hAnsi="Calibri"/>
                <w:w w:val="105"/>
                <w:sz w:val="12"/>
              </w:rPr>
              <w:t>Integración social</w:t>
            </w:r>
          </w:p>
        </w:tc>
        <w:tc>
          <w:tcPr>
            <w:tcW w:w="1523" w:type="dxa"/>
          </w:tcPr>
          <w:p>
            <w:pPr>
              <w:pStyle w:val="TableParagraph"/>
              <w:ind w:left="957"/>
              <w:jc w:val="left"/>
              <w:rPr>
                <w:rFonts w:ascii="Calibri"/>
                <w:sz w:val="12"/>
              </w:rPr>
            </w:pPr>
            <w:r>
              <w:rPr>
                <w:rFonts w:ascii="Calibri"/>
                <w:w w:val="105"/>
                <w:sz w:val="12"/>
              </w:rPr>
              <w:t>0</w:t>
            </w:r>
          </w:p>
        </w:tc>
        <w:tc>
          <w:tcPr>
            <w:tcW w:w="887" w:type="dxa"/>
            <w:vMerge/>
          </w:tcPr>
          <w:p>
            <w:pPr/>
          </w:p>
        </w:tc>
        <w:tc>
          <w:tcPr>
            <w:tcW w:w="685" w:type="dxa"/>
          </w:tcPr>
          <w:p>
            <w:pPr>
              <w:pStyle w:val="TableParagraph"/>
              <w:ind w:left="9"/>
              <w:rPr>
                <w:rFonts w:ascii="Calibri"/>
                <w:sz w:val="12"/>
              </w:rPr>
            </w:pPr>
            <w:r>
              <w:rPr>
                <w:rFonts w:ascii="Calibri"/>
                <w:w w:val="105"/>
                <w:sz w:val="12"/>
              </w:rPr>
              <w:t>1</w:t>
            </w:r>
          </w:p>
        </w:tc>
        <w:tc>
          <w:tcPr>
            <w:tcW w:w="682" w:type="dxa"/>
            <w:tcBorders>
              <w:right w:val="single" w:sz="8" w:space="0" w:color="000000"/>
            </w:tcBorders>
          </w:tcPr>
          <w:p>
            <w:pPr>
              <w:pStyle w:val="TableParagraph"/>
              <w:ind w:left="20"/>
              <w:rPr>
                <w:rFonts w:ascii="Calibri"/>
                <w:sz w:val="12"/>
              </w:rPr>
            </w:pPr>
            <w:r>
              <w:rPr>
                <w:rFonts w:ascii="Calibri"/>
                <w:w w:val="105"/>
                <w:sz w:val="12"/>
              </w:rPr>
              <w:t>1</w:t>
            </w:r>
          </w:p>
        </w:tc>
      </w:tr>
      <w:tr>
        <w:trPr>
          <w:trHeight w:val="158" w:hRule="exact"/>
        </w:trPr>
        <w:tc>
          <w:tcPr>
            <w:tcW w:w="619" w:type="dxa"/>
            <w:vMerge/>
            <w:tcBorders>
              <w:left w:val="single" w:sz="4" w:space="0" w:color="000000"/>
            </w:tcBorders>
          </w:tcPr>
          <w:p>
            <w:pPr/>
          </w:p>
        </w:tc>
        <w:tc>
          <w:tcPr>
            <w:tcW w:w="1863" w:type="dxa"/>
          </w:tcPr>
          <w:p>
            <w:pPr/>
          </w:p>
        </w:tc>
        <w:tc>
          <w:tcPr>
            <w:tcW w:w="2562" w:type="dxa"/>
          </w:tcPr>
          <w:p>
            <w:pPr>
              <w:pStyle w:val="TableParagraph"/>
              <w:ind w:left="332" w:right="1043"/>
              <w:jc w:val="left"/>
              <w:rPr>
                <w:rFonts w:ascii="Calibri" w:hAnsi="Calibri"/>
                <w:sz w:val="12"/>
              </w:rPr>
            </w:pPr>
            <w:r>
              <w:rPr>
                <w:rFonts w:ascii="Calibri" w:hAnsi="Calibri"/>
                <w:w w:val="105"/>
                <w:sz w:val="12"/>
              </w:rPr>
              <w:t>Protección civil</w:t>
            </w:r>
          </w:p>
        </w:tc>
        <w:tc>
          <w:tcPr>
            <w:tcW w:w="1523" w:type="dxa"/>
          </w:tcPr>
          <w:p>
            <w:pPr>
              <w:pStyle w:val="TableParagraph"/>
              <w:ind w:left="957"/>
              <w:jc w:val="left"/>
              <w:rPr>
                <w:rFonts w:ascii="Calibri"/>
                <w:sz w:val="12"/>
              </w:rPr>
            </w:pPr>
            <w:r>
              <w:rPr>
                <w:rFonts w:ascii="Calibri"/>
                <w:w w:val="105"/>
                <w:sz w:val="12"/>
              </w:rPr>
              <w:t>0</w:t>
            </w:r>
          </w:p>
        </w:tc>
        <w:tc>
          <w:tcPr>
            <w:tcW w:w="887" w:type="dxa"/>
            <w:vMerge/>
          </w:tcPr>
          <w:p>
            <w:pPr/>
          </w:p>
        </w:tc>
        <w:tc>
          <w:tcPr>
            <w:tcW w:w="685" w:type="dxa"/>
          </w:tcPr>
          <w:p>
            <w:pPr>
              <w:pStyle w:val="TableParagraph"/>
              <w:ind w:left="9"/>
              <w:rPr>
                <w:rFonts w:ascii="Calibri"/>
                <w:sz w:val="12"/>
              </w:rPr>
            </w:pPr>
            <w:r>
              <w:rPr>
                <w:rFonts w:ascii="Calibri"/>
                <w:w w:val="105"/>
                <w:sz w:val="12"/>
              </w:rPr>
              <w:t>1</w:t>
            </w:r>
          </w:p>
        </w:tc>
        <w:tc>
          <w:tcPr>
            <w:tcW w:w="682" w:type="dxa"/>
            <w:tcBorders>
              <w:right w:val="single" w:sz="8" w:space="0" w:color="000000"/>
            </w:tcBorders>
          </w:tcPr>
          <w:p>
            <w:pPr>
              <w:pStyle w:val="TableParagraph"/>
              <w:ind w:left="20"/>
              <w:rPr>
                <w:rFonts w:ascii="Calibri"/>
                <w:sz w:val="12"/>
              </w:rPr>
            </w:pPr>
            <w:r>
              <w:rPr>
                <w:rFonts w:ascii="Calibri"/>
                <w:w w:val="105"/>
                <w:sz w:val="12"/>
              </w:rPr>
              <w:t>1</w:t>
            </w:r>
          </w:p>
        </w:tc>
      </w:tr>
      <w:tr>
        <w:trPr>
          <w:trHeight w:val="151" w:hRule="exact"/>
        </w:trPr>
        <w:tc>
          <w:tcPr>
            <w:tcW w:w="619" w:type="dxa"/>
            <w:vMerge/>
            <w:tcBorders>
              <w:left w:val="single" w:sz="4" w:space="0" w:color="000000"/>
            </w:tcBorders>
          </w:tcPr>
          <w:p>
            <w:pPr/>
          </w:p>
        </w:tc>
        <w:tc>
          <w:tcPr>
            <w:tcW w:w="1863" w:type="dxa"/>
          </w:tcPr>
          <w:p>
            <w:pPr/>
          </w:p>
        </w:tc>
        <w:tc>
          <w:tcPr>
            <w:tcW w:w="2562" w:type="dxa"/>
          </w:tcPr>
          <w:p>
            <w:pPr>
              <w:pStyle w:val="TableParagraph"/>
              <w:ind w:left="332" w:right="1043"/>
              <w:jc w:val="left"/>
              <w:rPr>
                <w:rFonts w:ascii="Calibri"/>
                <w:sz w:val="12"/>
              </w:rPr>
            </w:pPr>
            <w:r>
              <w:rPr>
                <w:rFonts w:ascii="Calibri"/>
                <w:w w:val="105"/>
                <w:sz w:val="12"/>
              </w:rPr>
              <w:t>Seguridad</w:t>
            </w:r>
          </w:p>
        </w:tc>
        <w:tc>
          <w:tcPr>
            <w:tcW w:w="1523" w:type="dxa"/>
          </w:tcPr>
          <w:p>
            <w:pPr>
              <w:pStyle w:val="TableParagraph"/>
              <w:ind w:left="957"/>
              <w:jc w:val="left"/>
              <w:rPr>
                <w:rFonts w:ascii="Calibri"/>
                <w:sz w:val="12"/>
              </w:rPr>
            </w:pPr>
            <w:r>
              <w:rPr>
                <w:rFonts w:ascii="Calibri"/>
                <w:w w:val="105"/>
                <w:sz w:val="12"/>
              </w:rPr>
              <w:t>0</w:t>
            </w:r>
          </w:p>
        </w:tc>
        <w:tc>
          <w:tcPr>
            <w:tcW w:w="887" w:type="dxa"/>
            <w:vMerge/>
          </w:tcPr>
          <w:p>
            <w:pPr/>
          </w:p>
        </w:tc>
        <w:tc>
          <w:tcPr>
            <w:tcW w:w="685" w:type="dxa"/>
          </w:tcPr>
          <w:p>
            <w:pPr>
              <w:pStyle w:val="TableParagraph"/>
              <w:ind w:left="9"/>
              <w:rPr>
                <w:rFonts w:ascii="Calibri"/>
                <w:sz w:val="12"/>
              </w:rPr>
            </w:pPr>
            <w:r>
              <w:rPr>
                <w:rFonts w:ascii="Calibri"/>
                <w:w w:val="105"/>
                <w:sz w:val="12"/>
              </w:rPr>
              <w:t>1</w:t>
            </w:r>
          </w:p>
        </w:tc>
        <w:tc>
          <w:tcPr>
            <w:tcW w:w="682" w:type="dxa"/>
            <w:tcBorders>
              <w:right w:val="single" w:sz="8" w:space="0" w:color="000000"/>
            </w:tcBorders>
          </w:tcPr>
          <w:p>
            <w:pPr>
              <w:pStyle w:val="TableParagraph"/>
              <w:ind w:left="20"/>
              <w:rPr>
                <w:rFonts w:ascii="Calibri"/>
                <w:sz w:val="12"/>
              </w:rPr>
            </w:pPr>
            <w:r>
              <w:rPr>
                <w:rFonts w:ascii="Calibri"/>
                <w:w w:val="105"/>
                <w:sz w:val="12"/>
              </w:rPr>
              <w:t>1</w:t>
            </w:r>
          </w:p>
        </w:tc>
      </w:tr>
      <w:tr>
        <w:trPr>
          <w:trHeight w:val="168" w:hRule="exact"/>
        </w:trPr>
        <w:tc>
          <w:tcPr>
            <w:tcW w:w="619" w:type="dxa"/>
            <w:tcBorders>
              <w:left w:val="single" w:sz="4" w:space="0" w:color="000000"/>
            </w:tcBorders>
          </w:tcPr>
          <w:p>
            <w:pPr/>
          </w:p>
        </w:tc>
        <w:tc>
          <w:tcPr>
            <w:tcW w:w="1863" w:type="dxa"/>
          </w:tcPr>
          <w:p>
            <w:pPr/>
          </w:p>
        </w:tc>
        <w:tc>
          <w:tcPr>
            <w:tcW w:w="2562" w:type="dxa"/>
          </w:tcPr>
          <w:p>
            <w:pPr/>
          </w:p>
        </w:tc>
        <w:tc>
          <w:tcPr>
            <w:tcW w:w="1523" w:type="dxa"/>
          </w:tcPr>
          <w:p>
            <w:pPr>
              <w:pStyle w:val="TableParagraph"/>
              <w:spacing w:before="6"/>
              <w:ind w:right="320"/>
              <w:jc w:val="right"/>
              <w:rPr>
                <w:rFonts w:ascii="Calibri"/>
                <w:sz w:val="12"/>
              </w:rPr>
            </w:pPr>
            <w:r>
              <w:rPr>
                <w:rFonts w:ascii="Calibri"/>
                <w:w w:val="105"/>
                <w:sz w:val="12"/>
              </w:rPr>
              <w:t>Subtotal</w:t>
            </w:r>
          </w:p>
        </w:tc>
        <w:tc>
          <w:tcPr>
            <w:tcW w:w="887" w:type="dxa"/>
          </w:tcPr>
          <w:p>
            <w:pPr>
              <w:pStyle w:val="TableParagraph"/>
              <w:tabs>
                <w:tab w:pos="466" w:val="left" w:leader="none"/>
                <w:tab w:pos="897" w:val="left" w:leader="none"/>
              </w:tabs>
              <w:spacing w:before="6"/>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ab/>
            </w:r>
            <w:r>
              <w:rPr>
                <w:rFonts w:ascii="Calibri"/>
                <w:w w:val="105"/>
                <w:sz w:val="12"/>
                <w:shd w:fill="F79646" w:color="auto" w:val="clear"/>
              </w:rPr>
              <w:t>0.9</w:t>
            </w:r>
            <w:r>
              <w:rPr>
                <w:rFonts w:ascii="Calibri"/>
                <w:sz w:val="12"/>
                <w:shd w:fill="F79646" w:color="auto" w:val="clear"/>
              </w:rPr>
              <w:tab/>
            </w:r>
          </w:p>
        </w:tc>
        <w:tc>
          <w:tcPr>
            <w:tcW w:w="685" w:type="dxa"/>
          </w:tcPr>
          <w:p>
            <w:pPr>
              <w:pStyle w:val="TableParagraph"/>
              <w:tabs>
                <w:tab w:pos="262" w:val="left" w:leader="none"/>
                <w:tab w:pos="694" w:val="left" w:leader="none"/>
              </w:tabs>
              <w:spacing w:before="6"/>
              <w:ind w:right="-10"/>
              <w:rPr>
                <w:rFonts w:ascii="Calibri"/>
                <w:sz w:val="12"/>
              </w:rPr>
            </w:pPr>
            <w:r>
              <w:rPr>
                <w:rFonts w:ascii="Times New Roman"/>
                <w:w w:val="105"/>
                <w:sz w:val="12"/>
                <w:shd w:fill="FFFF00" w:color="auto" w:val="clear"/>
              </w:rPr>
              <w:t> </w:t>
            </w:r>
            <w:r>
              <w:rPr>
                <w:rFonts w:ascii="Times New Roman"/>
                <w:sz w:val="12"/>
                <w:shd w:fill="FFFF00" w:color="auto" w:val="clear"/>
              </w:rPr>
              <w:tab/>
            </w:r>
            <w:r>
              <w:rPr>
                <w:rFonts w:ascii="Calibri"/>
                <w:w w:val="105"/>
                <w:sz w:val="12"/>
                <w:shd w:fill="FFFF00" w:color="auto" w:val="clear"/>
              </w:rPr>
              <w:t>4.8</w:t>
            </w:r>
            <w:r>
              <w:rPr>
                <w:rFonts w:ascii="Calibri"/>
                <w:sz w:val="12"/>
                <w:shd w:fill="FFFF00" w:color="auto" w:val="clear"/>
              </w:rPr>
              <w:tab/>
            </w:r>
          </w:p>
        </w:tc>
        <w:tc>
          <w:tcPr>
            <w:tcW w:w="682" w:type="dxa"/>
            <w:tcBorders>
              <w:right w:val="single" w:sz="8" w:space="0" w:color="000000"/>
            </w:tcBorders>
            <w:shd w:val="clear" w:color="auto" w:fill="67ED4D"/>
          </w:tcPr>
          <w:p>
            <w:pPr>
              <w:pStyle w:val="TableParagraph"/>
              <w:spacing w:before="6"/>
              <w:ind w:left="20"/>
              <w:rPr>
                <w:rFonts w:ascii="Calibri"/>
                <w:sz w:val="12"/>
              </w:rPr>
            </w:pPr>
            <w:r>
              <w:rPr>
                <w:rFonts w:ascii="Calibri"/>
                <w:w w:val="105"/>
                <w:sz w:val="12"/>
              </w:rPr>
              <w:t>5</w:t>
            </w:r>
          </w:p>
        </w:tc>
      </w:tr>
      <w:tr>
        <w:trPr>
          <w:trHeight w:val="473" w:hRule="exact"/>
        </w:trPr>
        <w:tc>
          <w:tcPr>
            <w:tcW w:w="619" w:type="dxa"/>
            <w:tcBorders>
              <w:left w:val="single" w:sz="4" w:space="0" w:color="000000"/>
              <w:bottom w:val="single" w:sz="8" w:space="0" w:color="000000"/>
            </w:tcBorders>
          </w:tcPr>
          <w:p>
            <w:pPr/>
          </w:p>
        </w:tc>
        <w:tc>
          <w:tcPr>
            <w:tcW w:w="1863" w:type="dxa"/>
            <w:tcBorders>
              <w:bottom w:val="single" w:sz="8" w:space="0" w:color="000000"/>
            </w:tcBorders>
          </w:tcPr>
          <w:p>
            <w:pPr/>
          </w:p>
        </w:tc>
        <w:tc>
          <w:tcPr>
            <w:tcW w:w="2562" w:type="dxa"/>
            <w:tcBorders>
              <w:bottom w:val="single" w:sz="8" w:space="0" w:color="000000"/>
            </w:tcBorders>
          </w:tcPr>
          <w:p>
            <w:pPr/>
          </w:p>
        </w:tc>
        <w:tc>
          <w:tcPr>
            <w:tcW w:w="1523" w:type="dxa"/>
            <w:tcBorders>
              <w:bottom w:val="single" w:sz="8" w:space="0" w:color="000000"/>
            </w:tcBorders>
          </w:tcPr>
          <w:p>
            <w:pPr>
              <w:pStyle w:val="TableParagraph"/>
              <w:spacing w:before="4"/>
              <w:jc w:val="left"/>
              <w:rPr>
                <w:sz w:val="13"/>
              </w:rPr>
            </w:pPr>
          </w:p>
          <w:p>
            <w:pPr>
              <w:pStyle w:val="TableParagraph"/>
              <w:ind w:right="349"/>
              <w:jc w:val="right"/>
              <w:rPr>
                <w:rFonts w:ascii="Calibri"/>
                <w:sz w:val="12"/>
              </w:rPr>
            </w:pPr>
            <w:r>
              <w:rPr>
                <w:rFonts w:ascii="Calibri"/>
                <w:w w:val="105"/>
                <w:sz w:val="12"/>
              </w:rPr>
              <w:t>Total IT</w:t>
            </w:r>
          </w:p>
        </w:tc>
        <w:tc>
          <w:tcPr>
            <w:tcW w:w="887" w:type="dxa"/>
            <w:tcBorders>
              <w:bottom w:val="single" w:sz="8" w:space="0" w:color="000000"/>
            </w:tcBorders>
          </w:tcPr>
          <w:p>
            <w:pPr>
              <w:pStyle w:val="TableParagraph"/>
              <w:spacing w:before="4"/>
              <w:jc w:val="left"/>
              <w:rPr>
                <w:sz w:val="13"/>
              </w:rPr>
            </w:pPr>
          </w:p>
          <w:p>
            <w:pPr>
              <w:pStyle w:val="TableParagraph"/>
              <w:tabs>
                <w:tab w:pos="897" w:val="left" w:leader="none"/>
              </w:tabs>
              <w:ind w:left="203" w:right="-11"/>
              <w:jc w:val="left"/>
              <w:rPr>
                <w:rFonts w:ascii="Calibri"/>
                <w:sz w:val="12"/>
              </w:rPr>
            </w:pPr>
            <w:r>
              <w:rPr>
                <w:rFonts w:ascii="Times New Roman"/>
                <w:w w:val="105"/>
                <w:sz w:val="12"/>
                <w:shd w:fill="F79646" w:color="auto" w:val="clear"/>
              </w:rPr>
              <w:t> </w:t>
            </w:r>
            <w:r>
              <w:rPr>
                <w:rFonts w:ascii="Times New Roman"/>
                <w:sz w:val="12"/>
                <w:shd w:fill="F79646" w:color="auto" w:val="clear"/>
              </w:rPr>
              <w:t>      </w:t>
            </w:r>
            <w:r>
              <w:rPr>
                <w:rFonts w:ascii="Times New Roman"/>
                <w:spacing w:val="-11"/>
                <w:sz w:val="12"/>
                <w:shd w:fill="F79646" w:color="auto" w:val="clear"/>
              </w:rPr>
              <w:t> </w:t>
            </w:r>
            <w:r>
              <w:rPr>
                <w:rFonts w:ascii="Calibri"/>
                <w:w w:val="105"/>
                <w:sz w:val="12"/>
                <w:shd w:fill="F79646" w:color="auto" w:val="clear"/>
              </w:rPr>
              <w:t>7.16</w:t>
            </w:r>
            <w:r>
              <w:rPr>
                <w:rFonts w:ascii="Calibri"/>
                <w:sz w:val="12"/>
                <w:shd w:fill="F79646" w:color="auto" w:val="clear"/>
              </w:rPr>
              <w:tab/>
            </w:r>
          </w:p>
        </w:tc>
        <w:tc>
          <w:tcPr>
            <w:tcW w:w="685" w:type="dxa"/>
            <w:tcBorders>
              <w:bottom w:val="single" w:sz="8" w:space="0" w:color="000000"/>
            </w:tcBorders>
          </w:tcPr>
          <w:p>
            <w:pPr>
              <w:pStyle w:val="TableParagraph"/>
              <w:spacing w:before="4"/>
              <w:jc w:val="left"/>
              <w:rPr>
                <w:sz w:val="13"/>
              </w:rPr>
            </w:pPr>
          </w:p>
          <w:p>
            <w:pPr>
              <w:pStyle w:val="TableParagraph"/>
              <w:tabs>
                <w:tab w:pos="694" w:val="left" w:leader="none"/>
              </w:tabs>
              <w:ind w:right="-10"/>
              <w:rPr>
                <w:rFonts w:ascii="Calibri"/>
                <w:sz w:val="12"/>
              </w:rPr>
            </w:pPr>
            <w:r>
              <w:rPr>
                <w:rFonts w:ascii="Times New Roman"/>
                <w:w w:val="105"/>
                <w:sz w:val="12"/>
                <w:shd w:fill="FFFF00" w:color="auto" w:val="clear"/>
              </w:rPr>
              <w:t> </w:t>
            </w:r>
            <w:r>
              <w:rPr>
                <w:rFonts w:ascii="Times New Roman"/>
                <w:sz w:val="12"/>
                <w:shd w:fill="FFFF00" w:color="auto" w:val="clear"/>
              </w:rPr>
              <w:t>     </w:t>
            </w:r>
            <w:r>
              <w:rPr>
                <w:rFonts w:ascii="Times New Roman"/>
                <w:spacing w:val="-12"/>
                <w:sz w:val="12"/>
                <w:shd w:fill="FFFF00" w:color="auto" w:val="clear"/>
              </w:rPr>
              <w:t> </w:t>
            </w:r>
            <w:r>
              <w:rPr>
                <w:rFonts w:ascii="Calibri"/>
                <w:w w:val="105"/>
                <w:sz w:val="12"/>
                <w:shd w:fill="FFFF00" w:color="auto" w:val="clear"/>
              </w:rPr>
              <w:t>12.66</w:t>
            </w:r>
            <w:r>
              <w:rPr>
                <w:rFonts w:ascii="Calibri"/>
                <w:sz w:val="12"/>
                <w:shd w:fill="FFFF00" w:color="auto" w:val="clear"/>
              </w:rPr>
              <w:tab/>
            </w:r>
          </w:p>
        </w:tc>
        <w:tc>
          <w:tcPr>
            <w:tcW w:w="682" w:type="dxa"/>
            <w:tcBorders>
              <w:bottom w:val="single" w:sz="8" w:space="0" w:color="000000"/>
              <w:right w:val="single" w:sz="8" w:space="0" w:color="000000"/>
            </w:tcBorders>
          </w:tcPr>
          <w:p>
            <w:pPr>
              <w:pStyle w:val="TableParagraph"/>
              <w:spacing w:before="4"/>
              <w:jc w:val="left"/>
              <w:rPr>
                <w:sz w:val="13"/>
              </w:rPr>
            </w:pPr>
          </w:p>
          <w:p>
            <w:pPr>
              <w:pStyle w:val="TableParagraph"/>
              <w:ind w:left="104" w:right="83"/>
              <w:rPr>
                <w:rFonts w:ascii="Calibri"/>
                <w:sz w:val="12"/>
              </w:rPr>
            </w:pPr>
            <w:r>
              <w:rPr>
                <w:rFonts w:ascii="Calibri"/>
                <w:w w:val="105"/>
                <w:sz w:val="12"/>
              </w:rPr>
              <w:t>17</w:t>
            </w:r>
          </w:p>
        </w:tc>
      </w:tr>
    </w:tbl>
    <w:p>
      <w:pPr>
        <w:spacing w:before="148"/>
        <w:ind w:left="268" w:right="0" w:firstLine="0"/>
        <w:jc w:val="left"/>
        <w:rPr>
          <w:sz w:val="21"/>
        </w:rPr>
      </w:pPr>
      <w:r>
        <w:rPr/>
        <w:pict>
          <v:group style="position:absolute;margin-left:363.390991pt;margin-top:-135.491425pt;width:75.25pt;height:16.9pt;mso-position-horizontal-relative:page;mso-position-vertical-relative:paragraph;z-index:-1128928" coordorigin="7268,-2710" coordsize="1505,338">
            <v:line style="position:absolute" from="7273,-2704" to="7273,-2536" stroked="true" strokeweight=".526pt" strokecolor="#baf9f5"/>
            <v:rect style="position:absolute;left:7279;top:-2704;width:1494;height:168" filled="true" fillcolor="#baf9f5" stroked="false">
              <v:fill type="solid"/>
            </v:rect>
            <v:line style="position:absolute" from="7273,-2536" to="7273,-2378" stroked="true" strokeweight=".526pt" strokecolor="#baf9f5"/>
            <v:rect style="position:absolute;left:7279;top:-2536;width:1494;height:158" filled="true" fillcolor="#baf9f5" stroked="false">
              <v:fill type="solid"/>
            </v:rect>
            <w10:wrap type="none"/>
          </v:group>
        </w:pict>
      </w:r>
      <w:r>
        <w:rPr/>
        <w:pict>
          <v:shape style="position:absolute;margin-left:472.29303pt;margin-top:-135.216141pt;width:68.95pt;height:16.3500pt;mso-position-horizontal-relative:page;mso-position-vertical-relative:paragraph;z-index:-1128904" coordorigin="9446,-2704" coordsize="1379,327" path="m10824,-2536l9446,-2536,9446,-2378,10824,-2378,10824,-2536m10824,-2704l9446,-2704,9446,-2536,10824,-2536,10824,-2704e" filled="true" fillcolor="#baf9f5" stroked="false">
            <v:path arrowok="t"/>
            <v:fill type="solid"/>
            <w10:wrap type="none"/>
          </v:shape>
        </w:pict>
      </w:r>
      <w:r>
        <w:rPr/>
        <w:pict>
          <v:group style="position:absolute;margin-left:363.390991pt;margin-top:-103.928429pt;width:75.25pt;height:16.6pt;mso-position-horizontal-relative:page;mso-position-vertical-relative:paragraph;z-index:-1128880" coordorigin="7268,-2079" coordsize="1505,332">
            <v:line style="position:absolute" from="7273,-2073" to="7273,-1905" stroked="true" strokeweight=".526pt" strokecolor="#baf9f5"/>
            <v:shape style="position:absolute;left:7279;top:-2073;width:1494;height:327" coordorigin="7279,-2073" coordsize="1494,327" path="m8773,-2073l7279,-2073,7279,-1905,7279,-1747,8773,-1747,8773,-1905,8773,-2073e" filled="true" fillcolor="#baf9f5" stroked="false">
              <v:path arrowok="t"/>
              <v:fill type="solid"/>
            </v:shape>
            <w10:wrap type="none"/>
          </v:group>
        </w:pict>
      </w:r>
      <w:r>
        <w:rPr/>
        <w:pict>
          <v:shape style="position:absolute;margin-left:472.29303pt;margin-top:-103.653137pt;width:68.95pt;height:16.3500pt;mso-position-horizontal-relative:page;mso-position-vertical-relative:paragraph;z-index:-1128856" coordorigin="9446,-2073" coordsize="1379,327" path="m10824,-2073l9446,-2073,9446,-1905,9446,-1747,10824,-1747,10824,-1905,10824,-2073e" filled="true" fillcolor="#baf9f5" stroked="false">
            <v:path arrowok="t"/>
            <v:fill type="solid"/>
            <w10:wrap type="none"/>
          </v:shape>
        </w:pict>
      </w:r>
      <w:r>
        <w:rPr/>
        <w:pict>
          <v:group style="position:absolute;margin-left:363.390991pt;margin-top:-72.366425pt;width:75.25pt;height:40.550pt;mso-position-horizontal-relative:page;mso-position-vertical-relative:paragraph;z-index:-1128832" coordorigin="7268,-1447" coordsize="1505,811">
            <v:line style="position:absolute" from="7273,-1442" to="7273,-1274" stroked="true" strokeweight=".526pt" strokecolor="#baf9f5"/>
            <v:rect style="position:absolute;left:7279;top:-1442;width:1494;height:168" filled="true" fillcolor="#baf9f5" stroked="false">
              <v:fill type="solid"/>
            </v:rect>
            <v:line style="position:absolute" from="7273,-1273" to="7273,-1116" stroked="true" strokeweight=".526pt" strokecolor="#baf9f5"/>
            <v:rect style="position:absolute;left:7279;top:-1273;width:1494;height:158" filled="true" fillcolor="#baf9f5" stroked="false">
              <v:fill type="solid"/>
            </v:rect>
            <v:line style="position:absolute" from="7273,-1116" to="7273,-958" stroked="true" strokeweight=".526pt" strokecolor="#baf9f5"/>
            <v:rect style="position:absolute;left:7279;top:-1116;width:1494;height:158" filled="true" fillcolor="#baf9f5" stroked="false">
              <v:fill type="solid"/>
            </v:rect>
            <v:line style="position:absolute" from="7273,-958" to="7273,-800" stroked="true" strokeweight=".526pt" strokecolor="#baf9f5"/>
            <v:rect style="position:absolute;left:7279;top:-958;width:1494;height:158" filled="true" fillcolor="#baf9f5" stroked="false">
              <v:fill type="solid"/>
            </v:rect>
            <v:line style="position:absolute" from="7273,-800" to="7273,-642" stroked="true" strokeweight=".526pt" strokecolor="#baf9f5"/>
            <v:rect style="position:absolute;left:7279;top:-800;width:1494;height:158" filled="true" fillcolor="#baf9f5" stroked="false">
              <v:fill type="solid"/>
            </v:rect>
            <w10:wrap type="none"/>
          </v:group>
        </w:pict>
      </w:r>
      <w:r>
        <w:rPr/>
        <w:pict>
          <v:shape style="position:absolute;margin-left:472.29303pt;margin-top:-72.091133pt;width:68.95pt;height:40pt;mso-position-horizontal-relative:page;mso-position-vertical-relative:paragraph;z-index:-1128808" coordorigin="9446,-1442" coordsize="1379,800" path="m10824,-800l9446,-800,9446,-642,10824,-642,10824,-800m10824,-1116l9446,-1116,9446,-958,9446,-800,10824,-800,10824,-958,10824,-1116m10824,-1273l9446,-1273,9446,-1116,10824,-1116,10824,-1273m10824,-1442l9446,-1442,9446,-1274,10824,-1274,10824,-1442e" filled="true" fillcolor="#baf9f5" stroked="false">
            <v:path arrowok="t"/>
            <v:fill type="solid"/>
            <w10:wrap type="none"/>
          </v:shape>
        </w:pict>
      </w:r>
      <w:r>
        <w:rPr/>
        <w:pict>
          <v:rect style="position:absolute;margin-left:506.485992pt;margin-top:-16.856796pt;width:34.7187pt;height:8.41667pt;mso-position-horizontal-relative:page;mso-position-vertical-relative:paragraph;z-index:-1128784" filled="true" fillcolor="#67ed4d" stroked="false">
            <v:fill type="solid"/>
            <w10:wrap type="none"/>
          </v:rect>
        </w:pict>
      </w:r>
      <w:r>
        <w:rPr>
          <w:w w:val="105"/>
          <w:sz w:val="21"/>
        </w:rPr>
        <w:t>Fuente: Elaboración propia con base al estudio realizado.</w:t>
      </w:r>
    </w:p>
    <w:p>
      <w:pPr>
        <w:spacing w:after="0"/>
        <w:jc w:val="left"/>
        <w:rPr>
          <w:sz w:val="21"/>
        </w:rPr>
        <w:sectPr>
          <w:pgSz w:w="12240" w:h="15840"/>
          <w:pgMar w:header="730" w:footer="1066" w:top="1320" w:bottom="1260" w:left="1720" w:right="1180"/>
        </w:sectPr>
      </w:pPr>
    </w:p>
    <w:p>
      <w:pPr>
        <w:pStyle w:val="BodyText"/>
        <w:spacing w:before="1"/>
        <w:rPr>
          <w:sz w:val="18"/>
        </w:rPr>
      </w:pPr>
    </w:p>
    <w:p>
      <w:pPr>
        <w:pStyle w:val="Heading4"/>
        <w:jc w:val="left"/>
      </w:pPr>
      <w:r>
        <w:rPr/>
        <w:pict>
          <v:line style="position:absolute;mso-position-horizontal-relative:page;mso-position-vertical-relative:paragraph;z-index:29560" from="93.199997pt,-19.614155pt" to="546.799997pt,-19.614155pt" stroked="true" strokeweight=".479981pt" strokecolor="#000000">
            <w10:wrap type="none"/>
          </v:line>
        </w:pict>
      </w:r>
      <w:r>
        <w:rPr/>
        <w:t>Reporte fotográfico de los conjuntos urbanos</w:t>
      </w:r>
    </w:p>
    <w:p>
      <w:pPr>
        <w:pStyle w:val="BodyText"/>
        <w:spacing w:before="2"/>
        <w:rPr>
          <w:b/>
          <w:sz w:val="35"/>
        </w:rPr>
      </w:pPr>
    </w:p>
    <w:p>
      <w:pPr>
        <w:spacing w:before="0"/>
        <w:ind w:left="268" w:right="0" w:firstLine="0"/>
        <w:jc w:val="left"/>
        <w:rPr>
          <w:sz w:val="21"/>
        </w:rPr>
      </w:pPr>
      <w:r>
        <w:rPr>
          <w:w w:val="105"/>
          <w:sz w:val="21"/>
        </w:rPr>
        <w:t>Fotografías 1. Villas del Campo I y II.</w:t>
      </w:r>
    </w:p>
    <w:p>
      <w:pPr>
        <w:pStyle w:val="BodyText"/>
        <w:rPr>
          <w:sz w:val="27"/>
        </w:rPr>
      </w:pPr>
      <w:r>
        <w:rPr/>
        <w:pict>
          <v:group style="position:absolute;margin-left:117.330002pt;margin-top:17.494925pt;width:198pt;height:145.8pt;mso-position-horizontal-relative:page;mso-position-vertical-relative:paragraph;z-index:29296;mso-wrap-distance-left:0;mso-wrap-distance-right:0" coordorigin="2347,350" coordsize="3960,2916">
            <v:shape style="position:absolute;left:2347;top:350;width:3813;height:2880" type="#_x0000_t75" stroked="false">
              <v:imagedata r:id="rId358" o:title=""/>
            </v:shape>
            <v:shape style="position:absolute;left:2347;top:2906;width:3960;height:360" type="#_x0000_t75" stroked="false">
              <v:imagedata r:id="rId359" o:title=""/>
            </v:shape>
            <v:shape style="position:absolute;left:2347;top:350;width:3960;height:2916"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3"/>
                      <w:rPr>
                        <w:sz w:val="29"/>
                      </w:rPr>
                    </w:pPr>
                  </w:p>
                  <w:p>
                    <w:pPr>
                      <w:spacing w:before="0"/>
                      <w:ind w:left="144" w:right="0" w:firstLine="0"/>
                      <w:jc w:val="left"/>
                      <w:rPr>
                        <w:sz w:val="19"/>
                      </w:rPr>
                    </w:pPr>
                    <w:r>
                      <w:rPr>
                        <w:w w:val="105"/>
                        <w:sz w:val="19"/>
                      </w:rPr>
                      <w:t>Lotificación en condominio en el CU.</w:t>
                    </w:r>
                  </w:p>
                </w:txbxContent>
              </v:textbox>
              <w10:wrap type="none"/>
            </v:shape>
            <w10:wrap type="topAndBottom"/>
          </v:group>
        </w:pict>
      </w:r>
      <w:r>
        <w:rPr/>
        <w:pict>
          <v:group style="position:absolute;margin-left:324.089996pt;margin-top:17.494925pt;width:207.25pt;height:145.8pt;mso-position-horizontal-relative:page;mso-position-vertical-relative:paragraph;z-index:29344;mso-wrap-distance-left:0;mso-wrap-distance-right:0" coordorigin="6482,350" coordsize="4145,2916">
            <v:shape style="position:absolute;left:6487;top:350;width:4140;height:2880" type="#_x0000_t75" stroked="false">
              <v:imagedata r:id="rId360" o:title=""/>
            </v:shape>
            <v:shape style="position:absolute;left:6482;top:2906;width:4145;height:360" type="#_x0000_t75" stroked="false">
              <v:imagedata r:id="rId361" o:title=""/>
            </v:shape>
            <v:shape style="position:absolute;left:6626;top:3006;width:2259;height:197" type="#_x0000_t202" filled="false" stroked="false">
              <v:textbox inset="0,0,0,0">
                <w:txbxContent>
                  <w:p>
                    <w:pPr>
                      <w:spacing w:line="197" w:lineRule="exact" w:before="0"/>
                      <w:ind w:left="0" w:right="-13" w:firstLine="0"/>
                      <w:jc w:val="left"/>
                      <w:rPr>
                        <w:sz w:val="19"/>
                      </w:rPr>
                    </w:pPr>
                    <w:r>
                      <w:rPr>
                        <w:w w:val="105"/>
                        <w:sz w:val="19"/>
                      </w:rPr>
                      <w:t>Área verde en vialidades.</w:t>
                    </w:r>
                  </w:p>
                </w:txbxContent>
              </v:textbox>
              <w10:wrap type="none"/>
            </v:shape>
            <w10:wrap type="topAndBottom"/>
          </v:group>
        </w:pict>
      </w:r>
      <w:r>
        <w:rPr/>
        <w:pict>
          <v:group style="position:absolute;margin-left:117.330002pt;margin-top:179.544922pt;width:198pt;height:145.75pt;mso-position-horizontal-relative:page;mso-position-vertical-relative:paragraph;z-index:29392;mso-wrap-distance-left:0;mso-wrap-distance-right:0" coordorigin="2347,3591" coordsize="3960,2915">
            <v:shape style="position:absolute;left:2347;top:3591;width:3793;height:2850" type="#_x0000_t75" stroked="false">
              <v:imagedata r:id="rId362" o:title=""/>
            </v:shape>
            <v:shape style="position:absolute;left:2347;top:6146;width:3960;height:360" type="#_x0000_t75" stroked="false">
              <v:imagedata r:id="rId359" o:title=""/>
            </v:shape>
            <v:shape style="position:absolute;left:2491;top:6241;width:2580;height:197" type="#_x0000_t202" filled="false" stroked="false">
              <v:textbox inset="0,0,0,0">
                <w:txbxContent>
                  <w:p>
                    <w:pPr>
                      <w:spacing w:line="197" w:lineRule="exact" w:before="0"/>
                      <w:ind w:left="0" w:right="-14" w:firstLine="0"/>
                      <w:jc w:val="left"/>
                      <w:rPr>
                        <w:sz w:val="19"/>
                      </w:rPr>
                    </w:pPr>
                    <w:r>
                      <w:rPr>
                        <w:w w:val="105"/>
                        <w:sz w:val="19"/>
                      </w:rPr>
                      <w:t>Diseño urbano en vialidades.</w:t>
                    </w:r>
                  </w:p>
                </w:txbxContent>
              </v:textbox>
              <w10:wrap type="none"/>
            </v:shape>
            <w10:wrap type="topAndBottom"/>
          </v:group>
        </w:pict>
      </w:r>
      <w:r>
        <w:rPr/>
        <w:pict>
          <v:group style="position:absolute;margin-left:324.089996pt;margin-top:179.544922pt;width:207.25pt;height:145.75pt;mso-position-horizontal-relative:page;mso-position-vertical-relative:paragraph;z-index:29440;mso-wrap-distance-left:0;mso-wrap-distance-right:0" coordorigin="6482,3591" coordsize="4145,2915">
            <v:shape style="position:absolute;left:6487;top:3591;width:4140;height:2850" type="#_x0000_t75" stroked="false">
              <v:imagedata r:id="rId363" o:title=""/>
            </v:shape>
            <v:shape style="position:absolute;left:6482;top:6146;width:4145;height:360" type="#_x0000_t75" stroked="false">
              <v:imagedata r:id="rId361" o:title=""/>
            </v:shape>
            <v:shape style="position:absolute;left:6626;top:6241;width:2244;height:197" type="#_x0000_t202" filled="false" stroked="false">
              <v:textbox inset="0,0,0,0">
                <w:txbxContent>
                  <w:p>
                    <w:pPr>
                      <w:spacing w:line="197" w:lineRule="exact" w:before="0"/>
                      <w:ind w:left="0" w:right="-16" w:firstLine="0"/>
                      <w:jc w:val="left"/>
                      <w:rPr>
                        <w:sz w:val="19"/>
                      </w:rPr>
                    </w:pPr>
                    <w:r>
                      <w:rPr>
                        <w:w w:val="105"/>
                        <w:sz w:val="19"/>
                      </w:rPr>
                      <w:t>Proceso de construcción.</w:t>
                    </w:r>
                  </w:p>
                </w:txbxContent>
              </v:textbox>
              <w10:wrap type="none"/>
            </v:shape>
            <w10:wrap type="topAndBottom"/>
          </v:group>
        </w:pict>
      </w:r>
      <w:r>
        <w:rPr/>
        <w:pict>
          <v:group style="position:absolute;margin-left:117.279999pt;margin-top:343.294922pt;width:189.05pt;height:162pt;mso-position-horizontal-relative:page;mso-position-vertical-relative:paragraph;z-index:29488;mso-wrap-distance-left:0;mso-wrap-distance-right:0" coordorigin="2346,6866" coordsize="3781,3240">
            <v:shape style="position:absolute;left:2346;top:6866;width:3779;height:3240" type="#_x0000_t75" stroked="false">
              <v:imagedata r:id="rId364" o:title=""/>
            </v:shape>
            <v:shape style="position:absolute;left:2347;top:9709;width:3780;height:360" type="#_x0000_t75" stroked="false">
              <v:imagedata r:id="rId365" o:title=""/>
            </v:shape>
            <v:shape style="position:absolute;left:2491;top:9809;width:2700;height:197" type="#_x0000_t202" filled="false" stroked="false">
              <v:textbox inset="0,0,0,0">
                <w:txbxContent>
                  <w:p>
                    <w:pPr>
                      <w:spacing w:line="197" w:lineRule="exact" w:before="0"/>
                      <w:ind w:left="0" w:right="-15" w:firstLine="0"/>
                      <w:jc w:val="left"/>
                      <w:rPr>
                        <w:sz w:val="19"/>
                      </w:rPr>
                    </w:pPr>
                    <w:r>
                      <w:rPr>
                        <w:w w:val="105"/>
                        <w:sz w:val="19"/>
                      </w:rPr>
                      <w:t>Acceso al CU y fin de vialidad.</w:t>
                    </w:r>
                  </w:p>
                </w:txbxContent>
              </v:textbox>
              <w10:wrap type="none"/>
            </v:shape>
            <w10:wrap type="topAndBottom"/>
          </v:group>
        </w:pict>
      </w:r>
      <w:r>
        <w:rPr/>
        <w:pict>
          <v:group style="position:absolute;margin-left:324.089996pt;margin-top:343.294922pt;width:207.25pt;height:162pt;mso-position-horizontal-relative:page;mso-position-vertical-relative:paragraph;z-index:29536;mso-wrap-distance-left:0;mso-wrap-distance-right:0" coordorigin="6482,6866" coordsize="4145,3240">
            <v:shape style="position:absolute;left:6487;top:6866;width:4138;height:3240" type="#_x0000_t75" stroked="false">
              <v:imagedata r:id="rId366" o:title=""/>
            </v:shape>
            <v:shape style="position:absolute;left:6482;top:9709;width:4145;height:360" type="#_x0000_t75" stroked="false">
              <v:imagedata r:id="rId361" o:title=""/>
            </v:shape>
            <v:shape style="position:absolute;left:6626;top:9809;width:1855;height:197" type="#_x0000_t202" filled="false" stroked="false">
              <v:textbox inset="0,0,0,0">
                <w:txbxContent>
                  <w:p>
                    <w:pPr>
                      <w:spacing w:line="197" w:lineRule="exact" w:before="0"/>
                      <w:ind w:left="0" w:right="-17" w:firstLine="0"/>
                      <w:jc w:val="left"/>
                      <w:rPr>
                        <w:sz w:val="19"/>
                      </w:rPr>
                    </w:pPr>
                    <w:r>
                      <w:rPr>
                        <w:w w:val="105"/>
                        <w:sz w:val="19"/>
                      </w:rPr>
                      <w:t>Fosa séptica del CU.</w:t>
                    </w:r>
                  </w:p>
                </w:txbxContent>
              </v:textbox>
              <w10:wrap type="none"/>
            </v:shape>
            <w10:wrap type="topAndBottom"/>
          </v:group>
        </w:pict>
      </w:r>
    </w:p>
    <w:p>
      <w:pPr>
        <w:pStyle w:val="BodyText"/>
        <w:spacing w:before="4"/>
        <w:rPr>
          <w:sz w:val="22"/>
        </w:rPr>
      </w:pPr>
    </w:p>
    <w:p>
      <w:pPr>
        <w:pStyle w:val="BodyText"/>
        <w:spacing w:before="4"/>
        <w:rPr>
          <w:sz w:val="25"/>
        </w:rPr>
      </w:pPr>
    </w:p>
    <w:p>
      <w:pPr>
        <w:spacing w:line="376" w:lineRule="auto" w:before="121"/>
        <w:ind w:left="268" w:right="0" w:firstLine="0"/>
        <w:jc w:val="left"/>
        <w:rPr>
          <w:sz w:val="21"/>
        </w:rPr>
      </w:pPr>
      <w:r>
        <w:rPr>
          <w:w w:val="105"/>
          <w:sz w:val="21"/>
        </w:rPr>
        <w:t>Fuente: Información propia con base al trabajo de campo y google earth, en el periodo de estudio 2013 - 2016.</w:t>
      </w:r>
    </w:p>
    <w:p>
      <w:pPr>
        <w:spacing w:after="0" w:line="376" w:lineRule="auto"/>
        <w:jc w:val="left"/>
        <w:rPr>
          <w:sz w:val="21"/>
        </w:rPr>
        <w:sectPr>
          <w:pgSz w:w="12240" w:h="15840"/>
          <w:pgMar w:header="730" w:footer="1066" w:top="1320" w:bottom="1260" w:left="1720" w:right="1180"/>
        </w:sectPr>
      </w:pPr>
    </w:p>
    <w:p>
      <w:pPr>
        <w:pStyle w:val="BodyText"/>
        <w:spacing w:before="1"/>
        <w:rPr>
          <w:sz w:val="18"/>
        </w:rPr>
      </w:pPr>
    </w:p>
    <w:p>
      <w:pPr>
        <w:spacing w:before="78"/>
        <w:ind w:left="268" w:right="0" w:firstLine="0"/>
        <w:jc w:val="left"/>
        <w:rPr>
          <w:sz w:val="21"/>
        </w:rPr>
      </w:pPr>
      <w:r>
        <w:rPr/>
        <w:pict>
          <v:line style="position:absolute;mso-position-horizontal-relative:page;mso-position-vertical-relative:paragraph;z-index:29872" from="93.199997pt,-19.611116pt" to="546.799997pt,-19.611116pt" stroked="true" strokeweight=".479981pt" strokecolor="#000000">
            <w10:wrap type="none"/>
          </v:line>
        </w:pict>
      </w:r>
      <w:r>
        <w:rPr>
          <w:w w:val="105"/>
          <w:sz w:val="21"/>
        </w:rPr>
        <w:t>Fotografías 2. San Andrés.</w:t>
      </w:r>
    </w:p>
    <w:p>
      <w:pPr>
        <w:pStyle w:val="BodyText"/>
        <w:spacing w:before="3"/>
        <w:rPr>
          <w:sz w:val="10"/>
        </w:rPr>
      </w:pPr>
      <w:r>
        <w:rPr/>
        <w:pict>
          <v:group style="position:absolute;margin-left:117.330002pt;margin-top:8.1449pt;width:198pt;height:128.1pt;mso-position-horizontal-relative:page;mso-position-vertical-relative:paragraph;z-index:29608;mso-wrap-distance-left:0;mso-wrap-distance-right:0" coordorigin="2347,163" coordsize="3960,2562">
            <v:shape style="position:absolute;left:2347;top:163;width:3845;height:2562" type="#_x0000_t75" stroked="false">
              <v:imagedata r:id="rId367" o:title=""/>
            </v:shape>
            <v:shape style="position:absolute;left:2347;top:2289;width:3960;height:360" type="#_x0000_t75" stroked="false">
              <v:imagedata r:id="rId359" o:title=""/>
            </v:shape>
            <v:shape style="position:absolute;left:2491;top:2379;width:1956;height:197" type="#_x0000_t202" filled="false" stroked="false">
              <v:textbox inset="0,0,0,0">
                <w:txbxContent>
                  <w:p>
                    <w:pPr>
                      <w:spacing w:line="197" w:lineRule="exact" w:before="0"/>
                      <w:ind w:left="0" w:right="-16" w:firstLine="0"/>
                      <w:jc w:val="left"/>
                      <w:rPr>
                        <w:sz w:val="19"/>
                      </w:rPr>
                    </w:pPr>
                    <w:r>
                      <w:rPr>
                        <w:w w:val="105"/>
                        <w:sz w:val="19"/>
                      </w:rPr>
                      <w:t>Acceso por ubicación.</w:t>
                    </w:r>
                  </w:p>
                </w:txbxContent>
              </v:textbox>
              <w10:wrap type="none"/>
            </v:shape>
            <w10:wrap type="topAndBottom"/>
          </v:group>
        </w:pict>
      </w:r>
      <w:r>
        <w:rPr/>
        <w:pict>
          <v:group style="position:absolute;margin-left:333.329987pt;margin-top:7.8949pt;width:198pt;height:124.55pt;mso-position-horizontal-relative:page;mso-position-vertical-relative:paragraph;z-index:29656;mso-wrap-distance-left:0;mso-wrap-distance-right:0" coordorigin="6667,158" coordsize="3960,2491">
            <v:shape style="position:absolute;left:6667;top:158;width:3780;height:2458" type="#_x0000_t75" stroked="false">
              <v:imagedata r:id="rId368" o:title=""/>
            </v:shape>
            <v:shape style="position:absolute;left:6667;top:2289;width:3960;height:360" type="#_x0000_t75" stroked="false">
              <v:imagedata r:id="rId359" o:title=""/>
            </v:shape>
            <v:shape style="position:absolute;left:6667;top:158;width:3960;height:2491"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before="132"/>
                      <w:ind w:left="143" w:right="0" w:firstLine="0"/>
                      <w:jc w:val="left"/>
                      <w:rPr>
                        <w:sz w:val="19"/>
                      </w:rPr>
                    </w:pPr>
                    <w:r>
                      <w:rPr>
                        <w:w w:val="105"/>
                        <w:sz w:val="19"/>
                      </w:rPr>
                      <w:t>Salida tipo paso de servidumbre.</w:t>
                    </w:r>
                  </w:p>
                </w:txbxContent>
              </v:textbox>
              <w10:wrap type="none"/>
            </v:shape>
            <w10:wrap type="topAndBottom"/>
          </v:group>
        </w:pict>
      </w:r>
      <w:r>
        <w:rPr/>
        <w:pict>
          <v:group style="position:absolute;margin-left:117.330002pt;margin-top:152.594894pt;width:189pt;height:126pt;mso-position-horizontal-relative:page;mso-position-vertical-relative:paragraph;z-index:29704;mso-wrap-distance-left:0;mso-wrap-distance-right:0" coordorigin="2347,3052" coordsize="3780,2520">
            <v:shape style="position:absolute;left:2347;top:3052;width:3780;height:2520" type="#_x0000_t75" stroked="false">
              <v:imagedata r:id="rId369" o:title=""/>
            </v:shape>
            <v:shape style="position:absolute;left:2347;top:5124;width:3780;height:360" type="#_x0000_t75" stroked="false">
              <v:imagedata r:id="rId365" o:title=""/>
            </v:shape>
            <v:shape style="position:absolute;left:2491;top:5219;width:2413;height:197" type="#_x0000_t202" filled="false" stroked="false">
              <v:textbox inset="0,0,0,0">
                <w:txbxContent>
                  <w:p>
                    <w:pPr>
                      <w:spacing w:line="197" w:lineRule="exact" w:before="0"/>
                      <w:ind w:left="0" w:right="-14" w:firstLine="0"/>
                      <w:jc w:val="left"/>
                      <w:rPr>
                        <w:sz w:val="19"/>
                      </w:rPr>
                    </w:pPr>
                    <w:r>
                      <w:rPr>
                        <w:w w:val="105"/>
                        <w:sz w:val="19"/>
                      </w:rPr>
                      <w:t>Áreas entre lotes privativos</w:t>
                    </w:r>
                  </w:p>
                </w:txbxContent>
              </v:textbox>
              <w10:wrap type="none"/>
            </v:shape>
            <w10:wrap type="topAndBottom"/>
          </v:group>
        </w:pict>
      </w:r>
      <w:r>
        <w:rPr/>
        <w:pict>
          <v:group style="position:absolute;margin-left:333.329987pt;margin-top:152.594894pt;width:189pt;height:126pt;mso-position-horizontal-relative:page;mso-position-vertical-relative:paragraph;z-index:29752;mso-wrap-distance-left:0;mso-wrap-distance-right:0" coordorigin="6667,3052" coordsize="3780,2520">
            <v:shape style="position:absolute;left:6667;top:3052;width:3780;height:2520" type="#_x0000_t75" stroked="false">
              <v:imagedata r:id="rId370" o:title=""/>
            </v:shape>
            <v:shape style="position:absolute;left:6667;top:5124;width:3780;height:360" type="#_x0000_t75" stroked="false">
              <v:imagedata r:id="rId365" o:title=""/>
            </v:shape>
            <v:shape style="position:absolute;left:6811;top:5219;width:1558;height:197" type="#_x0000_t202" filled="false" stroked="false">
              <v:textbox inset="0,0,0,0">
                <w:txbxContent>
                  <w:p>
                    <w:pPr>
                      <w:spacing w:line="197" w:lineRule="exact" w:before="0"/>
                      <w:ind w:left="0" w:right="-15" w:firstLine="0"/>
                      <w:jc w:val="left"/>
                      <w:rPr>
                        <w:sz w:val="19"/>
                      </w:rPr>
                    </w:pPr>
                    <w:r>
                      <w:rPr>
                        <w:w w:val="105"/>
                        <w:sz w:val="19"/>
                      </w:rPr>
                      <w:t>Áreas deportivas.</w:t>
                    </w:r>
                  </w:p>
                </w:txbxContent>
              </v:textbox>
              <w10:wrap type="none"/>
            </v:shape>
            <w10:wrap type="topAndBottom"/>
          </v:group>
        </w:pict>
      </w:r>
    </w:p>
    <w:p>
      <w:pPr>
        <w:pStyle w:val="BodyText"/>
        <w:spacing w:before="6"/>
        <w:rPr>
          <w:sz w:val="22"/>
        </w:rPr>
      </w:pPr>
    </w:p>
    <w:p>
      <w:pPr>
        <w:pStyle w:val="BodyText"/>
        <w:rPr>
          <w:sz w:val="20"/>
        </w:rPr>
      </w:pPr>
    </w:p>
    <w:p>
      <w:pPr>
        <w:pStyle w:val="BodyText"/>
        <w:spacing w:before="2"/>
        <w:rPr>
          <w:sz w:val="17"/>
        </w:rPr>
      </w:pPr>
      <w:r>
        <w:rPr/>
        <w:pict>
          <v:group style="position:absolute;margin-left:117.330002pt;margin-top:11.850977pt;width:189pt;height:144pt;mso-position-horizontal-relative:page;mso-position-vertical-relative:paragraph;z-index:29800;mso-wrap-distance-left:0;mso-wrap-distance-right:0" coordorigin="2347,237" coordsize="3780,2880">
            <v:shape style="position:absolute;left:2347;top:237;width:3780;height:2880" type="#_x0000_t75" stroked="false">
              <v:imagedata r:id="rId371" o:title=""/>
            </v:shape>
            <v:shape style="position:absolute;left:2347;top:2668;width:3780;height:360" type="#_x0000_t75" stroked="false">
              <v:imagedata r:id="rId365" o:title=""/>
            </v:shape>
            <v:shape style="position:absolute;left:2491;top:2763;width:2211;height:197" type="#_x0000_t202" filled="false" stroked="false">
              <v:textbox inset="0,0,0,0">
                <w:txbxContent>
                  <w:p>
                    <w:pPr>
                      <w:spacing w:line="197" w:lineRule="exact" w:before="0"/>
                      <w:ind w:left="0" w:right="-16" w:firstLine="0"/>
                      <w:jc w:val="left"/>
                      <w:rPr>
                        <w:sz w:val="19"/>
                      </w:rPr>
                    </w:pPr>
                    <w:r>
                      <w:rPr>
                        <w:w w:val="105"/>
                        <w:sz w:val="19"/>
                      </w:rPr>
                      <w:t>Prototipo en condominio.</w:t>
                    </w:r>
                  </w:p>
                </w:txbxContent>
              </v:textbox>
              <w10:wrap type="none"/>
            </v:shape>
            <w10:wrap type="topAndBottom"/>
          </v:group>
        </w:pict>
      </w:r>
      <w:r>
        <w:rPr/>
        <w:pict>
          <v:group style="position:absolute;margin-left:333.329987pt;margin-top:11.850977pt;width:189pt;height:144pt;mso-position-horizontal-relative:page;mso-position-vertical-relative:paragraph;z-index:29848;mso-wrap-distance-left:0;mso-wrap-distance-right:0" coordorigin="6667,237" coordsize="3780,2880">
            <v:shape style="position:absolute;left:6667;top:237;width:3779;height:2880" type="#_x0000_t75" stroked="false">
              <v:imagedata r:id="rId372" o:title=""/>
            </v:shape>
            <v:shape style="position:absolute;left:6667;top:2668;width:3780;height:360" type="#_x0000_t75" stroked="false">
              <v:imagedata r:id="rId365" o:title=""/>
            </v:shape>
            <v:shape style="position:absolute;left:6811;top:2763;width:1879;height:197" type="#_x0000_t202" filled="false" stroked="false">
              <v:textbox inset="0,0,0,0">
                <w:txbxContent>
                  <w:p>
                    <w:pPr>
                      <w:spacing w:line="197" w:lineRule="exact" w:before="0"/>
                      <w:ind w:left="0" w:right="-16" w:firstLine="0"/>
                      <w:jc w:val="left"/>
                      <w:rPr>
                        <w:sz w:val="19"/>
                      </w:rPr>
                    </w:pPr>
                    <w:r>
                      <w:rPr>
                        <w:w w:val="105"/>
                        <w:sz w:val="19"/>
                      </w:rPr>
                      <w:t>Prototipo en víalidad.</w:t>
                    </w:r>
                  </w:p>
                </w:txbxContent>
              </v:textbox>
              <w10:wrap type="none"/>
            </v:shape>
            <w10:wrap type="topAndBottom"/>
          </v:group>
        </w:pict>
      </w:r>
    </w:p>
    <w:p>
      <w:pPr>
        <w:spacing w:line="376" w:lineRule="auto" w:before="146"/>
        <w:ind w:left="268" w:right="241" w:firstLine="0"/>
        <w:jc w:val="left"/>
        <w:rPr>
          <w:sz w:val="21"/>
        </w:rPr>
      </w:pPr>
      <w:r>
        <w:rPr>
          <w:w w:val="105"/>
          <w:sz w:val="21"/>
        </w:rPr>
        <w:t>Fuente: Información de ventas con base al trabajo de campo y google earth, en el periodo de estudio 2013 - 2016.</w:t>
      </w:r>
    </w:p>
    <w:p>
      <w:pPr>
        <w:spacing w:after="0" w:line="376" w:lineRule="auto"/>
        <w:jc w:val="left"/>
        <w:rPr>
          <w:sz w:val="21"/>
        </w:rPr>
        <w:sectPr>
          <w:pgSz w:w="12240" w:h="15840"/>
          <w:pgMar w:header="730" w:footer="1066" w:top="1320" w:bottom="1260" w:left="1720" w:right="1180"/>
        </w:sectPr>
      </w:pPr>
    </w:p>
    <w:p>
      <w:pPr>
        <w:pStyle w:val="BodyText"/>
        <w:rPr>
          <w:sz w:val="20"/>
        </w:rPr>
      </w:pPr>
    </w:p>
    <w:p>
      <w:pPr>
        <w:pStyle w:val="BodyText"/>
        <w:rPr>
          <w:sz w:val="20"/>
        </w:rPr>
      </w:pPr>
    </w:p>
    <w:p>
      <w:pPr>
        <w:pStyle w:val="BodyText"/>
        <w:spacing w:before="6"/>
        <w:rPr>
          <w:sz w:val="21"/>
        </w:rPr>
      </w:pPr>
    </w:p>
    <w:p>
      <w:pPr>
        <w:spacing w:before="78"/>
        <w:ind w:left="268" w:right="0" w:firstLine="0"/>
        <w:jc w:val="left"/>
        <w:rPr>
          <w:sz w:val="21"/>
        </w:rPr>
      </w:pPr>
      <w:r>
        <w:rPr/>
        <w:pict>
          <v:line style="position:absolute;mso-position-horizontal-relative:page;mso-position-vertical-relative:paragraph;z-index:30184" from="93.199997pt,-44.571136pt" to="546.799997pt,-44.571136pt" stroked="true" strokeweight=".479981pt" strokecolor="#000000">
            <w10:wrap type="none"/>
          </v:line>
        </w:pict>
      </w:r>
      <w:r>
        <w:rPr>
          <w:w w:val="105"/>
          <w:sz w:val="21"/>
        </w:rPr>
        <w:t>Fotografías 3. Valle del Nevado.</w:t>
      </w:r>
    </w:p>
    <w:p>
      <w:pPr>
        <w:pStyle w:val="BodyText"/>
        <w:spacing w:before="11"/>
        <w:rPr>
          <w:sz w:val="25"/>
        </w:rPr>
      </w:pPr>
      <w:r>
        <w:rPr/>
        <w:pict>
          <v:group style="position:absolute;margin-left:108.089996pt;margin-top:16.884878pt;width:207.25pt;height:117pt;mso-position-horizontal-relative:page;mso-position-vertical-relative:paragraph;z-index:29920;mso-wrap-distance-left:0;mso-wrap-distance-right:0" coordorigin="2162,338" coordsize="4145,2340">
            <v:shape style="position:absolute;left:2167;top:338;width:4091;height:2340" type="#_x0000_t75" stroked="false">
              <v:imagedata r:id="rId374" o:title=""/>
            </v:shape>
            <v:shape style="position:absolute;left:2162;top:2289;width:4145;height:360" type="#_x0000_t75" stroked="false">
              <v:imagedata r:id="rId361" o:title=""/>
            </v:shape>
            <v:shape style="position:absolute;left:2306;top:2379;width:1399;height:197" type="#_x0000_t202" filled="false" stroked="false">
              <v:textbox inset="0,0,0,0">
                <w:txbxContent>
                  <w:p>
                    <w:pPr>
                      <w:spacing w:line="197" w:lineRule="exact" w:before="0"/>
                      <w:ind w:left="0" w:right="-19" w:firstLine="0"/>
                      <w:jc w:val="left"/>
                      <w:rPr>
                        <w:sz w:val="19"/>
                      </w:rPr>
                    </w:pPr>
                    <w:r>
                      <w:rPr>
                        <w:w w:val="105"/>
                        <w:sz w:val="19"/>
                      </w:rPr>
                      <w:t>Acceso público.</w:t>
                    </w:r>
                  </w:p>
                </w:txbxContent>
              </v:textbox>
              <w10:wrap type="none"/>
            </v:shape>
            <w10:wrap type="topAndBottom"/>
          </v:group>
        </w:pict>
      </w:r>
      <w:r>
        <w:rPr/>
        <w:pict>
          <v:group style="position:absolute;margin-left:333.329987pt;margin-top:16.884878pt;width:198pt;height:117pt;mso-position-horizontal-relative:page;mso-position-vertical-relative:paragraph;z-index:29968;mso-wrap-distance-left:0;mso-wrap-distance-right:0" coordorigin="6667,338" coordsize="3960,2340">
            <v:shape style="position:absolute;left:6669;top:338;width:3958;height:2340" type="#_x0000_t75" stroked="false">
              <v:imagedata r:id="rId375" o:title=""/>
            </v:shape>
            <v:shape style="position:absolute;left:6667;top:2289;width:3960;height:360" type="#_x0000_t75" stroked="false">
              <v:imagedata r:id="rId359" o:title=""/>
            </v:shape>
            <v:shape style="position:absolute;left:6811;top:2379;width:1901;height:197" type="#_x0000_t202" filled="false" stroked="false">
              <v:textbox inset="0,0,0,0">
                <w:txbxContent>
                  <w:p>
                    <w:pPr>
                      <w:spacing w:line="197" w:lineRule="exact" w:before="0"/>
                      <w:ind w:left="0" w:right="-16" w:firstLine="0"/>
                      <w:jc w:val="left"/>
                      <w:rPr>
                        <w:sz w:val="19"/>
                      </w:rPr>
                    </w:pPr>
                    <w:r>
                      <w:rPr>
                        <w:w w:val="105"/>
                        <w:sz w:val="19"/>
                      </w:rPr>
                      <w:t>Planta de tratamiento</w:t>
                    </w:r>
                  </w:p>
                </w:txbxContent>
              </v:textbox>
              <w10:wrap type="none"/>
            </v:shape>
            <w10:wrap type="topAndBottom"/>
          </v:group>
        </w:pict>
      </w:r>
    </w:p>
    <w:p>
      <w:pPr>
        <w:pStyle w:val="BodyText"/>
        <w:rPr>
          <w:sz w:val="20"/>
        </w:rPr>
      </w:pPr>
    </w:p>
    <w:p>
      <w:pPr>
        <w:pStyle w:val="BodyText"/>
        <w:spacing w:before="2"/>
        <w:rPr>
          <w:sz w:val="17"/>
        </w:rPr>
      </w:pPr>
      <w:r>
        <w:rPr/>
        <w:pict>
          <v:group style="position:absolute;margin-left:108.089996pt;margin-top:11.850977pt;width:207.3pt;height:135pt;mso-position-horizontal-relative:page;mso-position-vertical-relative:paragraph;z-index:30016;mso-wrap-distance-left:0;mso-wrap-distance-right:0" coordorigin="2162,237" coordsize="4146,2700">
            <v:shape style="position:absolute;left:2167;top:237;width:4141;height:2700" type="#_x0000_t75" stroked="false">
              <v:imagedata r:id="rId376" o:title=""/>
            </v:shape>
            <v:shape style="position:absolute;left:2162;top:2547;width:4145;height:360" type="#_x0000_t75" stroked="false">
              <v:imagedata r:id="rId361" o:title=""/>
            </v:shape>
            <v:shape style="position:absolute;left:2162;top:237;width:4146;height:2700"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5"/>
                      <w:rPr>
                        <w:sz w:val="27"/>
                      </w:rPr>
                    </w:pPr>
                  </w:p>
                  <w:p>
                    <w:pPr>
                      <w:spacing w:before="1"/>
                      <w:ind w:left="144" w:right="0" w:firstLine="0"/>
                      <w:jc w:val="left"/>
                      <w:rPr>
                        <w:sz w:val="19"/>
                      </w:rPr>
                    </w:pPr>
                    <w:r>
                      <w:rPr>
                        <w:w w:val="105"/>
                        <w:sz w:val="19"/>
                      </w:rPr>
                      <w:t>Planta de tratamiento y zona deportiva.</w:t>
                    </w:r>
                  </w:p>
                </w:txbxContent>
              </v:textbox>
              <w10:wrap type="none"/>
            </v:shape>
            <w10:wrap type="topAndBottom"/>
          </v:group>
        </w:pict>
      </w:r>
      <w:r>
        <w:rPr/>
        <w:pict>
          <v:group style="position:absolute;margin-left:333.329987pt;margin-top:11.850977pt;width:198pt;height:135pt;mso-position-horizontal-relative:page;mso-position-vertical-relative:paragraph;z-index:30064;mso-wrap-distance-left:0;mso-wrap-distance-right:0" coordorigin="6667,237" coordsize="3960,2700">
            <v:shape style="position:absolute;left:6667;top:237;width:3960;height:2700" type="#_x0000_t75" stroked="false">
              <v:imagedata r:id="rId377" o:title=""/>
            </v:shape>
            <v:shape style="position:absolute;left:6667;top:2547;width:3960;height:360" type="#_x0000_t75" stroked="false">
              <v:imagedata r:id="rId359" o:title=""/>
            </v:shape>
            <v:shape style="position:absolute;left:6667;top:237;width:3960;height:2700"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5"/>
                      <w:rPr>
                        <w:sz w:val="27"/>
                      </w:rPr>
                    </w:pPr>
                  </w:p>
                  <w:p>
                    <w:pPr>
                      <w:spacing w:before="1"/>
                      <w:ind w:left="143" w:right="0" w:firstLine="0"/>
                      <w:jc w:val="left"/>
                      <w:rPr>
                        <w:sz w:val="19"/>
                      </w:rPr>
                    </w:pPr>
                    <w:r>
                      <w:rPr>
                        <w:w w:val="105"/>
                        <w:sz w:val="19"/>
                      </w:rPr>
                      <w:t>Continuidad social de vías públicas</w:t>
                    </w:r>
                  </w:p>
                </w:txbxContent>
              </v:textbox>
              <w10:wrap type="none"/>
            </v:shape>
            <w10:wrap type="topAndBottom"/>
          </v:group>
        </w:pict>
      </w:r>
    </w:p>
    <w:p>
      <w:pPr>
        <w:pStyle w:val="BodyText"/>
        <w:rPr>
          <w:sz w:val="20"/>
        </w:rPr>
      </w:pPr>
    </w:p>
    <w:p>
      <w:pPr>
        <w:pStyle w:val="BodyText"/>
        <w:spacing w:before="2"/>
        <w:rPr>
          <w:sz w:val="17"/>
        </w:rPr>
      </w:pPr>
      <w:r>
        <w:rPr/>
        <w:pict>
          <v:group style="position:absolute;margin-left:108.089996pt;margin-top:11.850977pt;width:207.25pt;height:147.5pt;mso-position-horizontal-relative:page;mso-position-vertical-relative:paragraph;z-index:30112;mso-wrap-distance-left:0;mso-wrap-distance-right:0" coordorigin="2162,237" coordsize="4145,2950">
            <v:shape style="position:absolute;left:2167;top:237;width:4140;height:2950" type="#_x0000_t75" stroked="false">
              <v:imagedata r:id="rId378" o:title=""/>
            </v:shape>
            <v:shape style="position:absolute;left:2162;top:2719;width:4145;height:360" type="#_x0000_t75" stroked="false">
              <v:imagedata r:id="rId361" o:title=""/>
            </v:shape>
            <v:shape style="position:absolute;left:2162;top:237;width:4145;height:2950"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5"/>
                      <w:rPr>
                        <w:sz w:val="22"/>
                      </w:rPr>
                    </w:pPr>
                  </w:p>
                  <w:p>
                    <w:pPr>
                      <w:spacing w:before="0"/>
                      <w:ind w:left="144" w:right="0" w:firstLine="0"/>
                      <w:jc w:val="left"/>
                      <w:rPr>
                        <w:sz w:val="19"/>
                      </w:rPr>
                    </w:pPr>
                    <w:r>
                      <w:rPr>
                        <w:w w:val="105"/>
                        <w:sz w:val="19"/>
                      </w:rPr>
                      <w:t>Equipamiento educativo inconcluso.</w:t>
                    </w:r>
                  </w:p>
                </w:txbxContent>
              </v:textbox>
              <w10:wrap type="none"/>
            </v:shape>
            <w10:wrap type="topAndBottom"/>
          </v:group>
        </w:pict>
      </w:r>
      <w:r>
        <w:rPr/>
        <w:pict>
          <v:group style="position:absolute;margin-left:342.089996pt;margin-top:11.850977pt;width:189.25pt;height:144pt;mso-position-horizontal-relative:page;mso-position-vertical-relative:paragraph;z-index:30160;mso-wrap-distance-left:0;mso-wrap-distance-right:0" coordorigin="6842,237" coordsize="3785,2880">
            <v:shape style="position:absolute;left:6847;top:237;width:3778;height:2879" type="#_x0000_t75" stroked="false">
              <v:imagedata r:id="rId379" o:title=""/>
            </v:shape>
            <v:shape style="position:absolute;left:6842;top:2719;width:3785;height:360" type="#_x0000_t75" stroked="false">
              <v:imagedata r:id="rId380" o:title=""/>
            </v:shape>
            <v:shape style="position:absolute;left:6842;top:237;width:3785;height:2880"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5"/>
                      <w:rPr>
                        <w:sz w:val="22"/>
                      </w:rPr>
                    </w:pPr>
                  </w:p>
                  <w:p>
                    <w:pPr>
                      <w:spacing w:before="0"/>
                      <w:ind w:left="144" w:right="0" w:firstLine="0"/>
                      <w:jc w:val="left"/>
                      <w:rPr>
                        <w:sz w:val="19"/>
                      </w:rPr>
                    </w:pPr>
                    <w:r>
                      <w:rPr>
                        <w:w w:val="105"/>
                        <w:sz w:val="19"/>
                      </w:rPr>
                      <w:t>Zonas deportivas en mal estado.</w:t>
                    </w:r>
                  </w:p>
                </w:txbxContent>
              </v:textbox>
              <w10:wrap type="none"/>
            </v:shape>
            <w10:wrap type="topAndBottom"/>
          </v:group>
        </w:pict>
      </w:r>
    </w:p>
    <w:p>
      <w:pPr>
        <w:pStyle w:val="BodyText"/>
        <w:spacing w:before="9"/>
        <w:rPr>
          <w:sz w:val="23"/>
        </w:rPr>
      </w:pPr>
    </w:p>
    <w:p>
      <w:pPr>
        <w:spacing w:line="376" w:lineRule="auto" w:before="0"/>
        <w:ind w:left="268" w:right="0" w:firstLine="0"/>
        <w:jc w:val="left"/>
        <w:rPr>
          <w:sz w:val="21"/>
        </w:rPr>
      </w:pPr>
      <w:r>
        <w:rPr>
          <w:w w:val="105"/>
          <w:sz w:val="21"/>
        </w:rPr>
        <w:t>Fuente: Información propia con base al trabajo de campo y google earth, en el periodo de estudio 2013 - 2016.</w:t>
      </w:r>
    </w:p>
    <w:p>
      <w:pPr>
        <w:spacing w:after="0" w:line="376" w:lineRule="auto"/>
        <w:jc w:val="left"/>
        <w:rPr>
          <w:sz w:val="21"/>
        </w:rPr>
        <w:sectPr>
          <w:footerReference w:type="default" r:id="rId373"/>
          <w:pgSz w:w="12240" w:h="15840"/>
          <w:pgMar w:footer="1066" w:header="730" w:top="1320" w:bottom="1260" w:left="1720" w:right="1180"/>
        </w:sectPr>
      </w:pPr>
    </w:p>
    <w:p>
      <w:pPr>
        <w:pStyle w:val="BodyText"/>
        <w:spacing w:before="6"/>
        <w:rPr>
          <w:sz w:val="18"/>
        </w:rPr>
      </w:pPr>
    </w:p>
    <w:p>
      <w:pPr>
        <w:spacing w:before="78"/>
        <w:ind w:left="268" w:right="0" w:firstLine="0"/>
        <w:jc w:val="left"/>
        <w:rPr>
          <w:sz w:val="21"/>
        </w:rPr>
      </w:pPr>
      <w:r>
        <w:rPr/>
        <w:pict>
          <v:line style="position:absolute;mso-position-horizontal-relative:page;mso-position-vertical-relative:paragraph;z-index:30496" from="93.199997pt,-19.851107pt" to="546.799997pt,-19.851107pt" stroked="true" strokeweight=".479981pt" strokecolor="#000000">
            <w10:wrap type="none"/>
          </v:line>
        </w:pict>
      </w:r>
      <w:r>
        <w:rPr>
          <w:w w:val="105"/>
          <w:sz w:val="21"/>
        </w:rPr>
        <w:t>Fotografías 4. Rancho la Providencia 1.</w:t>
      </w:r>
    </w:p>
    <w:p>
      <w:pPr>
        <w:pStyle w:val="BodyText"/>
        <w:spacing w:before="3"/>
        <w:rPr>
          <w:sz w:val="25"/>
        </w:rPr>
      </w:pPr>
      <w:r>
        <w:rPr/>
        <w:pict>
          <v:group style="position:absolute;margin-left:99.330002pt;margin-top:16.50491pt;width:207pt;height:125.95pt;mso-position-horizontal-relative:page;mso-position-vertical-relative:paragraph;z-index:30232;mso-wrap-distance-left:0;mso-wrap-distance-right:0" coordorigin="1987,330" coordsize="4140,2519">
            <v:shape style="position:absolute;left:1987;top:330;width:4138;height:2519" type="#_x0000_t75" stroked="false">
              <v:imagedata r:id="rId382" o:title=""/>
            </v:shape>
            <v:shape style="position:absolute;left:1987;top:2461;width:4140;height:360" type="#_x0000_t75" stroked="false">
              <v:imagedata r:id="rId383" o:title=""/>
            </v:shape>
            <v:shape style="position:absolute;left:2131;top:2556;width:1711;height:197" type="#_x0000_t202" filled="false" stroked="false">
              <v:textbox inset="0,0,0,0">
                <w:txbxContent>
                  <w:p>
                    <w:pPr>
                      <w:spacing w:line="197" w:lineRule="exact" w:before="0"/>
                      <w:ind w:left="0" w:right="-17" w:firstLine="0"/>
                      <w:jc w:val="left"/>
                      <w:rPr>
                        <w:sz w:val="19"/>
                      </w:rPr>
                    </w:pPr>
                    <w:r>
                      <w:rPr>
                        <w:w w:val="105"/>
                        <w:sz w:val="19"/>
                      </w:rPr>
                      <w:t>Acceso inconcluso.</w:t>
                    </w:r>
                  </w:p>
                </w:txbxContent>
              </v:textbox>
              <w10:wrap type="none"/>
            </v:shape>
            <w10:wrap type="topAndBottom"/>
          </v:group>
        </w:pict>
      </w:r>
      <w:r>
        <w:rPr/>
        <w:pict>
          <v:group style="position:absolute;margin-left:324.089996pt;margin-top:16.50491pt;width:207.25pt;height:126pt;mso-position-horizontal-relative:page;mso-position-vertical-relative:paragraph;z-index:30280;mso-wrap-distance-left:0;mso-wrap-distance-right:0" coordorigin="6482,330" coordsize="4145,2520">
            <v:shape style="position:absolute;left:6487;top:330;width:4140;height:2520" type="#_x0000_t75" stroked="false">
              <v:imagedata r:id="rId384" o:title=""/>
            </v:shape>
            <v:shape style="position:absolute;left:6482;top:2461;width:4145;height:360" type="#_x0000_t75" stroked="false">
              <v:imagedata r:id="rId361" o:title=""/>
            </v:shape>
            <v:shape style="position:absolute;left:6482;top:330;width:4145;height:2520"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before="137"/>
                      <w:ind w:left="144" w:right="0" w:firstLine="0"/>
                      <w:jc w:val="left"/>
                      <w:rPr>
                        <w:sz w:val="19"/>
                      </w:rPr>
                    </w:pPr>
                    <w:r>
                      <w:rPr>
                        <w:w w:val="105"/>
                        <w:sz w:val="19"/>
                      </w:rPr>
                      <w:t>Planta de tratamiento abandonada.</w:t>
                    </w:r>
                  </w:p>
                </w:txbxContent>
              </v:textbox>
              <w10:wrap type="none"/>
            </v:shape>
            <w10:wrap type="topAndBottom"/>
          </v:group>
        </w:pict>
      </w:r>
      <w:r>
        <w:rPr/>
        <w:pict>
          <v:group style="position:absolute;margin-left:99.330002pt;margin-top:158.704910pt;width:207pt;height:153pt;mso-position-horizontal-relative:page;mso-position-vertical-relative:paragraph;z-index:30328;mso-wrap-distance-left:0;mso-wrap-distance-right:0" coordorigin="1987,3174" coordsize="4140,3060">
            <v:shape style="position:absolute;left:1987;top:3174;width:4138;height:3060" type="#_x0000_t75" stroked="false">
              <v:imagedata r:id="rId385" o:title=""/>
            </v:shape>
            <v:shape style="position:absolute;left:1987;top:5830;width:4140;height:360" type="#_x0000_t75" stroked="false">
              <v:imagedata r:id="rId383" o:title=""/>
            </v:shape>
            <v:shape style="position:absolute;left:2131;top:5925;width:2903;height:197" type="#_x0000_t202" filled="false" stroked="false">
              <v:textbox inset="0,0,0,0">
                <w:txbxContent>
                  <w:p>
                    <w:pPr>
                      <w:spacing w:line="197" w:lineRule="exact" w:before="0"/>
                      <w:ind w:left="0" w:right="-12" w:firstLine="0"/>
                      <w:jc w:val="left"/>
                      <w:rPr>
                        <w:sz w:val="19"/>
                      </w:rPr>
                    </w:pPr>
                    <w:r>
                      <w:rPr>
                        <w:w w:val="105"/>
                        <w:sz w:val="19"/>
                      </w:rPr>
                      <w:t>Organización vecinal, seguridad.</w:t>
                    </w:r>
                  </w:p>
                </w:txbxContent>
              </v:textbox>
              <w10:wrap type="none"/>
            </v:shape>
            <w10:wrap type="topAndBottom"/>
          </v:group>
        </w:pict>
      </w:r>
      <w:r>
        <w:rPr/>
        <w:pict>
          <v:group style="position:absolute;margin-left:333.329987pt;margin-top:158.704910pt;width:198pt;height:153pt;mso-position-horizontal-relative:page;mso-position-vertical-relative:paragraph;z-index:30376;mso-wrap-distance-left:0;mso-wrap-distance-right:0" coordorigin="6667,3174" coordsize="3960,3060">
            <v:shape style="position:absolute;left:6667;top:3174;width:3960;height:3060" type="#_x0000_t75" stroked="false">
              <v:imagedata r:id="rId386" o:title=""/>
            </v:shape>
            <v:shape style="position:absolute;left:6667;top:5830;width:3960;height:360" type="#_x0000_t75" stroked="false">
              <v:imagedata r:id="rId359" o:title=""/>
            </v:shape>
            <v:shape style="position:absolute;left:6667;top:3174;width:3960;height:3060"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6"/>
                      <w:rPr>
                        <w:sz w:val="17"/>
                      </w:rPr>
                    </w:pPr>
                  </w:p>
                  <w:p>
                    <w:pPr>
                      <w:spacing w:before="1"/>
                      <w:ind w:left="143" w:right="0" w:firstLine="0"/>
                      <w:jc w:val="left"/>
                      <w:rPr>
                        <w:sz w:val="19"/>
                      </w:rPr>
                    </w:pPr>
                    <w:r>
                      <w:rPr>
                        <w:w w:val="105"/>
                        <w:sz w:val="19"/>
                      </w:rPr>
                      <w:t>Terrenos sin desarrollar y en mal estado.</w:t>
                    </w:r>
                  </w:p>
                </w:txbxContent>
              </v:textbox>
              <w10:wrap type="none"/>
            </v:shape>
            <w10:wrap type="topAndBottom"/>
          </v:group>
        </w:pict>
      </w:r>
    </w:p>
    <w:p>
      <w:pPr>
        <w:pStyle w:val="BodyText"/>
        <w:spacing w:before="3"/>
        <w:rPr>
          <w:sz w:val="22"/>
        </w:rPr>
      </w:pPr>
    </w:p>
    <w:p>
      <w:pPr>
        <w:pStyle w:val="BodyText"/>
        <w:rPr>
          <w:sz w:val="20"/>
        </w:rPr>
      </w:pPr>
    </w:p>
    <w:p>
      <w:pPr>
        <w:pStyle w:val="BodyText"/>
        <w:spacing w:before="6"/>
        <w:rPr>
          <w:sz w:val="16"/>
        </w:rPr>
      </w:pPr>
      <w:r>
        <w:rPr/>
        <w:pict>
          <v:group style="position:absolute;margin-left:99.330002pt;margin-top:12.350977pt;width:207pt;height:133.75pt;mso-position-horizontal-relative:page;mso-position-vertical-relative:paragraph;z-index:30424;mso-wrap-distance-left:0;mso-wrap-distance-right:0" coordorigin="1987,247" coordsize="4140,2675">
            <v:shape style="position:absolute;left:1987;top:247;width:4139;height:2674" type="#_x0000_t75" stroked="false">
              <v:imagedata r:id="rId387" o:title=""/>
            </v:shape>
            <v:shape style="position:absolute;left:1987;top:2531;width:4140;height:360" type="#_x0000_t75" stroked="false">
              <v:imagedata r:id="rId383" o:title=""/>
            </v:shape>
            <v:shape style="position:absolute;left:2131;top:2621;width:2023;height:197" type="#_x0000_t202" filled="false" stroked="false">
              <v:textbox inset="0,0,0,0">
                <w:txbxContent>
                  <w:p>
                    <w:pPr>
                      <w:spacing w:line="197" w:lineRule="exact" w:before="0"/>
                      <w:ind w:left="0" w:right="-15" w:firstLine="0"/>
                      <w:jc w:val="left"/>
                      <w:rPr>
                        <w:sz w:val="19"/>
                      </w:rPr>
                    </w:pPr>
                    <w:r>
                      <w:rPr>
                        <w:w w:val="105"/>
                        <w:sz w:val="19"/>
                      </w:rPr>
                      <w:t>Viviendas sin terminar.</w:t>
                    </w:r>
                  </w:p>
                </w:txbxContent>
              </v:textbox>
              <w10:wrap type="none"/>
            </v:shape>
            <w10:wrap type="topAndBottom"/>
          </v:group>
        </w:pict>
      </w:r>
      <w:r>
        <w:rPr/>
        <w:pict>
          <v:group style="position:absolute;margin-left:333.329987pt;margin-top:11.450976pt;width:198pt;height:135pt;mso-position-horizontal-relative:page;mso-position-vertical-relative:paragraph;z-index:30472;mso-wrap-distance-left:0;mso-wrap-distance-right:0" coordorigin="6667,229" coordsize="3960,2700">
            <v:shape style="position:absolute;left:6667;top:229;width:3960;height:2700" type="#_x0000_t75" stroked="false">
              <v:imagedata r:id="rId388" o:title=""/>
            </v:shape>
            <v:shape style="position:absolute;left:6667;top:2531;width:3960;height:360" type="#_x0000_t75" stroked="false">
              <v:imagedata r:id="rId359" o:title=""/>
            </v:shape>
            <v:shape style="position:absolute;left:6667;top:229;width:3960;height:2700"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4"/>
                      <w:rPr>
                        <w:sz w:val="26"/>
                      </w:rPr>
                    </w:pPr>
                  </w:p>
                  <w:p>
                    <w:pPr>
                      <w:spacing w:before="0"/>
                      <w:ind w:left="143" w:right="0" w:firstLine="0"/>
                      <w:jc w:val="left"/>
                      <w:rPr>
                        <w:sz w:val="19"/>
                      </w:rPr>
                    </w:pPr>
                    <w:r>
                      <w:rPr>
                        <w:w w:val="105"/>
                        <w:sz w:val="19"/>
                      </w:rPr>
                      <w:t>Obras de urbanización sin terminar.</w:t>
                    </w:r>
                  </w:p>
                </w:txbxContent>
              </v:textbox>
              <w10:wrap type="none"/>
            </v:shape>
            <w10:wrap type="topAndBottom"/>
          </v:group>
        </w:pict>
      </w:r>
    </w:p>
    <w:p>
      <w:pPr>
        <w:pStyle w:val="BodyText"/>
        <w:spacing w:before="8"/>
        <w:rPr>
          <w:sz w:val="25"/>
        </w:rPr>
      </w:pPr>
    </w:p>
    <w:p>
      <w:pPr>
        <w:spacing w:line="376" w:lineRule="auto" w:before="0"/>
        <w:ind w:left="268" w:right="0" w:firstLine="0"/>
        <w:jc w:val="left"/>
        <w:rPr>
          <w:sz w:val="21"/>
        </w:rPr>
      </w:pPr>
      <w:r>
        <w:rPr>
          <w:w w:val="105"/>
          <w:sz w:val="21"/>
        </w:rPr>
        <w:t>Fuente: Información propia con base al trabajo de campo y google earth, en el periodo de estudio 2013 - 2016.</w:t>
      </w:r>
    </w:p>
    <w:p>
      <w:pPr>
        <w:spacing w:after="0" w:line="376" w:lineRule="auto"/>
        <w:jc w:val="left"/>
        <w:rPr>
          <w:sz w:val="21"/>
        </w:rPr>
        <w:sectPr>
          <w:footerReference w:type="default" r:id="rId381"/>
          <w:pgSz w:w="12240" w:h="15840"/>
          <w:pgMar w:footer="1066" w:header="730" w:top="1320" w:bottom="1260" w:left="1720" w:right="1180"/>
          <w:pgNumType w:start="291"/>
        </w:sectPr>
      </w:pPr>
    </w:p>
    <w:p>
      <w:pPr>
        <w:pStyle w:val="BodyText"/>
        <w:spacing w:before="1"/>
        <w:rPr>
          <w:sz w:val="18"/>
        </w:rPr>
      </w:pPr>
    </w:p>
    <w:p>
      <w:pPr>
        <w:spacing w:before="78"/>
        <w:ind w:left="268" w:right="0" w:firstLine="0"/>
        <w:jc w:val="left"/>
        <w:rPr>
          <w:sz w:val="21"/>
        </w:rPr>
      </w:pPr>
      <w:r>
        <w:rPr/>
        <w:pict>
          <v:line style="position:absolute;mso-position-horizontal-relative:page;mso-position-vertical-relative:paragraph;z-index:30808" from="93.199997pt,-19.611116pt" to="546.799997pt,-19.611116pt" stroked="true" strokeweight=".479981pt" strokecolor="#000000">
            <w10:wrap type="none"/>
          </v:line>
        </w:pict>
      </w:r>
      <w:r>
        <w:rPr>
          <w:w w:val="105"/>
          <w:sz w:val="21"/>
        </w:rPr>
        <w:t>Fotografías 5. Urbi Hacienda Lomas.</w:t>
      </w:r>
    </w:p>
    <w:p>
      <w:pPr>
        <w:pStyle w:val="BodyText"/>
        <w:rPr>
          <w:sz w:val="20"/>
        </w:rPr>
      </w:pPr>
    </w:p>
    <w:p>
      <w:pPr>
        <w:pStyle w:val="BodyText"/>
        <w:rPr>
          <w:sz w:val="20"/>
        </w:rPr>
      </w:pPr>
    </w:p>
    <w:p>
      <w:pPr>
        <w:pStyle w:val="BodyText"/>
        <w:spacing w:before="6"/>
        <w:rPr>
          <w:sz w:val="16"/>
        </w:rPr>
      </w:pPr>
      <w:r>
        <w:rPr/>
        <w:pict>
          <v:group style="position:absolute;margin-left:108.089996pt;margin-top:11.496853pt;width:198.25pt;height:135pt;mso-position-horizontal-relative:page;mso-position-vertical-relative:paragraph;z-index:30544;mso-wrap-distance-left:0;mso-wrap-distance-right:0" coordorigin="2162,230" coordsize="3965,2700">
            <v:shape style="position:absolute;left:2167;top:230;width:3960;height:2700" type="#_x0000_t75" stroked="false">
              <v:imagedata r:id="rId389" o:title=""/>
            </v:shape>
            <v:shape style="position:absolute;left:2162;top:2541;width:3965;height:360" type="#_x0000_t75" stroked="false">
              <v:imagedata r:id="rId390" o:title=""/>
            </v:shape>
            <v:shape style="position:absolute;left:2162;top:230;width:3965;height:2700"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2"/>
                      <w:rPr>
                        <w:sz w:val="27"/>
                      </w:rPr>
                    </w:pPr>
                  </w:p>
                  <w:p>
                    <w:pPr>
                      <w:spacing w:before="0"/>
                      <w:ind w:left="144" w:right="0" w:firstLine="0"/>
                      <w:jc w:val="left"/>
                      <w:rPr>
                        <w:sz w:val="19"/>
                      </w:rPr>
                    </w:pPr>
                    <w:r>
                      <w:rPr>
                        <w:w w:val="105"/>
                        <w:sz w:val="19"/>
                      </w:rPr>
                      <w:t>Acceso por infraestructura GEO.</w:t>
                    </w:r>
                  </w:p>
                </w:txbxContent>
              </v:textbox>
              <w10:wrap type="none"/>
            </v:shape>
            <w10:wrap type="topAndBottom"/>
          </v:group>
        </w:pict>
      </w:r>
      <w:r>
        <w:rPr/>
        <w:pict>
          <v:group style="position:absolute;margin-left:333.329987pt;margin-top:11.496853pt;width:198pt;height:135pt;mso-position-horizontal-relative:page;mso-position-vertical-relative:paragraph;z-index:30592;mso-wrap-distance-left:0;mso-wrap-distance-right:0" coordorigin="6667,230" coordsize="3960,2700">
            <v:shape style="position:absolute;left:6667;top:230;width:3960;height:2700" type="#_x0000_t75" stroked="false">
              <v:imagedata r:id="rId391" o:title=""/>
            </v:shape>
            <v:shape style="position:absolute;left:6667;top:2541;width:3960;height:360" type="#_x0000_t75" stroked="false">
              <v:imagedata r:id="rId359" o:title=""/>
            </v:shape>
            <v:shape style="position:absolute;left:6811;top:2631;width:1236;height:197" type="#_x0000_t202" filled="false" stroked="false">
              <v:textbox inset="0,0,0,0">
                <w:txbxContent>
                  <w:p>
                    <w:pPr>
                      <w:spacing w:line="197" w:lineRule="exact" w:before="0"/>
                      <w:ind w:left="0" w:right="-15" w:firstLine="0"/>
                      <w:jc w:val="left"/>
                      <w:rPr>
                        <w:sz w:val="19"/>
                      </w:rPr>
                    </w:pPr>
                    <w:r>
                      <w:rPr>
                        <w:w w:val="105"/>
                        <w:sz w:val="19"/>
                      </w:rPr>
                      <w:t>Áreas verdes.</w:t>
                    </w:r>
                  </w:p>
                </w:txbxContent>
              </v:textbox>
              <w10:wrap type="none"/>
            </v:shape>
            <w10:wrap type="topAndBottom"/>
          </v:group>
        </w:pict>
      </w:r>
      <w:r>
        <w:rPr/>
        <w:pict>
          <v:group style="position:absolute;margin-left:108.089996pt;margin-top:162.296860pt;width:198.25pt;height:125.95pt;mso-position-horizontal-relative:page;mso-position-vertical-relative:paragraph;z-index:30640;mso-wrap-distance-left:0;mso-wrap-distance-right:0" coordorigin="2162,3246" coordsize="3965,2519">
            <v:shape style="position:absolute;left:2167;top:3246;width:3960;height:2519" type="#_x0000_t75" stroked="false">
              <v:imagedata r:id="rId392" o:title=""/>
            </v:shape>
            <v:shape style="position:absolute;left:2162;top:5376;width:3965;height:360" type="#_x0000_t75" stroked="false">
              <v:imagedata r:id="rId390" o:title=""/>
            </v:shape>
            <v:shape style="position:absolute;left:2306;top:5471;width:958;height:197" type="#_x0000_t202" filled="false" stroked="false">
              <v:textbox inset="0,0,0,0">
                <w:txbxContent>
                  <w:p>
                    <w:pPr>
                      <w:spacing w:line="197" w:lineRule="exact" w:before="0"/>
                      <w:ind w:left="0" w:right="-16" w:firstLine="0"/>
                      <w:jc w:val="left"/>
                      <w:rPr>
                        <w:sz w:val="19"/>
                      </w:rPr>
                    </w:pPr>
                    <w:r>
                      <w:rPr>
                        <w:w w:val="105"/>
                        <w:sz w:val="19"/>
                      </w:rPr>
                      <w:t>Prototipos.</w:t>
                    </w:r>
                  </w:p>
                </w:txbxContent>
              </v:textbox>
              <w10:wrap type="none"/>
            </v:shape>
            <w10:wrap type="topAndBottom"/>
          </v:group>
        </w:pict>
      </w:r>
      <w:r>
        <w:rPr/>
        <w:pict>
          <v:group style="position:absolute;margin-left:333.329987pt;margin-top:162.296860pt;width:198pt;height:133.5pt;mso-position-horizontal-relative:page;mso-position-vertical-relative:paragraph;z-index:30688;mso-wrap-distance-left:0;mso-wrap-distance-right:0" coordorigin="6667,3246" coordsize="3960,2670">
            <v:shape style="position:absolute;left:6667;top:3246;width:3960;height:2561" type="#_x0000_t75" stroked="false">
              <v:imagedata r:id="rId393" o:title=""/>
            </v:shape>
            <v:shape style="position:absolute;left:6667;top:5376;width:3960;height:540" type="#_x0000_t75" stroked="false">
              <v:imagedata r:id="rId394" o:title=""/>
            </v:shape>
            <v:shape style="position:absolute;left:6811;top:5476;width:1610;height:197" type="#_x0000_t202" filled="false" stroked="false">
              <v:textbox inset="0,0,0,0">
                <w:txbxContent>
                  <w:p>
                    <w:pPr>
                      <w:spacing w:line="197" w:lineRule="exact" w:before="0"/>
                      <w:ind w:left="0" w:right="-18" w:firstLine="0"/>
                      <w:jc w:val="left"/>
                      <w:rPr>
                        <w:sz w:val="19"/>
                      </w:rPr>
                    </w:pPr>
                    <w:r>
                      <w:rPr>
                        <w:w w:val="105"/>
                        <w:sz w:val="19"/>
                      </w:rPr>
                      <w:t>Áreas recreativas.</w:t>
                    </w:r>
                  </w:p>
                </w:txbxContent>
              </v:textbox>
              <w10:wrap type="none"/>
            </v:shape>
            <w10:wrap type="topAndBottom"/>
          </v:group>
        </w:pict>
      </w:r>
      <w:r>
        <w:rPr/>
        <w:pict>
          <v:group style="position:absolute;margin-left:108.089996pt;margin-top:313.096863pt;width:198.25pt;height:135pt;mso-position-horizontal-relative:page;mso-position-vertical-relative:paragraph;z-index:30736;mso-wrap-distance-left:0;mso-wrap-distance-right:0" coordorigin="2162,6262" coordsize="3965,2700">
            <v:shape style="position:absolute;left:2167;top:6262;width:3960;height:2700" type="#_x0000_t75" stroked="false">
              <v:imagedata r:id="rId393" o:title=""/>
            </v:shape>
            <v:shape style="position:absolute;left:2162;top:8572;width:3965;height:360" type="#_x0000_t75" stroked="false">
              <v:imagedata r:id="rId390" o:title=""/>
            </v:shape>
            <v:shape style="position:absolute;left:2306;top:8667;width:1956;height:197" type="#_x0000_t202" filled="false" stroked="false">
              <v:textbox inset="0,0,0,0">
                <w:txbxContent>
                  <w:p>
                    <w:pPr>
                      <w:spacing w:line="197" w:lineRule="exact" w:before="0"/>
                      <w:ind w:left="0" w:right="-17" w:firstLine="0"/>
                      <w:jc w:val="left"/>
                      <w:rPr>
                        <w:sz w:val="19"/>
                      </w:rPr>
                    </w:pPr>
                    <w:r>
                      <w:rPr>
                        <w:w w:val="105"/>
                        <w:sz w:val="19"/>
                      </w:rPr>
                      <w:t>Equipamiento urbano.</w:t>
                    </w:r>
                  </w:p>
                </w:txbxContent>
              </v:textbox>
              <w10:wrap type="none"/>
            </v:shape>
            <w10:wrap type="topAndBottom"/>
          </v:group>
        </w:pict>
      </w:r>
      <w:r>
        <w:rPr/>
        <w:pict>
          <v:group style="position:absolute;margin-left:333.329987pt;margin-top:313.096863pt;width:198pt;height:135pt;mso-position-horizontal-relative:page;mso-position-vertical-relative:paragraph;z-index:30784;mso-wrap-distance-left:0;mso-wrap-distance-right:0" coordorigin="6667,6262" coordsize="3960,2700">
            <v:shape style="position:absolute;left:6667;top:6262;width:3907;height:2700" type="#_x0000_t75" stroked="false">
              <v:imagedata r:id="rId395" o:title=""/>
            </v:shape>
            <v:shape style="position:absolute;left:6667;top:8572;width:3960;height:360" type="#_x0000_t75" stroked="false">
              <v:imagedata r:id="rId359" o:title=""/>
            </v:shape>
            <v:shape style="position:absolute;left:6811;top:8667;width:1390;height:197" type="#_x0000_t202" filled="false" stroked="false">
              <v:textbox inset="0,0,0,0">
                <w:txbxContent>
                  <w:p>
                    <w:pPr>
                      <w:spacing w:line="197" w:lineRule="exact" w:before="0"/>
                      <w:ind w:left="0" w:right="-17" w:firstLine="0"/>
                      <w:jc w:val="left"/>
                      <w:rPr>
                        <w:sz w:val="19"/>
                      </w:rPr>
                    </w:pPr>
                    <w:r>
                      <w:rPr>
                        <w:w w:val="105"/>
                        <w:sz w:val="19"/>
                      </w:rPr>
                      <w:t>Zona deportiva.</w:t>
                    </w:r>
                  </w:p>
                </w:txbxContent>
              </v:textbox>
              <w10:wrap type="none"/>
            </v:shape>
            <w10:wrap type="topAndBottom"/>
          </v:group>
        </w:pict>
      </w:r>
    </w:p>
    <w:p>
      <w:pPr>
        <w:pStyle w:val="BodyText"/>
        <w:spacing w:before="6"/>
        <w:rPr>
          <w:sz w:val="21"/>
        </w:rPr>
      </w:pPr>
    </w:p>
    <w:p>
      <w:pPr>
        <w:pStyle w:val="BodyText"/>
        <w:spacing w:before="2"/>
      </w:pPr>
    </w:p>
    <w:p>
      <w:pPr>
        <w:pStyle w:val="BodyText"/>
        <w:rPr>
          <w:sz w:val="22"/>
        </w:rPr>
      </w:pPr>
    </w:p>
    <w:p>
      <w:pPr>
        <w:pStyle w:val="BodyText"/>
        <w:rPr>
          <w:sz w:val="22"/>
        </w:rPr>
      </w:pPr>
    </w:p>
    <w:p>
      <w:pPr>
        <w:spacing w:line="376" w:lineRule="auto" w:before="165"/>
        <w:ind w:left="268" w:right="0" w:firstLine="0"/>
        <w:jc w:val="left"/>
        <w:rPr>
          <w:sz w:val="21"/>
        </w:rPr>
      </w:pPr>
      <w:r>
        <w:rPr>
          <w:w w:val="105"/>
          <w:sz w:val="21"/>
        </w:rPr>
        <w:t>Fuente: Información propia con base al trabajo de campo, punto de ventas y googleearth, consultado en 2016.</w:t>
      </w:r>
    </w:p>
    <w:p>
      <w:pPr>
        <w:spacing w:after="0" w:line="376" w:lineRule="auto"/>
        <w:jc w:val="left"/>
        <w:rPr>
          <w:sz w:val="21"/>
        </w:rPr>
        <w:sectPr>
          <w:pgSz w:w="12240" w:h="15840"/>
          <w:pgMar w:header="730" w:footer="1066" w:top="1320" w:bottom="1260" w:left="1720" w:right="1180"/>
        </w:sectPr>
      </w:pPr>
    </w:p>
    <w:p>
      <w:pPr>
        <w:pStyle w:val="BodyText"/>
        <w:rPr>
          <w:sz w:val="20"/>
        </w:rPr>
      </w:pPr>
    </w:p>
    <w:p>
      <w:pPr>
        <w:pStyle w:val="BodyText"/>
        <w:rPr>
          <w:sz w:val="20"/>
        </w:rPr>
      </w:pPr>
    </w:p>
    <w:p>
      <w:pPr>
        <w:pStyle w:val="BodyText"/>
        <w:spacing w:before="6"/>
        <w:rPr>
          <w:sz w:val="21"/>
        </w:rPr>
      </w:pPr>
    </w:p>
    <w:p>
      <w:pPr>
        <w:spacing w:before="78"/>
        <w:ind w:left="268" w:right="0" w:firstLine="0"/>
        <w:jc w:val="left"/>
        <w:rPr>
          <w:sz w:val="21"/>
        </w:rPr>
      </w:pPr>
      <w:r>
        <w:rPr/>
        <w:pict>
          <v:line style="position:absolute;mso-position-horizontal-relative:page;mso-position-vertical-relative:paragraph;z-index:31120" from="93.199997pt,-44.571136pt" to="546.799997pt,-44.571136pt" stroked="true" strokeweight=".479981pt" strokecolor="#000000">
            <w10:wrap type="none"/>
          </v:line>
        </w:pict>
      </w:r>
      <w:r>
        <w:rPr>
          <w:w w:val="105"/>
          <w:sz w:val="21"/>
        </w:rPr>
        <w:t>Fotografías 6. Bosque de las Fuentes.</w:t>
      </w:r>
    </w:p>
    <w:p>
      <w:pPr>
        <w:pStyle w:val="BodyText"/>
        <w:spacing w:before="11"/>
        <w:rPr>
          <w:sz w:val="25"/>
        </w:rPr>
      </w:pPr>
      <w:r>
        <w:rPr/>
        <w:pict>
          <v:group style="position:absolute;margin-left:108.089996pt;margin-top:16.884878pt;width:207.25pt;height:135pt;mso-position-horizontal-relative:page;mso-position-vertical-relative:paragraph;z-index:30856;mso-wrap-distance-left:0;mso-wrap-distance-right:0" coordorigin="2162,338" coordsize="4145,2700">
            <v:shape style="position:absolute;left:2167;top:338;width:4140;height:2700" type="#_x0000_t75" stroked="false">
              <v:imagedata r:id="rId396" o:title=""/>
            </v:shape>
            <v:shape style="position:absolute;left:2162;top:2642;width:4145;height:360" type="#_x0000_t75" stroked="false">
              <v:imagedata r:id="rId361" o:title=""/>
            </v:shape>
            <v:shape style="position:absolute;left:2306;top:2737;width:1510;height:197" type="#_x0000_t202" filled="false" stroked="false">
              <v:textbox inset="0,0,0,0">
                <w:txbxContent>
                  <w:p>
                    <w:pPr>
                      <w:spacing w:line="197" w:lineRule="exact" w:before="0"/>
                      <w:ind w:left="0" w:right="-19" w:firstLine="0"/>
                      <w:jc w:val="left"/>
                      <w:rPr>
                        <w:sz w:val="19"/>
                      </w:rPr>
                    </w:pPr>
                    <w:r>
                      <w:rPr>
                        <w:w w:val="105"/>
                        <w:sz w:val="19"/>
                      </w:rPr>
                      <w:t>Acceso principal.</w:t>
                    </w:r>
                  </w:p>
                </w:txbxContent>
              </v:textbox>
              <w10:wrap type="none"/>
            </v:shape>
            <w10:wrap type="topAndBottom"/>
          </v:group>
        </w:pict>
      </w:r>
      <w:r>
        <w:rPr/>
        <w:pict>
          <v:group style="position:absolute;margin-left:333.329987pt;margin-top:16.884878pt;width:198pt;height:135pt;mso-position-horizontal-relative:page;mso-position-vertical-relative:paragraph;z-index:30904;mso-wrap-distance-left:0;mso-wrap-distance-right:0" coordorigin="6667,338" coordsize="3960,2700">
            <v:shape style="position:absolute;left:6667;top:338;width:3960;height:2700" type="#_x0000_t75" stroked="false">
              <v:imagedata r:id="rId397" o:title=""/>
            </v:shape>
            <v:shape style="position:absolute;left:6667;top:2642;width:3960;height:360" type="#_x0000_t75" stroked="false">
              <v:imagedata r:id="rId359" o:title=""/>
            </v:shape>
            <v:shape style="position:absolute;left:6811;top:2737;width:1745;height:197" type="#_x0000_t202" filled="false" stroked="false">
              <v:textbox inset="0,0,0,0">
                <w:txbxContent>
                  <w:p>
                    <w:pPr>
                      <w:spacing w:line="197" w:lineRule="exact" w:before="0"/>
                      <w:ind w:left="0" w:right="-17" w:firstLine="0"/>
                      <w:jc w:val="left"/>
                      <w:rPr>
                        <w:sz w:val="19"/>
                      </w:rPr>
                    </w:pPr>
                    <w:r>
                      <w:rPr>
                        <w:w w:val="105"/>
                        <w:sz w:val="19"/>
                      </w:rPr>
                      <w:t>Acceso secundario.</w:t>
                    </w:r>
                  </w:p>
                </w:txbxContent>
              </v:textbox>
              <w10:wrap type="none"/>
            </v:shape>
            <w10:wrap type="topAndBottom"/>
          </v:group>
        </w:pict>
      </w:r>
    </w:p>
    <w:p>
      <w:pPr>
        <w:pStyle w:val="BodyText"/>
        <w:rPr>
          <w:sz w:val="20"/>
        </w:rPr>
      </w:pPr>
    </w:p>
    <w:p>
      <w:pPr>
        <w:pStyle w:val="BodyText"/>
        <w:spacing w:before="2"/>
        <w:rPr>
          <w:sz w:val="17"/>
        </w:rPr>
      </w:pPr>
      <w:r>
        <w:rPr/>
        <w:pict>
          <v:group style="position:absolute;margin-left:108.089996pt;margin-top:11.850977pt;width:207.25pt;height:135pt;mso-position-horizontal-relative:page;mso-position-vertical-relative:paragraph;z-index:30952;mso-wrap-distance-left:0;mso-wrap-distance-right:0" coordorigin="2162,237" coordsize="4145,2700">
            <v:shape style="position:absolute;left:2167;top:237;width:4140;height:2700" type="#_x0000_t75" stroked="false">
              <v:imagedata r:id="rId398" o:title=""/>
            </v:shape>
            <v:shape style="position:absolute;left:2162;top:2540;width:4145;height:360" type="#_x0000_t75" stroked="false">
              <v:imagedata r:id="rId361" o:title=""/>
            </v:shape>
            <v:shape style="position:absolute;left:2306;top:2635;width:2157;height:197" type="#_x0000_t202" filled="false" stroked="false">
              <v:textbox inset="0,0,0,0">
                <w:txbxContent>
                  <w:p>
                    <w:pPr>
                      <w:spacing w:line="197" w:lineRule="exact" w:before="0"/>
                      <w:ind w:left="0" w:right="-15" w:firstLine="0"/>
                      <w:jc w:val="left"/>
                      <w:rPr>
                        <w:sz w:val="19"/>
                      </w:rPr>
                    </w:pPr>
                    <w:r>
                      <w:rPr>
                        <w:w w:val="105"/>
                        <w:sz w:val="19"/>
                      </w:rPr>
                      <w:t>Mezcla de uso de suelo.</w:t>
                    </w:r>
                  </w:p>
                </w:txbxContent>
              </v:textbox>
              <w10:wrap type="none"/>
            </v:shape>
            <w10:wrap type="topAndBottom"/>
          </v:group>
        </w:pict>
      </w:r>
      <w:r>
        <w:rPr/>
        <w:pict>
          <v:group style="position:absolute;margin-left:333.329987pt;margin-top:11.850977pt;width:198pt;height:135pt;mso-position-horizontal-relative:page;mso-position-vertical-relative:paragraph;z-index:31000;mso-wrap-distance-left:0;mso-wrap-distance-right:0" coordorigin="6667,237" coordsize="3960,2700">
            <v:shape style="position:absolute;left:6667;top:237;width:3960;height:2700" type="#_x0000_t75" stroked="false">
              <v:imagedata r:id="rId399" o:title=""/>
            </v:shape>
            <v:shape style="position:absolute;left:6667;top:2540;width:3960;height:360" type="#_x0000_t75" stroked="false">
              <v:imagedata r:id="rId359" o:title=""/>
            </v:shape>
            <v:shape style="position:absolute;left:6811;top:2635;width:857;height:197" type="#_x0000_t202" filled="false" stroked="false">
              <v:textbox inset="0,0,0,0">
                <w:txbxContent>
                  <w:p>
                    <w:pPr>
                      <w:spacing w:line="197" w:lineRule="exact" w:before="0"/>
                      <w:ind w:left="0" w:right="-17" w:firstLine="0"/>
                      <w:jc w:val="left"/>
                      <w:rPr>
                        <w:sz w:val="19"/>
                      </w:rPr>
                    </w:pPr>
                    <w:r>
                      <w:rPr>
                        <w:w w:val="105"/>
                        <w:sz w:val="19"/>
                      </w:rPr>
                      <w:t>Prototipo.</w:t>
                    </w:r>
                  </w:p>
                </w:txbxContent>
              </v:textbox>
              <w10:wrap type="none"/>
            </v:shape>
            <w10:wrap type="topAndBottom"/>
          </v:group>
        </w:pict>
      </w:r>
      <w:r>
        <w:rPr/>
        <w:pict>
          <v:group style="position:absolute;margin-left:108.089996pt;margin-top:162.65097pt;width:207.25pt;height:143.950pt;mso-position-horizontal-relative:page;mso-position-vertical-relative:paragraph;z-index:31048;mso-wrap-distance-left:0;mso-wrap-distance-right:0" coordorigin="2162,3253" coordsize="4145,2879">
            <v:shape style="position:absolute;left:2167;top:3253;width:4139;height:2879" type="#_x0000_t75" stroked="false">
              <v:imagedata r:id="rId400" o:title=""/>
            </v:shape>
            <v:shape style="position:absolute;left:2162;top:5735;width:4145;height:360" type="#_x0000_t75" stroked="false">
              <v:imagedata r:id="rId361" o:title=""/>
            </v:shape>
            <v:shape style="position:absolute;left:2306;top:5830;width:857;height:197" type="#_x0000_t202" filled="false" stroked="false">
              <v:textbox inset="0,0,0,0">
                <w:txbxContent>
                  <w:p>
                    <w:pPr>
                      <w:spacing w:line="197" w:lineRule="exact" w:before="0"/>
                      <w:ind w:left="0" w:right="-17" w:firstLine="0"/>
                      <w:jc w:val="left"/>
                      <w:rPr>
                        <w:sz w:val="19"/>
                      </w:rPr>
                    </w:pPr>
                    <w:r>
                      <w:rPr>
                        <w:w w:val="105"/>
                        <w:sz w:val="19"/>
                      </w:rPr>
                      <w:t>Prototipo.</w:t>
                    </w:r>
                  </w:p>
                </w:txbxContent>
              </v:textbox>
              <w10:wrap type="none"/>
            </v:shape>
            <w10:wrap type="topAndBottom"/>
          </v:group>
        </w:pict>
      </w:r>
      <w:r>
        <w:rPr/>
        <w:pict>
          <v:group style="position:absolute;margin-left:333.329987pt;margin-top:162.65097pt;width:207pt;height:142.1pt;mso-position-horizontal-relative:page;mso-position-vertical-relative:paragraph;z-index:31096;mso-wrap-distance-left:0;mso-wrap-distance-right:0" coordorigin="6667,3253" coordsize="4140,2842">
            <v:shape style="position:absolute;left:6667;top:3253;width:3960;height:2828" type="#_x0000_t75" stroked="false">
              <v:imagedata r:id="rId401" o:title=""/>
            </v:shape>
            <v:shape style="position:absolute;left:6667;top:5735;width:4140;height:360" type="#_x0000_t75" stroked="false">
              <v:imagedata r:id="rId383" o:title=""/>
            </v:shape>
            <v:shape style="position:absolute;left:6811;top:5830;width:857;height:197" type="#_x0000_t202" filled="false" stroked="false">
              <v:textbox inset="0,0,0,0">
                <w:txbxContent>
                  <w:p>
                    <w:pPr>
                      <w:spacing w:line="197" w:lineRule="exact" w:before="0"/>
                      <w:ind w:left="0" w:right="-17" w:firstLine="0"/>
                      <w:jc w:val="left"/>
                      <w:rPr>
                        <w:sz w:val="19"/>
                      </w:rPr>
                    </w:pPr>
                    <w:r>
                      <w:rPr>
                        <w:w w:val="105"/>
                        <w:sz w:val="19"/>
                      </w:rPr>
                      <w:t>Prototipo.</w:t>
                    </w:r>
                  </w:p>
                </w:txbxContent>
              </v:textbox>
              <w10:wrap type="none"/>
            </v:shape>
            <w10:wrap type="topAndBottom"/>
          </v:group>
        </w:pict>
      </w:r>
    </w:p>
    <w:p>
      <w:pPr>
        <w:pStyle w:val="BodyText"/>
        <w:spacing w:before="6"/>
        <w:rPr>
          <w:sz w:val="21"/>
        </w:rPr>
      </w:pPr>
    </w:p>
    <w:p>
      <w:pPr>
        <w:spacing w:before="165"/>
        <w:ind w:left="268" w:right="0" w:firstLine="0"/>
        <w:jc w:val="left"/>
        <w:rPr>
          <w:sz w:val="21"/>
        </w:rPr>
      </w:pPr>
      <w:r>
        <w:rPr>
          <w:w w:val="105"/>
          <w:sz w:val="21"/>
        </w:rPr>
        <w:t>Fuente: Información punto de ventas y googleearth, consultado en 2016.</w:t>
      </w:r>
    </w:p>
    <w:p>
      <w:pPr>
        <w:spacing w:after="0"/>
        <w:jc w:val="left"/>
        <w:rPr>
          <w:sz w:val="21"/>
        </w:rPr>
        <w:sectPr>
          <w:pgSz w:w="12240" w:h="15840"/>
          <w:pgMar w:header="730" w:footer="1066" w:top="1320" w:bottom="1260" w:left="1720" w:right="1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pPr>
    </w:p>
    <w:p>
      <w:pPr>
        <w:spacing w:before="78"/>
        <w:ind w:left="268" w:right="0" w:firstLine="0"/>
        <w:jc w:val="left"/>
        <w:rPr>
          <w:sz w:val="21"/>
        </w:rPr>
      </w:pPr>
      <w:r>
        <w:rPr/>
        <w:pict>
          <v:line style="position:absolute;mso-position-horizontal-relative:page;mso-position-vertical-relative:paragraph;z-index:31432" from="93.199997pt,-69.531097pt" to="546.799997pt,-69.531097pt" stroked="true" strokeweight=".479981pt" strokecolor="#000000">
            <w10:wrap type="none"/>
          </v:line>
        </w:pict>
      </w:r>
      <w:r>
        <w:rPr>
          <w:w w:val="105"/>
          <w:sz w:val="21"/>
        </w:rPr>
        <w:t>Fotografías 7. Hacienda de las Fuentes.</w:t>
      </w:r>
    </w:p>
    <w:p>
      <w:pPr>
        <w:pStyle w:val="BodyText"/>
        <w:spacing w:before="6"/>
        <w:rPr>
          <w:sz w:val="20"/>
        </w:rPr>
      </w:pPr>
      <w:r>
        <w:rPr/>
        <w:pict>
          <v:group style="position:absolute;margin-left:99.330002pt;margin-top:13.774917pt;width:207pt;height:133.25pt;mso-position-horizontal-relative:page;mso-position-vertical-relative:paragraph;z-index:31168;mso-wrap-distance-left:0;mso-wrap-distance-right:0" coordorigin="1987,275" coordsize="4140,2665">
            <v:shape style="position:absolute;left:1987;top:275;width:4139;height:2642" type="#_x0000_t75" stroked="false">
              <v:imagedata r:id="rId402" o:title=""/>
            </v:shape>
            <v:shape style="position:absolute;left:1987;top:2580;width:4140;height:360" type="#_x0000_t75" stroked="false">
              <v:imagedata r:id="rId383" o:title=""/>
            </v:shape>
            <v:shape style="position:absolute;left:2131;top:2675;width:2724;height:197" type="#_x0000_t202" filled="false" stroked="false">
              <v:textbox inset="0,0,0,0">
                <w:txbxContent>
                  <w:p>
                    <w:pPr>
                      <w:spacing w:line="197" w:lineRule="exact" w:before="0"/>
                      <w:ind w:left="0" w:right="-13" w:firstLine="0"/>
                      <w:jc w:val="left"/>
                      <w:rPr>
                        <w:sz w:val="19"/>
                      </w:rPr>
                    </w:pPr>
                    <w:r>
                      <w:rPr>
                        <w:w w:val="105"/>
                        <w:sz w:val="19"/>
                      </w:rPr>
                      <w:t>Acceso principal y colindancia.</w:t>
                    </w:r>
                  </w:p>
                </w:txbxContent>
              </v:textbox>
              <w10:wrap type="none"/>
            </v:shape>
            <w10:wrap type="topAndBottom"/>
          </v:group>
        </w:pict>
      </w:r>
      <w:r>
        <w:rPr/>
        <w:pict>
          <v:group style="position:absolute;margin-left:324.089996pt;margin-top:18.574917pt;width:216.25pt;height:135pt;mso-position-horizontal-relative:page;mso-position-vertical-relative:paragraph;z-index:31216;mso-wrap-distance-left:0;mso-wrap-distance-right:0" coordorigin="6482,371" coordsize="4325,2700">
            <v:shape style="position:absolute;left:6487;top:371;width:4320;height:2700" type="#_x0000_t75" stroked="false">
              <v:imagedata r:id="rId403" o:title=""/>
            </v:shape>
            <v:shape style="position:absolute;left:6482;top:2580;width:4325;height:360" type="#_x0000_t75" stroked="false">
              <v:imagedata r:id="rId404" o:title=""/>
            </v:shape>
            <v:shape style="position:absolute;left:6626;top:2675;width:1721;height:197" type="#_x0000_t202" filled="false" stroked="false">
              <v:textbox inset="0,0,0,0">
                <w:txbxContent>
                  <w:p>
                    <w:pPr>
                      <w:spacing w:line="197" w:lineRule="exact" w:before="0"/>
                      <w:ind w:left="0" w:right="-18" w:firstLine="0"/>
                      <w:jc w:val="left"/>
                      <w:rPr>
                        <w:sz w:val="19"/>
                      </w:rPr>
                    </w:pPr>
                    <w:r>
                      <w:rPr>
                        <w:w w:val="105"/>
                        <w:sz w:val="19"/>
                      </w:rPr>
                      <w:t>Acceso publicitario.</w:t>
                    </w:r>
                  </w:p>
                </w:txbxContent>
              </v:textbox>
              <w10:wrap type="none"/>
            </v:shape>
            <w10:wrap type="topAndBottom"/>
          </v:group>
        </w:pict>
      </w:r>
      <w:r>
        <w:rPr/>
        <w:pict>
          <v:group style="position:absolute;margin-left:99.330002pt;margin-top:168.074921pt;width:207pt;height:129.75pt;mso-position-horizontal-relative:page;mso-position-vertical-relative:paragraph;z-index:31264;mso-wrap-distance-left:0;mso-wrap-distance-right:0" coordorigin="1987,3361" coordsize="4140,2595">
            <v:shape style="position:absolute;left:1987;top:3361;width:4138;height:2520" type="#_x0000_t75" stroked="false">
              <v:imagedata r:id="rId405" o:title=""/>
            </v:shape>
            <v:shape style="position:absolute;left:1987;top:5416;width:4140;height:540" type="#_x0000_t75" stroked="false">
              <v:imagedata r:id="rId406" o:title=""/>
            </v:shape>
            <v:shape style="position:absolute;left:1987;top:3361;width:4140;height:2595"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1"/>
                      <w:rPr>
                        <w:sz w:val="26"/>
                      </w:rPr>
                    </w:pPr>
                  </w:p>
                  <w:p>
                    <w:pPr>
                      <w:spacing w:before="1"/>
                      <w:ind w:left="144" w:right="0" w:firstLine="0"/>
                      <w:jc w:val="left"/>
                      <w:rPr>
                        <w:sz w:val="19"/>
                      </w:rPr>
                    </w:pPr>
                    <w:r>
                      <w:rPr>
                        <w:w w:val="105"/>
                        <w:sz w:val="19"/>
                      </w:rPr>
                      <w:t>Terrenos sin urbanizar y desarrollar.</w:t>
                    </w:r>
                  </w:p>
                </w:txbxContent>
              </v:textbox>
              <w10:wrap type="none"/>
            </v:shape>
            <w10:wrap type="topAndBottom"/>
          </v:group>
        </w:pict>
      </w:r>
      <w:r>
        <w:rPr/>
        <w:pict>
          <v:group style="position:absolute;margin-left:324.089996pt;margin-top:168.074921pt;width:216.25pt;height:129.75pt;mso-position-horizontal-relative:page;mso-position-vertical-relative:paragraph;z-index:31312;mso-wrap-distance-left:0;mso-wrap-distance-right:0" coordorigin="6482,3361" coordsize="4325,2595">
            <v:shape style="position:absolute;left:6487;top:3361;width:4320;height:2520" type="#_x0000_t75" stroked="false">
              <v:imagedata r:id="rId407" o:title=""/>
            </v:shape>
            <v:shape style="position:absolute;left:6482;top:5416;width:4325;height:540" type="#_x0000_t75" stroked="false">
              <v:imagedata r:id="rId408" o:title=""/>
            </v:shape>
            <v:shape style="position:absolute;left:6482;top:3361;width:4325;height:2595"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1"/>
                      <w:rPr>
                        <w:sz w:val="26"/>
                      </w:rPr>
                    </w:pPr>
                  </w:p>
                  <w:p>
                    <w:pPr>
                      <w:spacing w:before="1"/>
                      <w:ind w:left="144" w:right="0" w:firstLine="0"/>
                      <w:jc w:val="left"/>
                      <w:rPr>
                        <w:sz w:val="19"/>
                      </w:rPr>
                    </w:pPr>
                    <w:r>
                      <w:rPr>
                        <w:w w:val="105"/>
                        <w:sz w:val="19"/>
                      </w:rPr>
                      <w:t>Zonas deportivas en socavon de mina.</w:t>
                    </w:r>
                  </w:p>
                </w:txbxContent>
              </v:textbox>
              <w10:wrap type="none"/>
            </v:shape>
            <w10:wrap type="topAndBottom"/>
          </v:group>
        </w:pict>
      </w:r>
      <w:r>
        <w:rPr/>
        <w:pict>
          <v:group style="position:absolute;margin-left:99.330002pt;margin-top:309.874908pt;width:207pt;height:130.0500pt;mso-position-horizontal-relative:page;mso-position-vertical-relative:paragraph;z-index:31360;mso-wrap-distance-left:0;mso-wrap-distance-right:0" coordorigin="1987,6197" coordsize="4140,2601">
            <v:shape style="position:absolute;left:1987;top:6197;width:4138;height:2520" type="#_x0000_t75" stroked="false">
              <v:imagedata r:id="rId409" o:title=""/>
            </v:shape>
            <v:shape style="position:absolute;left:1987;top:8258;width:4140;height:540" type="#_x0000_t75" stroked="false">
              <v:imagedata r:id="rId406" o:title=""/>
            </v:shape>
            <v:shape style="position:absolute;left:2131;top:8358;width:1380;height:197" type="#_x0000_t202" filled="false" stroked="false">
              <v:textbox inset="0,0,0,0">
                <w:txbxContent>
                  <w:p>
                    <w:pPr>
                      <w:spacing w:line="197" w:lineRule="exact" w:before="0"/>
                      <w:ind w:left="0" w:right="-16" w:firstLine="0"/>
                      <w:jc w:val="left"/>
                      <w:rPr>
                        <w:sz w:val="19"/>
                      </w:rPr>
                    </w:pPr>
                    <w:r>
                      <w:rPr>
                        <w:w w:val="105"/>
                        <w:sz w:val="19"/>
                      </w:rPr>
                      <w:t>Acceso interno.</w:t>
                    </w:r>
                  </w:p>
                </w:txbxContent>
              </v:textbox>
              <w10:wrap type="none"/>
            </v:shape>
            <w10:wrap type="topAndBottom"/>
          </v:group>
        </w:pict>
      </w:r>
      <w:r>
        <w:rPr/>
        <w:pict>
          <v:group style="position:absolute;margin-left:324.089996pt;margin-top:309.874908pt;width:216.25pt;height:130.0500pt;mso-position-horizontal-relative:page;mso-position-vertical-relative:paragraph;z-index:31408;mso-wrap-distance-left:0;mso-wrap-distance-right:0" coordorigin="6482,6197" coordsize="4325,2601">
            <v:shape style="position:absolute;left:6487;top:6197;width:4319;height:2520" type="#_x0000_t75" stroked="false">
              <v:imagedata r:id="rId410" o:title=""/>
            </v:shape>
            <v:shape style="position:absolute;left:6482;top:8258;width:4325;height:540" type="#_x0000_t75" stroked="false">
              <v:imagedata r:id="rId408" o:title=""/>
            </v:shape>
            <v:shape style="position:absolute;left:6482;top:6197;width:4325;height:2601"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3"/>
                      <w:rPr>
                        <w:sz w:val="26"/>
                      </w:rPr>
                    </w:pPr>
                  </w:p>
                  <w:p>
                    <w:pPr>
                      <w:spacing w:before="0"/>
                      <w:ind w:left="144" w:right="0" w:firstLine="0"/>
                      <w:jc w:val="left"/>
                      <w:rPr>
                        <w:sz w:val="19"/>
                      </w:rPr>
                    </w:pPr>
                    <w:r>
                      <w:rPr>
                        <w:w w:val="105"/>
                        <w:sz w:val="19"/>
                      </w:rPr>
                      <w:t>Mezcla de suelo y obra detenida.</w:t>
                    </w:r>
                  </w:p>
                </w:txbxContent>
              </v:textbox>
              <w10:wrap type="none"/>
            </v:shape>
            <w10:wrap type="topAndBottom"/>
          </v:group>
        </w:pict>
      </w:r>
    </w:p>
    <w:p>
      <w:pPr>
        <w:pStyle w:val="BodyText"/>
        <w:spacing w:before="3"/>
        <w:rPr>
          <w:sz w:val="19"/>
        </w:rPr>
      </w:pPr>
    </w:p>
    <w:p>
      <w:pPr>
        <w:pStyle w:val="BodyText"/>
        <w:rPr>
          <w:sz w:val="15"/>
        </w:rPr>
      </w:pPr>
    </w:p>
    <w:p>
      <w:pPr>
        <w:spacing w:line="376" w:lineRule="auto" w:before="75"/>
        <w:ind w:left="268" w:right="0" w:firstLine="0"/>
        <w:jc w:val="left"/>
        <w:rPr>
          <w:sz w:val="21"/>
        </w:rPr>
      </w:pPr>
      <w:r>
        <w:rPr>
          <w:w w:val="105"/>
          <w:sz w:val="21"/>
        </w:rPr>
        <w:t>Fuente: Información propia con base al trabajo de campo, punto de ventas y googleearth, consultado en 2016.</w:t>
      </w:r>
    </w:p>
    <w:p>
      <w:pPr>
        <w:spacing w:after="0" w:line="376" w:lineRule="auto"/>
        <w:jc w:val="left"/>
        <w:rPr>
          <w:sz w:val="21"/>
        </w:rPr>
        <w:sectPr>
          <w:pgSz w:w="12240" w:h="15840"/>
          <w:pgMar w:header="730" w:footer="1066" w:top="1320" w:bottom="1260" w:left="1720" w:right="1180"/>
        </w:sectPr>
      </w:pPr>
    </w:p>
    <w:p>
      <w:pPr>
        <w:pStyle w:val="BodyText"/>
        <w:rPr>
          <w:sz w:val="20"/>
        </w:rPr>
      </w:pPr>
    </w:p>
    <w:p>
      <w:pPr>
        <w:pStyle w:val="BodyText"/>
        <w:rPr>
          <w:sz w:val="20"/>
        </w:rPr>
      </w:pPr>
    </w:p>
    <w:p>
      <w:pPr>
        <w:pStyle w:val="BodyText"/>
        <w:spacing w:before="6"/>
        <w:rPr>
          <w:sz w:val="21"/>
        </w:rPr>
      </w:pPr>
    </w:p>
    <w:p>
      <w:pPr>
        <w:spacing w:before="78"/>
        <w:ind w:left="268" w:right="0" w:firstLine="0"/>
        <w:jc w:val="left"/>
        <w:rPr>
          <w:sz w:val="21"/>
        </w:rPr>
      </w:pPr>
      <w:r>
        <w:rPr/>
        <w:pict>
          <v:line style="position:absolute;mso-position-horizontal-relative:page;mso-position-vertical-relative:paragraph;z-index:31744" from="93.199997pt,-44.571136pt" to="546.799997pt,-44.571136pt" stroked="true" strokeweight=".479981pt" strokecolor="#000000">
            <w10:wrap type="none"/>
          </v:line>
        </w:pict>
      </w:r>
      <w:r>
        <w:rPr>
          <w:w w:val="105"/>
          <w:sz w:val="21"/>
        </w:rPr>
        <w:t>Fotografías 8. Valle de las Fuentes.</w:t>
      </w:r>
    </w:p>
    <w:p>
      <w:pPr>
        <w:pStyle w:val="BodyText"/>
        <w:rPr>
          <w:sz w:val="20"/>
        </w:rPr>
      </w:pPr>
    </w:p>
    <w:p>
      <w:pPr>
        <w:pStyle w:val="BodyText"/>
        <w:spacing w:before="6"/>
        <w:rPr>
          <w:sz w:val="29"/>
        </w:rPr>
      </w:pPr>
      <w:r>
        <w:rPr/>
        <w:pict>
          <v:group style="position:absolute;margin-left:99.330002pt;margin-top:19.385855pt;width:216pt;height:154.8pt;mso-position-horizontal-relative:page;mso-position-vertical-relative:paragraph;z-index:31480;mso-wrap-distance-left:0;mso-wrap-distance-right:0" coordorigin="1987,388" coordsize="4320,3096">
            <v:shape style="position:absolute;left:1987;top:388;width:4139;height:2986" type="#_x0000_t75" stroked="false">
              <v:imagedata r:id="rId411" o:title=""/>
            </v:shape>
            <v:shape style="position:absolute;left:1987;top:2944;width:4320;height:540" type="#_x0000_t75" stroked="false">
              <v:imagedata r:id="rId412" o:title=""/>
            </v:shape>
            <v:shape style="position:absolute;left:1987;top:388;width:4320;height:3096"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5"/>
                      <w:rPr>
                        <w:sz w:val="28"/>
                      </w:rPr>
                    </w:pPr>
                  </w:p>
                  <w:p>
                    <w:pPr>
                      <w:spacing w:before="0"/>
                      <w:ind w:left="144" w:right="0" w:firstLine="0"/>
                      <w:jc w:val="left"/>
                      <w:rPr>
                        <w:sz w:val="19"/>
                      </w:rPr>
                    </w:pPr>
                    <w:r>
                      <w:rPr>
                        <w:w w:val="105"/>
                        <w:sz w:val="19"/>
                      </w:rPr>
                      <w:t>Acceso sobre vialidad desarrollada por GEO</w:t>
                    </w:r>
                  </w:p>
                </w:txbxContent>
              </v:textbox>
              <w10:wrap type="none"/>
            </v:shape>
            <w10:wrap type="topAndBottom"/>
          </v:group>
        </w:pict>
      </w:r>
      <w:r>
        <w:rPr/>
        <w:pict>
          <v:group style="position:absolute;margin-left:324.089996pt;margin-top:18.935854pt;width:216.25pt;height:155.25pt;mso-position-horizontal-relative:page;mso-position-vertical-relative:paragraph;z-index:31528;mso-wrap-distance-left:0;mso-wrap-distance-right:0" coordorigin="6482,379" coordsize="4325,3105">
            <v:shape style="position:absolute;left:6487;top:379;width:4139;height:2995" type="#_x0000_t75" stroked="false">
              <v:imagedata r:id="rId413" o:title=""/>
            </v:shape>
            <v:shape style="position:absolute;left:6482;top:2944;width:4325;height:540" type="#_x0000_t75" stroked="false">
              <v:imagedata r:id="rId408" o:title=""/>
            </v:shape>
            <v:shape style="position:absolute;left:6626;top:3034;width:1836;height:197" type="#_x0000_t202" filled="false" stroked="false">
              <v:textbox inset="0,0,0,0">
                <w:txbxContent>
                  <w:p>
                    <w:pPr>
                      <w:spacing w:line="197" w:lineRule="exact" w:before="0"/>
                      <w:ind w:left="0" w:right="-14" w:firstLine="0"/>
                      <w:jc w:val="left"/>
                      <w:rPr>
                        <w:sz w:val="19"/>
                      </w:rPr>
                    </w:pPr>
                    <w:r>
                      <w:rPr>
                        <w:w w:val="105"/>
                        <w:sz w:val="19"/>
                      </w:rPr>
                      <w:t>Vivienda residencial.</w:t>
                    </w:r>
                  </w:p>
                </w:txbxContent>
              </v:textbox>
              <w10:wrap type="none"/>
            </v:shape>
            <w10:wrap type="topAndBottom"/>
          </v:group>
        </w:pict>
      </w:r>
      <w:r>
        <w:rPr/>
        <w:pict>
          <v:group style="position:absolute;margin-left:99.330002pt;margin-top:194.235855pt;width:207pt;height:139.75pt;mso-position-horizontal-relative:page;mso-position-vertical-relative:paragraph;z-index:31576;mso-wrap-distance-left:0;mso-wrap-distance-right:0" coordorigin="1987,3885" coordsize="4140,2795">
            <v:shape style="position:absolute;left:1987;top:3885;width:4139;height:2660" type="#_x0000_t75" stroked="false">
              <v:imagedata r:id="rId414" o:title=""/>
            </v:shape>
            <v:shape style="position:absolute;left:1987;top:6140;width:4140;height:540" type="#_x0000_t75" stroked="false">
              <v:imagedata r:id="rId406" o:title=""/>
            </v:shape>
            <v:shape style="position:absolute;left:1987;top:3885;width:4140;height:2795"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8"/>
                      <w:rPr>
                        <w:sz w:val="22"/>
                      </w:rPr>
                    </w:pPr>
                  </w:p>
                  <w:p>
                    <w:pPr>
                      <w:spacing w:before="0"/>
                      <w:ind w:left="144" w:right="0" w:firstLine="0"/>
                      <w:jc w:val="left"/>
                      <w:rPr>
                        <w:sz w:val="19"/>
                      </w:rPr>
                    </w:pPr>
                    <w:r>
                      <w:rPr>
                        <w:w w:val="105"/>
                        <w:sz w:val="19"/>
                      </w:rPr>
                      <w:t>Prototipo de vivienda residencial plus.</w:t>
                    </w:r>
                  </w:p>
                </w:txbxContent>
              </v:textbox>
              <w10:wrap type="none"/>
            </v:shape>
            <w10:wrap type="topAndBottom"/>
          </v:group>
        </w:pict>
      </w:r>
      <w:r>
        <w:rPr/>
        <w:pict>
          <v:group style="position:absolute;margin-left:324.089996pt;margin-top:193.485855pt;width:207.25pt;height:140.5pt;mso-position-horizontal-relative:page;mso-position-vertical-relative:paragraph;z-index:31624;mso-wrap-distance-left:0;mso-wrap-distance-right:0" coordorigin="6482,3870" coordsize="4145,2810">
            <v:shape style="position:absolute;left:6487;top:3870;width:4140;height:2700" type="#_x0000_t75" stroked="false">
              <v:imagedata r:id="rId415" o:title=""/>
            </v:shape>
            <v:shape style="position:absolute;left:6482;top:6140;width:4145;height:540" type="#_x0000_t75" stroked="false">
              <v:imagedata r:id="rId416" o:title=""/>
            </v:shape>
            <v:shape style="position:absolute;left:6626;top:6235;width:2302;height:197" type="#_x0000_t202" filled="false" stroked="false">
              <v:textbox inset="0,0,0,0">
                <w:txbxContent>
                  <w:p>
                    <w:pPr>
                      <w:spacing w:line="197" w:lineRule="exact" w:before="0"/>
                      <w:ind w:left="0" w:right="-14" w:firstLine="0"/>
                      <w:jc w:val="left"/>
                      <w:rPr>
                        <w:sz w:val="19"/>
                      </w:rPr>
                    </w:pPr>
                    <w:r>
                      <w:rPr>
                        <w:w w:val="105"/>
                        <w:sz w:val="19"/>
                      </w:rPr>
                      <w:t>Acceso con áreas verdes.</w:t>
                    </w:r>
                  </w:p>
                </w:txbxContent>
              </v:textbox>
              <w10:wrap type="none"/>
            </v:shape>
            <w10:wrap type="topAndBottom"/>
          </v:group>
        </w:pict>
      </w:r>
      <w:r>
        <w:rPr/>
        <w:pict>
          <v:group style="position:absolute;margin-left:99.330002pt;margin-top:352.885864pt;width:207pt;height:140.85pt;mso-position-horizontal-relative:page;mso-position-vertical-relative:paragraph;z-index:31672;mso-wrap-distance-left:0;mso-wrap-distance-right:0" coordorigin="1987,7058" coordsize="4140,2817">
            <v:shape style="position:absolute;left:1987;top:7058;width:4139;height:2723" type="#_x0000_t75" stroked="false">
              <v:imagedata r:id="rId417" o:title=""/>
            </v:shape>
            <v:shape style="position:absolute;left:1987;top:9335;width:4140;height:540" type="#_x0000_t75" stroked="false">
              <v:imagedata r:id="rId406" o:title=""/>
            </v:shape>
            <v:shape style="position:absolute;left:2131;top:9434;width:2657;height:197" type="#_x0000_t202" filled="false" stroked="false">
              <v:textbox inset="0,0,0,0">
                <w:txbxContent>
                  <w:p>
                    <w:pPr>
                      <w:spacing w:line="197" w:lineRule="exact" w:before="0"/>
                      <w:ind w:left="0" w:right="-14" w:firstLine="0"/>
                      <w:jc w:val="left"/>
                      <w:rPr>
                        <w:sz w:val="19"/>
                      </w:rPr>
                    </w:pPr>
                    <w:r>
                      <w:rPr>
                        <w:w w:val="105"/>
                        <w:sz w:val="19"/>
                      </w:rPr>
                      <w:t>Prototipo vivienda residencial.</w:t>
                    </w:r>
                  </w:p>
                </w:txbxContent>
              </v:textbox>
              <w10:wrap type="none"/>
            </v:shape>
            <w10:wrap type="topAndBottom"/>
          </v:group>
        </w:pict>
      </w:r>
      <w:r>
        <w:rPr/>
        <w:pict>
          <v:group style="position:absolute;margin-left:324.089996pt;margin-top:352.885864pt;width:207.25pt;height:140.85pt;mso-position-horizontal-relative:page;mso-position-vertical-relative:paragraph;z-index:31720;mso-wrap-distance-left:0;mso-wrap-distance-right:0" coordorigin="6482,7058" coordsize="4145,2817">
            <v:shape style="position:absolute;left:6486;top:7058;width:4141;height:2700" type="#_x0000_t75" stroked="false">
              <v:imagedata r:id="rId418" o:title=""/>
            </v:shape>
            <v:shape style="position:absolute;left:6482;top:9335;width:4145;height:540" type="#_x0000_t75" stroked="false">
              <v:imagedata r:id="rId416" o:title=""/>
            </v:shape>
            <v:shape style="position:absolute;left:6626;top:9434;width:2201;height:197" type="#_x0000_t202" filled="false" stroked="false">
              <v:textbox inset="0,0,0,0">
                <w:txbxContent>
                  <w:p>
                    <w:pPr>
                      <w:spacing w:line="197" w:lineRule="exact" w:before="0"/>
                      <w:ind w:left="0" w:right="-15" w:firstLine="0"/>
                      <w:jc w:val="left"/>
                      <w:rPr>
                        <w:sz w:val="19"/>
                      </w:rPr>
                    </w:pPr>
                    <w:r>
                      <w:rPr>
                        <w:w w:val="105"/>
                        <w:sz w:val="19"/>
                      </w:rPr>
                      <w:t>Terrenos por desarrollar.</w:t>
                    </w:r>
                  </w:p>
                </w:txbxContent>
              </v:textbox>
              <w10:wrap type="none"/>
            </v:shape>
            <w10:wrap type="topAndBottom"/>
          </v:group>
        </w:pict>
      </w:r>
    </w:p>
    <w:p>
      <w:pPr>
        <w:pStyle w:val="BodyText"/>
        <w:spacing w:before="7"/>
        <w:rPr>
          <w:sz w:val="27"/>
        </w:rPr>
      </w:pPr>
    </w:p>
    <w:p>
      <w:pPr>
        <w:pStyle w:val="BodyText"/>
        <w:spacing w:before="11"/>
        <w:rPr>
          <w:sz w:val="26"/>
        </w:rPr>
      </w:pPr>
    </w:p>
    <w:p>
      <w:pPr>
        <w:pStyle w:val="BodyText"/>
        <w:rPr>
          <w:sz w:val="22"/>
        </w:rPr>
      </w:pPr>
    </w:p>
    <w:p>
      <w:pPr>
        <w:pStyle w:val="BodyText"/>
        <w:spacing w:before="9"/>
        <w:rPr>
          <w:sz w:val="20"/>
        </w:rPr>
      </w:pPr>
    </w:p>
    <w:p>
      <w:pPr>
        <w:spacing w:before="0"/>
        <w:ind w:left="268" w:right="0" w:firstLine="0"/>
        <w:jc w:val="left"/>
        <w:rPr>
          <w:sz w:val="21"/>
        </w:rPr>
      </w:pPr>
      <w:r>
        <w:rPr>
          <w:w w:val="105"/>
          <w:sz w:val="21"/>
        </w:rPr>
        <w:t>Fuente: Información punto de ventas y google earth, consultado en 2016.</w:t>
      </w:r>
    </w:p>
    <w:p>
      <w:pPr>
        <w:spacing w:after="0"/>
        <w:jc w:val="left"/>
        <w:rPr>
          <w:sz w:val="21"/>
        </w:rPr>
        <w:sectPr>
          <w:pgSz w:w="12240" w:h="15840"/>
          <w:pgMar w:header="730" w:footer="1066" w:top="1320" w:bottom="1260" w:left="1720" w:right="1180"/>
        </w:sectPr>
      </w:pPr>
    </w:p>
    <w:p>
      <w:pPr>
        <w:pStyle w:val="BodyText"/>
        <w:spacing w:before="2"/>
        <w:rPr>
          <w:sz w:val="25"/>
        </w:rPr>
      </w:pPr>
    </w:p>
    <w:p>
      <w:pPr>
        <w:pStyle w:val="Heading4"/>
        <w:ind w:left="135"/>
        <w:jc w:val="left"/>
      </w:pPr>
      <w:r>
        <w:rPr/>
        <w:pict>
          <v:line style="position:absolute;mso-position-horizontal-relative:page;mso-position-vertical-relative:paragraph;z-index:-1121392" from="213.080002pt,-23.694149pt" to="577.880002pt,-23.694149pt" stroked="true" strokeweight=".479981pt" strokecolor="#000000">
            <w10:wrap type="none"/>
          </v:line>
        </w:pict>
      </w:r>
      <w:r>
        <w:rPr/>
        <w:t>Formatos para evaluación de datos en trabajo de campo y gabinete.</w:t>
      </w:r>
    </w:p>
    <w:p>
      <w:pPr>
        <w:pStyle w:val="BodyText"/>
        <w:spacing w:before="5"/>
        <w:rPr>
          <w:b/>
          <w:sz w:val="34"/>
        </w:rPr>
      </w:pPr>
    </w:p>
    <w:p>
      <w:pPr>
        <w:pStyle w:val="BodyText"/>
        <w:ind w:left="135"/>
      </w:pPr>
      <w:r>
        <w:rPr/>
        <w:pict>
          <v:group style="position:absolute;margin-left:69.035004pt;margin-top:18.609867pt;width:654.550pt;height:201.35pt;mso-position-horizontal-relative:page;mso-position-vertical-relative:paragraph;z-index:36616;mso-wrap-distance-left:0;mso-wrap-distance-right:0" coordorigin="1381,372" coordsize="13091,4027">
            <v:rect style="position:absolute;left:1424;top:380;width:13004;height:137" filled="true" fillcolor="#81de55" stroked="false">
              <v:fill type="solid"/>
            </v:rect>
            <v:line style="position:absolute" from="1422,378" to="1426,378" stroked="true" strokeweight=".196041pt" strokecolor="#d3d3d3"/>
            <v:rect style="position:absolute;left:1428;top:376;width:13000;height:8" filled="true" fillcolor="#000000" stroked="false">
              <v:fill type="solid"/>
            </v:rect>
            <v:line style="position:absolute" from="14422,378" to="14426,378" stroked="true" strokeweight=".196041pt" strokecolor="#d3d3d3"/>
            <v:line style="position:absolute" from="1768,378" to="1772,378" stroked="true" strokeweight=".196041pt" strokecolor="#d3d3d3"/>
            <v:line style="position:absolute" from="1862,378" to="1866,378" stroked="true" strokeweight=".196041pt" strokecolor="#d3d3d3"/>
            <v:line style="position:absolute" from="2950,378" to="2954,378" stroked="true" strokeweight=".196041pt" strokecolor="#d3d3d3"/>
            <v:line style="position:absolute" from="4190,378" to="4194,378" stroked="true" strokeweight=".196041pt" strokecolor="#d3d3d3"/>
            <v:line style="position:absolute" from="12793,378" to="12797,378" stroked="true" strokeweight=".196041pt" strokecolor="#d3d3d3"/>
            <v:line style="position:absolute" from="12828,378" to="12832,378" stroked="true" strokeweight=".196041pt" strokecolor="#d3d3d3"/>
            <v:line style="position:absolute" from="6534,378" to="6538,378" stroked="true" strokeweight=".196041pt" strokecolor="#d3d3d3"/>
            <v:line style="position:absolute" from="7512,378" to="7516,378" stroked="true" strokeweight=".196041pt" strokecolor="#d3d3d3"/>
            <v:line style="position:absolute" from="8961,378" to="8965,378" stroked="true" strokeweight=".196041pt" strokecolor="#d3d3d3"/>
            <v:line style="position:absolute" from="10472,378" to="10476,378" stroked="true" strokeweight=".196041pt" strokecolor="#d3d3d3"/>
            <v:line style="position:absolute" from="11120,378" to="11124,378" stroked="true" strokeweight=".196041pt" strokecolor="#d3d3d3"/>
            <v:line style="position:absolute" from="11705,378" to="11709,378" stroked="true" strokeweight=".196041pt" strokecolor="#d3d3d3"/>
            <v:line style="position:absolute" from="13295,378" to="13299,378" stroked="true" strokeweight=".196041pt" strokecolor="#d3d3d3"/>
            <v:line style="position:absolute" from="13641,378" to="13645,378" stroked="true" strokeweight=".196041pt" strokecolor="#d3d3d3"/>
            <v:line style="position:absolute" from="13986,378" to="13990,378" stroked="true" strokeweight=".196041pt" strokecolor="#d3d3d3"/>
            <v:line style="position:absolute" from="14332,378" to="14336,378" stroked="true" strokeweight=".196041pt" strokecolor="#d3d3d3"/>
            <v:line style="position:absolute" from="1424,639" to="14428,639" stroked="true" strokeweight="4.3129pt" strokecolor="#81de55"/>
            <v:line style="position:absolute" from="1428,804" to="14428,804" stroked="true" strokeweight="4.31944pt" strokecolor="#cb5ad4"/>
            <v:line style="position:absolute" from="1771,682" to="1771,761" stroked="true" strokeweight=".294427pt" strokecolor="#d3d3d3"/>
            <v:line style="position:absolute" from="1865,682" to="1865,761" stroked="true" strokeweight=".294358pt" strokecolor="#d3d3d3"/>
            <v:line style="position:absolute" from="2953,682" to="2953,761" stroked="true" strokeweight=".294241pt" strokecolor="#d3d3d3"/>
            <v:line style="position:absolute" from="4193,682" to="4193,761" stroked="true" strokeweight=".294942pt" strokecolor="#d3d3d3"/>
            <v:line style="position:absolute" from="6537,682" to="6537,761" stroked="true" strokeweight=".294256pt" strokecolor="#d3d3d3"/>
            <v:line style="position:absolute" from="7515,682" to="7515,761" stroked="true" strokeweight=".294176pt" strokecolor="#d3d3d3"/>
            <v:line style="position:absolute" from="8964,682" to="8964,761" stroked="true" strokeweight=".294405pt" strokecolor="#d3d3d3"/>
            <v:line style="position:absolute" from="10475,682" to="10475,761" stroked="true" strokeweight=".294289pt" strokecolor="#d3d3d3"/>
            <v:line style="position:absolute" from="11123,682" to="11123,761" stroked="true" strokeweight=".294649pt" strokecolor="#d3d3d3"/>
            <v:line style="position:absolute" from="11708,682" to="11708,761" stroked="true" strokeweight=".294270pt" strokecolor="#d3d3d3"/>
            <v:line style="position:absolute" from="12796,682" to="12796,761" stroked="true" strokeweight=".294995pt" strokecolor="#d3d3d3"/>
            <v:line style="position:absolute" from="12831,682" to="12831,761" stroked="true" strokeweight=".294682pt" strokecolor="#d3d3d3"/>
            <v:line style="position:absolute" from="13298,682" to="13298,761" stroked="true" strokeweight=".294864pt" strokecolor="#d3d3d3"/>
            <v:line style="position:absolute" from="13644,682" to="13644,761" stroked="true" strokeweight=".294397pt" strokecolor="#d3d3d3"/>
            <v:line style="position:absolute" from="13989,682" to="13989,761" stroked="true" strokeweight=".294546pt" strokecolor="#d3d3d3"/>
            <v:line style="position:absolute" from="14335,682" to="14335,761" stroked="true" strokeweight=".295079pt" strokecolor="#d3d3d3"/>
            <v:line style="position:absolute" from="7514,969" to="8967,969" stroked="true" strokeweight="4.31944pt" strokecolor="#808080"/>
            <v:line style="position:absolute" from="6536,1051" to="12799,1051" stroked="true" strokeweight="4.3129pt" strokecolor="#baf9f5"/>
            <v:line style="position:absolute" from="12830,1051" to="13301,1051" stroked="true" strokeweight="4.3129pt" strokecolor="#baf9f5"/>
            <v:line style="position:absolute" from="1428,926" to="7514,926" stroked="true" strokeweight=".196041pt" strokecolor="#d3d3d3"/>
            <v:line style="position:absolute" from="1428,928" to="7514,928" stroked="true" strokeweight=".196041pt" strokecolor="#d3d3d3"/>
            <v:line style="position:absolute" from="7515,847" to="7515,926" stroked="true" strokeweight=".294176pt" strokecolor="#d3d3d3"/>
            <v:line style="position:absolute" from="8964,847" to="8964,926" stroked="true" strokeweight=".294405pt" strokecolor="#d3d3d3"/>
            <v:line style="position:absolute" from="8967,926" to="14420,926" stroked="true" strokeweight=".196041pt" strokecolor="#d3d3d3"/>
            <v:line style="position:absolute" from="8967,928" to="14420,928" stroked="true" strokeweight=".196041pt" strokecolor="#d3d3d3"/>
            <v:line style="position:absolute" from="1774,1008" to="6536,1008" stroked="true" strokeweight=".196041pt" strokecolor="#d3d3d3"/>
            <v:line style="position:absolute" from="1774,1010" to="6536,1010" stroked="true" strokeweight=".196041pt" strokecolor="#d3d3d3"/>
            <v:line style="position:absolute" from="6536,847" to="6536,1008" stroked="true" strokeweight=".196257pt" strokecolor="#d3d3d3"/>
            <v:line style="position:absolute" from="6538,847" to="6538,1008" stroked="true" strokeweight=".196257pt" strokecolor="#d3d3d3"/>
            <v:line style="position:absolute" from="10474,847" to="10474,1008" stroked="true" strokeweight=".196257pt" strokecolor="#d3d3d3"/>
            <v:line style="position:absolute" from="10476,847" to="10476,1008" stroked="true" strokeweight=".196257pt" strokecolor="#d3d3d3"/>
            <v:line style="position:absolute" from="11122,847" to="11122,1008" stroked="true" strokeweight=".196257pt" strokecolor="#d3d3d3"/>
            <v:line style="position:absolute" from="11124,847" to="11124,1008" stroked="true" strokeweight=".196257pt" strokecolor="#d3d3d3"/>
            <v:line style="position:absolute" from="11707,847" to="11707,1008" stroked="true" strokeweight=".196257pt" strokecolor="#d3d3d3"/>
            <v:line style="position:absolute" from="11709,847" to="11709,1008" stroked="true" strokeweight=".196257pt" strokecolor="#d3d3d3"/>
            <v:line style="position:absolute" from="12795,847" to="12795,1008" stroked="true" strokeweight=".196257pt" strokecolor="#d3d3d3"/>
            <v:line style="position:absolute" from="12797,847" to="12797,1008" stroked="true" strokeweight=".196257pt" strokecolor="#d3d3d3"/>
            <v:line style="position:absolute" from="12799,1008" to="12830,1008" stroked="true" strokeweight=".196041pt" strokecolor="#d3d3d3"/>
            <v:line style="position:absolute" from="12799,1010" to="12830,1010" stroked="true" strokeweight=".196041pt" strokecolor="#d3d3d3"/>
            <v:line style="position:absolute" from="12830,847" to="12830,1008" stroked="true" strokeweight=".196257pt" strokecolor="#d3d3d3"/>
            <v:line style="position:absolute" from="12832,847" to="12832,1008" stroked="true" strokeweight=".196257pt" strokecolor="#d3d3d3"/>
            <v:line style="position:absolute" from="13297,847" to="13297,1008" stroked="true" strokeweight=".196257pt" strokecolor="#d3d3d3"/>
            <v:line style="position:absolute" from="13299,847" to="13299,1008" stroked="true" strokeweight=".196257pt" strokecolor="#d3d3d3"/>
            <v:line style="position:absolute" from="13643,1051" to="14338,1051" stroked="true" strokeweight="4.3129pt" strokecolor="#baf9f5"/>
            <v:line style="position:absolute" from="13301,1008" to="13643,1008" stroked="true" strokeweight=".196041pt" strokecolor="#d3d3d3"/>
            <v:line style="position:absolute" from="13301,1010" to="13643,1010" stroked="true" strokeweight=".196041pt" strokecolor="#d3d3d3"/>
            <v:line style="position:absolute" from="13643,847" to="13643,1008" stroked="true" strokeweight=".196257pt" strokecolor="#d3d3d3"/>
            <v:line style="position:absolute" from="13645,847" to="13645,1008" stroked="true" strokeweight=".196257pt" strokecolor="#d3d3d3"/>
            <v:line style="position:absolute" from="13988,847" to="13988,1008" stroked="true" strokeweight=".196257pt" strokecolor="#d3d3d3"/>
            <v:line style="position:absolute" from="13990,847" to="13990,1008" stroked="true" strokeweight=".196257pt" strokecolor="#d3d3d3"/>
            <v:line style="position:absolute" from="14334,847" to="14334,1008" stroked="true" strokeweight=".196257pt" strokecolor="#d3d3d3"/>
            <v:line style="position:absolute" from="14336,847" to="14336,1008" stroked="true" strokeweight=".196257pt" strokecolor="#d3d3d3"/>
            <v:line style="position:absolute" from="14338,1008" to="14420,1008" stroked="true" strokeweight=".196041pt" strokecolor="#d3d3d3"/>
            <v:line style="position:absolute" from="14338,1010" to="14420,1010" stroked="true" strokeweight=".196041pt" strokecolor="#d3d3d3"/>
            <v:line style="position:absolute" from="1774,1090" to="6536,1090" stroked="true" strokeweight=".196041pt" strokecolor="#d3d3d3"/>
            <v:line style="position:absolute" from="1774,1092" to="6536,1092" stroked="true" strokeweight=".196041pt" strokecolor="#d3d3d3"/>
            <v:line style="position:absolute" from="12799,1090" to="12830,1090" stroked="true" strokeweight=".196041pt" strokecolor="#d3d3d3"/>
            <v:line style="position:absolute" from="12799,1092" to="12830,1092" stroked="true" strokeweight=".196041pt" strokecolor="#d3d3d3"/>
            <v:line style="position:absolute" from="13301,1090" to="13643,1090" stroked="true" strokeweight=".196041pt" strokecolor="#d3d3d3"/>
            <v:line style="position:absolute" from="13301,1092" to="13643,1092" stroked="true" strokeweight=".196041pt" strokecolor="#d3d3d3"/>
            <v:line style="position:absolute" from="14338,1090" to="14420,1090" stroked="true" strokeweight=".196041pt" strokecolor="#d3d3d3"/>
            <v:line style="position:absolute" from="14338,1092" to="14420,1092" stroked="true" strokeweight=".196041pt" strokecolor="#d3d3d3"/>
            <v:line style="position:absolute" from="6536,1216" to="12799,1216" stroked="true" strokeweight="4.31944pt" strokecolor="#baf9f5"/>
            <v:line style="position:absolute" from="12830,1216" to="13301,1216" stroked="true" strokeweight="4.31944pt" strokecolor="#baf9f5"/>
            <v:line style="position:absolute" from="1774,1173" to="6536,1173" stroked="true" strokeweight=".196041pt" strokecolor="#d3d3d3"/>
            <v:line style="position:absolute" from="1774,1175" to="6536,1175" stroked="true" strokeweight=".196041pt" strokecolor="#d3d3d3"/>
            <v:line style="position:absolute" from="6537,1094" to="6537,1173" stroked="true" strokeweight=".294256pt" strokecolor="#d3d3d3"/>
            <v:line style="position:absolute" from="7515,1094" to="7515,1173" stroked="true" strokeweight=".294176pt" strokecolor="#d3d3d3"/>
            <v:line style="position:absolute" from="11123,1094" to="11123,1173" stroked="true" strokeweight=".294649pt" strokecolor="#d3d3d3"/>
            <v:line style="position:absolute" from="11708,1094" to="11708,1173" stroked="true" strokeweight=".294270pt" strokecolor="#d3d3d3"/>
            <v:line style="position:absolute" from="12796,1094" to="12796,1173" stroked="true" strokeweight=".294995pt" strokecolor="#d3d3d3"/>
            <v:line style="position:absolute" from="12799,1173" to="12830,1173" stroked="true" strokeweight=".196041pt" strokecolor="#d3d3d3"/>
            <v:line style="position:absolute" from="12799,1175" to="12830,1175" stroked="true" strokeweight=".196041pt" strokecolor="#d3d3d3"/>
            <v:line style="position:absolute" from="12831,1094" to="12831,1173" stroked="true" strokeweight=".294682pt" strokecolor="#d3d3d3"/>
            <v:line style="position:absolute" from="13298,1094" to="13298,1173" stroked="true" strokeweight=".294864pt" strokecolor="#d3d3d3"/>
            <v:line style="position:absolute" from="13643,1216" to="14338,1216" stroked="true" strokeweight="4.31944pt" strokecolor="#baf9f5"/>
            <v:line style="position:absolute" from="13301,1173" to="13643,1173" stroked="true" strokeweight=".196041pt" strokecolor="#d3d3d3"/>
            <v:line style="position:absolute" from="13301,1175" to="13643,1175" stroked="true" strokeweight=".196041pt" strokecolor="#d3d3d3"/>
            <v:line style="position:absolute" from="13644,1094" to="13644,1173" stroked="true" strokeweight=".294397pt" strokecolor="#d3d3d3"/>
            <v:line style="position:absolute" from="13989,1094" to="13989,1173" stroked="true" strokeweight=".294546pt" strokecolor="#d3d3d3"/>
            <v:line style="position:absolute" from="14335,1094" to="14335,1173" stroked="true" strokeweight=".295079pt" strokecolor="#d3d3d3"/>
            <v:line style="position:absolute" from="14338,1173" to="14420,1173" stroked="true" strokeweight=".196041pt" strokecolor="#d3d3d3"/>
            <v:line style="position:absolute" from="14338,1175" to="14420,1175" stroked="true" strokeweight=".196041pt" strokecolor="#d3d3d3"/>
            <v:line style="position:absolute" from="1774,1255" to="6536,1255" stroked="true" strokeweight=".196041pt" strokecolor="#d3d3d3"/>
            <v:line style="position:absolute" from="1774,1257" to="6536,1257" stroked="true" strokeweight=".196041pt" strokecolor="#d3d3d3"/>
            <v:line style="position:absolute" from="12799,1255" to="12830,1255" stroked="true" strokeweight=".196041pt" strokecolor="#d3d3d3"/>
            <v:line style="position:absolute" from="12799,1257" to="12830,1257" stroked="true" strokeweight=".196041pt" strokecolor="#d3d3d3"/>
            <v:line style="position:absolute" from="13301,1255" to="13643,1255" stroked="true" strokeweight=".196041pt" strokecolor="#d3d3d3"/>
            <v:line style="position:absolute" from="13301,1257" to="13643,1257" stroked="true" strokeweight=".196041pt" strokecolor="#d3d3d3"/>
            <v:line style="position:absolute" from="14338,1255" to="14420,1255" stroked="true" strokeweight=".196041pt" strokecolor="#d3d3d3"/>
            <v:line style="position:absolute" from="14338,1257" to="14420,1257" stroked="true" strokeweight=".196041pt" strokecolor="#d3d3d3"/>
            <v:line style="position:absolute" from="6536,1381" to="12799,1381" stroked="true" strokeweight="4.31944pt" strokecolor="#baf9f5"/>
            <v:line style="position:absolute" from="12830,1381" to="13301,1381" stroked="true" strokeweight="4.31944pt" strokecolor="#baf9f5"/>
            <v:line style="position:absolute" from="6536,1463" to="7518,1463" stroked="true" strokeweight="4.31944pt" strokecolor="#808080"/>
            <v:line style="position:absolute" from="6536,1546" to="12799,1546" stroked="true" strokeweight="4.31944pt" strokecolor="#baf9f5"/>
            <v:line style="position:absolute" from="12830,1546" to="13301,1546" stroked="true" strokeweight="4.31944pt" strokecolor="#baf9f5"/>
            <v:line style="position:absolute" from="13643,1546" to="14338,1546" stroked="true" strokeweight="4.31944pt" strokecolor="#baf9f5"/>
            <v:line style="position:absolute" from="13297,1628" to="13647,1628" stroked="true" strokeweight="4.31944pt" strokecolor="#f79646"/>
            <v:line style="position:absolute" from="13643,1628" to="13992,1628" stroked="true" strokeweight="4.31944pt" strokecolor="#ffff00"/>
            <v:line style="position:absolute" from="13988,1628" to="14338,1628" stroked="true" strokeweight="4.31944pt" strokecolor="#67ed4d"/>
            <v:line style="position:absolute" from="1774,1338" to="6536,1338" stroked="true" strokeweight=".196041pt" strokecolor="#d3d3d3"/>
            <v:line style="position:absolute" from="1774,1340" to="6536,1340" stroked="true" strokeweight=".196041pt" strokecolor="#d3d3d3"/>
            <v:line style="position:absolute" from="6537,1259" to="6537,1338" stroked="true" strokeweight=".294256pt" strokecolor="#d3d3d3"/>
            <v:line style="position:absolute" from="7515,1259" to="7515,1338" stroked="true" strokeweight=".294176pt" strokecolor="#d3d3d3"/>
            <v:line style="position:absolute" from="8964,1259" to="8964,1338" stroked="true" strokeweight=".294405pt" strokecolor="#d3d3d3"/>
            <v:line style="position:absolute" from="11708,1259" to="11708,1338" stroked="true" strokeweight=".294270pt" strokecolor="#d3d3d3"/>
            <v:line style="position:absolute" from="12796,1259" to="12796,1338" stroked="true" strokeweight=".294995pt" strokecolor="#d3d3d3"/>
            <v:line style="position:absolute" from="12799,1338" to="12830,1338" stroked="true" strokeweight=".196041pt" strokecolor="#d3d3d3"/>
            <v:line style="position:absolute" from="12799,1340" to="12830,1340" stroked="true" strokeweight=".196041pt" strokecolor="#d3d3d3"/>
            <v:line style="position:absolute" from="12831,1259" to="12831,1338" stroked="true" strokeweight=".294682pt" strokecolor="#d3d3d3"/>
            <v:line style="position:absolute" from="13298,1259" to="13298,1338" stroked="true" strokeweight=".294864pt" strokecolor="#d3d3d3"/>
            <v:line style="position:absolute" from="13643,1381" to="14338,1381" stroked="true" strokeweight="4.31944pt" strokecolor="#baf9f5"/>
            <v:line style="position:absolute" from="13301,1338" to="13643,1338" stroked="true" strokeweight=".196041pt" strokecolor="#d3d3d3"/>
            <v:line style="position:absolute" from="13301,1340" to="13643,1340" stroked="true" strokeweight=".196041pt" strokecolor="#d3d3d3"/>
            <v:line style="position:absolute" from="13644,1259" to="13644,1338" stroked="true" strokeweight=".294397pt" strokecolor="#d3d3d3"/>
            <v:line style="position:absolute" from="13989,1259" to="13989,1338" stroked="true" strokeweight=".294546pt" strokecolor="#d3d3d3"/>
            <v:line style="position:absolute" from="14335,1259" to="14335,1338" stroked="true" strokeweight=".295079pt" strokecolor="#d3d3d3"/>
            <v:line style="position:absolute" from="14338,1338" to="14420,1338" stroked="true" strokeweight=".196041pt" strokecolor="#d3d3d3"/>
            <v:line style="position:absolute" from="14338,1340" to="14420,1340" stroked="true" strokeweight=".196041pt" strokecolor="#d3d3d3"/>
            <v:line style="position:absolute" from="1774,1420" to="6536,1420" stroked="true" strokeweight=".196041pt" strokecolor="#d3d3d3"/>
            <v:line style="position:absolute" from="1774,1422" to="6536,1422" stroked="true" strokeweight=".196041pt" strokecolor="#d3d3d3"/>
            <v:line style="position:absolute" from="12799,1420" to="12830,1420" stroked="true" strokeweight=".196041pt" strokecolor="#d3d3d3"/>
            <v:line style="position:absolute" from="12799,1422" to="12830,1422" stroked="true" strokeweight=".196041pt" strokecolor="#d3d3d3"/>
            <v:line style="position:absolute" from="13301,1420" to="13643,1420" stroked="true" strokeweight=".196041pt" strokecolor="#d3d3d3"/>
            <v:line style="position:absolute" from="13301,1422" to="13643,1422" stroked="true" strokeweight=".196041pt" strokecolor="#d3d3d3"/>
            <v:line style="position:absolute" from="14338,1420" to="14420,1420" stroked="true" strokeweight=".196041pt" strokecolor="#d3d3d3"/>
            <v:line style="position:absolute" from="14338,1422" to="14420,1422" stroked="true" strokeweight=".196041pt" strokecolor="#d3d3d3"/>
            <v:line style="position:absolute" from="1774,1503" to="6536,1503" stroked="true" strokeweight=".196041pt" strokecolor="#d3d3d3"/>
            <v:line style="position:absolute" from="1774,1505" to="6536,1505" stroked="true" strokeweight=".202578pt" strokecolor="#d3d3d3"/>
            <v:line style="position:absolute" from="8964,1424" to="8964,1503" stroked="true" strokeweight=".294405pt" strokecolor="#d3d3d3"/>
            <v:line style="position:absolute" from="10475,1424" to="10475,1503" stroked="true" strokeweight=".294289pt" strokecolor="#d3d3d3"/>
            <v:line style="position:absolute" from="11123,1424" to="11123,1503" stroked="true" strokeweight=".294649pt" strokecolor="#d3d3d3"/>
            <v:line style="position:absolute" from="11708,1424" to="11708,1503" stroked="true" strokeweight=".294270pt" strokecolor="#d3d3d3"/>
            <v:line style="position:absolute" from="12796,1424" to="12796,1503" stroked="true" strokeweight=".294995pt" strokecolor="#d3d3d3"/>
            <v:line style="position:absolute" from="12799,1503" to="12830,1503" stroked="true" strokeweight=".196041pt" strokecolor="#d3d3d3"/>
            <v:line style="position:absolute" from="12799,1505" to="12830,1505" stroked="true" strokeweight=".202578pt" strokecolor="#d3d3d3"/>
            <v:line style="position:absolute" from="12831,1424" to="12831,1503" stroked="true" strokeweight=".294682pt" strokecolor="#d3d3d3"/>
            <v:line style="position:absolute" from="13298,1424" to="13298,1503" stroked="true" strokeweight=".294864pt" strokecolor="#d3d3d3"/>
            <v:line style="position:absolute" from="13301,1503" to="13643,1503" stroked="true" strokeweight=".196041pt" strokecolor="#d3d3d3"/>
            <v:line style="position:absolute" from="13301,1505" to="13643,1505" stroked="true" strokeweight=".202578pt" strokecolor="#d3d3d3"/>
            <v:line style="position:absolute" from="13644,1424" to="13644,1503" stroked="true" strokeweight=".294397pt" strokecolor="#d3d3d3"/>
            <v:line style="position:absolute" from="13989,1424" to="13989,1503" stroked="true" strokeweight=".294546pt" strokecolor="#d3d3d3"/>
            <v:line style="position:absolute" from="14335,1424" to="14335,1503" stroked="true" strokeweight=".295079pt" strokecolor="#d3d3d3"/>
            <v:line style="position:absolute" from="14338,1503" to="14420,1503" stroked="true" strokeweight=".196041pt" strokecolor="#d3d3d3"/>
            <v:line style="position:absolute" from="14338,1505" to="14420,1505" stroked="true" strokeweight=".202578pt" strokecolor="#d3d3d3"/>
            <v:line style="position:absolute" from="1774,1585" to="6536,1585" stroked="true" strokeweight=".196041pt" strokecolor="#d3d3d3"/>
            <v:line style="position:absolute" from="1774,1587" to="6536,1587" stroked="true" strokeweight=".196041pt" strokecolor="#d3d3d3"/>
            <v:line style="position:absolute" from="12799,1585" to="12830,1585" stroked="true" strokeweight=".196041pt" strokecolor="#d3d3d3"/>
            <v:line style="position:absolute" from="12799,1587" to="12830,1587" stroked="true" strokeweight=".196041pt" strokecolor="#d3d3d3"/>
            <v:line style="position:absolute" from="14338,1585" to="14420,1585" stroked="true" strokeweight=".196041pt" strokecolor="#d3d3d3"/>
            <v:line style="position:absolute" from="14338,1587" to="14420,1587" stroked="true" strokeweight=".196041pt" strokecolor="#d3d3d3"/>
            <v:line style="position:absolute" from="1774,1667" to="13297,1667" stroked="true" strokeweight=".196041pt" strokecolor="#d3d3d3"/>
            <v:line style="position:absolute" from="1774,1669" to="13297,1669" stroked="true" strokeweight=".196041pt" strokecolor="#d3d3d3"/>
            <v:line style="position:absolute" from="14338,1667" to="14420,1667" stroked="true" strokeweight=".196041pt" strokecolor="#d3d3d3"/>
            <v:line style="position:absolute" from="14338,1669" to="14420,1669" stroked="true" strokeweight=".196041pt" strokecolor="#d3d3d3"/>
            <v:line style="position:absolute" from="8963,1793" to="10478,1793" stroked="true" strokeweight="4.31944pt" strokecolor="#808080"/>
            <v:line style="position:absolute" from="6536,1875" to="12799,1875" stroked="true" strokeweight="4.31944pt" strokecolor="#baf9f5"/>
            <v:line style="position:absolute" from="12830,1875" to="13301,1875" stroked="true" strokeweight="4.31944pt" strokecolor="#baf9f5"/>
            <v:line style="position:absolute" from="1774,1750" to="8963,1750" stroked="true" strokeweight=".196041pt" strokecolor="#d3d3d3"/>
            <v:line style="position:absolute" from="1774,1752" to="8963,1752" stroked="true" strokeweight=".196041pt" strokecolor="#d3d3d3"/>
            <v:line style="position:absolute" from="8963,1589" to="8963,1750" stroked="true" strokeweight=".196257pt" strokecolor="#d3d3d3"/>
            <v:line style="position:absolute" from="8965,1589" to="8965,1750" stroked="true" strokeweight=".196257pt" strokecolor="#d3d3d3"/>
            <v:line style="position:absolute" from="10474,1589" to="10474,1750" stroked="true" strokeweight=".196257pt" strokecolor="#d3d3d3"/>
            <v:line style="position:absolute" from="10476,1589" to="10476,1750" stroked="true" strokeweight=".196257pt" strokecolor="#d3d3d3"/>
            <v:line style="position:absolute" from="10478,1750" to="14420,1750" stroked="true" strokeweight=".196041pt" strokecolor="#d3d3d3"/>
            <v:line style="position:absolute" from="10478,1752" to="14420,1752" stroked="true" strokeweight=".196041pt" strokecolor="#d3d3d3"/>
            <v:line style="position:absolute" from="1774,1832" to="6536,1832" stroked="true" strokeweight=".196041pt" strokecolor="#d3d3d3"/>
            <v:line style="position:absolute" from="1774,1834" to="6536,1834" stroked="true" strokeweight=".196041pt" strokecolor="#d3d3d3"/>
            <v:line style="position:absolute" from="6536,1589" to="6536,1832" stroked="true" strokeweight=".196257pt" strokecolor="#d3d3d3"/>
            <v:line style="position:absolute" from="6538,1589" to="6538,1832" stroked="true" strokeweight=".196257pt" strokecolor="#d3d3d3"/>
            <v:line style="position:absolute" from="7514,1589" to="7514,1832" stroked="true" strokeweight=".196257pt" strokecolor="#d3d3d3"/>
            <v:line style="position:absolute" from="7516,1589" to="7516,1832" stroked="true" strokeweight=".196257pt" strokecolor="#d3d3d3"/>
            <v:line style="position:absolute" from="11122,1589" to="11122,1832" stroked="true" strokeweight=".196257pt" strokecolor="#d3d3d3"/>
            <v:line style="position:absolute" from="11124,1589" to="11124,1832" stroked="true" strokeweight=".196257pt" strokecolor="#d3d3d3"/>
            <v:line style="position:absolute" from="11707,1589" to="11707,1832" stroked="true" strokeweight=".196257pt" strokecolor="#d3d3d3"/>
            <v:line style="position:absolute" from="11709,1589" to="11709,1832" stroked="true" strokeweight=".196257pt" strokecolor="#d3d3d3"/>
            <v:line style="position:absolute" from="12795,1589" to="12795,1832" stroked="true" strokeweight=".196257pt" strokecolor="#d3d3d3"/>
            <v:line style="position:absolute" from="12797,1589" to="12797,1832" stroked="true" strokeweight=".196257pt" strokecolor="#d3d3d3"/>
            <v:line style="position:absolute" from="12799,1832" to="12830,1832" stroked="true" strokeweight=".196041pt" strokecolor="#d3d3d3"/>
            <v:line style="position:absolute" from="12799,1834" to="12830,1834" stroked="true" strokeweight=".196041pt" strokecolor="#d3d3d3"/>
            <v:line style="position:absolute" from="12830,1589" to="12830,1832" stroked="true" strokeweight=".196257pt" strokecolor="#d3d3d3"/>
            <v:line style="position:absolute" from="12832,1589" to="12832,1832" stroked="true" strokeweight=".196257pt" strokecolor="#d3d3d3"/>
            <v:line style="position:absolute" from="13297,1671" to="13297,1832" stroked="true" strokeweight=".196257pt" strokecolor="#d3d3d3"/>
            <v:line style="position:absolute" from="13299,1671" to="13299,1832" stroked="true" strokeweight=".196257pt" strokecolor="#d3d3d3"/>
            <v:line style="position:absolute" from="13643,1875" to="14338,1875" stroked="true" strokeweight="4.31944pt" strokecolor="#baf9f5"/>
            <v:line style="position:absolute" from="13301,1832" to="13643,1832" stroked="true" strokeweight=".196041pt" strokecolor="#d3d3d3"/>
            <v:line style="position:absolute" from="13301,1834" to="13643,1834" stroked="true" strokeweight=".196041pt" strokecolor="#d3d3d3"/>
            <v:line style="position:absolute" from="13643,1671" to="13643,1832" stroked="true" strokeweight=".196257pt" strokecolor="#d3d3d3"/>
            <v:line style="position:absolute" from="13645,1671" to="13645,1832" stroked="true" strokeweight=".196257pt" strokecolor="#d3d3d3"/>
            <v:line style="position:absolute" from="13988,1671" to="13988,1832" stroked="true" strokeweight=".196257pt" strokecolor="#d3d3d3"/>
            <v:line style="position:absolute" from="13990,1671" to="13990,1832" stroked="true" strokeweight=".196257pt" strokecolor="#d3d3d3"/>
            <v:line style="position:absolute" from="14334,1671" to="14334,1832" stroked="true" strokeweight=".196257pt" strokecolor="#d3d3d3"/>
            <v:line style="position:absolute" from="14336,1671" to="14336,1832" stroked="true" strokeweight=".196257pt" strokecolor="#d3d3d3"/>
            <v:line style="position:absolute" from="14338,1832" to="14420,1832" stroked="true" strokeweight=".196041pt" strokecolor="#d3d3d3"/>
            <v:line style="position:absolute" from="14338,1834" to="14420,1834" stroked="true" strokeweight=".196041pt" strokecolor="#d3d3d3"/>
            <v:line style="position:absolute" from="1774,1915" to="6536,1915" stroked="true" strokeweight=".196041pt" strokecolor="#d3d3d3"/>
            <v:line style="position:absolute" from="1774,1917" to="6536,1917" stroked="true" strokeweight=".196041pt" strokecolor="#d3d3d3"/>
            <v:line style="position:absolute" from="12799,1915" to="12830,1915" stroked="true" strokeweight=".196041pt" strokecolor="#d3d3d3"/>
            <v:line style="position:absolute" from="12799,1917" to="12830,1917" stroked="true" strokeweight=".196041pt" strokecolor="#d3d3d3"/>
            <v:line style="position:absolute" from="13301,1915" to="13643,1915" stroked="true" strokeweight=".196041pt" strokecolor="#d3d3d3"/>
            <v:line style="position:absolute" from="13301,1917" to="13643,1917" stroked="true" strokeweight=".196041pt" strokecolor="#d3d3d3"/>
            <v:line style="position:absolute" from="14338,1915" to="14420,1915" stroked="true" strokeweight=".196041pt" strokecolor="#d3d3d3"/>
            <v:line style="position:absolute" from="14338,1917" to="14420,1917" stroked="true" strokeweight=".196041pt" strokecolor="#d3d3d3"/>
            <v:line style="position:absolute" from="6536,2040" to="12799,2040" stroked="true" strokeweight="4.31944pt" strokecolor="#baf9f5"/>
            <v:line style="position:absolute" from="12830,2040" to="13301,2040" stroked="true" strokeweight="4.31944pt" strokecolor="#baf9f5"/>
            <v:line style="position:absolute" from="1774,1997" to="6536,1997" stroked="true" strokeweight=".196041pt" strokecolor="#d3d3d3"/>
            <v:line style="position:absolute" from="1774,1999" to="6536,1999" stroked="true" strokeweight=".196041pt" strokecolor="#d3d3d3"/>
            <v:line style="position:absolute" from="6537,1919" to="6537,1997" stroked="true" strokeweight=".294256pt" strokecolor="#d3d3d3"/>
            <v:line style="position:absolute" from="7515,1919" to="7515,1997" stroked="true" strokeweight=".294176pt" strokecolor="#d3d3d3"/>
            <v:line style="position:absolute" from="11123,1919" to="11123,1997" stroked="true" strokeweight=".294649pt" strokecolor="#d3d3d3"/>
            <v:line style="position:absolute" from="11708,1919" to="11708,1997" stroked="true" strokeweight=".294270pt" strokecolor="#d3d3d3"/>
            <v:line style="position:absolute" from="12796,1919" to="12796,1997" stroked="true" strokeweight=".294995pt" strokecolor="#d3d3d3"/>
            <v:line style="position:absolute" from="12799,1997" to="12830,1997" stroked="true" strokeweight=".196041pt" strokecolor="#d3d3d3"/>
            <v:line style="position:absolute" from="12799,1999" to="12830,1999" stroked="true" strokeweight=".196041pt" strokecolor="#d3d3d3"/>
            <v:line style="position:absolute" from="12831,1919" to="12831,1997" stroked="true" strokeweight=".294682pt" strokecolor="#d3d3d3"/>
            <v:line style="position:absolute" from="13298,1919" to="13298,1997" stroked="true" strokeweight=".294864pt" strokecolor="#d3d3d3"/>
            <v:line style="position:absolute" from="13643,2040" to="14338,2040" stroked="true" strokeweight="4.31944pt" strokecolor="#baf9f5"/>
            <v:line style="position:absolute" from="13301,1997" to="13643,1997" stroked="true" strokeweight=".196041pt" strokecolor="#d3d3d3"/>
            <v:line style="position:absolute" from="13301,1999" to="13643,1999" stroked="true" strokeweight=".196041pt" strokecolor="#d3d3d3"/>
            <v:line style="position:absolute" from="13644,1919" to="13644,1997" stroked="true" strokeweight=".294397pt" strokecolor="#d3d3d3"/>
            <v:line style="position:absolute" from="13989,1919" to="13989,1997" stroked="true" strokeweight=".294546pt" strokecolor="#d3d3d3"/>
            <v:line style="position:absolute" from="14335,1919" to="14335,1997" stroked="true" strokeweight=".295079pt" strokecolor="#d3d3d3"/>
            <v:line style="position:absolute" from="14338,1997" to="14420,1997" stroked="true" strokeweight=".196041pt" strokecolor="#d3d3d3"/>
            <v:line style="position:absolute" from="14338,1999" to="14420,1999" stroked="true" strokeweight=".196041pt" strokecolor="#d3d3d3"/>
            <v:line style="position:absolute" from="1774,2080" to="6536,2080" stroked="true" strokeweight=".196041pt" strokecolor="#d3d3d3"/>
            <v:line style="position:absolute" from="1774,2082" to="6536,2082" stroked="true" strokeweight=".196041pt" strokecolor="#d3d3d3"/>
            <v:line style="position:absolute" from="12799,2080" to="12830,2080" stroked="true" strokeweight=".196041pt" strokecolor="#d3d3d3"/>
            <v:line style="position:absolute" from="12799,2082" to="12830,2082" stroked="true" strokeweight=".196041pt" strokecolor="#d3d3d3"/>
            <v:line style="position:absolute" from="13301,2080" to="13643,2080" stroked="true" strokeweight=".196041pt" strokecolor="#d3d3d3"/>
            <v:line style="position:absolute" from="13301,2082" to="13643,2082" stroked="true" strokeweight=".196041pt" strokecolor="#d3d3d3"/>
            <v:line style="position:absolute" from="14338,2080" to="14420,2080" stroked="true" strokeweight=".196041pt" strokecolor="#d3d3d3"/>
            <v:line style="position:absolute" from="14338,2082" to="14420,2082" stroked="true" strokeweight=".196041pt" strokecolor="#d3d3d3"/>
            <v:line style="position:absolute" from="6536,2205" to="12799,2205" stroked="true" strokeweight="4.31944pt" strokecolor="#baf9f5"/>
            <v:line style="position:absolute" from="12830,2205" to="13301,2205" stroked="true" strokeweight="4.31944pt" strokecolor="#baf9f5"/>
            <v:line style="position:absolute" from="1774,2162" to="6536,2162" stroked="true" strokeweight=".196041pt" strokecolor="#d3d3d3"/>
            <v:line style="position:absolute" from="1774,2164" to="6536,2164" stroked="true" strokeweight=".202573pt" strokecolor="#d3d3d3"/>
            <v:line style="position:absolute" from="6537,2083" to="6537,2162" stroked="true" strokeweight=".294256pt" strokecolor="#d3d3d3"/>
            <v:line style="position:absolute" from="7515,2083" to="7515,2162" stroked="true" strokeweight=".294176pt" strokecolor="#d3d3d3"/>
            <v:line style="position:absolute" from="11123,2083" to="11123,2162" stroked="true" strokeweight=".294649pt" strokecolor="#d3d3d3"/>
            <v:line style="position:absolute" from="11708,2083" to="11708,2162" stroked="true" strokeweight=".294270pt" strokecolor="#d3d3d3"/>
            <v:line style="position:absolute" from="12796,2083" to="12796,2162" stroked="true" strokeweight=".294995pt" strokecolor="#d3d3d3"/>
            <v:line style="position:absolute" from="12799,2162" to="12830,2162" stroked="true" strokeweight=".196041pt" strokecolor="#d3d3d3"/>
            <v:line style="position:absolute" from="12799,2164" to="12830,2164" stroked="true" strokeweight=".202573pt" strokecolor="#d3d3d3"/>
            <v:line style="position:absolute" from="12831,2083" to="12831,2162" stroked="true" strokeweight=".294682pt" strokecolor="#d3d3d3"/>
            <v:line style="position:absolute" from="13298,2083" to="13298,2162" stroked="true" strokeweight=".294864pt" strokecolor="#d3d3d3"/>
            <v:line style="position:absolute" from="13643,2205" to="14338,2205" stroked="true" strokeweight="4.31944pt" strokecolor="#baf9f5"/>
            <v:line style="position:absolute" from="13301,2162" to="13643,2162" stroked="true" strokeweight=".196041pt" strokecolor="#d3d3d3"/>
            <v:line style="position:absolute" from="13301,2164" to="13643,2164" stroked="true" strokeweight=".202573pt" strokecolor="#d3d3d3"/>
            <v:line style="position:absolute" from="13644,2083" to="13644,2162" stroked="true" strokeweight=".294397pt" strokecolor="#d3d3d3"/>
            <v:line style="position:absolute" from="13989,2083" to="13989,2162" stroked="true" strokeweight=".294546pt" strokecolor="#d3d3d3"/>
            <v:line style="position:absolute" from="14335,2083" to="14335,2162" stroked="true" strokeweight=".295079pt" strokecolor="#d3d3d3"/>
            <v:line style="position:absolute" from="14338,2162" to="14420,2162" stroked="true" strokeweight=".196041pt" strokecolor="#d3d3d3"/>
            <v:line style="position:absolute" from="14338,2164" to="14420,2164" stroked="true" strokeweight=".202573pt" strokecolor="#d3d3d3"/>
            <v:line style="position:absolute" from="1774,2244" to="6536,2244" stroked="true" strokeweight=".196041pt" strokecolor="#d3d3d3"/>
            <v:line style="position:absolute" from="1774,2246" to="6536,2246" stroked="true" strokeweight=".196041pt" strokecolor="#d3d3d3"/>
            <v:line style="position:absolute" from="12799,2244" to="12830,2244" stroked="true" strokeweight=".196041pt" strokecolor="#d3d3d3"/>
            <v:line style="position:absolute" from="12799,2246" to="12830,2246" stroked="true" strokeweight=".196041pt" strokecolor="#d3d3d3"/>
            <v:line style="position:absolute" from="13301,2244" to="13643,2244" stroked="true" strokeweight=".196041pt" strokecolor="#d3d3d3"/>
            <v:line style="position:absolute" from="13301,2246" to="13643,2246" stroked="true" strokeweight=".196041pt" strokecolor="#d3d3d3"/>
            <v:line style="position:absolute" from="14338,2244" to="14420,2244" stroked="true" strokeweight=".196041pt" strokecolor="#d3d3d3"/>
            <v:line style="position:absolute" from="14338,2246" to="14420,2246" stroked="true" strokeweight=".196041pt" strokecolor="#d3d3d3"/>
            <v:line style="position:absolute" from="6536,2370" to="12799,2370" stroked="true" strokeweight="4.3129pt" strokecolor="#baf9f5"/>
            <v:line style="position:absolute" from="12830,2370" to="13301,2370" stroked="true" strokeweight="4.3129pt" strokecolor="#baf9f5"/>
            <v:line style="position:absolute" from="1774,2327" to="6536,2327" stroked="true" strokeweight=".196041pt" strokecolor="#d3d3d3"/>
            <v:line style="position:absolute" from="1774,2329" to="6536,2329" stroked="true" strokeweight=".196041pt" strokecolor="#d3d3d3"/>
            <v:line style="position:absolute" from="6537,2248" to="6537,2327" stroked="true" strokeweight=".294256pt" strokecolor="#d3d3d3"/>
            <v:line style="position:absolute" from="10475,2248" to="10475,2327" stroked="true" strokeweight=".294289pt" strokecolor="#d3d3d3"/>
            <v:line style="position:absolute" from="11123,2248" to="11123,2327" stroked="true" strokeweight=".294649pt" strokecolor="#d3d3d3"/>
            <v:line style="position:absolute" from="11708,2248" to="11708,2327" stroked="true" strokeweight=".294270pt" strokecolor="#d3d3d3"/>
            <v:line style="position:absolute" from="12796,2248" to="12796,2327" stroked="true" strokeweight=".294995pt" strokecolor="#d3d3d3"/>
            <v:line style="position:absolute" from="12799,2327" to="12830,2327" stroked="true" strokeweight=".196041pt" strokecolor="#d3d3d3"/>
            <v:line style="position:absolute" from="12799,2329" to="12830,2329" stroked="true" strokeweight=".196041pt" strokecolor="#d3d3d3"/>
            <v:line style="position:absolute" from="12831,2248" to="12831,2327" stroked="true" strokeweight=".294682pt" strokecolor="#d3d3d3"/>
            <v:line style="position:absolute" from="13298,2248" to="13298,2327" stroked="true" strokeweight=".294864pt" strokecolor="#d3d3d3"/>
            <v:line style="position:absolute" from="13643,2370" to="14338,2370" stroked="true" strokeweight="4.3129pt" strokecolor="#baf9f5"/>
            <v:line style="position:absolute" from="13301,2327" to="13643,2327" stroked="true" strokeweight=".196041pt" strokecolor="#d3d3d3"/>
            <v:line style="position:absolute" from="13301,2329" to="13643,2329" stroked="true" strokeweight=".196041pt" strokecolor="#d3d3d3"/>
            <v:line style="position:absolute" from="13644,2248" to="13644,2327" stroked="true" strokeweight=".294397pt" strokecolor="#d3d3d3"/>
            <v:line style="position:absolute" from="13989,2248" to="13989,2327" stroked="true" strokeweight=".294546pt" strokecolor="#d3d3d3"/>
            <v:line style="position:absolute" from="14335,2248" to="14335,2327" stroked="true" strokeweight=".295079pt" strokecolor="#d3d3d3"/>
            <v:line style="position:absolute" from="14338,2327" to="14420,2327" stroked="true" strokeweight=".196041pt" strokecolor="#d3d3d3"/>
            <v:line style="position:absolute" from="14338,2329" to="14420,2329" stroked="true" strokeweight=".196041pt" strokecolor="#d3d3d3"/>
            <v:line style="position:absolute" from="1774,2409" to="6536,2409" stroked="true" strokeweight=".196041pt" strokecolor="#d3d3d3"/>
            <v:line style="position:absolute" from="1774,2411" to="6536,2411" stroked="true" strokeweight=".196041pt" strokecolor="#d3d3d3"/>
            <v:line style="position:absolute" from="12799,2409" to="12830,2409" stroked="true" strokeweight=".196041pt" strokecolor="#d3d3d3"/>
            <v:line style="position:absolute" from="12799,2411" to="12830,2411" stroked="true" strokeweight=".196041pt" strokecolor="#d3d3d3"/>
            <v:line style="position:absolute" from="13301,2409" to="13643,2409" stroked="true" strokeweight=".196041pt" strokecolor="#d3d3d3"/>
            <v:line style="position:absolute" from="13301,2411" to="13643,2411" stroked="true" strokeweight=".196041pt" strokecolor="#d3d3d3"/>
            <v:line style="position:absolute" from="14338,2409" to="14420,2409" stroked="true" strokeweight=".196041pt" strokecolor="#d3d3d3"/>
            <v:line style="position:absolute" from="14338,2411" to="14420,2411" stroked="true" strokeweight=".196041pt" strokecolor="#d3d3d3"/>
            <v:line style="position:absolute" from="6536,2535" to="12799,2535" stroked="true" strokeweight="4.31944pt" strokecolor="#baf9f5"/>
            <v:line style="position:absolute" from="12830,2535" to="13301,2535" stroked="true" strokeweight="4.31944pt" strokecolor="#baf9f5"/>
            <v:line style="position:absolute" from="1774,2492" to="6536,2492" stroked="true" strokeweight=".196041pt" strokecolor="#d3d3d3"/>
            <v:line style="position:absolute" from="1774,2494" to="6536,2494" stroked="true" strokeweight=".196041pt" strokecolor="#d3d3d3"/>
            <v:line style="position:absolute" from="6537,2413" to="6537,2492" stroked="true" strokeweight=".294256pt" strokecolor="#d3d3d3"/>
            <v:line style="position:absolute" from="10475,2413" to="10475,2492" stroked="true" strokeweight=".294289pt" strokecolor="#d3d3d3"/>
            <v:line style="position:absolute" from="11123,2413" to="11123,2492" stroked="true" strokeweight=".294649pt" strokecolor="#d3d3d3"/>
            <v:line style="position:absolute" from="11708,2413" to="11708,2492" stroked="true" strokeweight=".294270pt" strokecolor="#d3d3d3"/>
            <v:line style="position:absolute" from="12796,2413" to="12796,2492" stroked="true" strokeweight=".294995pt" strokecolor="#d3d3d3"/>
            <v:line style="position:absolute" from="12799,2492" to="12830,2492" stroked="true" strokeweight=".196041pt" strokecolor="#d3d3d3"/>
            <v:line style="position:absolute" from="12799,2494" to="12830,2494" stroked="true" strokeweight=".196041pt" strokecolor="#d3d3d3"/>
            <v:line style="position:absolute" from="12831,2413" to="12831,2492" stroked="true" strokeweight=".294682pt" strokecolor="#d3d3d3"/>
            <v:line style="position:absolute" from="13298,2413" to="13298,2492" stroked="true" strokeweight=".294864pt" strokecolor="#d3d3d3"/>
            <v:line style="position:absolute" from="13643,2535" to="14338,2535" stroked="true" strokeweight="4.31944pt" strokecolor="#baf9f5"/>
            <v:line style="position:absolute" from="13301,2492" to="13643,2492" stroked="true" strokeweight=".196041pt" strokecolor="#d3d3d3"/>
            <v:line style="position:absolute" from="13301,2494" to="13643,2494" stroked="true" strokeweight=".196041pt" strokecolor="#d3d3d3"/>
            <v:line style="position:absolute" from="13644,2413" to="13644,2492" stroked="true" strokeweight=".294397pt" strokecolor="#d3d3d3"/>
            <v:line style="position:absolute" from="13989,2413" to="13989,2492" stroked="true" strokeweight=".294546pt" strokecolor="#d3d3d3"/>
            <v:line style="position:absolute" from="14335,2413" to="14335,2492" stroked="true" strokeweight=".295079pt" strokecolor="#d3d3d3"/>
            <v:line style="position:absolute" from="14338,2492" to="14420,2492" stroked="true" strokeweight=".196041pt" strokecolor="#d3d3d3"/>
            <v:line style="position:absolute" from="14338,2494" to="14420,2494" stroked="true" strokeweight=".196041pt" strokecolor="#d3d3d3"/>
            <v:line style="position:absolute" from="1774,2574" to="6536,2574" stroked="true" strokeweight=".196041pt" strokecolor="#d3d3d3"/>
            <v:line style="position:absolute" from="1774,2576" to="6536,2576" stroked="true" strokeweight=".196041pt" strokecolor="#d3d3d3"/>
            <v:line style="position:absolute" from="12799,2574" to="12830,2574" stroked="true" strokeweight=".196041pt" strokecolor="#d3d3d3"/>
            <v:line style="position:absolute" from="12799,2576" to="12830,2576" stroked="true" strokeweight=".196041pt" strokecolor="#d3d3d3"/>
            <v:line style="position:absolute" from="13301,2574" to="13643,2574" stroked="true" strokeweight=".196041pt" strokecolor="#d3d3d3"/>
            <v:line style="position:absolute" from="13301,2576" to="13643,2576" stroked="true" strokeweight=".196041pt" strokecolor="#d3d3d3"/>
            <v:line style="position:absolute" from="14338,2574" to="14420,2574" stroked="true" strokeweight=".196041pt" strokecolor="#d3d3d3"/>
            <v:line style="position:absolute" from="14338,2576" to="14420,2576" stroked="true" strokeweight=".196041pt" strokecolor="#d3d3d3"/>
            <v:line style="position:absolute" from="6536,2700" to="12799,2700" stroked="true" strokeweight="4.31944pt" strokecolor="#baf9f5"/>
            <v:line style="position:absolute" from="12830,2700" to="13301,2700" stroked="true" strokeweight="4.31944pt" strokecolor="#baf9f5"/>
            <v:line style="position:absolute" from="1774,2656" to="6536,2656" stroked="true" strokeweight=".196041pt" strokecolor="#d3d3d3"/>
            <v:line style="position:absolute" from="1774,2658" to="6536,2658" stroked="true" strokeweight=".196041pt" strokecolor="#d3d3d3"/>
            <v:line style="position:absolute" from="6537,2578" to="6537,2656" stroked="true" strokeweight=".294256pt" strokecolor="#d3d3d3"/>
            <v:line style="position:absolute" from="7515,2578" to="7515,2656" stroked="true" strokeweight=".294176pt" strokecolor="#d3d3d3"/>
            <v:line style="position:absolute" from="11123,2578" to="11123,2656" stroked="true" strokeweight=".294649pt" strokecolor="#d3d3d3"/>
            <v:line style="position:absolute" from="11708,2578" to="11708,2656" stroked="true" strokeweight=".294270pt" strokecolor="#d3d3d3"/>
            <v:line style="position:absolute" from="12796,2578" to="12796,2656" stroked="true" strokeweight=".294995pt" strokecolor="#d3d3d3"/>
            <v:line style="position:absolute" from="12799,2656" to="12830,2656" stroked="true" strokeweight=".196041pt" strokecolor="#d3d3d3"/>
            <v:line style="position:absolute" from="12799,2658" to="12830,2658" stroked="true" strokeweight=".196041pt" strokecolor="#d3d3d3"/>
            <v:line style="position:absolute" from="12831,2578" to="12831,2656" stroked="true" strokeweight=".294682pt" strokecolor="#d3d3d3"/>
            <v:line style="position:absolute" from="13298,2578" to="13298,2656" stroked="true" strokeweight=".294864pt" strokecolor="#d3d3d3"/>
            <v:line style="position:absolute" from="13643,2700" to="14338,2700" stroked="true" strokeweight="4.31944pt" strokecolor="#baf9f5"/>
            <v:line style="position:absolute" from="13301,2656" to="13643,2656" stroked="true" strokeweight=".196041pt" strokecolor="#d3d3d3"/>
            <v:line style="position:absolute" from="13301,2658" to="13643,2658" stroked="true" strokeweight=".196041pt" strokecolor="#d3d3d3"/>
            <v:line style="position:absolute" from="13644,2578" to="13644,2656" stroked="true" strokeweight=".294397pt" strokecolor="#d3d3d3"/>
            <v:line style="position:absolute" from="13989,2578" to="13989,2656" stroked="true" strokeweight=".294546pt" strokecolor="#d3d3d3"/>
            <v:line style="position:absolute" from="14335,2578" to="14335,2656" stroked="true" strokeweight=".295079pt" strokecolor="#d3d3d3"/>
            <v:line style="position:absolute" from="14338,2656" to="14420,2656" stroked="true" strokeweight=".196041pt" strokecolor="#d3d3d3"/>
            <v:line style="position:absolute" from="14338,2658" to="14420,2658" stroked="true" strokeweight=".196041pt" strokecolor="#d3d3d3"/>
            <v:line style="position:absolute" from="1774,2739" to="6536,2739" stroked="true" strokeweight=".196041pt" strokecolor="#d3d3d3"/>
            <v:line style="position:absolute" from="1774,2741" to="6536,2741" stroked="true" strokeweight=".196041pt" strokecolor="#d3d3d3"/>
            <v:line style="position:absolute" from="12799,2739" to="12830,2739" stroked="true" strokeweight=".196041pt" strokecolor="#d3d3d3"/>
            <v:line style="position:absolute" from="12799,2741" to="12830,2741" stroked="true" strokeweight=".196041pt" strokecolor="#d3d3d3"/>
            <v:line style="position:absolute" from="13301,2739" to="13643,2739" stroked="true" strokeweight=".196041pt" strokecolor="#d3d3d3"/>
            <v:line style="position:absolute" from="13301,2741" to="13643,2741" stroked="true" strokeweight=".196041pt" strokecolor="#d3d3d3"/>
            <v:line style="position:absolute" from="14338,2739" to="14420,2739" stroked="true" strokeweight=".196041pt" strokecolor="#d3d3d3"/>
            <v:line style="position:absolute" from="14338,2741" to="14420,2741" stroked="true" strokeweight=".196041pt" strokecolor="#d3d3d3"/>
            <v:line style="position:absolute" from="6536,2864" to="12799,2864" stroked="true" strokeweight="4.31944pt" strokecolor="#baf9f5"/>
            <v:line style="position:absolute" from="12830,2864" to="13301,2864" stroked="true" strokeweight="4.31944pt" strokecolor="#baf9f5"/>
            <v:line style="position:absolute" from="1774,2821" to="6536,2821" stroked="true" strokeweight=".196041pt" strokecolor="#d3d3d3"/>
            <v:line style="position:absolute" from="1774,2823" to="6536,2823" stroked="true" strokeweight=".202573pt" strokecolor="#d3d3d3"/>
            <v:line style="position:absolute" from="6537,2743" to="6537,2821" stroked="true" strokeweight=".294256pt" strokecolor="#d3d3d3"/>
            <v:line style="position:absolute" from="10475,2743" to="10475,2821" stroked="true" strokeweight=".294289pt" strokecolor="#d3d3d3"/>
            <v:line style="position:absolute" from="11123,2743" to="11123,2821" stroked="true" strokeweight=".294649pt" strokecolor="#d3d3d3"/>
            <v:line style="position:absolute" from="11708,2743" to="11708,2821" stroked="true" strokeweight=".294270pt" strokecolor="#d3d3d3"/>
            <v:line style="position:absolute" from="12796,2743" to="12796,2821" stroked="true" strokeweight=".294995pt" strokecolor="#d3d3d3"/>
            <v:line style="position:absolute" from="12799,2821" to="12830,2821" stroked="true" strokeweight=".196041pt" strokecolor="#d3d3d3"/>
            <v:line style="position:absolute" from="12799,2823" to="12830,2823" stroked="true" strokeweight=".202573pt" strokecolor="#d3d3d3"/>
            <v:line style="position:absolute" from="12831,2743" to="12831,2821" stroked="true" strokeweight=".294682pt" strokecolor="#d3d3d3"/>
            <v:line style="position:absolute" from="13298,2743" to="13298,2821" stroked="true" strokeweight=".294864pt" strokecolor="#d3d3d3"/>
            <v:line style="position:absolute" from="13643,2864" to="14338,2864" stroked="true" strokeweight="4.31944pt" strokecolor="#baf9f5"/>
            <v:line style="position:absolute" from="13301,2821" to="13643,2821" stroked="true" strokeweight=".196041pt" strokecolor="#d3d3d3"/>
            <v:line style="position:absolute" from="13301,2823" to="13643,2823" stroked="true" strokeweight=".202573pt" strokecolor="#d3d3d3"/>
            <v:line style="position:absolute" from="13644,2743" to="13644,2821" stroked="true" strokeweight=".294397pt" strokecolor="#d3d3d3"/>
            <v:line style="position:absolute" from="13989,2743" to="13989,2821" stroked="true" strokeweight=".294546pt" strokecolor="#d3d3d3"/>
            <v:line style="position:absolute" from="14335,2743" to="14335,2821" stroked="true" strokeweight=".295079pt" strokecolor="#d3d3d3"/>
            <v:line style="position:absolute" from="14338,2821" to="14420,2821" stroked="true" strokeweight=".196041pt" strokecolor="#d3d3d3"/>
            <v:line style="position:absolute" from="14338,2823" to="14420,2823" stroked="true" strokeweight=".202573pt" strokecolor="#d3d3d3"/>
            <v:line style="position:absolute" from="1774,2904" to="6536,2904" stroked="true" strokeweight=".196041pt" strokecolor="#d3d3d3"/>
            <v:line style="position:absolute" from="1774,2906" to="6536,2906" stroked="true" strokeweight=".196041pt" strokecolor="#d3d3d3"/>
            <v:line style="position:absolute" from="12799,2904" to="12830,2904" stroked="true" strokeweight=".196041pt" strokecolor="#d3d3d3"/>
            <v:line style="position:absolute" from="12799,2906" to="12830,2906" stroked="true" strokeweight=".196041pt" strokecolor="#d3d3d3"/>
            <v:line style="position:absolute" from="13301,2904" to="13643,2904" stroked="true" strokeweight=".196041pt" strokecolor="#d3d3d3"/>
            <v:line style="position:absolute" from="13301,2906" to="13643,2906" stroked="true" strokeweight=".196041pt" strokecolor="#d3d3d3"/>
            <v:line style="position:absolute" from="14338,2904" to="14420,2904" stroked="true" strokeweight=".196041pt" strokecolor="#d3d3d3"/>
            <v:line style="position:absolute" from="14338,2906" to="14420,2906" stroked="true" strokeweight=".196041pt" strokecolor="#d3d3d3"/>
            <v:line style="position:absolute" from="6536,3029" to="12799,3029" stroked="true" strokeweight="4.3129pt" strokecolor="#baf9f5"/>
            <v:line style="position:absolute" from="12830,3029" to="13301,3029" stroked="true" strokeweight="4.3129pt" strokecolor="#baf9f5"/>
            <v:line style="position:absolute" from="13643,3029" to="14338,3029" stroked="true" strokeweight="4.3129pt" strokecolor="#baf9f5"/>
            <v:line style="position:absolute" from="13297,3112" to="13647,3112" stroked="true" strokeweight="4.31944pt" strokecolor="#f79646"/>
            <v:line style="position:absolute" from="13643,3112" to="13992,3112" stroked="true" strokeweight="4.31944pt" strokecolor="#ffff00"/>
            <v:line style="position:absolute" from="13988,3112" to="14338,3112" stroked="true" strokeweight="4.31944pt" strokecolor="#67ed4d"/>
            <v:line style="position:absolute" from="1774,2986" to="6536,2986" stroked="true" strokeweight=".196041pt" strokecolor="#d3d3d3"/>
            <v:line style="position:absolute" from="1774,2988" to="6536,2988" stroked="true" strokeweight=".196041pt" strokecolor="#d3d3d3"/>
            <v:line style="position:absolute" from="6537,2908" to="6537,2986" stroked="true" strokeweight=".294256pt" strokecolor="#d3d3d3"/>
            <v:line style="position:absolute" from="7515,2908" to="7515,2986" stroked="true" strokeweight=".294176pt" strokecolor="#d3d3d3"/>
            <v:line style="position:absolute" from="11123,2908" to="11123,2986" stroked="true" strokeweight=".294649pt" strokecolor="#d3d3d3"/>
            <v:line style="position:absolute" from="11708,2908" to="11708,2986" stroked="true" strokeweight=".294270pt" strokecolor="#d3d3d3"/>
            <v:line style="position:absolute" from="12796,2908" to="12796,2986" stroked="true" strokeweight=".294995pt" strokecolor="#d3d3d3"/>
            <v:line style="position:absolute" from="12799,2986" to="12830,2986" stroked="true" strokeweight=".196041pt" strokecolor="#d3d3d3"/>
            <v:line style="position:absolute" from="12799,2988" to="12830,2988" stroked="true" strokeweight=".196041pt" strokecolor="#d3d3d3"/>
            <v:line style="position:absolute" from="12831,2908" to="12831,2986" stroked="true" strokeweight=".294682pt" strokecolor="#d3d3d3"/>
            <v:line style="position:absolute" from="13298,2908" to="13298,2986" stroked="true" strokeweight=".294864pt" strokecolor="#d3d3d3"/>
            <v:line style="position:absolute" from="13301,2986" to="13643,2986" stroked="true" strokeweight=".196041pt" strokecolor="#d3d3d3"/>
            <v:line style="position:absolute" from="13301,2988" to="13643,2988" stroked="true" strokeweight=".196041pt" strokecolor="#d3d3d3"/>
            <v:line style="position:absolute" from="13644,2908" to="13644,2986" stroked="true" strokeweight=".294397pt" strokecolor="#d3d3d3"/>
            <v:line style="position:absolute" from="13989,2908" to="13989,2986" stroked="true" strokeweight=".294546pt" strokecolor="#d3d3d3"/>
            <v:line style="position:absolute" from="14335,2908" to="14335,2986" stroked="true" strokeweight=".295079pt" strokecolor="#d3d3d3"/>
            <v:line style="position:absolute" from="14338,2986" to="14420,2986" stroked="true" strokeweight=".196041pt" strokecolor="#d3d3d3"/>
            <v:line style="position:absolute" from="14338,2988" to="14420,2988" stroked="true" strokeweight=".196041pt" strokecolor="#d3d3d3"/>
            <v:line style="position:absolute" from="1774,3068" to="6536,3068" stroked="true" strokeweight=".196041pt" strokecolor="#d3d3d3"/>
            <v:line style="position:absolute" from="1774,3070" to="6536,3070" stroked="true" strokeweight=".196041pt" strokecolor="#d3d3d3"/>
            <v:line style="position:absolute" from="12799,3068" to="12830,3068" stroked="true" strokeweight=".196041pt" strokecolor="#d3d3d3"/>
            <v:line style="position:absolute" from="12799,3070" to="12830,3070" stroked="true" strokeweight=".196041pt" strokecolor="#d3d3d3"/>
            <v:line style="position:absolute" from="14338,3068" to="14420,3068" stroked="true" strokeweight=".196041pt" strokecolor="#d3d3d3"/>
            <v:line style="position:absolute" from="14338,3070" to="14420,3070" stroked="true" strokeweight=".196041pt" strokecolor="#d3d3d3"/>
            <v:line style="position:absolute" from="1774,3151" to="13297,3151" stroked="true" strokeweight=".196041pt" strokecolor="#d3d3d3"/>
            <v:line style="position:absolute" from="1774,3153" to="13297,3153" stroked="true" strokeweight=".196041pt" strokecolor="#d3d3d3"/>
            <v:line style="position:absolute" from="14338,3151" to="14420,3151" stroked="true" strokeweight=".196041pt" strokecolor="#d3d3d3"/>
            <v:line style="position:absolute" from="14338,3153" to="14420,3153" stroked="true" strokeweight=".196041pt" strokecolor="#d3d3d3"/>
            <v:line style="position:absolute" from="6536,3277" to="7518,3277" stroked="true" strokeweight="4.3129pt" strokecolor="#808080"/>
            <v:line style="position:absolute" from="6536,3359" to="12799,3359" stroked="true" strokeweight="4.31944pt" strokecolor="#baf9f5"/>
            <v:line style="position:absolute" from="12830,3359" to="13301,3359" stroked="true" strokeweight="4.31944pt" strokecolor="#baf9f5"/>
            <v:line style="position:absolute" from="13643,3359" to="14338,3359" stroked="true" strokeweight="4.31944pt" strokecolor="#baf9f5"/>
            <v:line style="position:absolute" from="13297,3441" to="13647,3441" stroked="true" strokeweight="4.31944pt" strokecolor="#f79646"/>
            <v:line style="position:absolute" from="13643,3441" to="13992,3441" stroked="true" strokeweight="4.31944pt" strokecolor="#ffff00"/>
            <v:line style="position:absolute" from="13988,3441" to="14338,3441" stroked="true" strokeweight="4.31944pt" strokecolor="#67ed4d"/>
            <v:line style="position:absolute" from="1774,3233" to="6536,3233" stroked="true" strokeweight=".196041pt" strokecolor="#d3d3d3"/>
            <v:line style="position:absolute" from="1774,3235" to="6536,3235" stroked="true" strokeweight=".196041pt" strokecolor="#d3d3d3"/>
            <v:line style="position:absolute" from="6536,3072" to="6536,3233" stroked="true" strokeweight=".196257pt" strokecolor="#d3d3d3"/>
            <v:line style="position:absolute" from="6538,3072" to="6538,3233" stroked="true" strokeweight=".196257pt" strokecolor="#d3d3d3"/>
            <v:line style="position:absolute" from="7514,3072" to="7514,3233" stroked="true" strokeweight=".196257pt" strokecolor="#d3d3d3"/>
            <v:line style="position:absolute" from="7516,3072" to="7516,3233" stroked="true" strokeweight=".196257pt" strokecolor="#d3d3d3"/>
            <v:line style="position:absolute" from="7518,3233" to="14420,3233" stroked="true" strokeweight=".196041pt" strokecolor="#d3d3d3"/>
            <v:line style="position:absolute" from="7518,3235" to="14420,3235" stroked="true" strokeweight=".196041pt" strokecolor="#d3d3d3"/>
            <v:line style="position:absolute" from="1774,3316" to="6536,3316" stroked="true" strokeweight=".196041pt" strokecolor="#d3d3d3"/>
            <v:line style="position:absolute" from="1774,3318" to="6536,3318" stroked="true" strokeweight=".196041pt" strokecolor="#d3d3d3"/>
            <v:line style="position:absolute" from="8963,3072" to="8963,3316" stroked="true" strokeweight=".196257pt" strokecolor="#d3d3d3"/>
            <v:line style="position:absolute" from="8965,3072" to="8965,3316" stroked="true" strokeweight=".196257pt" strokecolor="#d3d3d3"/>
            <v:line style="position:absolute" from="10474,3072" to="10474,3316" stroked="true" strokeweight=".196257pt" strokecolor="#d3d3d3"/>
            <v:line style="position:absolute" from="10476,3072" to="10476,3316" stroked="true" strokeweight=".196257pt" strokecolor="#d3d3d3"/>
            <v:line style="position:absolute" from="11122,3072" to="11122,3316" stroked="true" strokeweight=".196257pt" strokecolor="#d3d3d3"/>
            <v:line style="position:absolute" from="11124,3072" to="11124,3316" stroked="true" strokeweight=".196257pt" strokecolor="#d3d3d3"/>
            <v:line style="position:absolute" from="11707,3072" to="11707,3316" stroked="true" strokeweight=".196257pt" strokecolor="#d3d3d3"/>
            <v:line style="position:absolute" from="11709,3072" to="11709,3316" stroked="true" strokeweight=".196257pt" strokecolor="#d3d3d3"/>
            <v:line style="position:absolute" from="12795,3072" to="12795,3316" stroked="true" strokeweight=".196257pt" strokecolor="#d3d3d3"/>
            <v:line style="position:absolute" from="12797,3072" to="12797,3316" stroked="true" strokeweight=".196257pt" strokecolor="#d3d3d3"/>
            <v:line style="position:absolute" from="12799,3316" to="12830,3316" stroked="true" strokeweight=".196041pt" strokecolor="#d3d3d3"/>
            <v:line style="position:absolute" from="12799,3318" to="12830,3318" stroked="true" strokeweight=".196041pt" strokecolor="#d3d3d3"/>
            <v:line style="position:absolute" from="12830,3072" to="12830,3316" stroked="true" strokeweight=".196257pt" strokecolor="#d3d3d3"/>
            <v:line style="position:absolute" from="12832,3072" to="12832,3316" stroked="true" strokeweight=".196257pt" strokecolor="#d3d3d3"/>
            <v:line style="position:absolute" from="13297,3155" to="13297,3316" stroked="true" strokeweight=".196257pt" strokecolor="#d3d3d3"/>
            <v:line style="position:absolute" from="13299,3155" to="13299,3316" stroked="true" strokeweight=".196257pt" strokecolor="#d3d3d3"/>
            <v:line style="position:absolute" from="13301,3316" to="13643,3316" stroked="true" strokeweight=".196041pt" strokecolor="#d3d3d3"/>
            <v:line style="position:absolute" from="13301,3318" to="13643,3318" stroked="true" strokeweight=".196041pt" strokecolor="#d3d3d3"/>
            <v:line style="position:absolute" from="13643,3155" to="13643,3316" stroked="true" strokeweight=".196257pt" strokecolor="#d3d3d3"/>
            <v:line style="position:absolute" from="13645,3155" to="13645,3316" stroked="true" strokeweight=".196257pt" strokecolor="#d3d3d3"/>
            <v:line style="position:absolute" from="13988,3155" to="13988,3316" stroked="true" strokeweight=".196257pt" strokecolor="#d3d3d3"/>
            <v:line style="position:absolute" from="13990,3155" to="13990,3316" stroked="true" strokeweight=".196257pt" strokecolor="#d3d3d3"/>
            <v:line style="position:absolute" from="14334,3155" to="14334,3316" stroked="true" strokeweight=".196257pt" strokecolor="#d3d3d3"/>
            <v:line style="position:absolute" from="14336,3155" to="14336,3316" stroked="true" strokeweight=".196257pt" strokecolor="#d3d3d3"/>
            <v:line style="position:absolute" from="14338,3316" to="14420,3316" stroked="true" strokeweight=".196041pt" strokecolor="#d3d3d3"/>
            <v:line style="position:absolute" from="14338,3318" to="14420,3318" stroked="true" strokeweight=".196041pt" strokecolor="#d3d3d3"/>
            <v:line style="position:absolute" from="1774,3398" to="6536,3398" stroked="true" strokeweight=".196041pt" strokecolor="#d3d3d3"/>
            <v:line style="position:absolute" from="1774,3400" to="6536,3400" stroked="true" strokeweight=".196041pt" strokecolor="#d3d3d3"/>
            <v:line style="position:absolute" from="12799,3398" to="12830,3398" stroked="true" strokeweight=".196041pt" strokecolor="#d3d3d3"/>
            <v:line style="position:absolute" from="12799,3400" to="12830,3400" stroked="true" strokeweight=".196041pt" strokecolor="#d3d3d3"/>
            <v:line style="position:absolute" from="14338,3398" to="14420,3398" stroked="true" strokeweight=".196041pt" strokecolor="#d3d3d3"/>
            <v:line style="position:absolute" from="14338,3400" to="14420,3400" stroked="true" strokeweight=".196041pt" strokecolor="#d3d3d3"/>
            <v:line style="position:absolute" from="1774,3481" to="13297,3481" stroked="true" strokeweight=".196041pt" strokecolor="#d3d3d3"/>
            <v:line style="position:absolute" from="1774,3483" to="13297,3483" stroked="true" strokeweight=".202581pt" strokecolor="#d3d3d3"/>
            <v:line style="position:absolute" from="14338,3481" to="14420,3481" stroked="true" strokeweight=".196041pt" strokecolor="#d3d3d3"/>
            <v:line style="position:absolute" from="14338,3483" to="14420,3483" stroked="true" strokeweight=".202581pt" strokecolor="#d3d3d3"/>
            <v:line style="position:absolute" from="7514,3606" to="8967,3606" stroked="true" strokeweight="4.31944pt" strokecolor="#808080"/>
            <v:line style="position:absolute" from="6536,3689" to="12799,3689" stroked="true" strokeweight="4.3129pt" strokecolor="#baf9f5"/>
            <v:line style="position:absolute" from="12830,3689" to="13301,3689" stroked="true" strokeweight="4.3129pt" strokecolor="#baf9f5"/>
            <v:line style="position:absolute" from="13643,3689" to="14338,3689" stroked="true" strokeweight="4.3129pt" strokecolor="#baf9f5"/>
            <v:line style="position:absolute" from="13297,3771" to="13647,3771" stroked="true" strokeweight="4.31944pt" strokecolor="#f79646"/>
            <v:line style="position:absolute" from="13643,3771" to="13992,3771" stroked="true" strokeweight="4.31944pt" strokecolor="#ffff00"/>
            <v:line style="position:absolute" from="13988,3771" to="14338,3771" stroked="true" strokeweight="4.31944pt" strokecolor="#67ed4d"/>
            <v:line style="position:absolute" from="1774,3563" to="7514,3563" stroked="true" strokeweight=".196041pt" strokecolor="#d3d3d3"/>
            <v:line style="position:absolute" from="1774,3565" to="7514,3565" stroked="true" strokeweight=".196041pt" strokecolor="#d3d3d3"/>
            <v:line style="position:absolute" from="7514,3402" to="7514,3563" stroked="true" strokeweight=".196257pt" strokecolor="#d3d3d3"/>
            <v:line style="position:absolute" from="7516,3402" to="7516,3563" stroked="true" strokeweight=".196257pt" strokecolor="#d3d3d3"/>
            <v:line style="position:absolute" from="8963,3402" to="8963,3563" stroked="true" strokeweight=".196257pt" strokecolor="#d3d3d3"/>
            <v:line style="position:absolute" from="8965,3402" to="8965,3563" stroked="true" strokeweight=".196257pt" strokecolor="#d3d3d3"/>
            <v:line style="position:absolute" from="8967,3563" to="14420,3563" stroked="true" strokeweight=".196041pt" strokecolor="#d3d3d3"/>
            <v:line style="position:absolute" from="8967,3565" to="14420,3565" stroked="true" strokeweight=".196041pt" strokecolor="#d3d3d3"/>
            <v:line style="position:absolute" from="1774,3645" to="4196,3645" stroked="true" strokeweight=".196041pt" strokecolor="#d3d3d3"/>
            <v:line style="position:absolute" from="1774,3647" to="4196,3647" stroked="true" strokeweight=".196041pt" strokecolor="#d3d3d3"/>
            <v:line style="position:absolute" from="6536,3402" to="6536,3645" stroked="true" strokeweight=".196257pt" strokecolor="#d3d3d3"/>
            <v:line style="position:absolute" from="6538,3402" to="6538,3645" stroked="true" strokeweight=".196257pt" strokecolor="#d3d3d3"/>
            <v:line style="position:absolute" from="10474,3402" to="10474,3645" stroked="true" strokeweight=".196257pt" strokecolor="#d3d3d3"/>
            <v:line style="position:absolute" from="10476,3402" to="10476,3645" stroked="true" strokeweight=".196257pt" strokecolor="#d3d3d3"/>
            <v:line style="position:absolute" from="11122,3402" to="11122,3645" stroked="true" strokeweight=".196257pt" strokecolor="#d3d3d3"/>
            <v:line style="position:absolute" from="11124,3402" to="11124,3645" stroked="true" strokeweight=".196257pt" strokecolor="#d3d3d3"/>
            <v:line style="position:absolute" from="11707,3402" to="11707,3645" stroked="true" strokeweight=".196257pt" strokecolor="#d3d3d3"/>
            <v:line style="position:absolute" from="11709,3402" to="11709,3645" stroked="true" strokeweight=".196257pt" strokecolor="#d3d3d3"/>
            <v:line style="position:absolute" from="12795,3402" to="12795,3645" stroked="true" strokeweight=".196257pt" strokecolor="#d3d3d3"/>
            <v:line style="position:absolute" from="12797,3402" to="12797,3645" stroked="true" strokeweight=".196257pt" strokecolor="#d3d3d3"/>
            <v:line style="position:absolute" from="12799,3645" to="12830,3645" stroked="true" strokeweight=".196041pt" strokecolor="#d3d3d3"/>
            <v:line style="position:absolute" from="12799,3647" to="12830,3647" stroked="true" strokeweight=".196041pt" strokecolor="#d3d3d3"/>
            <v:line style="position:absolute" from="12830,3402" to="12830,3645" stroked="true" strokeweight=".196257pt" strokecolor="#d3d3d3"/>
            <v:line style="position:absolute" from="12832,3402" to="12832,3645" stroked="true" strokeweight=".196257pt" strokecolor="#d3d3d3"/>
            <v:line style="position:absolute" from="13297,3485" to="13297,3645" stroked="true" strokeweight=".196257pt" strokecolor="#d3d3d3"/>
            <v:line style="position:absolute" from="13299,3485" to="13299,3645" stroked="true" strokeweight=".196257pt" strokecolor="#d3d3d3"/>
            <v:line style="position:absolute" from="13301,3645" to="13643,3645" stroked="true" strokeweight=".196041pt" strokecolor="#d3d3d3"/>
            <v:line style="position:absolute" from="13301,3647" to="13643,3647" stroked="true" strokeweight=".196041pt" strokecolor="#d3d3d3"/>
            <v:line style="position:absolute" from="13643,3485" to="13643,3645" stroked="true" strokeweight=".196257pt" strokecolor="#d3d3d3"/>
            <v:line style="position:absolute" from="13645,3485" to="13645,3645" stroked="true" strokeweight=".196257pt" strokecolor="#d3d3d3"/>
            <v:line style="position:absolute" from="13988,3485" to="13988,3645" stroked="true" strokeweight=".196257pt" strokecolor="#d3d3d3"/>
            <v:line style="position:absolute" from="13990,3485" to="13990,3645" stroked="true" strokeweight=".196257pt" strokecolor="#d3d3d3"/>
            <v:line style="position:absolute" from="14334,3485" to="14334,3645" stroked="true" strokeweight=".196257pt" strokecolor="#d3d3d3"/>
            <v:line style="position:absolute" from="14336,3485" to="14336,3645" stroked="true" strokeweight=".196257pt" strokecolor="#d3d3d3"/>
            <v:line style="position:absolute" from="14338,3645" to="14420,3645" stroked="true" strokeweight=".196041pt" strokecolor="#d3d3d3"/>
            <v:line style="position:absolute" from="14338,3647" to="14420,3647" stroked="true" strokeweight=".196041pt" strokecolor="#d3d3d3"/>
            <v:line style="position:absolute" from="1774,3728" to="6536,3728" stroked="true" strokeweight=".196041pt" strokecolor="#d3d3d3"/>
            <v:line style="position:absolute" from="1774,3730" to="6536,3730" stroked="true" strokeweight=".196041pt" strokecolor="#d3d3d3"/>
            <v:line style="position:absolute" from="12799,3728" to="12830,3728" stroked="true" strokeweight=".196041pt" strokecolor="#d3d3d3"/>
            <v:line style="position:absolute" from="12799,3730" to="12830,3730" stroked="true" strokeweight=".196041pt" strokecolor="#d3d3d3"/>
            <v:line style="position:absolute" from="14338,3728" to="14420,3728" stroked="true" strokeweight=".196041pt" strokecolor="#d3d3d3"/>
            <v:line style="position:absolute" from="14338,3730" to="14420,3730" stroked="true" strokeweight=".196041pt" strokecolor="#d3d3d3"/>
            <v:line style="position:absolute" from="1774,3810" to="13297,3810" stroked="true" strokeweight=".196041pt" strokecolor="#d3d3d3"/>
            <v:line style="position:absolute" from="1774,3812" to="13297,3812" stroked="true" strokeweight=".196041pt" strokecolor="#d3d3d3"/>
            <v:line style="position:absolute" from="14338,3810" to="14420,3810" stroked="true" strokeweight=".196041pt" strokecolor="#d3d3d3"/>
            <v:line style="position:absolute" from="14338,3812" to="14420,3812" stroked="true" strokeweight=".196041pt" strokecolor="#d3d3d3"/>
            <v:line style="position:absolute" from="6536,3936" to="7518,3936" stroked="true" strokeweight="4.3129pt" strokecolor="#808080"/>
            <v:line style="position:absolute" from="6536,4018" to="12799,4018" stroked="true" strokeweight="4.31944pt" strokecolor="#baf9f5"/>
            <v:line style="position:absolute" from="12830,4018" to="13301,4018" stroked="true" strokeweight="4.31944pt" strokecolor="#baf9f5"/>
            <v:line style="position:absolute" from="13643,4018" to="14338,4018" stroked="true" strokeweight="4.31944pt" strokecolor="#baf9f5"/>
            <v:line style="position:absolute" from="13297,4101" to="13647,4101" stroked="true" strokeweight="4.3129pt" strokecolor="#f79646"/>
            <v:line style="position:absolute" from="13643,4101" to="13992,4101" stroked="true" strokeweight="4.3129pt" strokecolor="#ffff00"/>
            <v:line style="position:absolute" from="13988,4101" to="14338,4101" stroked="true" strokeweight="4.3129pt" strokecolor="#67ed4d"/>
            <v:line style="position:absolute" from="1774,3893" to="6536,3893" stroked="true" strokeweight=".196041pt" strokecolor="#d3d3d3"/>
            <v:line style="position:absolute" from="1774,3895" to="6536,3895" stroked="true" strokeweight=".196041pt" strokecolor="#d3d3d3"/>
            <v:line style="position:absolute" from="6536,3732" to="6536,3893" stroked="true" strokeweight=".196257pt" strokecolor="#d3d3d3"/>
            <v:line style="position:absolute" from="6538,3732" to="6538,3893" stroked="true" strokeweight=".196257pt" strokecolor="#d3d3d3"/>
            <v:line style="position:absolute" from="7514,3732" to="7514,3893" stroked="true" strokeweight=".196257pt" strokecolor="#d3d3d3"/>
            <v:line style="position:absolute" from="7516,3732" to="7516,3893" stroked="true" strokeweight=".196257pt" strokecolor="#d3d3d3"/>
            <v:line style="position:absolute" from="7518,3893" to="14420,3893" stroked="true" strokeweight=".196041pt" strokecolor="#d3d3d3"/>
            <v:line style="position:absolute" from="7518,3895" to="14420,3895" stroked="true" strokeweight=".196041pt" strokecolor="#d3d3d3"/>
            <v:line style="position:absolute" from="1774,3975" to="4196,3975" stroked="true" strokeweight=".196041pt" strokecolor="#d3d3d3"/>
            <v:line style="position:absolute" from="1774,3977" to="4196,3977" stroked="true" strokeweight=".196041pt" strokecolor="#d3d3d3"/>
            <v:line style="position:absolute" from="8963,3732" to="8963,3975" stroked="true" strokeweight=".196257pt" strokecolor="#d3d3d3"/>
            <v:line style="position:absolute" from="8965,3732" to="8965,3975" stroked="true" strokeweight=".196257pt" strokecolor="#d3d3d3"/>
            <v:line style="position:absolute" from="10474,3732" to="10474,3975" stroked="true" strokeweight=".196257pt" strokecolor="#d3d3d3"/>
            <v:line style="position:absolute" from="10476,3732" to="10476,3975" stroked="true" strokeweight=".196257pt" strokecolor="#d3d3d3"/>
            <v:line style="position:absolute" from="11122,3732" to="11122,3975" stroked="true" strokeweight=".196257pt" strokecolor="#d3d3d3"/>
            <v:line style="position:absolute" from="11124,3732" to="11124,3975" stroked="true" strokeweight=".196257pt" strokecolor="#d3d3d3"/>
            <v:line style="position:absolute" from="11707,3732" to="11707,3975" stroked="true" strokeweight=".196257pt" strokecolor="#d3d3d3"/>
            <v:line style="position:absolute" from="11709,3732" to="11709,3975" stroked="true" strokeweight=".196257pt" strokecolor="#d3d3d3"/>
            <v:line style="position:absolute" from="12795,3732" to="12795,3975" stroked="true" strokeweight=".196257pt" strokecolor="#d3d3d3"/>
            <v:line style="position:absolute" from="12797,3732" to="12797,3975" stroked="true" strokeweight=".196257pt" strokecolor="#d3d3d3"/>
            <v:line style="position:absolute" from="12799,3975" to="12830,3975" stroked="true" strokeweight=".196041pt" strokecolor="#d3d3d3"/>
            <v:line style="position:absolute" from="12799,3977" to="12830,3977" stroked="true" strokeweight=".196041pt" strokecolor="#d3d3d3"/>
            <v:line style="position:absolute" from="12830,3732" to="12830,3975" stroked="true" strokeweight=".196257pt" strokecolor="#d3d3d3"/>
            <v:line style="position:absolute" from="12832,3732" to="12832,3975" stroked="true" strokeweight=".196257pt" strokecolor="#d3d3d3"/>
            <v:line style="position:absolute" from="13297,3814" to="13297,3975" stroked="true" strokeweight=".196257pt" strokecolor="#d3d3d3"/>
            <v:line style="position:absolute" from="13299,3814" to="13299,3975" stroked="true" strokeweight=".196257pt" strokecolor="#d3d3d3"/>
            <v:line style="position:absolute" from="13301,3975" to="13643,3975" stroked="true" strokeweight=".196041pt" strokecolor="#d3d3d3"/>
            <v:line style="position:absolute" from="13301,3977" to="13643,3977" stroked="true" strokeweight=".196041pt" strokecolor="#d3d3d3"/>
            <v:line style="position:absolute" from="13643,3814" to="13643,3975" stroked="true" strokeweight=".196257pt" strokecolor="#d3d3d3"/>
            <v:line style="position:absolute" from="13645,3814" to="13645,3975" stroked="true" strokeweight=".196257pt" strokecolor="#d3d3d3"/>
            <v:line style="position:absolute" from="13988,3814" to="13988,3975" stroked="true" strokeweight=".196257pt" strokecolor="#d3d3d3"/>
            <v:line style="position:absolute" from="13990,3814" to="13990,3975" stroked="true" strokeweight=".196257pt" strokecolor="#d3d3d3"/>
            <v:line style="position:absolute" from="14334,3814" to="14334,3975" stroked="true" strokeweight=".196257pt" strokecolor="#d3d3d3"/>
            <v:line style="position:absolute" from="14336,3814" to="14336,3975" stroked="true" strokeweight=".196257pt" strokecolor="#d3d3d3"/>
            <v:line style="position:absolute" from="14338,3975" to="14420,3975" stroked="true" strokeweight=".196041pt" strokecolor="#d3d3d3"/>
            <v:line style="position:absolute" from="14338,3977" to="14420,3977" stroked="true" strokeweight=".196041pt" strokecolor="#d3d3d3"/>
            <v:line style="position:absolute" from="1774,4058" to="6536,4058" stroked="true" strokeweight=".196041pt" strokecolor="#d3d3d3"/>
            <v:line style="position:absolute" from="1774,4060" to="6536,4060" stroked="true" strokeweight=".196041pt" strokecolor="#d3d3d3"/>
            <v:line style="position:absolute" from="12799,4058" to="12830,4058" stroked="true" strokeweight=".196041pt" strokecolor="#d3d3d3"/>
            <v:line style="position:absolute" from="12799,4060" to="12830,4060" stroked="true" strokeweight=".196041pt" strokecolor="#d3d3d3"/>
            <v:line style="position:absolute" from="14338,4058" to="14420,4058" stroked="true" strokeweight=".196041pt" strokecolor="#d3d3d3"/>
            <v:line style="position:absolute" from="14338,4060" to="14420,4060" stroked="true" strokeweight=".196041pt" strokecolor="#d3d3d3"/>
            <v:line style="position:absolute" from="1774,4140" to="13297,4140" stroked="true" strokeweight=".196041pt" strokecolor="#d3d3d3"/>
            <v:line style="position:absolute" from="1774,4142" to="13297,4142" stroked="true" strokeweight=".196041pt" strokecolor="#d3d3d3"/>
            <v:line style="position:absolute" from="14338,4140" to="14420,4140" stroked="true" strokeweight=".196041pt" strokecolor="#d3d3d3"/>
            <v:line style="position:absolute" from="14338,4142" to="14420,4142" stroked="true" strokeweight=".196041pt" strokecolor="#d3d3d3"/>
            <v:line style="position:absolute" from="13297,4266" to="13647,4266" stroked="true" strokeweight="4.31944pt" strokecolor="#f79646"/>
            <v:line style="position:absolute" from="13643,4266" to="13992,4266" stroked="true" strokeweight="4.31944pt" strokecolor="#ffff00"/>
            <v:line style="position:absolute" from="13988,4266" to="14338,4266" stroked="true" strokeweight="4.31944pt" strokecolor="#67ed4d"/>
            <v:line style="position:absolute" from="1774,4222" to="13297,4222" stroked="true" strokeweight=".196041pt" strokecolor="#d3d3d3"/>
            <v:line style="position:absolute" from="1774,4224" to="13297,4224" stroked="true" strokeweight=".196041pt" strokecolor="#d3d3d3"/>
            <v:line style="position:absolute" from="13298,4144" to="13298,4222" stroked="true" strokeweight=".294864pt" strokecolor="#d3d3d3"/>
            <v:line style="position:absolute" from="13644,4144" to="13644,4222" stroked="true" strokeweight=".294397pt" strokecolor="#d3d3d3"/>
            <v:line style="position:absolute" from="13989,4144" to="13989,4222" stroked="true" strokeweight=".294546pt" strokecolor="#d3d3d3"/>
            <v:line style="position:absolute" from="14335,4144" to="14335,4222" stroked="true" strokeweight=".295079pt" strokecolor="#d3d3d3"/>
            <v:line style="position:absolute" from="14338,4222" to="14420,4222" stroked="true" strokeweight=".196041pt" strokecolor="#d3d3d3"/>
            <v:line style="position:absolute" from="14338,4224" to="14420,4224" stroked="true" strokeweight=".196041pt" strokecolor="#d3d3d3"/>
            <v:line style="position:absolute" from="1428,4305" to="13297,4305" stroked="true" strokeweight=".196041pt" strokecolor="#d3d3d3"/>
            <v:line style="position:absolute" from="1428,4307" to="13297,4307" stroked="true" strokeweight=".196041pt" strokecolor="#d3d3d3"/>
            <v:line style="position:absolute" from="14338,4305" to="14420,4305" stroked="true" strokeweight=".196041pt" strokecolor="#d3d3d3"/>
            <v:line style="position:absolute" from="14338,4307" to="14420,4307" stroked="true" strokeweight=".196041pt" strokecolor="#d3d3d3"/>
            <v:line style="position:absolute" from="1428,4389" to="14428,4389" stroked="true" strokeweight=".19644pt" strokecolor="#76933c"/>
            <v:line style="position:absolute" from="1770,847" to="1770,4387" stroked="true" strokeweight=".196257pt" strokecolor="#d3d3d3"/>
            <v:line style="position:absolute" from="1772,847" to="1772,4387" stroked="true" strokeweight=".196257pt" strokecolor="#d3d3d3"/>
            <v:line style="position:absolute" from="1864,847" to="1864,4387" stroked="true" strokeweight=".196257pt" strokecolor="#d3d3d3"/>
            <v:line style="position:absolute" from="1866,847" to="1866,4387" stroked="true" strokeweight=".196257pt" strokecolor="#d3d3d3"/>
            <v:line style="position:absolute" from="2952,847" to="2952,4387" stroked="true" strokeweight=".196257pt" strokecolor="#d3d3d3"/>
            <v:line style="position:absolute" from="2954,847" to="2954,4387" stroked="true" strokeweight=".196257pt" strokecolor="#d3d3d3"/>
            <v:line style="position:absolute" from="4192,847" to="4192,4387" stroked="true" strokeweight=".196257pt" strokecolor="#d3d3d3"/>
            <v:line style="position:absolute" from="4194,847" to="4194,4387" stroked="true" strokeweight=".196257pt" strokecolor="#d3d3d3"/>
            <v:line style="position:absolute" from="6536,4062" to="6536,4387" stroked="true" strokeweight=".196257pt" strokecolor="#d3d3d3"/>
            <v:line style="position:absolute" from="6538,4062" to="6538,4387" stroked="true" strokeweight=".196257pt" strokecolor="#d3d3d3"/>
            <v:line style="position:absolute" from="7514,4062" to="7514,4387" stroked="true" strokeweight=".196257pt" strokecolor="#d3d3d3"/>
            <v:line style="position:absolute" from="7516,4062" to="7516,4387" stroked="true" strokeweight=".196257pt" strokecolor="#d3d3d3"/>
            <v:line style="position:absolute" from="8963,4062" to="8963,4387" stroked="true" strokeweight=".196257pt" strokecolor="#d3d3d3"/>
            <v:line style="position:absolute" from="8965,4062" to="8965,4387" stroked="true" strokeweight=".196257pt" strokecolor="#d3d3d3"/>
            <v:line style="position:absolute" from="10474,4062" to="10474,4387" stroked="true" strokeweight=".196257pt" strokecolor="#d3d3d3"/>
            <v:line style="position:absolute" from="10476,4062" to="10476,4387" stroked="true" strokeweight=".196257pt" strokecolor="#d3d3d3"/>
            <v:line style="position:absolute" from="11122,4062" to="11122,4387" stroked="true" strokeweight=".196257pt" strokecolor="#d3d3d3"/>
            <v:line style="position:absolute" from="11124,4062" to="11124,4387" stroked="true" strokeweight=".196257pt" strokecolor="#d3d3d3"/>
            <v:line style="position:absolute" from="11707,4062" to="11707,4387" stroked="true" strokeweight=".196257pt" strokecolor="#d3d3d3"/>
            <v:line style="position:absolute" from="11709,4062" to="11709,4387" stroked="true" strokeweight=".196257pt" strokecolor="#d3d3d3"/>
            <v:line style="position:absolute" from="12795,4062" to="12795,4387" stroked="true" strokeweight=".196257pt" strokecolor="#d3d3d3"/>
            <v:line style="position:absolute" from="12797,4062" to="12797,4387" stroked="true" strokeweight=".196257pt" strokecolor="#d3d3d3"/>
            <v:line style="position:absolute" from="12830,4062" to="12830,4387" stroked="true" strokeweight=".196257pt" strokecolor="#d3d3d3"/>
            <v:line style="position:absolute" from="12832,4062" to="12832,4387" stroked="true" strokeweight=".196257pt" strokecolor="#d3d3d3"/>
            <v:line style="position:absolute" from="13298,4309" to="13298,4387" stroked="true" strokeweight=".294864pt" strokecolor="#d3d3d3"/>
            <v:line style="position:absolute" from="13644,4309" to="13644,4387" stroked="true" strokeweight=".294397pt" strokecolor="#d3d3d3"/>
            <v:line style="position:absolute" from="13989,4309" to="13989,4387" stroked="true" strokeweight=".294546pt" strokecolor="#d3d3d3"/>
            <v:line style="position:absolute" from="14335,4309" to="14335,4387" stroked="true" strokeweight=".295079pt" strokecolor="#d3d3d3"/>
            <v:line style="position:absolute" from="1424,376" to="1424,4395" stroked="true" strokeweight=".392514pt" strokecolor="#000000"/>
            <v:line style="position:absolute" from="14424,384" to="14424,4395" stroked="true" strokeweight=".392514pt" strokecolor="#000000"/>
            <v:line style="position:absolute" from="14428,380" to="14432,380" stroked="true" strokeweight=".196041pt" strokecolor="#d3d3d3"/>
            <v:line style="position:absolute" from="14428,514" to="14432,514" stroked="true" strokeweight=".196041pt" strokecolor="#d3d3d3"/>
            <v:line style="position:absolute" from="14428,596" to="14432,596" stroked="true" strokeweight=".196041pt" strokecolor="#d3d3d3"/>
            <v:line style="position:absolute" from="14428,678" to="14432,678" stroked="true" strokeweight=".196041pt" strokecolor="#d3d3d3"/>
            <v:line style="position:absolute" from="14428,926" to="14432,926" stroked="true" strokeweight=".196041pt" strokecolor="#d3d3d3"/>
            <v:line style="position:absolute" from="14428,1008" to="14432,1008" stroked="true" strokeweight=".196041pt" strokecolor="#d3d3d3"/>
            <v:line style="position:absolute" from="14428,1090" to="14432,1090" stroked="true" strokeweight=".196041pt" strokecolor="#d3d3d3"/>
            <v:line style="position:absolute" from="14428,1173" to="14432,1173" stroked="true" strokeweight=".196041pt" strokecolor="#d3d3d3"/>
            <v:line style="position:absolute" from="14428,1255" to="14432,1255" stroked="true" strokeweight=".196041pt" strokecolor="#d3d3d3"/>
            <v:line style="position:absolute" from="14428,1338" to="14432,1338" stroked="true" strokeweight=".196041pt" strokecolor="#d3d3d3"/>
            <v:line style="position:absolute" from="14428,1420" to="14432,1420" stroked="true" strokeweight=".196041pt" strokecolor="#d3d3d3"/>
            <v:line style="position:absolute" from="14428,1503" to="14432,1503" stroked="true" strokeweight=".196041pt" strokecolor="#d3d3d3"/>
            <v:line style="position:absolute" from="14428,1585" to="14432,1585" stroked="true" strokeweight=".196041pt" strokecolor="#d3d3d3"/>
            <v:line style="position:absolute" from="14428,1667" to="14432,1667" stroked="true" strokeweight=".196041pt" strokecolor="#d3d3d3"/>
            <v:line style="position:absolute" from="14428,1750" to="14432,1750" stroked="true" strokeweight=".196041pt" strokecolor="#d3d3d3"/>
            <v:line style="position:absolute" from="14428,1832" to="14432,1832" stroked="true" strokeweight=".196041pt" strokecolor="#d3d3d3"/>
            <v:line style="position:absolute" from="14428,1915" to="14432,1915" stroked="true" strokeweight=".196041pt" strokecolor="#d3d3d3"/>
            <v:line style="position:absolute" from="14428,1997" to="14432,1997" stroked="true" strokeweight=".196041pt" strokecolor="#d3d3d3"/>
            <v:line style="position:absolute" from="14428,2080" to="14432,2080" stroked="true" strokeweight=".196041pt" strokecolor="#d3d3d3"/>
            <v:line style="position:absolute" from="14428,2162" to="14432,2162" stroked="true" strokeweight=".196041pt" strokecolor="#d3d3d3"/>
            <v:line style="position:absolute" from="14428,2244" to="14432,2244" stroked="true" strokeweight=".196041pt" strokecolor="#d3d3d3"/>
            <v:line style="position:absolute" from="14428,2327" to="14432,2327" stroked="true" strokeweight=".196041pt" strokecolor="#d3d3d3"/>
            <v:line style="position:absolute" from="14428,2409" to="14432,2409" stroked="true" strokeweight=".196041pt" strokecolor="#d3d3d3"/>
            <v:line style="position:absolute" from="14428,2492" to="14432,2492" stroked="true" strokeweight=".196041pt" strokecolor="#d3d3d3"/>
            <v:line style="position:absolute" from="14428,2574" to="14432,2574" stroked="true" strokeweight=".196041pt" strokecolor="#d3d3d3"/>
            <v:line style="position:absolute" from="14428,2656" to="14432,2656" stroked="true" strokeweight=".196041pt" strokecolor="#d3d3d3"/>
            <v:line style="position:absolute" from="14428,2739" to="14432,2739" stroked="true" strokeweight=".196041pt" strokecolor="#d3d3d3"/>
            <v:line style="position:absolute" from="14428,2821" to="14432,2821" stroked="true" strokeweight=".196041pt" strokecolor="#d3d3d3"/>
            <v:line style="position:absolute" from="14428,2904" to="14432,2904" stroked="true" strokeweight=".196041pt" strokecolor="#d3d3d3"/>
            <v:line style="position:absolute" from="14428,2986" to="14432,2986" stroked="true" strokeweight=".196041pt" strokecolor="#d3d3d3"/>
            <v:line style="position:absolute" from="14428,3068" to="14432,3068" stroked="true" strokeweight=".196041pt" strokecolor="#d3d3d3"/>
            <v:line style="position:absolute" from="14428,3151" to="14432,3151" stroked="true" strokeweight=".196041pt" strokecolor="#d3d3d3"/>
            <v:line style="position:absolute" from="14428,3233" to="14432,3233" stroked="true" strokeweight=".196041pt" strokecolor="#d3d3d3"/>
            <v:line style="position:absolute" from="14428,3316" to="14432,3316" stroked="true" strokeweight=".196041pt" strokecolor="#d3d3d3"/>
            <v:line style="position:absolute" from="14428,3398" to="14432,3398" stroked="true" strokeweight=".196041pt" strokecolor="#d3d3d3"/>
            <v:line style="position:absolute" from="14428,3481" to="14432,3481" stroked="true" strokeweight=".196041pt" strokecolor="#d3d3d3"/>
            <v:line style="position:absolute" from="14428,3563" to="14432,3563" stroked="true" strokeweight=".196041pt" strokecolor="#d3d3d3"/>
            <v:line style="position:absolute" from="14428,3645" to="14432,3645" stroked="true" strokeweight=".196041pt" strokecolor="#d3d3d3"/>
            <v:line style="position:absolute" from="14428,3728" to="14432,3728" stroked="true" strokeweight=".196041pt" strokecolor="#d3d3d3"/>
            <v:line style="position:absolute" from="14428,3810" to="14432,3810" stroked="true" strokeweight=".196041pt" strokecolor="#d3d3d3"/>
            <v:line style="position:absolute" from="14428,3893" to="14432,3893" stroked="true" strokeweight=".196041pt" strokecolor="#d3d3d3"/>
            <v:line style="position:absolute" from="14428,3975" to="14432,3975" stroked="true" strokeweight=".196041pt" strokecolor="#d3d3d3"/>
            <v:line style="position:absolute" from="14428,4058" to="14432,4058" stroked="true" strokeweight=".196041pt" strokecolor="#d3d3d3"/>
            <v:line style="position:absolute" from="14428,4140" to="14432,4140" stroked="true" strokeweight=".196041pt" strokecolor="#d3d3d3"/>
            <v:line style="position:absolute" from="14428,4222" to="14432,4222" stroked="true" strokeweight=".196041pt" strokecolor="#d3d3d3"/>
            <v:line style="position:absolute" from="14428,4305" to="14432,4305" stroked="true" strokeweight=".196041pt" strokecolor="#d3d3d3"/>
            <v:shape style="position:absolute;left:7475;top:417;width:904;height:95" type="#_x0000_t202" filled="false" stroked="false">
              <v:textbox inset="0,0,0,0">
                <w:txbxContent>
                  <w:p>
                    <w:pPr>
                      <w:spacing w:line="94" w:lineRule="exact" w:before="0"/>
                      <w:ind w:left="0" w:right="-10" w:firstLine="0"/>
                      <w:jc w:val="left"/>
                      <w:rPr>
                        <w:rFonts w:ascii="Calibri"/>
                        <w:b/>
                        <w:sz w:val="9"/>
                      </w:rPr>
                    </w:pPr>
                    <w:r>
                      <w:rPr>
                        <w:rFonts w:ascii="Calibri"/>
                        <w:b/>
                        <w:w w:val="105"/>
                        <w:sz w:val="9"/>
                      </w:rPr>
                      <w:t>Sistema de</w:t>
                    </w:r>
                    <w:r>
                      <w:rPr>
                        <w:rFonts w:ascii="Calibri"/>
                        <w:b/>
                        <w:spacing w:val="-13"/>
                        <w:w w:val="105"/>
                        <w:sz w:val="9"/>
                      </w:rPr>
                      <w:t> </w:t>
                    </w:r>
                    <w:r>
                      <w:rPr>
                        <w:rFonts w:ascii="Calibri"/>
                        <w:b/>
                        <w:w w:val="105"/>
                        <w:sz w:val="9"/>
                      </w:rPr>
                      <w:t>Indicadores</w:t>
                    </w:r>
                  </w:p>
                </w:txbxContent>
              </v:textbox>
              <w10:wrap type="none"/>
            </v:shape>
            <v:shape style="position:absolute;left:1424;top:639;width:347;height:165" type="#_x0000_t202" filled="false" stroked="false">
              <v:textbox inset="0,0,0,0">
                <w:txbxContent>
                  <w:p>
                    <w:pPr>
                      <w:spacing w:line="40" w:lineRule="exact" w:before="0"/>
                      <w:ind w:left="94" w:right="0" w:firstLine="0"/>
                      <w:jc w:val="left"/>
                      <w:rPr>
                        <w:rFonts w:ascii="Calibri" w:hAnsi="Calibri"/>
                        <w:b/>
                        <w:sz w:val="6"/>
                      </w:rPr>
                    </w:pPr>
                    <w:r>
                      <w:rPr>
                        <w:rFonts w:ascii="Calibri" w:hAnsi="Calibri"/>
                        <w:b/>
                        <w:w w:val="105"/>
                        <w:sz w:val="6"/>
                      </w:rPr>
                      <w:t>Índice</w:t>
                    </w:r>
                  </w:p>
                </w:txbxContent>
              </v:textbox>
              <w10:wrap type="none"/>
            </v:shape>
            <v:shape style="position:absolute;left:1865;top:639;width:1088;height:165" type="#_x0000_t202" filled="false" stroked="false">
              <v:textbox inset="0,0,0,0">
                <w:txbxContent>
                  <w:p>
                    <w:pPr>
                      <w:spacing w:line="40" w:lineRule="exact" w:before="0"/>
                      <w:ind w:left="398" w:right="393" w:firstLine="0"/>
                      <w:jc w:val="center"/>
                      <w:rPr>
                        <w:rFonts w:ascii="Calibri" w:hAnsi="Calibri"/>
                        <w:b/>
                        <w:sz w:val="6"/>
                      </w:rPr>
                    </w:pPr>
                    <w:r>
                      <w:rPr>
                        <w:rFonts w:ascii="Calibri" w:hAnsi="Calibri"/>
                        <w:b/>
                        <w:w w:val="105"/>
                        <w:sz w:val="6"/>
                      </w:rPr>
                      <w:t>SubÍndice</w:t>
                    </w:r>
                  </w:p>
                </w:txbxContent>
              </v:textbox>
              <w10:wrap type="none"/>
            </v:shape>
            <v:shape style="position:absolute;left:2953;top:639;width:1241;height:165" type="#_x0000_t202" filled="false" stroked="false">
              <v:textbox inset="0,0,0,0">
                <w:txbxContent>
                  <w:p>
                    <w:pPr>
                      <w:spacing w:line="40" w:lineRule="exact" w:before="0"/>
                      <w:ind w:left="476" w:right="476" w:firstLine="0"/>
                      <w:jc w:val="center"/>
                      <w:rPr>
                        <w:rFonts w:ascii="Calibri"/>
                        <w:b/>
                        <w:sz w:val="6"/>
                      </w:rPr>
                    </w:pPr>
                    <w:r>
                      <w:rPr>
                        <w:rFonts w:ascii="Calibri"/>
                        <w:b/>
                        <w:w w:val="105"/>
                        <w:sz w:val="6"/>
                      </w:rPr>
                      <w:t>Indicador</w:t>
                    </w:r>
                  </w:p>
                </w:txbxContent>
              </v:textbox>
              <w10:wrap type="none"/>
            </v:shape>
            <v:shape style="position:absolute;left:6996;top:779;width:69;height:63" type="#_x0000_t202" filled="false" stroked="false">
              <v:textbox inset="0,0,0,0">
                <w:txbxContent>
                  <w:p>
                    <w:pPr>
                      <w:spacing w:line="63" w:lineRule="exact" w:before="0"/>
                      <w:ind w:left="0" w:right="-18" w:firstLine="0"/>
                      <w:jc w:val="left"/>
                      <w:rPr>
                        <w:rFonts w:ascii="Calibri"/>
                        <w:sz w:val="6"/>
                      </w:rPr>
                    </w:pPr>
                    <w:r>
                      <w:rPr>
                        <w:rFonts w:ascii="Calibri"/>
                        <w:w w:val="105"/>
                        <w:sz w:val="6"/>
                      </w:rPr>
                      <w:t>R1</w:t>
                    </w:r>
                  </w:p>
                </w:txbxContent>
              </v:textbox>
              <w10:wrap type="none"/>
            </v:shape>
            <v:shape style="position:absolute;left:8209;top:779;width:69;height:63" type="#_x0000_t202" filled="false" stroked="false">
              <v:textbox inset="0,0,0,0">
                <w:txbxContent>
                  <w:p>
                    <w:pPr>
                      <w:spacing w:line="63" w:lineRule="exact" w:before="0"/>
                      <w:ind w:left="0" w:right="-18" w:firstLine="0"/>
                      <w:jc w:val="left"/>
                      <w:rPr>
                        <w:rFonts w:ascii="Calibri"/>
                        <w:sz w:val="6"/>
                      </w:rPr>
                    </w:pPr>
                    <w:r>
                      <w:rPr>
                        <w:rFonts w:ascii="Calibri"/>
                        <w:w w:val="105"/>
                        <w:sz w:val="6"/>
                      </w:rPr>
                      <w:t>R2</w:t>
                    </w:r>
                  </w:p>
                </w:txbxContent>
              </v:textbox>
              <w10:wrap type="none"/>
            </v:shape>
            <v:shape style="position:absolute;left:9689;top:779;width:69;height:63" type="#_x0000_t202" filled="false" stroked="false">
              <v:textbox inset="0,0,0,0">
                <w:txbxContent>
                  <w:p>
                    <w:pPr>
                      <w:spacing w:line="63" w:lineRule="exact" w:before="0"/>
                      <w:ind w:left="0" w:right="-18" w:firstLine="0"/>
                      <w:jc w:val="left"/>
                      <w:rPr>
                        <w:rFonts w:ascii="Calibri"/>
                        <w:sz w:val="6"/>
                      </w:rPr>
                    </w:pPr>
                    <w:r>
                      <w:rPr>
                        <w:rFonts w:ascii="Calibri"/>
                        <w:w w:val="105"/>
                        <w:sz w:val="6"/>
                      </w:rPr>
                      <w:t>R3</w:t>
                    </w:r>
                  </w:p>
                </w:txbxContent>
              </v:textbox>
              <w10:wrap type="none"/>
            </v:shape>
            <v:shape style="position:absolute;left:10475;top:804;width:648;height:123" type="#_x0000_t202" filled="false" stroked="false">
              <v:textbox inset="0,0,0,0">
                <w:txbxContent>
                  <w:p>
                    <w:pPr>
                      <w:spacing w:line="40" w:lineRule="exact" w:before="0"/>
                      <w:ind w:left="235" w:right="228" w:firstLine="0"/>
                      <w:jc w:val="center"/>
                      <w:rPr>
                        <w:rFonts w:ascii="Calibri"/>
                        <w:sz w:val="6"/>
                      </w:rPr>
                    </w:pPr>
                    <w:r>
                      <w:rPr>
                        <w:rFonts w:ascii="Calibri"/>
                        <w:w w:val="105"/>
                        <w:sz w:val="6"/>
                      </w:rPr>
                      <w:t>R4</w:t>
                    </w:r>
                  </w:p>
                </w:txbxContent>
              </v:textbox>
              <w10:wrap type="none"/>
            </v:shape>
            <v:shape style="position:absolute;left:11123;top:804;width:586;height:123" type="#_x0000_t202" filled="false" stroked="false">
              <v:textbox inset="0,0,0,0">
                <w:txbxContent>
                  <w:p>
                    <w:pPr>
                      <w:spacing w:line="40" w:lineRule="exact" w:before="0"/>
                      <w:ind w:left="95" w:right="88" w:firstLine="0"/>
                      <w:jc w:val="center"/>
                      <w:rPr>
                        <w:rFonts w:ascii="Calibri"/>
                        <w:sz w:val="6"/>
                      </w:rPr>
                    </w:pPr>
                    <w:r>
                      <w:rPr>
                        <w:rFonts w:ascii="Calibri"/>
                        <w:w w:val="105"/>
                        <w:sz w:val="6"/>
                      </w:rPr>
                      <w:t>R5</w:t>
                    </w:r>
                  </w:p>
                </w:txbxContent>
              </v:textbox>
              <w10:wrap type="none"/>
            </v:shape>
            <v:shape style="position:absolute;left:12222;top:779;width:69;height:63" type="#_x0000_t202" filled="false" stroked="false">
              <v:textbox inset="0,0,0,0">
                <w:txbxContent>
                  <w:p>
                    <w:pPr>
                      <w:spacing w:line="63" w:lineRule="exact" w:before="0"/>
                      <w:ind w:left="0" w:right="-18" w:firstLine="0"/>
                      <w:jc w:val="left"/>
                      <w:rPr>
                        <w:rFonts w:ascii="Calibri"/>
                        <w:sz w:val="6"/>
                      </w:rPr>
                    </w:pPr>
                    <w:r>
                      <w:rPr>
                        <w:rFonts w:ascii="Calibri"/>
                        <w:w w:val="105"/>
                        <w:sz w:val="6"/>
                      </w:rPr>
                      <w:t>R6</w:t>
                    </w:r>
                  </w:p>
                </w:txbxContent>
              </v:textbox>
              <w10:wrap type="none"/>
            </v:shape>
            <v:shape style="position:absolute;left:1526;top:2588;width:148;height:63" type="#_x0000_t202" filled="false" stroked="false">
              <v:textbox inset="0,0,0,0">
                <w:txbxContent>
                  <w:p>
                    <w:pPr>
                      <w:spacing w:line="63" w:lineRule="exact" w:before="0"/>
                      <w:ind w:left="0" w:right="-20" w:firstLine="0"/>
                      <w:jc w:val="left"/>
                      <w:rPr>
                        <w:rFonts w:ascii="Calibri"/>
                        <w:sz w:val="6"/>
                      </w:rPr>
                    </w:pPr>
                    <w:r>
                      <w:rPr>
                        <w:rFonts w:ascii="Calibri"/>
                        <w:w w:val="105"/>
                        <w:sz w:val="6"/>
                      </w:rPr>
                      <w:t>Social</w:t>
                    </w:r>
                  </w:p>
                </w:txbxContent>
              </v:textbox>
              <w10:wrap type="none"/>
            </v:shape>
            <v:shape style="position:absolute;left:7011;top:943;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1</w:t>
                    </w:r>
                  </w:p>
                </w:txbxContent>
              </v:textbox>
              <w10:wrap type="none"/>
            </v:shape>
            <v:shape style="position:absolute;left:8225;top:943;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2</w:t>
                    </w:r>
                  </w:p>
                </w:txbxContent>
              </v:textbox>
              <w10:wrap type="none"/>
            </v:shape>
            <v:shape style="position:absolute;left:9705;top:943;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3</w:t>
                    </w:r>
                  </w:p>
                </w:txbxContent>
              </v:textbox>
              <w10:wrap type="none"/>
            </v:shape>
            <v:shape style="position:absolute;left:10785;top:943;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4</w:t>
                    </w:r>
                  </w:p>
                </w:txbxContent>
              </v:textbox>
              <w10:wrap type="none"/>
            </v:shape>
            <v:shape style="position:absolute;left:11401;top:943;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5</w:t>
                    </w:r>
                  </w:p>
                </w:txbxContent>
              </v:textbox>
              <w10:wrap type="none"/>
            </v:shape>
            <v:shape style="position:absolute;left:12815;top:927;width:484;height:124" type="#_x0000_t202" filled="false" stroked="false">
              <v:textbox inset="0,0,0,0">
                <w:txbxContent>
                  <w:p>
                    <w:pPr>
                      <w:spacing w:before="8"/>
                      <w:ind w:left="113" w:right="-19" w:firstLine="0"/>
                      <w:jc w:val="left"/>
                      <w:rPr>
                        <w:rFonts w:ascii="Calibri" w:hAnsi="Calibri"/>
                        <w:sz w:val="6"/>
                      </w:rPr>
                    </w:pPr>
                    <w:r>
                      <w:rPr>
                        <w:rFonts w:ascii="Calibri" w:hAnsi="Calibri"/>
                        <w:w w:val="105"/>
                        <w:sz w:val="6"/>
                      </w:rPr>
                      <w:t>Evaluación</w:t>
                    </w:r>
                  </w:p>
                </w:txbxContent>
              </v:textbox>
              <w10:wrap type="none"/>
            </v:shape>
            <v:shape style="position:absolute;left:13644;top:927;width:346;height:124" type="#_x0000_t202" filled="false" stroked="false">
              <v:textbox inset="0,0,0,0">
                <w:txbxContent>
                  <w:p>
                    <w:pPr>
                      <w:spacing w:before="8"/>
                      <w:ind w:left="53" w:right="0" w:firstLine="0"/>
                      <w:jc w:val="left"/>
                      <w:rPr>
                        <w:rFonts w:ascii="Calibri"/>
                        <w:sz w:val="6"/>
                      </w:rPr>
                    </w:pPr>
                    <w:r>
                      <w:rPr>
                        <w:rFonts w:ascii="Calibri"/>
                        <w:w w:val="105"/>
                        <w:sz w:val="6"/>
                      </w:rPr>
                      <w:t>Deseable</w:t>
                    </w:r>
                  </w:p>
                </w:txbxContent>
              </v:textbox>
              <w10:wrap type="none"/>
            </v:shape>
            <v:shape style="position:absolute;left:13989;top:927;width:346;height:124" type="#_x0000_t202" filled="false" stroked="false">
              <v:textbox inset="0,0,0,0">
                <w:txbxContent>
                  <w:p>
                    <w:pPr>
                      <w:spacing w:before="8"/>
                      <w:ind w:left="81" w:right="0" w:firstLine="0"/>
                      <w:jc w:val="left"/>
                      <w:rPr>
                        <w:rFonts w:ascii="Calibri" w:hAnsi="Calibri"/>
                        <w:sz w:val="6"/>
                      </w:rPr>
                    </w:pPr>
                    <w:r>
                      <w:rPr>
                        <w:rFonts w:ascii="Calibri" w:hAnsi="Calibri"/>
                        <w:w w:val="105"/>
                        <w:sz w:val="6"/>
                      </w:rPr>
                      <w:t>Óptimo</w:t>
                    </w:r>
                  </w:p>
                </w:txbxContent>
              </v:textbox>
              <w10:wrap type="none"/>
            </v:shape>
            <v:shape style="position:absolute;left:6537;top:1050;width:978;height:165" type="#_x0000_t202" filled="false" stroked="false">
              <v:textbox inset="0,0,0,0">
                <w:txbxContent>
                  <w:p>
                    <w:pPr>
                      <w:spacing w:line="41" w:lineRule="exact" w:before="0"/>
                      <w:ind w:left="280" w:right="278" w:firstLine="0"/>
                      <w:jc w:val="center"/>
                      <w:rPr>
                        <w:rFonts w:ascii="Calibri"/>
                        <w:sz w:val="6"/>
                      </w:rPr>
                    </w:pPr>
                    <w:r>
                      <w:rPr>
                        <w:rFonts w:ascii="Calibri"/>
                        <w:w w:val="105"/>
                        <w:sz w:val="6"/>
                      </w:rPr>
                      <w:t>0.2</w:t>
                    </w:r>
                  </w:p>
                  <w:p>
                    <w:pPr>
                      <w:spacing w:before="9"/>
                      <w:ind w:left="280" w:right="278" w:firstLine="0"/>
                      <w:jc w:val="center"/>
                      <w:rPr>
                        <w:rFonts w:ascii="Calibri"/>
                        <w:sz w:val="6"/>
                      </w:rPr>
                    </w:pPr>
                    <w:r>
                      <w:rPr>
                        <w:rFonts w:ascii="Calibri"/>
                        <w:w w:val="105"/>
                        <w:sz w:val="6"/>
                      </w:rPr>
                      <w:t>50m2</w:t>
                    </w:r>
                  </w:p>
                </w:txbxContent>
              </v:textbox>
              <w10:wrap type="none"/>
            </v:shape>
            <v:shape style="position:absolute;left:8170;top:1026;width:142;height:146" type="#_x0000_t202" filled="false" stroked="false">
              <v:textbox inset="0,0,0,0">
                <w:txbxContent>
                  <w:p>
                    <w:pPr>
                      <w:spacing w:line="65" w:lineRule="exact" w:before="0"/>
                      <w:ind w:left="31" w:right="-17" w:firstLine="0"/>
                      <w:jc w:val="left"/>
                      <w:rPr>
                        <w:rFonts w:ascii="Calibri"/>
                        <w:sz w:val="6"/>
                      </w:rPr>
                    </w:pPr>
                    <w:r>
                      <w:rPr>
                        <w:rFonts w:ascii="Calibri"/>
                        <w:w w:val="105"/>
                        <w:sz w:val="6"/>
                      </w:rPr>
                      <w:t>0.6</w:t>
                    </w:r>
                  </w:p>
                  <w:p>
                    <w:pPr>
                      <w:spacing w:line="71" w:lineRule="exact" w:before="9"/>
                      <w:ind w:left="0" w:right="-17" w:firstLine="0"/>
                      <w:jc w:val="left"/>
                      <w:rPr>
                        <w:rFonts w:ascii="Calibri"/>
                        <w:sz w:val="6"/>
                      </w:rPr>
                    </w:pPr>
                    <w:r>
                      <w:rPr>
                        <w:rFonts w:ascii="Calibri"/>
                        <w:spacing w:val="-2"/>
                        <w:w w:val="105"/>
                        <w:sz w:val="6"/>
                      </w:rPr>
                      <w:t>60m2</w:t>
                    </w:r>
                  </w:p>
                </w:txbxContent>
              </v:textbox>
              <w10:wrap type="none"/>
            </v:shape>
            <v:shape style="position:absolute;left:8963;top:1026;width:1516;height:146" type="#_x0000_t202" filled="false" stroked="false">
              <v:textbox inset="0,0,0,0">
                <w:txbxContent>
                  <w:p>
                    <w:pPr>
                      <w:spacing w:line="65" w:lineRule="exact" w:before="0"/>
                      <w:ind w:left="0" w:right="0" w:firstLine="0"/>
                      <w:jc w:val="center"/>
                      <w:rPr>
                        <w:rFonts w:ascii="Calibri"/>
                        <w:sz w:val="6"/>
                      </w:rPr>
                    </w:pPr>
                    <w:r>
                      <w:rPr>
                        <w:rFonts w:ascii="Calibri"/>
                        <w:w w:val="105"/>
                        <w:sz w:val="6"/>
                      </w:rPr>
                      <w:t>0.7</w:t>
                    </w:r>
                  </w:p>
                  <w:p>
                    <w:pPr>
                      <w:tabs>
                        <w:tab w:pos="687" w:val="left" w:leader="none"/>
                        <w:tab w:pos="1515" w:val="left" w:leader="none"/>
                      </w:tabs>
                      <w:spacing w:line="71" w:lineRule="exact" w:before="9"/>
                      <w:ind w:left="-1" w:right="0" w:firstLine="0"/>
                      <w:jc w:val="center"/>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75m2</w:t>
                    </w:r>
                    <w:r>
                      <w:rPr>
                        <w:rFonts w:ascii="Calibri"/>
                        <w:sz w:val="6"/>
                        <w:shd w:fill="808080" w:color="auto" w:val="clear"/>
                      </w:rPr>
                      <w:tab/>
                    </w:r>
                  </w:p>
                </w:txbxContent>
              </v:textbox>
              <w10:wrap type="none"/>
            </v:shape>
            <v:shape style="position:absolute;left:10730;top:1026;width:142;height:146" type="#_x0000_t202" filled="false" stroked="false">
              <v:textbox inset="0,0,0,0">
                <w:txbxContent>
                  <w:p>
                    <w:pPr>
                      <w:spacing w:line="65" w:lineRule="exact" w:before="0"/>
                      <w:ind w:left="0" w:right="0" w:firstLine="0"/>
                      <w:jc w:val="center"/>
                      <w:rPr>
                        <w:rFonts w:ascii="Calibri"/>
                        <w:sz w:val="6"/>
                      </w:rPr>
                    </w:pPr>
                    <w:r>
                      <w:rPr>
                        <w:rFonts w:ascii="Calibri"/>
                        <w:w w:val="104"/>
                        <w:sz w:val="6"/>
                      </w:rPr>
                      <w:t>1</w:t>
                    </w:r>
                  </w:p>
                  <w:p>
                    <w:pPr>
                      <w:spacing w:line="71" w:lineRule="exact" w:before="9"/>
                      <w:ind w:left="-1" w:right="0" w:firstLine="0"/>
                      <w:jc w:val="center"/>
                      <w:rPr>
                        <w:rFonts w:ascii="Calibri"/>
                        <w:sz w:val="6"/>
                      </w:rPr>
                    </w:pPr>
                    <w:r>
                      <w:rPr>
                        <w:rFonts w:ascii="Calibri"/>
                        <w:spacing w:val="-2"/>
                        <w:w w:val="105"/>
                        <w:sz w:val="6"/>
                      </w:rPr>
                      <w:t>95m2</w:t>
                    </w:r>
                  </w:p>
                </w:txbxContent>
              </v:textbox>
              <w10:wrap type="none"/>
            </v:shape>
            <v:shape style="position:absolute;left:11123;top:1050;width:586;height:165" type="#_x0000_t202" filled="false" stroked="false">
              <v:textbox inset="0,0,0,0">
                <w:txbxContent>
                  <w:p>
                    <w:pPr>
                      <w:spacing w:before="50"/>
                      <w:ind w:left="95" w:right="93" w:firstLine="0"/>
                      <w:jc w:val="center"/>
                      <w:rPr>
                        <w:rFonts w:ascii="Calibri"/>
                        <w:sz w:val="6"/>
                      </w:rPr>
                    </w:pPr>
                    <w:r>
                      <w:rPr>
                        <w:rFonts w:ascii="Calibri"/>
                        <w:w w:val="105"/>
                        <w:sz w:val="6"/>
                      </w:rPr>
                      <w:t>120m2</w:t>
                    </w:r>
                  </w:p>
                </w:txbxContent>
              </v:textbox>
              <w10:wrap type="none"/>
            </v:shape>
            <v:shape style="position:absolute;left:11708;top:1050;width:1107;height:165" type="#_x0000_t202" filled="false" stroked="false">
              <v:textbox inset="0,0,0,0">
                <w:txbxContent>
                  <w:p>
                    <w:pPr>
                      <w:spacing w:before="50"/>
                      <w:ind w:left="360" w:right="0" w:firstLine="0"/>
                      <w:jc w:val="left"/>
                      <w:rPr>
                        <w:rFonts w:ascii="Calibri" w:hAnsi="Calibri"/>
                        <w:sz w:val="6"/>
                      </w:rPr>
                    </w:pPr>
                    <w:r>
                      <w:rPr>
                        <w:rFonts w:ascii="Calibri" w:hAnsi="Calibri"/>
                        <w:w w:val="105"/>
                        <w:sz w:val="6"/>
                      </w:rPr>
                      <w:t>150m2  o más</w:t>
                    </w:r>
                  </w:p>
                </w:txbxContent>
              </v:textbox>
              <w10:wrap type="none"/>
            </v:shape>
            <v:shape style="position:absolute;left:12815;top:1050;width:484;height:165" type="#_x0000_t202" filled="false" stroked="false">
              <v:textbox inset="0,0,0,0">
                <w:txbxContent>
                  <w:p>
                    <w:pPr>
                      <w:spacing w:line="41" w:lineRule="exact" w:before="0"/>
                      <w:ind w:left="191" w:right="172" w:firstLine="0"/>
                      <w:jc w:val="center"/>
                      <w:rPr>
                        <w:rFonts w:ascii="Calibri"/>
                        <w:sz w:val="6"/>
                      </w:rPr>
                    </w:pPr>
                    <w:r>
                      <w:rPr>
                        <w:rFonts w:ascii="Calibri"/>
                        <w:w w:val="105"/>
                        <w:sz w:val="6"/>
                      </w:rPr>
                      <w:t>0.6</w:t>
                    </w:r>
                  </w:p>
                </w:txbxContent>
              </v:textbox>
              <w10:wrap type="none"/>
            </v:shape>
            <v:shape style="position:absolute;left:13644;top:1050;width:346;height:165" type="#_x0000_t202" filled="false" stroked="false">
              <v:textbox inset="0,0,0,0">
                <w:txbxContent>
                  <w:p>
                    <w:pPr>
                      <w:spacing w:line="41" w:lineRule="exact" w:before="0"/>
                      <w:ind w:left="116" w:right="110" w:firstLine="0"/>
                      <w:jc w:val="center"/>
                      <w:rPr>
                        <w:rFonts w:ascii="Calibri"/>
                        <w:sz w:val="6"/>
                      </w:rPr>
                    </w:pPr>
                    <w:r>
                      <w:rPr>
                        <w:rFonts w:ascii="Calibri"/>
                        <w:w w:val="105"/>
                        <w:sz w:val="6"/>
                      </w:rPr>
                      <w:t>0.7</w:t>
                    </w:r>
                  </w:p>
                </w:txbxContent>
              </v:textbox>
              <w10:wrap type="none"/>
            </v:shape>
            <v:shape style="position:absolute;left:14149;top:1026;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1</w:t>
                    </w:r>
                  </w:p>
                </w:txbxContent>
              </v:textbox>
              <w10:wrap type="none"/>
            </v:shape>
            <v:shape style="position:absolute;left:6537;top:1215;width:978;height:165" type="#_x0000_t202" filled="false" stroked="false">
              <v:textbox inset="0,0,0,0">
                <w:txbxContent>
                  <w:p>
                    <w:pPr>
                      <w:spacing w:line="41" w:lineRule="exact" w:before="0"/>
                      <w:ind w:left="280" w:right="278" w:firstLine="0"/>
                      <w:jc w:val="center"/>
                      <w:rPr>
                        <w:rFonts w:ascii="Calibri"/>
                        <w:sz w:val="6"/>
                      </w:rPr>
                    </w:pPr>
                    <w:r>
                      <w:rPr>
                        <w:rFonts w:ascii="Calibri"/>
                        <w:w w:val="105"/>
                        <w:sz w:val="6"/>
                      </w:rPr>
                      <w:t>0.5</w:t>
                    </w:r>
                  </w:p>
                  <w:p>
                    <w:pPr>
                      <w:spacing w:before="9"/>
                      <w:ind w:left="284" w:right="278" w:firstLine="0"/>
                      <w:jc w:val="center"/>
                      <w:rPr>
                        <w:rFonts w:ascii="Calibri"/>
                        <w:sz w:val="6"/>
                      </w:rPr>
                    </w:pPr>
                    <w:r>
                      <w:rPr>
                        <w:rFonts w:ascii="Calibri"/>
                        <w:w w:val="105"/>
                        <w:sz w:val="6"/>
                      </w:rPr>
                      <w:t>menor a 59m2</w:t>
                    </w:r>
                  </w:p>
                </w:txbxContent>
              </v:textbox>
              <w10:wrap type="none"/>
            </v:shape>
            <v:shape style="position:absolute;left:7515;top:1215;width:1449;height:165" type="#_x0000_t202" filled="false" stroked="false">
              <v:textbox inset="0,0,0,0">
                <w:txbxContent>
                  <w:p>
                    <w:pPr>
                      <w:spacing w:line="41" w:lineRule="exact" w:before="0"/>
                      <w:ind w:left="632" w:right="630" w:firstLine="0"/>
                      <w:jc w:val="center"/>
                      <w:rPr>
                        <w:rFonts w:ascii="Calibri"/>
                        <w:sz w:val="6"/>
                      </w:rPr>
                    </w:pPr>
                    <w:r>
                      <w:rPr>
                        <w:rFonts w:ascii="Calibri"/>
                        <w:w w:val="105"/>
                        <w:sz w:val="6"/>
                      </w:rPr>
                      <w:t>0.6</w:t>
                    </w:r>
                  </w:p>
                  <w:p>
                    <w:pPr>
                      <w:spacing w:before="9"/>
                      <w:ind w:left="632" w:right="630" w:firstLine="0"/>
                      <w:jc w:val="center"/>
                      <w:rPr>
                        <w:rFonts w:ascii="Calibri"/>
                        <w:sz w:val="6"/>
                      </w:rPr>
                    </w:pPr>
                    <w:r>
                      <w:rPr>
                        <w:rFonts w:ascii="Calibri"/>
                        <w:w w:val="105"/>
                        <w:sz w:val="6"/>
                      </w:rPr>
                      <w:t>60m2</w:t>
                    </w:r>
                  </w:p>
                </w:txbxContent>
              </v:textbox>
              <w10:wrap type="none"/>
            </v:shape>
            <v:shape style="position:absolute;left:9650;top:1191;width:142;height:146" type="#_x0000_t202" filled="false" stroked="false">
              <v:textbox inset="0,0,0,0">
                <w:txbxContent>
                  <w:p>
                    <w:pPr>
                      <w:spacing w:line="65" w:lineRule="exact" w:before="0"/>
                      <w:ind w:left="31" w:right="-17" w:firstLine="0"/>
                      <w:jc w:val="left"/>
                      <w:rPr>
                        <w:rFonts w:ascii="Calibri"/>
                        <w:sz w:val="6"/>
                      </w:rPr>
                    </w:pPr>
                    <w:r>
                      <w:rPr>
                        <w:rFonts w:ascii="Calibri"/>
                        <w:w w:val="105"/>
                        <w:sz w:val="6"/>
                      </w:rPr>
                      <w:t>0.7</w:t>
                    </w:r>
                  </w:p>
                  <w:p>
                    <w:pPr>
                      <w:spacing w:line="71" w:lineRule="exact" w:before="9"/>
                      <w:ind w:left="0" w:right="-17" w:firstLine="0"/>
                      <w:jc w:val="left"/>
                      <w:rPr>
                        <w:rFonts w:ascii="Calibri"/>
                        <w:sz w:val="6"/>
                      </w:rPr>
                    </w:pPr>
                    <w:r>
                      <w:rPr>
                        <w:rFonts w:ascii="Calibri"/>
                        <w:spacing w:val="-2"/>
                        <w:w w:val="105"/>
                        <w:sz w:val="6"/>
                      </w:rPr>
                      <w:t>90m2</w:t>
                    </w:r>
                  </w:p>
                </w:txbxContent>
              </v:textbox>
              <w10:wrap type="none"/>
            </v:shape>
            <v:shape style="position:absolute;left:10761;top:1191;width:80;height:63" type="#_x0000_t202" filled="false" stroked="false">
              <v:textbox inset="0,0,0,0">
                <w:txbxContent>
                  <w:p>
                    <w:pPr>
                      <w:spacing w:line="63" w:lineRule="exact" w:before="0"/>
                      <w:ind w:left="0" w:right="-20" w:firstLine="0"/>
                      <w:jc w:val="left"/>
                      <w:rPr>
                        <w:rFonts w:ascii="Calibri"/>
                        <w:sz w:val="6"/>
                      </w:rPr>
                    </w:pPr>
                    <w:r>
                      <w:rPr>
                        <w:rFonts w:ascii="Calibri"/>
                        <w:w w:val="105"/>
                        <w:sz w:val="6"/>
                      </w:rPr>
                      <w:t>0.9</w:t>
                    </w:r>
                  </w:p>
                </w:txbxContent>
              </v:textbox>
              <w10:wrap type="none"/>
            </v:shape>
            <v:shape style="position:absolute;left:11401;top:1191;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1</w:t>
                    </w:r>
                  </w:p>
                </w:txbxContent>
              </v:textbox>
              <w10:wrap type="none"/>
            </v:shape>
            <v:shape style="position:absolute;left:10474;top:1272;width:1030;height:65" type="#_x0000_t202" filled="false" stroked="false">
              <v:textbox inset="0,0,0,0">
                <w:txbxContent>
                  <w:p>
                    <w:pPr>
                      <w:tabs>
                        <w:tab w:pos="239" w:val="left" w:leader="none"/>
                        <w:tab w:pos="651" w:val="left" w:leader="none"/>
                        <w:tab w:pos="855" w:val="left" w:leader="none"/>
                      </w:tabs>
                      <w:spacing w:line="64" w:lineRule="exact" w:before="0"/>
                      <w:ind w:left="0" w:right="0" w:firstLine="0"/>
                      <w:jc w:val="left"/>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120m2</w:t>
                      <w:tab/>
                    </w:r>
                    <w:r>
                      <w:rPr>
                        <w:rFonts w:ascii="Calibri"/>
                        <w:w w:val="105"/>
                        <w:sz w:val="6"/>
                      </w:rPr>
                      <w:tab/>
                    </w:r>
                    <w:r>
                      <w:rPr>
                        <w:rFonts w:ascii="Calibri"/>
                        <w:spacing w:val="-1"/>
                        <w:w w:val="105"/>
                        <w:sz w:val="6"/>
                      </w:rPr>
                      <w:t>150m2</w:t>
                    </w:r>
                  </w:p>
                </w:txbxContent>
              </v:textbox>
              <w10:wrap type="none"/>
            </v:shape>
            <v:shape style="position:absolute;left:12237;top:1191;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1</w:t>
                    </w:r>
                  </w:p>
                </w:txbxContent>
              </v:textbox>
              <w10:wrap type="none"/>
            </v:shape>
            <v:shape style="position:absolute;left:12815;top:1215;width:484;height:165" type="#_x0000_t202" filled="false" stroked="false">
              <v:textbox inset="0,0,0,0">
                <w:txbxContent>
                  <w:p>
                    <w:pPr>
                      <w:spacing w:line="41" w:lineRule="exact" w:before="0"/>
                      <w:ind w:left="191" w:right="172" w:firstLine="0"/>
                      <w:jc w:val="center"/>
                      <w:rPr>
                        <w:rFonts w:ascii="Calibri"/>
                        <w:sz w:val="6"/>
                      </w:rPr>
                    </w:pPr>
                    <w:r>
                      <w:rPr>
                        <w:rFonts w:ascii="Calibri"/>
                        <w:w w:val="105"/>
                        <w:sz w:val="6"/>
                      </w:rPr>
                      <w:t>0.7</w:t>
                    </w:r>
                  </w:p>
                </w:txbxContent>
              </v:textbox>
              <w10:wrap type="none"/>
            </v:shape>
            <v:shape style="position:absolute;left:13644;top:1215;width:346;height:165" type="#_x0000_t202" filled="false" stroked="false">
              <v:textbox inset="0,0,0,0">
                <w:txbxContent>
                  <w:p>
                    <w:pPr>
                      <w:spacing w:line="41" w:lineRule="exact" w:before="0"/>
                      <w:ind w:left="116" w:right="110" w:firstLine="0"/>
                      <w:jc w:val="center"/>
                      <w:rPr>
                        <w:rFonts w:ascii="Calibri"/>
                        <w:sz w:val="6"/>
                      </w:rPr>
                    </w:pPr>
                    <w:r>
                      <w:rPr>
                        <w:rFonts w:ascii="Calibri"/>
                        <w:w w:val="105"/>
                        <w:sz w:val="6"/>
                      </w:rPr>
                      <w:t>0.9</w:t>
                    </w:r>
                  </w:p>
                </w:txbxContent>
              </v:textbox>
              <w10:wrap type="none"/>
            </v:shape>
            <v:shape style="position:absolute;left:14149;top:1191;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1</w:t>
                    </w:r>
                  </w:p>
                </w:txbxContent>
              </v:textbox>
              <w10:wrap type="none"/>
            </v:shape>
            <v:shape style="position:absolute;left:8964;top:1380;width:1512;height:165" type="#_x0000_t202" filled="false" stroked="false">
              <v:textbox inset="0,0,0,0">
                <w:txbxContent>
                  <w:p>
                    <w:pPr>
                      <w:spacing w:line="41" w:lineRule="exact" w:before="0"/>
                      <w:ind w:left="637" w:right="635" w:firstLine="0"/>
                      <w:jc w:val="center"/>
                      <w:rPr>
                        <w:rFonts w:ascii="Calibri"/>
                        <w:sz w:val="6"/>
                      </w:rPr>
                    </w:pPr>
                    <w:r>
                      <w:rPr>
                        <w:rFonts w:ascii="Calibri"/>
                        <w:w w:val="105"/>
                        <w:sz w:val="6"/>
                      </w:rPr>
                      <w:t>0.8</w:t>
                    </w:r>
                  </w:p>
                  <w:p>
                    <w:pPr>
                      <w:spacing w:before="9"/>
                      <w:ind w:left="637" w:right="635" w:firstLine="0"/>
                      <w:jc w:val="center"/>
                      <w:rPr>
                        <w:rFonts w:ascii="Calibri" w:hAnsi="Calibri"/>
                        <w:sz w:val="6"/>
                      </w:rPr>
                    </w:pPr>
                    <w:r>
                      <w:rPr>
                        <w:rFonts w:ascii="Calibri" w:hAnsi="Calibri"/>
                        <w:w w:val="105"/>
                        <w:sz w:val="6"/>
                      </w:rPr>
                      <w:t>5 ó más</w:t>
                    </w:r>
                  </w:p>
                </w:txbxContent>
              </v:textbox>
              <w10:wrap type="none"/>
            </v:shape>
            <v:shape style="position:absolute;left:10785;top:1356;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1</w:t>
                    </w:r>
                  </w:p>
                </w:txbxContent>
              </v:textbox>
              <w10:wrap type="none"/>
            </v:shape>
            <v:shape style="position:absolute;left:11401;top:1356;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1</w:t>
                    </w:r>
                  </w:p>
                </w:txbxContent>
              </v:textbox>
              <w10:wrap type="none"/>
            </v:shape>
            <v:shape style="position:absolute;left:11708;top:1380;width:1107;height:165" type="#_x0000_t202" filled="false" stroked="false">
              <v:textbox inset="0,0,0,0">
                <w:txbxContent>
                  <w:p>
                    <w:pPr>
                      <w:spacing w:line="41" w:lineRule="exact" w:before="0"/>
                      <w:ind w:left="89" w:right="0" w:firstLine="0"/>
                      <w:jc w:val="left"/>
                      <w:rPr>
                        <w:rFonts w:ascii="Calibri"/>
                        <w:sz w:val="6"/>
                      </w:rPr>
                    </w:pPr>
                    <w:r>
                      <w:rPr>
                        <w:rFonts w:ascii="Calibri"/>
                        <w:w w:val="105"/>
                        <w:sz w:val="6"/>
                      </w:rPr>
                      <w:t>Evaluar conforme a tipo de vivienda</w:t>
                    </w:r>
                  </w:p>
                </w:txbxContent>
              </v:textbox>
              <w10:wrap type="none"/>
            </v:shape>
            <v:shape style="position:absolute;left:13050;top:1356;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1</w:t>
                    </w:r>
                  </w:p>
                </w:txbxContent>
              </v:textbox>
              <w10:wrap type="none"/>
            </v:shape>
            <v:shape style="position:absolute;left:13644;top:1380;width:346;height:165" type="#_x0000_t202" filled="false" stroked="false">
              <v:textbox inset="0,0,0,0">
                <w:txbxContent>
                  <w:p>
                    <w:pPr>
                      <w:spacing w:line="41" w:lineRule="exact" w:before="0"/>
                      <w:ind w:left="116" w:right="110" w:firstLine="0"/>
                      <w:jc w:val="center"/>
                      <w:rPr>
                        <w:rFonts w:ascii="Calibri"/>
                        <w:sz w:val="6"/>
                      </w:rPr>
                    </w:pPr>
                    <w:r>
                      <w:rPr>
                        <w:rFonts w:ascii="Calibri"/>
                        <w:w w:val="105"/>
                        <w:sz w:val="6"/>
                      </w:rPr>
                      <w:t>0.8</w:t>
                    </w:r>
                  </w:p>
                </w:txbxContent>
              </v:textbox>
              <w10:wrap type="none"/>
            </v:shape>
            <v:shape style="position:absolute;left:14149;top:1356;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1</w:t>
                    </w:r>
                  </w:p>
                </w:txbxContent>
              </v:textbox>
              <w10:wrap type="none"/>
            </v:shape>
            <v:shape style="position:absolute;left:7011;top:1520;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1</w:t>
                    </w:r>
                  </w:p>
                </w:txbxContent>
              </v:textbox>
              <w10:wrap type="none"/>
            </v:shape>
            <v:shape style="position:absolute;left:8201;top:1520;width:80;height:63" type="#_x0000_t202" filled="false" stroked="false">
              <v:textbox inset="0,0,0,0">
                <w:txbxContent>
                  <w:p>
                    <w:pPr>
                      <w:spacing w:line="63" w:lineRule="exact" w:before="0"/>
                      <w:ind w:left="0" w:right="-20" w:firstLine="0"/>
                      <w:jc w:val="left"/>
                      <w:rPr>
                        <w:rFonts w:ascii="Calibri"/>
                        <w:sz w:val="6"/>
                      </w:rPr>
                    </w:pPr>
                    <w:r>
                      <w:rPr>
                        <w:rFonts w:ascii="Calibri"/>
                        <w:w w:val="105"/>
                        <w:sz w:val="6"/>
                      </w:rPr>
                      <w:t>0.5</w:t>
                    </w:r>
                  </w:p>
                </w:txbxContent>
              </v:textbox>
              <w10:wrap type="none"/>
            </v:shape>
            <v:shape style="position:absolute;left:9705;top:1520;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0</w:t>
                    </w:r>
                  </w:p>
                </w:txbxContent>
              </v:textbox>
              <w10:wrap type="none"/>
            </v:shape>
            <v:shape style="position:absolute;left:6992;top:1768;width:71;height:63" type="#_x0000_t202" filled="false" stroked="false">
              <v:textbox inset="0,0,0,0">
                <w:txbxContent>
                  <w:p>
                    <w:pPr>
                      <w:spacing w:line="63" w:lineRule="exact" w:before="0"/>
                      <w:ind w:left="0" w:right="-18" w:firstLine="0"/>
                      <w:jc w:val="left"/>
                      <w:rPr>
                        <w:rFonts w:ascii="Calibri"/>
                        <w:sz w:val="6"/>
                      </w:rPr>
                    </w:pPr>
                    <w:r>
                      <w:rPr>
                        <w:rFonts w:ascii="Calibri"/>
                        <w:spacing w:val="-2"/>
                        <w:w w:val="105"/>
                        <w:sz w:val="6"/>
                      </w:rPr>
                      <w:t>U1</w:t>
                    </w:r>
                  </w:p>
                </w:txbxContent>
              </v:textbox>
              <w10:wrap type="none"/>
            </v:shape>
            <v:shape style="position:absolute;left:8205;top:1768;width:71;height:63" type="#_x0000_t202" filled="false" stroked="false">
              <v:textbox inset="0,0,0,0">
                <w:txbxContent>
                  <w:p>
                    <w:pPr>
                      <w:spacing w:line="63" w:lineRule="exact" w:before="0"/>
                      <w:ind w:left="0" w:right="-18" w:firstLine="0"/>
                      <w:jc w:val="left"/>
                      <w:rPr>
                        <w:rFonts w:ascii="Calibri"/>
                        <w:sz w:val="6"/>
                      </w:rPr>
                    </w:pPr>
                    <w:r>
                      <w:rPr>
                        <w:rFonts w:ascii="Calibri"/>
                        <w:spacing w:val="-2"/>
                        <w:w w:val="105"/>
                        <w:sz w:val="6"/>
                      </w:rPr>
                      <w:t>U2</w:t>
                    </w:r>
                  </w:p>
                </w:txbxContent>
              </v:textbox>
              <w10:wrap type="none"/>
            </v:shape>
            <v:shape style="position:absolute;left:9685;top:1768;width:71;height:63" type="#_x0000_t202" filled="false" stroked="false">
              <v:textbox inset="0,0,0,0">
                <w:txbxContent>
                  <w:p>
                    <w:pPr>
                      <w:spacing w:line="63" w:lineRule="exact" w:before="0"/>
                      <w:ind w:left="0" w:right="-18" w:firstLine="0"/>
                      <w:jc w:val="left"/>
                      <w:rPr>
                        <w:rFonts w:ascii="Calibri"/>
                        <w:sz w:val="6"/>
                      </w:rPr>
                    </w:pPr>
                    <w:r>
                      <w:rPr>
                        <w:rFonts w:ascii="Calibri"/>
                        <w:spacing w:val="-2"/>
                        <w:w w:val="105"/>
                        <w:sz w:val="6"/>
                      </w:rPr>
                      <w:t>U3</w:t>
                    </w:r>
                  </w:p>
                </w:txbxContent>
              </v:textbox>
              <w10:wrap type="none"/>
            </v:shape>
            <v:shape style="position:absolute;left:10733;top:1768;width:132;height:63" type="#_x0000_t202" filled="false" stroked="false">
              <v:textbox inset="0,0,0,0">
                <w:txbxContent>
                  <w:p>
                    <w:pPr>
                      <w:spacing w:line="63" w:lineRule="exact" w:before="0"/>
                      <w:ind w:left="0" w:right="-19" w:firstLine="0"/>
                      <w:jc w:val="left"/>
                      <w:rPr>
                        <w:rFonts w:ascii="Calibri"/>
                        <w:sz w:val="6"/>
                      </w:rPr>
                    </w:pPr>
                    <w:r>
                      <w:rPr>
                        <w:rFonts w:ascii="Calibri"/>
                        <w:spacing w:val="-1"/>
                        <w:w w:val="105"/>
                        <w:sz w:val="6"/>
                      </w:rPr>
                      <w:t>fuera</w:t>
                    </w:r>
                  </w:p>
                </w:txbxContent>
              </v:textbox>
              <w10:wrap type="none"/>
            </v:shape>
            <v:shape style="position:absolute;left:11708;top:1751;width:1107;height:124" type="#_x0000_t202" filled="false" stroked="false">
              <v:textbox inset="0,0,0,0">
                <w:txbxContent>
                  <w:p>
                    <w:pPr>
                      <w:spacing w:before="8"/>
                      <w:ind w:left="168" w:right="178" w:firstLine="0"/>
                      <w:jc w:val="center"/>
                      <w:rPr>
                        <w:rFonts w:ascii="Calibri"/>
                        <w:sz w:val="6"/>
                      </w:rPr>
                    </w:pPr>
                    <w:r>
                      <w:rPr>
                        <w:rFonts w:ascii="Calibri"/>
                        <w:w w:val="105"/>
                        <w:sz w:val="6"/>
                      </w:rPr>
                      <w:t>Especifique:</w:t>
                    </w:r>
                  </w:p>
                </w:txbxContent>
              </v:textbox>
              <w10:wrap type="none"/>
            </v:shape>
            <v:shape style="position:absolute;left:6537;top:1874;width:978;height:165" type="#_x0000_t202" filled="false" stroked="false">
              <v:textbox inset="0,0,0,0">
                <w:txbxContent>
                  <w:p>
                    <w:pPr>
                      <w:spacing w:line="41" w:lineRule="exact" w:before="0"/>
                      <w:ind w:left="2" w:right="0" w:firstLine="0"/>
                      <w:jc w:val="center"/>
                      <w:rPr>
                        <w:rFonts w:ascii="Calibri"/>
                        <w:sz w:val="6"/>
                      </w:rPr>
                    </w:pPr>
                    <w:r>
                      <w:rPr>
                        <w:rFonts w:ascii="Calibri"/>
                        <w:w w:val="104"/>
                        <w:sz w:val="6"/>
                      </w:rPr>
                      <w:t>1</w:t>
                    </w:r>
                  </w:p>
                  <w:p>
                    <w:pPr>
                      <w:spacing w:before="9"/>
                      <w:ind w:left="284" w:right="276" w:firstLine="0"/>
                      <w:jc w:val="center"/>
                      <w:rPr>
                        <w:rFonts w:ascii="Calibri"/>
                        <w:sz w:val="6"/>
                      </w:rPr>
                    </w:pPr>
                    <w:r>
                      <w:rPr>
                        <w:rFonts w:ascii="Calibri"/>
                        <w:w w:val="105"/>
                        <w:sz w:val="6"/>
                      </w:rPr>
                      <w:t>1km</w:t>
                    </w:r>
                  </w:p>
                </w:txbxContent>
              </v:textbox>
              <w10:wrap type="none"/>
            </v:shape>
            <v:shape style="position:absolute;left:8189;top:1850;width:109;height:146" type="#_x0000_t202" filled="false" stroked="false">
              <v:textbox inset="0,0,0,0">
                <w:txbxContent>
                  <w:p>
                    <w:pPr>
                      <w:spacing w:line="65" w:lineRule="exact" w:before="0"/>
                      <w:ind w:left="11" w:right="-2" w:firstLine="0"/>
                      <w:jc w:val="left"/>
                      <w:rPr>
                        <w:rFonts w:ascii="Calibri"/>
                        <w:sz w:val="6"/>
                      </w:rPr>
                    </w:pPr>
                    <w:r>
                      <w:rPr>
                        <w:rFonts w:ascii="Calibri"/>
                        <w:w w:val="105"/>
                        <w:sz w:val="6"/>
                      </w:rPr>
                      <w:t>0.8</w:t>
                    </w:r>
                  </w:p>
                  <w:p>
                    <w:pPr>
                      <w:spacing w:line="71" w:lineRule="exact" w:before="9"/>
                      <w:ind w:left="0" w:right="-19" w:firstLine="0"/>
                      <w:jc w:val="left"/>
                      <w:rPr>
                        <w:rFonts w:ascii="Calibri"/>
                        <w:sz w:val="6"/>
                      </w:rPr>
                    </w:pPr>
                    <w:r>
                      <w:rPr>
                        <w:rFonts w:ascii="Calibri"/>
                        <w:spacing w:val="-1"/>
                        <w:w w:val="105"/>
                        <w:sz w:val="6"/>
                      </w:rPr>
                      <w:t>2km</w:t>
                    </w:r>
                  </w:p>
                </w:txbxContent>
              </v:textbox>
              <w10:wrap type="none"/>
            </v:shape>
            <v:shape style="position:absolute;left:9681;top:1850;width:80;height:63" type="#_x0000_t202" filled="false" stroked="false">
              <v:textbox inset="0,0,0,0">
                <w:txbxContent>
                  <w:p>
                    <w:pPr>
                      <w:spacing w:line="63" w:lineRule="exact" w:before="0"/>
                      <w:ind w:left="0" w:right="-20" w:firstLine="0"/>
                      <w:jc w:val="left"/>
                      <w:rPr>
                        <w:rFonts w:ascii="Calibri"/>
                        <w:sz w:val="6"/>
                      </w:rPr>
                    </w:pPr>
                    <w:r>
                      <w:rPr>
                        <w:rFonts w:ascii="Calibri"/>
                        <w:w w:val="105"/>
                        <w:sz w:val="6"/>
                      </w:rPr>
                      <w:t>0.6</w:t>
                    </w:r>
                  </w:p>
                </w:txbxContent>
              </v:textbox>
              <w10:wrap type="none"/>
            </v:shape>
            <v:shape style="position:absolute;left:10785;top:1850;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0</w:t>
                    </w:r>
                  </w:p>
                </w:txbxContent>
              </v:textbox>
              <w10:wrap type="none"/>
            </v:shape>
            <v:shape style="position:absolute;left:8963;top:1931;width:2049;height:65" type="#_x0000_t202" filled="false" stroked="false">
              <v:textbox inset="0,0,0,0">
                <w:txbxContent>
                  <w:p>
                    <w:pPr>
                      <w:tabs>
                        <w:tab w:pos="565" w:val="left" w:leader="none"/>
                        <w:tab w:pos="1515" w:val="left" w:leader="none"/>
                      </w:tabs>
                      <w:spacing w:line="64" w:lineRule="exact" w:before="0"/>
                      <w:ind w:left="0" w:right="0" w:firstLine="0"/>
                      <w:jc w:val="left"/>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de 5km</w:t>
                    </w:r>
                    <w:r>
                      <w:rPr>
                        <w:rFonts w:ascii="Calibri"/>
                        <w:spacing w:val="-2"/>
                        <w:w w:val="105"/>
                        <w:sz w:val="6"/>
                        <w:shd w:fill="808080" w:color="auto" w:val="clear"/>
                      </w:rPr>
                      <w:t> </w:t>
                    </w:r>
                    <w:r>
                      <w:rPr>
                        <w:rFonts w:ascii="Calibri"/>
                        <w:w w:val="105"/>
                        <w:sz w:val="6"/>
                        <w:shd w:fill="808080" w:color="auto" w:val="clear"/>
                      </w:rPr>
                      <w:t>a</w:t>
                    </w:r>
                    <w:r>
                      <w:rPr>
                        <w:rFonts w:ascii="Calibri"/>
                        <w:spacing w:val="1"/>
                        <w:w w:val="105"/>
                        <w:sz w:val="6"/>
                        <w:shd w:fill="808080" w:color="auto" w:val="clear"/>
                      </w:rPr>
                      <w:t> </w:t>
                    </w:r>
                    <w:r>
                      <w:rPr>
                        <w:rFonts w:ascii="Calibri"/>
                        <w:w w:val="105"/>
                        <w:sz w:val="6"/>
                        <w:shd w:fill="808080" w:color="auto" w:val="clear"/>
                      </w:rPr>
                      <w:t>10km</w:t>
                      <w:tab/>
                    </w:r>
                    <w:r>
                      <w:rPr>
                        <w:rFonts w:ascii="Calibri"/>
                        <w:w w:val="105"/>
                        <w:sz w:val="6"/>
                      </w:rPr>
                      <w:t>de 10km a 20km</w:t>
                    </w:r>
                  </w:p>
                </w:txbxContent>
              </v:textbox>
              <w10:wrap type="none"/>
            </v:shape>
            <v:shape style="position:absolute;left:11123;top:1874;width:586;height:165" type="#_x0000_t202" filled="false" stroked="false">
              <v:textbox inset="0,0,0,0">
                <w:txbxContent>
                  <w:p>
                    <w:pPr>
                      <w:spacing w:before="49"/>
                      <w:ind w:left="116" w:right="0" w:firstLine="0"/>
                      <w:jc w:val="left"/>
                      <w:rPr>
                        <w:rFonts w:ascii="Calibri" w:hAnsi="Calibri"/>
                        <w:sz w:val="6"/>
                      </w:rPr>
                    </w:pPr>
                    <w:r>
                      <w:rPr>
                        <w:rFonts w:ascii="Calibri" w:hAnsi="Calibri"/>
                        <w:w w:val="105"/>
                        <w:sz w:val="6"/>
                      </w:rPr>
                      <w:t>a 30km o más</w:t>
                    </w:r>
                  </w:p>
                </w:txbxContent>
              </v:textbox>
              <w10:wrap type="none"/>
            </v:shape>
            <v:shape style="position:absolute;left:11708;top:1874;width:1107;height:165" type="#_x0000_t202" filled="false" stroked="false">
              <v:textbox inset="0,0,0,0">
                <w:txbxContent>
                  <w:p>
                    <w:pPr>
                      <w:spacing w:line="41" w:lineRule="exact" w:before="0"/>
                      <w:ind w:left="168" w:right="181" w:firstLine="0"/>
                      <w:jc w:val="center"/>
                      <w:rPr>
                        <w:rFonts w:ascii="Calibri"/>
                        <w:sz w:val="6"/>
                      </w:rPr>
                    </w:pPr>
                    <w:r>
                      <w:rPr>
                        <w:rFonts w:ascii="Calibri"/>
                        <w:w w:val="105"/>
                        <w:sz w:val="6"/>
                      </w:rPr>
                      <w:t>Evaluar con base a distancia</w:t>
                    </w:r>
                  </w:p>
                  <w:p>
                    <w:pPr>
                      <w:spacing w:before="9"/>
                      <w:ind w:left="168" w:right="178" w:firstLine="0"/>
                      <w:jc w:val="center"/>
                      <w:rPr>
                        <w:rFonts w:ascii="Calibri"/>
                        <w:sz w:val="6"/>
                      </w:rPr>
                    </w:pPr>
                    <w:r>
                      <w:rPr>
                        <w:rFonts w:ascii="Calibri"/>
                        <w:w w:val="105"/>
                        <w:sz w:val="6"/>
                      </w:rPr>
                      <w:t>Especifique:</w:t>
                    </w:r>
                  </w:p>
                </w:txbxContent>
              </v:textbox>
              <w10:wrap type="none"/>
            </v:shape>
            <v:shape style="position:absolute;left:12815;top:1874;width:484;height:165" type="#_x0000_t202" filled="false" stroked="false">
              <v:textbox inset="0,0,0,0">
                <w:txbxContent>
                  <w:p>
                    <w:pPr>
                      <w:spacing w:line="41" w:lineRule="exact" w:before="0"/>
                      <w:ind w:left="191" w:right="172" w:firstLine="0"/>
                      <w:jc w:val="center"/>
                      <w:rPr>
                        <w:rFonts w:ascii="Calibri"/>
                        <w:sz w:val="6"/>
                      </w:rPr>
                    </w:pPr>
                    <w:r>
                      <w:rPr>
                        <w:rFonts w:ascii="Calibri"/>
                        <w:w w:val="105"/>
                        <w:sz w:val="6"/>
                      </w:rPr>
                      <w:t>0.6</w:t>
                    </w:r>
                  </w:p>
                </w:txbxContent>
              </v:textbox>
              <w10:wrap type="none"/>
            </v:shape>
            <v:shape style="position:absolute;left:13644;top:1874;width:346;height:165" type="#_x0000_t202" filled="false" stroked="false">
              <v:textbox inset="0,0,0,0">
                <w:txbxContent>
                  <w:p>
                    <w:pPr>
                      <w:spacing w:line="41" w:lineRule="exact" w:before="0"/>
                      <w:ind w:left="116" w:right="110" w:firstLine="0"/>
                      <w:jc w:val="center"/>
                      <w:rPr>
                        <w:rFonts w:ascii="Calibri"/>
                        <w:sz w:val="6"/>
                      </w:rPr>
                    </w:pPr>
                    <w:r>
                      <w:rPr>
                        <w:rFonts w:ascii="Calibri"/>
                        <w:w w:val="105"/>
                        <w:sz w:val="6"/>
                      </w:rPr>
                      <w:t>0.8</w:t>
                    </w:r>
                  </w:p>
                </w:txbxContent>
              </v:textbox>
              <w10:wrap type="none"/>
            </v:shape>
            <v:shape style="position:absolute;left:14149;top:1850;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1</w:t>
                    </w:r>
                  </w:p>
                </w:txbxContent>
              </v:textbox>
              <w10:wrap type="none"/>
            </v:shape>
            <v:shape style="position:absolute;left:6537;top:2039;width:978;height:165" type="#_x0000_t202" filled="false" stroked="false">
              <v:textbox inset="0,0,0,0">
                <w:txbxContent>
                  <w:p>
                    <w:pPr>
                      <w:spacing w:line="41" w:lineRule="exact" w:before="0"/>
                      <w:ind w:left="2" w:right="0" w:firstLine="0"/>
                      <w:jc w:val="center"/>
                      <w:rPr>
                        <w:rFonts w:ascii="Calibri"/>
                        <w:sz w:val="6"/>
                      </w:rPr>
                    </w:pPr>
                    <w:r>
                      <w:rPr>
                        <w:rFonts w:ascii="Calibri"/>
                        <w:w w:val="104"/>
                        <w:sz w:val="6"/>
                      </w:rPr>
                      <w:t>1</w:t>
                    </w:r>
                  </w:p>
                  <w:p>
                    <w:pPr>
                      <w:spacing w:before="9"/>
                      <w:ind w:left="284" w:right="276" w:firstLine="0"/>
                      <w:jc w:val="center"/>
                      <w:rPr>
                        <w:rFonts w:ascii="Calibri"/>
                        <w:sz w:val="6"/>
                      </w:rPr>
                    </w:pPr>
                    <w:r>
                      <w:rPr>
                        <w:rFonts w:ascii="Calibri"/>
                        <w:w w:val="105"/>
                        <w:sz w:val="6"/>
                      </w:rPr>
                      <w:t>1km</w:t>
                    </w:r>
                  </w:p>
                </w:txbxContent>
              </v:textbox>
              <w10:wrap type="none"/>
            </v:shape>
            <v:shape style="position:absolute;left:8189;top:2015;width:109;height:146" type="#_x0000_t202" filled="false" stroked="false">
              <v:textbox inset="0,0,0,0">
                <w:txbxContent>
                  <w:p>
                    <w:pPr>
                      <w:spacing w:line="65" w:lineRule="exact" w:before="0"/>
                      <w:ind w:left="35" w:right="0" w:firstLine="0"/>
                      <w:jc w:val="left"/>
                      <w:rPr>
                        <w:rFonts w:ascii="Calibri"/>
                        <w:sz w:val="6"/>
                      </w:rPr>
                    </w:pPr>
                    <w:r>
                      <w:rPr>
                        <w:rFonts w:ascii="Calibri"/>
                        <w:w w:val="104"/>
                        <w:sz w:val="6"/>
                      </w:rPr>
                      <w:t>1</w:t>
                    </w:r>
                  </w:p>
                  <w:p>
                    <w:pPr>
                      <w:spacing w:line="71" w:lineRule="exact" w:before="9"/>
                      <w:ind w:left="0" w:right="-19" w:firstLine="0"/>
                      <w:jc w:val="left"/>
                      <w:rPr>
                        <w:rFonts w:ascii="Calibri"/>
                        <w:sz w:val="6"/>
                      </w:rPr>
                    </w:pPr>
                    <w:r>
                      <w:rPr>
                        <w:rFonts w:ascii="Calibri"/>
                        <w:spacing w:val="-1"/>
                        <w:w w:val="105"/>
                        <w:sz w:val="6"/>
                      </w:rPr>
                      <w:t>5km</w:t>
                    </w:r>
                  </w:p>
                </w:txbxContent>
              </v:textbox>
              <w10:wrap type="none"/>
            </v:shape>
            <v:shape style="position:absolute;left:8963;top:2015;width:1516;height:146" type="#_x0000_t202" filled="false" stroked="false">
              <v:textbox inset="0,0,0,0">
                <w:txbxContent>
                  <w:p>
                    <w:pPr>
                      <w:spacing w:line="65" w:lineRule="exact" w:before="0"/>
                      <w:ind w:left="0" w:right="0" w:firstLine="0"/>
                      <w:jc w:val="center"/>
                      <w:rPr>
                        <w:rFonts w:ascii="Calibri"/>
                        <w:sz w:val="6"/>
                      </w:rPr>
                    </w:pPr>
                    <w:r>
                      <w:rPr>
                        <w:rFonts w:ascii="Calibri"/>
                        <w:w w:val="105"/>
                        <w:sz w:val="6"/>
                      </w:rPr>
                      <w:t>0.7</w:t>
                    </w:r>
                  </w:p>
                  <w:p>
                    <w:pPr>
                      <w:tabs>
                        <w:tab w:pos="691" w:val="left" w:leader="none"/>
                        <w:tab w:pos="1515" w:val="left" w:leader="none"/>
                      </w:tabs>
                      <w:spacing w:line="71" w:lineRule="exact" w:before="9"/>
                      <w:ind w:left="-1" w:right="0" w:firstLine="0"/>
                      <w:jc w:val="center"/>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10km</w:t>
                    </w:r>
                    <w:r>
                      <w:rPr>
                        <w:rFonts w:ascii="Calibri"/>
                        <w:sz w:val="6"/>
                        <w:shd w:fill="808080" w:color="auto" w:val="clear"/>
                      </w:rPr>
                      <w:tab/>
                    </w:r>
                  </w:p>
                </w:txbxContent>
              </v:textbox>
              <w10:wrap type="none"/>
            </v:shape>
            <v:shape style="position:absolute;left:10733;top:2015;width:141;height:146" type="#_x0000_t202" filled="false" stroked="false">
              <v:textbox inset="0,0,0,0">
                <w:txbxContent>
                  <w:p>
                    <w:pPr>
                      <w:spacing w:line="65" w:lineRule="exact" w:before="0"/>
                      <w:ind w:left="27" w:right="-18" w:firstLine="0"/>
                      <w:jc w:val="left"/>
                      <w:rPr>
                        <w:rFonts w:ascii="Calibri"/>
                        <w:sz w:val="6"/>
                      </w:rPr>
                    </w:pPr>
                    <w:r>
                      <w:rPr>
                        <w:rFonts w:ascii="Calibri"/>
                        <w:w w:val="105"/>
                        <w:sz w:val="6"/>
                      </w:rPr>
                      <w:t>0.5</w:t>
                    </w:r>
                  </w:p>
                  <w:p>
                    <w:pPr>
                      <w:spacing w:line="71" w:lineRule="exact" w:before="9"/>
                      <w:ind w:left="0" w:right="-18" w:firstLine="0"/>
                      <w:jc w:val="left"/>
                      <w:rPr>
                        <w:rFonts w:ascii="Calibri"/>
                        <w:sz w:val="6"/>
                      </w:rPr>
                    </w:pPr>
                    <w:r>
                      <w:rPr>
                        <w:rFonts w:ascii="Calibri"/>
                        <w:spacing w:val="-1"/>
                        <w:w w:val="105"/>
                        <w:sz w:val="6"/>
                      </w:rPr>
                      <w:t>20km</w:t>
                    </w:r>
                  </w:p>
                </w:txbxContent>
              </v:textbox>
              <w10:wrap type="none"/>
            </v:shape>
            <v:shape style="position:absolute;left:11123;top:2039;width:586;height:165" type="#_x0000_t202" filled="false" stroked="false">
              <v:textbox inset="0,0,0,0">
                <w:txbxContent>
                  <w:p>
                    <w:pPr>
                      <w:spacing w:line="41" w:lineRule="exact" w:before="0"/>
                      <w:ind w:left="2" w:right="0" w:firstLine="0"/>
                      <w:jc w:val="center"/>
                      <w:rPr>
                        <w:rFonts w:ascii="Calibri"/>
                        <w:sz w:val="6"/>
                      </w:rPr>
                    </w:pPr>
                    <w:r>
                      <w:rPr>
                        <w:rFonts w:ascii="Calibri"/>
                        <w:w w:val="104"/>
                        <w:sz w:val="6"/>
                      </w:rPr>
                      <w:t>0</w:t>
                    </w:r>
                  </w:p>
                  <w:p>
                    <w:pPr>
                      <w:spacing w:before="9"/>
                      <w:ind w:left="95" w:right="95" w:firstLine="0"/>
                      <w:jc w:val="center"/>
                      <w:rPr>
                        <w:rFonts w:ascii="Calibri" w:hAnsi="Calibri"/>
                        <w:sz w:val="6"/>
                      </w:rPr>
                    </w:pPr>
                    <w:r>
                      <w:rPr>
                        <w:rFonts w:ascii="Calibri" w:hAnsi="Calibri"/>
                        <w:w w:val="105"/>
                        <w:sz w:val="6"/>
                      </w:rPr>
                      <w:t>a 30km o más</w:t>
                    </w:r>
                  </w:p>
                </w:txbxContent>
              </v:textbox>
              <w10:wrap type="none"/>
            </v:shape>
            <v:shape style="position:absolute;left:11708;top:2039;width:1107;height:165" type="#_x0000_t202" filled="false" stroked="false">
              <v:textbox inset="0,0,0,0">
                <w:txbxContent>
                  <w:p>
                    <w:pPr>
                      <w:spacing w:line="41" w:lineRule="exact" w:before="0"/>
                      <w:ind w:left="168" w:right="181" w:firstLine="0"/>
                      <w:jc w:val="center"/>
                      <w:rPr>
                        <w:rFonts w:ascii="Calibri"/>
                        <w:sz w:val="6"/>
                      </w:rPr>
                    </w:pPr>
                    <w:r>
                      <w:rPr>
                        <w:rFonts w:ascii="Calibri"/>
                        <w:w w:val="105"/>
                        <w:sz w:val="6"/>
                      </w:rPr>
                      <w:t>Evaluar con base a distancia</w:t>
                    </w:r>
                  </w:p>
                  <w:p>
                    <w:pPr>
                      <w:spacing w:before="9"/>
                      <w:ind w:left="168" w:right="178" w:firstLine="0"/>
                      <w:jc w:val="center"/>
                      <w:rPr>
                        <w:rFonts w:ascii="Calibri"/>
                        <w:sz w:val="6"/>
                      </w:rPr>
                    </w:pPr>
                    <w:r>
                      <w:rPr>
                        <w:rFonts w:ascii="Calibri"/>
                        <w:w w:val="105"/>
                        <w:sz w:val="6"/>
                      </w:rPr>
                      <w:t>Especifique:</w:t>
                    </w:r>
                  </w:p>
                </w:txbxContent>
              </v:textbox>
              <w10:wrap type="none"/>
            </v:shape>
            <v:shape style="position:absolute;left:12815;top:2039;width:484;height:165" type="#_x0000_t202" filled="false" stroked="false">
              <v:textbox inset="0,0,0,0">
                <w:txbxContent>
                  <w:p>
                    <w:pPr>
                      <w:spacing w:line="41" w:lineRule="exact" w:before="0"/>
                      <w:ind w:left="191" w:right="172" w:firstLine="0"/>
                      <w:jc w:val="center"/>
                      <w:rPr>
                        <w:rFonts w:ascii="Calibri"/>
                        <w:sz w:val="6"/>
                      </w:rPr>
                    </w:pPr>
                    <w:r>
                      <w:rPr>
                        <w:rFonts w:ascii="Calibri"/>
                        <w:w w:val="105"/>
                        <w:sz w:val="6"/>
                      </w:rPr>
                      <w:t>0.7</w:t>
                    </w:r>
                  </w:p>
                </w:txbxContent>
              </v:textbox>
              <w10:wrap type="none"/>
            </v:shape>
            <v:shape style="position:absolute;left:13644;top:2039;width:346;height:165" type="#_x0000_t202" filled="false" stroked="false">
              <v:textbox inset="0,0,0,0">
                <w:txbxContent>
                  <w:p>
                    <w:pPr>
                      <w:spacing w:line="41" w:lineRule="exact" w:before="0"/>
                      <w:ind w:left="116" w:right="110" w:firstLine="0"/>
                      <w:jc w:val="center"/>
                      <w:rPr>
                        <w:rFonts w:ascii="Calibri"/>
                        <w:sz w:val="6"/>
                      </w:rPr>
                    </w:pPr>
                    <w:r>
                      <w:rPr>
                        <w:rFonts w:ascii="Calibri"/>
                        <w:w w:val="105"/>
                        <w:sz w:val="6"/>
                      </w:rPr>
                      <w:t>0.7</w:t>
                    </w:r>
                  </w:p>
                </w:txbxContent>
              </v:textbox>
              <w10:wrap type="none"/>
            </v:shape>
            <v:shape style="position:absolute;left:14149;top:2015;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1</w:t>
                    </w:r>
                  </w:p>
                </w:txbxContent>
              </v:textbox>
              <w10:wrap type="none"/>
            </v:shape>
            <v:shape style="position:absolute;left:6976;top:2180;width:109;height:146" type="#_x0000_t202" filled="false" stroked="false">
              <v:textbox inset="0,0,0,0">
                <w:txbxContent>
                  <w:p>
                    <w:pPr>
                      <w:spacing w:line="65" w:lineRule="exact" w:before="0"/>
                      <w:ind w:left="35" w:right="0" w:firstLine="0"/>
                      <w:jc w:val="left"/>
                      <w:rPr>
                        <w:rFonts w:ascii="Calibri"/>
                        <w:sz w:val="6"/>
                      </w:rPr>
                    </w:pPr>
                    <w:r>
                      <w:rPr>
                        <w:rFonts w:ascii="Calibri"/>
                        <w:w w:val="104"/>
                        <w:sz w:val="6"/>
                      </w:rPr>
                      <w:t>1</w:t>
                    </w:r>
                  </w:p>
                  <w:p>
                    <w:pPr>
                      <w:spacing w:line="71" w:lineRule="exact" w:before="9"/>
                      <w:ind w:left="0" w:right="-19" w:firstLine="0"/>
                      <w:jc w:val="left"/>
                      <w:rPr>
                        <w:rFonts w:ascii="Calibri"/>
                        <w:sz w:val="6"/>
                      </w:rPr>
                    </w:pPr>
                    <w:r>
                      <w:rPr>
                        <w:rFonts w:ascii="Calibri"/>
                        <w:spacing w:val="-1"/>
                        <w:w w:val="105"/>
                        <w:sz w:val="6"/>
                      </w:rPr>
                      <w:t>1km</w:t>
                    </w:r>
                  </w:p>
                </w:txbxContent>
              </v:textbox>
              <w10:wrap type="none"/>
            </v:shape>
            <v:shape style="position:absolute;left:7514;top:2180;width:1453;height:146" type="#_x0000_t202" filled="false" stroked="false">
              <v:textbox inset="0,0,0,0">
                <w:txbxContent>
                  <w:p>
                    <w:pPr>
                      <w:spacing w:line="65" w:lineRule="exact" w:before="0"/>
                      <w:ind w:left="0" w:right="0" w:firstLine="0"/>
                      <w:jc w:val="center"/>
                      <w:rPr>
                        <w:rFonts w:ascii="Calibri"/>
                        <w:sz w:val="6"/>
                      </w:rPr>
                    </w:pPr>
                    <w:r>
                      <w:rPr>
                        <w:rFonts w:ascii="Calibri"/>
                        <w:w w:val="105"/>
                        <w:sz w:val="6"/>
                      </w:rPr>
                      <w:t>0.9</w:t>
                    </w:r>
                  </w:p>
                  <w:p>
                    <w:pPr>
                      <w:tabs>
                        <w:tab w:pos="675" w:val="left" w:leader="none"/>
                        <w:tab w:pos="1452" w:val="left" w:leader="none"/>
                      </w:tabs>
                      <w:spacing w:line="71" w:lineRule="exact" w:before="9"/>
                      <w:ind w:left="-1" w:right="0" w:firstLine="0"/>
                      <w:jc w:val="center"/>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5km</w:t>
                    </w:r>
                    <w:r>
                      <w:rPr>
                        <w:rFonts w:ascii="Calibri"/>
                        <w:sz w:val="6"/>
                        <w:shd w:fill="808080" w:color="auto" w:val="clear"/>
                      </w:rPr>
                      <w:tab/>
                    </w:r>
                  </w:p>
                </w:txbxContent>
              </v:textbox>
              <w10:wrap type="none"/>
            </v:shape>
            <v:shape style="position:absolute;left:9654;top:2180;width:141;height:146" type="#_x0000_t202" filled="false" stroked="false">
              <v:textbox inset="0,0,0,0">
                <w:txbxContent>
                  <w:p>
                    <w:pPr>
                      <w:spacing w:line="65" w:lineRule="exact" w:before="0"/>
                      <w:ind w:left="27" w:right="-18" w:firstLine="0"/>
                      <w:jc w:val="left"/>
                      <w:rPr>
                        <w:rFonts w:ascii="Calibri"/>
                        <w:sz w:val="6"/>
                      </w:rPr>
                    </w:pPr>
                    <w:r>
                      <w:rPr>
                        <w:rFonts w:ascii="Calibri"/>
                        <w:w w:val="105"/>
                        <w:sz w:val="6"/>
                      </w:rPr>
                      <w:t>0.7</w:t>
                    </w:r>
                  </w:p>
                  <w:p>
                    <w:pPr>
                      <w:spacing w:line="71" w:lineRule="exact" w:before="9"/>
                      <w:ind w:left="0" w:right="-18" w:firstLine="0"/>
                      <w:jc w:val="left"/>
                      <w:rPr>
                        <w:rFonts w:ascii="Calibri"/>
                        <w:sz w:val="6"/>
                      </w:rPr>
                    </w:pPr>
                    <w:r>
                      <w:rPr>
                        <w:rFonts w:ascii="Calibri"/>
                        <w:spacing w:val="-1"/>
                        <w:w w:val="105"/>
                        <w:sz w:val="6"/>
                      </w:rPr>
                      <w:t>10km</w:t>
                    </w:r>
                  </w:p>
                </w:txbxContent>
              </v:textbox>
              <w10:wrap type="none"/>
            </v:shape>
            <v:shape style="position:absolute;left:10475;top:2204;width:648;height:165" type="#_x0000_t202" filled="false" stroked="false">
              <v:textbox inset="0,0,0,0">
                <w:txbxContent>
                  <w:p>
                    <w:pPr>
                      <w:spacing w:line="41" w:lineRule="exact" w:before="0"/>
                      <w:ind w:left="230" w:right="228" w:firstLine="0"/>
                      <w:jc w:val="center"/>
                      <w:rPr>
                        <w:rFonts w:ascii="Calibri"/>
                        <w:sz w:val="6"/>
                      </w:rPr>
                    </w:pPr>
                    <w:r>
                      <w:rPr>
                        <w:rFonts w:ascii="Calibri"/>
                        <w:w w:val="105"/>
                        <w:sz w:val="6"/>
                      </w:rPr>
                      <w:t>0.5</w:t>
                    </w:r>
                  </w:p>
                  <w:p>
                    <w:pPr>
                      <w:spacing w:before="9"/>
                      <w:ind w:left="236" w:right="228" w:firstLine="0"/>
                      <w:jc w:val="center"/>
                      <w:rPr>
                        <w:rFonts w:ascii="Calibri"/>
                        <w:sz w:val="6"/>
                      </w:rPr>
                    </w:pPr>
                    <w:r>
                      <w:rPr>
                        <w:rFonts w:ascii="Calibri"/>
                        <w:w w:val="105"/>
                        <w:sz w:val="6"/>
                      </w:rPr>
                      <w:t>20km</w:t>
                    </w:r>
                  </w:p>
                </w:txbxContent>
              </v:textbox>
              <w10:wrap type="none"/>
            </v:shape>
            <v:shape style="position:absolute;left:11123;top:2204;width:586;height:165" type="#_x0000_t202" filled="false" stroked="false">
              <v:textbox inset="0,0,0,0">
                <w:txbxContent>
                  <w:p>
                    <w:pPr>
                      <w:spacing w:line="41" w:lineRule="exact" w:before="0"/>
                      <w:ind w:left="2" w:right="0" w:firstLine="0"/>
                      <w:jc w:val="center"/>
                      <w:rPr>
                        <w:rFonts w:ascii="Calibri"/>
                        <w:sz w:val="6"/>
                      </w:rPr>
                    </w:pPr>
                    <w:r>
                      <w:rPr>
                        <w:rFonts w:ascii="Calibri"/>
                        <w:w w:val="104"/>
                        <w:sz w:val="6"/>
                      </w:rPr>
                      <w:t>0</w:t>
                    </w:r>
                  </w:p>
                  <w:p>
                    <w:pPr>
                      <w:spacing w:before="9"/>
                      <w:ind w:left="95" w:right="95" w:firstLine="0"/>
                      <w:jc w:val="center"/>
                      <w:rPr>
                        <w:rFonts w:ascii="Calibri" w:hAnsi="Calibri"/>
                        <w:sz w:val="6"/>
                      </w:rPr>
                    </w:pPr>
                    <w:r>
                      <w:rPr>
                        <w:rFonts w:ascii="Calibri" w:hAnsi="Calibri"/>
                        <w:w w:val="105"/>
                        <w:sz w:val="6"/>
                      </w:rPr>
                      <w:t>a 30km o más</w:t>
                    </w:r>
                  </w:p>
                </w:txbxContent>
              </v:textbox>
              <w10:wrap type="none"/>
            </v:shape>
            <v:shape style="position:absolute;left:11708;top:2204;width:1107;height:165" type="#_x0000_t202" filled="false" stroked="false">
              <v:textbox inset="0,0,0,0">
                <w:txbxContent>
                  <w:p>
                    <w:pPr>
                      <w:spacing w:line="41" w:lineRule="exact" w:before="0"/>
                      <w:ind w:left="168" w:right="181" w:firstLine="0"/>
                      <w:jc w:val="center"/>
                      <w:rPr>
                        <w:rFonts w:ascii="Calibri"/>
                        <w:sz w:val="6"/>
                      </w:rPr>
                    </w:pPr>
                    <w:r>
                      <w:rPr>
                        <w:rFonts w:ascii="Calibri"/>
                        <w:w w:val="105"/>
                        <w:sz w:val="6"/>
                      </w:rPr>
                      <w:t>Evaluar con base a distancia</w:t>
                    </w:r>
                  </w:p>
                  <w:p>
                    <w:pPr>
                      <w:spacing w:before="9"/>
                      <w:ind w:left="168" w:right="178" w:firstLine="0"/>
                      <w:jc w:val="center"/>
                      <w:rPr>
                        <w:rFonts w:ascii="Calibri"/>
                        <w:sz w:val="6"/>
                      </w:rPr>
                    </w:pPr>
                    <w:r>
                      <w:rPr>
                        <w:rFonts w:ascii="Calibri"/>
                        <w:w w:val="105"/>
                        <w:sz w:val="6"/>
                      </w:rPr>
                      <w:t>Especifique:</w:t>
                    </w:r>
                  </w:p>
                </w:txbxContent>
              </v:textbox>
              <w10:wrap type="none"/>
            </v:shape>
            <v:shape style="position:absolute;left:12815;top:2204;width:484;height:165" type="#_x0000_t202" filled="false" stroked="false">
              <v:textbox inset="0,0,0,0">
                <w:txbxContent>
                  <w:p>
                    <w:pPr>
                      <w:spacing w:line="41" w:lineRule="exact" w:before="0"/>
                      <w:ind w:left="191" w:right="172" w:firstLine="0"/>
                      <w:jc w:val="center"/>
                      <w:rPr>
                        <w:rFonts w:ascii="Calibri"/>
                        <w:sz w:val="6"/>
                      </w:rPr>
                    </w:pPr>
                    <w:r>
                      <w:rPr>
                        <w:rFonts w:ascii="Calibri"/>
                        <w:w w:val="105"/>
                        <w:sz w:val="6"/>
                      </w:rPr>
                      <w:t>0.7</w:t>
                    </w:r>
                  </w:p>
                </w:txbxContent>
              </v:textbox>
              <w10:wrap type="none"/>
            </v:shape>
            <v:shape style="position:absolute;left:13644;top:2204;width:346;height:165" type="#_x0000_t202" filled="false" stroked="false">
              <v:textbox inset="0,0,0,0">
                <w:txbxContent>
                  <w:p>
                    <w:pPr>
                      <w:spacing w:line="41" w:lineRule="exact" w:before="0"/>
                      <w:ind w:left="116" w:right="110" w:firstLine="0"/>
                      <w:jc w:val="center"/>
                      <w:rPr>
                        <w:rFonts w:ascii="Calibri"/>
                        <w:sz w:val="6"/>
                      </w:rPr>
                    </w:pPr>
                    <w:r>
                      <w:rPr>
                        <w:rFonts w:ascii="Calibri"/>
                        <w:w w:val="105"/>
                        <w:sz w:val="6"/>
                      </w:rPr>
                      <w:t>0.9</w:t>
                    </w:r>
                  </w:p>
                </w:txbxContent>
              </v:textbox>
              <w10:wrap type="none"/>
            </v:shape>
            <v:shape style="position:absolute;left:14149;top:2180;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1</w:t>
                    </w:r>
                  </w:p>
                </w:txbxContent>
              </v:textbox>
              <w10:wrap type="none"/>
            </v:shape>
            <v:shape style="position:absolute;left:6976;top:2345;width:109;height:146" type="#_x0000_t202" filled="false" stroked="false">
              <v:textbox inset="0,0,0,0">
                <w:txbxContent>
                  <w:p>
                    <w:pPr>
                      <w:spacing w:line="65" w:lineRule="exact" w:before="0"/>
                      <w:ind w:left="35" w:right="0" w:firstLine="0"/>
                      <w:jc w:val="left"/>
                      <w:rPr>
                        <w:rFonts w:ascii="Calibri"/>
                        <w:sz w:val="6"/>
                      </w:rPr>
                    </w:pPr>
                    <w:r>
                      <w:rPr>
                        <w:rFonts w:ascii="Calibri"/>
                        <w:w w:val="104"/>
                        <w:sz w:val="6"/>
                      </w:rPr>
                      <w:t>1</w:t>
                    </w:r>
                  </w:p>
                  <w:p>
                    <w:pPr>
                      <w:spacing w:line="71" w:lineRule="exact" w:before="9"/>
                      <w:ind w:left="0" w:right="-19" w:firstLine="0"/>
                      <w:jc w:val="left"/>
                      <w:rPr>
                        <w:rFonts w:ascii="Calibri"/>
                        <w:sz w:val="6"/>
                      </w:rPr>
                    </w:pPr>
                    <w:r>
                      <w:rPr>
                        <w:rFonts w:ascii="Calibri"/>
                        <w:spacing w:val="-1"/>
                        <w:w w:val="105"/>
                        <w:sz w:val="6"/>
                      </w:rPr>
                      <w:t>1km</w:t>
                    </w:r>
                  </w:p>
                </w:txbxContent>
              </v:textbox>
              <w10:wrap type="none"/>
            </v:shape>
            <v:shape style="position:absolute;left:7514;top:2345;width:1453;height:146" type="#_x0000_t202" filled="false" stroked="false">
              <v:textbox inset="0,0,0,0">
                <w:txbxContent>
                  <w:p>
                    <w:pPr>
                      <w:spacing w:line="65" w:lineRule="exact" w:before="0"/>
                      <w:ind w:left="0" w:right="0" w:firstLine="0"/>
                      <w:jc w:val="center"/>
                      <w:rPr>
                        <w:rFonts w:ascii="Calibri"/>
                        <w:sz w:val="6"/>
                      </w:rPr>
                    </w:pPr>
                    <w:r>
                      <w:rPr>
                        <w:rFonts w:ascii="Calibri"/>
                        <w:w w:val="105"/>
                        <w:sz w:val="6"/>
                      </w:rPr>
                      <w:t>0.9</w:t>
                    </w:r>
                  </w:p>
                  <w:p>
                    <w:pPr>
                      <w:tabs>
                        <w:tab w:pos="675" w:val="left" w:leader="none"/>
                        <w:tab w:pos="1452" w:val="left" w:leader="none"/>
                      </w:tabs>
                      <w:spacing w:line="71" w:lineRule="exact" w:before="9"/>
                      <w:ind w:left="-1" w:right="0" w:firstLine="0"/>
                      <w:jc w:val="center"/>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5km</w:t>
                    </w:r>
                    <w:r>
                      <w:rPr>
                        <w:rFonts w:ascii="Calibri"/>
                        <w:sz w:val="6"/>
                        <w:shd w:fill="808080" w:color="auto" w:val="clear"/>
                      </w:rPr>
                      <w:tab/>
                    </w:r>
                  </w:p>
                </w:txbxContent>
              </v:textbox>
              <w10:wrap type="none"/>
            </v:shape>
            <v:shape style="position:absolute;left:9654;top:2345;width:141;height:146" type="#_x0000_t202" filled="false" stroked="false">
              <v:textbox inset="0,0,0,0">
                <w:txbxContent>
                  <w:p>
                    <w:pPr>
                      <w:spacing w:line="65" w:lineRule="exact" w:before="0"/>
                      <w:ind w:left="27" w:right="-18" w:firstLine="0"/>
                      <w:jc w:val="left"/>
                      <w:rPr>
                        <w:rFonts w:ascii="Calibri"/>
                        <w:sz w:val="6"/>
                      </w:rPr>
                    </w:pPr>
                    <w:r>
                      <w:rPr>
                        <w:rFonts w:ascii="Calibri"/>
                        <w:w w:val="105"/>
                        <w:sz w:val="6"/>
                      </w:rPr>
                      <w:t>0.7</w:t>
                    </w:r>
                  </w:p>
                  <w:p>
                    <w:pPr>
                      <w:spacing w:line="71" w:lineRule="exact" w:before="9"/>
                      <w:ind w:left="0" w:right="-18" w:firstLine="0"/>
                      <w:jc w:val="left"/>
                      <w:rPr>
                        <w:rFonts w:ascii="Calibri"/>
                        <w:sz w:val="6"/>
                      </w:rPr>
                    </w:pPr>
                    <w:r>
                      <w:rPr>
                        <w:rFonts w:ascii="Calibri"/>
                        <w:spacing w:val="-1"/>
                        <w:w w:val="105"/>
                        <w:sz w:val="6"/>
                      </w:rPr>
                      <w:t>10km</w:t>
                    </w:r>
                  </w:p>
                </w:txbxContent>
              </v:textbox>
              <w10:wrap type="none"/>
            </v:shape>
            <v:shape style="position:absolute;left:10475;top:2369;width:648;height:165" type="#_x0000_t202" filled="false" stroked="false">
              <v:textbox inset="0,0,0,0">
                <w:txbxContent>
                  <w:p>
                    <w:pPr>
                      <w:spacing w:line="41" w:lineRule="exact" w:before="0"/>
                      <w:ind w:left="230" w:right="228" w:firstLine="0"/>
                      <w:jc w:val="center"/>
                      <w:rPr>
                        <w:rFonts w:ascii="Calibri"/>
                        <w:sz w:val="6"/>
                      </w:rPr>
                    </w:pPr>
                    <w:r>
                      <w:rPr>
                        <w:rFonts w:ascii="Calibri"/>
                        <w:w w:val="105"/>
                        <w:sz w:val="6"/>
                      </w:rPr>
                      <w:t>0.5</w:t>
                    </w:r>
                  </w:p>
                  <w:p>
                    <w:pPr>
                      <w:spacing w:before="9"/>
                      <w:ind w:left="236" w:right="228" w:firstLine="0"/>
                      <w:jc w:val="center"/>
                      <w:rPr>
                        <w:rFonts w:ascii="Calibri"/>
                        <w:sz w:val="6"/>
                      </w:rPr>
                    </w:pPr>
                    <w:r>
                      <w:rPr>
                        <w:rFonts w:ascii="Calibri"/>
                        <w:w w:val="105"/>
                        <w:sz w:val="6"/>
                      </w:rPr>
                      <w:t>20km</w:t>
                    </w:r>
                  </w:p>
                </w:txbxContent>
              </v:textbox>
              <w10:wrap type="none"/>
            </v:shape>
            <v:shape style="position:absolute;left:11123;top:2369;width:586;height:165" type="#_x0000_t202" filled="false" stroked="false">
              <v:textbox inset="0,0,0,0">
                <w:txbxContent>
                  <w:p>
                    <w:pPr>
                      <w:spacing w:line="41" w:lineRule="exact" w:before="0"/>
                      <w:ind w:left="2" w:right="0" w:firstLine="0"/>
                      <w:jc w:val="center"/>
                      <w:rPr>
                        <w:rFonts w:ascii="Calibri"/>
                        <w:sz w:val="6"/>
                      </w:rPr>
                    </w:pPr>
                    <w:r>
                      <w:rPr>
                        <w:rFonts w:ascii="Calibri"/>
                        <w:w w:val="104"/>
                        <w:sz w:val="6"/>
                      </w:rPr>
                      <w:t>0</w:t>
                    </w:r>
                  </w:p>
                  <w:p>
                    <w:pPr>
                      <w:spacing w:before="9"/>
                      <w:ind w:left="95" w:right="95" w:firstLine="0"/>
                      <w:jc w:val="center"/>
                      <w:rPr>
                        <w:rFonts w:ascii="Calibri" w:hAnsi="Calibri"/>
                        <w:sz w:val="6"/>
                      </w:rPr>
                    </w:pPr>
                    <w:r>
                      <w:rPr>
                        <w:rFonts w:ascii="Calibri" w:hAnsi="Calibri"/>
                        <w:w w:val="105"/>
                        <w:sz w:val="6"/>
                      </w:rPr>
                      <w:t>a 30km o más</w:t>
                    </w:r>
                  </w:p>
                </w:txbxContent>
              </v:textbox>
              <w10:wrap type="none"/>
            </v:shape>
            <v:shape style="position:absolute;left:11708;top:2369;width:1107;height:165" type="#_x0000_t202" filled="false" stroked="false">
              <v:textbox inset="0,0,0,0">
                <w:txbxContent>
                  <w:p>
                    <w:pPr>
                      <w:spacing w:line="41" w:lineRule="exact" w:before="0"/>
                      <w:ind w:left="168" w:right="181" w:firstLine="0"/>
                      <w:jc w:val="center"/>
                      <w:rPr>
                        <w:rFonts w:ascii="Calibri"/>
                        <w:sz w:val="6"/>
                      </w:rPr>
                    </w:pPr>
                    <w:r>
                      <w:rPr>
                        <w:rFonts w:ascii="Calibri"/>
                        <w:w w:val="105"/>
                        <w:sz w:val="6"/>
                      </w:rPr>
                      <w:t>Evaluar con base a distancia</w:t>
                    </w:r>
                  </w:p>
                  <w:p>
                    <w:pPr>
                      <w:spacing w:before="9"/>
                      <w:ind w:left="168" w:right="178" w:firstLine="0"/>
                      <w:jc w:val="center"/>
                      <w:rPr>
                        <w:rFonts w:ascii="Calibri"/>
                        <w:sz w:val="6"/>
                      </w:rPr>
                    </w:pPr>
                    <w:r>
                      <w:rPr>
                        <w:rFonts w:ascii="Calibri"/>
                        <w:w w:val="105"/>
                        <w:sz w:val="6"/>
                      </w:rPr>
                      <w:t>Especifique:</w:t>
                    </w:r>
                  </w:p>
                </w:txbxContent>
              </v:textbox>
              <w10:wrap type="none"/>
            </v:shape>
            <v:shape style="position:absolute;left:12815;top:2369;width:484;height:165" type="#_x0000_t202" filled="false" stroked="false">
              <v:textbox inset="0,0,0,0">
                <w:txbxContent>
                  <w:p>
                    <w:pPr>
                      <w:spacing w:line="41" w:lineRule="exact" w:before="0"/>
                      <w:ind w:left="191" w:right="172" w:firstLine="0"/>
                      <w:jc w:val="center"/>
                      <w:rPr>
                        <w:rFonts w:ascii="Calibri"/>
                        <w:sz w:val="6"/>
                      </w:rPr>
                    </w:pPr>
                    <w:r>
                      <w:rPr>
                        <w:rFonts w:ascii="Calibri"/>
                        <w:w w:val="105"/>
                        <w:sz w:val="6"/>
                      </w:rPr>
                      <w:t>0.9</w:t>
                    </w:r>
                  </w:p>
                </w:txbxContent>
              </v:textbox>
              <w10:wrap type="none"/>
            </v:shape>
            <v:shape style="position:absolute;left:13644;top:2369;width:346;height:165" type="#_x0000_t202" filled="false" stroked="false">
              <v:textbox inset="0,0,0,0">
                <w:txbxContent>
                  <w:p>
                    <w:pPr>
                      <w:spacing w:line="41" w:lineRule="exact" w:before="0"/>
                      <w:ind w:left="116" w:right="110" w:firstLine="0"/>
                      <w:jc w:val="center"/>
                      <w:rPr>
                        <w:rFonts w:ascii="Calibri"/>
                        <w:sz w:val="6"/>
                      </w:rPr>
                    </w:pPr>
                    <w:r>
                      <w:rPr>
                        <w:rFonts w:ascii="Calibri"/>
                        <w:w w:val="105"/>
                        <w:sz w:val="6"/>
                      </w:rPr>
                      <w:t>0.9</w:t>
                    </w:r>
                  </w:p>
                </w:txbxContent>
              </v:textbox>
              <w10:wrap type="none"/>
            </v:shape>
            <v:shape style="position:absolute;left:14149;top:2345;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1</w:t>
                    </w:r>
                  </w:p>
                </w:txbxContent>
              </v:textbox>
              <w10:wrap type="none"/>
            </v:shape>
            <v:shape style="position:absolute;left:6537;top:2534;width:978;height:165" type="#_x0000_t202" filled="false" stroked="false">
              <v:textbox inset="0,0,0,0">
                <w:txbxContent>
                  <w:p>
                    <w:pPr>
                      <w:spacing w:line="41" w:lineRule="exact" w:before="0"/>
                      <w:ind w:left="2" w:right="0" w:firstLine="0"/>
                      <w:jc w:val="center"/>
                      <w:rPr>
                        <w:rFonts w:ascii="Calibri"/>
                        <w:sz w:val="6"/>
                      </w:rPr>
                    </w:pPr>
                    <w:r>
                      <w:rPr>
                        <w:rFonts w:ascii="Calibri"/>
                        <w:w w:val="104"/>
                        <w:sz w:val="6"/>
                      </w:rPr>
                      <w:t>1</w:t>
                    </w:r>
                  </w:p>
                  <w:p>
                    <w:pPr>
                      <w:spacing w:before="9"/>
                      <w:ind w:left="277" w:right="278" w:firstLine="0"/>
                      <w:jc w:val="center"/>
                      <w:rPr>
                        <w:rFonts w:ascii="Calibri"/>
                        <w:sz w:val="6"/>
                      </w:rPr>
                    </w:pPr>
                    <w:r>
                      <w:rPr>
                        <w:rFonts w:ascii="Calibri"/>
                        <w:w w:val="105"/>
                        <w:sz w:val="6"/>
                      </w:rPr>
                      <w:t>500mts</w:t>
                    </w:r>
                  </w:p>
                </w:txbxContent>
              </v:textbox>
              <w10:wrap type="none"/>
            </v:shape>
            <v:shape style="position:absolute;left:8189;top:2509;width:109;height:146" type="#_x0000_t202" filled="false" stroked="false">
              <v:textbox inset="0,0,0,0">
                <w:txbxContent>
                  <w:p>
                    <w:pPr>
                      <w:spacing w:line="65" w:lineRule="exact" w:before="0"/>
                      <w:ind w:left="11" w:right="-2" w:firstLine="0"/>
                      <w:jc w:val="left"/>
                      <w:rPr>
                        <w:rFonts w:ascii="Calibri"/>
                        <w:sz w:val="6"/>
                      </w:rPr>
                    </w:pPr>
                    <w:r>
                      <w:rPr>
                        <w:rFonts w:ascii="Calibri"/>
                        <w:w w:val="105"/>
                        <w:sz w:val="6"/>
                      </w:rPr>
                      <w:t>0.9</w:t>
                    </w:r>
                  </w:p>
                  <w:p>
                    <w:pPr>
                      <w:spacing w:line="71" w:lineRule="exact" w:before="9"/>
                      <w:ind w:left="0" w:right="-19" w:firstLine="0"/>
                      <w:jc w:val="left"/>
                      <w:rPr>
                        <w:rFonts w:ascii="Calibri"/>
                        <w:sz w:val="6"/>
                      </w:rPr>
                    </w:pPr>
                    <w:r>
                      <w:rPr>
                        <w:rFonts w:ascii="Calibri"/>
                        <w:spacing w:val="-1"/>
                        <w:w w:val="105"/>
                        <w:sz w:val="6"/>
                      </w:rPr>
                      <w:t>1km</w:t>
                    </w:r>
                  </w:p>
                </w:txbxContent>
              </v:textbox>
              <w10:wrap type="none"/>
            </v:shape>
            <v:shape style="position:absolute;left:8963;top:2509;width:1516;height:146" type="#_x0000_t202" filled="false" stroked="false">
              <v:textbox inset="0,0,0,0">
                <w:txbxContent>
                  <w:p>
                    <w:pPr>
                      <w:spacing w:line="65" w:lineRule="exact" w:before="0"/>
                      <w:ind w:left="0" w:right="0" w:firstLine="0"/>
                      <w:jc w:val="center"/>
                      <w:rPr>
                        <w:rFonts w:ascii="Calibri"/>
                        <w:sz w:val="6"/>
                      </w:rPr>
                    </w:pPr>
                    <w:r>
                      <w:rPr>
                        <w:rFonts w:ascii="Calibri"/>
                        <w:w w:val="105"/>
                        <w:sz w:val="6"/>
                      </w:rPr>
                      <w:t>0.7</w:t>
                    </w:r>
                  </w:p>
                  <w:p>
                    <w:pPr>
                      <w:tabs>
                        <w:tab w:pos="706" w:val="left" w:leader="none"/>
                        <w:tab w:pos="1515" w:val="left" w:leader="none"/>
                      </w:tabs>
                      <w:spacing w:line="71" w:lineRule="exact" w:before="9"/>
                      <w:ind w:left="-1" w:right="0" w:firstLine="0"/>
                      <w:jc w:val="center"/>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2km</w:t>
                    </w:r>
                    <w:r>
                      <w:rPr>
                        <w:rFonts w:ascii="Calibri"/>
                        <w:sz w:val="6"/>
                        <w:shd w:fill="808080" w:color="auto" w:val="clear"/>
                      </w:rPr>
                      <w:tab/>
                    </w:r>
                  </w:p>
                </w:txbxContent>
              </v:textbox>
              <w10:wrap type="none"/>
            </v:shape>
            <v:shape style="position:absolute;left:10749;top:2509;width:109;height:146" type="#_x0000_t202" filled="false" stroked="false">
              <v:textbox inset="0,0,0,0">
                <w:txbxContent>
                  <w:p>
                    <w:pPr>
                      <w:spacing w:line="65" w:lineRule="exact" w:before="0"/>
                      <w:ind w:left="11" w:right="-2" w:firstLine="0"/>
                      <w:jc w:val="left"/>
                      <w:rPr>
                        <w:rFonts w:ascii="Calibri"/>
                        <w:sz w:val="6"/>
                      </w:rPr>
                    </w:pPr>
                    <w:r>
                      <w:rPr>
                        <w:rFonts w:ascii="Calibri"/>
                        <w:w w:val="105"/>
                        <w:sz w:val="6"/>
                      </w:rPr>
                      <w:t>0.5</w:t>
                    </w:r>
                  </w:p>
                  <w:p>
                    <w:pPr>
                      <w:spacing w:line="71" w:lineRule="exact" w:before="9"/>
                      <w:ind w:left="0" w:right="-19" w:firstLine="0"/>
                      <w:jc w:val="left"/>
                      <w:rPr>
                        <w:rFonts w:ascii="Calibri"/>
                        <w:sz w:val="6"/>
                      </w:rPr>
                    </w:pPr>
                    <w:r>
                      <w:rPr>
                        <w:rFonts w:ascii="Calibri"/>
                        <w:spacing w:val="-1"/>
                        <w:w w:val="105"/>
                        <w:sz w:val="6"/>
                      </w:rPr>
                      <w:t>3km</w:t>
                    </w:r>
                  </w:p>
                </w:txbxContent>
              </v:textbox>
              <w10:wrap type="none"/>
            </v:shape>
            <v:shape style="position:absolute;left:11123;top:2534;width:586;height:165" type="#_x0000_t202" filled="false" stroked="false">
              <v:textbox inset="0,0,0,0">
                <w:txbxContent>
                  <w:p>
                    <w:pPr>
                      <w:spacing w:line="41" w:lineRule="exact" w:before="0"/>
                      <w:ind w:left="2" w:right="0" w:firstLine="0"/>
                      <w:jc w:val="center"/>
                      <w:rPr>
                        <w:rFonts w:ascii="Calibri"/>
                        <w:sz w:val="6"/>
                      </w:rPr>
                    </w:pPr>
                    <w:r>
                      <w:rPr>
                        <w:rFonts w:ascii="Calibri"/>
                        <w:w w:val="104"/>
                        <w:sz w:val="6"/>
                      </w:rPr>
                      <w:t>0</w:t>
                    </w:r>
                  </w:p>
                  <w:p>
                    <w:pPr>
                      <w:spacing w:before="9"/>
                      <w:ind w:left="95" w:right="95" w:firstLine="0"/>
                      <w:jc w:val="center"/>
                      <w:rPr>
                        <w:rFonts w:ascii="Calibri" w:hAnsi="Calibri"/>
                        <w:sz w:val="6"/>
                      </w:rPr>
                    </w:pPr>
                    <w:r>
                      <w:rPr>
                        <w:rFonts w:ascii="Calibri" w:hAnsi="Calibri"/>
                        <w:w w:val="105"/>
                        <w:sz w:val="6"/>
                      </w:rPr>
                      <w:t>a 4km o más</w:t>
                    </w:r>
                  </w:p>
                </w:txbxContent>
              </v:textbox>
              <w10:wrap type="none"/>
            </v:shape>
            <v:shape style="position:absolute;left:11708;top:2534;width:1107;height:165" type="#_x0000_t202" filled="false" stroked="false">
              <v:textbox inset="0,0,0,0">
                <w:txbxContent>
                  <w:p>
                    <w:pPr>
                      <w:spacing w:line="41" w:lineRule="exact" w:before="0"/>
                      <w:ind w:left="168" w:right="181" w:firstLine="0"/>
                      <w:jc w:val="center"/>
                      <w:rPr>
                        <w:rFonts w:ascii="Calibri"/>
                        <w:sz w:val="6"/>
                      </w:rPr>
                    </w:pPr>
                    <w:r>
                      <w:rPr>
                        <w:rFonts w:ascii="Calibri"/>
                        <w:w w:val="105"/>
                        <w:sz w:val="6"/>
                      </w:rPr>
                      <w:t>Evaluar con base a distancia</w:t>
                    </w:r>
                  </w:p>
                  <w:p>
                    <w:pPr>
                      <w:spacing w:before="9"/>
                      <w:ind w:left="168" w:right="178" w:firstLine="0"/>
                      <w:jc w:val="center"/>
                      <w:rPr>
                        <w:rFonts w:ascii="Calibri"/>
                        <w:sz w:val="6"/>
                      </w:rPr>
                    </w:pPr>
                    <w:r>
                      <w:rPr>
                        <w:rFonts w:ascii="Calibri"/>
                        <w:w w:val="105"/>
                        <w:sz w:val="6"/>
                      </w:rPr>
                      <w:t>Especifique:</w:t>
                    </w:r>
                  </w:p>
                </w:txbxContent>
              </v:textbox>
              <w10:wrap type="none"/>
            </v:shape>
            <v:shape style="position:absolute;left:12815;top:2534;width:484;height:165" type="#_x0000_t202" filled="false" stroked="false">
              <v:textbox inset="0,0,0,0">
                <w:txbxContent>
                  <w:p>
                    <w:pPr>
                      <w:spacing w:line="41" w:lineRule="exact" w:before="0"/>
                      <w:ind w:left="191" w:right="172" w:firstLine="0"/>
                      <w:jc w:val="center"/>
                      <w:rPr>
                        <w:rFonts w:ascii="Calibri"/>
                        <w:sz w:val="6"/>
                      </w:rPr>
                    </w:pPr>
                    <w:r>
                      <w:rPr>
                        <w:rFonts w:ascii="Calibri"/>
                        <w:w w:val="105"/>
                        <w:sz w:val="6"/>
                      </w:rPr>
                      <w:t>0.9</w:t>
                    </w:r>
                  </w:p>
                </w:txbxContent>
              </v:textbox>
              <w10:wrap type="none"/>
            </v:shape>
            <v:shape style="position:absolute;left:13644;top:2534;width:346;height:165" type="#_x0000_t202" filled="false" stroked="false">
              <v:textbox inset="0,0,0,0">
                <w:txbxContent>
                  <w:p>
                    <w:pPr>
                      <w:spacing w:line="41" w:lineRule="exact" w:before="0"/>
                      <w:ind w:left="116" w:right="110" w:firstLine="0"/>
                      <w:jc w:val="center"/>
                      <w:rPr>
                        <w:rFonts w:ascii="Calibri"/>
                        <w:sz w:val="6"/>
                      </w:rPr>
                    </w:pPr>
                    <w:r>
                      <w:rPr>
                        <w:rFonts w:ascii="Calibri"/>
                        <w:w w:val="105"/>
                        <w:sz w:val="6"/>
                      </w:rPr>
                      <w:t>0.9</w:t>
                    </w:r>
                  </w:p>
                </w:txbxContent>
              </v:textbox>
              <w10:wrap type="none"/>
            </v:shape>
            <v:shape style="position:absolute;left:14149;top:2509;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1</w:t>
                    </w:r>
                  </w:p>
                </w:txbxContent>
              </v:textbox>
              <w10:wrap type="none"/>
            </v:shape>
            <v:shape style="position:absolute;left:6933;top:2674;width:186;height:146" type="#_x0000_t202" filled="false" stroked="false">
              <v:textbox inset="0,0,0,0">
                <w:txbxContent>
                  <w:p>
                    <w:pPr>
                      <w:spacing w:line="65" w:lineRule="exact" w:before="0"/>
                      <w:ind w:left="3" w:right="0" w:firstLine="0"/>
                      <w:jc w:val="center"/>
                      <w:rPr>
                        <w:rFonts w:ascii="Calibri"/>
                        <w:sz w:val="6"/>
                      </w:rPr>
                    </w:pPr>
                    <w:r>
                      <w:rPr>
                        <w:rFonts w:ascii="Calibri"/>
                        <w:w w:val="104"/>
                        <w:sz w:val="6"/>
                      </w:rPr>
                      <w:t>1</w:t>
                    </w:r>
                  </w:p>
                  <w:p>
                    <w:pPr>
                      <w:spacing w:line="71" w:lineRule="exact" w:before="9"/>
                      <w:ind w:left="-1" w:right="0" w:firstLine="0"/>
                      <w:jc w:val="center"/>
                      <w:rPr>
                        <w:rFonts w:ascii="Calibri"/>
                        <w:sz w:val="6"/>
                      </w:rPr>
                    </w:pPr>
                    <w:r>
                      <w:rPr>
                        <w:rFonts w:ascii="Calibri"/>
                        <w:spacing w:val="-2"/>
                        <w:w w:val="105"/>
                        <w:sz w:val="6"/>
                      </w:rPr>
                      <w:t>500mts</w:t>
                    </w:r>
                  </w:p>
                </w:txbxContent>
              </v:textbox>
              <w10:wrap type="none"/>
            </v:shape>
            <v:shape style="position:absolute;left:7514;top:2674;width:1453;height:146" type="#_x0000_t202" filled="false" stroked="false">
              <v:textbox inset="0,0,0,0">
                <w:txbxContent>
                  <w:p>
                    <w:pPr>
                      <w:spacing w:line="65" w:lineRule="exact" w:before="0"/>
                      <w:ind w:left="0" w:right="0" w:firstLine="0"/>
                      <w:jc w:val="center"/>
                      <w:rPr>
                        <w:rFonts w:ascii="Calibri"/>
                        <w:sz w:val="6"/>
                      </w:rPr>
                    </w:pPr>
                    <w:r>
                      <w:rPr>
                        <w:rFonts w:ascii="Calibri"/>
                        <w:w w:val="105"/>
                        <w:sz w:val="6"/>
                      </w:rPr>
                      <w:t>0.6</w:t>
                    </w:r>
                  </w:p>
                  <w:p>
                    <w:pPr>
                      <w:tabs>
                        <w:tab w:pos="675" w:val="left" w:leader="none"/>
                        <w:tab w:pos="1452" w:val="left" w:leader="none"/>
                      </w:tabs>
                      <w:spacing w:line="71" w:lineRule="exact" w:before="9"/>
                      <w:ind w:left="-1" w:right="0" w:firstLine="0"/>
                      <w:jc w:val="center"/>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1km</w:t>
                    </w:r>
                    <w:r>
                      <w:rPr>
                        <w:rFonts w:ascii="Calibri"/>
                        <w:sz w:val="6"/>
                        <w:shd w:fill="808080" w:color="auto" w:val="clear"/>
                      </w:rPr>
                      <w:tab/>
                    </w:r>
                  </w:p>
                </w:txbxContent>
              </v:textbox>
              <w10:wrap type="none"/>
            </v:shape>
            <v:shape style="position:absolute;left:9669;top:2674;width:109;height:146" type="#_x0000_t202" filled="false" stroked="false">
              <v:textbox inset="0,0,0,0">
                <w:txbxContent>
                  <w:p>
                    <w:pPr>
                      <w:spacing w:line="65" w:lineRule="exact" w:before="0"/>
                      <w:ind w:left="11" w:right="-2" w:firstLine="0"/>
                      <w:jc w:val="left"/>
                      <w:rPr>
                        <w:rFonts w:ascii="Calibri"/>
                        <w:sz w:val="6"/>
                      </w:rPr>
                    </w:pPr>
                    <w:r>
                      <w:rPr>
                        <w:rFonts w:ascii="Calibri"/>
                        <w:w w:val="105"/>
                        <w:sz w:val="6"/>
                      </w:rPr>
                      <w:t>0.3</w:t>
                    </w:r>
                  </w:p>
                  <w:p>
                    <w:pPr>
                      <w:spacing w:line="71" w:lineRule="exact" w:before="9"/>
                      <w:ind w:left="0" w:right="-19" w:firstLine="0"/>
                      <w:jc w:val="left"/>
                      <w:rPr>
                        <w:rFonts w:ascii="Calibri"/>
                        <w:sz w:val="6"/>
                      </w:rPr>
                    </w:pPr>
                    <w:r>
                      <w:rPr>
                        <w:rFonts w:ascii="Calibri"/>
                        <w:spacing w:val="-1"/>
                        <w:w w:val="105"/>
                        <w:sz w:val="6"/>
                      </w:rPr>
                      <w:t>2km</w:t>
                    </w:r>
                  </w:p>
                </w:txbxContent>
              </v:textbox>
              <w10:wrap type="none"/>
            </v:shape>
            <v:shape style="position:absolute;left:10475;top:2699;width:648;height:165" type="#_x0000_t202" filled="false" stroked="false">
              <v:textbox inset="0,0,0,0">
                <w:txbxContent>
                  <w:p>
                    <w:pPr>
                      <w:spacing w:line="41" w:lineRule="exact" w:before="0"/>
                      <w:ind w:left="230" w:right="228" w:firstLine="0"/>
                      <w:jc w:val="center"/>
                      <w:rPr>
                        <w:rFonts w:ascii="Calibri"/>
                        <w:sz w:val="6"/>
                      </w:rPr>
                    </w:pPr>
                    <w:r>
                      <w:rPr>
                        <w:rFonts w:ascii="Calibri"/>
                        <w:w w:val="105"/>
                        <w:sz w:val="6"/>
                      </w:rPr>
                      <w:t>0.1</w:t>
                    </w:r>
                  </w:p>
                  <w:p>
                    <w:pPr>
                      <w:spacing w:before="9"/>
                      <w:ind w:left="236" w:right="227" w:firstLine="0"/>
                      <w:jc w:val="center"/>
                      <w:rPr>
                        <w:rFonts w:ascii="Calibri"/>
                        <w:sz w:val="6"/>
                      </w:rPr>
                    </w:pPr>
                    <w:r>
                      <w:rPr>
                        <w:rFonts w:ascii="Calibri"/>
                        <w:w w:val="105"/>
                        <w:sz w:val="6"/>
                      </w:rPr>
                      <w:t>3km</w:t>
                    </w:r>
                  </w:p>
                </w:txbxContent>
              </v:textbox>
              <w10:wrap type="none"/>
            </v:shape>
            <v:shape style="position:absolute;left:11123;top:2699;width:586;height:165" type="#_x0000_t202" filled="false" stroked="false">
              <v:textbox inset="0,0,0,0">
                <w:txbxContent>
                  <w:p>
                    <w:pPr>
                      <w:spacing w:line="41" w:lineRule="exact" w:before="0"/>
                      <w:ind w:left="2" w:right="0" w:firstLine="0"/>
                      <w:jc w:val="center"/>
                      <w:rPr>
                        <w:rFonts w:ascii="Calibri"/>
                        <w:sz w:val="6"/>
                      </w:rPr>
                    </w:pPr>
                    <w:r>
                      <w:rPr>
                        <w:rFonts w:ascii="Calibri"/>
                        <w:w w:val="104"/>
                        <w:sz w:val="6"/>
                      </w:rPr>
                      <w:t>0</w:t>
                    </w:r>
                  </w:p>
                  <w:p>
                    <w:pPr>
                      <w:spacing w:before="9"/>
                      <w:ind w:left="95" w:right="95" w:firstLine="0"/>
                      <w:jc w:val="center"/>
                      <w:rPr>
                        <w:rFonts w:ascii="Calibri" w:hAnsi="Calibri"/>
                        <w:sz w:val="6"/>
                      </w:rPr>
                    </w:pPr>
                    <w:r>
                      <w:rPr>
                        <w:rFonts w:ascii="Calibri" w:hAnsi="Calibri"/>
                        <w:w w:val="105"/>
                        <w:sz w:val="6"/>
                      </w:rPr>
                      <w:t>a 4km o más</w:t>
                    </w:r>
                  </w:p>
                </w:txbxContent>
              </v:textbox>
              <w10:wrap type="none"/>
            </v:shape>
            <v:shape style="position:absolute;left:11708;top:2699;width:1107;height:165" type="#_x0000_t202" filled="false" stroked="false">
              <v:textbox inset="0,0,0,0">
                <w:txbxContent>
                  <w:p>
                    <w:pPr>
                      <w:spacing w:line="41" w:lineRule="exact" w:before="0"/>
                      <w:ind w:left="168" w:right="181" w:firstLine="0"/>
                      <w:jc w:val="center"/>
                      <w:rPr>
                        <w:rFonts w:ascii="Calibri"/>
                        <w:sz w:val="6"/>
                      </w:rPr>
                    </w:pPr>
                    <w:r>
                      <w:rPr>
                        <w:rFonts w:ascii="Calibri"/>
                        <w:w w:val="105"/>
                        <w:sz w:val="6"/>
                      </w:rPr>
                      <w:t>Evaluar con base a distancia</w:t>
                    </w:r>
                  </w:p>
                  <w:p>
                    <w:pPr>
                      <w:spacing w:before="9"/>
                      <w:ind w:left="168" w:right="178" w:firstLine="0"/>
                      <w:jc w:val="center"/>
                      <w:rPr>
                        <w:rFonts w:ascii="Calibri"/>
                        <w:sz w:val="6"/>
                      </w:rPr>
                    </w:pPr>
                    <w:r>
                      <w:rPr>
                        <w:rFonts w:ascii="Calibri"/>
                        <w:w w:val="105"/>
                        <w:sz w:val="6"/>
                      </w:rPr>
                      <w:t>Especifique:</w:t>
                    </w:r>
                  </w:p>
                </w:txbxContent>
              </v:textbox>
              <w10:wrap type="none"/>
            </v:shape>
            <v:shape style="position:absolute;left:12815;top:2699;width:484;height:165" type="#_x0000_t202" filled="false" stroked="false">
              <v:textbox inset="0,0,0,0">
                <w:txbxContent>
                  <w:p>
                    <w:pPr>
                      <w:spacing w:line="41" w:lineRule="exact" w:before="0"/>
                      <w:ind w:left="191" w:right="172" w:firstLine="0"/>
                      <w:jc w:val="center"/>
                      <w:rPr>
                        <w:rFonts w:ascii="Calibri"/>
                        <w:sz w:val="6"/>
                      </w:rPr>
                    </w:pPr>
                    <w:r>
                      <w:rPr>
                        <w:rFonts w:ascii="Calibri"/>
                        <w:w w:val="105"/>
                        <w:sz w:val="6"/>
                      </w:rPr>
                      <w:t>0.3</w:t>
                    </w:r>
                  </w:p>
                </w:txbxContent>
              </v:textbox>
              <w10:wrap type="none"/>
            </v:shape>
            <v:shape style="position:absolute;left:13644;top:2699;width:346;height:165" type="#_x0000_t202" filled="false" stroked="false">
              <v:textbox inset="0,0,0,0">
                <w:txbxContent>
                  <w:p>
                    <w:pPr>
                      <w:spacing w:line="41" w:lineRule="exact" w:before="0"/>
                      <w:ind w:left="116" w:right="110" w:firstLine="0"/>
                      <w:jc w:val="center"/>
                      <w:rPr>
                        <w:rFonts w:ascii="Calibri"/>
                        <w:sz w:val="6"/>
                      </w:rPr>
                    </w:pPr>
                    <w:r>
                      <w:rPr>
                        <w:rFonts w:ascii="Calibri"/>
                        <w:w w:val="105"/>
                        <w:sz w:val="6"/>
                      </w:rPr>
                      <w:t>0.6</w:t>
                    </w:r>
                  </w:p>
                </w:txbxContent>
              </v:textbox>
              <w10:wrap type="none"/>
            </v:shape>
            <v:shape style="position:absolute;left:14149;top:2674;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1</w:t>
                    </w:r>
                  </w:p>
                </w:txbxContent>
              </v:textbox>
              <w10:wrap type="none"/>
            </v:shape>
            <v:shape style="position:absolute;left:6537;top:2863;width:978;height:165" type="#_x0000_t202" filled="false" stroked="false">
              <v:textbox inset="0,0,0,0">
                <w:txbxContent>
                  <w:p>
                    <w:pPr>
                      <w:spacing w:line="41" w:lineRule="exact" w:before="0"/>
                      <w:ind w:left="2" w:right="0" w:firstLine="0"/>
                      <w:jc w:val="center"/>
                      <w:rPr>
                        <w:rFonts w:ascii="Calibri"/>
                        <w:sz w:val="6"/>
                      </w:rPr>
                    </w:pPr>
                    <w:r>
                      <w:rPr>
                        <w:rFonts w:ascii="Calibri"/>
                        <w:w w:val="104"/>
                        <w:sz w:val="6"/>
                      </w:rPr>
                      <w:t>1</w:t>
                    </w:r>
                  </w:p>
                  <w:p>
                    <w:pPr>
                      <w:spacing w:before="9"/>
                      <w:ind w:left="284" w:right="276" w:firstLine="0"/>
                      <w:jc w:val="center"/>
                      <w:rPr>
                        <w:rFonts w:ascii="Calibri"/>
                        <w:sz w:val="6"/>
                      </w:rPr>
                    </w:pPr>
                    <w:r>
                      <w:rPr>
                        <w:rFonts w:ascii="Calibri"/>
                        <w:w w:val="105"/>
                        <w:sz w:val="6"/>
                      </w:rPr>
                      <w:t>1km</w:t>
                    </w:r>
                  </w:p>
                </w:txbxContent>
              </v:textbox>
              <w10:wrap type="none"/>
            </v:shape>
            <v:shape style="position:absolute;left:8189;top:2839;width:109;height:146" type="#_x0000_t202" filled="false" stroked="false">
              <v:textbox inset="0,0,0,0">
                <w:txbxContent>
                  <w:p>
                    <w:pPr>
                      <w:spacing w:line="65" w:lineRule="exact" w:before="0"/>
                      <w:ind w:left="11" w:right="-2" w:firstLine="0"/>
                      <w:jc w:val="left"/>
                      <w:rPr>
                        <w:rFonts w:ascii="Calibri"/>
                        <w:sz w:val="6"/>
                      </w:rPr>
                    </w:pPr>
                    <w:r>
                      <w:rPr>
                        <w:rFonts w:ascii="Calibri"/>
                        <w:w w:val="105"/>
                        <w:sz w:val="6"/>
                      </w:rPr>
                      <w:t>0.9</w:t>
                    </w:r>
                  </w:p>
                  <w:p>
                    <w:pPr>
                      <w:spacing w:line="71" w:lineRule="exact" w:before="9"/>
                      <w:ind w:left="0" w:right="-19" w:firstLine="0"/>
                      <w:jc w:val="left"/>
                      <w:rPr>
                        <w:rFonts w:ascii="Calibri"/>
                        <w:sz w:val="6"/>
                      </w:rPr>
                    </w:pPr>
                    <w:r>
                      <w:rPr>
                        <w:rFonts w:ascii="Calibri"/>
                        <w:spacing w:val="-1"/>
                        <w:w w:val="105"/>
                        <w:sz w:val="6"/>
                      </w:rPr>
                      <w:t>5km</w:t>
                    </w:r>
                  </w:p>
                </w:txbxContent>
              </v:textbox>
              <w10:wrap type="none"/>
            </v:shape>
            <v:shape style="position:absolute;left:8963;top:2839;width:1516;height:146" type="#_x0000_t202" filled="false" stroked="false">
              <v:textbox inset="0,0,0,0">
                <w:txbxContent>
                  <w:p>
                    <w:pPr>
                      <w:spacing w:line="65" w:lineRule="exact" w:before="0"/>
                      <w:ind w:left="0" w:right="0" w:firstLine="0"/>
                      <w:jc w:val="center"/>
                      <w:rPr>
                        <w:rFonts w:ascii="Calibri"/>
                        <w:sz w:val="6"/>
                      </w:rPr>
                    </w:pPr>
                    <w:r>
                      <w:rPr>
                        <w:rFonts w:ascii="Calibri"/>
                        <w:w w:val="105"/>
                        <w:sz w:val="6"/>
                      </w:rPr>
                      <w:t>0.8</w:t>
                    </w:r>
                  </w:p>
                  <w:p>
                    <w:pPr>
                      <w:tabs>
                        <w:tab w:pos="691" w:val="left" w:leader="none"/>
                        <w:tab w:pos="1515" w:val="left" w:leader="none"/>
                      </w:tabs>
                      <w:spacing w:line="71" w:lineRule="exact" w:before="9"/>
                      <w:ind w:left="-1" w:right="0" w:firstLine="0"/>
                      <w:jc w:val="center"/>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10km</w:t>
                    </w:r>
                    <w:r>
                      <w:rPr>
                        <w:rFonts w:ascii="Calibri"/>
                        <w:sz w:val="6"/>
                        <w:shd w:fill="808080" w:color="auto" w:val="clear"/>
                      </w:rPr>
                      <w:tab/>
                    </w:r>
                  </w:p>
                </w:txbxContent>
              </v:textbox>
              <w10:wrap type="none"/>
            </v:shape>
            <v:shape style="position:absolute;left:10733;top:2839;width:141;height:146" type="#_x0000_t202" filled="false" stroked="false">
              <v:textbox inset="0,0,0,0">
                <w:txbxContent>
                  <w:p>
                    <w:pPr>
                      <w:spacing w:line="65" w:lineRule="exact" w:before="0"/>
                      <w:ind w:left="27" w:right="-18" w:firstLine="0"/>
                      <w:jc w:val="left"/>
                      <w:rPr>
                        <w:rFonts w:ascii="Calibri"/>
                        <w:sz w:val="6"/>
                      </w:rPr>
                    </w:pPr>
                    <w:r>
                      <w:rPr>
                        <w:rFonts w:ascii="Calibri"/>
                        <w:w w:val="105"/>
                        <w:sz w:val="6"/>
                      </w:rPr>
                      <w:t>0.7</w:t>
                    </w:r>
                  </w:p>
                  <w:p>
                    <w:pPr>
                      <w:spacing w:line="71" w:lineRule="exact" w:before="9"/>
                      <w:ind w:left="0" w:right="-18" w:firstLine="0"/>
                      <w:jc w:val="left"/>
                      <w:rPr>
                        <w:rFonts w:ascii="Calibri"/>
                        <w:sz w:val="6"/>
                      </w:rPr>
                    </w:pPr>
                    <w:r>
                      <w:rPr>
                        <w:rFonts w:ascii="Calibri"/>
                        <w:spacing w:val="-1"/>
                        <w:w w:val="105"/>
                        <w:sz w:val="6"/>
                      </w:rPr>
                      <w:t>20km</w:t>
                    </w:r>
                  </w:p>
                </w:txbxContent>
              </v:textbox>
              <w10:wrap type="none"/>
            </v:shape>
            <v:shape style="position:absolute;left:11123;top:2863;width:586;height:165" type="#_x0000_t202" filled="false" stroked="false">
              <v:textbox inset="0,0,0,0">
                <w:txbxContent>
                  <w:p>
                    <w:pPr>
                      <w:spacing w:line="41" w:lineRule="exact" w:before="0"/>
                      <w:ind w:left="95" w:right="93" w:firstLine="0"/>
                      <w:jc w:val="center"/>
                      <w:rPr>
                        <w:rFonts w:ascii="Calibri"/>
                        <w:sz w:val="6"/>
                      </w:rPr>
                    </w:pPr>
                    <w:r>
                      <w:rPr>
                        <w:rFonts w:ascii="Calibri"/>
                        <w:w w:val="105"/>
                        <w:sz w:val="6"/>
                      </w:rPr>
                      <w:t>0.6</w:t>
                    </w:r>
                  </w:p>
                  <w:p>
                    <w:pPr>
                      <w:spacing w:before="9"/>
                      <w:ind w:left="95" w:right="95" w:firstLine="0"/>
                      <w:jc w:val="center"/>
                      <w:rPr>
                        <w:rFonts w:ascii="Calibri" w:hAnsi="Calibri"/>
                        <w:sz w:val="6"/>
                      </w:rPr>
                    </w:pPr>
                    <w:r>
                      <w:rPr>
                        <w:rFonts w:ascii="Calibri" w:hAnsi="Calibri"/>
                        <w:w w:val="105"/>
                        <w:sz w:val="6"/>
                      </w:rPr>
                      <w:t>a 30km o más</w:t>
                    </w:r>
                  </w:p>
                </w:txbxContent>
              </v:textbox>
              <w10:wrap type="none"/>
            </v:shape>
            <v:shape style="position:absolute;left:11708;top:2863;width:1107;height:165" type="#_x0000_t202" filled="false" stroked="false">
              <v:textbox inset="0,0,0,0">
                <w:txbxContent>
                  <w:p>
                    <w:pPr>
                      <w:spacing w:line="41" w:lineRule="exact" w:before="0"/>
                      <w:ind w:left="168" w:right="181" w:firstLine="0"/>
                      <w:jc w:val="center"/>
                      <w:rPr>
                        <w:rFonts w:ascii="Calibri"/>
                        <w:sz w:val="6"/>
                      </w:rPr>
                    </w:pPr>
                    <w:r>
                      <w:rPr>
                        <w:rFonts w:ascii="Calibri"/>
                        <w:w w:val="105"/>
                        <w:sz w:val="6"/>
                      </w:rPr>
                      <w:t>Evaluar con base a distancia</w:t>
                    </w:r>
                  </w:p>
                  <w:p>
                    <w:pPr>
                      <w:spacing w:before="9"/>
                      <w:ind w:left="168" w:right="178" w:firstLine="0"/>
                      <w:jc w:val="center"/>
                      <w:rPr>
                        <w:rFonts w:ascii="Calibri"/>
                        <w:sz w:val="6"/>
                      </w:rPr>
                    </w:pPr>
                    <w:r>
                      <w:rPr>
                        <w:rFonts w:ascii="Calibri"/>
                        <w:w w:val="105"/>
                        <w:sz w:val="6"/>
                      </w:rPr>
                      <w:t>Especifique:</w:t>
                    </w:r>
                  </w:p>
                </w:txbxContent>
              </v:textbox>
              <w10:wrap type="none"/>
            </v:shape>
            <v:shape style="position:absolute;left:12815;top:2863;width:484;height:165" type="#_x0000_t202" filled="false" stroked="false">
              <v:textbox inset="0,0,0,0">
                <w:txbxContent>
                  <w:p>
                    <w:pPr>
                      <w:spacing w:line="41" w:lineRule="exact" w:before="0"/>
                      <w:ind w:left="191" w:right="172" w:firstLine="0"/>
                      <w:jc w:val="center"/>
                      <w:rPr>
                        <w:rFonts w:ascii="Calibri"/>
                        <w:sz w:val="6"/>
                      </w:rPr>
                    </w:pPr>
                    <w:r>
                      <w:rPr>
                        <w:rFonts w:ascii="Calibri"/>
                        <w:w w:val="105"/>
                        <w:sz w:val="6"/>
                      </w:rPr>
                      <w:t>0.9</w:t>
                    </w:r>
                  </w:p>
                </w:txbxContent>
              </v:textbox>
              <w10:wrap type="none"/>
            </v:shape>
            <v:shape style="position:absolute;left:13644;top:2863;width:346;height:165" type="#_x0000_t202" filled="false" stroked="false">
              <v:textbox inset="0,0,0,0">
                <w:txbxContent>
                  <w:p>
                    <w:pPr>
                      <w:spacing w:line="41" w:lineRule="exact" w:before="0"/>
                      <w:ind w:left="116" w:right="110" w:firstLine="0"/>
                      <w:jc w:val="center"/>
                      <w:rPr>
                        <w:rFonts w:ascii="Calibri"/>
                        <w:sz w:val="6"/>
                      </w:rPr>
                    </w:pPr>
                    <w:r>
                      <w:rPr>
                        <w:rFonts w:ascii="Calibri"/>
                        <w:w w:val="105"/>
                        <w:sz w:val="6"/>
                      </w:rPr>
                      <w:t>0.8</w:t>
                    </w:r>
                  </w:p>
                </w:txbxContent>
              </v:textbox>
              <w10:wrap type="none"/>
            </v:shape>
            <v:shape style="position:absolute;left:14149;top:2839;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1</w:t>
                    </w:r>
                  </w:p>
                </w:txbxContent>
              </v:textbox>
              <w10:wrap type="none"/>
            </v:shape>
            <v:shape style="position:absolute;left:7011;top:3004;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1</w:t>
                    </w:r>
                  </w:p>
                </w:txbxContent>
              </v:textbox>
              <w10:wrap type="none"/>
            </v:shape>
            <v:shape style="position:absolute;left:8201;top:3004;width:80;height:63" type="#_x0000_t202" filled="false" stroked="false">
              <v:textbox inset="0,0,0,0">
                <w:txbxContent>
                  <w:p>
                    <w:pPr>
                      <w:spacing w:line="63" w:lineRule="exact" w:before="0"/>
                      <w:ind w:left="0" w:right="-20" w:firstLine="0"/>
                      <w:jc w:val="left"/>
                      <w:rPr>
                        <w:rFonts w:ascii="Calibri"/>
                        <w:sz w:val="6"/>
                      </w:rPr>
                    </w:pPr>
                    <w:r>
                      <w:rPr>
                        <w:rFonts w:ascii="Calibri"/>
                        <w:w w:val="105"/>
                        <w:sz w:val="6"/>
                      </w:rPr>
                      <w:t>0.7</w:t>
                    </w:r>
                  </w:p>
                </w:txbxContent>
              </v:textbox>
              <w10:wrap type="none"/>
            </v:shape>
            <v:shape style="position:absolute;left:9681;top:3004;width:80;height:63" type="#_x0000_t202" filled="false" stroked="false">
              <v:textbox inset="0,0,0,0">
                <w:txbxContent>
                  <w:p>
                    <w:pPr>
                      <w:spacing w:line="63" w:lineRule="exact" w:before="0"/>
                      <w:ind w:left="0" w:right="-20" w:firstLine="0"/>
                      <w:jc w:val="left"/>
                      <w:rPr>
                        <w:rFonts w:ascii="Calibri"/>
                        <w:sz w:val="6"/>
                      </w:rPr>
                    </w:pPr>
                    <w:r>
                      <w:rPr>
                        <w:rFonts w:ascii="Calibri"/>
                        <w:w w:val="105"/>
                        <w:sz w:val="6"/>
                      </w:rPr>
                      <w:t>0.6</w:t>
                    </w:r>
                  </w:p>
                </w:txbxContent>
              </v:textbox>
              <w10:wrap type="none"/>
            </v:shape>
            <v:shape style="position:absolute;left:10475;top:3028;width:648;height:124" type="#_x0000_t202" filled="false" stroked="false">
              <v:textbox inset="0,0,0,0">
                <w:txbxContent>
                  <w:p>
                    <w:pPr>
                      <w:spacing w:line="41" w:lineRule="exact" w:before="0"/>
                      <w:ind w:left="230" w:right="228" w:firstLine="0"/>
                      <w:jc w:val="center"/>
                      <w:rPr>
                        <w:rFonts w:ascii="Calibri"/>
                        <w:sz w:val="6"/>
                      </w:rPr>
                    </w:pPr>
                    <w:r>
                      <w:rPr>
                        <w:rFonts w:ascii="Calibri"/>
                        <w:w w:val="105"/>
                        <w:sz w:val="6"/>
                      </w:rPr>
                      <w:t>0.4</w:t>
                    </w:r>
                  </w:p>
                </w:txbxContent>
              </v:textbox>
              <w10:wrap type="none"/>
            </v:shape>
            <v:shape style="position:absolute;left:11123;top:3028;width:586;height:124" type="#_x0000_t202" filled="false" stroked="false">
              <v:textbox inset="0,0,0,0">
                <w:txbxContent>
                  <w:p>
                    <w:pPr>
                      <w:spacing w:line="41" w:lineRule="exact" w:before="0"/>
                      <w:ind w:left="95" w:right="93" w:firstLine="0"/>
                      <w:jc w:val="center"/>
                      <w:rPr>
                        <w:rFonts w:ascii="Calibri"/>
                        <w:sz w:val="6"/>
                      </w:rPr>
                    </w:pPr>
                    <w:r>
                      <w:rPr>
                        <w:rFonts w:ascii="Calibri"/>
                        <w:w w:val="105"/>
                        <w:sz w:val="6"/>
                      </w:rPr>
                      <w:t>0.1</w:t>
                    </w:r>
                  </w:p>
                </w:txbxContent>
              </v:textbox>
              <w10:wrap type="none"/>
            </v:shape>
            <v:shape style="position:absolute;left:11708;top:3028;width:1107;height:124" type="#_x0000_t202" filled="false" stroked="false">
              <v:textbox inset="0,0,0,0">
                <w:txbxContent>
                  <w:p>
                    <w:pPr>
                      <w:spacing w:line="41" w:lineRule="exact" w:before="0"/>
                      <w:ind w:left="183" w:right="0" w:firstLine="0"/>
                      <w:jc w:val="left"/>
                      <w:rPr>
                        <w:rFonts w:ascii="Calibri"/>
                        <w:sz w:val="6"/>
                      </w:rPr>
                    </w:pPr>
                    <w:r>
                      <w:rPr>
                        <w:rFonts w:ascii="Calibri"/>
                        <w:w w:val="105"/>
                        <w:sz w:val="6"/>
                      </w:rPr>
                      <w:t>Evaluar con base a distancia</w:t>
                    </w:r>
                  </w:p>
                </w:txbxContent>
              </v:textbox>
              <w10:wrap type="none"/>
            </v:shape>
            <v:shape style="position:absolute;left:8964;top:3234;width:1512;height:124" type="#_x0000_t202" filled="false" stroked="false">
              <v:textbox inset="0,0,0,0">
                <w:txbxContent>
                  <w:p>
                    <w:pPr>
                      <w:spacing w:before="8"/>
                      <w:ind w:left="489" w:right="0" w:firstLine="0"/>
                      <w:jc w:val="left"/>
                      <w:rPr>
                        <w:rFonts w:ascii="Calibri"/>
                        <w:sz w:val="6"/>
                      </w:rPr>
                    </w:pPr>
                    <w:r>
                      <w:rPr>
                        <w:rFonts w:ascii="Calibri"/>
                        <w:w w:val="105"/>
                        <w:sz w:val="6"/>
                      </w:rPr>
                      <w:t>Asamblea de vecinos</w:t>
                    </w:r>
                  </w:p>
                </w:txbxContent>
              </v:textbox>
              <w10:wrap type="none"/>
            </v:shape>
            <v:shape style="position:absolute;left:10475;top:3234;width:648;height:124" type="#_x0000_t202" filled="false" stroked="false">
              <v:textbox inset="0,0,0,0">
                <w:txbxContent>
                  <w:p>
                    <w:pPr>
                      <w:spacing w:before="8"/>
                      <w:ind w:left="207" w:right="0" w:firstLine="0"/>
                      <w:jc w:val="left"/>
                      <w:rPr>
                        <w:rFonts w:ascii="Calibri"/>
                        <w:sz w:val="6"/>
                      </w:rPr>
                    </w:pPr>
                    <w:r>
                      <w:rPr>
                        <w:rFonts w:ascii="Calibri"/>
                        <w:w w:val="105"/>
                        <w:sz w:val="6"/>
                      </w:rPr>
                      <w:t>No existe</w:t>
                    </w:r>
                  </w:p>
                </w:txbxContent>
              </v:textbox>
              <w10:wrap type="none"/>
            </v:shape>
            <v:shape style="position:absolute;left:11708;top:3234;width:1107;height:124" type="#_x0000_t202" filled="false" stroked="false">
              <v:textbox inset="0,0,0,0">
                <w:txbxContent>
                  <w:p>
                    <w:pPr>
                      <w:spacing w:before="8"/>
                      <w:ind w:left="168" w:right="178" w:firstLine="0"/>
                      <w:jc w:val="center"/>
                      <w:rPr>
                        <w:rFonts w:ascii="Calibri"/>
                        <w:sz w:val="6"/>
                      </w:rPr>
                    </w:pPr>
                    <w:r>
                      <w:rPr>
                        <w:rFonts w:ascii="Calibri"/>
                        <w:w w:val="105"/>
                        <w:sz w:val="6"/>
                      </w:rPr>
                      <w:t>Especifique:</w:t>
                    </w:r>
                  </w:p>
                </w:txbxContent>
              </v:textbox>
              <w10:wrap type="none"/>
            </v:shape>
            <v:shape style="position:absolute;left:7011;top:3334;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1</w:t>
                    </w:r>
                  </w:p>
                </w:txbxContent>
              </v:textbox>
              <w10:wrap type="none"/>
            </v:shape>
            <v:shape style="position:absolute;left:8201;top:3334;width:80;height:63" type="#_x0000_t202" filled="false" stroked="false">
              <v:textbox inset="0,0,0,0">
                <w:txbxContent>
                  <w:p>
                    <w:pPr>
                      <w:spacing w:line="63" w:lineRule="exact" w:before="0"/>
                      <w:ind w:left="0" w:right="-20" w:firstLine="0"/>
                      <w:jc w:val="left"/>
                      <w:rPr>
                        <w:rFonts w:ascii="Calibri"/>
                        <w:sz w:val="6"/>
                      </w:rPr>
                    </w:pPr>
                    <w:r>
                      <w:rPr>
                        <w:rFonts w:ascii="Calibri"/>
                        <w:w w:val="105"/>
                        <w:sz w:val="6"/>
                      </w:rPr>
                      <w:t>0.9</w:t>
                    </w:r>
                  </w:p>
                </w:txbxContent>
              </v:textbox>
              <w10:wrap type="none"/>
            </v:shape>
            <v:shape style="position:absolute;left:9681;top:3334;width:80;height:63" type="#_x0000_t202" filled="false" stroked="false">
              <v:textbox inset="0,0,0,0">
                <w:txbxContent>
                  <w:p>
                    <w:pPr>
                      <w:spacing w:line="63" w:lineRule="exact" w:before="0"/>
                      <w:ind w:left="0" w:right="-20" w:firstLine="0"/>
                      <w:jc w:val="left"/>
                      <w:rPr>
                        <w:rFonts w:ascii="Calibri"/>
                        <w:sz w:val="6"/>
                      </w:rPr>
                    </w:pPr>
                    <w:r>
                      <w:rPr>
                        <w:rFonts w:ascii="Calibri"/>
                        <w:w w:val="105"/>
                        <w:sz w:val="6"/>
                      </w:rPr>
                      <w:t>0.8</w:t>
                    </w:r>
                  </w:p>
                </w:txbxContent>
              </v:textbox>
              <w10:wrap type="none"/>
            </v:shape>
            <v:shape style="position:absolute;left:10785;top:3334;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0</w:t>
                    </w:r>
                  </w:p>
                </w:txbxContent>
              </v:textbox>
              <w10:wrap type="none"/>
            </v:shape>
            <v:shape style="position:absolute;left:6537;top:3564;width:3939;height:125" type="#_x0000_t202" filled="false" stroked="false">
              <v:textbox inset="0,0,0,0">
                <w:txbxContent>
                  <w:p>
                    <w:pPr>
                      <w:tabs>
                        <w:tab w:pos="1074" w:val="left" w:leader="none"/>
                        <w:tab w:pos="2539" w:val="left" w:leader="none"/>
                      </w:tabs>
                      <w:spacing w:before="8"/>
                      <w:ind w:left="124" w:right="0" w:firstLine="0"/>
                      <w:jc w:val="left"/>
                      <w:rPr>
                        <w:rFonts w:ascii="Calibri" w:hAnsi="Calibri"/>
                        <w:sz w:val="6"/>
                      </w:rPr>
                    </w:pPr>
                    <w:r>
                      <w:rPr>
                        <w:rFonts w:ascii="Calibri" w:hAnsi="Calibri"/>
                        <w:w w:val="105"/>
                        <w:sz w:val="6"/>
                      </w:rPr>
                      <w:t>Arriba del</w:t>
                    </w:r>
                    <w:r>
                      <w:rPr>
                        <w:rFonts w:ascii="Calibri" w:hAnsi="Calibri"/>
                        <w:spacing w:val="-7"/>
                        <w:w w:val="105"/>
                        <w:sz w:val="6"/>
                      </w:rPr>
                      <w:t> </w:t>
                    </w:r>
                    <w:r>
                      <w:rPr>
                        <w:rFonts w:ascii="Calibri" w:hAnsi="Calibri"/>
                        <w:w w:val="105"/>
                        <w:sz w:val="6"/>
                      </w:rPr>
                      <w:t>promedio</w:t>
                    </w:r>
                    <w:r>
                      <w:rPr>
                        <w:rFonts w:ascii="Calibri" w:hAnsi="Calibri"/>
                        <w:spacing w:val="-6"/>
                        <w:w w:val="105"/>
                        <w:sz w:val="6"/>
                      </w:rPr>
                      <w:t> </w:t>
                    </w:r>
                    <w:r>
                      <w:rPr>
                        <w:rFonts w:ascii="Calibri" w:hAnsi="Calibri"/>
                        <w:w w:val="105"/>
                        <w:sz w:val="6"/>
                      </w:rPr>
                      <w:t>nacional</w:t>
                      <w:tab/>
                      <w:t>Igual</w:t>
                    </w:r>
                    <w:r>
                      <w:rPr>
                        <w:rFonts w:ascii="Calibri" w:hAnsi="Calibri"/>
                        <w:spacing w:val="-2"/>
                        <w:w w:val="105"/>
                        <w:sz w:val="6"/>
                      </w:rPr>
                      <w:t> </w:t>
                    </w:r>
                    <w:r>
                      <w:rPr>
                        <w:rFonts w:ascii="Calibri" w:hAnsi="Calibri"/>
                        <w:w w:val="105"/>
                        <w:sz w:val="6"/>
                      </w:rPr>
                      <w:t>o</w:t>
                    </w:r>
                    <w:r>
                      <w:rPr>
                        <w:rFonts w:ascii="Calibri" w:hAnsi="Calibri"/>
                        <w:spacing w:val="-5"/>
                        <w:w w:val="105"/>
                        <w:sz w:val="6"/>
                      </w:rPr>
                      <w:t> </w:t>
                    </w:r>
                    <w:r>
                      <w:rPr>
                        <w:rFonts w:ascii="Calibri" w:hAnsi="Calibri"/>
                        <w:w w:val="105"/>
                        <w:sz w:val="6"/>
                      </w:rPr>
                      <w:t>menos</w:t>
                    </w:r>
                    <w:r>
                      <w:rPr>
                        <w:rFonts w:ascii="Calibri" w:hAnsi="Calibri"/>
                        <w:spacing w:val="-2"/>
                        <w:w w:val="105"/>
                        <w:sz w:val="6"/>
                      </w:rPr>
                      <w:t> </w:t>
                    </w:r>
                    <w:r>
                      <w:rPr>
                        <w:rFonts w:ascii="Calibri" w:hAnsi="Calibri"/>
                        <w:w w:val="105"/>
                        <w:sz w:val="6"/>
                      </w:rPr>
                      <w:t>de</w:t>
                    </w:r>
                    <w:r>
                      <w:rPr>
                        <w:rFonts w:ascii="Calibri" w:hAnsi="Calibri"/>
                        <w:spacing w:val="-3"/>
                        <w:w w:val="105"/>
                        <w:sz w:val="6"/>
                      </w:rPr>
                      <w:t> </w:t>
                    </w:r>
                    <w:r>
                      <w:rPr>
                        <w:rFonts w:ascii="Calibri" w:hAnsi="Calibri"/>
                        <w:w w:val="105"/>
                        <w:sz w:val="6"/>
                      </w:rPr>
                      <w:t>un</w:t>
                    </w:r>
                    <w:r>
                      <w:rPr>
                        <w:rFonts w:ascii="Calibri" w:hAnsi="Calibri"/>
                        <w:spacing w:val="-5"/>
                        <w:w w:val="105"/>
                        <w:sz w:val="6"/>
                      </w:rPr>
                      <w:t> </w:t>
                    </w:r>
                    <w:r>
                      <w:rPr>
                        <w:rFonts w:ascii="Calibri" w:hAnsi="Calibri"/>
                        <w:w w:val="105"/>
                        <w:sz w:val="6"/>
                      </w:rPr>
                      <w:t>punto</w:t>
                    </w:r>
                    <w:r>
                      <w:rPr>
                        <w:rFonts w:ascii="Calibri" w:hAnsi="Calibri"/>
                        <w:spacing w:val="-5"/>
                        <w:w w:val="105"/>
                        <w:sz w:val="6"/>
                      </w:rPr>
                      <w:t> </w:t>
                    </w:r>
                    <w:r>
                      <w:rPr>
                        <w:rFonts w:ascii="Calibri" w:hAnsi="Calibri"/>
                        <w:w w:val="105"/>
                        <w:sz w:val="6"/>
                      </w:rPr>
                      <w:t>del</w:t>
                    </w:r>
                    <w:r>
                      <w:rPr>
                        <w:rFonts w:ascii="Calibri" w:hAnsi="Calibri"/>
                        <w:spacing w:val="-2"/>
                        <w:w w:val="105"/>
                        <w:sz w:val="6"/>
                      </w:rPr>
                      <w:t> </w:t>
                    </w:r>
                    <w:r>
                      <w:rPr>
                        <w:rFonts w:ascii="Calibri" w:hAnsi="Calibri"/>
                        <w:w w:val="105"/>
                        <w:sz w:val="6"/>
                      </w:rPr>
                      <w:t>promedio</w:t>
                    </w:r>
                    <w:r>
                      <w:rPr>
                        <w:rFonts w:ascii="Calibri" w:hAnsi="Calibri"/>
                        <w:spacing w:val="-5"/>
                        <w:w w:val="105"/>
                        <w:sz w:val="6"/>
                      </w:rPr>
                      <w:t> </w:t>
                    </w:r>
                    <w:r>
                      <w:rPr>
                        <w:rFonts w:ascii="Calibri" w:hAnsi="Calibri"/>
                        <w:w w:val="105"/>
                        <w:sz w:val="6"/>
                      </w:rPr>
                      <w:t>nacional</w:t>
                      <w:tab/>
                      <w:t>Por</w:t>
                    </w:r>
                    <w:r>
                      <w:rPr>
                        <w:rFonts w:ascii="Calibri" w:hAnsi="Calibri"/>
                        <w:spacing w:val="-7"/>
                        <w:w w:val="105"/>
                        <w:sz w:val="6"/>
                      </w:rPr>
                      <w:t> </w:t>
                    </w:r>
                    <w:r>
                      <w:rPr>
                        <w:rFonts w:ascii="Calibri" w:hAnsi="Calibri"/>
                        <w:w w:val="105"/>
                        <w:sz w:val="6"/>
                      </w:rPr>
                      <w:t>más</w:t>
                    </w:r>
                    <w:r>
                      <w:rPr>
                        <w:rFonts w:ascii="Calibri" w:hAnsi="Calibri"/>
                        <w:spacing w:val="-4"/>
                        <w:w w:val="105"/>
                        <w:sz w:val="6"/>
                      </w:rPr>
                      <w:t> </w:t>
                    </w:r>
                    <w:r>
                      <w:rPr>
                        <w:rFonts w:ascii="Calibri" w:hAnsi="Calibri"/>
                        <w:w w:val="105"/>
                        <w:sz w:val="6"/>
                      </w:rPr>
                      <w:t>de</w:t>
                    </w:r>
                    <w:r>
                      <w:rPr>
                        <w:rFonts w:ascii="Calibri" w:hAnsi="Calibri"/>
                        <w:spacing w:val="-5"/>
                        <w:w w:val="105"/>
                        <w:sz w:val="6"/>
                      </w:rPr>
                      <w:t> </w:t>
                    </w:r>
                    <w:r>
                      <w:rPr>
                        <w:rFonts w:ascii="Calibri" w:hAnsi="Calibri"/>
                        <w:w w:val="105"/>
                        <w:sz w:val="6"/>
                      </w:rPr>
                      <w:t>un</w:t>
                    </w:r>
                    <w:r>
                      <w:rPr>
                        <w:rFonts w:ascii="Calibri" w:hAnsi="Calibri"/>
                        <w:spacing w:val="-6"/>
                        <w:w w:val="105"/>
                        <w:sz w:val="6"/>
                      </w:rPr>
                      <w:t> </w:t>
                    </w:r>
                    <w:r>
                      <w:rPr>
                        <w:rFonts w:ascii="Calibri" w:hAnsi="Calibri"/>
                        <w:w w:val="105"/>
                        <w:sz w:val="6"/>
                      </w:rPr>
                      <w:t>punto</w:t>
                    </w:r>
                    <w:r>
                      <w:rPr>
                        <w:rFonts w:ascii="Calibri" w:hAnsi="Calibri"/>
                        <w:spacing w:val="-6"/>
                        <w:w w:val="105"/>
                        <w:sz w:val="6"/>
                      </w:rPr>
                      <w:t> </w:t>
                    </w:r>
                    <w:r>
                      <w:rPr>
                        <w:rFonts w:ascii="Calibri" w:hAnsi="Calibri"/>
                        <w:w w:val="105"/>
                        <w:sz w:val="6"/>
                      </w:rPr>
                      <w:t>debajo</w:t>
                    </w:r>
                    <w:r>
                      <w:rPr>
                        <w:rFonts w:ascii="Calibri" w:hAnsi="Calibri"/>
                        <w:spacing w:val="-6"/>
                        <w:w w:val="105"/>
                        <w:sz w:val="6"/>
                      </w:rPr>
                      <w:t> </w:t>
                    </w:r>
                    <w:r>
                      <w:rPr>
                        <w:rFonts w:ascii="Calibri" w:hAnsi="Calibri"/>
                        <w:w w:val="105"/>
                        <w:sz w:val="6"/>
                      </w:rPr>
                      <w:t>del</w:t>
                    </w:r>
                    <w:r>
                      <w:rPr>
                        <w:rFonts w:ascii="Calibri" w:hAnsi="Calibri"/>
                        <w:spacing w:val="-4"/>
                        <w:w w:val="105"/>
                        <w:sz w:val="6"/>
                      </w:rPr>
                      <w:t> </w:t>
                    </w:r>
                    <w:r>
                      <w:rPr>
                        <w:rFonts w:ascii="Calibri" w:hAnsi="Calibri"/>
                        <w:w w:val="105"/>
                        <w:sz w:val="6"/>
                      </w:rPr>
                      <w:t>promedio</w:t>
                    </w:r>
                    <w:r>
                      <w:rPr>
                        <w:rFonts w:ascii="Calibri" w:hAnsi="Calibri"/>
                        <w:spacing w:val="-6"/>
                        <w:w w:val="105"/>
                        <w:sz w:val="6"/>
                      </w:rPr>
                      <w:t> </w:t>
                    </w:r>
                    <w:r>
                      <w:rPr>
                        <w:rFonts w:ascii="Calibri" w:hAnsi="Calibri"/>
                        <w:w w:val="105"/>
                        <w:sz w:val="6"/>
                      </w:rPr>
                      <w:t>nacional</w:t>
                    </w:r>
                  </w:p>
                </w:txbxContent>
              </v:textbox>
              <w10:wrap type="none"/>
            </v:shape>
            <v:shape style="position:absolute;left:7011;top:3663;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1</w:t>
                    </w:r>
                  </w:p>
                </w:txbxContent>
              </v:textbox>
              <w10:wrap type="none"/>
            </v:shape>
            <v:shape style="position:absolute;left:8201;top:3663;width:80;height:63" type="#_x0000_t202" filled="false" stroked="false">
              <v:textbox inset="0,0,0,0">
                <w:txbxContent>
                  <w:p>
                    <w:pPr>
                      <w:spacing w:line="63" w:lineRule="exact" w:before="0"/>
                      <w:ind w:left="0" w:right="-20" w:firstLine="0"/>
                      <w:jc w:val="left"/>
                      <w:rPr>
                        <w:rFonts w:ascii="Calibri"/>
                        <w:sz w:val="6"/>
                      </w:rPr>
                    </w:pPr>
                    <w:r>
                      <w:rPr>
                        <w:rFonts w:ascii="Calibri"/>
                        <w:w w:val="105"/>
                        <w:sz w:val="6"/>
                      </w:rPr>
                      <w:t>0.7</w:t>
                    </w:r>
                  </w:p>
                </w:txbxContent>
              </v:textbox>
              <w10:wrap type="none"/>
            </v:shape>
            <v:shape style="position:absolute;left:9681;top:3663;width:80;height:63" type="#_x0000_t202" filled="false" stroked="false">
              <v:textbox inset="0,0,0,0">
                <w:txbxContent>
                  <w:p>
                    <w:pPr>
                      <w:spacing w:line="63" w:lineRule="exact" w:before="0"/>
                      <w:ind w:left="0" w:right="-20" w:firstLine="0"/>
                      <w:jc w:val="left"/>
                      <w:rPr>
                        <w:rFonts w:ascii="Calibri"/>
                        <w:sz w:val="6"/>
                      </w:rPr>
                    </w:pPr>
                    <w:r>
                      <w:rPr>
                        <w:rFonts w:ascii="Calibri"/>
                        <w:w w:val="105"/>
                        <w:sz w:val="6"/>
                      </w:rPr>
                      <w:t>0.3</w:t>
                    </w:r>
                  </w:p>
                </w:txbxContent>
              </v:textbox>
              <w10:wrap type="none"/>
            </v:shape>
            <v:shape style="position:absolute;left:8964;top:3894;width:1512;height:125" type="#_x0000_t202" filled="false" stroked="false">
              <v:textbox inset="0,0,0,0">
                <w:txbxContent>
                  <w:p>
                    <w:pPr>
                      <w:spacing w:before="8"/>
                      <w:ind w:left="112" w:right="0" w:firstLine="0"/>
                      <w:jc w:val="left"/>
                      <w:rPr>
                        <w:rFonts w:ascii="Calibri" w:hAnsi="Calibri"/>
                        <w:sz w:val="6"/>
                      </w:rPr>
                    </w:pPr>
                    <w:r>
                      <w:rPr>
                        <w:rFonts w:ascii="Calibri" w:hAnsi="Calibri"/>
                        <w:w w:val="105"/>
                        <w:sz w:val="6"/>
                      </w:rPr>
                      <w:t>Por más de un punto debajo del promedio nacional</w:t>
                    </w:r>
                  </w:p>
                </w:txbxContent>
              </v:textbox>
              <w10:wrap type="none"/>
            </v:shape>
            <v:shape style="position:absolute;left:7011;top:3993;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1</w:t>
                    </w:r>
                  </w:p>
                </w:txbxContent>
              </v:textbox>
              <w10:wrap type="none"/>
            </v:shape>
            <v:shape style="position:absolute;left:8201;top:3993;width:80;height:63" type="#_x0000_t202" filled="false" stroked="false">
              <v:textbox inset="0,0,0,0">
                <w:txbxContent>
                  <w:p>
                    <w:pPr>
                      <w:spacing w:line="63" w:lineRule="exact" w:before="0"/>
                      <w:ind w:left="0" w:right="-20" w:firstLine="0"/>
                      <w:jc w:val="left"/>
                      <w:rPr>
                        <w:rFonts w:ascii="Calibri"/>
                        <w:sz w:val="6"/>
                      </w:rPr>
                    </w:pPr>
                    <w:r>
                      <w:rPr>
                        <w:rFonts w:ascii="Calibri"/>
                        <w:w w:val="105"/>
                        <w:sz w:val="6"/>
                      </w:rPr>
                      <w:t>0.7</w:t>
                    </w:r>
                  </w:p>
                </w:txbxContent>
              </v:textbox>
              <w10:wrap type="none"/>
            </v:shape>
            <v:shape style="position:absolute;left:9681;top:3993;width:80;height:63" type="#_x0000_t202" filled="false" stroked="false">
              <v:textbox inset="0,0,0,0">
                <w:txbxContent>
                  <w:p>
                    <w:pPr>
                      <w:spacing w:line="63" w:lineRule="exact" w:before="0"/>
                      <w:ind w:left="0" w:right="-20" w:firstLine="0"/>
                      <w:jc w:val="left"/>
                      <w:rPr>
                        <w:rFonts w:ascii="Calibri"/>
                        <w:sz w:val="6"/>
                      </w:rPr>
                    </w:pPr>
                    <w:r>
                      <w:rPr>
                        <w:rFonts w:ascii="Calibri"/>
                        <w:w w:val="105"/>
                        <w:sz w:val="6"/>
                      </w:rPr>
                      <w:t>0.3</w:t>
                    </w:r>
                  </w:p>
                </w:txbxContent>
              </v:textbox>
              <w10:wrap type="none"/>
            </v:shape>
            <v:shape style="position:absolute;left:12979;top:4240;width:174;height:63" type="#_x0000_t202" filled="false" stroked="false">
              <v:textbox inset="0,0,0,0">
                <w:txbxContent>
                  <w:p>
                    <w:pPr>
                      <w:spacing w:line="63" w:lineRule="exact" w:before="0"/>
                      <w:ind w:left="0" w:right="-19" w:firstLine="0"/>
                      <w:jc w:val="left"/>
                      <w:rPr>
                        <w:rFonts w:ascii="Calibri"/>
                        <w:sz w:val="6"/>
                      </w:rPr>
                    </w:pPr>
                    <w:r>
                      <w:rPr>
                        <w:rFonts w:ascii="Calibri"/>
                        <w:w w:val="105"/>
                        <w:sz w:val="6"/>
                      </w:rPr>
                      <w:t>Total S</w:t>
                    </w:r>
                  </w:p>
                </w:txbxContent>
              </v:textbox>
              <w10:wrap type="none"/>
            </v:shape>
            <v:shape style="position:absolute;left:13419;top:4240;width:456;height:63" type="#_x0000_t202" filled="false" stroked="false">
              <v:textbox inset="0,0,0,0">
                <w:txbxContent>
                  <w:p>
                    <w:pPr>
                      <w:tabs>
                        <w:tab w:pos="345" w:val="left" w:leader="none"/>
                      </w:tabs>
                      <w:spacing w:line="63" w:lineRule="exact" w:before="0"/>
                      <w:ind w:left="0" w:right="0" w:firstLine="0"/>
                      <w:jc w:val="left"/>
                      <w:rPr>
                        <w:rFonts w:ascii="Calibri"/>
                        <w:sz w:val="6"/>
                      </w:rPr>
                    </w:pPr>
                    <w:r>
                      <w:rPr>
                        <w:rFonts w:ascii="Calibri"/>
                        <w:w w:val="105"/>
                        <w:sz w:val="6"/>
                      </w:rPr>
                      <w:t>11.6</w:t>
                      <w:tab/>
                    </w:r>
                    <w:r>
                      <w:rPr>
                        <w:rFonts w:ascii="Calibri"/>
                        <w:spacing w:val="-1"/>
                        <w:w w:val="105"/>
                        <w:sz w:val="6"/>
                      </w:rPr>
                      <w:t>11.4</w:t>
                    </w:r>
                  </w:p>
                </w:txbxContent>
              </v:textbox>
              <w10:wrap type="none"/>
            </v:shape>
            <v:shape style="position:absolute;left:14134;top:4240;width:63;height:63" type="#_x0000_t202" filled="false" stroked="false">
              <v:textbox inset="0,0,0,0">
                <w:txbxContent>
                  <w:p>
                    <w:pPr>
                      <w:spacing w:line="63" w:lineRule="exact" w:before="0"/>
                      <w:ind w:left="0" w:right="-19" w:firstLine="0"/>
                      <w:jc w:val="left"/>
                      <w:rPr>
                        <w:rFonts w:ascii="Calibri"/>
                        <w:sz w:val="6"/>
                      </w:rPr>
                    </w:pPr>
                    <w:r>
                      <w:rPr>
                        <w:rFonts w:ascii="Calibri"/>
                        <w:spacing w:val="-1"/>
                        <w:w w:val="105"/>
                        <w:sz w:val="6"/>
                      </w:rPr>
                      <w:t>15</w:t>
                    </w:r>
                  </w:p>
                </w:txbxContent>
              </v:textbox>
              <w10:wrap type="none"/>
            </v:shape>
            <v:shape style="position:absolute;left:7640;top:531;width:578;height:63" type="#_x0000_t202" filled="false" stroked="false">
              <v:textbox inset="0,0,0,0">
                <w:txbxContent>
                  <w:p>
                    <w:pPr>
                      <w:spacing w:line="63" w:lineRule="exact" w:before="0"/>
                      <w:ind w:left="0" w:right="-13" w:firstLine="0"/>
                      <w:jc w:val="left"/>
                      <w:rPr>
                        <w:rFonts w:ascii="Calibri" w:hAnsi="Calibri"/>
                        <w:sz w:val="6"/>
                      </w:rPr>
                    </w:pPr>
                    <w:r>
                      <w:rPr>
                        <w:rFonts w:ascii="Calibri" w:hAnsi="Calibri"/>
                        <w:w w:val="105"/>
                        <w:sz w:val="6"/>
                      </w:rPr>
                      <w:t>Formato</w:t>
                    </w:r>
                    <w:r>
                      <w:rPr>
                        <w:rFonts w:ascii="Calibri" w:hAnsi="Calibri"/>
                        <w:spacing w:val="-9"/>
                        <w:w w:val="105"/>
                        <w:sz w:val="6"/>
                      </w:rPr>
                      <w:t> </w:t>
                    </w:r>
                    <w:r>
                      <w:rPr>
                        <w:rFonts w:ascii="Calibri" w:hAnsi="Calibri"/>
                        <w:w w:val="105"/>
                        <w:sz w:val="6"/>
                      </w:rPr>
                      <w:t>de</w:t>
                    </w:r>
                    <w:r>
                      <w:rPr>
                        <w:rFonts w:ascii="Calibri" w:hAnsi="Calibri"/>
                        <w:spacing w:val="-8"/>
                        <w:w w:val="105"/>
                        <w:sz w:val="6"/>
                      </w:rPr>
                      <w:t> </w:t>
                    </w:r>
                    <w:r>
                      <w:rPr>
                        <w:rFonts w:ascii="Calibri" w:hAnsi="Calibri"/>
                        <w:w w:val="105"/>
                        <w:sz w:val="6"/>
                      </w:rPr>
                      <w:t>evaluación</w:t>
                    </w:r>
                  </w:p>
                </w:txbxContent>
              </v:textbox>
              <w10:wrap type="none"/>
            </v:shape>
            <v:shape style="position:absolute;left:8236;top:610;width:523;height:63" type="#_x0000_t202" filled="false" stroked="false">
              <v:textbox inset="0,0,0,0">
                <w:txbxContent>
                  <w:p>
                    <w:pPr>
                      <w:spacing w:line="63" w:lineRule="exact" w:before="0"/>
                      <w:ind w:left="0" w:right="-8" w:firstLine="0"/>
                      <w:jc w:val="left"/>
                      <w:rPr>
                        <w:rFonts w:ascii="Calibri" w:hAnsi="Calibri"/>
                        <w:b/>
                        <w:sz w:val="6"/>
                      </w:rPr>
                    </w:pPr>
                    <w:r>
                      <w:rPr>
                        <w:rFonts w:ascii="Calibri" w:hAnsi="Calibri"/>
                        <w:b/>
                        <w:w w:val="105"/>
                        <w:sz w:val="6"/>
                      </w:rPr>
                      <w:t>Medición Reactivos</w:t>
                    </w:r>
                  </w:p>
                </w:txbxContent>
              </v:textbox>
              <w10:wrap type="none"/>
            </v:shape>
            <v:shape style="position:absolute;left:13533;top:610;width:198;height:63" type="#_x0000_t202" filled="false" stroked="false">
              <v:textbox inset="0,0,0,0">
                <w:txbxContent>
                  <w:p>
                    <w:pPr>
                      <w:spacing w:line="63" w:lineRule="exact" w:before="0"/>
                      <w:ind w:left="0" w:right="-19" w:firstLine="0"/>
                      <w:jc w:val="left"/>
                      <w:rPr>
                        <w:rFonts w:ascii="Calibri"/>
                        <w:b/>
                        <w:sz w:val="6"/>
                      </w:rPr>
                    </w:pPr>
                    <w:r>
                      <w:rPr>
                        <w:rFonts w:ascii="Calibri"/>
                        <w:b/>
                        <w:w w:val="105"/>
                        <w:sz w:val="6"/>
                      </w:rPr>
                      <w:t>Valores</w:t>
                    </w:r>
                  </w:p>
                </w:txbxContent>
              </v:textbox>
              <w10:wrap type="none"/>
            </v:shape>
            <v:shape style="position:absolute;left:1805;top:943;width:414;height:63" type="#_x0000_t202" filled="false" stroked="false">
              <v:textbox inset="0,0,0,0">
                <w:txbxContent>
                  <w:p>
                    <w:pPr>
                      <w:spacing w:line="63" w:lineRule="exact" w:before="0"/>
                      <w:ind w:left="0" w:right="-8" w:firstLine="0"/>
                      <w:jc w:val="left"/>
                      <w:rPr>
                        <w:rFonts w:ascii="Calibri"/>
                        <w:sz w:val="6"/>
                      </w:rPr>
                    </w:pPr>
                    <w:r>
                      <w:rPr>
                        <w:rFonts w:ascii="Calibri"/>
                        <w:w w:val="105"/>
                        <w:sz w:val="6"/>
                      </w:rPr>
                      <w:t>1  Habitabilidad</w:t>
                    </w:r>
                  </w:p>
                </w:txbxContent>
              </v:textbox>
              <w10:wrap type="none"/>
            </v:shape>
            <v:shape style="position:absolute;left:2963;top:943;width:503;height:63" type="#_x0000_t202" filled="false" stroked="false">
              <v:textbox inset="0,0,0,0">
                <w:txbxContent>
                  <w:p>
                    <w:pPr>
                      <w:spacing w:line="63" w:lineRule="exact" w:before="0"/>
                      <w:ind w:left="0" w:right="-15" w:firstLine="0"/>
                      <w:jc w:val="left"/>
                      <w:rPr>
                        <w:rFonts w:ascii="Calibri"/>
                        <w:sz w:val="6"/>
                      </w:rPr>
                    </w:pPr>
                    <w:r>
                      <w:rPr>
                        <w:rFonts w:ascii="Calibri"/>
                        <w:w w:val="105"/>
                        <w:sz w:val="6"/>
                      </w:rPr>
                      <w:t>Espacios habitables</w:t>
                    </w:r>
                  </w:p>
                </w:txbxContent>
              </v:textbox>
              <w10:wrap type="none"/>
            </v:shape>
            <v:shape style="position:absolute;left:4204;top:943;width:1335;height:63" type="#_x0000_t202" filled="false" stroked="false">
              <v:textbox inset="0,0,0,0">
                <w:txbxContent>
                  <w:p>
                    <w:pPr>
                      <w:spacing w:line="63" w:lineRule="exact" w:before="0"/>
                      <w:ind w:left="0" w:right="0" w:firstLine="0"/>
                      <w:jc w:val="left"/>
                      <w:rPr>
                        <w:rFonts w:ascii="Calibri" w:hAnsi="Calibri"/>
                        <w:sz w:val="6"/>
                      </w:rPr>
                    </w:pPr>
                    <w:r>
                      <w:rPr>
                        <w:rFonts w:ascii="Calibri" w:hAnsi="Calibri"/>
                        <w:w w:val="105"/>
                        <w:sz w:val="6"/>
                      </w:rPr>
                      <w:t>¿Número</w:t>
                    </w:r>
                    <w:r>
                      <w:rPr>
                        <w:rFonts w:ascii="Calibri" w:hAnsi="Calibri"/>
                        <w:spacing w:val="-7"/>
                        <w:w w:val="105"/>
                        <w:sz w:val="6"/>
                      </w:rPr>
                      <w:t> </w:t>
                    </w:r>
                    <w:r>
                      <w:rPr>
                        <w:rFonts w:ascii="Calibri" w:hAnsi="Calibri"/>
                        <w:w w:val="105"/>
                        <w:sz w:val="6"/>
                      </w:rPr>
                      <w:t>de</w:t>
                    </w:r>
                    <w:r>
                      <w:rPr>
                        <w:rFonts w:ascii="Calibri" w:hAnsi="Calibri"/>
                        <w:spacing w:val="-6"/>
                        <w:w w:val="105"/>
                        <w:sz w:val="6"/>
                      </w:rPr>
                      <w:t> </w:t>
                    </w:r>
                    <w:r>
                      <w:rPr>
                        <w:rFonts w:ascii="Calibri" w:hAnsi="Calibri"/>
                        <w:w w:val="105"/>
                        <w:sz w:val="6"/>
                      </w:rPr>
                      <w:t>habitaciones</w:t>
                    </w:r>
                    <w:r>
                      <w:rPr>
                        <w:rFonts w:ascii="Calibri" w:hAnsi="Calibri"/>
                        <w:spacing w:val="-4"/>
                        <w:w w:val="105"/>
                        <w:sz w:val="6"/>
                      </w:rPr>
                      <w:t> </w:t>
                    </w:r>
                    <w:r>
                      <w:rPr>
                        <w:rFonts w:ascii="Calibri" w:hAnsi="Calibri"/>
                        <w:w w:val="105"/>
                        <w:sz w:val="6"/>
                      </w:rPr>
                      <w:t>en</w:t>
                    </w:r>
                    <w:r>
                      <w:rPr>
                        <w:rFonts w:ascii="Calibri" w:hAnsi="Calibri"/>
                        <w:spacing w:val="-7"/>
                        <w:w w:val="105"/>
                        <w:sz w:val="6"/>
                      </w:rPr>
                      <w:t> </w:t>
                    </w:r>
                    <w:r>
                      <w:rPr>
                        <w:rFonts w:ascii="Calibri" w:hAnsi="Calibri"/>
                        <w:w w:val="105"/>
                        <w:sz w:val="6"/>
                      </w:rPr>
                      <w:t>el</w:t>
                    </w:r>
                    <w:r>
                      <w:rPr>
                        <w:rFonts w:ascii="Calibri" w:hAnsi="Calibri"/>
                        <w:spacing w:val="-5"/>
                        <w:w w:val="105"/>
                        <w:sz w:val="6"/>
                      </w:rPr>
                      <w:t> </w:t>
                    </w:r>
                    <w:r>
                      <w:rPr>
                        <w:rFonts w:ascii="Calibri" w:hAnsi="Calibri"/>
                        <w:w w:val="105"/>
                        <w:sz w:val="6"/>
                      </w:rPr>
                      <w:t>prototipo</w:t>
                    </w:r>
                    <w:r>
                      <w:rPr>
                        <w:rFonts w:ascii="Calibri" w:hAnsi="Calibri"/>
                        <w:spacing w:val="-7"/>
                        <w:w w:val="105"/>
                        <w:sz w:val="6"/>
                      </w:rPr>
                      <w:t> </w:t>
                    </w:r>
                    <w:r>
                      <w:rPr>
                        <w:rFonts w:ascii="Calibri" w:hAnsi="Calibri"/>
                        <w:w w:val="105"/>
                        <w:sz w:val="6"/>
                      </w:rPr>
                      <w:t>más</w:t>
                    </w:r>
                    <w:r>
                      <w:rPr>
                        <w:rFonts w:ascii="Calibri" w:hAnsi="Calibri"/>
                        <w:spacing w:val="-4"/>
                        <w:w w:val="105"/>
                        <w:sz w:val="6"/>
                      </w:rPr>
                      <w:t> </w:t>
                    </w:r>
                    <w:r>
                      <w:rPr>
                        <w:rFonts w:ascii="Calibri" w:hAnsi="Calibri"/>
                        <w:w w:val="105"/>
                        <w:sz w:val="6"/>
                      </w:rPr>
                      <w:t>chico?</w:t>
                    </w:r>
                  </w:p>
                </w:txbxContent>
              </v:textbox>
              <w10:wrap type="none"/>
            </v:shape>
            <v:shape style="position:absolute;left:13415;top:943;width:113;height:63" type="#_x0000_t202" filled="false" stroked="false">
              <v:textbox inset="0,0,0,0">
                <w:txbxContent>
                  <w:p>
                    <w:pPr>
                      <w:spacing w:line="63" w:lineRule="exact" w:before="0"/>
                      <w:ind w:left="0" w:right="-18" w:firstLine="0"/>
                      <w:jc w:val="left"/>
                      <w:rPr>
                        <w:rFonts w:ascii="Calibri"/>
                        <w:sz w:val="6"/>
                      </w:rPr>
                    </w:pPr>
                    <w:r>
                      <w:rPr>
                        <w:rFonts w:ascii="Calibri"/>
                        <w:w w:val="105"/>
                        <w:sz w:val="6"/>
                      </w:rPr>
                      <w:t>Real</w:t>
                    </w:r>
                  </w:p>
                </w:txbxContent>
              </v:textbox>
              <w10:wrap type="none"/>
            </v:shape>
            <v:shape style="position:absolute;left:2963;top:1108;width:598;height:63" type="#_x0000_t202" filled="false" stroked="false">
              <v:textbox inset="0,0,0,0">
                <w:txbxContent>
                  <w:p>
                    <w:pPr>
                      <w:spacing w:line="63" w:lineRule="exact" w:before="0"/>
                      <w:ind w:left="0" w:right="0" w:firstLine="0"/>
                      <w:jc w:val="left"/>
                      <w:rPr>
                        <w:rFonts w:ascii="Calibri" w:hAnsi="Calibri"/>
                        <w:sz w:val="6"/>
                      </w:rPr>
                    </w:pPr>
                    <w:r>
                      <w:rPr>
                        <w:rFonts w:ascii="Calibri" w:hAnsi="Calibri"/>
                        <w:sz w:val="6"/>
                      </w:rPr>
                      <w:t>Metros de construcción</w:t>
                    </w:r>
                  </w:p>
                </w:txbxContent>
              </v:textbox>
              <w10:wrap type="none"/>
            </v:shape>
            <v:shape style="position:absolute;left:4204;top:1108;width:1570;height:63" type="#_x0000_t202" filled="false" stroked="false">
              <v:textbox inset="0,0,0,0">
                <w:txbxContent>
                  <w:p>
                    <w:pPr>
                      <w:spacing w:line="63" w:lineRule="exact" w:before="0"/>
                      <w:ind w:left="0" w:right="0" w:firstLine="0"/>
                      <w:jc w:val="left"/>
                      <w:rPr>
                        <w:rFonts w:ascii="Calibri" w:hAnsi="Calibri"/>
                        <w:sz w:val="6"/>
                      </w:rPr>
                    </w:pPr>
                    <w:r>
                      <w:rPr>
                        <w:rFonts w:ascii="Calibri" w:hAnsi="Calibri"/>
                        <w:w w:val="105"/>
                        <w:sz w:val="6"/>
                      </w:rPr>
                      <w:t>¿Metros</w:t>
                    </w:r>
                    <w:r>
                      <w:rPr>
                        <w:rFonts w:ascii="Calibri" w:hAnsi="Calibri"/>
                        <w:spacing w:val="-3"/>
                        <w:w w:val="105"/>
                        <w:sz w:val="6"/>
                      </w:rPr>
                      <w:t> </w:t>
                    </w:r>
                    <w:r>
                      <w:rPr>
                        <w:rFonts w:ascii="Calibri" w:hAnsi="Calibri"/>
                        <w:w w:val="105"/>
                        <w:sz w:val="6"/>
                      </w:rPr>
                      <w:t>cuadrados</w:t>
                    </w:r>
                    <w:r>
                      <w:rPr>
                        <w:rFonts w:ascii="Calibri" w:hAnsi="Calibri"/>
                        <w:spacing w:val="-3"/>
                        <w:w w:val="105"/>
                        <w:sz w:val="6"/>
                      </w:rPr>
                      <w:t> </w:t>
                    </w:r>
                    <w:r>
                      <w:rPr>
                        <w:rFonts w:ascii="Calibri" w:hAnsi="Calibri"/>
                        <w:w w:val="105"/>
                        <w:sz w:val="6"/>
                      </w:rPr>
                      <w:t>de</w:t>
                    </w:r>
                    <w:r>
                      <w:rPr>
                        <w:rFonts w:ascii="Calibri" w:hAnsi="Calibri"/>
                        <w:spacing w:val="-5"/>
                        <w:w w:val="105"/>
                        <w:sz w:val="6"/>
                      </w:rPr>
                      <w:t> </w:t>
                    </w:r>
                    <w:r>
                      <w:rPr>
                        <w:rFonts w:ascii="Calibri" w:hAnsi="Calibri"/>
                        <w:w w:val="105"/>
                        <w:sz w:val="6"/>
                      </w:rPr>
                      <w:t>construcción</w:t>
                    </w:r>
                    <w:r>
                      <w:rPr>
                        <w:rFonts w:ascii="Calibri" w:hAnsi="Calibri"/>
                        <w:spacing w:val="-6"/>
                        <w:w w:val="105"/>
                        <w:sz w:val="6"/>
                      </w:rPr>
                      <w:t> </w:t>
                    </w:r>
                    <w:r>
                      <w:rPr>
                        <w:rFonts w:ascii="Calibri" w:hAnsi="Calibri"/>
                        <w:w w:val="105"/>
                        <w:sz w:val="6"/>
                      </w:rPr>
                      <w:t>de</w:t>
                    </w:r>
                    <w:r>
                      <w:rPr>
                        <w:rFonts w:ascii="Calibri" w:hAnsi="Calibri"/>
                        <w:spacing w:val="-5"/>
                        <w:w w:val="105"/>
                        <w:sz w:val="6"/>
                      </w:rPr>
                      <w:t> </w:t>
                    </w:r>
                    <w:r>
                      <w:rPr>
                        <w:rFonts w:ascii="Calibri" w:hAnsi="Calibri"/>
                        <w:w w:val="105"/>
                        <w:sz w:val="6"/>
                      </w:rPr>
                      <w:t>la</w:t>
                    </w:r>
                    <w:r>
                      <w:rPr>
                        <w:rFonts w:ascii="Calibri" w:hAnsi="Calibri"/>
                        <w:spacing w:val="-4"/>
                        <w:w w:val="105"/>
                        <w:sz w:val="6"/>
                      </w:rPr>
                      <w:t> </w:t>
                    </w:r>
                    <w:r>
                      <w:rPr>
                        <w:rFonts w:ascii="Calibri" w:hAnsi="Calibri"/>
                        <w:w w:val="105"/>
                        <w:sz w:val="6"/>
                      </w:rPr>
                      <w:t>vivienda</w:t>
                    </w:r>
                    <w:r>
                      <w:rPr>
                        <w:rFonts w:ascii="Calibri" w:hAnsi="Calibri"/>
                        <w:spacing w:val="-4"/>
                        <w:w w:val="105"/>
                        <w:sz w:val="6"/>
                      </w:rPr>
                      <w:t> </w:t>
                    </w:r>
                    <w:r>
                      <w:rPr>
                        <w:rFonts w:ascii="Calibri" w:hAnsi="Calibri"/>
                        <w:w w:val="105"/>
                        <w:sz w:val="6"/>
                      </w:rPr>
                      <w:t>más</w:t>
                    </w:r>
                    <w:r>
                      <w:rPr>
                        <w:rFonts w:ascii="Calibri" w:hAnsi="Calibri"/>
                        <w:spacing w:val="-3"/>
                        <w:w w:val="105"/>
                        <w:sz w:val="6"/>
                      </w:rPr>
                      <w:t> </w:t>
                    </w:r>
                    <w:r>
                      <w:rPr>
                        <w:rFonts w:ascii="Calibri" w:hAnsi="Calibri"/>
                        <w:w w:val="105"/>
                        <w:sz w:val="6"/>
                      </w:rPr>
                      <w:t>chica?</w:t>
                    </w:r>
                  </w:p>
                </w:txbxContent>
              </v:textbox>
              <w10:wrap type="none"/>
            </v:shape>
            <v:shape style="position:absolute;left:2963;top:1273;width:461;height:63" type="#_x0000_t202" filled="false" stroked="false">
              <v:textbox inset="0,0,0,0">
                <w:txbxContent>
                  <w:p>
                    <w:pPr>
                      <w:spacing w:line="63" w:lineRule="exact" w:before="0"/>
                      <w:ind w:left="0" w:right="-10" w:firstLine="0"/>
                      <w:jc w:val="left"/>
                      <w:rPr>
                        <w:rFonts w:ascii="Calibri"/>
                        <w:sz w:val="6"/>
                      </w:rPr>
                    </w:pPr>
                    <w:r>
                      <w:rPr>
                        <w:rFonts w:ascii="Calibri"/>
                        <w:sz w:val="6"/>
                      </w:rPr>
                      <w:t>Metros de terreno</w:t>
                    </w:r>
                  </w:p>
                </w:txbxContent>
              </v:textbox>
              <w10:wrap type="none"/>
            </v:shape>
            <v:shape style="position:absolute;left:4204;top:1273;width:1520;height:63" type="#_x0000_t202" filled="false" stroked="false">
              <v:textbox inset="0,0,0,0">
                <w:txbxContent>
                  <w:p>
                    <w:pPr>
                      <w:spacing w:line="63" w:lineRule="exact" w:before="0"/>
                      <w:ind w:left="0" w:right="0" w:firstLine="0"/>
                      <w:jc w:val="left"/>
                      <w:rPr>
                        <w:rFonts w:ascii="Calibri" w:hAnsi="Calibri"/>
                        <w:sz w:val="6"/>
                      </w:rPr>
                    </w:pPr>
                    <w:r>
                      <w:rPr>
                        <w:rFonts w:ascii="Calibri" w:hAnsi="Calibri"/>
                        <w:w w:val="105"/>
                        <w:sz w:val="6"/>
                      </w:rPr>
                      <w:t>¿Metros</w:t>
                    </w:r>
                    <w:r>
                      <w:rPr>
                        <w:rFonts w:ascii="Calibri" w:hAnsi="Calibri"/>
                        <w:spacing w:val="-4"/>
                        <w:w w:val="105"/>
                        <w:sz w:val="6"/>
                      </w:rPr>
                      <w:t> </w:t>
                    </w:r>
                    <w:r>
                      <w:rPr>
                        <w:rFonts w:ascii="Calibri" w:hAnsi="Calibri"/>
                        <w:w w:val="105"/>
                        <w:sz w:val="6"/>
                      </w:rPr>
                      <w:t>cuadrados</w:t>
                    </w:r>
                    <w:r>
                      <w:rPr>
                        <w:rFonts w:ascii="Calibri" w:hAnsi="Calibri"/>
                        <w:spacing w:val="-4"/>
                        <w:w w:val="105"/>
                        <w:sz w:val="6"/>
                      </w:rPr>
                      <w:t> </w:t>
                    </w:r>
                    <w:r>
                      <w:rPr>
                        <w:rFonts w:ascii="Calibri" w:hAnsi="Calibri"/>
                        <w:w w:val="105"/>
                        <w:sz w:val="6"/>
                      </w:rPr>
                      <w:t>de</w:t>
                    </w:r>
                    <w:r>
                      <w:rPr>
                        <w:rFonts w:ascii="Calibri" w:hAnsi="Calibri"/>
                        <w:spacing w:val="-5"/>
                        <w:w w:val="105"/>
                        <w:sz w:val="6"/>
                      </w:rPr>
                      <w:t> </w:t>
                    </w:r>
                    <w:r>
                      <w:rPr>
                        <w:rFonts w:ascii="Calibri" w:hAnsi="Calibri"/>
                        <w:w w:val="105"/>
                        <w:sz w:val="6"/>
                      </w:rPr>
                      <w:t>terreno</w:t>
                    </w:r>
                    <w:r>
                      <w:rPr>
                        <w:rFonts w:ascii="Calibri" w:hAnsi="Calibri"/>
                        <w:spacing w:val="-7"/>
                        <w:w w:val="105"/>
                        <w:sz w:val="6"/>
                      </w:rPr>
                      <w:t> </w:t>
                    </w:r>
                    <w:r>
                      <w:rPr>
                        <w:rFonts w:ascii="Calibri" w:hAnsi="Calibri"/>
                        <w:w w:val="105"/>
                        <w:sz w:val="6"/>
                      </w:rPr>
                      <w:t>de</w:t>
                    </w:r>
                    <w:r>
                      <w:rPr>
                        <w:rFonts w:ascii="Calibri" w:hAnsi="Calibri"/>
                        <w:spacing w:val="-5"/>
                        <w:w w:val="105"/>
                        <w:sz w:val="6"/>
                      </w:rPr>
                      <w:t> </w:t>
                    </w:r>
                    <w:r>
                      <w:rPr>
                        <w:rFonts w:ascii="Calibri" w:hAnsi="Calibri"/>
                        <w:w w:val="105"/>
                        <w:sz w:val="6"/>
                      </w:rPr>
                      <w:t>la</w:t>
                    </w:r>
                    <w:r>
                      <w:rPr>
                        <w:rFonts w:ascii="Calibri" w:hAnsi="Calibri"/>
                        <w:spacing w:val="-5"/>
                        <w:w w:val="105"/>
                        <w:sz w:val="6"/>
                      </w:rPr>
                      <w:t> </w:t>
                    </w:r>
                    <w:r>
                      <w:rPr>
                        <w:rFonts w:ascii="Calibri" w:hAnsi="Calibri"/>
                        <w:w w:val="105"/>
                        <w:sz w:val="6"/>
                      </w:rPr>
                      <w:t>vivienda</w:t>
                    </w:r>
                    <w:r>
                      <w:rPr>
                        <w:rFonts w:ascii="Calibri" w:hAnsi="Calibri"/>
                        <w:spacing w:val="-5"/>
                        <w:w w:val="105"/>
                        <w:sz w:val="6"/>
                      </w:rPr>
                      <w:t> </w:t>
                    </w:r>
                    <w:r>
                      <w:rPr>
                        <w:rFonts w:ascii="Calibri" w:hAnsi="Calibri"/>
                        <w:w w:val="105"/>
                        <w:sz w:val="6"/>
                      </w:rPr>
                      <w:t>más</w:t>
                    </w:r>
                    <w:r>
                      <w:rPr>
                        <w:rFonts w:ascii="Calibri" w:hAnsi="Calibri"/>
                        <w:spacing w:val="-4"/>
                        <w:w w:val="105"/>
                        <w:sz w:val="6"/>
                      </w:rPr>
                      <w:t> </w:t>
                    </w:r>
                    <w:r>
                      <w:rPr>
                        <w:rFonts w:ascii="Calibri" w:hAnsi="Calibri"/>
                        <w:w w:val="105"/>
                        <w:sz w:val="6"/>
                      </w:rPr>
                      <w:t>pequeña?</w:t>
                    </w:r>
                  </w:p>
                </w:txbxContent>
              </v:textbox>
              <w10:wrap type="none"/>
            </v:shape>
            <v:shape style="position:absolute;left:2963;top:1356;width:5388;height:146" type="#_x0000_t202" filled="false" stroked="false">
              <v:textbox inset="0,0,0,0">
                <w:txbxContent>
                  <w:p>
                    <w:pPr>
                      <w:tabs>
                        <w:tab w:pos="1189" w:val="left" w:leader="none"/>
                      </w:tabs>
                      <w:spacing w:line="65" w:lineRule="exact" w:before="0"/>
                      <w:ind w:left="0" w:right="68" w:firstLine="0"/>
                      <w:jc w:val="right"/>
                      <w:rPr>
                        <w:rFonts w:ascii="Calibri"/>
                        <w:sz w:val="6"/>
                      </w:rPr>
                    </w:pPr>
                    <w:r>
                      <w:rPr>
                        <w:rFonts w:ascii="Calibri"/>
                        <w:w w:val="105"/>
                        <w:sz w:val="6"/>
                      </w:rPr>
                      <w:t>0</w:t>
                      <w:tab/>
                    </w:r>
                    <w:r>
                      <w:rPr>
                        <w:rFonts w:ascii="Calibri"/>
                        <w:spacing w:val="-2"/>
                        <w:w w:val="105"/>
                        <w:sz w:val="6"/>
                      </w:rPr>
                      <w:t>0.6</w:t>
                    </w:r>
                  </w:p>
                  <w:p>
                    <w:pPr>
                      <w:tabs>
                        <w:tab w:pos="3910" w:val="left" w:leader="none"/>
                        <w:tab w:pos="5166" w:val="left" w:leader="none"/>
                      </w:tabs>
                      <w:spacing w:line="71" w:lineRule="exact" w:before="9"/>
                      <w:ind w:left="0" w:right="0" w:firstLine="0"/>
                      <w:jc w:val="right"/>
                      <w:rPr>
                        <w:rFonts w:ascii="Calibri" w:hAnsi="Calibri"/>
                        <w:sz w:val="6"/>
                      </w:rPr>
                    </w:pPr>
                    <w:r>
                      <w:rPr>
                        <w:rFonts w:ascii="Calibri" w:hAnsi="Calibri"/>
                        <w:w w:val="105"/>
                        <w:sz w:val="6"/>
                      </w:rPr>
                      <w:t>Hacinamiento no. de habitaciones por persona</w:t>
                    </w:r>
                    <w:r>
                      <w:rPr>
                        <w:rFonts w:ascii="Calibri" w:hAnsi="Calibri"/>
                        <w:spacing w:val="-1"/>
                        <w:w w:val="105"/>
                        <w:sz w:val="6"/>
                      </w:rPr>
                      <w:t> </w:t>
                    </w:r>
                    <w:r>
                      <w:rPr>
                        <w:rFonts w:ascii="Calibri" w:hAnsi="Calibri"/>
                        <w:w w:val="105"/>
                        <w:sz w:val="6"/>
                      </w:rPr>
                      <w:t>¿Número de habitaciones por</w:t>
                    </w:r>
                    <w:r>
                      <w:rPr>
                        <w:rFonts w:ascii="Calibri" w:hAnsi="Calibri"/>
                        <w:spacing w:val="-6"/>
                        <w:w w:val="105"/>
                        <w:sz w:val="6"/>
                      </w:rPr>
                      <w:t> </w:t>
                    </w:r>
                    <w:r>
                      <w:rPr>
                        <w:rFonts w:ascii="Calibri" w:hAnsi="Calibri"/>
                        <w:w w:val="105"/>
                        <w:sz w:val="6"/>
                      </w:rPr>
                      <w:t>persona?</w:t>
                      <w:tab/>
                      <w:t>2.4</w:t>
                    </w:r>
                    <w:r>
                      <w:rPr>
                        <w:rFonts w:ascii="Calibri" w:hAnsi="Calibri"/>
                        <w:spacing w:val="-3"/>
                        <w:w w:val="105"/>
                        <w:sz w:val="6"/>
                      </w:rPr>
                      <w:t> </w:t>
                    </w:r>
                    <w:r>
                      <w:rPr>
                        <w:rFonts w:ascii="Calibri" w:hAnsi="Calibri"/>
                        <w:w w:val="105"/>
                        <w:sz w:val="6"/>
                      </w:rPr>
                      <w:t>ó</w:t>
                    </w:r>
                    <w:r>
                      <w:rPr>
                        <w:rFonts w:ascii="Calibri" w:hAnsi="Calibri"/>
                        <w:spacing w:val="-3"/>
                        <w:w w:val="105"/>
                        <w:sz w:val="6"/>
                      </w:rPr>
                      <w:t> </w:t>
                    </w:r>
                    <w:r>
                      <w:rPr>
                        <w:rFonts w:ascii="Calibri" w:hAnsi="Calibri"/>
                        <w:w w:val="105"/>
                        <w:sz w:val="6"/>
                      </w:rPr>
                      <w:t>menos</w:t>
                      <w:tab/>
                      <w:t>2.5 a</w:t>
                    </w:r>
                    <w:r>
                      <w:rPr>
                        <w:rFonts w:ascii="Calibri" w:hAnsi="Calibri"/>
                        <w:spacing w:val="-3"/>
                        <w:w w:val="105"/>
                        <w:sz w:val="6"/>
                      </w:rPr>
                      <w:t> </w:t>
                    </w:r>
                    <w:r>
                      <w:rPr>
                        <w:rFonts w:ascii="Calibri" w:hAnsi="Calibri"/>
                        <w:w w:val="105"/>
                        <w:sz w:val="6"/>
                      </w:rPr>
                      <w:t>4.9</w:t>
                    </w:r>
                  </w:p>
                </w:txbxContent>
              </v:textbox>
              <w10:wrap type="none"/>
            </v:shape>
            <v:shape style="position:absolute;left:12964;top:1520;width:207;height:146" type="#_x0000_t202" filled="false" stroked="false">
              <v:textbox inset="0,0,0,0">
                <w:txbxContent>
                  <w:p>
                    <w:pPr>
                      <w:spacing w:line="65" w:lineRule="exact" w:before="0"/>
                      <w:ind w:left="0" w:right="0" w:firstLine="0"/>
                      <w:jc w:val="center"/>
                      <w:rPr>
                        <w:rFonts w:ascii="Calibri"/>
                        <w:sz w:val="6"/>
                      </w:rPr>
                    </w:pPr>
                    <w:r>
                      <w:rPr>
                        <w:rFonts w:ascii="Calibri"/>
                        <w:w w:val="104"/>
                        <w:sz w:val="6"/>
                      </w:rPr>
                      <w:t>1</w:t>
                    </w:r>
                  </w:p>
                  <w:p>
                    <w:pPr>
                      <w:spacing w:line="71" w:lineRule="exact" w:before="9"/>
                      <w:ind w:left="0" w:right="0" w:firstLine="0"/>
                      <w:jc w:val="center"/>
                      <w:rPr>
                        <w:rFonts w:ascii="Calibri"/>
                        <w:sz w:val="6"/>
                      </w:rPr>
                    </w:pPr>
                    <w:r>
                      <w:rPr>
                        <w:rFonts w:ascii="Calibri"/>
                        <w:spacing w:val="-2"/>
                        <w:w w:val="105"/>
                        <w:sz w:val="6"/>
                      </w:rPr>
                      <w:t>Subtotal</w:t>
                    </w:r>
                  </w:p>
                </w:txbxContent>
              </v:textbox>
              <w10:wrap type="none"/>
            </v:shape>
            <v:shape style="position:absolute;left:13435;top:1603;width:80;height:63" type="#_x0000_t202" filled="false" stroked="false">
              <v:textbox inset="0,0,0,0">
                <w:txbxContent>
                  <w:p>
                    <w:pPr>
                      <w:spacing w:line="63" w:lineRule="exact" w:before="0"/>
                      <w:ind w:left="0" w:right="-20" w:firstLine="0"/>
                      <w:jc w:val="left"/>
                      <w:rPr>
                        <w:rFonts w:ascii="Calibri"/>
                        <w:sz w:val="6"/>
                      </w:rPr>
                    </w:pPr>
                    <w:r>
                      <w:rPr>
                        <w:rFonts w:ascii="Calibri"/>
                        <w:w w:val="105"/>
                        <w:sz w:val="6"/>
                      </w:rPr>
                      <w:t>3.3</w:t>
                    </w:r>
                  </w:p>
                </w:txbxContent>
              </v:textbox>
              <w10:wrap type="none"/>
            </v:shape>
            <v:shape style="position:absolute;left:13780;top:1520;width:80;height:146" type="#_x0000_t202" filled="false" stroked="false">
              <v:textbox inset="0,0,0,0">
                <w:txbxContent>
                  <w:p>
                    <w:pPr>
                      <w:spacing w:line="65" w:lineRule="exact" w:before="0"/>
                      <w:ind w:left="0" w:right="-20" w:firstLine="0"/>
                      <w:jc w:val="left"/>
                      <w:rPr>
                        <w:rFonts w:ascii="Calibri"/>
                        <w:sz w:val="6"/>
                      </w:rPr>
                    </w:pPr>
                    <w:r>
                      <w:rPr>
                        <w:rFonts w:ascii="Calibri"/>
                        <w:w w:val="105"/>
                        <w:sz w:val="6"/>
                      </w:rPr>
                      <w:t>0.5</w:t>
                    </w:r>
                  </w:p>
                  <w:p>
                    <w:pPr>
                      <w:spacing w:line="71" w:lineRule="exact" w:before="9"/>
                      <w:ind w:left="0" w:right="-20" w:firstLine="0"/>
                      <w:jc w:val="left"/>
                      <w:rPr>
                        <w:rFonts w:ascii="Calibri"/>
                        <w:sz w:val="6"/>
                      </w:rPr>
                    </w:pPr>
                    <w:r>
                      <w:rPr>
                        <w:rFonts w:ascii="Calibri"/>
                        <w:w w:val="105"/>
                        <w:sz w:val="6"/>
                      </w:rPr>
                      <w:t>2.9</w:t>
                    </w:r>
                  </w:p>
                </w:txbxContent>
              </v:textbox>
              <w10:wrap type="none"/>
            </v:shape>
            <v:shape style="position:absolute;left:14149;top:1520;width:32;height:146" type="#_x0000_t202" filled="false" stroked="false">
              <v:textbox inset="0,0,0,0">
                <w:txbxContent>
                  <w:p>
                    <w:pPr>
                      <w:spacing w:line="65" w:lineRule="exact" w:before="0"/>
                      <w:ind w:left="0" w:right="0" w:firstLine="0"/>
                      <w:jc w:val="left"/>
                      <w:rPr>
                        <w:rFonts w:ascii="Calibri"/>
                        <w:sz w:val="6"/>
                      </w:rPr>
                    </w:pPr>
                    <w:r>
                      <w:rPr>
                        <w:rFonts w:ascii="Calibri"/>
                        <w:w w:val="104"/>
                        <w:sz w:val="6"/>
                      </w:rPr>
                      <w:t>1</w:t>
                    </w:r>
                  </w:p>
                  <w:p>
                    <w:pPr>
                      <w:spacing w:line="71" w:lineRule="exact" w:before="9"/>
                      <w:ind w:left="0" w:right="0" w:firstLine="0"/>
                      <w:jc w:val="left"/>
                      <w:rPr>
                        <w:rFonts w:ascii="Calibri"/>
                        <w:sz w:val="6"/>
                      </w:rPr>
                    </w:pPr>
                    <w:r>
                      <w:rPr>
                        <w:rFonts w:ascii="Calibri"/>
                        <w:w w:val="104"/>
                        <w:sz w:val="6"/>
                      </w:rPr>
                      <w:t>4</w:t>
                    </w:r>
                  </w:p>
                </w:txbxContent>
              </v:textbox>
              <w10:wrap type="none"/>
            </v:shape>
            <v:shape style="position:absolute;left:1805;top:1768;width:664;height:63" type="#_x0000_t202" filled="false" stroked="false">
              <v:textbox inset="0,0,0,0">
                <w:txbxContent>
                  <w:p>
                    <w:pPr>
                      <w:spacing w:line="63" w:lineRule="exact" w:before="0"/>
                      <w:ind w:left="0" w:right="-13" w:firstLine="0"/>
                      <w:jc w:val="left"/>
                      <w:rPr>
                        <w:rFonts w:ascii="Calibri"/>
                        <w:sz w:val="6"/>
                      </w:rPr>
                    </w:pPr>
                    <w:r>
                      <w:rPr>
                        <w:rFonts w:ascii="Calibri"/>
                        <w:w w:val="105"/>
                        <w:sz w:val="6"/>
                      </w:rPr>
                      <w:t>2  Oportunidades</w:t>
                    </w:r>
                    <w:r>
                      <w:rPr>
                        <w:rFonts w:ascii="Calibri"/>
                        <w:spacing w:val="-9"/>
                        <w:w w:val="105"/>
                        <w:sz w:val="6"/>
                      </w:rPr>
                      <w:t> </w:t>
                    </w:r>
                    <w:r>
                      <w:rPr>
                        <w:rFonts w:ascii="Calibri"/>
                        <w:w w:val="105"/>
                        <w:sz w:val="6"/>
                      </w:rPr>
                      <w:t>urbanas</w:t>
                    </w:r>
                  </w:p>
                </w:txbxContent>
              </v:textbox>
              <w10:wrap type="none"/>
            </v:shape>
            <v:shape style="position:absolute;left:2963;top:1768;width:190;height:63" type="#_x0000_t202" filled="false" stroked="false">
              <v:textbox inset="0,0,0,0">
                <w:txbxContent>
                  <w:p>
                    <w:pPr>
                      <w:spacing w:line="63" w:lineRule="exact" w:before="0"/>
                      <w:ind w:left="0" w:right="-18" w:firstLine="0"/>
                      <w:jc w:val="left"/>
                      <w:rPr>
                        <w:rFonts w:ascii="Calibri"/>
                        <w:sz w:val="6"/>
                      </w:rPr>
                    </w:pPr>
                    <w:r>
                      <w:rPr>
                        <w:rFonts w:ascii="Calibri"/>
                        <w:spacing w:val="-1"/>
                        <w:w w:val="105"/>
                        <w:sz w:val="6"/>
                      </w:rPr>
                      <w:t>Empleo</w:t>
                    </w:r>
                  </w:p>
                </w:txbxContent>
              </v:textbox>
              <w10:wrap type="none"/>
            </v:shape>
            <v:shape style="position:absolute;left:4204;top:1768;width:1523;height:63" type="#_x0000_t202" filled="false" stroked="false">
              <v:textbox inset="0,0,0,0">
                <w:txbxContent>
                  <w:p>
                    <w:pPr>
                      <w:spacing w:line="63" w:lineRule="exact" w:before="0"/>
                      <w:ind w:left="0" w:right="0" w:firstLine="0"/>
                      <w:jc w:val="left"/>
                      <w:rPr>
                        <w:rFonts w:ascii="Calibri" w:hAnsi="Calibri"/>
                        <w:sz w:val="6"/>
                      </w:rPr>
                    </w:pPr>
                    <w:r>
                      <w:rPr>
                        <w:rFonts w:ascii="Calibri" w:hAnsi="Calibri"/>
                        <w:w w:val="105"/>
                        <w:sz w:val="6"/>
                      </w:rPr>
                      <w:t>¿El</w:t>
                    </w:r>
                    <w:r>
                      <w:rPr>
                        <w:rFonts w:ascii="Calibri" w:hAnsi="Calibri"/>
                        <w:spacing w:val="-3"/>
                        <w:w w:val="105"/>
                        <w:sz w:val="6"/>
                      </w:rPr>
                      <w:t> </w:t>
                    </w:r>
                    <w:r>
                      <w:rPr>
                        <w:rFonts w:ascii="Calibri" w:hAnsi="Calibri"/>
                        <w:w w:val="105"/>
                        <w:sz w:val="6"/>
                      </w:rPr>
                      <w:t>CU</w:t>
                    </w:r>
                    <w:r>
                      <w:rPr>
                        <w:rFonts w:ascii="Calibri" w:hAnsi="Calibri"/>
                        <w:spacing w:val="-4"/>
                        <w:w w:val="105"/>
                        <w:sz w:val="6"/>
                      </w:rPr>
                      <w:t> </w:t>
                    </w:r>
                    <w:r>
                      <w:rPr>
                        <w:rFonts w:ascii="Calibri" w:hAnsi="Calibri"/>
                        <w:w w:val="105"/>
                        <w:sz w:val="6"/>
                      </w:rPr>
                      <w:t>se</w:t>
                    </w:r>
                    <w:r>
                      <w:rPr>
                        <w:rFonts w:ascii="Calibri" w:hAnsi="Calibri"/>
                        <w:spacing w:val="-4"/>
                        <w:w w:val="105"/>
                        <w:sz w:val="6"/>
                      </w:rPr>
                      <w:t> </w:t>
                    </w:r>
                    <w:r>
                      <w:rPr>
                        <w:rFonts w:ascii="Calibri" w:hAnsi="Calibri"/>
                        <w:w w:val="105"/>
                        <w:sz w:val="6"/>
                      </w:rPr>
                      <w:t>encuentra</w:t>
                    </w:r>
                    <w:r>
                      <w:rPr>
                        <w:rFonts w:ascii="Calibri" w:hAnsi="Calibri"/>
                        <w:spacing w:val="-3"/>
                        <w:w w:val="105"/>
                        <w:sz w:val="6"/>
                      </w:rPr>
                      <w:t> </w:t>
                    </w:r>
                    <w:r>
                      <w:rPr>
                        <w:rFonts w:ascii="Calibri" w:hAnsi="Calibri"/>
                        <w:w w:val="105"/>
                        <w:sz w:val="6"/>
                      </w:rPr>
                      <w:t>dentro</w:t>
                    </w:r>
                    <w:r>
                      <w:rPr>
                        <w:rFonts w:ascii="Calibri" w:hAnsi="Calibri"/>
                        <w:spacing w:val="-5"/>
                        <w:w w:val="105"/>
                        <w:sz w:val="6"/>
                      </w:rPr>
                      <w:t> </w:t>
                    </w:r>
                    <w:r>
                      <w:rPr>
                        <w:rFonts w:ascii="Calibri" w:hAnsi="Calibri"/>
                        <w:w w:val="105"/>
                        <w:sz w:val="6"/>
                      </w:rPr>
                      <w:t>del</w:t>
                    </w:r>
                    <w:r>
                      <w:rPr>
                        <w:rFonts w:ascii="Calibri" w:hAnsi="Calibri"/>
                        <w:spacing w:val="-3"/>
                        <w:w w:val="105"/>
                        <w:sz w:val="6"/>
                      </w:rPr>
                      <w:t> </w:t>
                    </w:r>
                    <w:r>
                      <w:rPr>
                        <w:rFonts w:ascii="Calibri" w:hAnsi="Calibri"/>
                        <w:w w:val="105"/>
                        <w:sz w:val="6"/>
                      </w:rPr>
                      <w:t>poligono</w:t>
                    </w:r>
                    <w:r>
                      <w:rPr>
                        <w:rFonts w:ascii="Calibri" w:hAnsi="Calibri"/>
                        <w:spacing w:val="-5"/>
                        <w:w w:val="105"/>
                        <w:sz w:val="6"/>
                      </w:rPr>
                      <w:t> </w:t>
                    </w:r>
                    <w:r>
                      <w:rPr>
                        <w:rFonts w:ascii="Calibri" w:hAnsi="Calibri"/>
                        <w:w w:val="105"/>
                        <w:sz w:val="6"/>
                      </w:rPr>
                      <w:t>de</w:t>
                    </w:r>
                    <w:r>
                      <w:rPr>
                        <w:rFonts w:ascii="Calibri" w:hAnsi="Calibri"/>
                        <w:spacing w:val="-4"/>
                        <w:w w:val="105"/>
                        <w:sz w:val="6"/>
                      </w:rPr>
                      <w:t> </w:t>
                    </w:r>
                    <w:r>
                      <w:rPr>
                        <w:rFonts w:ascii="Calibri" w:hAnsi="Calibri"/>
                        <w:w w:val="105"/>
                        <w:sz w:val="6"/>
                      </w:rPr>
                      <w:t>contención</w:t>
                    </w:r>
                    <w:r>
                      <w:rPr>
                        <w:rFonts w:ascii="Calibri" w:hAnsi="Calibri"/>
                        <w:spacing w:val="-5"/>
                        <w:w w:val="105"/>
                        <w:sz w:val="6"/>
                      </w:rPr>
                      <w:t> </w:t>
                    </w:r>
                    <w:r>
                      <w:rPr>
                        <w:rFonts w:ascii="Calibri" w:hAnsi="Calibri"/>
                        <w:w w:val="105"/>
                        <w:sz w:val="6"/>
                      </w:rPr>
                      <w:t>U1</w:t>
                    </w:r>
                    <w:r>
                      <w:rPr>
                        <w:rFonts w:ascii="Calibri" w:hAnsi="Calibri"/>
                        <w:spacing w:val="-4"/>
                        <w:w w:val="105"/>
                        <w:sz w:val="6"/>
                      </w:rPr>
                      <w:t> </w:t>
                    </w:r>
                    <w:r>
                      <w:rPr>
                        <w:rFonts w:ascii="Calibri" w:hAnsi="Calibri"/>
                        <w:w w:val="105"/>
                        <w:sz w:val="6"/>
                      </w:rPr>
                      <w:t>?</w:t>
                    </w:r>
                  </w:p>
                </w:txbxContent>
              </v:textbox>
              <w10:wrap type="none"/>
            </v:shape>
            <v:shape style="position:absolute;left:2963;top:1932;width:261;height:63" type="#_x0000_t202" filled="false" stroked="false">
              <v:textbox inset="0,0,0,0">
                <w:txbxContent>
                  <w:p>
                    <w:pPr>
                      <w:spacing w:line="63" w:lineRule="exact" w:before="0"/>
                      <w:ind w:left="0" w:right="-12" w:firstLine="0"/>
                      <w:jc w:val="left"/>
                      <w:rPr>
                        <w:rFonts w:ascii="Calibri" w:hAnsi="Calibri"/>
                        <w:sz w:val="6"/>
                      </w:rPr>
                    </w:pPr>
                    <w:r>
                      <w:rPr>
                        <w:rFonts w:ascii="Calibri" w:hAnsi="Calibri"/>
                        <w:spacing w:val="-1"/>
                        <w:w w:val="105"/>
                        <w:sz w:val="6"/>
                      </w:rPr>
                      <w:t>Educación</w:t>
                    </w:r>
                  </w:p>
                </w:txbxContent>
              </v:textbox>
              <w10:wrap type="none"/>
            </v:shape>
            <v:shape style="position:absolute;left:4204;top:1932;width:1064;height:63" type="#_x0000_t202" filled="false" stroked="false">
              <v:textbox inset="0,0,0,0">
                <w:txbxContent>
                  <w:p>
                    <w:pPr>
                      <w:spacing w:line="63" w:lineRule="exact" w:before="0"/>
                      <w:ind w:left="0" w:right="-15" w:firstLine="0"/>
                      <w:jc w:val="left"/>
                      <w:rPr>
                        <w:rFonts w:ascii="Calibri" w:hAnsi="Calibri"/>
                        <w:sz w:val="6"/>
                      </w:rPr>
                    </w:pPr>
                    <w:r>
                      <w:rPr>
                        <w:rFonts w:ascii="Calibri" w:hAnsi="Calibri"/>
                        <w:w w:val="105"/>
                        <w:sz w:val="6"/>
                      </w:rPr>
                      <w:t>¿A qué distancia se encuentran escuelas?</w:t>
                    </w:r>
                  </w:p>
                </w:txbxContent>
              </v:textbox>
              <w10:wrap type="none"/>
            </v:shape>
            <v:shape style="position:absolute;left:2963;top:2097;width:139;height:63" type="#_x0000_t202" filled="false" stroked="false">
              <v:textbox inset="0,0,0,0">
                <w:txbxContent>
                  <w:p>
                    <w:pPr>
                      <w:spacing w:line="63" w:lineRule="exact" w:before="0"/>
                      <w:ind w:left="0" w:right="-16" w:firstLine="0"/>
                      <w:jc w:val="left"/>
                      <w:rPr>
                        <w:rFonts w:ascii="Calibri"/>
                        <w:sz w:val="6"/>
                      </w:rPr>
                    </w:pPr>
                    <w:r>
                      <w:rPr>
                        <w:rFonts w:ascii="Calibri"/>
                        <w:spacing w:val="-1"/>
                        <w:w w:val="105"/>
                        <w:sz w:val="6"/>
                      </w:rPr>
                      <w:t>Salud</w:t>
                    </w:r>
                  </w:p>
                </w:txbxContent>
              </v:textbox>
              <w10:wrap type="none"/>
            </v:shape>
            <v:shape style="position:absolute;left:4204;top:2097;width:1311;height:63" type="#_x0000_t202" filled="false" stroked="false">
              <v:textbox inset="0,0,0,0">
                <w:txbxContent>
                  <w:p>
                    <w:pPr>
                      <w:spacing w:line="63" w:lineRule="exact" w:before="0"/>
                      <w:ind w:left="0" w:right="0" w:firstLine="0"/>
                      <w:jc w:val="left"/>
                      <w:rPr>
                        <w:rFonts w:ascii="Calibri" w:hAnsi="Calibri"/>
                        <w:sz w:val="6"/>
                      </w:rPr>
                    </w:pPr>
                    <w:r>
                      <w:rPr>
                        <w:rFonts w:ascii="Calibri" w:hAnsi="Calibri"/>
                        <w:w w:val="105"/>
                        <w:sz w:val="6"/>
                      </w:rPr>
                      <w:t>¿A</w:t>
                    </w:r>
                    <w:r>
                      <w:rPr>
                        <w:rFonts w:ascii="Calibri" w:hAnsi="Calibri"/>
                        <w:spacing w:val="-4"/>
                        <w:w w:val="105"/>
                        <w:sz w:val="6"/>
                      </w:rPr>
                      <w:t> </w:t>
                    </w:r>
                    <w:r>
                      <w:rPr>
                        <w:rFonts w:ascii="Calibri" w:hAnsi="Calibri"/>
                        <w:w w:val="105"/>
                        <w:sz w:val="6"/>
                      </w:rPr>
                      <w:t>qué</w:t>
                    </w:r>
                    <w:r>
                      <w:rPr>
                        <w:rFonts w:ascii="Calibri" w:hAnsi="Calibri"/>
                        <w:spacing w:val="-3"/>
                        <w:w w:val="105"/>
                        <w:sz w:val="6"/>
                      </w:rPr>
                      <w:t> </w:t>
                    </w:r>
                    <w:r>
                      <w:rPr>
                        <w:rFonts w:ascii="Calibri" w:hAnsi="Calibri"/>
                        <w:w w:val="105"/>
                        <w:sz w:val="6"/>
                      </w:rPr>
                      <w:t>distancia</w:t>
                    </w:r>
                    <w:r>
                      <w:rPr>
                        <w:rFonts w:ascii="Calibri" w:hAnsi="Calibri"/>
                        <w:spacing w:val="-2"/>
                        <w:w w:val="105"/>
                        <w:sz w:val="6"/>
                      </w:rPr>
                      <w:t> </w:t>
                    </w:r>
                    <w:r>
                      <w:rPr>
                        <w:rFonts w:ascii="Calibri" w:hAnsi="Calibri"/>
                        <w:w w:val="105"/>
                        <w:sz w:val="6"/>
                      </w:rPr>
                      <w:t>se</w:t>
                    </w:r>
                    <w:r>
                      <w:rPr>
                        <w:rFonts w:ascii="Calibri" w:hAnsi="Calibri"/>
                        <w:spacing w:val="-3"/>
                        <w:w w:val="105"/>
                        <w:sz w:val="6"/>
                      </w:rPr>
                      <w:t> </w:t>
                    </w:r>
                    <w:r>
                      <w:rPr>
                        <w:rFonts w:ascii="Calibri" w:hAnsi="Calibri"/>
                        <w:w w:val="105"/>
                        <w:sz w:val="6"/>
                      </w:rPr>
                      <w:t>encuentran</w:t>
                    </w:r>
                    <w:r>
                      <w:rPr>
                        <w:rFonts w:ascii="Calibri" w:hAnsi="Calibri"/>
                        <w:spacing w:val="-5"/>
                        <w:w w:val="105"/>
                        <w:sz w:val="6"/>
                      </w:rPr>
                      <w:t> </w:t>
                    </w:r>
                    <w:r>
                      <w:rPr>
                        <w:rFonts w:ascii="Calibri" w:hAnsi="Calibri"/>
                        <w:w w:val="105"/>
                        <w:sz w:val="6"/>
                      </w:rPr>
                      <w:t>un</w:t>
                    </w:r>
                    <w:r>
                      <w:rPr>
                        <w:rFonts w:ascii="Calibri" w:hAnsi="Calibri"/>
                        <w:spacing w:val="-5"/>
                        <w:w w:val="105"/>
                        <w:sz w:val="6"/>
                      </w:rPr>
                      <w:t> </w:t>
                    </w:r>
                    <w:r>
                      <w:rPr>
                        <w:rFonts w:ascii="Calibri" w:hAnsi="Calibri"/>
                        <w:w w:val="105"/>
                        <w:sz w:val="6"/>
                      </w:rPr>
                      <w:t>centro</w:t>
                    </w:r>
                    <w:r>
                      <w:rPr>
                        <w:rFonts w:ascii="Calibri" w:hAnsi="Calibri"/>
                        <w:spacing w:val="-5"/>
                        <w:w w:val="105"/>
                        <w:sz w:val="6"/>
                      </w:rPr>
                      <w:t> </w:t>
                    </w:r>
                    <w:r>
                      <w:rPr>
                        <w:rFonts w:ascii="Calibri" w:hAnsi="Calibri"/>
                        <w:w w:val="105"/>
                        <w:sz w:val="6"/>
                      </w:rPr>
                      <w:t>de</w:t>
                    </w:r>
                    <w:r>
                      <w:rPr>
                        <w:rFonts w:ascii="Calibri" w:hAnsi="Calibri"/>
                        <w:spacing w:val="-3"/>
                        <w:w w:val="105"/>
                        <w:sz w:val="6"/>
                      </w:rPr>
                      <w:t> </w:t>
                    </w:r>
                    <w:r>
                      <w:rPr>
                        <w:rFonts w:ascii="Calibri" w:hAnsi="Calibri"/>
                        <w:w w:val="105"/>
                        <w:sz w:val="6"/>
                      </w:rPr>
                      <w:t>salud?</w:t>
                    </w:r>
                  </w:p>
                </w:txbxContent>
              </v:textbox>
              <w10:wrap type="none"/>
            </v:shape>
            <v:shape style="position:absolute;left:2963;top:2262;width:253;height:63" type="#_x0000_t202" filled="false" stroked="false">
              <v:textbox inset="0,0,0,0">
                <w:txbxContent>
                  <w:p>
                    <w:pPr>
                      <w:spacing w:line="63" w:lineRule="exact" w:before="0"/>
                      <w:ind w:left="0" w:right="-14" w:firstLine="0"/>
                      <w:jc w:val="left"/>
                      <w:rPr>
                        <w:rFonts w:ascii="Calibri"/>
                        <w:sz w:val="6"/>
                      </w:rPr>
                    </w:pPr>
                    <w:r>
                      <w:rPr>
                        <w:rFonts w:ascii="Calibri"/>
                        <w:spacing w:val="-1"/>
                        <w:w w:val="105"/>
                        <w:sz w:val="6"/>
                      </w:rPr>
                      <w:t>Seguridad</w:t>
                    </w:r>
                  </w:p>
                </w:txbxContent>
              </v:textbox>
              <w10:wrap type="none"/>
            </v:shape>
            <v:shape style="position:absolute;left:4204;top:2262;width:1425;height:63" type="#_x0000_t202" filled="false" stroked="false">
              <v:textbox inset="0,0,0,0">
                <w:txbxContent>
                  <w:p>
                    <w:pPr>
                      <w:spacing w:line="63" w:lineRule="exact" w:before="0"/>
                      <w:ind w:left="0" w:right="-14" w:firstLine="0"/>
                      <w:jc w:val="left"/>
                      <w:rPr>
                        <w:rFonts w:ascii="Calibri" w:hAnsi="Calibri"/>
                        <w:sz w:val="6"/>
                      </w:rPr>
                    </w:pPr>
                    <w:r>
                      <w:rPr>
                        <w:rFonts w:ascii="Calibri" w:hAnsi="Calibri"/>
                        <w:w w:val="105"/>
                        <w:sz w:val="6"/>
                      </w:rPr>
                      <w:t>¿A qué distancia se encuentra una estación de policias?</w:t>
                    </w:r>
                  </w:p>
                </w:txbxContent>
              </v:textbox>
              <w10:wrap type="none"/>
            </v:shape>
            <v:shape style="position:absolute;left:2963;top:2427;width:179;height:63" type="#_x0000_t202" filled="false" stroked="false">
              <v:textbox inset="0,0,0,0">
                <w:txbxContent>
                  <w:p>
                    <w:pPr>
                      <w:spacing w:line="63" w:lineRule="exact" w:before="0"/>
                      <w:ind w:left="0" w:right="-20" w:firstLine="0"/>
                      <w:jc w:val="left"/>
                      <w:rPr>
                        <w:rFonts w:ascii="Calibri"/>
                        <w:sz w:val="6"/>
                      </w:rPr>
                    </w:pPr>
                    <w:r>
                      <w:rPr>
                        <w:rFonts w:ascii="Calibri"/>
                        <w:w w:val="105"/>
                        <w:sz w:val="6"/>
                      </w:rPr>
                      <w:t>Abasto</w:t>
                    </w:r>
                  </w:p>
                </w:txbxContent>
              </v:textbox>
              <w10:wrap type="none"/>
            </v:shape>
            <v:shape style="position:absolute;left:4204;top:2427;width:1202;height:63" type="#_x0000_t202" filled="false" stroked="false">
              <v:textbox inset="0,0,0,0">
                <w:txbxContent>
                  <w:p>
                    <w:pPr>
                      <w:spacing w:line="63" w:lineRule="exact" w:before="0"/>
                      <w:ind w:left="0" w:right="-1" w:firstLine="0"/>
                      <w:jc w:val="left"/>
                      <w:rPr>
                        <w:rFonts w:ascii="Calibri" w:hAnsi="Calibri"/>
                        <w:sz w:val="6"/>
                      </w:rPr>
                    </w:pPr>
                    <w:r>
                      <w:rPr>
                        <w:rFonts w:ascii="Calibri" w:hAnsi="Calibri"/>
                        <w:w w:val="105"/>
                        <w:sz w:val="6"/>
                      </w:rPr>
                      <w:t>¿A</w:t>
                    </w:r>
                    <w:r>
                      <w:rPr>
                        <w:rFonts w:ascii="Calibri" w:hAnsi="Calibri"/>
                        <w:spacing w:val="-5"/>
                        <w:w w:val="105"/>
                        <w:sz w:val="6"/>
                      </w:rPr>
                      <w:t> </w:t>
                    </w:r>
                    <w:r>
                      <w:rPr>
                        <w:rFonts w:ascii="Calibri" w:hAnsi="Calibri"/>
                        <w:w w:val="105"/>
                        <w:sz w:val="6"/>
                      </w:rPr>
                      <w:t>qué</w:t>
                    </w:r>
                    <w:r>
                      <w:rPr>
                        <w:rFonts w:ascii="Calibri" w:hAnsi="Calibri"/>
                        <w:spacing w:val="-4"/>
                        <w:w w:val="105"/>
                        <w:sz w:val="6"/>
                      </w:rPr>
                      <w:t> </w:t>
                    </w:r>
                    <w:r>
                      <w:rPr>
                        <w:rFonts w:ascii="Calibri" w:hAnsi="Calibri"/>
                        <w:w w:val="105"/>
                        <w:sz w:val="6"/>
                      </w:rPr>
                      <w:t>distancia</w:t>
                    </w:r>
                    <w:r>
                      <w:rPr>
                        <w:rFonts w:ascii="Calibri" w:hAnsi="Calibri"/>
                        <w:spacing w:val="-4"/>
                        <w:w w:val="105"/>
                        <w:sz w:val="6"/>
                      </w:rPr>
                      <w:t> </w:t>
                    </w:r>
                    <w:r>
                      <w:rPr>
                        <w:rFonts w:ascii="Calibri" w:hAnsi="Calibri"/>
                        <w:w w:val="105"/>
                        <w:sz w:val="6"/>
                      </w:rPr>
                      <w:t>se</w:t>
                    </w:r>
                    <w:r>
                      <w:rPr>
                        <w:rFonts w:ascii="Calibri" w:hAnsi="Calibri"/>
                        <w:spacing w:val="-4"/>
                        <w:w w:val="105"/>
                        <w:sz w:val="6"/>
                      </w:rPr>
                      <w:t> </w:t>
                    </w:r>
                    <w:r>
                      <w:rPr>
                        <w:rFonts w:ascii="Calibri" w:hAnsi="Calibri"/>
                        <w:w w:val="105"/>
                        <w:sz w:val="6"/>
                      </w:rPr>
                      <w:t>encuetra</w:t>
                    </w:r>
                    <w:r>
                      <w:rPr>
                        <w:rFonts w:ascii="Calibri" w:hAnsi="Calibri"/>
                        <w:spacing w:val="-4"/>
                        <w:w w:val="105"/>
                        <w:sz w:val="6"/>
                      </w:rPr>
                      <w:t> </w:t>
                    </w:r>
                    <w:r>
                      <w:rPr>
                        <w:rFonts w:ascii="Calibri" w:hAnsi="Calibri"/>
                        <w:w w:val="105"/>
                        <w:sz w:val="6"/>
                      </w:rPr>
                      <w:t>el</w:t>
                    </w:r>
                    <w:r>
                      <w:rPr>
                        <w:rFonts w:ascii="Calibri" w:hAnsi="Calibri"/>
                        <w:spacing w:val="-4"/>
                        <w:w w:val="105"/>
                        <w:sz w:val="6"/>
                      </w:rPr>
                      <w:t> </w:t>
                    </w:r>
                    <w:r>
                      <w:rPr>
                        <w:rFonts w:ascii="Calibri" w:hAnsi="Calibri"/>
                        <w:w w:val="105"/>
                        <w:sz w:val="6"/>
                      </w:rPr>
                      <w:t>supermercado?</w:t>
                    </w:r>
                  </w:p>
                </w:txbxContent>
              </v:textbox>
              <w10:wrap type="none"/>
            </v:shape>
            <v:shape style="position:absolute;left:2963;top:2592;width:275;height:63" type="#_x0000_t202" filled="false" stroked="false">
              <v:textbox inset="0,0,0,0">
                <w:txbxContent>
                  <w:p>
                    <w:pPr>
                      <w:spacing w:line="63" w:lineRule="exact" w:before="0"/>
                      <w:ind w:left="0" w:right="-17" w:firstLine="0"/>
                      <w:jc w:val="left"/>
                      <w:rPr>
                        <w:rFonts w:ascii="Calibri"/>
                        <w:sz w:val="6"/>
                      </w:rPr>
                    </w:pPr>
                    <w:r>
                      <w:rPr>
                        <w:rFonts w:ascii="Calibri"/>
                        <w:spacing w:val="-1"/>
                        <w:w w:val="105"/>
                        <w:sz w:val="6"/>
                      </w:rPr>
                      <w:t>Transporte</w:t>
                    </w:r>
                  </w:p>
                </w:txbxContent>
              </v:textbox>
              <w10:wrap type="none"/>
            </v:shape>
            <v:shape style="position:absolute;left:4204;top:2592;width:1362;height:63" type="#_x0000_t202" filled="false" stroked="false">
              <v:textbox inset="0,0,0,0">
                <w:txbxContent>
                  <w:p>
                    <w:pPr>
                      <w:spacing w:line="63" w:lineRule="exact" w:before="0"/>
                      <w:ind w:left="0" w:right="-1" w:firstLine="0"/>
                      <w:jc w:val="left"/>
                      <w:rPr>
                        <w:rFonts w:ascii="Calibri" w:hAnsi="Calibri"/>
                        <w:sz w:val="6"/>
                      </w:rPr>
                    </w:pPr>
                    <w:r>
                      <w:rPr>
                        <w:rFonts w:ascii="Calibri" w:hAnsi="Calibri"/>
                        <w:w w:val="105"/>
                        <w:sz w:val="6"/>
                      </w:rPr>
                      <w:t>¿A</w:t>
                    </w:r>
                    <w:r>
                      <w:rPr>
                        <w:rFonts w:ascii="Calibri" w:hAnsi="Calibri"/>
                        <w:spacing w:val="-4"/>
                        <w:w w:val="105"/>
                        <w:sz w:val="6"/>
                      </w:rPr>
                      <w:t> </w:t>
                    </w:r>
                    <w:r>
                      <w:rPr>
                        <w:rFonts w:ascii="Calibri" w:hAnsi="Calibri"/>
                        <w:w w:val="105"/>
                        <w:sz w:val="6"/>
                      </w:rPr>
                      <w:t>qué</w:t>
                    </w:r>
                    <w:r>
                      <w:rPr>
                        <w:rFonts w:ascii="Calibri" w:hAnsi="Calibri"/>
                        <w:spacing w:val="-3"/>
                        <w:w w:val="105"/>
                        <w:sz w:val="6"/>
                      </w:rPr>
                      <w:t> </w:t>
                    </w:r>
                    <w:r>
                      <w:rPr>
                        <w:rFonts w:ascii="Calibri" w:hAnsi="Calibri"/>
                        <w:w w:val="105"/>
                        <w:sz w:val="6"/>
                      </w:rPr>
                      <w:t>distancia</w:t>
                    </w:r>
                    <w:r>
                      <w:rPr>
                        <w:rFonts w:ascii="Calibri" w:hAnsi="Calibri"/>
                        <w:spacing w:val="-2"/>
                        <w:w w:val="105"/>
                        <w:sz w:val="6"/>
                      </w:rPr>
                      <w:t> </w:t>
                    </w:r>
                    <w:r>
                      <w:rPr>
                        <w:rFonts w:ascii="Calibri" w:hAnsi="Calibri"/>
                        <w:w w:val="105"/>
                        <w:sz w:val="6"/>
                      </w:rPr>
                      <w:t>se</w:t>
                    </w:r>
                    <w:r>
                      <w:rPr>
                        <w:rFonts w:ascii="Calibri" w:hAnsi="Calibri"/>
                        <w:spacing w:val="-3"/>
                        <w:w w:val="105"/>
                        <w:sz w:val="6"/>
                      </w:rPr>
                      <w:t> </w:t>
                    </w:r>
                    <w:r>
                      <w:rPr>
                        <w:rFonts w:ascii="Calibri" w:hAnsi="Calibri"/>
                        <w:w w:val="105"/>
                        <w:sz w:val="6"/>
                      </w:rPr>
                      <w:t>encuentra</w:t>
                    </w:r>
                    <w:r>
                      <w:rPr>
                        <w:rFonts w:ascii="Calibri" w:hAnsi="Calibri"/>
                        <w:spacing w:val="-2"/>
                        <w:w w:val="105"/>
                        <w:sz w:val="6"/>
                      </w:rPr>
                      <w:t> </w:t>
                    </w:r>
                    <w:r>
                      <w:rPr>
                        <w:rFonts w:ascii="Calibri" w:hAnsi="Calibri"/>
                        <w:w w:val="105"/>
                        <w:sz w:val="6"/>
                      </w:rPr>
                      <w:t>la</w:t>
                    </w:r>
                    <w:r>
                      <w:rPr>
                        <w:rFonts w:ascii="Calibri" w:hAnsi="Calibri"/>
                        <w:spacing w:val="-2"/>
                        <w:w w:val="105"/>
                        <w:sz w:val="6"/>
                      </w:rPr>
                      <w:t> </w:t>
                    </w:r>
                    <w:r>
                      <w:rPr>
                        <w:rFonts w:ascii="Calibri" w:hAnsi="Calibri"/>
                        <w:w w:val="105"/>
                        <w:sz w:val="6"/>
                      </w:rPr>
                      <w:t>parada</w:t>
                    </w:r>
                    <w:r>
                      <w:rPr>
                        <w:rFonts w:ascii="Calibri" w:hAnsi="Calibri"/>
                        <w:spacing w:val="-2"/>
                        <w:w w:val="105"/>
                        <w:sz w:val="6"/>
                      </w:rPr>
                      <w:t> </w:t>
                    </w:r>
                    <w:r>
                      <w:rPr>
                        <w:rFonts w:ascii="Calibri" w:hAnsi="Calibri"/>
                        <w:w w:val="105"/>
                        <w:sz w:val="6"/>
                      </w:rPr>
                      <w:t>del</w:t>
                    </w:r>
                    <w:r>
                      <w:rPr>
                        <w:rFonts w:ascii="Calibri" w:hAnsi="Calibri"/>
                        <w:spacing w:val="-2"/>
                        <w:w w:val="105"/>
                        <w:sz w:val="6"/>
                      </w:rPr>
                      <w:t> </w:t>
                    </w:r>
                    <w:r>
                      <w:rPr>
                        <w:rFonts w:ascii="Calibri" w:hAnsi="Calibri"/>
                        <w:w w:val="105"/>
                        <w:sz w:val="6"/>
                      </w:rPr>
                      <w:t>autobús?</w:t>
                    </w:r>
                  </w:p>
                </w:txbxContent>
              </v:textbox>
              <w10:wrap type="none"/>
            </v:shape>
            <v:shape style="position:absolute;left:2963;top:2757;width:284;height:63" type="#_x0000_t202" filled="false" stroked="false">
              <v:textbox inset="0,0,0,0">
                <w:txbxContent>
                  <w:p>
                    <w:pPr>
                      <w:spacing w:line="63" w:lineRule="exact" w:before="0"/>
                      <w:ind w:left="0" w:right="-6" w:firstLine="0"/>
                      <w:jc w:val="left"/>
                      <w:rPr>
                        <w:rFonts w:ascii="Calibri" w:hAnsi="Calibri"/>
                        <w:sz w:val="6"/>
                      </w:rPr>
                    </w:pPr>
                    <w:r>
                      <w:rPr>
                        <w:rFonts w:ascii="Calibri" w:hAnsi="Calibri"/>
                        <w:sz w:val="6"/>
                      </w:rPr>
                      <w:t>Recreación</w:t>
                    </w:r>
                  </w:p>
                </w:txbxContent>
              </v:textbox>
              <w10:wrap type="none"/>
            </v:shape>
            <v:shape style="position:absolute;left:4204;top:2757;width:1405;height:63" type="#_x0000_t202" filled="false" stroked="false">
              <v:textbox inset="0,0,0,0">
                <w:txbxContent>
                  <w:p>
                    <w:pPr>
                      <w:spacing w:line="63" w:lineRule="exact" w:before="0"/>
                      <w:ind w:left="0" w:right="0" w:firstLine="0"/>
                      <w:jc w:val="left"/>
                      <w:rPr>
                        <w:rFonts w:ascii="Calibri" w:hAnsi="Calibri"/>
                        <w:sz w:val="6"/>
                      </w:rPr>
                    </w:pPr>
                    <w:r>
                      <w:rPr>
                        <w:rFonts w:ascii="Calibri" w:hAnsi="Calibri"/>
                        <w:w w:val="105"/>
                        <w:sz w:val="6"/>
                      </w:rPr>
                      <w:t>¿A</w:t>
                    </w:r>
                    <w:r>
                      <w:rPr>
                        <w:rFonts w:ascii="Calibri" w:hAnsi="Calibri"/>
                        <w:spacing w:val="-4"/>
                        <w:w w:val="105"/>
                        <w:sz w:val="6"/>
                      </w:rPr>
                      <w:t> </w:t>
                    </w:r>
                    <w:r>
                      <w:rPr>
                        <w:rFonts w:ascii="Calibri" w:hAnsi="Calibri"/>
                        <w:w w:val="105"/>
                        <w:sz w:val="6"/>
                      </w:rPr>
                      <w:t>qué</w:t>
                    </w:r>
                    <w:r>
                      <w:rPr>
                        <w:rFonts w:ascii="Calibri" w:hAnsi="Calibri"/>
                        <w:spacing w:val="-4"/>
                        <w:w w:val="105"/>
                        <w:sz w:val="6"/>
                      </w:rPr>
                      <w:t> </w:t>
                    </w:r>
                    <w:r>
                      <w:rPr>
                        <w:rFonts w:ascii="Calibri" w:hAnsi="Calibri"/>
                        <w:w w:val="105"/>
                        <w:sz w:val="6"/>
                      </w:rPr>
                      <w:t>distancia</w:t>
                    </w:r>
                    <w:r>
                      <w:rPr>
                        <w:rFonts w:ascii="Calibri" w:hAnsi="Calibri"/>
                        <w:spacing w:val="-3"/>
                        <w:w w:val="105"/>
                        <w:sz w:val="6"/>
                      </w:rPr>
                      <w:t> </w:t>
                    </w:r>
                    <w:r>
                      <w:rPr>
                        <w:rFonts w:ascii="Calibri" w:hAnsi="Calibri"/>
                        <w:w w:val="105"/>
                        <w:sz w:val="6"/>
                      </w:rPr>
                      <w:t>se</w:t>
                    </w:r>
                    <w:r>
                      <w:rPr>
                        <w:rFonts w:ascii="Calibri" w:hAnsi="Calibri"/>
                        <w:spacing w:val="-4"/>
                        <w:w w:val="105"/>
                        <w:sz w:val="6"/>
                      </w:rPr>
                      <w:t> </w:t>
                    </w:r>
                    <w:r>
                      <w:rPr>
                        <w:rFonts w:ascii="Calibri" w:hAnsi="Calibri"/>
                        <w:w w:val="105"/>
                        <w:sz w:val="6"/>
                      </w:rPr>
                      <w:t>encuentra</w:t>
                    </w:r>
                    <w:r>
                      <w:rPr>
                        <w:rFonts w:ascii="Calibri" w:hAnsi="Calibri"/>
                        <w:spacing w:val="-3"/>
                        <w:w w:val="105"/>
                        <w:sz w:val="6"/>
                      </w:rPr>
                      <w:t> </w:t>
                    </w:r>
                    <w:r>
                      <w:rPr>
                        <w:rFonts w:ascii="Calibri" w:hAnsi="Calibri"/>
                        <w:w w:val="105"/>
                        <w:sz w:val="6"/>
                      </w:rPr>
                      <w:t>su</w:t>
                    </w:r>
                    <w:r>
                      <w:rPr>
                        <w:rFonts w:ascii="Calibri" w:hAnsi="Calibri"/>
                        <w:spacing w:val="-5"/>
                        <w:w w:val="105"/>
                        <w:sz w:val="6"/>
                      </w:rPr>
                      <w:t> </w:t>
                    </w:r>
                    <w:r>
                      <w:rPr>
                        <w:rFonts w:ascii="Calibri" w:hAnsi="Calibri"/>
                        <w:w w:val="105"/>
                        <w:sz w:val="6"/>
                      </w:rPr>
                      <w:t>centro</w:t>
                    </w:r>
                    <w:r>
                      <w:rPr>
                        <w:rFonts w:ascii="Calibri" w:hAnsi="Calibri"/>
                        <w:spacing w:val="-5"/>
                        <w:w w:val="105"/>
                        <w:sz w:val="6"/>
                      </w:rPr>
                      <w:t> </w:t>
                    </w:r>
                    <w:r>
                      <w:rPr>
                        <w:rFonts w:ascii="Calibri" w:hAnsi="Calibri"/>
                        <w:w w:val="105"/>
                        <w:sz w:val="6"/>
                      </w:rPr>
                      <w:t>de</w:t>
                    </w:r>
                    <w:r>
                      <w:rPr>
                        <w:rFonts w:ascii="Calibri" w:hAnsi="Calibri"/>
                        <w:spacing w:val="-4"/>
                        <w:w w:val="105"/>
                        <w:sz w:val="6"/>
                      </w:rPr>
                      <w:t> </w:t>
                    </w:r>
                    <w:r>
                      <w:rPr>
                        <w:rFonts w:ascii="Calibri" w:hAnsi="Calibri"/>
                        <w:w w:val="105"/>
                        <w:sz w:val="6"/>
                      </w:rPr>
                      <w:t>recreación?</w:t>
                    </w:r>
                  </w:p>
                </w:txbxContent>
              </v:textbox>
              <w10:wrap type="none"/>
            </v:shape>
            <v:shape style="position:absolute;left:2963;top:2922;width:609;height:63" type="#_x0000_t202" filled="false" stroked="false">
              <v:textbox inset="0,0,0,0">
                <w:txbxContent>
                  <w:p>
                    <w:pPr>
                      <w:spacing w:line="63" w:lineRule="exact" w:before="0"/>
                      <w:ind w:left="0" w:right="-17" w:firstLine="0"/>
                      <w:jc w:val="left"/>
                      <w:rPr>
                        <w:rFonts w:ascii="Calibri"/>
                        <w:sz w:val="6"/>
                      </w:rPr>
                    </w:pPr>
                    <w:r>
                      <w:rPr>
                        <w:rFonts w:ascii="Calibri"/>
                        <w:w w:val="105"/>
                        <w:sz w:val="6"/>
                      </w:rPr>
                      <w:t>Servicios especializados</w:t>
                    </w:r>
                  </w:p>
                </w:txbxContent>
              </v:textbox>
              <w10:wrap type="none"/>
            </v:shape>
            <v:shape style="position:absolute;left:4204;top:2922;width:1746;height:63" type="#_x0000_t202" filled="false" stroked="false">
              <v:textbox inset="0,0,0,0">
                <w:txbxContent>
                  <w:p>
                    <w:pPr>
                      <w:spacing w:line="63" w:lineRule="exact" w:before="0"/>
                      <w:ind w:left="0" w:right="-7" w:firstLine="0"/>
                      <w:jc w:val="left"/>
                      <w:rPr>
                        <w:rFonts w:ascii="Calibri" w:hAnsi="Calibri"/>
                        <w:sz w:val="6"/>
                      </w:rPr>
                    </w:pPr>
                    <w:r>
                      <w:rPr>
                        <w:rFonts w:ascii="Calibri" w:hAnsi="Calibri"/>
                        <w:w w:val="105"/>
                        <w:sz w:val="6"/>
                      </w:rPr>
                      <w:t>¿A qué distancia se encuentran los bancos, farmacias y gasolineras?</w:t>
                    </w:r>
                  </w:p>
                </w:txbxContent>
              </v:textbox>
              <w10:wrap type="none"/>
            </v:shape>
            <v:shape style="position:absolute;left:12964;top:3004;width:207;height:146" type="#_x0000_t202" filled="false" stroked="false">
              <v:textbox inset="0,0,0,0">
                <w:txbxContent>
                  <w:p>
                    <w:pPr>
                      <w:spacing w:line="65" w:lineRule="exact" w:before="0"/>
                      <w:ind w:left="62" w:right="-13" w:firstLine="0"/>
                      <w:jc w:val="left"/>
                      <w:rPr>
                        <w:rFonts w:ascii="Calibri"/>
                        <w:sz w:val="6"/>
                      </w:rPr>
                    </w:pPr>
                    <w:r>
                      <w:rPr>
                        <w:rFonts w:ascii="Calibri"/>
                        <w:w w:val="105"/>
                        <w:sz w:val="6"/>
                      </w:rPr>
                      <w:t>0.6</w:t>
                    </w:r>
                  </w:p>
                  <w:p>
                    <w:pPr>
                      <w:spacing w:line="71" w:lineRule="exact" w:before="9"/>
                      <w:ind w:left="0" w:right="-13" w:firstLine="0"/>
                      <w:jc w:val="left"/>
                      <w:rPr>
                        <w:rFonts w:ascii="Calibri"/>
                        <w:sz w:val="6"/>
                      </w:rPr>
                    </w:pPr>
                    <w:r>
                      <w:rPr>
                        <w:rFonts w:ascii="Calibri"/>
                        <w:spacing w:val="-2"/>
                        <w:w w:val="105"/>
                        <w:sz w:val="6"/>
                      </w:rPr>
                      <w:t>Subtotal</w:t>
                    </w:r>
                  </w:p>
                </w:txbxContent>
              </v:textbox>
              <w10:wrap type="none"/>
            </v:shape>
            <v:shape style="position:absolute;left:13435;top:3086;width:80;height:63" type="#_x0000_t202" filled="false" stroked="false">
              <v:textbox inset="0,0,0,0">
                <w:txbxContent>
                  <w:p>
                    <w:pPr>
                      <w:spacing w:line="63" w:lineRule="exact" w:before="0"/>
                      <w:ind w:left="0" w:right="-20" w:firstLine="0"/>
                      <w:jc w:val="left"/>
                      <w:rPr>
                        <w:rFonts w:ascii="Calibri"/>
                        <w:sz w:val="6"/>
                      </w:rPr>
                    </w:pPr>
                    <w:r>
                      <w:rPr>
                        <w:rFonts w:ascii="Calibri"/>
                        <w:w w:val="105"/>
                        <w:sz w:val="6"/>
                      </w:rPr>
                      <w:t>5.6</w:t>
                    </w:r>
                  </w:p>
                </w:txbxContent>
              </v:textbox>
              <w10:wrap type="none"/>
            </v:shape>
            <v:shape style="position:absolute;left:13780;top:3004;width:80;height:146" type="#_x0000_t202" filled="false" stroked="false">
              <v:textbox inset="0,0,0,0">
                <w:txbxContent>
                  <w:p>
                    <w:pPr>
                      <w:spacing w:line="65" w:lineRule="exact" w:before="0"/>
                      <w:ind w:left="0" w:right="-20" w:firstLine="0"/>
                      <w:jc w:val="left"/>
                      <w:rPr>
                        <w:rFonts w:ascii="Calibri"/>
                        <w:sz w:val="6"/>
                      </w:rPr>
                    </w:pPr>
                    <w:r>
                      <w:rPr>
                        <w:rFonts w:ascii="Calibri"/>
                        <w:w w:val="105"/>
                        <w:sz w:val="6"/>
                      </w:rPr>
                      <w:t>0.7</w:t>
                    </w:r>
                  </w:p>
                  <w:p>
                    <w:pPr>
                      <w:spacing w:line="71" w:lineRule="exact" w:before="9"/>
                      <w:ind w:left="0" w:right="-20" w:firstLine="0"/>
                      <w:jc w:val="left"/>
                      <w:rPr>
                        <w:rFonts w:ascii="Calibri"/>
                        <w:sz w:val="6"/>
                      </w:rPr>
                    </w:pPr>
                    <w:r>
                      <w:rPr>
                        <w:rFonts w:ascii="Calibri"/>
                        <w:w w:val="105"/>
                        <w:sz w:val="6"/>
                      </w:rPr>
                      <w:t>6.3</w:t>
                    </w:r>
                  </w:p>
                </w:txbxContent>
              </v:textbox>
              <w10:wrap type="none"/>
            </v:shape>
            <v:shape style="position:absolute;left:14149;top:3004;width:32;height:146" type="#_x0000_t202" filled="false" stroked="false">
              <v:textbox inset="0,0,0,0">
                <w:txbxContent>
                  <w:p>
                    <w:pPr>
                      <w:spacing w:line="65" w:lineRule="exact" w:before="0"/>
                      <w:ind w:left="0" w:right="0" w:firstLine="0"/>
                      <w:jc w:val="left"/>
                      <w:rPr>
                        <w:rFonts w:ascii="Calibri"/>
                        <w:sz w:val="6"/>
                      </w:rPr>
                    </w:pPr>
                    <w:r>
                      <w:rPr>
                        <w:rFonts w:ascii="Calibri"/>
                        <w:w w:val="104"/>
                        <w:sz w:val="6"/>
                      </w:rPr>
                      <w:t>1</w:t>
                    </w:r>
                  </w:p>
                  <w:p>
                    <w:pPr>
                      <w:spacing w:line="71" w:lineRule="exact" w:before="9"/>
                      <w:ind w:left="0" w:right="0" w:firstLine="0"/>
                      <w:jc w:val="left"/>
                      <w:rPr>
                        <w:rFonts w:ascii="Calibri"/>
                        <w:sz w:val="6"/>
                      </w:rPr>
                    </w:pPr>
                    <w:r>
                      <w:rPr>
                        <w:rFonts w:ascii="Calibri"/>
                        <w:w w:val="104"/>
                        <w:sz w:val="6"/>
                      </w:rPr>
                      <w:t>8</w:t>
                    </w:r>
                  </w:p>
                </w:txbxContent>
              </v:textbox>
              <w10:wrap type="none"/>
            </v:shape>
            <v:shape style="position:absolute;left:1805;top:3251;width:599;height:63" type="#_x0000_t202" filled="false" stroked="false">
              <v:textbox inset="0,0,0,0">
                <w:txbxContent>
                  <w:p>
                    <w:pPr>
                      <w:spacing w:line="63" w:lineRule="exact" w:before="0"/>
                      <w:ind w:left="0" w:right="-8" w:firstLine="0"/>
                      <w:jc w:val="left"/>
                      <w:rPr>
                        <w:rFonts w:ascii="Calibri" w:hAnsi="Calibri"/>
                        <w:sz w:val="6"/>
                      </w:rPr>
                    </w:pPr>
                    <w:r>
                      <w:rPr>
                        <w:rFonts w:ascii="Calibri" w:hAnsi="Calibri"/>
                        <w:w w:val="105"/>
                        <w:sz w:val="6"/>
                      </w:rPr>
                      <w:t>3  Organización vecinal</w:t>
                    </w:r>
                  </w:p>
                </w:txbxContent>
              </v:textbox>
              <w10:wrap type="none"/>
            </v:shape>
            <v:shape style="position:absolute;left:2963;top:3251;width:658;height:63" type="#_x0000_t202" filled="false" stroked="false">
              <v:textbox inset="0,0,0,0">
                <w:txbxContent>
                  <w:p>
                    <w:pPr>
                      <w:spacing w:line="63" w:lineRule="exact" w:before="0"/>
                      <w:ind w:left="0" w:right="-13" w:firstLine="0"/>
                      <w:jc w:val="left"/>
                      <w:rPr>
                        <w:rFonts w:ascii="Calibri" w:hAnsi="Calibri"/>
                        <w:sz w:val="6"/>
                      </w:rPr>
                    </w:pPr>
                    <w:r>
                      <w:rPr>
                        <w:rFonts w:ascii="Calibri" w:hAnsi="Calibri"/>
                        <w:spacing w:val="-1"/>
                        <w:w w:val="105"/>
                        <w:sz w:val="6"/>
                      </w:rPr>
                      <w:t>Administración </w:t>
                    </w:r>
                    <w:r>
                      <w:rPr>
                        <w:rFonts w:ascii="Calibri" w:hAnsi="Calibri"/>
                        <w:w w:val="105"/>
                        <w:sz w:val="6"/>
                      </w:rPr>
                      <w:t>ciudadana</w:t>
                    </w:r>
                  </w:p>
                </w:txbxContent>
              </v:textbox>
              <w10:wrap type="none"/>
            </v:shape>
            <v:shape style="position:absolute;left:4204;top:3251;width:1323;height:63" type="#_x0000_t202" filled="false" stroked="false">
              <v:textbox inset="0,0,0,0">
                <w:txbxContent>
                  <w:p>
                    <w:pPr>
                      <w:spacing w:line="63" w:lineRule="exact" w:before="0"/>
                      <w:ind w:left="0" w:right="-1" w:firstLine="0"/>
                      <w:jc w:val="left"/>
                      <w:rPr>
                        <w:rFonts w:ascii="Calibri" w:hAnsi="Calibri"/>
                        <w:sz w:val="6"/>
                      </w:rPr>
                    </w:pPr>
                    <w:r>
                      <w:rPr>
                        <w:rFonts w:ascii="Calibri" w:hAnsi="Calibri"/>
                        <w:w w:val="105"/>
                        <w:sz w:val="6"/>
                      </w:rPr>
                      <w:t>¿Qué</w:t>
                    </w:r>
                    <w:r>
                      <w:rPr>
                        <w:rFonts w:ascii="Calibri" w:hAnsi="Calibri"/>
                        <w:spacing w:val="-3"/>
                        <w:w w:val="105"/>
                        <w:sz w:val="6"/>
                      </w:rPr>
                      <w:t> </w:t>
                    </w:r>
                    <w:r>
                      <w:rPr>
                        <w:rFonts w:ascii="Calibri" w:hAnsi="Calibri"/>
                        <w:w w:val="105"/>
                        <w:sz w:val="6"/>
                      </w:rPr>
                      <w:t>forma</w:t>
                    </w:r>
                    <w:r>
                      <w:rPr>
                        <w:rFonts w:ascii="Calibri" w:hAnsi="Calibri"/>
                        <w:spacing w:val="-3"/>
                        <w:w w:val="105"/>
                        <w:sz w:val="6"/>
                      </w:rPr>
                      <w:t> </w:t>
                    </w:r>
                    <w:r>
                      <w:rPr>
                        <w:rFonts w:ascii="Calibri" w:hAnsi="Calibri"/>
                        <w:w w:val="105"/>
                        <w:sz w:val="6"/>
                      </w:rPr>
                      <w:t>de</w:t>
                    </w:r>
                    <w:r>
                      <w:rPr>
                        <w:rFonts w:ascii="Calibri" w:hAnsi="Calibri"/>
                        <w:spacing w:val="-3"/>
                        <w:w w:val="105"/>
                        <w:sz w:val="6"/>
                      </w:rPr>
                      <w:t> </w:t>
                    </w:r>
                    <w:r>
                      <w:rPr>
                        <w:rFonts w:ascii="Calibri" w:hAnsi="Calibri"/>
                        <w:w w:val="105"/>
                        <w:sz w:val="6"/>
                      </w:rPr>
                      <w:t>organización</w:t>
                    </w:r>
                    <w:r>
                      <w:rPr>
                        <w:rFonts w:ascii="Calibri" w:hAnsi="Calibri"/>
                        <w:spacing w:val="-5"/>
                        <w:w w:val="105"/>
                        <w:sz w:val="6"/>
                      </w:rPr>
                      <w:t> </w:t>
                    </w:r>
                    <w:r>
                      <w:rPr>
                        <w:rFonts w:ascii="Calibri" w:hAnsi="Calibri"/>
                        <w:w w:val="105"/>
                        <w:sz w:val="6"/>
                      </w:rPr>
                      <w:t>existe</w:t>
                    </w:r>
                    <w:r>
                      <w:rPr>
                        <w:rFonts w:ascii="Calibri" w:hAnsi="Calibri"/>
                        <w:spacing w:val="-3"/>
                        <w:w w:val="105"/>
                        <w:sz w:val="6"/>
                      </w:rPr>
                      <w:t> </w:t>
                    </w:r>
                    <w:r>
                      <w:rPr>
                        <w:rFonts w:ascii="Calibri" w:hAnsi="Calibri"/>
                        <w:w w:val="105"/>
                        <w:sz w:val="6"/>
                      </w:rPr>
                      <w:t>en</w:t>
                    </w:r>
                    <w:r>
                      <w:rPr>
                        <w:rFonts w:ascii="Calibri" w:hAnsi="Calibri"/>
                        <w:spacing w:val="-5"/>
                        <w:w w:val="105"/>
                        <w:sz w:val="6"/>
                      </w:rPr>
                      <w:t> </w:t>
                    </w:r>
                    <w:r>
                      <w:rPr>
                        <w:rFonts w:ascii="Calibri" w:hAnsi="Calibri"/>
                        <w:w w:val="105"/>
                        <w:sz w:val="6"/>
                      </w:rPr>
                      <w:t>el</w:t>
                    </w:r>
                    <w:r>
                      <w:rPr>
                        <w:rFonts w:ascii="Calibri" w:hAnsi="Calibri"/>
                        <w:spacing w:val="-3"/>
                        <w:w w:val="105"/>
                        <w:sz w:val="6"/>
                      </w:rPr>
                      <w:t> </w:t>
                    </w:r>
                    <w:r>
                      <w:rPr>
                        <w:rFonts w:ascii="Calibri" w:hAnsi="Calibri"/>
                        <w:w w:val="105"/>
                        <w:sz w:val="6"/>
                      </w:rPr>
                      <w:t>desarrollo?</w:t>
                    </w:r>
                  </w:p>
                </w:txbxContent>
              </v:textbox>
              <w10:wrap type="none"/>
            </v:shape>
            <v:shape style="position:absolute;left:6748;top:3251;width:558;height:63" type="#_x0000_t202" filled="false" stroked="false">
              <v:textbox inset="0,0,0,0">
                <w:txbxContent>
                  <w:p>
                    <w:pPr>
                      <w:spacing w:line="63" w:lineRule="exact" w:before="0"/>
                      <w:ind w:left="0" w:right="-20" w:firstLine="0"/>
                      <w:jc w:val="left"/>
                      <w:rPr>
                        <w:rFonts w:ascii="Calibri" w:hAnsi="Calibri"/>
                        <w:sz w:val="6"/>
                      </w:rPr>
                    </w:pPr>
                    <w:r>
                      <w:rPr>
                        <w:rFonts w:ascii="Calibri" w:hAnsi="Calibri"/>
                        <w:w w:val="105"/>
                        <w:sz w:val="6"/>
                      </w:rPr>
                      <w:t>Asociación de vecinos</w:t>
                    </w:r>
                  </w:p>
                </w:txbxContent>
              </v:textbox>
              <w10:wrap type="none"/>
            </v:shape>
            <v:shape style="position:absolute;left:8009;top:3251;width:464;height:63" type="#_x0000_t202" filled="false" stroked="false">
              <v:textbox inset="0,0,0,0">
                <w:txbxContent>
                  <w:p>
                    <w:pPr>
                      <w:spacing w:line="63" w:lineRule="exact" w:before="0"/>
                      <w:ind w:left="0" w:right="-14" w:firstLine="0"/>
                      <w:jc w:val="left"/>
                      <w:rPr>
                        <w:rFonts w:ascii="Calibri" w:hAnsi="Calibri"/>
                        <w:sz w:val="6"/>
                      </w:rPr>
                    </w:pPr>
                    <w:r>
                      <w:rPr>
                        <w:rFonts w:ascii="Calibri" w:hAnsi="Calibri"/>
                        <w:w w:val="105"/>
                        <w:sz w:val="6"/>
                      </w:rPr>
                      <w:t>Comité de</w:t>
                    </w:r>
                    <w:r>
                      <w:rPr>
                        <w:rFonts w:ascii="Calibri" w:hAnsi="Calibri"/>
                        <w:spacing w:val="-11"/>
                        <w:w w:val="105"/>
                        <w:sz w:val="6"/>
                      </w:rPr>
                      <w:t> </w:t>
                    </w:r>
                    <w:r>
                      <w:rPr>
                        <w:rFonts w:ascii="Calibri" w:hAnsi="Calibri"/>
                        <w:w w:val="105"/>
                        <w:sz w:val="6"/>
                      </w:rPr>
                      <w:t>vecinos</w:t>
                    </w:r>
                  </w:p>
                </w:txbxContent>
              </v:textbox>
              <w10:wrap type="none"/>
            </v:shape>
            <v:shape style="position:absolute;left:12964;top:3334;width:207;height:146" type="#_x0000_t202" filled="false" stroked="false">
              <v:textbox inset="0,0,0,0">
                <w:txbxContent>
                  <w:p>
                    <w:pPr>
                      <w:spacing w:line="65" w:lineRule="exact" w:before="0"/>
                      <w:ind w:left="0" w:right="0" w:firstLine="0"/>
                      <w:jc w:val="center"/>
                      <w:rPr>
                        <w:rFonts w:ascii="Calibri"/>
                        <w:sz w:val="6"/>
                      </w:rPr>
                    </w:pPr>
                    <w:r>
                      <w:rPr>
                        <w:rFonts w:ascii="Calibri"/>
                        <w:w w:val="104"/>
                        <w:sz w:val="6"/>
                      </w:rPr>
                      <w:t>1</w:t>
                    </w:r>
                  </w:p>
                  <w:p>
                    <w:pPr>
                      <w:spacing w:line="71" w:lineRule="exact" w:before="9"/>
                      <w:ind w:left="0" w:right="0" w:firstLine="0"/>
                      <w:jc w:val="center"/>
                      <w:rPr>
                        <w:rFonts w:ascii="Calibri"/>
                        <w:sz w:val="6"/>
                      </w:rPr>
                    </w:pPr>
                    <w:r>
                      <w:rPr>
                        <w:rFonts w:ascii="Calibri"/>
                        <w:spacing w:val="-2"/>
                        <w:w w:val="105"/>
                        <w:sz w:val="6"/>
                      </w:rPr>
                      <w:t>Subtotal</w:t>
                    </w:r>
                  </w:p>
                </w:txbxContent>
              </v:textbox>
              <w10:wrap type="none"/>
            </v:shape>
            <v:shape style="position:absolute;left:13458;top:3416;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1</w:t>
                    </w:r>
                  </w:p>
                </w:txbxContent>
              </v:textbox>
              <w10:wrap type="none"/>
            </v:shape>
            <v:shape style="position:absolute;left:13780;top:3334;width:80;height:146" type="#_x0000_t202" filled="false" stroked="false">
              <v:textbox inset="0,0,0,0">
                <w:txbxContent>
                  <w:p>
                    <w:pPr>
                      <w:spacing w:line="65" w:lineRule="exact" w:before="0"/>
                      <w:ind w:left="0" w:right="-20" w:firstLine="0"/>
                      <w:jc w:val="left"/>
                      <w:rPr>
                        <w:rFonts w:ascii="Calibri"/>
                        <w:sz w:val="6"/>
                      </w:rPr>
                    </w:pPr>
                    <w:r>
                      <w:rPr>
                        <w:rFonts w:ascii="Calibri"/>
                        <w:w w:val="105"/>
                        <w:sz w:val="6"/>
                      </w:rPr>
                      <w:t>0.8</w:t>
                    </w:r>
                  </w:p>
                  <w:p>
                    <w:pPr>
                      <w:spacing w:line="71" w:lineRule="exact" w:before="9"/>
                      <w:ind w:left="0" w:right="-20" w:firstLine="0"/>
                      <w:jc w:val="left"/>
                      <w:rPr>
                        <w:rFonts w:ascii="Calibri"/>
                        <w:sz w:val="6"/>
                      </w:rPr>
                    </w:pPr>
                    <w:r>
                      <w:rPr>
                        <w:rFonts w:ascii="Calibri"/>
                        <w:w w:val="105"/>
                        <w:sz w:val="6"/>
                      </w:rPr>
                      <w:t>0.8</w:t>
                    </w:r>
                  </w:p>
                </w:txbxContent>
              </v:textbox>
              <w10:wrap type="none"/>
            </v:shape>
            <v:shape style="position:absolute;left:14149;top:3334;width:32;height:146" type="#_x0000_t202" filled="false" stroked="false">
              <v:textbox inset="0,0,0,0">
                <w:txbxContent>
                  <w:p>
                    <w:pPr>
                      <w:spacing w:line="65" w:lineRule="exact" w:before="0"/>
                      <w:ind w:left="0" w:right="0" w:firstLine="0"/>
                      <w:jc w:val="left"/>
                      <w:rPr>
                        <w:rFonts w:ascii="Calibri"/>
                        <w:sz w:val="6"/>
                      </w:rPr>
                    </w:pPr>
                    <w:r>
                      <w:rPr>
                        <w:rFonts w:ascii="Calibri"/>
                        <w:w w:val="104"/>
                        <w:sz w:val="6"/>
                      </w:rPr>
                      <w:t>1</w:t>
                    </w:r>
                  </w:p>
                  <w:p>
                    <w:pPr>
                      <w:spacing w:line="71" w:lineRule="exact" w:before="9"/>
                      <w:ind w:left="0" w:right="0" w:firstLine="0"/>
                      <w:jc w:val="left"/>
                      <w:rPr>
                        <w:rFonts w:ascii="Calibri"/>
                        <w:sz w:val="6"/>
                      </w:rPr>
                    </w:pPr>
                    <w:r>
                      <w:rPr>
                        <w:rFonts w:ascii="Calibri"/>
                        <w:w w:val="104"/>
                        <w:sz w:val="6"/>
                      </w:rPr>
                      <w:t>1</w:t>
                    </w:r>
                  </w:p>
                </w:txbxContent>
              </v:textbox>
              <w10:wrap type="none"/>
            </v:shape>
            <v:shape style="position:absolute;left:1805;top:3581;width:1384;height:63" type="#_x0000_t202" filled="false" stroked="false">
              <v:textbox inset="0,0,0,0">
                <w:txbxContent>
                  <w:p>
                    <w:pPr>
                      <w:spacing w:line="63" w:lineRule="exact" w:before="0"/>
                      <w:ind w:left="0" w:right="0" w:firstLine="0"/>
                      <w:jc w:val="left"/>
                      <w:rPr>
                        <w:rFonts w:ascii="Calibri" w:hAnsi="Calibri"/>
                        <w:sz w:val="6"/>
                      </w:rPr>
                    </w:pPr>
                    <w:r>
                      <w:rPr>
                        <w:rFonts w:ascii="Calibri" w:hAnsi="Calibri"/>
                        <w:w w:val="105"/>
                        <w:sz w:val="6"/>
                      </w:rPr>
                      <w:t>4   Índice de satisfacción del acreditado         Infonavit</w:t>
                    </w:r>
                  </w:p>
                </w:txbxContent>
              </v:textbox>
              <w10:wrap type="none"/>
            </v:shape>
            <v:shape style="position:absolute;left:4204;top:3581;width:2325;height:146" type="#_x0000_t202" filled="false" stroked="false">
              <v:textbox inset="0,0,0,0">
                <w:txbxContent>
                  <w:p>
                    <w:pPr>
                      <w:spacing w:line="65" w:lineRule="exact" w:before="0"/>
                      <w:ind w:left="0" w:right="0" w:firstLine="0"/>
                      <w:jc w:val="left"/>
                      <w:rPr>
                        <w:rFonts w:ascii="Calibri" w:hAnsi="Calibri"/>
                        <w:sz w:val="6"/>
                      </w:rPr>
                    </w:pPr>
                    <w:r>
                      <w:rPr>
                        <w:rFonts w:ascii="Calibri" w:hAnsi="Calibri"/>
                        <w:w w:val="105"/>
                        <w:sz w:val="6"/>
                      </w:rPr>
                      <w:t>¿Cuál  es  el  índice  de  satisfacción  del  acreditado  del  Estado  de  México,  respecto   al</w:t>
                    </w:r>
                  </w:p>
                  <w:p>
                    <w:pPr>
                      <w:spacing w:line="71" w:lineRule="exact" w:before="9"/>
                      <w:ind w:left="0" w:right="0" w:firstLine="0"/>
                      <w:jc w:val="left"/>
                      <w:rPr>
                        <w:rFonts w:ascii="Calibri"/>
                        <w:sz w:val="6"/>
                      </w:rPr>
                    </w:pPr>
                    <w:r>
                      <w:rPr>
                        <w:rFonts w:ascii="Calibri"/>
                        <w:w w:val="105"/>
                        <w:sz w:val="6"/>
                      </w:rPr>
                      <w:t>nacional?</w:t>
                    </w:r>
                  </w:p>
                </w:txbxContent>
              </v:textbox>
              <w10:wrap type="none"/>
            </v:shape>
            <v:shape style="position:absolute;left:12964;top:3663;width:207;height:146" type="#_x0000_t202" filled="false" stroked="false">
              <v:textbox inset="0,0,0,0">
                <w:txbxContent>
                  <w:p>
                    <w:pPr>
                      <w:spacing w:line="65" w:lineRule="exact" w:before="0"/>
                      <w:ind w:left="62" w:right="-13" w:firstLine="0"/>
                      <w:jc w:val="left"/>
                      <w:rPr>
                        <w:rFonts w:ascii="Calibri"/>
                        <w:sz w:val="6"/>
                      </w:rPr>
                    </w:pPr>
                    <w:r>
                      <w:rPr>
                        <w:rFonts w:ascii="Calibri"/>
                        <w:w w:val="105"/>
                        <w:sz w:val="6"/>
                      </w:rPr>
                      <w:t>0.7</w:t>
                    </w:r>
                  </w:p>
                  <w:p>
                    <w:pPr>
                      <w:spacing w:line="71" w:lineRule="exact" w:before="9"/>
                      <w:ind w:left="0" w:right="-13" w:firstLine="0"/>
                      <w:jc w:val="left"/>
                      <w:rPr>
                        <w:rFonts w:ascii="Calibri"/>
                        <w:sz w:val="6"/>
                      </w:rPr>
                    </w:pPr>
                    <w:r>
                      <w:rPr>
                        <w:rFonts w:ascii="Calibri"/>
                        <w:spacing w:val="-2"/>
                        <w:w w:val="105"/>
                        <w:sz w:val="6"/>
                      </w:rPr>
                      <w:t>Subtotal</w:t>
                    </w:r>
                  </w:p>
                </w:txbxContent>
              </v:textbox>
              <w10:wrap type="none"/>
            </v:shape>
            <v:shape style="position:absolute;left:13435;top:3746;width:80;height:63" type="#_x0000_t202" filled="false" stroked="false">
              <v:textbox inset="0,0,0,0">
                <w:txbxContent>
                  <w:p>
                    <w:pPr>
                      <w:spacing w:line="63" w:lineRule="exact" w:before="0"/>
                      <w:ind w:left="0" w:right="-20" w:firstLine="0"/>
                      <w:jc w:val="left"/>
                      <w:rPr>
                        <w:rFonts w:ascii="Calibri"/>
                        <w:sz w:val="6"/>
                      </w:rPr>
                    </w:pPr>
                    <w:r>
                      <w:rPr>
                        <w:rFonts w:ascii="Calibri"/>
                        <w:w w:val="105"/>
                        <w:sz w:val="6"/>
                      </w:rPr>
                      <w:t>0.7</w:t>
                    </w:r>
                  </w:p>
                </w:txbxContent>
              </v:textbox>
              <w10:wrap type="none"/>
            </v:shape>
            <v:shape style="position:absolute;left:13780;top:3663;width:80;height:146" type="#_x0000_t202" filled="false" stroked="false">
              <v:textbox inset="0,0,0,0">
                <w:txbxContent>
                  <w:p>
                    <w:pPr>
                      <w:spacing w:line="65" w:lineRule="exact" w:before="0"/>
                      <w:ind w:left="0" w:right="-20" w:firstLine="0"/>
                      <w:jc w:val="left"/>
                      <w:rPr>
                        <w:rFonts w:ascii="Calibri"/>
                        <w:sz w:val="6"/>
                      </w:rPr>
                    </w:pPr>
                    <w:r>
                      <w:rPr>
                        <w:rFonts w:ascii="Calibri"/>
                        <w:w w:val="105"/>
                        <w:sz w:val="6"/>
                      </w:rPr>
                      <w:t>0.7</w:t>
                    </w:r>
                  </w:p>
                  <w:p>
                    <w:pPr>
                      <w:spacing w:line="71" w:lineRule="exact" w:before="9"/>
                      <w:ind w:left="0" w:right="-20" w:firstLine="0"/>
                      <w:jc w:val="left"/>
                      <w:rPr>
                        <w:rFonts w:ascii="Calibri"/>
                        <w:sz w:val="6"/>
                      </w:rPr>
                    </w:pPr>
                    <w:r>
                      <w:rPr>
                        <w:rFonts w:ascii="Calibri"/>
                        <w:w w:val="105"/>
                        <w:sz w:val="6"/>
                      </w:rPr>
                      <w:t>0.7</w:t>
                    </w:r>
                  </w:p>
                </w:txbxContent>
              </v:textbox>
              <w10:wrap type="none"/>
            </v:shape>
            <v:shape style="position:absolute;left:14149;top:3663;width:32;height:146" type="#_x0000_t202" filled="false" stroked="false">
              <v:textbox inset="0,0,0,0">
                <w:txbxContent>
                  <w:p>
                    <w:pPr>
                      <w:spacing w:line="65" w:lineRule="exact" w:before="0"/>
                      <w:ind w:left="0" w:right="0" w:firstLine="0"/>
                      <w:jc w:val="left"/>
                      <w:rPr>
                        <w:rFonts w:ascii="Calibri"/>
                        <w:sz w:val="6"/>
                      </w:rPr>
                    </w:pPr>
                    <w:r>
                      <w:rPr>
                        <w:rFonts w:ascii="Calibri"/>
                        <w:w w:val="104"/>
                        <w:sz w:val="6"/>
                      </w:rPr>
                      <w:t>1</w:t>
                    </w:r>
                  </w:p>
                  <w:p>
                    <w:pPr>
                      <w:spacing w:line="71" w:lineRule="exact" w:before="9"/>
                      <w:ind w:left="0" w:right="0" w:firstLine="0"/>
                      <w:jc w:val="left"/>
                      <w:rPr>
                        <w:rFonts w:ascii="Calibri"/>
                        <w:sz w:val="6"/>
                      </w:rPr>
                    </w:pPr>
                    <w:r>
                      <w:rPr>
                        <w:rFonts w:ascii="Calibri"/>
                        <w:w w:val="104"/>
                        <w:sz w:val="6"/>
                      </w:rPr>
                      <w:t>1</w:t>
                    </w:r>
                  </w:p>
                </w:txbxContent>
              </v:textbox>
              <w10:wrap type="none"/>
            </v:shape>
            <v:shape style="position:absolute;left:1805;top:3911;width:916;height:63" type="#_x0000_t202" filled="false" stroked="false">
              <v:textbox inset="0,0,0,0">
                <w:txbxContent>
                  <w:p>
                    <w:pPr>
                      <w:spacing w:line="63" w:lineRule="exact" w:before="0"/>
                      <w:ind w:left="0" w:right="-15" w:firstLine="0"/>
                      <w:jc w:val="left"/>
                      <w:rPr>
                        <w:rFonts w:ascii="Calibri" w:hAnsi="Calibri"/>
                        <w:sz w:val="6"/>
                      </w:rPr>
                    </w:pPr>
                    <w:r>
                      <w:rPr>
                        <w:rFonts w:ascii="Calibri" w:hAnsi="Calibri"/>
                        <w:w w:val="105"/>
                        <w:sz w:val="6"/>
                      </w:rPr>
                      <w:t>5   Índice de satisfacción residencial</w:t>
                    </w:r>
                  </w:p>
                </w:txbxContent>
              </v:textbox>
              <w10:wrap type="none"/>
            </v:shape>
            <v:shape style="position:absolute;left:2963;top:3911;width:740;height:63" type="#_x0000_t202" filled="false" stroked="false">
              <v:textbox inset="0,0,0,0">
                <w:txbxContent>
                  <w:p>
                    <w:pPr>
                      <w:spacing w:line="63" w:lineRule="exact" w:before="0"/>
                      <w:ind w:left="0" w:right="-10" w:firstLine="0"/>
                      <w:jc w:val="left"/>
                      <w:rPr>
                        <w:rFonts w:ascii="Calibri"/>
                        <w:sz w:val="6"/>
                      </w:rPr>
                    </w:pPr>
                    <w:r>
                      <w:rPr>
                        <w:rFonts w:ascii="Calibri"/>
                        <w:w w:val="105"/>
                        <w:sz w:val="6"/>
                      </w:rPr>
                      <w:t>Sociedad</w:t>
                    </w:r>
                    <w:r>
                      <w:rPr>
                        <w:rFonts w:ascii="Calibri"/>
                        <w:spacing w:val="-9"/>
                        <w:w w:val="105"/>
                        <w:sz w:val="6"/>
                      </w:rPr>
                      <w:t> </w:t>
                    </w:r>
                    <w:r>
                      <w:rPr>
                        <w:rFonts w:ascii="Calibri"/>
                        <w:w w:val="105"/>
                        <w:sz w:val="6"/>
                      </w:rPr>
                      <w:t>Hipotecaria</w:t>
                    </w:r>
                    <w:r>
                      <w:rPr>
                        <w:rFonts w:ascii="Calibri"/>
                        <w:spacing w:val="-8"/>
                        <w:w w:val="105"/>
                        <w:sz w:val="6"/>
                      </w:rPr>
                      <w:t> </w:t>
                    </w:r>
                    <w:r>
                      <w:rPr>
                        <w:rFonts w:ascii="Calibri"/>
                        <w:w w:val="105"/>
                        <w:sz w:val="6"/>
                      </w:rPr>
                      <w:t>Federal</w:t>
                    </w:r>
                  </w:p>
                </w:txbxContent>
              </v:textbox>
              <w10:wrap type="none"/>
            </v:shape>
            <v:shape style="position:absolute;left:4204;top:3950;width:2275;height:63" type="#_x0000_t202" filled="false" stroked="false">
              <v:textbox inset="0,0,0,0">
                <w:txbxContent>
                  <w:p>
                    <w:pPr>
                      <w:spacing w:line="63" w:lineRule="exact" w:before="0"/>
                      <w:ind w:left="0" w:right="0" w:firstLine="0"/>
                      <w:jc w:val="left"/>
                      <w:rPr>
                        <w:rFonts w:ascii="Calibri" w:hAnsi="Calibri"/>
                        <w:sz w:val="6"/>
                      </w:rPr>
                    </w:pPr>
                    <w:r>
                      <w:rPr>
                        <w:rFonts w:ascii="Calibri" w:hAnsi="Calibri"/>
                        <w:w w:val="105"/>
                        <w:sz w:val="6"/>
                      </w:rPr>
                      <w:t>¿Cuál es el índice de satisfacción residencial del Estado de México, respecto al nacional?</w:t>
                    </w:r>
                  </w:p>
                </w:txbxContent>
              </v:textbox>
              <w10:wrap type="none"/>
            </v:shape>
            <v:shape style="position:absolute;left:6662;top:3911;width:732;height:63" type="#_x0000_t202" filled="false" stroked="false">
              <v:textbox inset="0,0,0,0">
                <w:txbxContent>
                  <w:p>
                    <w:pPr>
                      <w:spacing w:line="63" w:lineRule="exact" w:before="0"/>
                      <w:ind w:left="0" w:right="-9" w:firstLine="0"/>
                      <w:jc w:val="left"/>
                      <w:rPr>
                        <w:rFonts w:ascii="Calibri"/>
                        <w:sz w:val="6"/>
                      </w:rPr>
                    </w:pPr>
                    <w:r>
                      <w:rPr>
                        <w:rFonts w:ascii="Calibri"/>
                        <w:w w:val="105"/>
                        <w:sz w:val="6"/>
                      </w:rPr>
                      <w:t>Arriba</w:t>
                    </w:r>
                    <w:r>
                      <w:rPr>
                        <w:rFonts w:ascii="Calibri"/>
                        <w:spacing w:val="-8"/>
                        <w:w w:val="105"/>
                        <w:sz w:val="6"/>
                      </w:rPr>
                      <w:t> </w:t>
                    </w:r>
                    <w:r>
                      <w:rPr>
                        <w:rFonts w:ascii="Calibri"/>
                        <w:w w:val="105"/>
                        <w:sz w:val="6"/>
                      </w:rPr>
                      <w:t>del</w:t>
                    </w:r>
                    <w:r>
                      <w:rPr>
                        <w:rFonts w:ascii="Calibri"/>
                        <w:spacing w:val="-8"/>
                        <w:w w:val="105"/>
                        <w:sz w:val="6"/>
                      </w:rPr>
                      <w:t> </w:t>
                    </w:r>
                    <w:r>
                      <w:rPr>
                        <w:rFonts w:ascii="Calibri"/>
                        <w:w w:val="105"/>
                        <w:sz w:val="6"/>
                      </w:rPr>
                      <w:t>promedio</w:t>
                    </w:r>
                    <w:r>
                      <w:rPr>
                        <w:rFonts w:ascii="Calibri"/>
                        <w:spacing w:val="-9"/>
                        <w:w w:val="105"/>
                        <w:sz w:val="6"/>
                      </w:rPr>
                      <w:t> </w:t>
                    </w:r>
                    <w:r>
                      <w:rPr>
                        <w:rFonts w:ascii="Calibri"/>
                        <w:w w:val="105"/>
                        <w:sz w:val="6"/>
                      </w:rPr>
                      <w:t>nacional</w:t>
                    </w:r>
                  </w:p>
                </w:txbxContent>
              </v:textbox>
              <w10:wrap type="none"/>
            </v:shape>
            <v:shape style="position:absolute;left:7612;top:3911;width:1254;height:63" type="#_x0000_t202" filled="false" stroked="false">
              <v:textbox inset="0,0,0,0">
                <w:txbxContent>
                  <w:p>
                    <w:pPr>
                      <w:spacing w:line="63" w:lineRule="exact" w:before="0"/>
                      <w:ind w:left="0" w:right="0" w:firstLine="0"/>
                      <w:jc w:val="left"/>
                      <w:rPr>
                        <w:rFonts w:ascii="Calibri"/>
                        <w:sz w:val="6"/>
                      </w:rPr>
                    </w:pPr>
                    <w:r>
                      <w:rPr>
                        <w:rFonts w:ascii="Calibri"/>
                        <w:w w:val="105"/>
                        <w:sz w:val="6"/>
                      </w:rPr>
                      <w:t>Igual</w:t>
                    </w:r>
                    <w:r>
                      <w:rPr>
                        <w:rFonts w:ascii="Calibri"/>
                        <w:spacing w:val="-4"/>
                        <w:w w:val="105"/>
                        <w:sz w:val="6"/>
                      </w:rPr>
                      <w:t> </w:t>
                    </w:r>
                    <w:r>
                      <w:rPr>
                        <w:rFonts w:ascii="Calibri"/>
                        <w:w w:val="105"/>
                        <w:sz w:val="6"/>
                      </w:rPr>
                      <w:t>o</w:t>
                    </w:r>
                    <w:r>
                      <w:rPr>
                        <w:rFonts w:ascii="Calibri"/>
                        <w:spacing w:val="-6"/>
                        <w:w w:val="105"/>
                        <w:sz w:val="6"/>
                      </w:rPr>
                      <w:t> </w:t>
                    </w:r>
                    <w:r>
                      <w:rPr>
                        <w:rFonts w:ascii="Calibri"/>
                        <w:w w:val="105"/>
                        <w:sz w:val="6"/>
                      </w:rPr>
                      <w:t>menos</w:t>
                    </w:r>
                    <w:r>
                      <w:rPr>
                        <w:rFonts w:ascii="Calibri"/>
                        <w:spacing w:val="-3"/>
                        <w:w w:val="105"/>
                        <w:sz w:val="6"/>
                      </w:rPr>
                      <w:t> </w:t>
                    </w:r>
                    <w:r>
                      <w:rPr>
                        <w:rFonts w:ascii="Calibri"/>
                        <w:w w:val="105"/>
                        <w:sz w:val="6"/>
                      </w:rPr>
                      <w:t>de</w:t>
                    </w:r>
                    <w:r>
                      <w:rPr>
                        <w:rFonts w:ascii="Calibri"/>
                        <w:spacing w:val="-4"/>
                        <w:w w:val="105"/>
                        <w:sz w:val="6"/>
                      </w:rPr>
                      <w:t> </w:t>
                    </w:r>
                    <w:r>
                      <w:rPr>
                        <w:rFonts w:ascii="Calibri"/>
                        <w:w w:val="105"/>
                        <w:sz w:val="6"/>
                      </w:rPr>
                      <w:t>un</w:t>
                    </w:r>
                    <w:r>
                      <w:rPr>
                        <w:rFonts w:ascii="Calibri"/>
                        <w:spacing w:val="-6"/>
                        <w:w w:val="105"/>
                        <w:sz w:val="6"/>
                      </w:rPr>
                      <w:t> </w:t>
                    </w:r>
                    <w:r>
                      <w:rPr>
                        <w:rFonts w:ascii="Calibri"/>
                        <w:w w:val="105"/>
                        <w:sz w:val="6"/>
                      </w:rPr>
                      <w:t>punto</w:t>
                    </w:r>
                    <w:r>
                      <w:rPr>
                        <w:rFonts w:ascii="Calibri"/>
                        <w:spacing w:val="-6"/>
                        <w:w w:val="105"/>
                        <w:sz w:val="6"/>
                      </w:rPr>
                      <w:t> </w:t>
                    </w:r>
                    <w:r>
                      <w:rPr>
                        <w:rFonts w:ascii="Calibri"/>
                        <w:w w:val="105"/>
                        <w:sz w:val="6"/>
                      </w:rPr>
                      <w:t>del</w:t>
                    </w:r>
                    <w:r>
                      <w:rPr>
                        <w:rFonts w:ascii="Calibri"/>
                        <w:spacing w:val="-4"/>
                        <w:w w:val="105"/>
                        <w:sz w:val="6"/>
                      </w:rPr>
                      <w:t> </w:t>
                    </w:r>
                    <w:r>
                      <w:rPr>
                        <w:rFonts w:ascii="Calibri"/>
                        <w:w w:val="105"/>
                        <w:sz w:val="6"/>
                      </w:rPr>
                      <w:t>promedio</w:t>
                    </w:r>
                    <w:r>
                      <w:rPr>
                        <w:rFonts w:ascii="Calibri"/>
                        <w:spacing w:val="-6"/>
                        <w:w w:val="105"/>
                        <w:sz w:val="6"/>
                      </w:rPr>
                      <w:t> </w:t>
                    </w:r>
                    <w:r>
                      <w:rPr>
                        <w:rFonts w:ascii="Calibri"/>
                        <w:w w:val="105"/>
                        <w:sz w:val="6"/>
                      </w:rPr>
                      <w:t>nacional</w:t>
                    </w:r>
                  </w:p>
                </w:txbxContent>
              </v:textbox>
              <w10:wrap type="none"/>
            </v:shape>
            <v:shape style="position:absolute;left:12964;top:3993;width:207;height:146" type="#_x0000_t202" filled="false" stroked="false">
              <v:textbox inset="0,0,0,0">
                <w:txbxContent>
                  <w:p>
                    <w:pPr>
                      <w:spacing w:line="65" w:lineRule="exact" w:before="0"/>
                      <w:ind w:left="0" w:right="0" w:firstLine="0"/>
                      <w:jc w:val="center"/>
                      <w:rPr>
                        <w:rFonts w:ascii="Calibri"/>
                        <w:sz w:val="6"/>
                      </w:rPr>
                    </w:pPr>
                    <w:r>
                      <w:rPr>
                        <w:rFonts w:ascii="Calibri"/>
                        <w:w w:val="104"/>
                        <w:sz w:val="6"/>
                      </w:rPr>
                      <w:t>1</w:t>
                    </w:r>
                  </w:p>
                  <w:p>
                    <w:pPr>
                      <w:spacing w:line="71" w:lineRule="exact" w:before="9"/>
                      <w:ind w:left="0" w:right="0" w:firstLine="0"/>
                      <w:jc w:val="center"/>
                      <w:rPr>
                        <w:rFonts w:ascii="Calibri"/>
                        <w:sz w:val="6"/>
                      </w:rPr>
                    </w:pPr>
                    <w:r>
                      <w:rPr>
                        <w:rFonts w:ascii="Calibri"/>
                        <w:spacing w:val="-2"/>
                        <w:w w:val="105"/>
                        <w:sz w:val="6"/>
                      </w:rPr>
                      <w:t>Subtotal</w:t>
                    </w:r>
                  </w:p>
                </w:txbxContent>
              </v:textbox>
              <w10:wrap type="none"/>
            </v:shape>
            <v:shape style="position:absolute;left:13458;top:4075;width:32;height:63" type="#_x0000_t202" filled="false" stroked="false">
              <v:textbox inset="0,0,0,0">
                <w:txbxContent>
                  <w:p>
                    <w:pPr>
                      <w:spacing w:line="63" w:lineRule="exact" w:before="0"/>
                      <w:ind w:left="0" w:right="0" w:firstLine="0"/>
                      <w:jc w:val="left"/>
                      <w:rPr>
                        <w:rFonts w:ascii="Calibri"/>
                        <w:sz w:val="6"/>
                      </w:rPr>
                    </w:pPr>
                    <w:r>
                      <w:rPr>
                        <w:rFonts w:ascii="Calibri"/>
                        <w:w w:val="104"/>
                        <w:sz w:val="6"/>
                      </w:rPr>
                      <w:t>1</w:t>
                    </w:r>
                  </w:p>
                </w:txbxContent>
              </v:textbox>
              <w10:wrap type="none"/>
            </v:shape>
            <v:shape style="position:absolute;left:13780;top:3993;width:80;height:146" type="#_x0000_t202" filled="false" stroked="false">
              <v:textbox inset="0,0,0,0">
                <w:txbxContent>
                  <w:p>
                    <w:pPr>
                      <w:spacing w:line="65" w:lineRule="exact" w:before="0"/>
                      <w:ind w:left="0" w:right="-20" w:firstLine="0"/>
                      <w:jc w:val="left"/>
                      <w:rPr>
                        <w:rFonts w:ascii="Calibri"/>
                        <w:sz w:val="6"/>
                      </w:rPr>
                    </w:pPr>
                    <w:r>
                      <w:rPr>
                        <w:rFonts w:ascii="Calibri"/>
                        <w:w w:val="105"/>
                        <w:sz w:val="6"/>
                      </w:rPr>
                      <w:t>0.7</w:t>
                    </w:r>
                  </w:p>
                  <w:p>
                    <w:pPr>
                      <w:spacing w:line="71" w:lineRule="exact" w:before="9"/>
                      <w:ind w:left="0" w:right="-20" w:firstLine="0"/>
                      <w:jc w:val="left"/>
                      <w:rPr>
                        <w:rFonts w:ascii="Calibri"/>
                        <w:sz w:val="6"/>
                      </w:rPr>
                    </w:pPr>
                    <w:r>
                      <w:rPr>
                        <w:rFonts w:ascii="Calibri"/>
                        <w:w w:val="105"/>
                        <w:sz w:val="6"/>
                      </w:rPr>
                      <w:t>0.7</w:t>
                    </w:r>
                  </w:p>
                </w:txbxContent>
              </v:textbox>
              <w10:wrap type="none"/>
            </v:shape>
            <v:shape style="position:absolute;left:14149;top:3993;width:32;height:146" type="#_x0000_t202" filled="false" stroked="false">
              <v:textbox inset="0,0,0,0">
                <w:txbxContent>
                  <w:p>
                    <w:pPr>
                      <w:spacing w:line="65" w:lineRule="exact" w:before="0"/>
                      <w:ind w:left="0" w:right="0" w:firstLine="0"/>
                      <w:jc w:val="left"/>
                      <w:rPr>
                        <w:rFonts w:ascii="Calibri"/>
                        <w:sz w:val="6"/>
                      </w:rPr>
                    </w:pPr>
                    <w:r>
                      <w:rPr>
                        <w:rFonts w:ascii="Calibri"/>
                        <w:w w:val="104"/>
                        <w:sz w:val="6"/>
                      </w:rPr>
                      <w:t>1</w:t>
                    </w:r>
                  </w:p>
                  <w:p>
                    <w:pPr>
                      <w:spacing w:line="71" w:lineRule="exact" w:before="9"/>
                      <w:ind w:left="0" w:right="0" w:firstLine="0"/>
                      <w:jc w:val="left"/>
                      <w:rPr>
                        <w:rFonts w:ascii="Calibri"/>
                        <w:sz w:val="6"/>
                      </w:rPr>
                    </w:pPr>
                    <w:r>
                      <w:rPr>
                        <w:rFonts w:ascii="Calibri"/>
                        <w:w w:val="104"/>
                        <w:sz w:val="6"/>
                      </w:rPr>
                      <w:t>1</w:t>
                    </w:r>
                  </w:p>
                </w:txbxContent>
              </v:textbox>
              <w10:wrap type="none"/>
            </v:shape>
            <w10:wrap type="topAndBottom"/>
          </v:group>
        </w:pict>
      </w:r>
      <w:r>
        <w:rPr/>
        <w:t>Tabla 82. Formato de trabajo y evaluación de indicadores sociales.</w:t>
      </w:r>
    </w:p>
    <w:p>
      <w:pPr>
        <w:spacing w:before="102"/>
        <w:ind w:left="135" w:right="0" w:firstLine="0"/>
        <w:jc w:val="left"/>
        <w:rPr>
          <w:sz w:val="21"/>
        </w:rPr>
      </w:pPr>
      <w:r>
        <w:rPr>
          <w:w w:val="105"/>
          <w:sz w:val="21"/>
        </w:rPr>
        <w:t>Fuente: Elaboración propia con base al estudio realizado.</w:t>
      </w:r>
    </w:p>
    <w:p>
      <w:pPr>
        <w:spacing w:after="0"/>
        <w:jc w:val="left"/>
        <w:rPr>
          <w:sz w:val="21"/>
        </w:rPr>
        <w:sectPr>
          <w:headerReference w:type="default" r:id="rId419"/>
          <w:footerReference w:type="default" r:id="rId420"/>
          <w:pgSz w:w="15840" w:h="12240" w:orient="landscape"/>
          <w:pgMar w:header="732" w:footer="1063" w:top="1320" w:bottom="1260" w:left="1280" w:right="1260"/>
          <w:pgNumType w:start="296"/>
        </w:sectPr>
      </w:pPr>
    </w:p>
    <w:p>
      <w:pPr>
        <w:pStyle w:val="BodyText"/>
        <w:rPr>
          <w:sz w:val="20"/>
        </w:rPr>
      </w:pPr>
    </w:p>
    <w:p>
      <w:pPr>
        <w:pStyle w:val="BodyText"/>
        <w:rPr>
          <w:sz w:val="20"/>
        </w:rPr>
      </w:pPr>
    </w:p>
    <w:p>
      <w:pPr>
        <w:pStyle w:val="BodyText"/>
        <w:spacing w:before="5"/>
        <w:rPr>
          <w:sz w:val="29"/>
        </w:rPr>
      </w:pPr>
    </w:p>
    <w:p>
      <w:pPr>
        <w:pStyle w:val="BodyText"/>
        <w:spacing w:before="69"/>
        <w:ind w:left="135"/>
      </w:pPr>
      <w:r>
        <w:rPr/>
        <w:pict>
          <v:group style="position:absolute;margin-left:69.035004pt;margin-top:29.099852pt;width:654.550pt;height:279.55pt;mso-position-horizontal-relative:page;mso-position-vertical-relative:paragraph;z-index:-1121368" coordorigin="1381,582" coordsize="13091,5591">
            <v:rect style="position:absolute;left:1424;top:590;width:13004;height:137" filled="true" fillcolor="#81de55" stroked="false">
              <v:fill type="solid"/>
            </v:rect>
            <v:line style="position:absolute" from="1422,588" to="1426,588" stroked="true" strokeweight=".196027pt" strokecolor="#d3d3d3"/>
            <v:rect style="position:absolute;left:1428;top:586;width:13000;height:8" filled="true" fillcolor="#000000" stroked="false">
              <v:fill type="solid"/>
            </v:rect>
            <v:shape style="position:absolute;left:1768;top:588;width:12659;height:2" coordorigin="1768,588" coordsize="12659,0" path="m14422,588l14426,588m1768,588l1772,588m1862,588l1866,588m2950,588l2954,588m4190,588l4194,588m12793,588l12797,588m12828,588l12832,588m6534,588l6538,588m7512,588l7516,588m8961,588l8965,588m10472,588l10476,588m11120,588l11124,588m11705,588l11709,588m13295,588l13299,588m13641,588l13645,588m13986,588l13990,588m14332,588l14336,588e" filled="false" stroked="true" strokeweight=".196027pt" strokecolor="#d3d3d3">
              <v:path arrowok="t"/>
            </v:shape>
            <v:line style="position:absolute" from="1424,849" to="14428,849" stroked="true" strokeweight="4.31912pt" strokecolor="#81de55"/>
            <v:line style="position:absolute" from="1428,1014" to="14428,1014" stroked="true" strokeweight="4.31912pt" strokecolor="#76933c"/>
            <v:line style="position:absolute" from="1865,892" to="1865,970" stroked="true" strokeweight=".294358pt" strokecolor="#d3d3d3"/>
            <v:line style="position:absolute" from="8963,1178" to="10478,1178" stroked="true" strokeweight="4.31259pt" strokecolor="#808080"/>
            <v:line style="position:absolute" from="1428,1135" to="8963,1135" stroked="true" strokeweight=".196027pt" strokecolor="#d3d3d3"/>
            <v:line style="position:absolute" from="1428,1137" to="8963,1137" stroked="true" strokeweight=".196027pt" strokecolor="#d3d3d3"/>
            <v:line style="position:absolute" from="10478,1135" to="14420,1135" stroked="true" strokeweight=".196027pt" strokecolor="#d3d3d3"/>
            <v:line style="position:absolute" from="10478,1137" to="14420,1137" stroked="true" strokeweight=".196027pt" strokecolor="#d3d3d3"/>
            <v:line style="position:absolute" from="1864,1057" to="1864,6161" stroked="true" strokeweight=".196257pt" strokecolor="#d3d3d3"/>
            <v:line style="position:absolute" from="1866,1057" to="1866,6161" stroked="true" strokeweight=".196257pt" strokecolor="#d3d3d3"/>
            <v:line style="position:absolute" from="1424,586" to="1424,6169" stroked="true" strokeweight=".392514pt" strokecolor="#000000"/>
            <v:line style="position:absolute" from="14424,594" to="14424,6169" stroked="true" strokeweight=".392514pt" strokecolor="#000000"/>
            <v:shape style="position:absolute;left:49695;top:-11217;width:15;height:2087" coordorigin="49695,-11217" coordsize="15,2087" path="m14428,590l14432,590m14428,723l14432,723m14428,806l14432,806m14428,888l14432,888m14428,1135l14432,1135e" filled="false" stroked="true" strokeweight=".196142pt" strokecolor="#d3d3d3">
              <v:path arrowok="t"/>
            </v:shape>
            <w10:wrap type="none"/>
          </v:group>
        </w:pict>
      </w:r>
      <w:r>
        <w:rPr/>
        <w:t>Tabla 83. Formato de trabajo y evaluación de indicadores ambientales.</w:t>
      </w:r>
    </w:p>
    <w:p>
      <w:pPr>
        <w:pStyle w:val="BodyText"/>
        <w:spacing w:before="3"/>
        <w:rPr>
          <w:sz w:val="21"/>
        </w:rPr>
      </w:pPr>
    </w:p>
    <w:tbl>
      <w:tblPr>
        <w:tblW w:w="0" w:type="auto"/>
        <w:jc w:val="left"/>
        <w:tblInd w:w="1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7"/>
        <w:gridCol w:w="1182"/>
        <w:gridCol w:w="1241"/>
        <w:gridCol w:w="2353"/>
        <w:gridCol w:w="968"/>
        <w:gridCol w:w="1449"/>
        <w:gridCol w:w="1516"/>
        <w:gridCol w:w="645"/>
        <w:gridCol w:w="585"/>
        <w:gridCol w:w="1105"/>
        <w:gridCol w:w="485"/>
        <w:gridCol w:w="346"/>
        <w:gridCol w:w="346"/>
        <w:gridCol w:w="346"/>
        <w:gridCol w:w="89"/>
      </w:tblGrid>
      <w:tr>
        <w:trPr>
          <w:trHeight w:val="563" w:hRule="exact"/>
        </w:trPr>
        <w:tc>
          <w:tcPr>
            <w:tcW w:w="347" w:type="dxa"/>
            <w:tcBorders>
              <w:right w:val="single" w:sz="2" w:space="0" w:color="D3D3D3"/>
            </w:tcBorders>
          </w:tcPr>
          <w:p>
            <w:pPr>
              <w:pStyle w:val="TableParagraph"/>
              <w:jc w:val="left"/>
              <w:rPr>
                <w:sz w:val="6"/>
              </w:rPr>
            </w:pPr>
          </w:p>
          <w:p>
            <w:pPr>
              <w:pStyle w:val="TableParagraph"/>
              <w:jc w:val="left"/>
              <w:rPr>
                <w:sz w:val="6"/>
              </w:rPr>
            </w:pPr>
          </w:p>
          <w:p>
            <w:pPr>
              <w:pStyle w:val="TableParagraph"/>
              <w:spacing w:before="6"/>
              <w:jc w:val="left"/>
              <w:rPr>
                <w:sz w:val="7"/>
              </w:rPr>
            </w:pPr>
          </w:p>
          <w:p>
            <w:pPr>
              <w:pStyle w:val="TableParagraph"/>
              <w:spacing w:before="1"/>
              <w:ind w:left="10" w:right="6"/>
              <w:rPr>
                <w:rFonts w:ascii="Calibri" w:hAnsi="Calibri"/>
                <w:b/>
                <w:sz w:val="6"/>
              </w:rPr>
            </w:pPr>
            <w:r>
              <w:rPr>
                <w:rFonts w:ascii="Calibri" w:hAnsi="Calibri"/>
                <w:b/>
                <w:w w:val="105"/>
                <w:sz w:val="6"/>
              </w:rPr>
              <w:t>Índice</w:t>
            </w:r>
          </w:p>
        </w:tc>
        <w:tc>
          <w:tcPr>
            <w:tcW w:w="1182" w:type="dxa"/>
            <w:tcBorders>
              <w:left w:val="single" w:sz="2" w:space="0" w:color="D3D3D3"/>
              <w:right w:val="single" w:sz="2" w:space="0" w:color="D3D3D3"/>
            </w:tcBorders>
          </w:tcPr>
          <w:p>
            <w:pPr>
              <w:pStyle w:val="TableParagraph"/>
              <w:jc w:val="left"/>
              <w:rPr>
                <w:sz w:val="6"/>
              </w:rPr>
            </w:pPr>
          </w:p>
          <w:p>
            <w:pPr>
              <w:pStyle w:val="TableParagraph"/>
              <w:jc w:val="left"/>
              <w:rPr>
                <w:sz w:val="6"/>
              </w:rPr>
            </w:pPr>
          </w:p>
          <w:p>
            <w:pPr>
              <w:pStyle w:val="TableParagraph"/>
              <w:spacing w:before="6"/>
              <w:jc w:val="left"/>
              <w:rPr>
                <w:sz w:val="7"/>
              </w:rPr>
            </w:pPr>
          </w:p>
          <w:p>
            <w:pPr>
              <w:pStyle w:val="TableParagraph"/>
              <w:spacing w:before="1"/>
              <w:ind w:left="490" w:right="391"/>
              <w:rPr>
                <w:rFonts w:ascii="Calibri" w:hAnsi="Calibri"/>
                <w:b/>
                <w:sz w:val="6"/>
              </w:rPr>
            </w:pPr>
            <w:r>
              <w:rPr>
                <w:rFonts w:ascii="Calibri" w:hAnsi="Calibri"/>
                <w:b/>
                <w:w w:val="105"/>
                <w:sz w:val="6"/>
              </w:rPr>
              <w:t>SubÍndice</w:t>
            </w:r>
          </w:p>
        </w:tc>
        <w:tc>
          <w:tcPr>
            <w:tcW w:w="1241" w:type="dxa"/>
            <w:tcBorders>
              <w:left w:val="single" w:sz="2" w:space="0" w:color="D3D3D3"/>
              <w:right w:val="single" w:sz="2" w:space="0" w:color="D3D3D3"/>
            </w:tcBorders>
          </w:tcPr>
          <w:p>
            <w:pPr>
              <w:pStyle w:val="TableParagraph"/>
              <w:jc w:val="left"/>
              <w:rPr>
                <w:sz w:val="6"/>
              </w:rPr>
            </w:pPr>
          </w:p>
          <w:p>
            <w:pPr>
              <w:pStyle w:val="TableParagraph"/>
              <w:jc w:val="left"/>
              <w:rPr>
                <w:sz w:val="6"/>
              </w:rPr>
            </w:pPr>
          </w:p>
          <w:p>
            <w:pPr>
              <w:pStyle w:val="TableParagraph"/>
              <w:spacing w:before="6"/>
              <w:jc w:val="left"/>
              <w:rPr>
                <w:sz w:val="7"/>
              </w:rPr>
            </w:pPr>
          </w:p>
          <w:p>
            <w:pPr>
              <w:pStyle w:val="TableParagraph"/>
              <w:spacing w:before="1"/>
              <w:ind w:left="474" w:right="474"/>
              <w:rPr>
                <w:rFonts w:ascii="Calibri"/>
                <w:b/>
                <w:sz w:val="6"/>
              </w:rPr>
            </w:pPr>
            <w:r>
              <w:rPr>
                <w:rFonts w:ascii="Calibri"/>
                <w:b/>
                <w:w w:val="105"/>
                <w:sz w:val="6"/>
              </w:rPr>
              <w:t>Indicador</w:t>
            </w:r>
          </w:p>
        </w:tc>
        <w:tc>
          <w:tcPr>
            <w:tcW w:w="2353" w:type="dxa"/>
            <w:tcBorders>
              <w:left w:val="single" w:sz="2" w:space="0" w:color="D3D3D3"/>
              <w:right w:val="single" w:sz="2" w:space="0" w:color="D3D3D3"/>
            </w:tcBorders>
          </w:tcPr>
          <w:p>
            <w:pPr/>
          </w:p>
        </w:tc>
        <w:tc>
          <w:tcPr>
            <w:tcW w:w="968" w:type="dxa"/>
            <w:tcBorders>
              <w:left w:val="single" w:sz="2" w:space="0" w:color="D3D3D3"/>
              <w:right w:val="single" w:sz="2" w:space="0" w:color="D3D3D3"/>
            </w:tcBorders>
          </w:tcPr>
          <w:p>
            <w:pPr>
              <w:pStyle w:val="TableParagraph"/>
              <w:spacing w:before="24"/>
              <w:ind w:right="-17"/>
              <w:jc w:val="right"/>
              <w:rPr>
                <w:rFonts w:ascii="Calibri"/>
                <w:b/>
                <w:sz w:val="9"/>
              </w:rPr>
            </w:pPr>
            <w:r>
              <w:rPr>
                <w:rFonts w:ascii="Calibri"/>
                <w:b/>
                <w:w w:val="104"/>
                <w:sz w:val="9"/>
              </w:rPr>
              <w:t>S</w:t>
            </w:r>
          </w:p>
        </w:tc>
        <w:tc>
          <w:tcPr>
            <w:tcW w:w="1449" w:type="dxa"/>
            <w:tcBorders>
              <w:left w:val="single" w:sz="2" w:space="0" w:color="D3D3D3"/>
              <w:right w:val="single" w:sz="2" w:space="0" w:color="D3D3D3"/>
            </w:tcBorders>
          </w:tcPr>
          <w:p>
            <w:pPr>
              <w:pStyle w:val="TableParagraph"/>
              <w:spacing w:before="24"/>
              <w:ind w:right="579"/>
              <w:rPr>
                <w:rFonts w:ascii="Calibri"/>
                <w:b/>
                <w:sz w:val="9"/>
              </w:rPr>
            </w:pPr>
            <w:r>
              <w:rPr>
                <w:rFonts w:ascii="Calibri"/>
                <w:b/>
                <w:w w:val="105"/>
                <w:sz w:val="9"/>
              </w:rPr>
              <w:t>istema de Indicadores</w:t>
            </w:r>
          </w:p>
          <w:p>
            <w:pPr>
              <w:pStyle w:val="TableParagraph"/>
              <w:spacing w:before="9"/>
              <w:ind w:right="618"/>
              <w:rPr>
                <w:rFonts w:ascii="Calibri" w:hAnsi="Calibri"/>
                <w:sz w:val="6"/>
              </w:rPr>
            </w:pPr>
            <w:r>
              <w:rPr>
                <w:rFonts w:ascii="Calibri" w:hAnsi="Calibri"/>
                <w:w w:val="105"/>
                <w:sz w:val="6"/>
              </w:rPr>
              <w:t>Formato de evaluación</w:t>
            </w:r>
          </w:p>
          <w:p>
            <w:pPr>
              <w:pStyle w:val="TableParagraph"/>
              <w:spacing w:before="5"/>
              <w:ind w:left="719"/>
              <w:jc w:val="left"/>
              <w:rPr>
                <w:rFonts w:ascii="Calibri" w:hAnsi="Calibri"/>
                <w:b/>
                <w:sz w:val="6"/>
              </w:rPr>
            </w:pPr>
            <w:r>
              <w:rPr>
                <w:rFonts w:ascii="Calibri" w:hAnsi="Calibri"/>
                <w:b/>
                <w:w w:val="105"/>
                <w:sz w:val="6"/>
              </w:rPr>
              <w:t>Medición Reactivos</w:t>
            </w:r>
          </w:p>
        </w:tc>
        <w:tc>
          <w:tcPr>
            <w:tcW w:w="1516" w:type="dxa"/>
            <w:tcBorders>
              <w:left w:val="single" w:sz="2" w:space="0" w:color="D3D3D3"/>
              <w:right w:val="single" w:sz="2" w:space="0" w:color="D3D3D3"/>
            </w:tcBorders>
          </w:tcPr>
          <w:p>
            <w:pPr/>
          </w:p>
        </w:tc>
        <w:tc>
          <w:tcPr>
            <w:tcW w:w="645" w:type="dxa"/>
            <w:tcBorders>
              <w:left w:val="single" w:sz="2" w:space="0" w:color="D3D3D3"/>
              <w:right w:val="single" w:sz="2" w:space="0" w:color="D3D3D3"/>
            </w:tcBorders>
          </w:tcPr>
          <w:p>
            <w:pPr/>
          </w:p>
        </w:tc>
        <w:tc>
          <w:tcPr>
            <w:tcW w:w="585" w:type="dxa"/>
            <w:tcBorders>
              <w:left w:val="single" w:sz="2" w:space="0" w:color="D3D3D3"/>
              <w:right w:val="single" w:sz="2" w:space="0" w:color="D3D3D3"/>
            </w:tcBorders>
          </w:tcPr>
          <w:p>
            <w:pPr/>
          </w:p>
        </w:tc>
        <w:tc>
          <w:tcPr>
            <w:tcW w:w="1105" w:type="dxa"/>
            <w:tcBorders>
              <w:left w:val="single" w:sz="2" w:space="0" w:color="D3D3D3"/>
              <w:right w:val="single" w:sz="15" w:space="0" w:color="FFFFFF"/>
            </w:tcBorders>
          </w:tcPr>
          <w:p>
            <w:pPr/>
          </w:p>
        </w:tc>
        <w:tc>
          <w:tcPr>
            <w:tcW w:w="485" w:type="dxa"/>
            <w:tcBorders>
              <w:left w:val="single" w:sz="15" w:space="0" w:color="FFFFFF"/>
              <w:right w:val="single" w:sz="2" w:space="0" w:color="D3D3D3"/>
            </w:tcBorders>
          </w:tcPr>
          <w:p>
            <w:pPr/>
          </w:p>
        </w:tc>
        <w:tc>
          <w:tcPr>
            <w:tcW w:w="346" w:type="dxa"/>
            <w:tcBorders>
              <w:left w:val="single" w:sz="2" w:space="0" w:color="D3D3D3"/>
              <w:right w:val="single" w:sz="2" w:space="0" w:color="D3D3D3"/>
            </w:tcBorders>
          </w:tcPr>
          <w:p>
            <w:pPr>
              <w:pStyle w:val="TableParagraph"/>
              <w:jc w:val="left"/>
              <w:rPr>
                <w:sz w:val="6"/>
              </w:rPr>
            </w:pPr>
          </w:p>
          <w:p>
            <w:pPr>
              <w:pStyle w:val="TableParagraph"/>
              <w:jc w:val="left"/>
              <w:rPr>
                <w:sz w:val="6"/>
              </w:rPr>
            </w:pPr>
          </w:p>
          <w:p>
            <w:pPr>
              <w:pStyle w:val="TableParagraph"/>
              <w:spacing w:before="3"/>
              <w:jc w:val="left"/>
              <w:rPr>
                <w:sz w:val="7"/>
              </w:rPr>
            </w:pPr>
          </w:p>
          <w:p>
            <w:pPr>
              <w:pStyle w:val="TableParagraph"/>
              <w:ind w:right="-8"/>
              <w:jc w:val="right"/>
              <w:rPr>
                <w:rFonts w:ascii="Calibri"/>
                <w:b/>
                <w:sz w:val="6"/>
              </w:rPr>
            </w:pPr>
            <w:r>
              <w:rPr>
                <w:rFonts w:ascii="Calibri"/>
                <w:b/>
                <w:w w:val="105"/>
                <w:sz w:val="6"/>
              </w:rPr>
              <w:t>Valo</w:t>
            </w:r>
          </w:p>
        </w:tc>
        <w:tc>
          <w:tcPr>
            <w:tcW w:w="346" w:type="dxa"/>
            <w:tcBorders>
              <w:left w:val="single" w:sz="2" w:space="0" w:color="D3D3D3"/>
              <w:right w:val="single" w:sz="2" w:space="0" w:color="D3D3D3"/>
            </w:tcBorders>
          </w:tcPr>
          <w:p>
            <w:pPr>
              <w:pStyle w:val="TableParagraph"/>
              <w:jc w:val="left"/>
              <w:rPr>
                <w:sz w:val="6"/>
              </w:rPr>
            </w:pPr>
          </w:p>
          <w:p>
            <w:pPr>
              <w:pStyle w:val="TableParagraph"/>
              <w:jc w:val="left"/>
              <w:rPr>
                <w:sz w:val="6"/>
              </w:rPr>
            </w:pPr>
          </w:p>
          <w:p>
            <w:pPr>
              <w:pStyle w:val="TableParagraph"/>
              <w:spacing w:before="3"/>
              <w:jc w:val="left"/>
              <w:rPr>
                <w:sz w:val="7"/>
              </w:rPr>
            </w:pPr>
          </w:p>
          <w:p>
            <w:pPr>
              <w:pStyle w:val="TableParagraph"/>
              <w:ind w:left="4"/>
              <w:jc w:val="left"/>
              <w:rPr>
                <w:rFonts w:ascii="Calibri"/>
                <w:b/>
                <w:sz w:val="6"/>
              </w:rPr>
            </w:pPr>
            <w:r>
              <w:rPr>
                <w:rFonts w:ascii="Calibri"/>
                <w:b/>
                <w:w w:val="105"/>
                <w:sz w:val="6"/>
              </w:rPr>
              <w:t>res</w:t>
            </w:r>
          </w:p>
        </w:tc>
        <w:tc>
          <w:tcPr>
            <w:tcW w:w="346" w:type="dxa"/>
            <w:tcBorders>
              <w:left w:val="single" w:sz="2" w:space="0" w:color="D3D3D3"/>
              <w:right w:val="single" w:sz="2" w:space="0" w:color="D3D3D3"/>
            </w:tcBorders>
          </w:tcPr>
          <w:p>
            <w:pPr/>
          </w:p>
        </w:tc>
        <w:tc>
          <w:tcPr>
            <w:tcW w:w="89" w:type="dxa"/>
            <w:vMerge w:val="restart"/>
          </w:tcPr>
          <w:p>
            <w:pPr/>
          </w:p>
        </w:tc>
      </w:tr>
      <w:tr>
        <w:trPr>
          <w:trHeight w:val="8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Style w:val="TableParagraph"/>
              <w:spacing w:line="65" w:lineRule="exact"/>
              <w:ind w:left="32"/>
              <w:jc w:val="left"/>
              <w:rPr>
                <w:rFonts w:ascii="Calibri"/>
                <w:sz w:val="6"/>
              </w:rPr>
            </w:pPr>
            <w:r>
              <w:rPr>
                <w:rFonts w:ascii="Calibri"/>
                <w:w w:val="105"/>
                <w:sz w:val="6"/>
              </w:rPr>
              <w:t>1 Autorizaciones</w:t>
            </w:r>
          </w:p>
        </w:tc>
        <w:tc>
          <w:tcPr>
            <w:tcW w:w="1241" w:type="dxa"/>
            <w:tcBorders>
              <w:left w:val="single" w:sz="2" w:space="0" w:color="D3D3D3"/>
              <w:right w:val="single" w:sz="2" w:space="0" w:color="D3D3D3"/>
            </w:tcBorders>
          </w:tcPr>
          <w:p>
            <w:pPr>
              <w:pStyle w:val="TableParagraph"/>
              <w:spacing w:line="65" w:lineRule="exact"/>
              <w:ind w:left="8"/>
              <w:jc w:val="left"/>
              <w:rPr>
                <w:rFonts w:ascii="Calibri"/>
                <w:sz w:val="6"/>
              </w:rPr>
            </w:pPr>
            <w:r>
              <w:rPr>
                <w:rFonts w:ascii="Calibri"/>
                <w:w w:val="105"/>
                <w:sz w:val="6"/>
              </w:rPr>
              <w:t>Tipo de la vivienda</w:t>
            </w:r>
          </w:p>
        </w:tc>
        <w:tc>
          <w:tcPr>
            <w:tcW w:w="2353" w:type="dxa"/>
            <w:tcBorders>
              <w:left w:val="single" w:sz="2" w:space="0" w:color="D3D3D3"/>
              <w:right w:val="single" w:sz="2" w:space="0" w:color="D3D3D3"/>
            </w:tcBorders>
          </w:tcPr>
          <w:p>
            <w:pPr>
              <w:pStyle w:val="TableParagraph"/>
              <w:spacing w:line="65" w:lineRule="exact"/>
              <w:ind w:left="8"/>
              <w:jc w:val="left"/>
              <w:rPr>
                <w:rFonts w:ascii="Calibri" w:hAnsi="Calibri"/>
                <w:sz w:val="6"/>
              </w:rPr>
            </w:pPr>
            <w:r>
              <w:rPr>
                <w:rFonts w:ascii="Calibri" w:hAnsi="Calibri"/>
                <w:w w:val="105"/>
                <w:sz w:val="6"/>
              </w:rPr>
              <w:t>¿El tipo de vivienda del CU es congruente con el uso de suelo de los alrrededores?</w:t>
            </w:r>
          </w:p>
        </w:tc>
        <w:tc>
          <w:tcPr>
            <w:tcW w:w="968" w:type="dxa"/>
            <w:tcBorders>
              <w:left w:val="single" w:sz="2" w:space="0" w:color="D3D3D3"/>
              <w:right w:val="single" w:sz="2" w:space="0" w:color="D3D3D3"/>
            </w:tcBorders>
            <w:shd w:val="clear" w:color="auto" w:fill="BAF9F5"/>
          </w:tcPr>
          <w:p>
            <w:pPr>
              <w:pStyle w:val="TableParagraph"/>
              <w:spacing w:line="65" w:lineRule="exact"/>
              <w:ind w:left="402" w:right="390"/>
              <w:rPr>
                <w:rFonts w:ascii="Calibri"/>
                <w:sz w:val="6"/>
              </w:rPr>
            </w:pPr>
            <w:r>
              <w:rPr>
                <w:rFonts w:ascii="Calibri"/>
                <w:w w:val="105"/>
                <w:sz w:val="6"/>
              </w:rPr>
              <w:t>Si</w:t>
            </w:r>
          </w:p>
        </w:tc>
        <w:tc>
          <w:tcPr>
            <w:tcW w:w="1449" w:type="dxa"/>
            <w:tcBorders>
              <w:left w:val="single" w:sz="2" w:space="0" w:color="D3D3D3"/>
            </w:tcBorders>
            <w:shd w:val="clear" w:color="auto" w:fill="BAF9F5"/>
          </w:tcPr>
          <w:p>
            <w:pPr>
              <w:pStyle w:val="TableParagraph"/>
              <w:spacing w:line="65" w:lineRule="exact"/>
              <w:ind w:left="415" w:right="412"/>
              <w:rPr>
                <w:rFonts w:ascii="Calibri"/>
                <w:sz w:val="6"/>
              </w:rPr>
            </w:pPr>
            <w:r>
              <w:rPr>
                <w:rFonts w:ascii="Calibri"/>
                <w:w w:val="105"/>
                <w:sz w:val="6"/>
              </w:rPr>
              <w:t>Parcialmente</w:t>
            </w:r>
          </w:p>
        </w:tc>
        <w:tc>
          <w:tcPr>
            <w:tcW w:w="1516" w:type="dxa"/>
            <w:shd w:val="clear" w:color="auto" w:fill="BAF9F5"/>
          </w:tcPr>
          <w:p>
            <w:pPr>
              <w:pStyle w:val="TableParagraph"/>
              <w:spacing w:line="65" w:lineRule="exact"/>
              <w:ind w:left="670" w:right="671"/>
              <w:rPr>
                <w:rFonts w:ascii="Calibri"/>
                <w:sz w:val="6"/>
              </w:rPr>
            </w:pPr>
            <w:r>
              <w:rPr>
                <w:rFonts w:ascii="Calibri"/>
                <w:w w:val="105"/>
                <w:sz w:val="6"/>
              </w:rPr>
              <w:t>Nada</w:t>
            </w:r>
          </w:p>
        </w:tc>
        <w:tc>
          <w:tcPr>
            <w:tcW w:w="645" w:type="dxa"/>
            <w:tcBorders>
              <w:right w:val="single" w:sz="2" w:space="0" w:color="D3D3D3"/>
            </w:tcBorders>
            <w:shd w:val="clear" w:color="auto" w:fill="BAF9F5"/>
          </w:tcPr>
          <w:p>
            <w:pPr/>
          </w:p>
        </w:tc>
        <w:tc>
          <w:tcPr>
            <w:tcW w:w="585" w:type="dxa"/>
            <w:tcBorders>
              <w:left w:val="single" w:sz="2" w:space="0" w:color="D3D3D3"/>
              <w:right w:val="single" w:sz="2" w:space="0" w:color="D3D3D3"/>
            </w:tcBorders>
            <w:shd w:val="clear" w:color="auto" w:fill="BAF9F5"/>
          </w:tcPr>
          <w:p>
            <w:pPr/>
          </w:p>
        </w:tc>
        <w:tc>
          <w:tcPr>
            <w:tcW w:w="1105" w:type="dxa"/>
            <w:tcBorders>
              <w:left w:val="single" w:sz="2" w:space="0" w:color="D3D3D3"/>
              <w:right w:val="single" w:sz="15" w:space="0" w:color="FFFFFF"/>
            </w:tcBorders>
            <w:shd w:val="clear" w:color="auto" w:fill="BAF9F5"/>
          </w:tcPr>
          <w:p>
            <w:pPr/>
          </w:p>
        </w:tc>
        <w:tc>
          <w:tcPr>
            <w:tcW w:w="485" w:type="dxa"/>
            <w:tcBorders>
              <w:left w:val="single" w:sz="15" w:space="0" w:color="FFFFFF"/>
              <w:right w:val="single" w:sz="2" w:space="0" w:color="D3D3D3"/>
            </w:tcBorders>
            <w:shd w:val="clear" w:color="auto" w:fill="BAF9F5"/>
          </w:tcPr>
          <w:p>
            <w:pPr>
              <w:pStyle w:val="TableParagraph"/>
              <w:spacing w:line="65" w:lineRule="exact"/>
              <w:ind w:left="96"/>
              <w:jc w:val="left"/>
              <w:rPr>
                <w:rFonts w:ascii="Calibri" w:hAnsi="Calibri"/>
                <w:sz w:val="6"/>
              </w:rPr>
            </w:pPr>
            <w:r>
              <w:rPr>
                <w:rFonts w:ascii="Calibri" w:hAnsi="Calibri"/>
                <w:w w:val="105"/>
                <w:sz w:val="6"/>
              </w:rPr>
              <w:t>Evaluación</w:t>
            </w:r>
          </w:p>
        </w:tc>
        <w:tc>
          <w:tcPr>
            <w:tcW w:w="346" w:type="dxa"/>
            <w:tcBorders>
              <w:left w:val="single" w:sz="2" w:space="0" w:color="D3D3D3"/>
              <w:right w:val="single" w:sz="2" w:space="0" w:color="D3D3D3"/>
            </w:tcBorders>
          </w:tcPr>
          <w:p>
            <w:pPr>
              <w:pStyle w:val="TableParagraph"/>
              <w:spacing w:line="65" w:lineRule="exact"/>
              <w:ind w:left="114"/>
              <w:jc w:val="left"/>
              <w:rPr>
                <w:rFonts w:ascii="Calibri"/>
                <w:sz w:val="6"/>
              </w:rPr>
            </w:pPr>
            <w:r>
              <w:rPr>
                <w:rFonts w:ascii="Calibri"/>
                <w:w w:val="105"/>
                <w:sz w:val="6"/>
              </w:rPr>
              <w:t>Real</w:t>
            </w:r>
          </w:p>
        </w:tc>
        <w:tc>
          <w:tcPr>
            <w:tcW w:w="346" w:type="dxa"/>
            <w:tcBorders>
              <w:left w:val="single" w:sz="2" w:space="0" w:color="D3D3D3"/>
              <w:right w:val="single" w:sz="2" w:space="0" w:color="D3D3D3"/>
            </w:tcBorders>
            <w:shd w:val="clear" w:color="auto" w:fill="BAF9F5"/>
          </w:tcPr>
          <w:p>
            <w:pPr>
              <w:pStyle w:val="TableParagraph"/>
              <w:spacing w:line="65" w:lineRule="exact"/>
              <w:ind w:left="52"/>
              <w:jc w:val="left"/>
              <w:rPr>
                <w:rFonts w:ascii="Calibri"/>
                <w:sz w:val="6"/>
              </w:rPr>
            </w:pPr>
            <w:r>
              <w:rPr>
                <w:rFonts w:ascii="Calibri"/>
                <w:w w:val="105"/>
                <w:sz w:val="6"/>
              </w:rPr>
              <w:t>Deseable</w:t>
            </w:r>
          </w:p>
        </w:tc>
        <w:tc>
          <w:tcPr>
            <w:tcW w:w="346" w:type="dxa"/>
            <w:tcBorders>
              <w:left w:val="single" w:sz="2" w:space="0" w:color="D3D3D3"/>
              <w:right w:val="single" w:sz="2" w:space="0" w:color="D3D3D3"/>
            </w:tcBorders>
            <w:shd w:val="clear" w:color="auto" w:fill="BAF9F5"/>
          </w:tcPr>
          <w:p>
            <w:pPr>
              <w:pStyle w:val="TableParagraph"/>
              <w:spacing w:line="65" w:lineRule="exact"/>
              <w:ind w:left="57" w:right="50"/>
              <w:rPr>
                <w:rFonts w:ascii="Calibri" w:hAnsi="Calibri"/>
                <w:sz w:val="6"/>
              </w:rPr>
            </w:pPr>
            <w:r>
              <w:rPr>
                <w:rFonts w:ascii="Calibri" w:hAnsi="Calibri"/>
                <w:w w:val="105"/>
                <w:sz w:val="6"/>
              </w:rPr>
              <w:t>Óptimo</w:t>
            </w:r>
          </w:p>
        </w:tc>
        <w:tc>
          <w:tcPr>
            <w:tcW w:w="89" w:type="dxa"/>
            <w:vMerge/>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
        </w:tc>
        <w:tc>
          <w:tcPr>
            <w:tcW w:w="1449" w:type="dxa"/>
            <w:shd w:val="clear" w:color="auto" w:fill="BAF9F5"/>
          </w:tcPr>
          <w:p>
            <w:pPr/>
          </w:p>
        </w:tc>
        <w:tc>
          <w:tcPr>
            <w:tcW w:w="1516" w:type="dxa"/>
            <w:shd w:val="clear" w:color="auto" w:fill="BAF9F5"/>
          </w:tcPr>
          <w:p>
            <w:pP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10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Style w:val="TableParagraph"/>
              <w:spacing w:before="49"/>
              <w:ind w:left="8"/>
              <w:jc w:val="left"/>
              <w:rPr>
                <w:rFonts w:ascii="Calibri" w:hAnsi="Calibri"/>
                <w:sz w:val="6"/>
              </w:rPr>
            </w:pPr>
            <w:r>
              <w:rPr>
                <w:rFonts w:ascii="Calibri" w:hAnsi="Calibri"/>
                <w:sz w:val="6"/>
              </w:rPr>
              <w:t>Metros de construcción</w:t>
            </w:r>
          </w:p>
        </w:tc>
        <w:tc>
          <w:tcPr>
            <w:tcW w:w="2353" w:type="dxa"/>
            <w:tcBorders>
              <w:left w:val="single" w:sz="2" w:space="0" w:color="D3D3D3"/>
              <w:right w:val="single" w:sz="2" w:space="0" w:color="D3D3D3"/>
            </w:tcBorders>
          </w:tcPr>
          <w:p>
            <w:pPr>
              <w:pStyle w:val="TableParagraph"/>
              <w:spacing w:before="49"/>
              <w:ind w:left="8" w:right="-3"/>
              <w:jc w:val="left"/>
              <w:rPr>
                <w:rFonts w:ascii="Calibri" w:hAnsi="Calibri"/>
                <w:sz w:val="6"/>
              </w:rPr>
            </w:pPr>
            <w:r>
              <w:rPr>
                <w:rFonts w:ascii="Calibri" w:hAnsi="Calibri"/>
                <w:w w:val="105"/>
                <w:sz w:val="6"/>
              </w:rPr>
              <w:t>¿Los m2 de construcción de la vivienda corresponden al tipo de vivienda autorizada?</w:t>
            </w:r>
          </w:p>
        </w:tc>
        <w:tc>
          <w:tcPr>
            <w:tcW w:w="968" w:type="dxa"/>
            <w:tcBorders>
              <w:top w:val="single" w:sz="35" w:space="0" w:color="BAF9F5"/>
              <w:left w:val="single" w:sz="2" w:space="0" w:color="D3D3D3"/>
              <w:bottom w:val="single" w:sz="35" w:space="0" w:color="BAF9F5"/>
            </w:tcBorders>
          </w:tcPr>
          <w:p>
            <w:pPr>
              <w:pStyle w:val="TableParagraph"/>
              <w:spacing w:line="3" w:lineRule="exact"/>
              <w:ind w:left="9"/>
              <w:rPr>
                <w:rFonts w:ascii="Calibri"/>
                <w:sz w:val="6"/>
              </w:rPr>
            </w:pPr>
            <w:r>
              <w:rPr>
                <w:rFonts w:ascii="Calibri"/>
                <w:w w:val="104"/>
                <w:sz w:val="6"/>
              </w:rPr>
              <w:t>1</w:t>
            </w:r>
          </w:p>
          <w:p>
            <w:pPr>
              <w:pStyle w:val="TableParagraph"/>
              <w:spacing w:before="6"/>
              <w:ind w:left="241" w:right="232"/>
              <w:rPr>
                <w:rFonts w:ascii="Calibri"/>
                <w:sz w:val="6"/>
              </w:rPr>
            </w:pPr>
            <w:r>
              <w:rPr>
                <w:rFonts w:ascii="Calibri"/>
                <w:w w:val="105"/>
                <w:sz w:val="6"/>
              </w:rPr>
              <w:t>Si</w:t>
            </w:r>
          </w:p>
        </w:tc>
        <w:tc>
          <w:tcPr>
            <w:tcW w:w="1449" w:type="dxa"/>
            <w:tcBorders>
              <w:top w:val="single" w:sz="35" w:space="0" w:color="BAF9F5"/>
              <w:bottom w:val="single" w:sz="35" w:space="0" w:color="BAF9F5"/>
            </w:tcBorders>
          </w:tcPr>
          <w:p>
            <w:pPr>
              <w:pStyle w:val="TableParagraph"/>
              <w:spacing w:line="3" w:lineRule="exact"/>
              <w:ind w:left="510" w:right="506"/>
              <w:rPr>
                <w:rFonts w:ascii="Calibri"/>
                <w:sz w:val="6"/>
              </w:rPr>
            </w:pPr>
            <w:r>
              <w:rPr>
                <w:rFonts w:ascii="Calibri"/>
                <w:w w:val="105"/>
                <w:sz w:val="6"/>
              </w:rPr>
              <w:t>0.6</w:t>
            </w:r>
          </w:p>
          <w:p>
            <w:pPr>
              <w:pStyle w:val="TableParagraph"/>
              <w:tabs>
                <w:tab w:pos="691" w:val="left" w:leader="none"/>
                <w:tab w:pos="1452" w:val="left" w:leader="none"/>
              </w:tabs>
              <w:spacing w:before="6"/>
              <w:ind w:right="-4"/>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No</w:t>
            </w:r>
            <w:r>
              <w:rPr>
                <w:rFonts w:ascii="Calibri"/>
                <w:sz w:val="6"/>
                <w:shd w:fill="808080" w:color="auto" w:val="clear"/>
              </w:rPr>
              <w:tab/>
            </w:r>
          </w:p>
        </w:tc>
        <w:tc>
          <w:tcPr>
            <w:tcW w:w="1516" w:type="dxa"/>
            <w:tcBorders>
              <w:top w:val="single" w:sz="35" w:space="0" w:color="BAF9F5"/>
              <w:bottom w:val="single" w:sz="35" w:space="0" w:color="BAF9F5"/>
              <w:right w:val="single" w:sz="2" w:space="0" w:color="D3D3D3"/>
            </w:tcBorders>
          </w:tcPr>
          <w:p>
            <w:pPr>
              <w:pStyle w:val="TableParagraph"/>
              <w:spacing w:line="3" w:lineRule="exact"/>
              <w:ind w:left="3"/>
              <w:rPr>
                <w:rFonts w:ascii="Calibri"/>
                <w:sz w:val="6"/>
              </w:rPr>
            </w:pPr>
            <w:r>
              <w:rPr>
                <w:rFonts w:ascii="Calibri"/>
                <w:w w:val="104"/>
                <w:sz w:val="6"/>
              </w:rPr>
              <w:t>0</w:t>
            </w:r>
          </w:p>
          <w:p>
            <w:pPr>
              <w:pStyle w:val="TableParagraph"/>
              <w:spacing w:before="6"/>
              <w:ind w:left="337" w:right="330"/>
              <w:rPr>
                <w:rFonts w:ascii="Calibri"/>
                <w:sz w:val="6"/>
              </w:rPr>
            </w:pPr>
            <w:r>
              <w:rPr>
                <w:rFonts w:ascii="Calibri"/>
                <w:w w:val="105"/>
                <w:sz w:val="6"/>
              </w:rPr>
              <w:t>Especificar:</w:t>
            </w:r>
          </w:p>
        </w:tc>
        <w:tc>
          <w:tcPr>
            <w:tcW w:w="645" w:type="dxa"/>
            <w:tcBorders>
              <w:top w:val="single" w:sz="35" w:space="0" w:color="BAF9F5"/>
              <w:left w:val="single" w:sz="2" w:space="0" w:color="D3D3D3"/>
              <w:bottom w:val="single" w:sz="35" w:space="0" w:color="BAF9F5"/>
              <w:right w:val="single" w:sz="2" w:space="0" w:color="D3D3D3"/>
            </w:tcBorders>
          </w:tcPr>
          <w:p>
            <w:pPr/>
          </w:p>
        </w:tc>
        <w:tc>
          <w:tcPr>
            <w:tcW w:w="585" w:type="dxa"/>
            <w:tcBorders>
              <w:top w:val="single" w:sz="35" w:space="0" w:color="BAF9F5"/>
              <w:left w:val="single" w:sz="2" w:space="0" w:color="D3D3D3"/>
              <w:bottom w:val="single" w:sz="35" w:space="0" w:color="BAF9F5"/>
              <w:right w:val="single" w:sz="2" w:space="0" w:color="D3D3D3"/>
            </w:tcBorders>
          </w:tcPr>
          <w:p>
            <w:pPr/>
          </w:p>
        </w:tc>
        <w:tc>
          <w:tcPr>
            <w:tcW w:w="1105" w:type="dxa"/>
            <w:tcBorders>
              <w:top w:val="single" w:sz="35" w:space="0" w:color="BAF9F5"/>
              <w:left w:val="single" w:sz="2" w:space="0" w:color="D3D3D3"/>
              <w:bottom w:val="single" w:sz="35" w:space="0" w:color="BAF9F5"/>
              <w:right w:val="single" w:sz="15" w:space="0" w:color="FFFFFF"/>
            </w:tcBorders>
          </w:tcPr>
          <w:p>
            <w:pPr/>
          </w:p>
        </w:tc>
        <w:tc>
          <w:tcPr>
            <w:tcW w:w="485" w:type="dxa"/>
            <w:tcBorders>
              <w:top w:val="single" w:sz="35" w:space="0" w:color="BAF9F5"/>
              <w:left w:val="single" w:sz="15" w:space="0" w:color="FFFFFF"/>
              <w:bottom w:val="single" w:sz="35" w:space="0" w:color="BAF9F5"/>
              <w:right w:val="single" w:sz="2" w:space="0" w:color="D3D3D3"/>
            </w:tcBorders>
          </w:tcPr>
          <w:p>
            <w:pPr>
              <w:pStyle w:val="TableParagraph"/>
              <w:spacing w:line="3" w:lineRule="exact"/>
              <w:ind w:left="4"/>
              <w:rPr>
                <w:rFonts w:ascii="Calibri"/>
                <w:sz w:val="6"/>
              </w:rPr>
            </w:pPr>
            <w:r>
              <w:rPr>
                <w:rFonts w:ascii="Calibri"/>
                <w:w w:val="104"/>
                <w:sz w:val="6"/>
              </w:rPr>
              <w:t>0</w:t>
            </w:r>
          </w:p>
        </w:tc>
        <w:tc>
          <w:tcPr>
            <w:tcW w:w="346" w:type="dxa"/>
            <w:tcBorders>
              <w:left w:val="single" w:sz="2" w:space="0" w:color="D3D3D3"/>
              <w:right w:val="single" w:sz="2" w:space="0" w:color="D3D3D3"/>
            </w:tcBorders>
          </w:tcPr>
          <w:p>
            <w:pP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112" w:right="106"/>
              <w:rPr>
                <w:rFonts w:ascii="Calibri"/>
                <w:sz w:val="6"/>
              </w:rPr>
            </w:pPr>
            <w:r>
              <w:rPr>
                <w:rFonts w:ascii="Calibri"/>
                <w:w w:val="105"/>
                <w:sz w:val="6"/>
              </w:rPr>
              <w:t>0.6</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
        </w:tc>
        <w:tc>
          <w:tcPr>
            <w:tcW w:w="1449" w:type="dxa"/>
            <w:shd w:val="clear" w:color="auto" w:fill="BAF9F5"/>
          </w:tcPr>
          <w:p>
            <w:pPr/>
          </w:p>
        </w:tc>
        <w:tc>
          <w:tcPr>
            <w:tcW w:w="1516" w:type="dxa"/>
            <w:shd w:val="clear" w:color="auto" w:fill="BAF9F5"/>
          </w:tcPr>
          <w:p>
            <w:pP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10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Style w:val="TableParagraph"/>
              <w:spacing w:before="49"/>
              <w:ind w:left="8"/>
              <w:jc w:val="left"/>
              <w:rPr>
                <w:rFonts w:ascii="Calibri"/>
                <w:sz w:val="6"/>
              </w:rPr>
            </w:pPr>
            <w:r>
              <w:rPr>
                <w:rFonts w:ascii="Calibri"/>
                <w:sz w:val="6"/>
              </w:rPr>
              <w:t>Metros de terreno</w:t>
            </w:r>
          </w:p>
        </w:tc>
        <w:tc>
          <w:tcPr>
            <w:tcW w:w="2353" w:type="dxa"/>
            <w:tcBorders>
              <w:left w:val="single" w:sz="2" w:space="0" w:color="D3D3D3"/>
            </w:tcBorders>
          </w:tcPr>
          <w:p>
            <w:pPr>
              <w:pStyle w:val="TableParagraph"/>
              <w:spacing w:before="49"/>
              <w:ind w:left="8"/>
              <w:jc w:val="left"/>
              <w:rPr>
                <w:rFonts w:ascii="Calibri" w:hAnsi="Calibri"/>
                <w:sz w:val="6"/>
              </w:rPr>
            </w:pPr>
            <w:r>
              <w:rPr>
                <w:rFonts w:ascii="Calibri" w:hAnsi="Calibri"/>
                <w:w w:val="105"/>
                <w:sz w:val="6"/>
              </w:rPr>
              <w:t>¿Los m2 de terreno de la vivienda corresponden al tipo de vivienda autorizada?</w:t>
            </w:r>
          </w:p>
        </w:tc>
        <w:tc>
          <w:tcPr>
            <w:tcW w:w="968" w:type="dxa"/>
            <w:tcBorders>
              <w:top w:val="single" w:sz="35" w:space="0" w:color="BAF9F5"/>
              <w:bottom w:val="single" w:sz="35" w:space="0" w:color="BAF9F5"/>
            </w:tcBorders>
            <w:shd w:val="clear" w:color="auto" w:fill="808080"/>
          </w:tcPr>
          <w:p>
            <w:pPr>
              <w:pStyle w:val="TableParagraph"/>
              <w:spacing w:line="3" w:lineRule="exact"/>
              <w:ind w:right="3"/>
              <w:rPr>
                <w:rFonts w:ascii="Calibri"/>
                <w:sz w:val="6"/>
              </w:rPr>
            </w:pPr>
            <w:r>
              <w:rPr>
                <w:rFonts w:ascii="Calibri"/>
                <w:w w:val="104"/>
                <w:sz w:val="6"/>
              </w:rPr>
              <w:t>1</w:t>
            </w:r>
          </w:p>
          <w:p>
            <w:pPr>
              <w:pStyle w:val="TableParagraph"/>
              <w:spacing w:before="6"/>
              <w:ind w:left="401" w:right="403"/>
              <w:rPr>
                <w:rFonts w:ascii="Calibri"/>
                <w:sz w:val="6"/>
              </w:rPr>
            </w:pPr>
            <w:r>
              <w:rPr>
                <w:rFonts w:ascii="Calibri"/>
                <w:w w:val="105"/>
                <w:sz w:val="6"/>
              </w:rPr>
              <w:t>Si</w:t>
            </w:r>
          </w:p>
        </w:tc>
        <w:tc>
          <w:tcPr>
            <w:tcW w:w="1449" w:type="dxa"/>
            <w:tcBorders>
              <w:top w:val="single" w:sz="35" w:space="0" w:color="BAF9F5"/>
              <w:bottom w:val="single" w:sz="35" w:space="0" w:color="BAF9F5"/>
              <w:right w:val="single" w:sz="2" w:space="0" w:color="D3D3D3"/>
            </w:tcBorders>
          </w:tcPr>
          <w:p>
            <w:pPr>
              <w:pStyle w:val="TableParagraph"/>
              <w:spacing w:line="3" w:lineRule="exact"/>
              <w:ind w:left="7"/>
              <w:rPr>
                <w:rFonts w:ascii="Calibri"/>
                <w:sz w:val="6"/>
              </w:rPr>
            </w:pPr>
            <w:r>
              <w:rPr>
                <w:rFonts w:ascii="Calibri"/>
                <w:w w:val="104"/>
                <w:sz w:val="6"/>
              </w:rPr>
              <w:t>0</w:t>
            </w:r>
          </w:p>
          <w:p>
            <w:pPr>
              <w:pStyle w:val="TableParagraph"/>
              <w:spacing w:before="6"/>
              <w:ind w:left="414" w:right="407"/>
              <w:rPr>
                <w:rFonts w:ascii="Calibri"/>
                <w:sz w:val="6"/>
              </w:rPr>
            </w:pPr>
            <w:r>
              <w:rPr>
                <w:rFonts w:ascii="Calibri"/>
                <w:w w:val="105"/>
                <w:sz w:val="6"/>
              </w:rPr>
              <w:t>No</w:t>
            </w:r>
          </w:p>
        </w:tc>
        <w:tc>
          <w:tcPr>
            <w:tcW w:w="151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333" w:right="333"/>
              <w:rPr>
                <w:rFonts w:ascii="Calibri"/>
                <w:sz w:val="6"/>
              </w:rPr>
            </w:pPr>
            <w:r>
              <w:rPr>
                <w:rFonts w:ascii="Calibri"/>
                <w:w w:val="105"/>
                <w:sz w:val="6"/>
              </w:rPr>
              <w:t>Evaluar con base a congruencia</w:t>
            </w:r>
          </w:p>
          <w:p>
            <w:pPr>
              <w:pStyle w:val="TableParagraph"/>
              <w:spacing w:before="6"/>
              <w:ind w:left="333" w:right="331"/>
              <w:rPr>
                <w:rFonts w:ascii="Calibri"/>
                <w:sz w:val="6"/>
              </w:rPr>
            </w:pPr>
            <w:r>
              <w:rPr>
                <w:rFonts w:ascii="Calibri"/>
                <w:w w:val="105"/>
                <w:sz w:val="6"/>
              </w:rPr>
              <w:t>Especificar:</w:t>
            </w:r>
          </w:p>
        </w:tc>
        <w:tc>
          <w:tcPr>
            <w:tcW w:w="645" w:type="dxa"/>
            <w:tcBorders>
              <w:top w:val="single" w:sz="35" w:space="0" w:color="BAF9F5"/>
              <w:left w:val="single" w:sz="2" w:space="0" w:color="D3D3D3"/>
              <w:bottom w:val="single" w:sz="35" w:space="0" w:color="BAF9F5"/>
              <w:right w:val="single" w:sz="2" w:space="0" w:color="D3D3D3"/>
            </w:tcBorders>
          </w:tcPr>
          <w:p>
            <w:pPr>
              <w:pStyle w:val="TableParagraph"/>
              <w:spacing w:before="6"/>
              <w:ind w:left="158" w:right="149"/>
              <w:rPr>
                <w:rFonts w:ascii="Calibri"/>
                <w:sz w:val="6"/>
              </w:rPr>
            </w:pPr>
            <w:r>
              <w:rPr>
                <w:rFonts w:ascii="Calibri"/>
                <w:w w:val="105"/>
                <w:sz w:val="6"/>
              </w:rPr>
              <w:t>Especificar:</w:t>
            </w:r>
          </w:p>
        </w:tc>
        <w:tc>
          <w:tcPr>
            <w:tcW w:w="585" w:type="dxa"/>
            <w:tcBorders>
              <w:top w:val="single" w:sz="35" w:space="0" w:color="BAF9F5"/>
              <w:left w:val="single" w:sz="2" w:space="0" w:color="D3D3D3"/>
              <w:bottom w:val="single" w:sz="35" w:space="0" w:color="BAF9F5"/>
              <w:right w:val="single" w:sz="2" w:space="0" w:color="D3D3D3"/>
            </w:tcBorders>
          </w:tcPr>
          <w:p>
            <w:pPr/>
          </w:p>
        </w:tc>
        <w:tc>
          <w:tcPr>
            <w:tcW w:w="1105" w:type="dxa"/>
            <w:tcBorders>
              <w:top w:val="single" w:sz="35" w:space="0" w:color="BAF9F5"/>
              <w:left w:val="single" w:sz="2" w:space="0" w:color="D3D3D3"/>
              <w:bottom w:val="single" w:sz="35" w:space="0" w:color="BAF9F5"/>
              <w:right w:val="single" w:sz="15" w:space="0" w:color="FFFFFF"/>
            </w:tcBorders>
          </w:tcPr>
          <w:p>
            <w:pPr/>
          </w:p>
        </w:tc>
        <w:tc>
          <w:tcPr>
            <w:tcW w:w="485" w:type="dxa"/>
            <w:tcBorders>
              <w:top w:val="single" w:sz="35" w:space="0" w:color="BAF9F5"/>
              <w:left w:val="single" w:sz="15" w:space="0" w:color="FFFFFF"/>
              <w:bottom w:val="single" w:sz="35" w:space="0" w:color="BAF9F5"/>
              <w:right w:val="single" w:sz="2" w:space="0" w:color="D3D3D3"/>
            </w:tcBorders>
          </w:tcPr>
          <w:p>
            <w:pPr>
              <w:pStyle w:val="TableParagraph"/>
              <w:spacing w:line="3" w:lineRule="exact"/>
              <w:ind w:left="4"/>
              <w:rPr>
                <w:rFonts w:ascii="Calibri"/>
                <w:sz w:val="6"/>
              </w:rPr>
            </w:pPr>
            <w:r>
              <w:rPr>
                <w:rFonts w:ascii="Calibri"/>
                <w:w w:val="104"/>
                <w:sz w:val="6"/>
              </w:rPr>
              <w:t>0</w:t>
            </w:r>
          </w:p>
        </w:tc>
        <w:tc>
          <w:tcPr>
            <w:tcW w:w="346" w:type="dxa"/>
            <w:tcBorders>
              <w:left w:val="single" w:sz="2" w:space="0" w:color="D3D3D3"/>
              <w:right w:val="single" w:sz="2" w:space="0" w:color="D3D3D3"/>
            </w:tcBorders>
          </w:tcPr>
          <w:p>
            <w:pP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
        </w:tc>
        <w:tc>
          <w:tcPr>
            <w:tcW w:w="1449" w:type="dxa"/>
            <w:shd w:val="clear" w:color="auto" w:fill="BAF9F5"/>
          </w:tcPr>
          <w:p>
            <w:pPr/>
          </w:p>
        </w:tc>
        <w:tc>
          <w:tcPr>
            <w:tcW w:w="1516" w:type="dxa"/>
            <w:shd w:val="clear" w:color="auto" w:fill="BAF9F5"/>
          </w:tcPr>
          <w:p>
            <w:pP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10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Style w:val="TableParagraph"/>
              <w:spacing w:before="49"/>
              <w:ind w:left="8"/>
              <w:jc w:val="left"/>
              <w:rPr>
                <w:rFonts w:ascii="Calibri"/>
                <w:sz w:val="6"/>
              </w:rPr>
            </w:pPr>
            <w:r>
              <w:rPr>
                <w:rFonts w:ascii="Calibri"/>
                <w:w w:val="105"/>
                <w:sz w:val="6"/>
              </w:rPr>
              <w:t>Plan ambiental</w:t>
            </w:r>
          </w:p>
        </w:tc>
        <w:tc>
          <w:tcPr>
            <w:tcW w:w="2353" w:type="dxa"/>
            <w:tcBorders>
              <w:left w:val="single" w:sz="2" w:space="0" w:color="D3D3D3"/>
              <w:right w:val="single" w:sz="2" w:space="0" w:color="D3D3D3"/>
            </w:tcBorders>
          </w:tcPr>
          <w:p>
            <w:pPr>
              <w:pStyle w:val="TableParagraph"/>
              <w:spacing w:before="49"/>
              <w:ind w:left="8" w:right="-3"/>
              <w:jc w:val="left"/>
              <w:rPr>
                <w:rFonts w:ascii="Calibri" w:hAnsi="Calibri"/>
                <w:sz w:val="6"/>
              </w:rPr>
            </w:pPr>
            <w:r>
              <w:rPr>
                <w:rFonts w:ascii="Calibri" w:hAnsi="Calibri"/>
                <w:w w:val="105"/>
                <w:sz w:val="6"/>
              </w:rPr>
              <w:t>¿El proyecto cuenta con algún plan de manejo ambiental?</w:t>
            </w:r>
          </w:p>
        </w:tc>
        <w:tc>
          <w:tcPr>
            <w:tcW w:w="968" w:type="dxa"/>
            <w:tcBorders>
              <w:top w:val="single" w:sz="35" w:space="0" w:color="BAF9F5"/>
              <w:left w:val="single" w:sz="2" w:space="0" w:color="D3D3D3"/>
              <w:bottom w:val="single" w:sz="35" w:space="0" w:color="BAF9F5"/>
            </w:tcBorders>
          </w:tcPr>
          <w:p>
            <w:pPr>
              <w:pStyle w:val="TableParagraph"/>
              <w:spacing w:line="2" w:lineRule="exact"/>
              <w:ind w:left="9"/>
              <w:rPr>
                <w:rFonts w:ascii="Calibri"/>
                <w:sz w:val="6"/>
              </w:rPr>
            </w:pPr>
            <w:r>
              <w:rPr>
                <w:rFonts w:ascii="Calibri"/>
                <w:w w:val="104"/>
                <w:sz w:val="6"/>
              </w:rPr>
              <w:t>1</w:t>
            </w:r>
          </w:p>
          <w:p>
            <w:pPr>
              <w:pStyle w:val="TableParagraph"/>
              <w:spacing w:before="6"/>
              <w:ind w:left="229" w:right="232"/>
              <w:rPr>
                <w:rFonts w:ascii="Calibri"/>
                <w:sz w:val="6"/>
              </w:rPr>
            </w:pPr>
            <w:r>
              <w:rPr>
                <w:rFonts w:ascii="Calibri"/>
                <w:w w:val="105"/>
                <w:sz w:val="6"/>
              </w:rPr>
              <w:t>Si</w:t>
            </w:r>
          </w:p>
        </w:tc>
        <w:tc>
          <w:tcPr>
            <w:tcW w:w="1449" w:type="dxa"/>
            <w:tcBorders>
              <w:top w:val="single" w:sz="35" w:space="0" w:color="BAF9F5"/>
              <w:bottom w:val="single" w:sz="35" w:space="0" w:color="BAF9F5"/>
            </w:tcBorders>
          </w:tcPr>
          <w:p>
            <w:pPr>
              <w:pStyle w:val="TableParagraph"/>
              <w:spacing w:line="2" w:lineRule="exact"/>
              <w:ind w:left="4"/>
              <w:rPr>
                <w:rFonts w:ascii="Calibri"/>
                <w:sz w:val="6"/>
              </w:rPr>
            </w:pPr>
            <w:r>
              <w:rPr>
                <w:rFonts w:ascii="Calibri"/>
                <w:w w:val="104"/>
                <w:sz w:val="6"/>
              </w:rPr>
              <w:t>0</w:t>
            </w:r>
          </w:p>
          <w:p>
            <w:pPr>
              <w:pStyle w:val="TableParagraph"/>
              <w:tabs>
                <w:tab w:pos="691" w:val="left" w:leader="none"/>
                <w:tab w:pos="1452" w:val="left" w:leader="none"/>
              </w:tabs>
              <w:spacing w:before="6"/>
              <w:ind w:right="-4"/>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No</w:t>
            </w:r>
            <w:r>
              <w:rPr>
                <w:rFonts w:ascii="Calibri"/>
                <w:sz w:val="6"/>
                <w:shd w:fill="808080" w:color="auto" w:val="clear"/>
              </w:rPr>
              <w:tab/>
            </w:r>
          </w:p>
        </w:tc>
        <w:tc>
          <w:tcPr>
            <w:tcW w:w="1516" w:type="dxa"/>
            <w:tcBorders>
              <w:top w:val="single" w:sz="35" w:space="0" w:color="BAF9F5"/>
              <w:bottom w:val="single" w:sz="35" w:space="0" w:color="BAF9F5"/>
              <w:right w:val="single" w:sz="2" w:space="0" w:color="D3D3D3"/>
            </w:tcBorders>
          </w:tcPr>
          <w:p>
            <w:pPr>
              <w:pStyle w:val="TableParagraph"/>
              <w:spacing w:line="2" w:lineRule="exact"/>
              <w:ind w:left="337" w:right="333"/>
              <w:rPr>
                <w:rFonts w:ascii="Calibri"/>
                <w:sz w:val="6"/>
              </w:rPr>
            </w:pPr>
            <w:r>
              <w:rPr>
                <w:rFonts w:ascii="Calibri"/>
                <w:w w:val="105"/>
                <w:sz w:val="6"/>
              </w:rPr>
              <w:t>Evaluar con base a congruencia</w:t>
            </w:r>
          </w:p>
          <w:p>
            <w:pPr>
              <w:pStyle w:val="TableParagraph"/>
              <w:spacing w:before="6"/>
              <w:ind w:left="337" w:right="329"/>
              <w:rPr>
                <w:rFonts w:ascii="Calibri" w:hAnsi="Calibri"/>
                <w:sz w:val="6"/>
              </w:rPr>
            </w:pPr>
            <w:r>
              <w:rPr>
                <w:rFonts w:ascii="Calibri" w:hAnsi="Calibri"/>
                <w:w w:val="105"/>
                <w:sz w:val="6"/>
              </w:rPr>
              <w:t>¿Cuál?</w:t>
            </w:r>
          </w:p>
        </w:tc>
        <w:tc>
          <w:tcPr>
            <w:tcW w:w="645" w:type="dxa"/>
            <w:tcBorders>
              <w:top w:val="single" w:sz="35" w:space="0" w:color="BAF9F5"/>
              <w:left w:val="single" w:sz="2" w:space="0" w:color="D3D3D3"/>
              <w:bottom w:val="single" w:sz="35" w:space="0" w:color="BAF9F5"/>
              <w:right w:val="single" w:sz="2" w:space="0" w:color="D3D3D3"/>
            </w:tcBorders>
          </w:tcPr>
          <w:p>
            <w:pPr/>
          </w:p>
        </w:tc>
        <w:tc>
          <w:tcPr>
            <w:tcW w:w="585" w:type="dxa"/>
            <w:tcBorders>
              <w:top w:val="single" w:sz="35" w:space="0" w:color="BAF9F5"/>
              <w:left w:val="single" w:sz="2" w:space="0" w:color="D3D3D3"/>
              <w:bottom w:val="single" w:sz="35" w:space="0" w:color="BAF9F5"/>
              <w:right w:val="single" w:sz="2" w:space="0" w:color="D3D3D3"/>
            </w:tcBorders>
          </w:tcPr>
          <w:p>
            <w:pPr/>
          </w:p>
        </w:tc>
        <w:tc>
          <w:tcPr>
            <w:tcW w:w="1105" w:type="dxa"/>
            <w:tcBorders>
              <w:top w:val="single" w:sz="35" w:space="0" w:color="BAF9F5"/>
              <w:left w:val="single" w:sz="2" w:space="0" w:color="D3D3D3"/>
              <w:bottom w:val="single" w:sz="35" w:space="0" w:color="BAF9F5"/>
              <w:right w:val="single" w:sz="15" w:space="0" w:color="FFFFFF"/>
            </w:tcBorders>
          </w:tcPr>
          <w:p>
            <w:pPr/>
          </w:p>
        </w:tc>
        <w:tc>
          <w:tcPr>
            <w:tcW w:w="485" w:type="dxa"/>
            <w:tcBorders>
              <w:top w:val="single" w:sz="35" w:space="0" w:color="BAF9F5"/>
              <w:left w:val="single" w:sz="15" w:space="0" w:color="FFFFFF"/>
              <w:bottom w:val="single" w:sz="35" w:space="0" w:color="BAF9F5"/>
              <w:right w:val="single" w:sz="2" w:space="0" w:color="D3D3D3"/>
            </w:tcBorders>
          </w:tcPr>
          <w:p>
            <w:pPr>
              <w:pStyle w:val="TableParagraph"/>
              <w:spacing w:line="2" w:lineRule="exact"/>
              <w:ind w:left="4"/>
              <w:rPr>
                <w:rFonts w:ascii="Calibri"/>
                <w:sz w:val="6"/>
              </w:rPr>
            </w:pPr>
            <w:r>
              <w:rPr>
                <w:rFonts w:ascii="Calibri"/>
                <w:w w:val="104"/>
                <w:sz w:val="6"/>
              </w:rPr>
              <w:t>1</w:t>
            </w:r>
          </w:p>
        </w:tc>
        <w:tc>
          <w:tcPr>
            <w:tcW w:w="346" w:type="dxa"/>
            <w:tcBorders>
              <w:left w:val="single" w:sz="2" w:space="0" w:color="D3D3D3"/>
              <w:right w:val="single" w:sz="2" w:space="0" w:color="D3D3D3"/>
            </w:tcBorders>
          </w:tcPr>
          <w:p>
            <w:pP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2" w:lineRule="exact"/>
              <w:ind w:left="6"/>
              <w:rPr>
                <w:rFonts w:ascii="Calibri"/>
                <w:sz w:val="6"/>
              </w:rPr>
            </w:pPr>
            <w:r>
              <w:rPr>
                <w:rFonts w:ascii="Calibri"/>
                <w:w w:val="104"/>
                <w:sz w:val="6"/>
              </w:rPr>
              <w:t>1</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2"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
        </w:tc>
        <w:tc>
          <w:tcPr>
            <w:tcW w:w="1449" w:type="dxa"/>
            <w:shd w:val="clear" w:color="auto" w:fill="BAF9F5"/>
          </w:tcPr>
          <w:p>
            <w:pPr/>
          </w:p>
        </w:tc>
        <w:tc>
          <w:tcPr>
            <w:tcW w:w="1516" w:type="dxa"/>
            <w:shd w:val="clear" w:color="auto" w:fill="BAF9F5"/>
          </w:tcPr>
          <w:p>
            <w:pP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85" w:hRule="exact"/>
        </w:trPr>
        <w:tc>
          <w:tcPr>
            <w:tcW w:w="347" w:type="dxa"/>
            <w:tcBorders>
              <w:right w:val="single" w:sz="2" w:space="0" w:color="D3D3D3"/>
            </w:tcBorders>
          </w:tcPr>
          <w:p>
            <w:pPr/>
          </w:p>
        </w:tc>
        <w:tc>
          <w:tcPr>
            <w:tcW w:w="1182" w:type="dxa"/>
            <w:tcBorders>
              <w:left w:val="single" w:sz="2" w:space="0" w:color="D3D3D3"/>
              <w:bottom w:val="single" w:sz="2" w:space="0" w:color="D3D3D3"/>
              <w:right w:val="single" w:sz="2" w:space="0" w:color="D3D3D3"/>
            </w:tcBorders>
          </w:tcPr>
          <w:p>
            <w:pPr/>
          </w:p>
        </w:tc>
        <w:tc>
          <w:tcPr>
            <w:tcW w:w="1241" w:type="dxa"/>
            <w:tcBorders>
              <w:left w:val="single" w:sz="2" w:space="0" w:color="D3D3D3"/>
              <w:bottom w:val="single" w:sz="2" w:space="0" w:color="D3D3D3"/>
              <w:right w:val="single" w:sz="2" w:space="0" w:color="D3D3D3"/>
            </w:tcBorders>
          </w:tcPr>
          <w:p>
            <w:pPr/>
          </w:p>
        </w:tc>
        <w:tc>
          <w:tcPr>
            <w:tcW w:w="2353" w:type="dxa"/>
            <w:tcBorders>
              <w:left w:val="single" w:sz="2" w:space="0" w:color="D3D3D3"/>
              <w:bottom w:val="single" w:sz="2" w:space="0" w:color="D3D3D3"/>
              <w:right w:val="single" w:sz="2" w:space="0" w:color="D3D3D3"/>
            </w:tcBorders>
          </w:tcPr>
          <w:p>
            <w:pPr/>
          </w:p>
        </w:tc>
        <w:tc>
          <w:tcPr>
            <w:tcW w:w="968" w:type="dxa"/>
            <w:tcBorders>
              <w:left w:val="single" w:sz="2" w:space="0" w:color="D3D3D3"/>
              <w:bottom w:val="single" w:sz="35" w:space="0" w:color="808080"/>
              <w:right w:val="single" w:sz="2" w:space="0" w:color="D3D3D3"/>
            </w:tcBorders>
            <w:shd w:val="clear" w:color="auto" w:fill="BAF9F5"/>
          </w:tcPr>
          <w:p>
            <w:pPr>
              <w:pStyle w:val="TableParagraph"/>
              <w:spacing w:line="41" w:lineRule="exact"/>
              <w:ind w:left="12"/>
              <w:rPr>
                <w:rFonts w:ascii="Calibri"/>
                <w:sz w:val="6"/>
              </w:rPr>
            </w:pPr>
            <w:r>
              <w:rPr>
                <w:rFonts w:ascii="Calibri"/>
                <w:w w:val="104"/>
                <w:sz w:val="6"/>
              </w:rPr>
              <w:t>1</w:t>
            </w:r>
          </w:p>
        </w:tc>
        <w:tc>
          <w:tcPr>
            <w:tcW w:w="1449"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1"/>
              <w:rPr>
                <w:rFonts w:ascii="Calibri"/>
                <w:sz w:val="6"/>
              </w:rPr>
            </w:pPr>
            <w:r>
              <w:rPr>
                <w:rFonts w:ascii="Calibri"/>
                <w:w w:val="104"/>
                <w:sz w:val="6"/>
              </w:rPr>
              <w:t>0</w:t>
            </w:r>
          </w:p>
        </w:tc>
        <w:tc>
          <w:tcPr>
            <w:tcW w:w="1516"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334" w:right="334"/>
              <w:rPr>
                <w:rFonts w:ascii="Calibri"/>
                <w:sz w:val="6"/>
              </w:rPr>
            </w:pPr>
            <w:r>
              <w:rPr>
                <w:rFonts w:ascii="Calibri"/>
                <w:w w:val="105"/>
                <w:sz w:val="6"/>
              </w:rPr>
              <w:t>Evaluar con base a congruencia</w:t>
            </w:r>
          </w:p>
        </w:tc>
        <w:tc>
          <w:tcPr>
            <w:tcW w:w="645" w:type="dxa"/>
            <w:tcBorders>
              <w:left w:val="single" w:sz="2" w:space="0" w:color="D3D3D3"/>
              <w:bottom w:val="single" w:sz="2" w:space="0" w:color="D3D3D3"/>
              <w:right w:val="single" w:sz="2" w:space="0" w:color="D3D3D3"/>
            </w:tcBorders>
            <w:shd w:val="clear" w:color="auto" w:fill="BAF9F5"/>
          </w:tcPr>
          <w:p>
            <w:pPr/>
          </w:p>
        </w:tc>
        <w:tc>
          <w:tcPr>
            <w:tcW w:w="585" w:type="dxa"/>
            <w:tcBorders>
              <w:left w:val="single" w:sz="2" w:space="0" w:color="D3D3D3"/>
              <w:bottom w:val="single" w:sz="2" w:space="0" w:color="D3D3D3"/>
              <w:right w:val="single" w:sz="2" w:space="0" w:color="D3D3D3"/>
            </w:tcBorders>
            <w:shd w:val="clear" w:color="auto" w:fill="BAF9F5"/>
          </w:tcPr>
          <w:p>
            <w:pPr/>
          </w:p>
        </w:tc>
        <w:tc>
          <w:tcPr>
            <w:tcW w:w="1105" w:type="dxa"/>
            <w:tcBorders>
              <w:left w:val="single" w:sz="2" w:space="0" w:color="D3D3D3"/>
              <w:bottom w:val="single" w:sz="2" w:space="0" w:color="D3D3D3"/>
              <w:right w:val="single" w:sz="15" w:space="0" w:color="FFFFFF"/>
            </w:tcBorders>
            <w:shd w:val="clear" w:color="auto" w:fill="BAF9F5"/>
          </w:tcPr>
          <w:p>
            <w:pPr/>
          </w:p>
        </w:tc>
        <w:tc>
          <w:tcPr>
            <w:tcW w:w="485" w:type="dxa"/>
            <w:tcBorders>
              <w:left w:val="single" w:sz="15" w:space="0" w:color="FFFFFF"/>
              <w:bottom w:val="single" w:sz="2" w:space="0" w:color="D3D3D3"/>
            </w:tcBorders>
            <w:shd w:val="clear" w:color="auto" w:fill="BAF9F5"/>
          </w:tcPr>
          <w:p>
            <w:pPr>
              <w:pStyle w:val="TableParagraph"/>
              <w:spacing w:line="41" w:lineRule="exact"/>
              <w:ind w:left="1"/>
              <w:rPr>
                <w:rFonts w:ascii="Calibri"/>
                <w:sz w:val="6"/>
              </w:rPr>
            </w:pPr>
            <w:r>
              <w:rPr>
                <w:rFonts w:ascii="Calibri"/>
                <w:w w:val="104"/>
                <w:sz w:val="6"/>
              </w:rPr>
              <w:t>0</w:t>
            </w:r>
          </w:p>
          <w:p>
            <w:pPr>
              <w:pStyle w:val="TableParagraph"/>
              <w:spacing w:before="9"/>
              <w:ind w:left="107" w:right="104"/>
              <w:rPr>
                <w:rFonts w:ascii="Calibri"/>
                <w:sz w:val="6"/>
              </w:rPr>
            </w:pPr>
            <w:r>
              <w:rPr>
                <w:rFonts w:ascii="Calibri"/>
                <w:w w:val="105"/>
                <w:sz w:val="6"/>
              </w:rPr>
              <w:t>Subtotal</w:t>
            </w:r>
          </w:p>
        </w:tc>
        <w:tc>
          <w:tcPr>
            <w:tcW w:w="346" w:type="dxa"/>
            <w:shd w:val="clear" w:color="auto" w:fill="F79646"/>
          </w:tcPr>
          <w:p>
            <w:pPr>
              <w:pStyle w:val="TableParagraph"/>
              <w:spacing w:before="49"/>
              <w:ind w:left="160"/>
              <w:jc w:val="left"/>
              <w:rPr>
                <w:rFonts w:ascii="Calibri"/>
                <w:sz w:val="6"/>
              </w:rPr>
            </w:pPr>
            <w:r>
              <w:rPr>
                <w:rFonts w:ascii="Calibri"/>
                <w:w w:val="104"/>
                <w:sz w:val="6"/>
              </w:rPr>
              <w:t>1</w:t>
            </w:r>
          </w:p>
        </w:tc>
        <w:tc>
          <w:tcPr>
            <w:tcW w:w="346" w:type="dxa"/>
            <w:tcBorders>
              <w:top w:val="single" w:sz="35" w:space="0" w:color="BAF9F5"/>
            </w:tcBorders>
            <w:shd w:val="clear" w:color="auto" w:fill="FFFF00"/>
          </w:tcPr>
          <w:p>
            <w:pPr>
              <w:pStyle w:val="TableParagraph"/>
              <w:spacing w:line="3" w:lineRule="exact"/>
              <w:ind w:left="6"/>
              <w:rPr>
                <w:rFonts w:ascii="Calibri"/>
                <w:sz w:val="6"/>
              </w:rPr>
            </w:pPr>
            <w:r>
              <w:rPr>
                <w:rFonts w:ascii="Calibri"/>
                <w:w w:val="104"/>
                <w:sz w:val="6"/>
              </w:rPr>
              <w:t>1</w:t>
            </w:r>
          </w:p>
          <w:p>
            <w:pPr>
              <w:pStyle w:val="TableParagraph"/>
              <w:spacing w:before="6"/>
              <w:ind w:left="115" w:right="109"/>
              <w:rPr>
                <w:rFonts w:ascii="Calibri"/>
                <w:sz w:val="6"/>
              </w:rPr>
            </w:pPr>
            <w:r>
              <w:rPr>
                <w:rFonts w:ascii="Calibri"/>
                <w:w w:val="105"/>
                <w:sz w:val="6"/>
              </w:rPr>
              <w:t>3.6</w:t>
            </w:r>
          </w:p>
        </w:tc>
        <w:tc>
          <w:tcPr>
            <w:tcW w:w="346" w:type="dxa"/>
            <w:tcBorders>
              <w:top w:val="single" w:sz="35" w:space="0" w:color="BAF9F5"/>
            </w:tcBorders>
            <w:shd w:val="clear" w:color="auto" w:fill="67ED4D"/>
          </w:tcPr>
          <w:p>
            <w:pPr>
              <w:pStyle w:val="TableParagraph"/>
              <w:spacing w:line="3" w:lineRule="exact"/>
              <w:ind w:left="6"/>
              <w:rPr>
                <w:rFonts w:ascii="Calibri"/>
                <w:sz w:val="6"/>
              </w:rPr>
            </w:pPr>
            <w:r>
              <w:rPr>
                <w:rFonts w:ascii="Calibri"/>
                <w:w w:val="104"/>
                <w:sz w:val="6"/>
              </w:rPr>
              <w:t>1</w:t>
            </w:r>
          </w:p>
          <w:p>
            <w:pPr>
              <w:pStyle w:val="TableParagraph"/>
              <w:spacing w:before="6"/>
              <w:ind w:left="6"/>
              <w:rPr>
                <w:rFonts w:ascii="Calibri"/>
                <w:sz w:val="6"/>
              </w:rPr>
            </w:pPr>
            <w:r>
              <w:rPr>
                <w:rFonts w:ascii="Calibri"/>
                <w:w w:val="104"/>
                <w:sz w:val="6"/>
              </w:rPr>
              <w:t>4</w:t>
            </w:r>
          </w:p>
        </w:tc>
        <w:tc>
          <w:tcPr>
            <w:tcW w:w="89" w:type="dxa"/>
            <w:tcBorders>
              <w:bottom w:val="single" w:sz="2" w:space="0" w:color="D3D3D3"/>
            </w:tcBorders>
          </w:tcPr>
          <w:p>
            <w:pPr/>
          </w:p>
        </w:tc>
      </w:tr>
      <w:tr>
        <w:trPr>
          <w:trHeight w:val="99" w:hRule="exact"/>
        </w:trPr>
        <w:tc>
          <w:tcPr>
            <w:tcW w:w="347" w:type="dxa"/>
            <w:tcBorders>
              <w:right w:val="single" w:sz="2" w:space="0" w:color="D3D3D3"/>
            </w:tcBorders>
          </w:tcPr>
          <w:p>
            <w:pPr/>
          </w:p>
        </w:tc>
        <w:tc>
          <w:tcPr>
            <w:tcW w:w="1182" w:type="dxa"/>
            <w:tcBorders>
              <w:top w:val="single" w:sz="2" w:space="0" w:color="D3D3D3"/>
              <w:left w:val="single" w:sz="2" w:space="0" w:color="D3D3D3"/>
              <w:right w:val="single" w:sz="2" w:space="0" w:color="D3D3D3"/>
            </w:tcBorders>
          </w:tcPr>
          <w:p>
            <w:pPr>
              <w:pStyle w:val="TableParagraph"/>
              <w:spacing w:before="6"/>
              <w:ind w:left="32"/>
              <w:jc w:val="left"/>
              <w:rPr>
                <w:rFonts w:ascii="Calibri"/>
                <w:sz w:val="6"/>
              </w:rPr>
            </w:pPr>
            <w:r>
              <w:rPr>
                <w:rFonts w:ascii="Calibri"/>
                <w:w w:val="105"/>
                <w:sz w:val="6"/>
              </w:rPr>
              <w:t>2  Agua</w:t>
            </w:r>
          </w:p>
        </w:tc>
        <w:tc>
          <w:tcPr>
            <w:tcW w:w="1241" w:type="dxa"/>
            <w:tcBorders>
              <w:top w:val="single" w:sz="2" w:space="0" w:color="D3D3D3"/>
              <w:left w:val="single" w:sz="2" w:space="0" w:color="D3D3D3"/>
              <w:right w:val="single" w:sz="2" w:space="0" w:color="D3D3D3"/>
            </w:tcBorders>
          </w:tcPr>
          <w:p>
            <w:pPr>
              <w:pStyle w:val="TableParagraph"/>
              <w:spacing w:before="6"/>
              <w:ind w:left="8"/>
              <w:jc w:val="left"/>
              <w:rPr>
                <w:rFonts w:ascii="Calibri"/>
                <w:sz w:val="6"/>
              </w:rPr>
            </w:pPr>
            <w:r>
              <w:rPr>
                <w:rFonts w:ascii="Calibri"/>
                <w:w w:val="105"/>
                <w:sz w:val="6"/>
              </w:rPr>
              <w:t>Tipo de abastecimiento</w:t>
            </w:r>
          </w:p>
        </w:tc>
        <w:tc>
          <w:tcPr>
            <w:tcW w:w="2353" w:type="dxa"/>
            <w:tcBorders>
              <w:top w:val="single" w:sz="2" w:space="0" w:color="D3D3D3"/>
              <w:left w:val="single" w:sz="2" w:space="0" w:color="D3D3D3"/>
            </w:tcBorders>
          </w:tcPr>
          <w:p>
            <w:pPr>
              <w:pStyle w:val="TableParagraph"/>
              <w:spacing w:before="6"/>
              <w:ind w:left="8"/>
              <w:jc w:val="left"/>
              <w:rPr>
                <w:rFonts w:ascii="Calibri" w:hAnsi="Calibri"/>
                <w:sz w:val="6"/>
              </w:rPr>
            </w:pPr>
            <w:r>
              <w:rPr>
                <w:rFonts w:ascii="Calibri" w:hAnsi="Calibri"/>
                <w:w w:val="105"/>
                <w:sz w:val="6"/>
              </w:rPr>
              <w:t>¿Cómo se abastece de agua potable el CU?</w:t>
            </w:r>
          </w:p>
        </w:tc>
        <w:tc>
          <w:tcPr>
            <w:tcW w:w="968" w:type="dxa"/>
            <w:tcBorders>
              <w:bottom w:val="single" w:sz="35" w:space="0" w:color="BAF9F5"/>
            </w:tcBorders>
            <w:shd w:val="clear" w:color="auto" w:fill="808080"/>
          </w:tcPr>
          <w:p>
            <w:pPr>
              <w:pStyle w:val="TableParagraph"/>
              <w:spacing w:before="8"/>
              <w:ind w:left="401" w:right="403"/>
              <w:rPr>
                <w:rFonts w:ascii="Calibri"/>
                <w:sz w:val="6"/>
              </w:rPr>
            </w:pPr>
            <w:r>
              <w:rPr>
                <w:rFonts w:ascii="Calibri"/>
                <w:w w:val="105"/>
                <w:sz w:val="6"/>
              </w:rPr>
              <w:t>Pozo</w:t>
            </w:r>
          </w:p>
        </w:tc>
        <w:tc>
          <w:tcPr>
            <w:tcW w:w="1449" w:type="dxa"/>
            <w:tcBorders>
              <w:top w:val="single" w:sz="2" w:space="0" w:color="D3D3D3"/>
              <w:bottom w:val="single" w:sz="35" w:space="0" w:color="BAF9F5"/>
              <w:right w:val="single" w:sz="2" w:space="0" w:color="D3D3D3"/>
            </w:tcBorders>
          </w:tcPr>
          <w:p>
            <w:pPr>
              <w:pStyle w:val="TableParagraph"/>
              <w:spacing w:before="6"/>
              <w:ind w:left="415" w:right="412"/>
              <w:rPr>
                <w:rFonts w:ascii="Calibri"/>
                <w:sz w:val="6"/>
              </w:rPr>
            </w:pPr>
            <w:r>
              <w:rPr>
                <w:rFonts w:ascii="Calibri"/>
                <w:w w:val="105"/>
                <w:sz w:val="6"/>
              </w:rPr>
              <w:t>Red de agua municipal</w:t>
            </w:r>
          </w:p>
        </w:tc>
        <w:tc>
          <w:tcPr>
            <w:tcW w:w="1516" w:type="dxa"/>
            <w:tcBorders>
              <w:top w:val="single" w:sz="2" w:space="0" w:color="D3D3D3"/>
              <w:left w:val="single" w:sz="2" w:space="0" w:color="D3D3D3"/>
              <w:bottom w:val="single" w:sz="35" w:space="0" w:color="BAF9F5"/>
              <w:right w:val="single" w:sz="2" w:space="0" w:color="D3D3D3"/>
            </w:tcBorders>
          </w:tcPr>
          <w:p>
            <w:pPr>
              <w:pStyle w:val="TableParagraph"/>
              <w:spacing w:before="6"/>
              <w:ind w:left="332" w:right="334"/>
              <w:rPr>
                <w:rFonts w:ascii="Calibri"/>
                <w:sz w:val="6"/>
              </w:rPr>
            </w:pPr>
            <w:r>
              <w:rPr>
                <w:rFonts w:ascii="Calibri"/>
                <w:w w:val="105"/>
                <w:sz w:val="6"/>
              </w:rPr>
              <w:t>Ambos</w:t>
            </w:r>
          </w:p>
        </w:tc>
        <w:tc>
          <w:tcPr>
            <w:tcW w:w="645" w:type="dxa"/>
            <w:tcBorders>
              <w:top w:val="single" w:sz="2" w:space="0" w:color="D3D3D3"/>
              <w:left w:val="single" w:sz="2" w:space="0" w:color="D3D3D3"/>
              <w:bottom w:val="single" w:sz="35" w:space="0" w:color="BAF9F5"/>
              <w:right w:val="single" w:sz="2" w:space="0" w:color="D3D3D3"/>
            </w:tcBorders>
          </w:tcPr>
          <w:p>
            <w:pPr>
              <w:pStyle w:val="TableParagraph"/>
              <w:spacing w:before="6"/>
              <w:ind w:left="80" w:right="71"/>
              <w:rPr>
                <w:rFonts w:ascii="Calibri"/>
                <w:sz w:val="6"/>
              </w:rPr>
            </w:pPr>
            <w:r>
              <w:rPr>
                <w:rFonts w:ascii="Calibri"/>
                <w:w w:val="105"/>
                <w:sz w:val="6"/>
              </w:rPr>
              <w:t>Especificar:</w:t>
            </w:r>
          </w:p>
        </w:tc>
        <w:tc>
          <w:tcPr>
            <w:tcW w:w="585" w:type="dxa"/>
            <w:tcBorders>
              <w:top w:val="single" w:sz="2" w:space="0" w:color="D3D3D3"/>
              <w:left w:val="single" w:sz="2" w:space="0" w:color="D3D3D3"/>
              <w:bottom w:val="single" w:sz="35" w:space="0" w:color="BAF9F5"/>
              <w:right w:val="single" w:sz="2" w:space="0" w:color="D3D3D3"/>
            </w:tcBorders>
          </w:tcPr>
          <w:p>
            <w:pPr/>
          </w:p>
        </w:tc>
        <w:tc>
          <w:tcPr>
            <w:tcW w:w="1105" w:type="dxa"/>
            <w:tcBorders>
              <w:top w:val="single" w:sz="2" w:space="0" w:color="D3D3D3"/>
              <w:left w:val="single" w:sz="2" w:space="0" w:color="D3D3D3"/>
              <w:bottom w:val="single" w:sz="35" w:space="0" w:color="BAF9F5"/>
              <w:right w:val="single" w:sz="15" w:space="0" w:color="FFFFFF"/>
            </w:tcBorders>
          </w:tcPr>
          <w:p>
            <w:pPr/>
          </w:p>
        </w:tc>
        <w:tc>
          <w:tcPr>
            <w:tcW w:w="485" w:type="dxa"/>
            <w:tcBorders>
              <w:top w:val="single" w:sz="2" w:space="0" w:color="D3D3D3"/>
              <w:left w:val="single" w:sz="15" w:space="0" w:color="FFFFFF"/>
              <w:bottom w:val="single" w:sz="35" w:space="0" w:color="BAF9F5"/>
              <w:right w:val="single" w:sz="2" w:space="0" w:color="D3D3D3"/>
            </w:tcBorders>
          </w:tcPr>
          <w:p>
            <w:pPr/>
          </w:p>
        </w:tc>
        <w:tc>
          <w:tcPr>
            <w:tcW w:w="346" w:type="dxa"/>
            <w:tcBorders>
              <w:left w:val="single" w:sz="2" w:space="0" w:color="D3D3D3"/>
              <w:right w:val="single" w:sz="2" w:space="0" w:color="D3D3D3"/>
            </w:tcBorders>
          </w:tcPr>
          <w:p>
            <w:pPr/>
          </w:p>
        </w:tc>
        <w:tc>
          <w:tcPr>
            <w:tcW w:w="346" w:type="dxa"/>
            <w:tcBorders>
              <w:left w:val="single" w:sz="2" w:space="0" w:color="D3D3D3"/>
              <w:right w:val="single" w:sz="2" w:space="0" w:color="D3D3D3"/>
            </w:tcBorders>
          </w:tcPr>
          <w:p>
            <w:pPr/>
          </w:p>
        </w:tc>
        <w:tc>
          <w:tcPr>
            <w:tcW w:w="346" w:type="dxa"/>
            <w:tcBorders>
              <w:left w:val="single" w:sz="2" w:space="0" w:color="D3D3D3"/>
              <w:right w:val="single" w:sz="2" w:space="0" w:color="D3D3D3"/>
            </w:tcBorders>
          </w:tcPr>
          <w:p>
            <w:pPr/>
          </w:p>
        </w:tc>
        <w:tc>
          <w:tcPr>
            <w:tcW w:w="89" w:type="dxa"/>
            <w:tcBorders>
              <w:top w:val="single" w:sz="2" w:space="0" w:color="D3D3D3"/>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
        </w:tc>
        <w:tc>
          <w:tcPr>
            <w:tcW w:w="1449" w:type="dxa"/>
            <w:shd w:val="clear" w:color="auto" w:fill="BAF9F5"/>
          </w:tcPr>
          <w:p>
            <w:pPr/>
          </w:p>
        </w:tc>
        <w:tc>
          <w:tcPr>
            <w:tcW w:w="1516" w:type="dxa"/>
            <w:shd w:val="clear" w:color="auto" w:fill="BAF9F5"/>
          </w:tcPr>
          <w:p>
            <w:pP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Borders>
              <w:right w:val="single" w:sz="2" w:space="0" w:color="D3D3D3"/>
            </w:tcBorders>
          </w:tcPr>
          <w:p>
            <w:pPr/>
          </w:p>
        </w:tc>
        <w:tc>
          <w:tcPr>
            <w:tcW w:w="346" w:type="dxa"/>
            <w:tcBorders>
              <w:left w:val="single" w:sz="2" w:space="0" w:color="D3D3D3"/>
              <w:right w:val="single" w:sz="2" w:space="0" w:color="D3D3D3"/>
            </w:tcBorders>
          </w:tcPr>
          <w:p>
            <w:pPr/>
          </w:p>
        </w:tc>
        <w:tc>
          <w:tcPr>
            <w:tcW w:w="346" w:type="dxa"/>
            <w:tcBorders>
              <w:left w:val="single" w:sz="2" w:space="0" w:color="D3D3D3"/>
              <w:right w:val="single" w:sz="2" w:space="0" w:color="D3D3D3"/>
            </w:tcBorders>
          </w:tcPr>
          <w:p>
            <w:pPr/>
          </w:p>
        </w:tc>
        <w:tc>
          <w:tcPr>
            <w:tcW w:w="89" w:type="dxa"/>
            <w:tcBorders>
              <w:left w:val="single" w:sz="2" w:space="0" w:color="D3D3D3"/>
            </w:tcBorders>
          </w:tcPr>
          <w:p>
            <w:pPr/>
          </w:p>
        </w:tc>
      </w:tr>
      <w:tr>
        <w:trPr>
          <w:trHeight w:val="85" w:hRule="exact"/>
        </w:trPr>
        <w:tc>
          <w:tcPr>
            <w:tcW w:w="347" w:type="dxa"/>
            <w:tcBorders>
              <w:right w:val="single" w:sz="2" w:space="0" w:color="D3D3D3"/>
            </w:tcBorders>
          </w:tcPr>
          <w:p>
            <w:pPr/>
          </w:p>
        </w:tc>
        <w:tc>
          <w:tcPr>
            <w:tcW w:w="1182" w:type="dxa"/>
            <w:tcBorders>
              <w:left w:val="single" w:sz="2" w:space="0" w:color="D3D3D3"/>
              <w:bottom w:val="single" w:sz="2" w:space="0" w:color="D3D3D3"/>
              <w:right w:val="single" w:sz="2" w:space="0" w:color="D3D3D3"/>
            </w:tcBorders>
          </w:tcPr>
          <w:p>
            <w:pPr/>
          </w:p>
        </w:tc>
        <w:tc>
          <w:tcPr>
            <w:tcW w:w="1241" w:type="dxa"/>
            <w:tcBorders>
              <w:left w:val="single" w:sz="2" w:space="0" w:color="D3D3D3"/>
              <w:bottom w:val="single" w:sz="2" w:space="0" w:color="D3D3D3"/>
              <w:right w:val="single" w:sz="2" w:space="0" w:color="D3D3D3"/>
            </w:tcBorders>
          </w:tcPr>
          <w:p>
            <w:pPr/>
          </w:p>
        </w:tc>
        <w:tc>
          <w:tcPr>
            <w:tcW w:w="2353" w:type="dxa"/>
            <w:tcBorders>
              <w:left w:val="single" w:sz="2" w:space="0" w:color="D3D3D3"/>
              <w:bottom w:val="single" w:sz="2" w:space="0" w:color="D3D3D3"/>
              <w:right w:val="single" w:sz="2" w:space="0" w:color="D3D3D3"/>
            </w:tcBorders>
          </w:tcPr>
          <w:p>
            <w:pPr/>
          </w:p>
        </w:tc>
        <w:tc>
          <w:tcPr>
            <w:tcW w:w="968"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12"/>
              <w:rPr>
                <w:rFonts w:ascii="Calibri"/>
                <w:sz w:val="6"/>
              </w:rPr>
            </w:pPr>
            <w:r>
              <w:rPr>
                <w:rFonts w:ascii="Calibri"/>
                <w:w w:val="104"/>
                <w:sz w:val="6"/>
              </w:rPr>
              <w:t>1</w:t>
            </w:r>
          </w:p>
        </w:tc>
        <w:tc>
          <w:tcPr>
            <w:tcW w:w="1449"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582" w:right="579"/>
              <w:rPr>
                <w:rFonts w:ascii="Calibri"/>
                <w:sz w:val="6"/>
              </w:rPr>
            </w:pPr>
            <w:r>
              <w:rPr>
                <w:rFonts w:ascii="Calibri"/>
                <w:w w:val="105"/>
                <w:sz w:val="6"/>
              </w:rPr>
              <w:t>0.7</w:t>
            </w:r>
          </w:p>
        </w:tc>
        <w:tc>
          <w:tcPr>
            <w:tcW w:w="1516" w:type="dxa"/>
            <w:tcBorders>
              <w:left w:val="single" w:sz="2" w:space="0" w:color="D3D3D3"/>
              <w:bottom w:val="single" w:sz="35" w:space="0" w:color="808080"/>
              <w:right w:val="single" w:sz="2" w:space="0" w:color="D3D3D3"/>
            </w:tcBorders>
            <w:shd w:val="clear" w:color="auto" w:fill="BAF9F5"/>
          </w:tcPr>
          <w:p>
            <w:pPr>
              <w:pStyle w:val="TableParagraph"/>
              <w:spacing w:line="41" w:lineRule="exact"/>
              <w:ind w:left="332" w:right="333"/>
              <w:rPr>
                <w:rFonts w:ascii="Calibri"/>
                <w:sz w:val="6"/>
              </w:rPr>
            </w:pPr>
            <w:r>
              <w:rPr>
                <w:rFonts w:ascii="Calibri"/>
                <w:w w:val="105"/>
                <w:sz w:val="6"/>
              </w:rPr>
              <w:t>0.8</w:t>
            </w:r>
          </w:p>
        </w:tc>
        <w:tc>
          <w:tcPr>
            <w:tcW w:w="645" w:type="dxa"/>
            <w:tcBorders>
              <w:left w:val="single" w:sz="2" w:space="0" w:color="D3D3D3"/>
              <w:bottom w:val="single" w:sz="2" w:space="0" w:color="D3D3D3"/>
              <w:right w:val="single" w:sz="2" w:space="0" w:color="D3D3D3"/>
            </w:tcBorders>
            <w:shd w:val="clear" w:color="auto" w:fill="BAF9F5"/>
          </w:tcPr>
          <w:p>
            <w:pPr/>
          </w:p>
        </w:tc>
        <w:tc>
          <w:tcPr>
            <w:tcW w:w="585" w:type="dxa"/>
            <w:tcBorders>
              <w:left w:val="single" w:sz="2" w:space="0" w:color="D3D3D3"/>
              <w:bottom w:val="single" w:sz="2" w:space="0" w:color="D3D3D3"/>
              <w:right w:val="single" w:sz="2" w:space="0" w:color="D3D3D3"/>
            </w:tcBorders>
            <w:shd w:val="clear" w:color="auto" w:fill="BAF9F5"/>
          </w:tcPr>
          <w:p>
            <w:pPr/>
          </w:p>
        </w:tc>
        <w:tc>
          <w:tcPr>
            <w:tcW w:w="1105" w:type="dxa"/>
            <w:tcBorders>
              <w:left w:val="single" w:sz="2" w:space="0" w:color="D3D3D3"/>
              <w:bottom w:val="single" w:sz="2" w:space="0" w:color="D3D3D3"/>
              <w:right w:val="single" w:sz="15" w:space="0" w:color="FFFFFF"/>
            </w:tcBorders>
            <w:shd w:val="clear" w:color="auto" w:fill="BAF9F5"/>
          </w:tcPr>
          <w:p>
            <w:pPr/>
          </w:p>
        </w:tc>
        <w:tc>
          <w:tcPr>
            <w:tcW w:w="485" w:type="dxa"/>
            <w:tcBorders>
              <w:left w:val="single" w:sz="15" w:space="0" w:color="FFFFFF"/>
              <w:bottom w:val="single" w:sz="2" w:space="0" w:color="D3D3D3"/>
            </w:tcBorders>
            <w:shd w:val="clear" w:color="auto" w:fill="BAF9F5"/>
          </w:tcPr>
          <w:p>
            <w:pPr>
              <w:pStyle w:val="TableParagraph"/>
              <w:spacing w:line="41" w:lineRule="exact"/>
              <w:ind w:left="1"/>
              <w:rPr>
                <w:rFonts w:ascii="Calibri"/>
                <w:sz w:val="6"/>
              </w:rPr>
            </w:pPr>
            <w:r>
              <w:rPr>
                <w:rFonts w:ascii="Calibri"/>
                <w:w w:val="104"/>
                <w:sz w:val="6"/>
              </w:rPr>
              <w:t>1</w:t>
            </w:r>
          </w:p>
          <w:p>
            <w:pPr>
              <w:pStyle w:val="TableParagraph"/>
              <w:spacing w:before="9"/>
              <w:ind w:left="107" w:right="104"/>
              <w:rPr>
                <w:rFonts w:ascii="Calibri"/>
                <w:sz w:val="6"/>
              </w:rPr>
            </w:pPr>
            <w:r>
              <w:rPr>
                <w:rFonts w:ascii="Calibri"/>
                <w:w w:val="105"/>
                <w:sz w:val="6"/>
              </w:rPr>
              <w:t>Subtotal</w:t>
            </w:r>
          </w:p>
        </w:tc>
        <w:tc>
          <w:tcPr>
            <w:tcW w:w="346" w:type="dxa"/>
            <w:shd w:val="clear" w:color="auto" w:fill="F79646"/>
          </w:tcPr>
          <w:p>
            <w:pPr>
              <w:pStyle w:val="TableParagraph"/>
              <w:spacing w:before="49"/>
              <w:ind w:left="160"/>
              <w:jc w:val="left"/>
              <w:rPr>
                <w:rFonts w:ascii="Calibri"/>
                <w:sz w:val="6"/>
              </w:rPr>
            </w:pPr>
            <w:r>
              <w:rPr>
                <w:rFonts w:ascii="Calibri"/>
                <w:w w:val="104"/>
                <w:sz w:val="6"/>
              </w:rPr>
              <w:t>1</w:t>
            </w:r>
          </w:p>
        </w:tc>
        <w:tc>
          <w:tcPr>
            <w:tcW w:w="346" w:type="dxa"/>
            <w:shd w:val="clear" w:color="auto" w:fill="FFFF00"/>
          </w:tcPr>
          <w:p>
            <w:pPr>
              <w:pStyle w:val="TableParagraph"/>
              <w:spacing w:before="49"/>
              <w:ind w:left="6"/>
              <w:rPr>
                <w:rFonts w:ascii="Calibri"/>
                <w:sz w:val="6"/>
              </w:rPr>
            </w:pPr>
            <w:r>
              <w:rPr>
                <w:rFonts w:ascii="Calibri"/>
                <w:w w:val="104"/>
                <w:sz w:val="6"/>
              </w:rPr>
              <w:t>1</w:t>
            </w:r>
          </w:p>
        </w:tc>
        <w:tc>
          <w:tcPr>
            <w:tcW w:w="346" w:type="dxa"/>
            <w:shd w:val="clear" w:color="auto" w:fill="67ED4D"/>
          </w:tcPr>
          <w:p>
            <w:pPr>
              <w:pStyle w:val="TableParagraph"/>
              <w:spacing w:before="49"/>
              <w:ind w:left="6"/>
              <w:rPr>
                <w:rFonts w:ascii="Calibri"/>
                <w:sz w:val="6"/>
              </w:rPr>
            </w:pPr>
            <w:r>
              <w:rPr>
                <w:rFonts w:ascii="Calibri"/>
                <w:w w:val="104"/>
                <w:sz w:val="6"/>
              </w:rPr>
              <w:t>1</w:t>
            </w:r>
          </w:p>
        </w:tc>
        <w:tc>
          <w:tcPr>
            <w:tcW w:w="89" w:type="dxa"/>
            <w:tcBorders>
              <w:bottom w:val="single" w:sz="2" w:space="0" w:color="D3D3D3"/>
            </w:tcBorders>
          </w:tcPr>
          <w:p>
            <w:pPr/>
          </w:p>
        </w:tc>
      </w:tr>
      <w:tr>
        <w:trPr>
          <w:trHeight w:val="99" w:hRule="exact"/>
        </w:trPr>
        <w:tc>
          <w:tcPr>
            <w:tcW w:w="347" w:type="dxa"/>
            <w:tcBorders>
              <w:right w:val="single" w:sz="2" w:space="0" w:color="D3D3D3"/>
            </w:tcBorders>
          </w:tcPr>
          <w:p>
            <w:pPr/>
          </w:p>
        </w:tc>
        <w:tc>
          <w:tcPr>
            <w:tcW w:w="1182" w:type="dxa"/>
            <w:tcBorders>
              <w:top w:val="single" w:sz="2" w:space="0" w:color="D3D3D3"/>
              <w:left w:val="single" w:sz="2" w:space="0" w:color="D3D3D3"/>
              <w:right w:val="single" w:sz="2" w:space="0" w:color="D3D3D3"/>
            </w:tcBorders>
          </w:tcPr>
          <w:p>
            <w:pPr>
              <w:pStyle w:val="TableParagraph"/>
              <w:spacing w:before="6"/>
              <w:ind w:left="32"/>
              <w:jc w:val="left"/>
              <w:rPr>
                <w:rFonts w:ascii="Calibri"/>
                <w:sz w:val="6"/>
              </w:rPr>
            </w:pPr>
            <w:r>
              <w:rPr>
                <w:rFonts w:ascii="Calibri"/>
                <w:w w:val="105"/>
                <w:sz w:val="6"/>
              </w:rPr>
              <w:t>3 Infraestructura</w:t>
            </w:r>
          </w:p>
        </w:tc>
        <w:tc>
          <w:tcPr>
            <w:tcW w:w="1241" w:type="dxa"/>
            <w:tcBorders>
              <w:top w:val="single" w:sz="2" w:space="0" w:color="D3D3D3"/>
              <w:left w:val="single" w:sz="2" w:space="0" w:color="D3D3D3"/>
              <w:right w:val="single" w:sz="2" w:space="0" w:color="D3D3D3"/>
            </w:tcBorders>
          </w:tcPr>
          <w:p>
            <w:pPr>
              <w:pStyle w:val="TableParagraph"/>
              <w:spacing w:before="6"/>
              <w:ind w:left="8"/>
              <w:jc w:val="left"/>
              <w:rPr>
                <w:rFonts w:ascii="Calibri"/>
                <w:sz w:val="6"/>
              </w:rPr>
            </w:pPr>
            <w:r>
              <w:rPr>
                <w:rFonts w:ascii="Calibri"/>
                <w:w w:val="105"/>
                <w:sz w:val="6"/>
              </w:rPr>
              <w:t>Agua potable</w:t>
            </w:r>
          </w:p>
        </w:tc>
        <w:tc>
          <w:tcPr>
            <w:tcW w:w="2353" w:type="dxa"/>
            <w:tcBorders>
              <w:top w:val="single" w:sz="2" w:space="0" w:color="D3D3D3"/>
              <w:left w:val="single" w:sz="2" w:space="0" w:color="D3D3D3"/>
              <w:right w:val="single" w:sz="2" w:space="0" w:color="D3D3D3"/>
            </w:tcBorders>
          </w:tcPr>
          <w:p>
            <w:pPr>
              <w:pStyle w:val="TableParagraph"/>
              <w:spacing w:before="6"/>
              <w:ind w:left="8"/>
              <w:jc w:val="left"/>
              <w:rPr>
                <w:rFonts w:ascii="Calibri" w:hAnsi="Calibri"/>
                <w:sz w:val="6"/>
              </w:rPr>
            </w:pPr>
            <w:r>
              <w:rPr>
                <w:rFonts w:ascii="Calibri" w:hAnsi="Calibri"/>
                <w:w w:val="105"/>
                <w:sz w:val="6"/>
              </w:rPr>
              <w:t>¿El servicio de agua potable se encuentra municipalizado?</w:t>
            </w:r>
          </w:p>
        </w:tc>
        <w:tc>
          <w:tcPr>
            <w:tcW w:w="968" w:type="dxa"/>
            <w:tcBorders>
              <w:top w:val="single" w:sz="2" w:space="0" w:color="D3D3D3"/>
              <w:left w:val="single" w:sz="2" w:space="0" w:color="D3D3D3"/>
              <w:bottom w:val="single" w:sz="35" w:space="0" w:color="BAF9F5"/>
              <w:right w:val="single" w:sz="2" w:space="0" w:color="D3D3D3"/>
            </w:tcBorders>
          </w:tcPr>
          <w:p>
            <w:pPr>
              <w:pStyle w:val="TableParagraph"/>
              <w:spacing w:before="6"/>
              <w:ind w:left="404" w:right="390"/>
              <w:rPr>
                <w:rFonts w:ascii="Calibri"/>
                <w:sz w:val="6"/>
              </w:rPr>
            </w:pPr>
            <w:r>
              <w:rPr>
                <w:rFonts w:ascii="Calibri"/>
                <w:w w:val="105"/>
                <w:sz w:val="6"/>
              </w:rPr>
              <w:t>Total</w:t>
            </w:r>
          </w:p>
        </w:tc>
        <w:tc>
          <w:tcPr>
            <w:tcW w:w="1449" w:type="dxa"/>
            <w:tcBorders>
              <w:top w:val="single" w:sz="2" w:space="0" w:color="D3D3D3"/>
              <w:left w:val="single" w:sz="2" w:space="0" w:color="D3D3D3"/>
              <w:bottom w:val="single" w:sz="35" w:space="0" w:color="BAF9F5"/>
            </w:tcBorders>
          </w:tcPr>
          <w:p>
            <w:pPr>
              <w:pStyle w:val="TableParagraph"/>
              <w:spacing w:before="6"/>
              <w:ind w:left="411" w:right="412"/>
              <w:rPr>
                <w:rFonts w:ascii="Calibri"/>
                <w:sz w:val="6"/>
              </w:rPr>
            </w:pPr>
            <w:r>
              <w:rPr>
                <w:rFonts w:ascii="Calibri"/>
                <w:w w:val="105"/>
                <w:sz w:val="6"/>
              </w:rPr>
              <w:t>Parcial</w:t>
            </w:r>
          </w:p>
        </w:tc>
        <w:tc>
          <w:tcPr>
            <w:tcW w:w="1516" w:type="dxa"/>
            <w:tcBorders>
              <w:bottom w:val="single" w:sz="35" w:space="0" w:color="BAF9F5"/>
            </w:tcBorders>
            <w:shd w:val="clear" w:color="auto" w:fill="808080"/>
          </w:tcPr>
          <w:p>
            <w:pPr>
              <w:pStyle w:val="TableParagraph"/>
              <w:spacing w:before="8"/>
              <w:ind w:left="670" w:right="670"/>
              <w:rPr>
                <w:rFonts w:ascii="Calibri"/>
                <w:sz w:val="6"/>
              </w:rPr>
            </w:pPr>
            <w:r>
              <w:rPr>
                <w:rFonts w:ascii="Calibri"/>
                <w:w w:val="105"/>
                <w:sz w:val="6"/>
              </w:rPr>
              <w:t>No</w:t>
            </w:r>
          </w:p>
        </w:tc>
        <w:tc>
          <w:tcPr>
            <w:tcW w:w="645" w:type="dxa"/>
            <w:tcBorders>
              <w:top w:val="single" w:sz="2" w:space="0" w:color="D3D3D3"/>
              <w:bottom w:val="single" w:sz="35" w:space="0" w:color="BAF9F5"/>
              <w:right w:val="single" w:sz="2" w:space="0" w:color="D3D3D3"/>
            </w:tcBorders>
          </w:tcPr>
          <w:p>
            <w:pPr>
              <w:pStyle w:val="TableParagraph"/>
              <w:spacing w:before="6"/>
              <w:ind w:left="158" w:right="153"/>
              <w:rPr>
                <w:rFonts w:ascii="Calibri"/>
                <w:sz w:val="6"/>
              </w:rPr>
            </w:pPr>
            <w:r>
              <w:rPr>
                <w:rFonts w:ascii="Calibri"/>
                <w:w w:val="105"/>
                <w:sz w:val="6"/>
              </w:rPr>
              <w:t>Especificar:</w:t>
            </w:r>
          </w:p>
        </w:tc>
        <w:tc>
          <w:tcPr>
            <w:tcW w:w="585" w:type="dxa"/>
            <w:tcBorders>
              <w:top w:val="single" w:sz="2" w:space="0" w:color="D3D3D3"/>
              <w:left w:val="single" w:sz="2" w:space="0" w:color="D3D3D3"/>
              <w:bottom w:val="single" w:sz="35" w:space="0" w:color="BAF9F5"/>
              <w:right w:val="single" w:sz="2" w:space="0" w:color="D3D3D3"/>
            </w:tcBorders>
          </w:tcPr>
          <w:p>
            <w:pPr/>
          </w:p>
        </w:tc>
        <w:tc>
          <w:tcPr>
            <w:tcW w:w="1105" w:type="dxa"/>
            <w:tcBorders>
              <w:top w:val="single" w:sz="2" w:space="0" w:color="D3D3D3"/>
              <w:left w:val="single" w:sz="2" w:space="0" w:color="D3D3D3"/>
              <w:bottom w:val="single" w:sz="35" w:space="0" w:color="BAF9F5"/>
              <w:right w:val="single" w:sz="15" w:space="0" w:color="FFFFFF"/>
            </w:tcBorders>
          </w:tcPr>
          <w:p>
            <w:pPr/>
          </w:p>
        </w:tc>
        <w:tc>
          <w:tcPr>
            <w:tcW w:w="485" w:type="dxa"/>
            <w:tcBorders>
              <w:top w:val="single" w:sz="2" w:space="0" w:color="D3D3D3"/>
              <w:left w:val="single" w:sz="15" w:space="0" w:color="FFFFFF"/>
              <w:bottom w:val="single" w:sz="35" w:space="0" w:color="BAF9F5"/>
              <w:right w:val="single" w:sz="2" w:space="0" w:color="D3D3D3"/>
            </w:tcBorders>
          </w:tcPr>
          <w:p>
            <w:pPr/>
          </w:p>
        </w:tc>
        <w:tc>
          <w:tcPr>
            <w:tcW w:w="346" w:type="dxa"/>
            <w:tcBorders>
              <w:left w:val="single" w:sz="2" w:space="0" w:color="D3D3D3"/>
              <w:right w:val="single" w:sz="2" w:space="0" w:color="D3D3D3"/>
            </w:tcBorders>
          </w:tcPr>
          <w:p>
            <w:pPr/>
          </w:p>
        </w:tc>
        <w:tc>
          <w:tcPr>
            <w:tcW w:w="346" w:type="dxa"/>
            <w:tcBorders>
              <w:left w:val="single" w:sz="2" w:space="0" w:color="D3D3D3"/>
              <w:bottom w:val="single" w:sz="35" w:space="0" w:color="BAF9F5"/>
              <w:right w:val="single" w:sz="2" w:space="0" w:color="D3D3D3"/>
            </w:tcBorders>
          </w:tcPr>
          <w:p>
            <w:pPr/>
          </w:p>
        </w:tc>
        <w:tc>
          <w:tcPr>
            <w:tcW w:w="346" w:type="dxa"/>
            <w:tcBorders>
              <w:left w:val="single" w:sz="2" w:space="0" w:color="D3D3D3"/>
              <w:bottom w:val="single" w:sz="35" w:space="0" w:color="BAF9F5"/>
              <w:right w:val="single" w:sz="2" w:space="0" w:color="D3D3D3"/>
            </w:tcBorders>
          </w:tcPr>
          <w:p>
            <w:pPr/>
          </w:p>
        </w:tc>
        <w:tc>
          <w:tcPr>
            <w:tcW w:w="89" w:type="dxa"/>
            <w:tcBorders>
              <w:top w:val="single" w:sz="2" w:space="0" w:color="D3D3D3"/>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
        </w:tc>
        <w:tc>
          <w:tcPr>
            <w:tcW w:w="1449" w:type="dxa"/>
            <w:shd w:val="clear" w:color="auto" w:fill="BAF9F5"/>
          </w:tcPr>
          <w:p>
            <w:pPr/>
          </w:p>
        </w:tc>
        <w:tc>
          <w:tcPr>
            <w:tcW w:w="1516" w:type="dxa"/>
            <w:shd w:val="clear" w:color="auto" w:fill="BAF9F5"/>
          </w:tcPr>
          <w:p>
            <w:pP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10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Style w:val="TableParagraph"/>
              <w:spacing w:before="50"/>
              <w:ind w:left="8"/>
              <w:jc w:val="left"/>
              <w:rPr>
                <w:rFonts w:ascii="Calibri" w:hAnsi="Calibri"/>
                <w:sz w:val="6"/>
              </w:rPr>
            </w:pPr>
            <w:r>
              <w:rPr>
                <w:rFonts w:ascii="Calibri" w:hAnsi="Calibri"/>
                <w:w w:val="105"/>
                <w:sz w:val="6"/>
              </w:rPr>
              <w:t>Energía eléctrica</w:t>
            </w:r>
          </w:p>
        </w:tc>
        <w:tc>
          <w:tcPr>
            <w:tcW w:w="2353" w:type="dxa"/>
            <w:tcBorders>
              <w:left w:val="single" w:sz="2" w:space="0" w:color="D3D3D3"/>
              <w:right w:val="single" w:sz="2" w:space="0" w:color="D3D3D3"/>
            </w:tcBorders>
          </w:tcPr>
          <w:p>
            <w:pPr>
              <w:pStyle w:val="TableParagraph"/>
              <w:spacing w:before="50"/>
              <w:ind w:left="8" w:right="-3"/>
              <w:jc w:val="left"/>
              <w:rPr>
                <w:rFonts w:ascii="Calibri" w:hAnsi="Calibri"/>
                <w:sz w:val="6"/>
              </w:rPr>
            </w:pPr>
            <w:r>
              <w:rPr>
                <w:rFonts w:ascii="Calibri" w:hAnsi="Calibri"/>
                <w:w w:val="105"/>
                <w:sz w:val="6"/>
              </w:rPr>
              <w:t>¿El servicio de energía eléctrica se encuentra municipalizado?</w:t>
            </w:r>
          </w:p>
        </w:tc>
        <w:tc>
          <w:tcPr>
            <w:tcW w:w="968" w:type="dxa"/>
            <w:tcBorders>
              <w:top w:val="single" w:sz="35" w:space="0" w:color="BAF9F5"/>
              <w:left w:val="single" w:sz="2" w:space="0" w:color="D3D3D3"/>
              <w:bottom w:val="single" w:sz="35" w:space="0" w:color="BAF9F5"/>
            </w:tcBorders>
          </w:tcPr>
          <w:p>
            <w:pPr>
              <w:pStyle w:val="TableParagraph"/>
              <w:spacing w:line="3" w:lineRule="exact"/>
              <w:ind w:left="9"/>
              <w:rPr>
                <w:rFonts w:ascii="Calibri"/>
                <w:sz w:val="6"/>
              </w:rPr>
            </w:pPr>
            <w:r>
              <w:rPr>
                <w:rFonts w:ascii="Calibri"/>
                <w:w w:val="104"/>
                <w:sz w:val="6"/>
              </w:rPr>
              <w:t>1</w:t>
            </w:r>
          </w:p>
          <w:p>
            <w:pPr>
              <w:pStyle w:val="TableParagraph"/>
              <w:spacing w:before="6"/>
              <w:ind w:left="243" w:right="232"/>
              <w:rPr>
                <w:rFonts w:ascii="Calibri"/>
                <w:sz w:val="6"/>
              </w:rPr>
            </w:pPr>
            <w:r>
              <w:rPr>
                <w:rFonts w:ascii="Calibri"/>
                <w:w w:val="105"/>
                <w:sz w:val="6"/>
              </w:rPr>
              <w:t>Total</w:t>
            </w:r>
          </w:p>
        </w:tc>
        <w:tc>
          <w:tcPr>
            <w:tcW w:w="1449" w:type="dxa"/>
            <w:tcBorders>
              <w:top w:val="single" w:sz="35" w:space="0" w:color="BAF9F5"/>
              <w:bottom w:val="single" w:sz="35" w:space="0" w:color="BAF9F5"/>
            </w:tcBorders>
          </w:tcPr>
          <w:p>
            <w:pPr>
              <w:pStyle w:val="TableParagraph"/>
              <w:spacing w:line="3" w:lineRule="exact"/>
              <w:ind w:left="510" w:right="506"/>
              <w:rPr>
                <w:rFonts w:ascii="Calibri"/>
                <w:sz w:val="6"/>
              </w:rPr>
            </w:pPr>
            <w:r>
              <w:rPr>
                <w:rFonts w:ascii="Calibri"/>
                <w:w w:val="105"/>
                <w:sz w:val="6"/>
              </w:rPr>
              <w:t>0.5</w:t>
            </w:r>
          </w:p>
          <w:p>
            <w:pPr>
              <w:pStyle w:val="TableParagraph"/>
              <w:tabs>
                <w:tab w:pos="639" w:val="left" w:leader="none"/>
                <w:tab w:pos="1452" w:val="left" w:leader="none"/>
              </w:tabs>
              <w:spacing w:before="6"/>
              <w:ind w:left="-1" w:right="-4"/>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Parcial</w:t>
            </w:r>
            <w:r>
              <w:rPr>
                <w:rFonts w:ascii="Calibri"/>
                <w:sz w:val="6"/>
                <w:shd w:fill="808080" w:color="auto" w:val="clear"/>
              </w:rPr>
              <w:tab/>
            </w:r>
          </w:p>
        </w:tc>
        <w:tc>
          <w:tcPr>
            <w:tcW w:w="1516" w:type="dxa"/>
            <w:tcBorders>
              <w:top w:val="single" w:sz="35" w:space="0" w:color="BAF9F5"/>
              <w:bottom w:val="single" w:sz="35" w:space="0" w:color="BAF9F5"/>
              <w:right w:val="single" w:sz="2" w:space="0" w:color="D3D3D3"/>
            </w:tcBorders>
          </w:tcPr>
          <w:p>
            <w:pPr>
              <w:pStyle w:val="TableParagraph"/>
              <w:spacing w:line="3" w:lineRule="exact"/>
              <w:ind w:left="3"/>
              <w:rPr>
                <w:rFonts w:ascii="Calibri"/>
                <w:sz w:val="6"/>
              </w:rPr>
            </w:pPr>
            <w:r>
              <w:rPr>
                <w:rFonts w:ascii="Calibri"/>
                <w:w w:val="104"/>
                <w:sz w:val="6"/>
              </w:rPr>
              <w:t>0</w:t>
            </w:r>
          </w:p>
          <w:p>
            <w:pPr>
              <w:pStyle w:val="TableParagraph"/>
              <w:spacing w:before="6"/>
              <w:ind w:left="336" w:right="333"/>
              <w:rPr>
                <w:rFonts w:ascii="Calibri"/>
                <w:sz w:val="6"/>
              </w:rPr>
            </w:pPr>
            <w:r>
              <w:rPr>
                <w:rFonts w:ascii="Calibri"/>
                <w:w w:val="105"/>
                <w:sz w:val="6"/>
              </w:rPr>
              <w:t>No</w:t>
            </w:r>
          </w:p>
        </w:tc>
        <w:tc>
          <w:tcPr>
            <w:tcW w:w="645" w:type="dxa"/>
            <w:tcBorders>
              <w:top w:val="single" w:sz="35" w:space="0" w:color="BAF9F5"/>
              <w:left w:val="single" w:sz="2" w:space="0" w:color="D3D3D3"/>
              <w:bottom w:val="single" w:sz="35" w:space="0" w:color="BAF9F5"/>
              <w:right w:val="single" w:sz="2" w:space="0" w:color="D3D3D3"/>
            </w:tcBorders>
          </w:tcPr>
          <w:p>
            <w:pPr>
              <w:pStyle w:val="TableParagraph"/>
              <w:spacing w:before="6"/>
              <w:ind w:left="158" w:right="149"/>
              <w:rPr>
                <w:rFonts w:ascii="Calibri"/>
                <w:sz w:val="6"/>
              </w:rPr>
            </w:pPr>
            <w:r>
              <w:rPr>
                <w:rFonts w:ascii="Calibri"/>
                <w:w w:val="105"/>
                <w:sz w:val="6"/>
              </w:rPr>
              <w:t>Especificar:</w:t>
            </w:r>
          </w:p>
        </w:tc>
        <w:tc>
          <w:tcPr>
            <w:tcW w:w="585" w:type="dxa"/>
            <w:tcBorders>
              <w:top w:val="single" w:sz="35" w:space="0" w:color="BAF9F5"/>
              <w:left w:val="single" w:sz="2" w:space="0" w:color="D3D3D3"/>
              <w:bottom w:val="single" w:sz="35" w:space="0" w:color="BAF9F5"/>
              <w:right w:val="single" w:sz="2" w:space="0" w:color="D3D3D3"/>
            </w:tcBorders>
          </w:tcPr>
          <w:p>
            <w:pPr/>
          </w:p>
        </w:tc>
        <w:tc>
          <w:tcPr>
            <w:tcW w:w="1105" w:type="dxa"/>
            <w:tcBorders>
              <w:top w:val="single" w:sz="35" w:space="0" w:color="BAF9F5"/>
              <w:left w:val="single" w:sz="2" w:space="0" w:color="D3D3D3"/>
              <w:bottom w:val="single" w:sz="35" w:space="0" w:color="BAF9F5"/>
              <w:right w:val="single" w:sz="15" w:space="0" w:color="FFFFFF"/>
            </w:tcBorders>
          </w:tcPr>
          <w:p>
            <w:pPr/>
          </w:p>
        </w:tc>
        <w:tc>
          <w:tcPr>
            <w:tcW w:w="485" w:type="dxa"/>
            <w:tcBorders>
              <w:top w:val="single" w:sz="35" w:space="0" w:color="BAF9F5"/>
              <w:left w:val="single" w:sz="15" w:space="0" w:color="FFFFFF"/>
              <w:bottom w:val="single" w:sz="35" w:space="0" w:color="BAF9F5"/>
              <w:right w:val="single" w:sz="2" w:space="0" w:color="D3D3D3"/>
            </w:tcBorders>
          </w:tcPr>
          <w:p>
            <w:pPr>
              <w:pStyle w:val="TableParagraph"/>
              <w:spacing w:line="3" w:lineRule="exact"/>
              <w:ind w:left="4"/>
              <w:rPr>
                <w:rFonts w:ascii="Calibri"/>
                <w:sz w:val="6"/>
              </w:rPr>
            </w:pPr>
            <w:r>
              <w:rPr>
                <w:rFonts w:ascii="Calibri"/>
                <w:w w:val="104"/>
                <w:sz w:val="6"/>
              </w:rPr>
              <w:t>0</w:t>
            </w:r>
          </w:p>
        </w:tc>
        <w:tc>
          <w:tcPr>
            <w:tcW w:w="346" w:type="dxa"/>
            <w:tcBorders>
              <w:left w:val="single" w:sz="2" w:space="0" w:color="D3D3D3"/>
              <w:right w:val="single" w:sz="2" w:space="0" w:color="D3D3D3"/>
            </w:tcBorders>
          </w:tcPr>
          <w:p>
            <w:pP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112" w:right="106"/>
              <w:rPr>
                <w:rFonts w:ascii="Calibri"/>
                <w:sz w:val="6"/>
              </w:rPr>
            </w:pPr>
            <w:r>
              <w:rPr>
                <w:rFonts w:ascii="Calibri"/>
                <w:w w:val="105"/>
                <w:sz w:val="6"/>
              </w:rPr>
              <w:t>0.5</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
        </w:tc>
        <w:tc>
          <w:tcPr>
            <w:tcW w:w="1449" w:type="dxa"/>
            <w:shd w:val="clear" w:color="auto" w:fill="BAF9F5"/>
          </w:tcPr>
          <w:p>
            <w:pPr/>
          </w:p>
        </w:tc>
        <w:tc>
          <w:tcPr>
            <w:tcW w:w="1516" w:type="dxa"/>
            <w:shd w:val="clear" w:color="auto" w:fill="BAF9F5"/>
          </w:tcPr>
          <w:p>
            <w:pP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10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Style w:val="TableParagraph"/>
              <w:spacing w:before="50"/>
              <w:ind w:left="8"/>
              <w:jc w:val="left"/>
              <w:rPr>
                <w:rFonts w:ascii="Calibri"/>
                <w:sz w:val="6"/>
              </w:rPr>
            </w:pPr>
            <w:r>
              <w:rPr>
                <w:rFonts w:ascii="Calibri"/>
                <w:w w:val="105"/>
                <w:sz w:val="6"/>
              </w:rPr>
              <w:t>Drenaje sanitario</w:t>
            </w:r>
          </w:p>
        </w:tc>
        <w:tc>
          <w:tcPr>
            <w:tcW w:w="2353" w:type="dxa"/>
            <w:tcBorders>
              <w:left w:val="single" w:sz="2" w:space="0" w:color="D3D3D3"/>
              <w:right w:val="single" w:sz="2" w:space="0" w:color="D3D3D3"/>
            </w:tcBorders>
          </w:tcPr>
          <w:p>
            <w:pPr>
              <w:pStyle w:val="TableParagraph"/>
              <w:spacing w:before="50"/>
              <w:ind w:left="8" w:right="-3"/>
              <w:jc w:val="left"/>
              <w:rPr>
                <w:rFonts w:ascii="Calibri" w:hAnsi="Calibri"/>
                <w:sz w:val="6"/>
              </w:rPr>
            </w:pPr>
            <w:r>
              <w:rPr>
                <w:rFonts w:ascii="Calibri" w:hAnsi="Calibri"/>
                <w:w w:val="105"/>
                <w:sz w:val="6"/>
              </w:rPr>
              <w:t>¿El drenaje sanitario desemboca en plata de tratamiento?</w:t>
            </w:r>
          </w:p>
        </w:tc>
        <w:tc>
          <w:tcPr>
            <w:tcW w:w="968" w:type="dxa"/>
            <w:tcBorders>
              <w:top w:val="single" w:sz="35" w:space="0" w:color="BAF9F5"/>
              <w:left w:val="single" w:sz="2" w:space="0" w:color="D3D3D3"/>
              <w:bottom w:val="single" w:sz="35" w:space="0" w:color="BAF9F5"/>
            </w:tcBorders>
          </w:tcPr>
          <w:p>
            <w:pPr>
              <w:pStyle w:val="TableParagraph"/>
              <w:spacing w:line="3" w:lineRule="exact"/>
              <w:ind w:left="9"/>
              <w:rPr>
                <w:rFonts w:ascii="Calibri"/>
                <w:sz w:val="6"/>
              </w:rPr>
            </w:pPr>
            <w:r>
              <w:rPr>
                <w:rFonts w:ascii="Calibri"/>
                <w:w w:val="104"/>
                <w:sz w:val="6"/>
              </w:rPr>
              <w:t>1</w:t>
            </w:r>
          </w:p>
          <w:p>
            <w:pPr>
              <w:pStyle w:val="TableParagraph"/>
              <w:spacing w:before="6"/>
              <w:ind w:left="243" w:right="232"/>
              <w:rPr>
                <w:rFonts w:ascii="Calibri"/>
                <w:sz w:val="6"/>
              </w:rPr>
            </w:pPr>
            <w:r>
              <w:rPr>
                <w:rFonts w:ascii="Calibri"/>
                <w:w w:val="105"/>
                <w:sz w:val="6"/>
              </w:rPr>
              <w:t>Total</w:t>
            </w:r>
          </w:p>
        </w:tc>
        <w:tc>
          <w:tcPr>
            <w:tcW w:w="1449" w:type="dxa"/>
            <w:tcBorders>
              <w:top w:val="single" w:sz="35" w:space="0" w:color="BAF9F5"/>
              <w:bottom w:val="single" w:sz="35" w:space="0" w:color="BAF9F5"/>
            </w:tcBorders>
          </w:tcPr>
          <w:p>
            <w:pPr>
              <w:pStyle w:val="TableParagraph"/>
              <w:spacing w:line="3" w:lineRule="exact"/>
              <w:ind w:left="510" w:right="506"/>
              <w:rPr>
                <w:rFonts w:ascii="Calibri"/>
                <w:sz w:val="6"/>
              </w:rPr>
            </w:pPr>
            <w:r>
              <w:rPr>
                <w:rFonts w:ascii="Calibri"/>
                <w:w w:val="105"/>
                <w:sz w:val="6"/>
              </w:rPr>
              <w:t>0.5</w:t>
            </w:r>
          </w:p>
          <w:p>
            <w:pPr>
              <w:pStyle w:val="TableParagraph"/>
              <w:tabs>
                <w:tab w:pos="639" w:val="left" w:leader="none"/>
                <w:tab w:pos="1452" w:val="left" w:leader="none"/>
              </w:tabs>
              <w:spacing w:before="6"/>
              <w:ind w:left="-1" w:right="-4"/>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Parcial</w:t>
            </w:r>
            <w:r>
              <w:rPr>
                <w:rFonts w:ascii="Calibri"/>
                <w:sz w:val="6"/>
                <w:shd w:fill="808080" w:color="auto" w:val="clear"/>
              </w:rPr>
              <w:tab/>
            </w:r>
          </w:p>
        </w:tc>
        <w:tc>
          <w:tcPr>
            <w:tcW w:w="1516" w:type="dxa"/>
            <w:tcBorders>
              <w:top w:val="single" w:sz="35" w:space="0" w:color="BAF9F5"/>
              <w:bottom w:val="single" w:sz="35" w:space="0" w:color="BAF9F5"/>
              <w:right w:val="single" w:sz="2" w:space="0" w:color="D3D3D3"/>
            </w:tcBorders>
          </w:tcPr>
          <w:p>
            <w:pPr>
              <w:pStyle w:val="TableParagraph"/>
              <w:spacing w:line="3" w:lineRule="exact"/>
              <w:ind w:left="3"/>
              <w:rPr>
                <w:rFonts w:ascii="Calibri"/>
                <w:sz w:val="6"/>
              </w:rPr>
            </w:pPr>
            <w:r>
              <w:rPr>
                <w:rFonts w:ascii="Calibri"/>
                <w:w w:val="104"/>
                <w:sz w:val="6"/>
              </w:rPr>
              <w:t>0</w:t>
            </w:r>
          </w:p>
          <w:p>
            <w:pPr>
              <w:pStyle w:val="TableParagraph"/>
              <w:spacing w:before="6"/>
              <w:ind w:left="336" w:right="333"/>
              <w:rPr>
                <w:rFonts w:ascii="Calibri"/>
                <w:sz w:val="6"/>
              </w:rPr>
            </w:pPr>
            <w:r>
              <w:rPr>
                <w:rFonts w:ascii="Calibri"/>
                <w:w w:val="105"/>
                <w:sz w:val="6"/>
              </w:rPr>
              <w:t>No</w:t>
            </w:r>
          </w:p>
        </w:tc>
        <w:tc>
          <w:tcPr>
            <w:tcW w:w="645" w:type="dxa"/>
            <w:tcBorders>
              <w:top w:val="single" w:sz="35" w:space="0" w:color="BAF9F5"/>
              <w:left w:val="single" w:sz="2" w:space="0" w:color="D3D3D3"/>
              <w:bottom w:val="single" w:sz="35" w:space="0" w:color="BAF9F5"/>
              <w:right w:val="single" w:sz="2" w:space="0" w:color="D3D3D3"/>
            </w:tcBorders>
          </w:tcPr>
          <w:p>
            <w:pPr>
              <w:pStyle w:val="TableParagraph"/>
              <w:spacing w:before="6"/>
              <w:ind w:left="158" w:right="149"/>
              <w:rPr>
                <w:rFonts w:ascii="Calibri"/>
                <w:sz w:val="6"/>
              </w:rPr>
            </w:pPr>
            <w:r>
              <w:rPr>
                <w:rFonts w:ascii="Calibri"/>
                <w:w w:val="105"/>
                <w:sz w:val="6"/>
              </w:rPr>
              <w:t>Especificar:</w:t>
            </w:r>
          </w:p>
        </w:tc>
        <w:tc>
          <w:tcPr>
            <w:tcW w:w="585" w:type="dxa"/>
            <w:tcBorders>
              <w:top w:val="single" w:sz="35" w:space="0" w:color="BAF9F5"/>
              <w:left w:val="single" w:sz="2" w:space="0" w:color="D3D3D3"/>
              <w:bottom w:val="single" w:sz="35" w:space="0" w:color="BAF9F5"/>
              <w:right w:val="single" w:sz="2" w:space="0" w:color="D3D3D3"/>
            </w:tcBorders>
          </w:tcPr>
          <w:p>
            <w:pPr/>
          </w:p>
        </w:tc>
        <w:tc>
          <w:tcPr>
            <w:tcW w:w="1105" w:type="dxa"/>
            <w:tcBorders>
              <w:top w:val="single" w:sz="35" w:space="0" w:color="BAF9F5"/>
              <w:left w:val="single" w:sz="2" w:space="0" w:color="D3D3D3"/>
              <w:bottom w:val="single" w:sz="35" w:space="0" w:color="BAF9F5"/>
              <w:right w:val="single" w:sz="15" w:space="0" w:color="FFFFFF"/>
            </w:tcBorders>
          </w:tcPr>
          <w:p>
            <w:pPr/>
          </w:p>
        </w:tc>
        <w:tc>
          <w:tcPr>
            <w:tcW w:w="485" w:type="dxa"/>
            <w:tcBorders>
              <w:top w:val="single" w:sz="35" w:space="0" w:color="BAF9F5"/>
              <w:left w:val="single" w:sz="15" w:space="0" w:color="FFFFFF"/>
              <w:bottom w:val="single" w:sz="35" w:space="0" w:color="BAF9F5"/>
              <w:right w:val="single" w:sz="2" w:space="0" w:color="D3D3D3"/>
            </w:tcBorders>
          </w:tcPr>
          <w:p>
            <w:pPr>
              <w:pStyle w:val="TableParagraph"/>
              <w:spacing w:line="3" w:lineRule="exact"/>
              <w:ind w:left="173" w:right="169"/>
              <w:rPr>
                <w:rFonts w:ascii="Calibri"/>
                <w:sz w:val="6"/>
              </w:rPr>
            </w:pPr>
            <w:r>
              <w:rPr>
                <w:rFonts w:ascii="Calibri"/>
                <w:w w:val="105"/>
                <w:sz w:val="6"/>
              </w:rPr>
              <w:t>0.5</w:t>
            </w:r>
          </w:p>
        </w:tc>
        <w:tc>
          <w:tcPr>
            <w:tcW w:w="346" w:type="dxa"/>
            <w:tcBorders>
              <w:left w:val="single" w:sz="2" w:space="0" w:color="D3D3D3"/>
              <w:right w:val="single" w:sz="2" w:space="0" w:color="D3D3D3"/>
            </w:tcBorders>
          </w:tcPr>
          <w:p>
            <w:pP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112" w:right="106"/>
              <w:rPr>
                <w:rFonts w:ascii="Calibri"/>
                <w:sz w:val="6"/>
              </w:rPr>
            </w:pPr>
            <w:r>
              <w:rPr>
                <w:rFonts w:ascii="Calibri"/>
                <w:w w:val="105"/>
                <w:sz w:val="6"/>
              </w:rPr>
              <w:t>0.5</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
        </w:tc>
        <w:tc>
          <w:tcPr>
            <w:tcW w:w="1449" w:type="dxa"/>
            <w:shd w:val="clear" w:color="auto" w:fill="BAF9F5"/>
          </w:tcPr>
          <w:p>
            <w:pPr/>
          </w:p>
        </w:tc>
        <w:tc>
          <w:tcPr>
            <w:tcW w:w="1516" w:type="dxa"/>
            <w:shd w:val="clear" w:color="auto" w:fill="BAF9F5"/>
          </w:tcPr>
          <w:p>
            <w:pP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10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Style w:val="TableParagraph"/>
              <w:spacing w:before="49"/>
              <w:ind w:left="8"/>
              <w:jc w:val="left"/>
              <w:rPr>
                <w:rFonts w:ascii="Calibri"/>
                <w:sz w:val="6"/>
              </w:rPr>
            </w:pPr>
            <w:r>
              <w:rPr>
                <w:rFonts w:ascii="Calibri"/>
                <w:w w:val="105"/>
                <w:sz w:val="6"/>
              </w:rPr>
              <w:t>Drenaje pluvial</w:t>
            </w:r>
          </w:p>
        </w:tc>
        <w:tc>
          <w:tcPr>
            <w:tcW w:w="2353" w:type="dxa"/>
            <w:tcBorders>
              <w:left w:val="single" w:sz="2" w:space="0" w:color="D3D3D3"/>
              <w:right w:val="single" w:sz="2" w:space="0" w:color="D3D3D3"/>
            </w:tcBorders>
          </w:tcPr>
          <w:p>
            <w:pPr>
              <w:pStyle w:val="TableParagraph"/>
              <w:spacing w:before="49"/>
              <w:ind w:left="8" w:right="-3"/>
              <w:jc w:val="left"/>
              <w:rPr>
                <w:rFonts w:ascii="Calibri" w:hAnsi="Calibri"/>
                <w:sz w:val="6"/>
              </w:rPr>
            </w:pPr>
            <w:r>
              <w:rPr>
                <w:rFonts w:ascii="Calibri" w:hAnsi="Calibri"/>
                <w:w w:val="105"/>
                <w:sz w:val="6"/>
              </w:rPr>
              <w:t>¿Existe red de separada para drenaje pluvial?</w:t>
            </w:r>
          </w:p>
        </w:tc>
        <w:tc>
          <w:tcPr>
            <w:tcW w:w="968" w:type="dxa"/>
            <w:tcBorders>
              <w:top w:val="single" w:sz="35" w:space="0" w:color="BAF9F5"/>
              <w:left w:val="single" w:sz="2" w:space="0" w:color="D3D3D3"/>
              <w:bottom w:val="single" w:sz="35" w:space="0" w:color="BAF9F5"/>
            </w:tcBorders>
          </w:tcPr>
          <w:p>
            <w:pPr>
              <w:pStyle w:val="TableParagraph"/>
              <w:spacing w:line="3" w:lineRule="exact"/>
              <w:ind w:left="9"/>
              <w:rPr>
                <w:rFonts w:ascii="Calibri"/>
                <w:sz w:val="6"/>
              </w:rPr>
            </w:pPr>
            <w:r>
              <w:rPr>
                <w:rFonts w:ascii="Calibri"/>
                <w:w w:val="104"/>
                <w:sz w:val="6"/>
              </w:rPr>
              <w:t>1</w:t>
            </w:r>
          </w:p>
          <w:p>
            <w:pPr>
              <w:pStyle w:val="TableParagraph"/>
              <w:spacing w:before="6"/>
              <w:ind w:left="243" w:right="232"/>
              <w:rPr>
                <w:rFonts w:ascii="Calibri"/>
                <w:sz w:val="6"/>
              </w:rPr>
            </w:pPr>
            <w:r>
              <w:rPr>
                <w:rFonts w:ascii="Calibri"/>
                <w:w w:val="105"/>
                <w:sz w:val="6"/>
              </w:rPr>
              <w:t>Total</w:t>
            </w:r>
          </w:p>
        </w:tc>
        <w:tc>
          <w:tcPr>
            <w:tcW w:w="1449" w:type="dxa"/>
            <w:tcBorders>
              <w:top w:val="single" w:sz="35" w:space="0" w:color="BAF9F5"/>
              <w:bottom w:val="single" w:sz="35" w:space="0" w:color="BAF9F5"/>
            </w:tcBorders>
          </w:tcPr>
          <w:p>
            <w:pPr>
              <w:pStyle w:val="TableParagraph"/>
              <w:spacing w:line="3" w:lineRule="exact"/>
              <w:ind w:left="510" w:right="506"/>
              <w:rPr>
                <w:rFonts w:ascii="Calibri"/>
                <w:sz w:val="6"/>
              </w:rPr>
            </w:pPr>
            <w:r>
              <w:rPr>
                <w:rFonts w:ascii="Calibri"/>
                <w:w w:val="105"/>
                <w:sz w:val="6"/>
              </w:rPr>
              <w:t>0.5</w:t>
            </w:r>
          </w:p>
          <w:p>
            <w:pPr>
              <w:pStyle w:val="TableParagraph"/>
              <w:tabs>
                <w:tab w:pos="639" w:val="left" w:leader="none"/>
                <w:tab w:pos="1452" w:val="left" w:leader="none"/>
              </w:tabs>
              <w:spacing w:before="6"/>
              <w:ind w:left="-1" w:right="-4"/>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Parcial</w:t>
            </w:r>
            <w:r>
              <w:rPr>
                <w:rFonts w:ascii="Calibri"/>
                <w:sz w:val="6"/>
                <w:shd w:fill="808080" w:color="auto" w:val="clear"/>
              </w:rPr>
              <w:tab/>
            </w:r>
          </w:p>
        </w:tc>
        <w:tc>
          <w:tcPr>
            <w:tcW w:w="1516" w:type="dxa"/>
            <w:tcBorders>
              <w:top w:val="single" w:sz="35" w:space="0" w:color="BAF9F5"/>
              <w:bottom w:val="single" w:sz="35" w:space="0" w:color="BAF9F5"/>
              <w:right w:val="single" w:sz="2" w:space="0" w:color="D3D3D3"/>
            </w:tcBorders>
          </w:tcPr>
          <w:p>
            <w:pPr>
              <w:pStyle w:val="TableParagraph"/>
              <w:spacing w:line="3" w:lineRule="exact"/>
              <w:ind w:left="3"/>
              <w:rPr>
                <w:rFonts w:ascii="Calibri"/>
                <w:sz w:val="6"/>
              </w:rPr>
            </w:pPr>
            <w:r>
              <w:rPr>
                <w:rFonts w:ascii="Calibri"/>
                <w:w w:val="104"/>
                <w:sz w:val="6"/>
              </w:rPr>
              <w:t>0</w:t>
            </w:r>
          </w:p>
          <w:p>
            <w:pPr>
              <w:pStyle w:val="TableParagraph"/>
              <w:spacing w:before="6"/>
              <w:ind w:left="336" w:right="333"/>
              <w:rPr>
                <w:rFonts w:ascii="Calibri"/>
                <w:sz w:val="6"/>
              </w:rPr>
            </w:pPr>
            <w:r>
              <w:rPr>
                <w:rFonts w:ascii="Calibri"/>
                <w:w w:val="105"/>
                <w:sz w:val="6"/>
              </w:rPr>
              <w:t>No</w:t>
            </w:r>
          </w:p>
        </w:tc>
        <w:tc>
          <w:tcPr>
            <w:tcW w:w="645" w:type="dxa"/>
            <w:tcBorders>
              <w:top w:val="single" w:sz="35" w:space="0" w:color="BAF9F5"/>
              <w:left w:val="single" w:sz="2" w:space="0" w:color="D3D3D3"/>
              <w:bottom w:val="single" w:sz="35" w:space="0" w:color="BAF9F5"/>
              <w:right w:val="single" w:sz="2" w:space="0" w:color="D3D3D3"/>
            </w:tcBorders>
          </w:tcPr>
          <w:p>
            <w:pPr>
              <w:pStyle w:val="TableParagraph"/>
              <w:spacing w:before="6"/>
              <w:ind w:left="158" w:right="149"/>
              <w:rPr>
                <w:rFonts w:ascii="Calibri"/>
                <w:sz w:val="6"/>
              </w:rPr>
            </w:pPr>
            <w:r>
              <w:rPr>
                <w:rFonts w:ascii="Calibri"/>
                <w:w w:val="105"/>
                <w:sz w:val="6"/>
              </w:rPr>
              <w:t>Especificar:</w:t>
            </w:r>
          </w:p>
        </w:tc>
        <w:tc>
          <w:tcPr>
            <w:tcW w:w="585" w:type="dxa"/>
            <w:tcBorders>
              <w:top w:val="single" w:sz="35" w:space="0" w:color="BAF9F5"/>
              <w:left w:val="single" w:sz="2" w:space="0" w:color="D3D3D3"/>
              <w:bottom w:val="single" w:sz="35" w:space="0" w:color="BAF9F5"/>
              <w:right w:val="single" w:sz="2" w:space="0" w:color="D3D3D3"/>
            </w:tcBorders>
          </w:tcPr>
          <w:p>
            <w:pPr/>
          </w:p>
        </w:tc>
        <w:tc>
          <w:tcPr>
            <w:tcW w:w="1105" w:type="dxa"/>
            <w:tcBorders>
              <w:top w:val="single" w:sz="35" w:space="0" w:color="BAF9F5"/>
              <w:left w:val="single" w:sz="2" w:space="0" w:color="D3D3D3"/>
              <w:bottom w:val="single" w:sz="35" w:space="0" w:color="BAF9F5"/>
              <w:right w:val="single" w:sz="15" w:space="0" w:color="FFFFFF"/>
            </w:tcBorders>
          </w:tcPr>
          <w:p>
            <w:pPr/>
          </w:p>
        </w:tc>
        <w:tc>
          <w:tcPr>
            <w:tcW w:w="485" w:type="dxa"/>
            <w:tcBorders>
              <w:top w:val="single" w:sz="35" w:space="0" w:color="BAF9F5"/>
              <w:left w:val="single" w:sz="15" w:space="0" w:color="FFFFFF"/>
              <w:bottom w:val="single" w:sz="35" w:space="0" w:color="BAF9F5"/>
              <w:right w:val="single" w:sz="2" w:space="0" w:color="D3D3D3"/>
            </w:tcBorders>
          </w:tcPr>
          <w:p>
            <w:pPr>
              <w:pStyle w:val="TableParagraph"/>
              <w:spacing w:line="3" w:lineRule="exact"/>
              <w:ind w:left="173" w:right="169"/>
              <w:rPr>
                <w:rFonts w:ascii="Calibri"/>
                <w:sz w:val="6"/>
              </w:rPr>
            </w:pPr>
            <w:r>
              <w:rPr>
                <w:rFonts w:ascii="Calibri"/>
                <w:w w:val="105"/>
                <w:sz w:val="6"/>
              </w:rPr>
              <w:t>0.5</w:t>
            </w:r>
          </w:p>
        </w:tc>
        <w:tc>
          <w:tcPr>
            <w:tcW w:w="346" w:type="dxa"/>
            <w:tcBorders>
              <w:left w:val="single" w:sz="2" w:space="0" w:color="D3D3D3"/>
              <w:right w:val="single" w:sz="2" w:space="0" w:color="D3D3D3"/>
            </w:tcBorders>
          </w:tcPr>
          <w:p>
            <w:pP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112" w:right="106"/>
              <w:rPr>
                <w:rFonts w:ascii="Calibri"/>
                <w:sz w:val="6"/>
              </w:rPr>
            </w:pPr>
            <w:r>
              <w:rPr>
                <w:rFonts w:ascii="Calibri"/>
                <w:w w:val="105"/>
                <w:sz w:val="6"/>
              </w:rPr>
              <w:t>0.5</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
        </w:tc>
        <w:tc>
          <w:tcPr>
            <w:tcW w:w="1449" w:type="dxa"/>
            <w:shd w:val="clear" w:color="auto" w:fill="BAF9F5"/>
          </w:tcPr>
          <w:p>
            <w:pPr/>
          </w:p>
        </w:tc>
        <w:tc>
          <w:tcPr>
            <w:tcW w:w="1516" w:type="dxa"/>
            <w:shd w:val="clear" w:color="auto" w:fill="BAF9F5"/>
          </w:tcPr>
          <w:p>
            <w:pP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10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Style w:val="TableParagraph"/>
              <w:spacing w:before="49"/>
              <w:ind w:left="8"/>
              <w:jc w:val="left"/>
              <w:rPr>
                <w:rFonts w:ascii="Calibri"/>
                <w:sz w:val="6"/>
              </w:rPr>
            </w:pPr>
            <w:r>
              <w:rPr>
                <w:rFonts w:ascii="Calibri"/>
                <w:w w:val="105"/>
                <w:sz w:val="6"/>
              </w:rPr>
              <w:t>Guarniciones y banquetas</w:t>
            </w:r>
          </w:p>
        </w:tc>
        <w:tc>
          <w:tcPr>
            <w:tcW w:w="2353" w:type="dxa"/>
            <w:tcBorders>
              <w:left w:val="single" w:sz="2" w:space="0" w:color="D3D3D3"/>
              <w:right w:val="single" w:sz="2" w:space="0" w:color="D3D3D3"/>
            </w:tcBorders>
          </w:tcPr>
          <w:p>
            <w:pPr>
              <w:pStyle w:val="TableParagraph"/>
              <w:spacing w:before="49"/>
              <w:ind w:left="8" w:right="-3"/>
              <w:jc w:val="left"/>
              <w:rPr>
                <w:rFonts w:ascii="Calibri" w:hAnsi="Calibri"/>
                <w:sz w:val="6"/>
              </w:rPr>
            </w:pPr>
            <w:r>
              <w:rPr>
                <w:rFonts w:ascii="Calibri" w:hAnsi="Calibri"/>
                <w:w w:val="105"/>
                <w:sz w:val="6"/>
              </w:rPr>
              <w:t>¿Las guarniciones y banquetas fueron municipalizadas?</w:t>
            </w:r>
          </w:p>
        </w:tc>
        <w:tc>
          <w:tcPr>
            <w:tcW w:w="968" w:type="dxa"/>
            <w:tcBorders>
              <w:top w:val="single" w:sz="35" w:space="0" w:color="BAF9F5"/>
              <w:left w:val="single" w:sz="2" w:space="0" w:color="D3D3D3"/>
              <w:bottom w:val="single" w:sz="35" w:space="0" w:color="BAF9F5"/>
            </w:tcBorders>
          </w:tcPr>
          <w:p>
            <w:pPr>
              <w:pStyle w:val="TableParagraph"/>
              <w:spacing w:line="3" w:lineRule="exact"/>
              <w:ind w:left="9"/>
              <w:rPr>
                <w:rFonts w:ascii="Calibri"/>
                <w:sz w:val="6"/>
              </w:rPr>
            </w:pPr>
            <w:r>
              <w:rPr>
                <w:rFonts w:ascii="Calibri"/>
                <w:w w:val="104"/>
                <w:sz w:val="6"/>
              </w:rPr>
              <w:t>1</w:t>
            </w:r>
          </w:p>
          <w:p>
            <w:pPr>
              <w:pStyle w:val="TableParagraph"/>
              <w:spacing w:before="6"/>
              <w:ind w:left="243" w:right="232"/>
              <w:rPr>
                <w:rFonts w:ascii="Calibri"/>
                <w:sz w:val="6"/>
              </w:rPr>
            </w:pPr>
            <w:r>
              <w:rPr>
                <w:rFonts w:ascii="Calibri"/>
                <w:w w:val="105"/>
                <w:sz w:val="6"/>
              </w:rPr>
              <w:t>Total</w:t>
            </w:r>
          </w:p>
        </w:tc>
        <w:tc>
          <w:tcPr>
            <w:tcW w:w="1449" w:type="dxa"/>
            <w:tcBorders>
              <w:top w:val="single" w:sz="35" w:space="0" w:color="BAF9F5"/>
              <w:bottom w:val="single" w:sz="35" w:space="0" w:color="BAF9F5"/>
            </w:tcBorders>
          </w:tcPr>
          <w:p>
            <w:pPr>
              <w:pStyle w:val="TableParagraph"/>
              <w:spacing w:line="3" w:lineRule="exact"/>
              <w:ind w:left="510" w:right="506"/>
              <w:rPr>
                <w:rFonts w:ascii="Calibri"/>
                <w:sz w:val="6"/>
              </w:rPr>
            </w:pPr>
            <w:r>
              <w:rPr>
                <w:rFonts w:ascii="Calibri"/>
                <w:w w:val="105"/>
                <w:sz w:val="6"/>
              </w:rPr>
              <w:t>0.5</w:t>
            </w:r>
          </w:p>
          <w:p>
            <w:pPr>
              <w:pStyle w:val="TableParagraph"/>
              <w:tabs>
                <w:tab w:pos="639" w:val="left" w:leader="none"/>
                <w:tab w:pos="1452" w:val="left" w:leader="none"/>
              </w:tabs>
              <w:spacing w:before="6"/>
              <w:ind w:left="-1" w:right="-4"/>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Parcial</w:t>
            </w:r>
            <w:r>
              <w:rPr>
                <w:rFonts w:ascii="Calibri"/>
                <w:sz w:val="6"/>
                <w:shd w:fill="808080" w:color="auto" w:val="clear"/>
              </w:rPr>
              <w:tab/>
            </w:r>
          </w:p>
        </w:tc>
        <w:tc>
          <w:tcPr>
            <w:tcW w:w="1516" w:type="dxa"/>
            <w:tcBorders>
              <w:top w:val="single" w:sz="35" w:space="0" w:color="BAF9F5"/>
              <w:bottom w:val="single" w:sz="35" w:space="0" w:color="BAF9F5"/>
              <w:right w:val="single" w:sz="2" w:space="0" w:color="D3D3D3"/>
            </w:tcBorders>
          </w:tcPr>
          <w:p>
            <w:pPr>
              <w:pStyle w:val="TableParagraph"/>
              <w:spacing w:line="3" w:lineRule="exact"/>
              <w:ind w:left="3"/>
              <w:rPr>
                <w:rFonts w:ascii="Calibri"/>
                <w:sz w:val="6"/>
              </w:rPr>
            </w:pPr>
            <w:r>
              <w:rPr>
                <w:rFonts w:ascii="Calibri"/>
                <w:w w:val="104"/>
                <w:sz w:val="6"/>
              </w:rPr>
              <w:t>0</w:t>
            </w:r>
          </w:p>
          <w:p>
            <w:pPr>
              <w:pStyle w:val="TableParagraph"/>
              <w:spacing w:before="6"/>
              <w:ind w:left="336" w:right="333"/>
              <w:rPr>
                <w:rFonts w:ascii="Calibri"/>
                <w:sz w:val="6"/>
              </w:rPr>
            </w:pPr>
            <w:r>
              <w:rPr>
                <w:rFonts w:ascii="Calibri"/>
                <w:w w:val="105"/>
                <w:sz w:val="6"/>
              </w:rPr>
              <w:t>No</w:t>
            </w:r>
          </w:p>
        </w:tc>
        <w:tc>
          <w:tcPr>
            <w:tcW w:w="645" w:type="dxa"/>
            <w:tcBorders>
              <w:top w:val="single" w:sz="35" w:space="0" w:color="BAF9F5"/>
              <w:left w:val="single" w:sz="2" w:space="0" w:color="D3D3D3"/>
              <w:bottom w:val="single" w:sz="35" w:space="0" w:color="BAF9F5"/>
              <w:right w:val="single" w:sz="2" w:space="0" w:color="D3D3D3"/>
            </w:tcBorders>
          </w:tcPr>
          <w:p>
            <w:pPr>
              <w:pStyle w:val="TableParagraph"/>
              <w:spacing w:before="6"/>
              <w:ind w:left="158" w:right="149"/>
              <w:rPr>
                <w:rFonts w:ascii="Calibri"/>
                <w:sz w:val="6"/>
              </w:rPr>
            </w:pPr>
            <w:r>
              <w:rPr>
                <w:rFonts w:ascii="Calibri"/>
                <w:w w:val="105"/>
                <w:sz w:val="6"/>
              </w:rPr>
              <w:t>Especificar:</w:t>
            </w:r>
          </w:p>
        </w:tc>
        <w:tc>
          <w:tcPr>
            <w:tcW w:w="585" w:type="dxa"/>
            <w:tcBorders>
              <w:top w:val="single" w:sz="35" w:space="0" w:color="BAF9F5"/>
              <w:left w:val="single" w:sz="2" w:space="0" w:color="D3D3D3"/>
              <w:bottom w:val="single" w:sz="35" w:space="0" w:color="BAF9F5"/>
              <w:right w:val="single" w:sz="2" w:space="0" w:color="D3D3D3"/>
            </w:tcBorders>
          </w:tcPr>
          <w:p>
            <w:pPr/>
          </w:p>
        </w:tc>
        <w:tc>
          <w:tcPr>
            <w:tcW w:w="1105" w:type="dxa"/>
            <w:tcBorders>
              <w:top w:val="single" w:sz="35" w:space="0" w:color="BAF9F5"/>
              <w:left w:val="single" w:sz="2" w:space="0" w:color="D3D3D3"/>
              <w:bottom w:val="single" w:sz="35" w:space="0" w:color="BAF9F5"/>
              <w:right w:val="single" w:sz="15" w:space="0" w:color="FFFFFF"/>
            </w:tcBorders>
          </w:tcPr>
          <w:p>
            <w:pPr/>
          </w:p>
        </w:tc>
        <w:tc>
          <w:tcPr>
            <w:tcW w:w="485" w:type="dxa"/>
            <w:tcBorders>
              <w:top w:val="single" w:sz="35" w:space="0" w:color="BAF9F5"/>
              <w:left w:val="single" w:sz="15" w:space="0" w:color="FFFFFF"/>
              <w:bottom w:val="single" w:sz="35" w:space="0" w:color="BAF9F5"/>
              <w:right w:val="single" w:sz="2" w:space="0" w:color="D3D3D3"/>
            </w:tcBorders>
          </w:tcPr>
          <w:p>
            <w:pPr>
              <w:pStyle w:val="TableParagraph"/>
              <w:spacing w:line="3" w:lineRule="exact"/>
              <w:ind w:left="173" w:right="169"/>
              <w:rPr>
                <w:rFonts w:ascii="Calibri"/>
                <w:sz w:val="6"/>
              </w:rPr>
            </w:pPr>
            <w:r>
              <w:rPr>
                <w:rFonts w:ascii="Calibri"/>
                <w:w w:val="105"/>
                <w:sz w:val="6"/>
              </w:rPr>
              <w:t>0.5</w:t>
            </w:r>
          </w:p>
        </w:tc>
        <w:tc>
          <w:tcPr>
            <w:tcW w:w="346" w:type="dxa"/>
            <w:tcBorders>
              <w:left w:val="single" w:sz="2" w:space="0" w:color="D3D3D3"/>
              <w:right w:val="single" w:sz="2" w:space="0" w:color="D3D3D3"/>
            </w:tcBorders>
          </w:tcPr>
          <w:p>
            <w:pP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112" w:right="106"/>
              <w:rPr>
                <w:rFonts w:ascii="Calibri"/>
                <w:sz w:val="6"/>
              </w:rPr>
            </w:pPr>
            <w:r>
              <w:rPr>
                <w:rFonts w:ascii="Calibri"/>
                <w:w w:val="105"/>
                <w:sz w:val="6"/>
              </w:rPr>
              <w:t>0.5</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
        </w:tc>
        <w:tc>
          <w:tcPr>
            <w:tcW w:w="1449" w:type="dxa"/>
            <w:shd w:val="clear" w:color="auto" w:fill="BAF9F5"/>
          </w:tcPr>
          <w:p>
            <w:pPr/>
          </w:p>
        </w:tc>
        <w:tc>
          <w:tcPr>
            <w:tcW w:w="1516" w:type="dxa"/>
            <w:shd w:val="clear" w:color="auto" w:fill="BAF9F5"/>
          </w:tcPr>
          <w:p>
            <w:pP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10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Style w:val="TableParagraph"/>
              <w:spacing w:before="49"/>
              <w:ind w:left="8"/>
              <w:jc w:val="left"/>
              <w:rPr>
                <w:rFonts w:ascii="Calibri"/>
                <w:sz w:val="6"/>
              </w:rPr>
            </w:pPr>
            <w:r>
              <w:rPr>
                <w:rFonts w:ascii="Calibri"/>
                <w:w w:val="105"/>
                <w:sz w:val="6"/>
              </w:rPr>
              <w:t>Vialidades y calles</w:t>
            </w:r>
          </w:p>
        </w:tc>
        <w:tc>
          <w:tcPr>
            <w:tcW w:w="2353" w:type="dxa"/>
            <w:tcBorders>
              <w:left w:val="single" w:sz="2" w:space="0" w:color="D3D3D3"/>
              <w:right w:val="single" w:sz="2" w:space="0" w:color="D3D3D3"/>
            </w:tcBorders>
          </w:tcPr>
          <w:p>
            <w:pPr>
              <w:pStyle w:val="TableParagraph"/>
              <w:spacing w:before="49"/>
              <w:ind w:left="8" w:right="-3"/>
              <w:jc w:val="left"/>
              <w:rPr>
                <w:rFonts w:ascii="Calibri" w:hAnsi="Calibri"/>
                <w:sz w:val="6"/>
              </w:rPr>
            </w:pPr>
            <w:r>
              <w:rPr>
                <w:rFonts w:ascii="Calibri" w:hAnsi="Calibri"/>
                <w:w w:val="105"/>
                <w:sz w:val="6"/>
              </w:rPr>
              <w:t>¿Las vialidades y calles se encuentran municipalizadas?</w:t>
            </w:r>
          </w:p>
        </w:tc>
        <w:tc>
          <w:tcPr>
            <w:tcW w:w="968" w:type="dxa"/>
            <w:tcBorders>
              <w:top w:val="single" w:sz="35" w:space="0" w:color="BAF9F5"/>
              <w:left w:val="single" w:sz="2" w:space="0" w:color="D3D3D3"/>
              <w:bottom w:val="single" w:sz="35" w:space="0" w:color="BAF9F5"/>
            </w:tcBorders>
          </w:tcPr>
          <w:p>
            <w:pPr>
              <w:pStyle w:val="TableParagraph"/>
              <w:spacing w:line="3" w:lineRule="exact"/>
              <w:ind w:left="9"/>
              <w:rPr>
                <w:rFonts w:ascii="Calibri"/>
                <w:sz w:val="6"/>
              </w:rPr>
            </w:pPr>
            <w:r>
              <w:rPr>
                <w:rFonts w:ascii="Calibri"/>
                <w:w w:val="104"/>
                <w:sz w:val="6"/>
              </w:rPr>
              <w:t>1</w:t>
            </w:r>
          </w:p>
          <w:p>
            <w:pPr>
              <w:pStyle w:val="TableParagraph"/>
              <w:spacing w:before="6"/>
              <w:ind w:left="243" w:right="232"/>
              <w:rPr>
                <w:rFonts w:ascii="Calibri"/>
                <w:sz w:val="6"/>
              </w:rPr>
            </w:pPr>
            <w:r>
              <w:rPr>
                <w:rFonts w:ascii="Calibri"/>
                <w:w w:val="105"/>
                <w:sz w:val="6"/>
              </w:rPr>
              <w:t>Total</w:t>
            </w:r>
          </w:p>
        </w:tc>
        <w:tc>
          <w:tcPr>
            <w:tcW w:w="1449" w:type="dxa"/>
            <w:tcBorders>
              <w:top w:val="single" w:sz="35" w:space="0" w:color="BAF9F5"/>
              <w:bottom w:val="single" w:sz="35" w:space="0" w:color="BAF9F5"/>
            </w:tcBorders>
          </w:tcPr>
          <w:p>
            <w:pPr>
              <w:pStyle w:val="TableParagraph"/>
              <w:spacing w:line="3" w:lineRule="exact"/>
              <w:ind w:left="510" w:right="506"/>
              <w:rPr>
                <w:rFonts w:ascii="Calibri"/>
                <w:sz w:val="6"/>
              </w:rPr>
            </w:pPr>
            <w:r>
              <w:rPr>
                <w:rFonts w:ascii="Calibri"/>
                <w:w w:val="105"/>
                <w:sz w:val="6"/>
              </w:rPr>
              <w:t>0.5</w:t>
            </w:r>
          </w:p>
          <w:p>
            <w:pPr>
              <w:pStyle w:val="TableParagraph"/>
              <w:tabs>
                <w:tab w:pos="639" w:val="left" w:leader="none"/>
                <w:tab w:pos="1452" w:val="left" w:leader="none"/>
              </w:tabs>
              <w:spacing w:before="6"/>
              <w:ind w:left="-1" w:right="-4"/>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Parcial</w:t>
            </w:r>
            <w:r>
              <w:rPr>
                <w:rFonts w:ascii="Calibri"/>
                <w:sz w:val="6"/>
                <w:shd w:fill="808080" w:color="auto" w:val="clear"/>
              </w:rPr>
              <w:tab/>
            </w:r>
          </w:p>
        </w:tc>
        <w:tc>
          <w:tcPr>
            <w:tcW w:w="1516" w:type="dxa"/>
            <w:tcBorders>
              <w:top w:val="single" w:sz="35" w:space="0" w:color="BAF9F5"/>
              <w:bottom w:val="single" w:sz="35" w:space="0" w:color="BAF9F5"/>
              <w:right w:val="single" w:sz="2" w:space="0" w:color="D3D3D3"/>
            </w:tcBorders>
          </w:tcPr>
          <w:p>
            <w:pPr>
              <w:pStyle w:val="TableParagraph"/>
              <w:spacing w:line="3" w:lineRule="exact"/>
              <w:ind w:left="3"/>
              <w:rPr>
                <w:rFonts w:ascii="Calibri"/>
                <w:sz w:val="6"/>
              </w:rPr>
            </w:pPr>
            <w:r>
              <w:rPr>
                <w:rFonts w:ascii="Calibri"/>
                <w:w w:val="104"/>
                <w:sz w:val="6"/>
              </w:rPr>
              <w:t>0</w:t>
            </w:r>
          </w:p>
          <w:p>
            <w:pPr>
              <w:pStyle w:val="TableParagraph"/>
              <w:spacing w:before="6"/>
              <w:ind w:left="336" w:right="333"/>
              <w:rPr>
                <w:rFonts w:ascii="Calibri"/>
                <w:sz w:val="6"/>
              </w:rPr>
            </w:pPr>
            <w:r>
              <w:rPr>
                <w:rFonts w:ascii="Calibri"/>
                <w:w w:val="105"/>
                <w:sz w:val="6"/>
              </w:rPr>
              <w:t>No</w:t>
            </w:r>
          </w:p>
        </w:tc>
        <w:tc>
          <w:tcPr>
            <w:tcW w:w="645" w:type="dxa"/>
            <w:tcBorders>
              <w:top w:val="single" w:sz="35" w:space="0" w:color="BAF9F5"/>
              <w:left w:val="single" w:sz="2" w:space="0" w:color="D3D3D3"/>
              <w:bottom w:val="single" w:sz="35" w:space="0" w:color="BAF9F5"/>
              <w:right w:val="single" w:sz="2" w:space="0" w:color="D3D3D3"/>
            </w:tcBorders>
          </w:tcPr>
          <w:p>
            <w:pPr>
              <w:pStyle w:val="TableParagraph"/>
              <w:spacing w:before="6"/>
              <w:ind w:left="158" w:right="149"/>
              <w:rPr>
                <w:rFonts w:ascii="Calibri"/>
                <w:sz w:val="6"/>
              </w:rPr>
            </w:pPr>
            <w:r>
              <w:rPr>
                <w:rFonts w:ascii="Calibri"/>
                <w:w w:val="105"/>
                <w:sz w:val="6"/>
              </w:rPr>
              <w:t>Especificar:</w:t>
            </w:r>
          </w:p>
        </w:tc>
        <w:tc>
          <w:tcPr>
            <w:tcW w:w="585" w:type="dxa"/>
            <w:tcBorders>
              <w:top w:val="single" w:sz="35" w:space="0" w:color="BAF9F5"/>
              <w:left w:val="single" w:sz="2" w:space="0" w:color="D3D3D3"/>
              <w:bottom w:val="single" w:sz="35" w:space="0" w:color="BAF9F5"/>
              <w:right w:val="single" w:sz="2" w:space="0" w:color="D3D3D3"/>
            </w:tcBorders>
          </w:tcPr>
          <w:p>
            <w:pPr/>
          </w:p>
        </w:tc>
        <w:tc>
          <w:tcPr>
            <w:tcW w:w="1105" w:type="dxa"/>
            <w:tcBorders>
              <w:top w:val="single" w:sz="35" w:space="0" w:color="BAF9F5"/>
              <w:left w:val="single" w:sz="2" w:space="0" w:color="D3D3D3"/>
              <w:bottom w:val="single" w:sz="35" w:space="0" w:color="BAF9F5"/>
              <w:right w:val="single" w:sz="15" w:space="0" w:color="FFFFFF"/>
            </w:tcBorders>
          </w:tcPr>
          <w:p>
            <w:pPr/>
          </w:p>
        </w:tc>
        <w:tc>
          <w:tcPr>
            <w:tcW w:w="485" w:type="dxa"/>
            <w:tcBorders>
              <w:top w:val="single" w:sz="35" w:space="0" w:color="BAF9F5"/>
              <w:left w:val="single" w:sz="15" w:space="0" w:color="FFFFFF"/>
              <w:bottom w:val="single" w:sz="35" w:space="0" w:color="BAF9F5"/>
              <w:right w:val="single" w:sz="2" w:space="0" w:color="D3D3D3"/>
            </w:tcBorders>
          </w:tcPr>
          <w:p>
            <w:pPr>
              <w:pStyle w:val="TableParagraph"/>
              <w:spacing w:line="3" w:lineRule="exact"/>
              <w:ind w:left="173" w:right="169"/>
              <w:rPr>
                <w:rFonts w:ascii="Calibri"/>
                <w:sz w:val="6"/>
              </w:rPr>
            </w:pPr>
            <w:r>
              <w:rPr>
                <w:rFonts w:ascii="Calibri"/>
                <w:w w:val="105"/>
                <w:sz w:val="6"/>
              </w:rPr>
              <w:t>0.5</w:t>
            </w:r>
          </w:p>
        </w:tc>
        <w:tc>
          <w:tcPr>
            <w:tcW w:w="346" w:type="dxa"/>
            <w:tcBorders>
              <w:left w:val="single" w:sz="2" w:space="0" w:color="D3D3D3"/>
              <w:right w:val="single" w:sz="2" w:space="0" w:color="D3D3D3"/>
            </w:tcBorders>
          </w:tcPr>
          <w:p>
            <w:pP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112" w:right="106"/>
              <w:rPr>
                <w:rFonts w:ascii="Calibri"/>
                <w:sz w:val="6"/>
              </w:rPr>
            </w:pPr>
            <w:r>
              <w:rPr>
                <w:rFonts w:ascii="Calibri"/>
                <w:w w:val="105"/>
                <w:sz w:val="6"/>
              </w:rPr>
              <w:t>0.5</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
        </w:tc>
        <w:tc>
          <w:tcPr>
            <w:tcW w:w="1449" w:type="dxa"/>
            <w:shd w:val="clear" w:color="auto" w:fill="BAF9F5"/>
          </w:tcPr>
          <w:p>
            <w:pPr/>
          </w:p>
        </w:tc>
        <w:tc>
          <w:tcPr>
            <w:tcW w:w="1516" w:type="dxa"/>
            <w:shd w:val="clear" w:color="auto" w:fill="BAF9F5"/>
          </w:tcPr>
          <w:p>
            <w:pP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10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Style w:val="TableParagraph"/>
              <w:spacing w:before="49"/>
              <w:ind w:left="8"/>
              <w:jc w:val="left"/>
              <w:rPr>
                <w:rFonts w:ascii="Calibri" w:hAnsi="Calibri"/>
                <w:sz w:val="6"/>
              </w:rPr>
            </w:pPr>
            <w:r>
              <w:rPr>
                <w:rFonts w:ascii="Calibri" w:hAnsi="Calibri"/>
                <w:w w:val="105"/>
                <w:sz w:val="6"/>
              </w:rPr>
              <w:t>Señalización</w:t>
            </w:r>
          </w:p>
        </w:tc>
        <w:tc>
          <w:tcPr>
            <w:tcW w:w="2353" w:type="dxa"/>
            <w:tcBorders>
              <w:left w:val="single" w:sz="2" w:space="0" w:color="D3D3D3"/>
              <w:right w:val="single" w:sz="2" w:space="0" w:color="D3D3D3"/>
            </w:tcBorders>
          </w:tcPr>
          <w:p>
            <w:pPr>
              <w:pStyle w:val="TableParagraph"/>
              <w:spacing w:before="49"/>
              <w:ind w:left="8" w:right="-3"/>
              <w:jc w:val="left"/>
              <w:rPr>
                <w:rFonts w:ascii="Calibri" w:hAnsi="Calibri"/>
                <w:sz w:val="6"/>
              </w:rPr>
            </w:pPr>
            <w:r>
              <w:rPr>
                <w:rFonts w:ascii="Calibri" w:hAnsi="Calibri"/>
                <w:w w:val="105"/>
                <w:sz w:val="6"/>
              </w:rPr>
              <w:t>¿La señalización se encuentra en buenas condiciones?</w:t>
            </w:r>
          </w:p>
        </w:tc>
        <w:tc>
          <w:tcPr>
            <w:tcW w:w="968" w:type="dxa"/>
            <w:tcBorders>
              <w:top w:val="single" w:sz="35" w:space="0" w:color="BAF9F5"/>
              <w:left w:val="single" w:sz="2" w:space="0" w:color="D3D3D3"/>
              <w:bottom w:val="single" w:sz="35" w:space="0" w:color="BAF9F5"/>
            </w:tcBorders>
          </w:tcPr>
          <w:p>
            <w:pPr>
              <w:pStyle w:val="TableParagraph"/>
              <w:spacing w:line="3" w:lineRule="exact"/>
              <w:ind w:left="9"/>
              <w:rPr>
                <w:rFonts w:ascii="Calibri"/>
                <w:sz w:val="6"/>
              </w:rPr>
            </w:pPr>
            <w:r>
              <w:rPr>
                <w:rFonts w:ascii="Calibri"/>
                <w:w w:val="104"/>
                <w:sz w:val="6"/>
              </w:rPr>
              <w:t>1</w:t>
            </w:r>
          </w:p>
          <w:p>
            <w:pPr>
              <w:pStyle w:val="TableParagraph"/>
              <w:spacing w:before="6"/>
              <w:ind w:left="243" w:right="232"/>
              <w:rPr>
                <w:rFonts w:ascii="Calibri"/>
                <w:sz w:val="6"/>
              </w:rPr>
            </w:pPr>
            <w:r>
              <w:rPr>
                <w:rFonts w:ascii="Calibri"/>
                <w:w w:val="105"/>
                <w:sz w:val="6"/>
              </w:rPr>
              <w:t>Total</w:t>
            </w:r>
          </w:p>
        </w:tc>
        <w:tc>
          <w:tcPr>
            <w:tcW w:w="1449" w:type="dxa"/>
            <w:tcBorders>
              <w:top w:val="single" w:sz="35" w:space="0" w:color="BAF9F5"/>
              <w:bottom w:val="single" w:sz="35" w:space="0" w:color="BAF9F5"/>
            </w:tcBorders>
          </w:tcPr>
          <w:p>
            <w:pPr>
              <w:pStyle w:val="TableParagraph"/>
              <w:spacing w:line="3" w:lineRule="exact"/>
              <w:ind w:left="510" w:right="506"/>
              <w:rPr>
                <w:rFonts w:ascii="Calibri"/>
                <w:sz w:val="6"/>
              </w:rPr>
            </w:pPr>
            <w:r>
              <w:rPr>
                <w:rFonts w:ascii="Calibri"/>
                <w:w w:val="105"/>
                <w:sz w:val="6"/>
              </w:rPr>
              <w:t>0.5</w:t>
            </w:r>
          </w:p>
          <w:p>
            <w:pPr>
              <w:pStyle w:val="TableParagraph"/>
              <w:tabs>
                <w:tab w:pos="639" w:val="left" w:leader="none"/>
                <w:tab w:pos="1452" w:val="left" w:leader="none"/>
              </w:tabs>
              <w:spacing w:before="6"/>
              <w:ind w:left="-1" w:right="-4"/>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Parcial</w:t>
            </w:r>
            <w:r>
              <w:rPr>
                <w:rFonts w:ascii="Calibri"/>
                <w:sz w:val="6"/>
                <w:shd w:fill="808080" w:color="auto" w:val="clear"/>
              </w:rPr>
              <w:tab/>
            </w:r>
          </w:p>
        </w:tc>
        <w:tc>
          <w:tcPr>
            <w:tcW w:w="1516" w:type="dxa"/>
            <w:tcBorders>
              <w:top w:val="single" w:sz="35" w:space="0" w:color="BAF9F5"/>
              <w:bottom w:val="single" w:sz="35" w:space="0" w:color="BAF9F5"/>
              <w:right w:val="single" w:sz="2" w:space="0" w:color="D3D3D3"/>
            </w:tcBorders>
          </w:tcPr>
          <w:p>
            <w:pPr>
              <w:pStyle w:val="TableParagraph"/>
              <w:spacing w:line="3" w:lineRule="exact"/>
              <w:ind w:left="3"/>
              <w:rPr>
                <w:rFonts w:ascii="Calibri"/>
                <w:sz w:val="6"/>
              </w:rPr>
            </w:pPr>
            <w:r>
              <w:rPr>
                <w:rFonts w:ascii="Calibri"/>
                <w:w w:val="104"/>
                <w:sz w:val="6"/>
              </w:rPr>
              <w:t>0</w:t>
            </w:r>
          </w:p>
          <w:p>
            <w:pPr>
              <w:pStyle w:val="TableParagraph"/>
              <w:spacing w:before="6"/>
              <w:ind w:left="336" w:right="333"/>
              <w:rPr>
                <w:rFonts w:ascii="Calibri"/>
                <w:sz w:val="6"/>
              </w:rPr>
            </w:pPr>
            <w:r>
              <w:rPr>
                <w:rFonts w:ascii="Calibri"/>
                <w:w w:val="105"/>
                <w:sz w:val="6"/>
              </w:rPr>
              <w:t>No</w:t>
            </w:r>
          </w:p>
        </w:tc>
        <w:tc>
          <w:tcPr>
            <w:tcW w:w="645" w:type="dxa"/>
            <w:tcBorders>
              <w:top w:val="single" w:sz="35" w:space="0" w:color="BAF9F5"/>
              <w:left w:val="single" w:sz="2" w:space="0" w:color="D3D3D3"/>
              <w:bottom w:val="single" w:sz="35" w:space="0" w:color="BAF9F5"/>
              <w:right w:val="single" w:sz="2" w:space="0" w:color="D3D3D3"/>
            </w:tcBorders>
          </w:tcPr>
          <w:p>
            <w:pPr>
              <w:pStyle w:val="TableParagraph"/>
              <w:spacing w:before="6"/>
              <w:ind w:left="158" w:right="149"/>
              <w:rPr>
                <w:rFonts w:ascii="Calibri"/>
                <w:sz w:val="6"/>
              </w:rPr>
            </w:pPr>
            <w:r>
              <w:rPr>
                <w:rFonts w:ascii="Calibri"/>
                <w:w w:val="105"/>
                <w:sz w:val="6"/>
              </w:rPr>
              <w:t>Especificar:</w:t>
            </w:r>
          </w:p>
        </w:tc>
        <w:tc>
          <w:tcPr>
            <w:tcW w:w="585" w:type="dxa"/>
            <w:tcBorders>
              <w:top w:val="single" w:sz="35" w:space="0" w:color="BAF9F5"/>
              <w:left w:val="single" w:sz="2" w:space="0" w:color="D3D3D3"/>
              <w:bottom w:val="single" w:sz="35" w:space="0" w:color="BAF9F5"/>
              <w:right w:val="single" w:sz="2" w:space="0" w:color="D3D3D3"/>
            </w:tcBorders>
          </w:tcPr>
          <w:p>
            <w:pPr/>
          </w:p>
        </w:tc>
        <w:tc>
          <w:tcPr>
            <w:tcW w:w="1105" w:type="dxa"/>
            <w:tcBorders>
              <w:top w:val="single" w:sz="35" w:space="0" w:color="BAF9F5"/>
              <w:left w:val="single" w:sz="2" w:space="0" w:color="D3D3D3"/>
              <w:bottom w:val="single" w:sz="35" w:space="0" w:color="BAF9F5"/>
              <w:right w:val="single" w:sz="15" w:space="0" w:color="FFFFFF"/>
            </w:tcBorders>
          </w:tcPr>
          <w:p>
            <w:pPr/>
          </w:p>
        </w:tc>
        <w:tc>
          <w:tcPr>
            <w:tcW w:w="485" w:type="dxa"/>
            <w:tcBorders>
              <w:top w:val="single" w:sz="35" w:space="0" w:color="BAF9F5"/>
              <w:left w:val="single" w:sz="15" w:space="0" w:color="FFFFFF"/>
              <w:bottom w:val="single" w:sz="35" w:space="0" w:color="BAF9F5"/>
              <w:right w:val="single" w:sz="2" w:space="0" w:color="D3D3D3"/>
            </w:tcBorders>
          </w:tcPr>
          <w:p>
            <w:pPr>
              <w:pStyle w:val="TableParagraph"/>
              <w:spacing w:line="3" w:lineRule="exact"/>
              <w:ind w:left="173" w:right="169"/>
              <w:rPr>
                <w:rFonts w:ascii="Calibri"/>
                <w:sz w:val="6"/>
              </w:rPr>
            </w:pPr>
            <w:r>
              <w:rPr>
                <w:rFonts w:ascii="Calibri"/>
                <w:w w:val="105"/>
                <w:sz w:val="6"/>
              </w:rPr>
              <w:t>0.5</w:t>
            </w:r>
          </w:p>
        </w:tc>
        <w:tc>
          <w:tcPr>
            <w:tcW w:w="346" w:type="dxa"/>
            <w:tcBorders>
              <w:left w:val="single" w:sz="2" w:space="0" w:color="D3D3D3"/>
              <w:right w:val="single" w:sz="2" w:space="0" w:color="D3D3D3"/>
            </w:tcBorders>
          </w:tcPr>
          <w:p>
            <w:pP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112" w:right="106"/>
              <w:rPr>
                <w:rFonts w:ascii="Calibri"/>
                <w:sz w:val="6"/>
              </w:rPr>
            </w:pPr>
            <w:r>
              <w:rPr>
                <w:rFonts w:ascii="Calibri"/>
                <w:w w:val="105"/>
                <w:sz w:val="6"/>
              </w:rPr>
              <w:t>0.5</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
        </w:tc>
        <w:tc>
          <w:tcPr>
            <w:tcW w:w="1449" w:type="dxa"/>
            <w:shd w:val="clear" w:color="auto" w:fill="BAF9F5"/>
          </w:tcPr>
          <w:p>
            <w:pPr/>
          </w:p>
        </w:tc>
        <w:tc>
          <w:tcPr>
            <w:tcW w:w="1516" w:type="dxa"/>
            <w:shd w:val="clear" w:color="auto" w:fill="BAF9F5"/>
          </w:tcPr>
          <w:p>
            <w:pP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85" w:hRule="exact"/>
        </w:trPr>
        <w:tc>
          <w:tcPr>
            <w:tcW w:w="347" w:type="dxa"/>
            <w:tcBorders>
              <w:right w:val="single" w:sz="2" w:space="0" w:color="D3D3D3"/>
            </w:tcBorders>
          </w:tcPr>
          <w:p>
            <w:pPr/>
          </w:p>
        </w:tc>
        <w:tc>
          <w:tcPr>
            <w:tcW w:w="1182" w:type="dxa"/>
            <w:tcBorders>
              <w:left w:val="single" w:sz="2" w:space="0" w:color="D3D3D3"/>
              <w:bottom w:val="single" w:sz="2" w:space="0" w:color="D3D3D3"/>
              <w:right w:val="single" w:sz="2" w:space="0" w:color="D3D3D3"/>
            </w:tcBorders>
          </w:tcPr>
          <w:p>
            <w:pPr/>
          </w:p>
        </w:tc>
        <w:tc>
          <w:tcPr>
            <w:tcW w:w="1241" w:type="dxa"/>
            <w:tcBorders>
              <w:left w:val="single" w:sz="2" w:space="0" w:color="D3D3D3"/>
              <w:bottom w:val="single" w:sz="2" w:space="0" w:color="D3D3D3"/>
              <w:right w:val="single" w:sz="2" w:space="0" w:color="D3D3D3"/>
            </w:tcBorders>
          </w:tcPr>
          <w:p>
            <w:pPr/>
          </w:p>
        </w:tc>
        <w:tc>
          <w:tcPr>
            <w:tcW w:w="2353" w:type="dxa"/>
            <w:tcBorders>
              <w:left w:val="single" w:sz="2" w:space="0" w:color="D3D3D3"/>
              <w:bottom w:val="single" w:sz="2" w:space="0" w:color="D3D3D3"/>
              <w:right w:val="single" w:sz="2" w:space="0" w:color="D3D3D3"/>
            </w:tcBorders>
          </w:tcPr>
          <w:p>
            <w:pPr/>
          </w:p>
        </w:tc>
        <w:tc>
          <w:tcPr>
            <w:tcW w:w="968" w:type="dxa"/>
            <w:tcBorders>
              <w:left w:val="single" w:sz="2" w:space="0" w:color="D3D3D3"/>
              <w:bottom w:val="single" w:sz="35" w:space="0" w:color="808080"/>
              <w:right w:val="single" w:sz="2" w:space="0" w:color="D3D3D3"/>
            </w:tcBorders>
            <w:shd w:val="clear" w:color="auto" w:fill="BAF9F5"/>
          </w:tcPr>
          <w:p>
            <w:pPr>
              <w:pStyle w:val="TableParagraph"/>
              <w:spacing w:line="41" w:lineRule="exact"/>
              <w:ind w:left="12"/>
              <w:rPr>
                <w:rFonts w:ascii="Calibri"/>
                <w:sz w:val="6"/>
              </w:rPr>
            </w:pPr>
            <w:r>
              <w:rPr>
                <w:rFonts w:ascii="Calibri"/>
                <w:w w:val="104"/>
                <w:sz w:val="6"/>
              </w:rPr>
              <w:t>1</w:t>
            </w:r>
          </w:p>
        </w:tc>
        <w:tc>
          <w:tcPr>
            <w:tcW w:w="1449"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580" w:right="579"/>
              <w:rPr>
                <w:rFonts w:ascii="Calibri"/>
                <w:sz w:val="6"/>
              </w:rPr>
            </w:pPr>
            <w:r>
              <w:rPr>
                <w:rFonts w:ascii="Calibri"/>
                <w:w w:val="105"/>
                <w:sz w:val="6"/>
              </w:rPr>
              <w:t>0.5</w:t>
            </w:r>
          </w:p>
        </w:tc>
        <w:tc>
          <w:tcPr>
            <w:tcW w:w="1516"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right="1"/>
              <w:rPr>
                <w:rFonts w:ascii="Calibri"/>
                <w:sz w:val="6"/>
              </w:rPr>
            </w:pPr>
            <w:r>
              <w:rPr>
                <w:rFonts w:ascii="Calibri"/>
                <w:w w:val="104"/>
                <w:sz w:val="6"/>
              </w:rPr>
              <w:t>0</w:t>
            </w:r>
          </w:p>
        </w:tc>
        <w:tc>
          <w:tcPr>
            <w:tcW w:w="645" w:type="dxa"/>
            <w:tcBorders>
              <w:left w:val="single" w:sz="2" w:space="0" w:color="D3D3D3"/>
              <w:bottom w:val="single" w:sz="2" w:space="0" w:color="D3D3D3"/>
              <w:right w:val="single" w:sz="2" w:space="0" w:color="D3D3D3"/>
            </w:tcBorders>
            <w:shd w:val="clear" w:color="auto" w:fill="BAF9F5"/>
          </w:tcPr>
          <w:p>
            <w:pPr/>
          </w:p>
        </w:tc>
        <w:tc>
          <w:tcPr>
            <w:tcW w:w="585" w:type="dxa"/>
            <w:tcBorders>
              <w:left w:val="single" w:sz="2" w:space="0" w:color="D3D3D3"/>
              <w:bottom w:val="single" w:sz="2" w:space="0" w:color="D3D3D3"/>
              <w:right w:val="single" w:sz="2" w:space="0" w:color="D3D3D3"/>
            </w:tcBorders>
            <w:shd w:val="clear" w:color="auto" w:fill="BAF9F5"/>
          </w:tcPr>
          <w:p>
            <w:pPr/>
          </w:p>
        </w:tc>
        <w:tc>
          <w:tcPr>
            <w:tcW w:w="1105" w:type="dxa"/>
            <w:tcBorders>
              <w:left w:val="single" w:sz="2" w:space="0" w:color="D3D3D3"/>
              <w:bottom w:val="single" w:sz="2" w:space="0" w:color="D3D3D3"/>
              <w:right w:val="single" w:sz="15" w:space="0" w:color="FFFFFF"/>
            </w:tcBorders>
            <w:shd w:val="clear" w:color="auto" w:fill="BAF9F5"/>
          </w:tcPr>
          <w:p>
            <w:pPr/>
          </w:p>
        </w:tc>
        <w:tc>
          <w:tcPr>
            <w:tcW w:w="485" w:type="dxa"/>
            <w:tcBorders>
              <w:left w:val="single" w:sz="15" w:space="0" w:color="FFFFFF"/>
              <w:bottom w:val="single" w:sz="2" w:space="0" w:color="D3D3D3"/>
            </w:tcBorders>
            <w:shd w:val="clear" w:color="auto" w:fill="BAF9F5"/>
          </w:tcPr>
          <w:p>
            <w:pPr>
              <w:pStyle w:val="TableParagraph"/>
              <w:spacing w:line="41" w:lineRule="exact"/>
              <w:ind w:left="105" w:right="104"/>
              <w:rPr>
                <w:rFonts w:ascii="Calibri"/>
                <w:sz w:val="6"/>
              </w:rPr>
            </w:pPr>
            <w:r>
              <w:rPr>
                <w:rFonts w:ascii="Calibri"/>
                <w:w w:val="105"/>
                <w:sz w:val="6"/>
              </w:rPr>
              <w:t>0.5</w:t>
            </w:r>
          </w:p>
          <w:p>
            <w:pPr>
              <w:pStyle w:val="TableParagraph"/>
              <w:spacing w:before="9"/>
              <w:ind w:left="107" w:right="104"/>
              <w:rPr>
                <w:rFonts w:ascii="Calibri"/>
                <w:sz w:val="6"/>
              </w:rPr>
            </w:pPr>
            <w:r>
              <w:rPr>
                <w:rFonts w:ascii="Calibri"/>
                <w:w w:val="105"/>
                <w:sz w:val="6"/>
              </w:rPr>
              <w:t>Subtotal</w:t>
            </w:r>
          </w:p>
        </w:tc>
        <w:tc>
          <w:tcPr>
            <w:tcW w:w="346" w:type="dxa"/>
            <w:shd w:val="clear" w:color="auto" w:fill="F79646"/>
          </w:tcPr>
          <w:p>
            <w:pPr>
              <w:pStyle w:val="TableParagraph"/>
              <w:spacing w:before="49"/>
              <w:ind w:left="160"/>
              <w:jc w:val="left"/>
              <w:rPr>
                <w:rFonts w:ascii="Calibri"/>
                <w:sz w:val="6"/>
              </w:rPr>
            </w:pPr>
            <w:r>
              <w:rPr>
                <w:rFonts w:ascii="Calibri"/>
                <w:w w:val="104"/>
                <w:sz w:val="6"/>
              </w:rPr>
              <w:t>3</w:t>
            </w:r>
          </w:p>
        </w:tc>
        <w:tc>
          <w:tcPr>
            <w:tcW w:w="346" w:type="dxa"/>
            <w:tcBorders>
              <w:top w:val="single" w:sz="35" w:space="0" w:color="BAF9F5"/>
            </w:tcBorders>
            <w:shd w:val="clear" w:color="auto" w:fill="FFFF00"/>
          </w:tcPr>
          <w:p>
            <w:pPr>
              <w:pStyle w:val="TableParagraph"/>
              <w:spacing w:line="3" w:lineRule="exact"/>
              <w:ind w:left="115" w:right="109"/>
              <w:rPr>
                <w:rFonts w:ascii="Calibri"/>
                <w:sz w:val="6"/>
              </w:rPr>
            </w:pPr>
            <w:r>
              <w:rPr>
                <w:rFonts w:ascii="Calibri"/>
                <w:w w:val="105"/>
                <w:sz w:val="6"/>
              </w:rPr>
              <w:t>0.5</w:t>
            </w:r>
          </w:p>
          <w:p>
            <w:pPr>
              <w:pStyle w:val="TableParagraph"/>
              <w:spacing w:before="6"/>
              <w:ind w:left="115" w:right="109"/>
              <w:rPr>
                <w:rFonts w:ascii="Calibri"/>
                <w:sz w:val="6"/>
              </w:rPr>
            </w:pPr>
            <w:r>
              <w:rPr>
                <w:rFonts w:ascii="Calibri"/>
                <w:w w:val="105"/>
                <w:sz w:val="6"/>
              </w:rPr>
              <w:t>3.5</w:t>
            </w:r>
          </w:p>
        </w:tc>
        <w:tc>
          <w:tcPr>
            <w:tcW w:w="346" w:type="dxa"/>
            <w:tcBorders>
              <w:top w:val="single" w:sz="35" w:space="0" w:color="BAF9F5"/>
            </w:tcBorders>
            <w:shd w:val="clear" w:color="auto" w:fill="67ED4D"/>
          </w:tcPr>
          <w:p>
            <w:pPr>
              <w:pStyle w:val="TableParagraph"/>
              <w:spacing w:line="3" w:lineRule="exact"/>
              <w:ind w:left="6"/>
              <w:rPr>
                <w:rFonts w:ascii="Calibri"/>
                <w:sz w:val="6"/>
              </w:rPr>
            </w:pPr>
            <w:r>
              <w:rPr>
                <w:rFonts w:ascii="Calibri"/>
                <w:w w:val="104"/>
                <w:sz w:val="6"/>
              </w:rPr>
              <w:t>1</w:t>
            </w:r>
          </w:p>
          <w:p>
            <w:pPr>
              <w:pStyle w:val="TableParagraph"/>
              <w:spacing w:before="6"/>
              <w:ind w:left="6"/>
              <w:rPr>
                <w:rFonts w:ascii="Calibri"/>
                <w:sz w:val="6"/>
              </w:rPr>
            </w:pPr>
            <w:r>
              <w:rPr>
                <w:rFonts w:ascii="Calibri"/>
                <w:w w:val="104"/>
                <w:sz w:val="6"/>
              </w:rPr>
              <w:t>7</w:t>
            </w:r>
          </w:p>
        </w:tc>
        <w:tc>
          <w:tcPr>
            <w:tcW w:w="89" w:type="dxa"/>
            <w:tcBorders>
              <w:bottom w:val="single" w:sz="2" w:space="0" w:color="D3D3D3"/>
            </w:tcBorders>
          </w:tcPr>
          <w:p>
            <w:pPr/>
          </w:p>
        </w:tc>
      </w:tr>
      <w:tr>
        <w:trPr>
          <w:trHeight w:val="99" w:hRule="exact"/>
        </w:trPr>
        <w:tc>
          <w:tcPr>
            <w:tcW w:w="347" w:type="dxa"/>
            <w:tcBorders>
              <w:right w:val="single" w:sz="2" w:space="0" w:color="D3D3D3"/>
            </w:tcBorders>
          </w:tcPr>
          <w:p>
            <w:pPr/>
          </w:p>
        </w:tc>
        <w:tc>
          <w:tcPr>
            <w:tcW w:w="1182" w:type="dxa"/>
            <w:tcBorders>
              <w:top w:val="single" w:sz="2" w:space="0" w:color="D3D3D3"/>
              <w:left w:val="single" w:sz="2" w:space="0" w:color="D3D3D3"/>
              <w:right w:val="single" w:sz="2" w:space="0" w:color="D3D3D3"/>
            </w:tcBorders>
          </w:tcPr>
          <w:p>
            <w:pPr>
              <w:pStyle w:val="TableParagraph"/>
              <w:spacing w:before="6"/>
              <w:ind w:left="32"/>
              <w:jc w:val="left"/>
              <w:rPr>
                <w:rFonts w:ascii="Calibri" w:hAnsi="Calibri"/>
                <w:sz w:val="6"/>
              </w:rPr>
            </w:pPr>
            <w:r>
              <w:rPr>
                <w:rFonts w:ascii="Calibri" w:hAnsi="Calibri"/>
                <w:w w:val="105"/>
                <w:sz w:val="6"/>
              </w:rPr>
              <w:t>4  Áreas verdes</w:t>
            </w:r>
          </w:p>
        </w:tc>
        <w:tc>
          <w:tcPr>
            <w:tcW w:w="1241" w:type="dxa"/>
            <w:tcBorders>
              <w:top w:val="single" w:sz="2" w:space="0" w:color="D3D3D3"/>
              <w:left w:val="single" w:sz="2" w:space="0" w:color="D3D3D3"/>
              <w:right w:val="single" w:sz="2" w:space="0" w:color="D3D3D3"/>
            </w:tcBorders>
          </w:tcPr>
          <w:p>
            <w:pPr>
              <w:pStyle w:val="TableParagraph"/>
              <w:spacing w:before="6"/>
              <w:ind w:left="8"/>
              <w:jc w:val="left"/>
              <w:rPr>
                <w:rFonts w:ascii="Calibri"/>
                <w:sz w:val="6"/>
              </w:rPr>
            </w:pPr>
            <w:r>
              <w:rPr>
                <w:rFonts w:ascii="Calibri"/>
                <w:w w:val="105"/>
                <w:sz w:val="6"/>
              </w:rPr>
              <w:t>Superficie</w:t>
            </w:r>
          </w:p>
        </w:tc>
        <w:tc>
          <w:tcPr>
            <w:tcW w:w="2353" w:type="dxa"/>
            <w:tcBorders>
              <w:top w:val="single" w:sz="2" w:space="0" w:color="D3D3D3"/>
              <w:left w:val="single" w:sz="2" w:space="0" w:color="D3D3D3"/>
            </w:tcBorders>
          </w:tcPr>
          <w:p>
            <w:pPr>
              <w:pStyle w:val="TableParagraph"/>
              <w:spacing w:before="6"/>
              <w:ind w:left="8"/>
              <w:jc w:val="left"/>
              <w:rPr>
                <w:rFonts w:ascii="Calibri" w:hAnsi="Calibri"/>
                <w:sz w:val="6"/>
              </w:rPr>
            </w:pPr>
            <w:r>
              <w:rPr>
                <w:rFonts w:ascii="Calibri" w:hAnsi="Calibri"/>
                <w:w w:val="105"/>
                <w:sz w:val="6"/>
              </w:rPr>
              <w:t>¿Las áreas verdes del CU concuerdan con la autorización?</w:t>
            </w:r>
          </w:p>
        </w:tc>
        <w:tc>
          <w:tcPr>
            <w:tcW w:w="968" w:type="dxa"/>
            <w:tcBorders>
              <w:bottom w:val="single" w:sz="35" w:space="0" w:color="BAF9F5"/>
            </w:tcBorders>
            <w:shd w:val="clear" w:color="auto" w:fill="808080"/>
          </w:tcPr>
          <w:p>
            <w:pPr>
              <w:pStyle w:val="TableParagraph"/>
              <w:spacing w:before="8"/>
              <w:ind w:left="401" w:right="403"/>
              <w:rPr>
                <w:rFonts w:ascii="Calibri"/>
                <w:sz w:val="6"/>
              </w:rPr>
            </w:pPr>
            <w:r>
              <w:rPr>
                <w:rFonts w:ascii="Calibri"/>
                <w:w w:val="105"/>
                <w:sz w:val="6"/>
              </w:rPr>
              <w:t>Si</w:t>
            </w:r>
          </w:p>
        </w:tc>
        <w:tc>
          <w:tcPr>
            <w:tcW w:w="1449" w:type="dxa"/>
            <w:tcBorders>
              <w:top w:val="single" w:sz="2" w:space="0" w:color="D3D3D3"/>
              <w:bottom w:val="single" w:sz="35" w:space="0" w:color="BAF9F5"/>
              <w:right w:val="single" w:sz="2" w:space="0" w:color="D3D3D3"/>
            </w:tcBorders>
          </w:tcPr>
          <w:p>
            <w:pPr>
              <w:pStyle w:val="TableParagraph"/>
              <w:spacing w:before="6"/>
              <w:ind w:left="415" w:right="409"/>
              <w:rPr>
                <w:rFonts w:ascii="Calibri"/>
                <w:sz w:val="6"/>
              </w:rPr>
            </w:pPr>
            <w:r>
              <w:rPr>
                <w:rFonts w:ascii="Calibri"/>
                <w:w w:val="105"/>
                <w:sz w:val="6"/>
              </w:rPr>
              <w:t>No</w:t>
            </w:r>
          </w:p>
        </w:tc>
        <w:tc>
          <w:tcPr>
            <w:tcW w:w="1516" w:type="dxa"/>
            <w:tcBorders>
              <w:top w:val="single" w:sz="2" w:space="0" w:color="D3D3D3"/>
              <w:left w:val="single" w:sz="2" w:space="0" w:color="D3D3D3"/>
              <w:bottom w:val="single" w:sz="35" w:space="0" w:color="BAF9F5"/>
              <w:right w:val="single" w:sz="2" w:space="0" w:color="D3D3D3"/>
            </w:tcBorders>
          </w:tcPr>
          <w:p>
            <w:pPr/>
          </w:p>
        </w:tc>
        <w:tc>
          <w:tcPr>
            <w:tcW w:w="645" w:type="dxa"/>
            <w:tcBorders>
              <w:top w:val="single" w:sz="2" w:space="0" w:color="D3D3D3"/>
              <w:left w:val="single" w:sz="2" w:space="0" w:color="D3D3D3"/>
              <w:bottom w:val="single" w:sz="35" w:space="0" w:color="BAF9F5"/>
              <w:right w:val="single" w:sz="2" w:space="0" w:color="D3D3D3"/>
            </w:tcBorders>
          </w:tcPr>
          <w:p>
            <w:pPr/>
          </w:p>
        </w:tc>
        <w:tc>
          <w:tcPr>
            <w:tcW w:w="585" w:type="dxa"/>
            <w:tcBorders>
              <w:top w:val="single" w:sz="2" w:space="0" w:color="D3D3D3"/>
              <w:left w:val="single" w:sz="2" w:space="0" w:color="D3D3D3"/>
              <w:bottom w:val="single" w:sz="35" w:space="0" w:color="BAF9F5"/>
              <w:right w:val="single" w:sz="2" w:space="0" w:color="D3D3D3"/>
            </w:tcBorders>
          </w:tcPr>
          <w:p>
            <w:pPr/>
          </w:p>
        </w:tc>
        <w:tc>
          <w:tcPr>
            <w:tcW w:w="1105" w:type="dxa"/>
            <w:tcBorders>
              <w:top w:val="single" w:sz="2" w:space="0" w:color="D3D3D3"/>
              <w:left w:val="single" w:sz="2" w:space="0" w:color="D3D3D3"/>
              <w:bottom w:val="single" w:sz="35" w:space="0" w:color="BAF9F5"/>
              <w:right w:val="single" w:sz="15" w:space="0" w:color="FFFFFF"/>
            </w:tcBorders>
          </w:tcPr>
          <w:p>
            <w:pPr/>
          </w:p>
        </w:tc>
        <w:tc>
          <w:tcPr>
            <w:tcW w:w="485" w:type="dxa"/>
            <w:tcBorders>
              <w:top w:val="single" w:sz="2" w:space="0" w:color="D3D3D3"/>
              <w:left w:val="single" w:sz="15" w:space="0" w:color="FFFFFF"/>
              <w:bottom w:val="single" w:sz="35" w:space="0" w:color="BAF9F5"/>
              <w:right w:val="single" w:sz="2" w:space="0" w:color="D3D3D3"/>
            </w:tcBorders>
          </w:tcPr>
          <w:p>
            <w:pPr/>
          </w:p>
        </w:tc>
        <w:tc>
          <w:tcPr>
            <w:tcW w:w="346" w:type="dxa"/>
            <w:tcBorders>
              <w:left w:val="single" w:sz="2" w:space="0" w:color="D3D3D3"/>
              <w:right w:val="single" w:sz="2" w:space="0" w:color="D3D3D3"/>
            </w:tcBorders>
          </w:tcPr>
          <w:p>
            <w:pPr/>
          </w:p>
        </w:tc>
        <w:tc>
          <w:tcPr>
            <w:tcW w:w="346" w:type="dxa"/>
            <w:tcBorders>
              <w:left w:val="single" w:sz="2" w:space="0" w:color="D3D3D3"/>
              <w:bottom w:val="single" w:sz="35" w:space="0" w:color="BAF9F5"/>
              <w:right w:val="single" w:sz="2" w:space="0" w:color="D3D3D3"/>
            </w:tcBorders>
          </w:tcPr>
          <w:p>
            <w:pPr/>
          </w:p>
        </w:tc>
        <w:tc>
          <w:tcPr>
            <w:tcW w:w="346" w:type="dxa"/>
            <w:tcBorders>
              <w:left w:val="single" w:sz="2" w:space="0" w:color="D3D3D3"/>
              <w:bottom w:val="single" w:sz="35" w:space="0" w:color="BAF9F5"/>
              <w:right w:val="single" w:sz="2" w:space="0" w:color="D3D3D3"/>
            </w:tcBorders>
          </w:tcPr>
          <w:p>
            <w:pPr/>
          </w:p>
        </w:tc>
        <w:tc>
          <w:tcPr>
            <w:tcW w:w="89" w:type="dxa"/>
            <w:tcBorders>
              <w:top w:val="single" w:sz="2" w:space="0" w:color="D3D3D3"/>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
        </w:tc>
        <w:tc>
          <w:tcPr>
            <w:tcW w:w="1449" w:type="dxa"/>
            <w:shd w:val="clear" w:color="auto" w:fill="BAF9F5"/>
          </w:tcPr>
          <w:p>
            <w:pPr/>
          </w:p>
        </w:tc>
        <w:tc>
          <w:tcPr>
            <w:tcW w:w="1516" w:type="dxa"/>
            <w:shd w:val="clear" w:color="auto" w:fill="BAF9F5"/>
          </w:tcPr>
          <w:p>
            <w:pP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165" w:hRule="exact"/>
        </w:trPr>
        <w:tc>
          <w:tcPr>
            <w:tcW w:w="347" w:type="dxa"/>
            <w:tcBorders>
              <w:right w:val="single" w:sz="2" w:space="0" w:color="D3D3D3"/>
            </w:tcBorders>
          </w:tcPr>
          <w:p>
            <w:pPr>
              <w:pStyle w:val="TableParagraph"/>
              <w:spacing w:before="50"/>
              <w:ind w:left="13" w:right="6"/>
              <w:rPr>
                <w:rFonts w:ascii="Calibri"/>
                <w:sz w:val="6"/>
              </w:rPr>
            </w:pPr>
            <w:r>
              <w:rPr>
                <w:rFonts w:ascii="Calibri"/>
                <w:w w:val="105"/>
                <w:sz w:val="6"/>
              </w:rPr>
              <w:t>Ambiental</w:t>
            </w: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Style w:val="TableParagraph"/>
              <w:spacing w:before="49"/>
              <w:ind w:left="8"/>
              <w:jc w:val="left"/>
              <w:rPr>
                <w:rFonts w:ascii="Calibri"/>
                <w:sz w:val="6"/>
              </w:rPr>
            </w:pPr>
            <w:r>
              <w:rPr>
                <w:rFonts w:ascii="Calibri"/>
                <w:w w:val="105"/>
                <w:sz w:val="6"/>
              </w:rPr>
              <w:t>OMS</w:t>
            </w:r>
          </w:p>
        </w:tc>
        <w:tc>
          <w:tcPr>
            <w:tcW w:w="2353" w:type="dxa"/>
            <w:tcBorders>
              <w:left w:val="single" w:sz="2" w:space="0" w:color="D3D3D3"/>
              <w:right w:val="single" w:sz="2" w:space="0" w:color="D3D3D3"/>
            </w:tcBorders>
          </w:tcPr>
          <w:p>
            <w:pPr>
              <w:pStyle w:val="TableParagraph"/>
              <w:spacing w:before="49"/>
              <w:ind w:left="8" w:right="-3"/>
              <w:jc w:val="left"/>
              <w:rPr>
                <w:rFonts w:ascii="Calibri" w:hAnsi="Calibri"/>
                <w:sz w:val="6"/>
              </w:rPr>
            </w:pPr>
            <w:r>
              <w:rPr>
                <w:rFonts w:ascii="Calibri" w:hAnsi="Calibri"/>
                <w:w w:val="105"/>
                <w:sz w:val="6"/>
              </w:rPr>
              <w:t>¿Los</w:t>
            </w:r>
            <w:r>
              <w:rPr>
                <w:rFonts w:ascii="Calibri" w:hAnsi="Calibri"/>
                <w:spacing w:val="-3"/>
                <w:w w:val="105"/>
                <w:sz w:val="6"/>
              </w:rPr>
              <w:t> </w:t>
            </w:r>
            <w:r>
              <w:rPr>
                <w:rFonts w:ascii="Calibri" w:hAnsi="Calibri"/>
                <w:w w:val="105"/>
                <w:sz w:val="6"/>
              </w:rPr>
              <w:t>metros</w:t>
            </w:r>
            <w:r>
              <w:rPr>
                <w:rFonts w:ascii="Calibri" w:hAnsi="Calibri"/>
                <w:spacing w:val="-3"/>
                <w:w w:val="105"/>
                <w:sz w:val="6"/>
              </w:rPr>
              <w:t> </w:t>
            </w:r>
            <w:r>
              <w:rPr>
                <w:rFonts w:ascii="Calibri" w:hAnsi="Calibri"/>
                <w:w w:val="105"/>
                <w:sz w:val="6"/>
              </w:rPr>
              <w:t>cuadrados</w:t>
            </w:r>
            <w:r>
              <w:rPr>
                <w:rFonts w:ascii="Calibri" w:hAnsi="Calibri"/>
                <w:spacing w:val="-3"/>
                <w:w w:val="105"/>
                <w:sz w:val="6"/>
              </w:rPr>
              <w:t> </w:t>
            </w:r>
            <w:r>
              <w:rPr>
                <w:rFonts w:ascii="Calibri" w:hAnsi="Calibri"/>
                <w:w w:val="105"/>
                <w:sz w:val="6"/>
              </w:rPr>
              <w:t>de</w:t>
            </w:r>
            <w:r>
              <w:rPr>
                <w:rFonts w:ascii="Calibri" w:hAnsi="Calibri"/>
                <w:spacing w:val="-4"/>
                <w:w w:val="105"/>
                <w:sz w:val="6"/>
              </w:rPr>
              <w:t> </w:t>
            </w:r>
            <w:r>
              <w:rPr>
                <w:rFonts w:ascii="Calibri" w:hAnsi="Calibri"/>
                <w:w w:val="105"/>
                <w:sz w:val="6"/>
              </w:rPr>
              <w:t>área</w:t>
            </w:r>
            <w:r>
              <w:rPr>
                <w:rFonts w:ascii="Calibri" w:hAnsi="Calibri"/>
                <w:spacing w:val="-4"/>
                <w:w w:val="105"/>
                <w:sz w:val="6"/>
              </w:rPr>
              <w:t> </w:t>
            </w:r>
            <w:r>
              <w:rPr>
                <w:rFonts w:ascii="Calibri" w:hAnsi="Calibri"/>
                <w:w w:val="105"/>
                <w:sz w:val="6"/>
              </w:rPr>
              <w:t>verde</w:t>
            </w:r>
            <w:r>
              <w:rPr>
                <w:rFonts w:ascii="Calibri" w:hAnsi="Calibri"/>
                <w:spacing w:val="-4"/>
                <w:w w:val="105"/>
                <w:sz w:val="6"/>
              </w:rPr>
              <w:t> </w:t>
            </w:r>
            <w:r>
              <w:rPr>
                <w:rFonts w:ascii="Calibri" w:hAnsi="Calibri"/>
                <w:w w:val="105"/>
                <w:sz w:val="6"/>
              </w:rPr>
              <w:t>por</w:t>
            </w:r>
            <w:r>
              <w:rPr>
                <w:rFonts w:ascii="Calibri" w:hAnsi="Calibri"/>
                <w:spacing w:val="-6"/>
                <w:w w:val="105"/>
                <w:sz w:val="6"/>
              </w:rPr>
              <w:t> </w:t>
            </w:r>
            <w:r>
              <w:rPr>
                <w:rFonts w:ascii="Calibri" w:hAnsi="Calibri"/>
                <w:w w:val="105"/>
                <w:sz w:val="6"/>
              </w:rPr>
              <w:t>habitante</w:t>
            </w:r>
            <w:r>
              <w:rPr>
                <w:rFonts w:ascii="Calibri" w:hAnsi="Calibri"/>
                <w:spacing w:val="-4"/>
                <w:w w:val="105"/>
                <w:sz w:val="6"/>
              </w:rPr>
              <w:t> </w:t>
            </w:r>
            <w:r>
              <w:rPr>
                <w:rFonts w:ascii="Calibri" w:hAnsi="Calibri"/>
                <w:w w:val="105"/>
                <w:sz w:val="6"/>
              </w:rPr>
              <w:t>cumplen</w:t>
            </w:r>
            <w:r>
              <w:rPr>
                <w:rFonts w:ascii="Calibri" w:hAnsi="Calibri"/>
                <w:spacing w:val="-6"/>
                <w:w w:val="105"/>
                <w:sz w:val="6"/>
              </w:rPr>
              <w:t> </w:t>
            </w:r>
            <w:r>
              <w:rPr>
                <w:rFonts w:ascii="Calibri" w:hAnsi="Calibri"/>
                <w:w w:val="105"/>
                <w:sz w:val="6"/>
              </w:rPr>
              <w:t>con</w:t>
            </w:r>
            <w:r>
              <w:rPr>
                <w:rFonts w:ascii="Calibri" w:hAnsi="Calibri"/>
                <w:spacing w:val="-6"/>
                <w:w w:val="105"/>
                <w:sz w:val="6"/>
              </w:rPr>
              <w:t> </w:t>
            </w:r>
            <w:r>
              <w:rPr>
                <w:rFonts w:ascii="Calibri" w:hAnsi="Calibri"/>
                <w:w w:val="105"/>
                <w:sz w:val="6"/>
              </w:rPr>
              <w:t>el</w:t>
            </w:r>
            <w:r>
              <w:rPr>
                <w:rFonts w:ascii="Calibri" w:hAnsi="Calibri"/>
                <w:spacing w:val="-4"/>
                <w:w w:val="105"/>
                <w:sz w:val="6"/>
              </w:rPr>
              <w:t> </w:t>
            </w:r>
            <w:r>
              <w:rPr>
                <w:rFonts w:ascii="Calibri" w:hAnsi="Calibri"/>
                <w:w w:val="105"/>
                <w:sz w:val="6"/>
              </w:rPr>
              <w:t>estándar</w:t>
            </w:r>
            <w:r>
              <w:rPr>
                <w:rFonts w:ascii="Calibri" w:hAnsi="Calibri"/>
                <w:spacing w:val="-6"/>
                <w:w w:val="105"/>
                <w:sz w:val="6"/>
              </w:rPr>
              <w:t> </w:t>
            </w:r>
            <w:r>
              <w:rPr>
                <w:rFonts w:ascii="Calibri" w:hAnsi="Calibri"/>
                <w:w w:val="105"/>
                <w:sz w:val="6"/>
              </w:rPr>
              <w:t>nacional</w:t>
            </w:r>
            <w:r>
              <w:rPr>
                <w:rFonts w:ascii="Calibri" w:hAnsi="Calibri"/>
                <w:spacing w:val="-4"/>
                <w:w w:val="105"/>
                <w:sz w:val="6"/>
              </w:rPr>
              <w:t> </w:t>
            </w:r>
            <w:r>
              <w:rPr>
                <w:rFonts w:ascii="Calibri" w:hAnsi="Calibri"/>
                <w:w w:val="105"/>
                <w:sz w:val="6"/>
              </w:rPr>
              <w:t>OMS?</w:t>
            </w:r>
          </w:p>
        </w:tc>
        <w:tc>
          <w:tcPr>
            <w:tcW w:w="968"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12"/>
              <w:rPr>
                <w:rFonts w:ascii="Calibri"/>
                <w:sz w:val="6"/>
              </w:rPr>
            </w:pPr>
            <w:r>
              <w:rPr>
                <w:rFonts w:ascii="Calibri"/>
                <w:w w:val="104"/>
                <w:sz w:val="6"/>
              </w:rPr>
              <w:t>1</w:t>
            </w:r>
          </w:p>
          <w:p>
            <w:pPr>
              <w:pStyle w:val="TableParagraph"/>
              <w:spacing w:before="6"/>
              <w:ind w:left="310" w:right="296"/>
              <w:rPr>
                <w:rFonts w:ascii="Calibri"/>
                <w:sz w:val="6"/>
              </w:rPr>
            </w:pPr>
            <w:r>
              <w:rPr>
                <w:rFonts w:ascii="Calibri"/>
                <w:w w:val="105"/>
                <w:sz w:val="6"/>
              </w:rPr>
              <w:t>Arriba</w:t>
            </w:r>
          </w:p>
        </w:tc>
        <w:tc>
          <w:tcPr>
            <w:tcW w:w="1449" w:type="dxa"/>
            <w:tcBorders>
              <w:top w:val="single" w:sz="35" w:space="0" w:color="BAF9F5"/>
              <w:left w:val="single" w:sz="2" w:space="0" w:color="D3D3D3"/>
              <w:bottom w:val="single" w:sz="35" w:space="0" w:color="BAF9F5"/>
            </w:tcBorders>
          </w:tcPr>
          <w:p>
            <w:pPr>
              <w:pStyle w:val="TableParagraph"/>
              <w:spacing w:line="3" w:lineRule="exact"/>
              <w:rPr>
                <w:rFonts w:ascii="Calibri"/>
                <w:sz w:val="6"/>
              </w:rPr>
            </w:pPr>
            <w:r>
              <w:rPr>
                <w:rFonts w:ascii="Calibri"/>
                <w:w w:val="104"/>
                <w:sz w:val="6"/>
              </w:rPr>
              <w:t>0</w:t>
            </w:r>
          </w:p>
          <w:p>
            <w:pPr>
              <w:pStyle w:val="TableParagraph"/>
              <w:spacing w:before="6"/>
              <w:ind w:left="414" w:right="414"/>
              <w:rPr>
                <w:rFonts w:ascii="Calibri"/>
                <w:sz w:val="6"/>
              </w:rPr>
            </w:pPr>
            <w:r>
              <w:rPr>
                <w:rFonts w:ascii="Calibri"/>
                <w:w w:val="105"/>
                <w:sz w:val="6"/>
              </w:rPr>
              <w:t>Igual</w:t>
            </w:r>
          </w:p>
        </w:tc>
        <w:tc>
          <w:tcPr>
            <w:tcW w:w="1516" w:type="dxa"/>
            <w:tcBorders>
              <w:top w:val="single" w:sz="35" w:space="0" w:color="BAF9F5"/>
              <w:bottom w:val="single" w:sz="35" w:space="0" w:color="BAF9F5"/>
            </w:tcBorders>
          </w:tcPr>
          <w:p>
            <w:pPr>
              <w:pStyle w:val="TableParagraph"/>
              <w:tabs>
                <w:tab w:pos="624" w:val="left" w:leader="none"/>
                <w:tab w:pos="1515" w:val="left" w:leader="none"/>
              </w:tabs>
              <w:spacing w:before="6"/>
              <w:ind w:left="-1"/>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Por</w:t>
            </w:r>
            <w:r>
              <w:rPr>
                <w:rFonts w:ascii="Calibri"/>
                <w:spacing w:val="-10"/>
                <w:w w:val="105"/>
                <w:sz w:val="6"/>
                <w:shd w:fill="808080" w:color="auto" w:val="clear"/>
              </w:rPr>
              <w:t> </w:t>
            </w:r>
            <w:r>
              <w:rPr>
                <w:rFonts w:ascii="Calibri"/>
                <w:w w:val="105"/>
                <w:sz w:val="6"/>
                <w:shd w:fill="808080" w:color="auto" w:val="clear"/>
              </w:rPr>
              <w:t>debajo</w:t>
            </w:r>
            <w:r>
              <w:rPr>
                <w:rFonts w:ascii="Calibri"/>
                <w:sz w:val="6"/>
                <w:shd w:fill="808080" w:color="auto" w:val="clear"/>
              </w:rPr>
              <w:tab/>
            </w:r>
          </w:p>
        </w:tc>
        <w:tc>
          <w:tcPr>
            <w:tcW w:w="645" w:type="dxa"/>
            <w:tcBorders>
              <w:top w:val="single" w:sz="35" w:space="0" w:color="BAF9F5"/>
              <w:bottom w:val="single" w:sz="35" w:space="0" w:color="BAF9F5"/>
              <w:right w:val="single" w:sz="2" w:space="0" w:color="D3D3D3"/>
            </w:tcBorders>
          </w:tcPr>
          <w:p>
            <w:pPr/>
          </w:p>
        </w:tc>
        <w:tc>
          <w:tcPr>
            <w:tcW w:w="585" w:type="dxa"/>
            <w:tcBorders>
              <w:top w:val="single" w:sz="35" w:space="0" w:color="BAF9F5"/>
              <w:left w:val="single" w:sz="2" w:space="0" w:color="D3D3D3"/>
              <w:bottom w:val="single" w:sz="35" w:space="0" w:color="BAF9F5"/>
              <w:right w:val="single" w:sz="2" w:space="0" w:color="D3D3D3"/>
            </w:tcBorders>
          </w:tcPr>
          <w:p>
            <w:pPr/>
          </w:p>
        </w:tc>
        <w:tc>
          <w:tcPr>
            <w:tcW w:w="1105" w:type="dxa"/>
            <w:tcBorders>
              <w:top w:val="single" w:sz="35" w:space="0" w:color="BAF9F5"/>
              <w:left w:val="single" w:sz="2" w:space="0" w:color="D3D3D3"/>
              <w:bottom w:val="single" w:sz="35" w:space="0" w:color="BAF9F5"/>
              <w:right w:val="single" w:sz="15" w:space="0" w:color="FFFFFF"/>
            </w:tcBorders>
          </w:tcPr>
          <w:p>
            <w:pPr/>
          </w:p>
        </w:tc>
        <w:tc>
          <w:tcPr>
            <w:tcW w:w="485" w:type="dxa"/>
            <w:tcBorders>
              <w:top w:val="single" w:sz="35" w:space="0" w:color="BAF9F5"/>
              <w:left w:val="single" w:sz="15" w:space="0" w:color="FFFFFF"/>
              <w:bottom w:val="single" w:sz="35" w:space="0" w:color="BAF9F5"/>
              <w:right w:val="single" w:sz="2" w:space="0" w:color="D3D3D3"/>
            </w:tcBorders>
          </w:tcPr>
          <w:p>
            <w:pPr>
              <w:pStyle w:val="TableParagraph"/>
              <w:spacing w:line="3" w:lineRule="exact"/>
              <w:ind w:left="4"/>
              <w:rPr>
                <w:rFonts w:ascii="Calibri"/>
                <w:sz w:val="6"/>
              </w:rPr>
            </w:pPr>
            <w:r>
              <w:rPr>
                <w:rFonts w:ascii="Calibri"/>
                <w:w w:val="104"/>
                <w:sz w:val="6"/>
              </w:rPr>
              <w:t>1</w:t>
            </w:r>
          </w:p>
        </w:tc>
        <w:tc>
          <w:tcPr>
            <w:tcW w:w="346" w:type="dxa"/>
            <w:tcBorders>
              <w:left w:val="single" w:sz="2" w:space="0" w:color="D3D3D3"/>
              <w:right w:val="single" w:sz="2" w:space="0" w:color="D3D3D3"/>
            </w:tcBorders>
          </w:tcPr>
          <w:p>
            <w:pP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280"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Style w:val="TableParagraph"/>
              <w:spacing w:line="41" w:lineRule="exact"/>
              <w:ind w:left="12"/>
              <w:rPr>
                <w:rFonts w:ascii="Calibri"/>
                <w:sz w:val="6"/>
              </w:rPr>
            </w:pPr>
            <w:r>
              <w:rPr>
                <w:rFonts w:ascii="Calibri"/>
                <w:w w:val="104"/>
                <w:sz w:val="6"/>
              </w:rPr>
              <w:t>1</w:t>
            </w:r>
          </w:p>
        </w:tc>
        <w:tc>
          <w:tcPr>
            <w:tcW w:w="1449" w:type="dxa"/>
            <w:shd w:val="clear" w:color="auto" w:fill="BAF9F5"/>
          </w:tcPr>
          <w:p>
            <w:pPr>
              <w:pStyle w:val="TableParagraph"/>
              <w:spacing w:line="41" w:lineRule="exact"/>
              <w:ind w:left="508" w:right="506"/>
              <w:rPr>
                <w:rFonts w:ascii="Calibri"/>
                <w:sz w:val="6"/>
              </w:rPr>
            </w:pPr>
            <w:r>
              <w:rPr>
                <w:rFonts w:ascii="Calibri"/>
                <w:w w:val="105"/>
                <w:sz w:val="6"/>
              </w:rPr>
              <w:t>0.8</w:t>
            </w:r>
          </w:p>
        </w:tc>
        <w:tc>
          <w:tcPr>
            <w:tcW w:w="1516" w:type="dxa"/>
            <w:shd w:val="clear" w:color="auto" w:fill="BAF9F5"/>
          </w:tcPr>
          <w:p>
            <w:pPr>
              <w:pStyle w:val="TableParagraph"/>
              <w:spacing w:line="41" w:lineRule="exact"/>
              <w:ind w:left="670" w:right="670"/>
              <w:rPr>
                <w:rFonts w:ascii="Calibri"/>
                <w:sz w:val="6"/>
              </w:rPr>
            </w:pPr>
            <w:r>
              <w:rPr>
                <w:rFonts w:ascii="Calibri"/>
                <w:w w:val="105"/>
                <w:sz w:val="6"/>
              </w:rPr>
              <w:t>0.5</w:t>
            </w: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Style w:val="TableParagraph"/>
              <w:spacing w:line="41" w:lineRule="exact"/>
              <w:ind w:left="105" w:right="104"/>
              <w:rPr>
                <w:rFonts w:ascii="Calibri"/>
                <w:sz w:val="6"/>
              </w:rPr>
            </w:pPr>
            <w:r>
              <w:rPr>
                <w:rFonts w:ascii="Calibri"/>
                <w:w w:val="105"/>
                <w:sz w:val="6"/>
              </w:rPr>
              <w:t>0.5</w:t>
            </w:r>
          </w:p>
        </w:tc>
        <w:tc>
          <w:tcPr>
            <w:tcW w:w="346" w:type="dxa"/>
          </w:tcPr>
          <w:p>
            <w:pPr/>
          </w:p>
        </w:tc>
        <w:tc>
          <w:tcPr>
            <w:tcW w:w="346" w:type="dxa"/>
            <w:shd w:val="clear" w:color="auto" w:fill="BAF9F5"/>
          </w:tcPr>
          <w:p>
            <w:pPr>
              <w:pStyle w:val="TableParagraph"/>
              <w:spacing w:line="41" w:lineRule="exact"/>
              <w:ind w:left="115" w:right="109"/>
              <w:rPr>
                <w:rFonts w:ascii="Calibri"/>
                <w:sz w:val="6"/>
              </w:rPr>
            </w:pPr>
            <w:r>
              <w:rPr>
                <w:rFonts w:ascii="Calibri"/>
                <w:w w:val="105"/>
                <w:sz w:val="6"/>
              </w:rPr>
              <w:t>0.8</w:t>
            </w:r>
          </w:p>
        </w:tc>
        <w:tc>
          <w:tcPr>
            <w:tcW w:w="346" w:type="dxa"/>
            <w:shd w:val="clear" w:color="auto" w:fill="BAF9F5"/>
          </w:tcPr>
          <w:p>
            <w:pPr>
              <w:pStyle w:val="TableParagraph"/>
              <w:spacing w:line="41" w:lineRule="exact"/>
              <w:ind w:left="6"/>
              <w:rPr>
                <w:rFonts w:ascii="Calibri"/>
                <w:sz w:val="6"/>
              </w:rPr>
            </w:pPr>
            <w:r>
              <w:rPr>
                <w:rFonts w:ascii="Calibri"/>
                <w:w w:val="104"/>
                <w:sz w:val="6"/>
              </w:rPr>
              <w:t>1</w:t>
            </w:r>
          </w:p>
        </w:tc>
        <w:tc>
          <w:tcPr>
            <w:tcW w:w="89" w:type="dxa"/>
          </w:tcPr>
          <w:p>
            <w:pPr/>
          </w:p>
        </w:tc>
      </w:tr>
      <w:tr>
        <w:trPr>
          <w:trHeight w:val="10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Style w:val="TableParagraph"/>
              <w:spacing w:before="11"/>
              <w:ind w:left="8"/>
              <w:jc w:val="left"/>
              <w:rPr>
                <w:rFonts w:ascii="Calibri"/>
                <w:sz w:val="6"/>
              </w:rPr>
            </w:pPr>
            <w:r>
              <w:rPr>
                <w:rFonts w:ascii="Calibri"/>
                <w:w w:val="105"/>
                <w:sz w:val="6"/>
              </w:rPr>
              <w:t>ONU</w:t>
            </w:r>
          </w:p>
        </w:tc>
        <w:tc>
          <w:tcPr>
            <w:tcW w:w="2353" w:type="dxa"/>
            <w:tcBorders>
              <w:left w:val="single" w:sz="2" w:space="0" w:color="D3D3D3"/>
              <w:right w:val="single" w:sz="2" w:space="0" w:color="D3D3D3"/>
            </w:tcBorders>
          </w:tcPr>
          <w:p>
            <w:pPr>
              <w:pStyle w:val="TableParagraph"/>
              <w:spacing w:before="11"/>
              <w:ind w:left="8" w:right="-3"/>
              <w:jc w:val="left"/>
              <w:rPr>
                <w:rFonts w:ascii="Calibri" w:hAnsi="Calibri"/>
                <w:sz w:val="6"/>
              </w:rPr>
            </w:pPr>
            <w:r>
              <w:rPr>
                <w:rFonts w:ascii="Calibri" w:hAnsi="Calibri"/>
                <w:w w:val="105"/>
                <w:sz w:val="6"/>
              </w:rPr>
              <w:t>¿Los metros cuadrados de área verde por habitante cumplen con el estándar de la ONU?</w:t>
            </w:r>
          </w:p>
        </w:tc>
        <w:tc>
          <w:tcPr>
            <w:tcW w:w="968" w:type="dxa"/>
            <w:tcBorders>
              <w:left w:val="single" w:sz="2" w:space="0" w:color="D3D3D3"/>
              <w:bottom w:val="single" w:sz="35" w:space="0" w:color="BAF9F5"/>
              <w:right w:val="single" w:sz="2" w:space="0" w:color="D3D3D3"/>
            </w:tcBorders>
          </w:tcPr>
          <w:p>
            <w:pPr>
              <w:pStyle w:val="TableParagraph"/>
              <w:spacing w:before="11"/>
              <w:ind w:left="310" w:right="296"/>
              <w:rPr>
                <w:rFonts w:ascii="Calibri"/>
                <w:sz w:val="6"/>
              </w:rPr>
            </w:pPr>
            <w:r>
              <w:rPr>
                <w:rFonts w:ascii="Calibri"/>
                <w:w w:val="105"/>
                <w:sz w:val="6"/>
              </w:rPr>
              <w:t>Arriba</w:t>
            </w:r>
          </w:p>
        </w:tc>
        <w:tc>
          <w:tcPr>
            <w:tcW w:w="1449" w:type="dxa"/>
            <w:tcBorders>
              <w:left w:val="single" w:sz="2" w:space="0" w:color="D3D3D3"/>
              <w:bottom w:val="single" w:sz="35" w:space="0" w:color="BAF9F5"/>
            </w:tcBorders>
          </w:tcPr>
          <w:p>
            <w:pPr>
              <w:pStyle w:val="TableParagraph"/>
              <w:spacing w:before="11"/>
              <w:ind w:left="414" w:right="414"/>
              <w:rPr>
                <w:rFonts w:ascii="Calibri"/>
                <w:sz w:val="6"/>
              </w:rPr>
            </w:pPr>
            <w:r>
              <w:rPr>
                <w:rFonts w:ascii="Calibri"/>
                <w:w w:val="105"/>
                <w:sz w:val="6"/>
              </w:rPr>
              <w:t>Igual</w:t>
            </w:r>
          </w:p>
        </w:tc>
        <w:tc>
          <w:tcPr>
            <w:tcW w:w="1516" w:type="dxa"/>
            <w:tcBorders>
              <w:bottom w:val="single" w:sz="35" w:space="0" w:color="BAF9F5"/>
            </w:tcBorders>
          </w:tcPr>
          <w:p>
            <w:pPr>
              <w:pStyle w:val="TableParagraph"/>
              <w:tabs>
                <w:tab w:pos="624" w:val="left" w:leader="none"/>
                <w:tab w:pos="1515" w:val="left" w:leader="none"/>
              </w:tabs>
              <w:spacing w:before="11"/>
              <w:ind w:left="-1"/>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Por</w:t>
            </w:r>
            <w:r>
              <w:rPr>
                <w:rFonts w:ascii="Calibri"/>
                <w:spacing w:val="-10"/>
                <w:w w:val="105"/>
                <w:sz w:val="6"/>
                <w:shd w:fill="808080" w:color="auto" w:val="clear"/>
              </w:rPr>
              <w:t> </w:t>
            </w:r>
            <w:r>
              <w:rPr>
                <w:rFonts w:ascii="Calibri"/>
                <w:w w:val="105"/>
                <w:sz w:val="6"/>
                <w:shd w:fill="808080" w:color="auto" w:val="clear"/>
              </w:rPr>
              <w:t>debajo</w:t>
            </w:r>
            <w:r>
              <w:rPr>
                <w:rFonts w:ascii="Calibri"/>
                <w:sz w:val="6"/>
                <w:shd w:fill="808080" w:color="auto" w:val="clear"/>
              </w:rPr>
              <w:tab/>
            </w:r>
          </w:p>
        </w:tc>
        <w:tc>
          <w:tcPr>
            <w:tcW w:w="645" w:type="dxa"/>
            <w:tcBorders>
              <w:bottom w:val="single" w:sz="35" w:space="0" w:color="BAF9F5"/>
              <w:right w:val="single" w:sz="2" w:space="0" w:color="D3D3D3"/>
            </w:tcBorders>
          </w:tcPr>
          <w:p>
            <w:pPr/>
          </w:p>
        </w:tc>
        <w:tc>
          <w:tcPr>
            <w:tcW w:w="585" w:type="dxa"/>
            <w:tcBorders>
              <w:left w:val="single" w:sz="2" w:space="0" w:color="D3D3D3"/>
              <w:bottom w:val="single" w:sz="35" w:space="0" w:color="BAF9F5"/>
              <w:right w:val="single" w:sz="2" w:space="0" w:color="D3D3D3"/>
            </w:tcBorders>
          </w:tcPr>
          <w:p>
            <w:pPr/>
          </w:p>
        </w:tc>
        <w:tc>
          <w:tcPr>
            <w:tcW w:w="1105" w:type="dxa"/>
            <w:tcBorders>
              <w:left w:val="single" w:sz="2" w:space="0" w:color="D3D3D3"/>
              <w:bottom w:val="single" w:sz="35" w:space="0" w:color="BAF9F5"/>
              <w:right w:val="single" w:sz="15" w:space="0" w:color="FFFFFF"/>
            </w:tcBorders>
          </w:tcPr>
          <w:p>
            <w:pPr/>
          </w:p>
        </w:tc>
        <w:tc>
          <w:tcPr>
            <w:tcW w:w="485" w:type="dxa"/>
            <w:tcBorders>
              <w:left w:val="single" w:sz="15" w:space="0" w:color="FFFFFF"/>
              <w:bottom w:val="single" w:sz="35" w:space="0" w:color="BAF9F5"/>
              <w:right w:val="single" w:sz="2" w:space="0" w:color="D3D3D3"/>
            </w:tcBorders>
          </w:tcPr>
          <w:p>
            <w:pPr/>
          </w:p>
        </w:tc>
        <w:tc>
          <w:tcPr>
            <w:tcW w:w="346" w:type="dxa"/>
            <w:tcBorders>
              <w:left w:val="single" w:sz="2" w:space="0" w:color="D3D3D3"/>
              <w:right w:val="single" w:sz="2" w:space="0" w:color="D3D3D3"/>
            </w:tcBorders>
          </w:tcPr>
          <w:p>
            <w:pPr/>
          </w:p>
        </w:tc>
        <w:tc>
          <w:tcPr>
            <w:tcW w:w="346" w:type="dxa"/>
            <w:tcBorders>
              <w:left w:val="single" w:sz="2" w:space="0" w:color="D3D3D3"/>
              <w:bottom w:val="single" w:sz="35" w:space="0" w:color="BAF9F5"/>
              <w:right w:val="single" w:sz="2" w:space="0" w:color="D3D3D3"/>
            </w:tcBorders>
          </w:tcPr>
          <w:p>
            <w:pPr/>
          </w:p>
        </w:tc>
        <w:tc>
          <w:tcPr>
            <w:tcW w:w="346" w:type="dxa"/>
            <w:tcBorders>
              <w:left w:val="single" w:sz="2" w:space="0" w:color="D3D3D3"/>
              <w:bottom w:val="single" w:sz="35" w:space="0" w:color="BAF9F5"/>
              <w:right w:val="single" w:sz="2" w:space="0" w:color="D3D3D3"/>
            </w:tcBorders>
          </w:tcPr>
          <w:p>
            <w:pPr/>
          </w:p>
        </w:tc>
        <w:tc>
          <w:tcPr>
            <w:tcW w:w="89" w:type="dxa"/>
            <w:tcBorders>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
        </w:tc>
        <w:tc>
          <w:tcPr>
            <w:tcW w:w="1449" w:type="dxa"/>
            <w:shd w:val="clear" w:color="auto" w:fill="BAF9F5"/>
          </w:tcPr>
          <w:p>
            <w:pPr/>
          </w:p>
        </w:tc>
        <w:tc>
          <w:tcPr>
            <w:tcW w:w="1516" w:type="dxa"/>
            <w:shd w:val="clear" w:color="auto" w:fill="BAF9F5"/>
          </w:tcPr>
          <w:p>
            <w:pP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85" w:hRule="exact"/>
        </w:trPr>
        <w:tc>
          <w:tcPr>
            <w:tcW w:w="347" w:type="dxa"/>
            <w:tcBorders>
              <w:right w:val="single" w:sz="2" w:space="0" w:color="D3D3D3"/>
            </w:tcBorders>
          </w:tcPr>
          <w:p>
            <w:pPr/>
          </w:p>
        </w:tc>
        <w:tc>
          <w:tcPr>
            <w:tcW w:w="1182" w:type="dxa"/>
            <w:tcBorders>
              <w:left w:val="single" w:sz="2" w:space="0" w:color="D3D3D3"/>
              <w:bottom w:val="single" w:sz="2" w:space="0" w:color="D3D3D3"/>
              <w:right w:val="single" w:sz="2" w:space="0" w:color="D3D3D3"/>
            </w:tcBorders>
          </w:tcPr>
          <w:p>
            <w:pPr/>
          </w:p>
        </w:tc>
        <w:tc>
          <w:tcPr>
            <w:tcW w:w="1241" w:type="dxa"/>
            <w:tcBorders>
              <w:left w:val="single" w:sz="2" w:space="0" w:color="D3D3D3"/>
              <w:bottom w:val="single" w:sz="2" w:space="0" w:color="D3D3D3"/>
              <w:right w:val="single" w:sz="2" w:space="0" w:color="D3D3D3"/>
            </w:tcBorders>
          </w:tcPr>
          <w:p>
            <w:pPr/>
          </w:p>
        </w:tc>
        <w:tc>
          <w:tcPr>
            <w:tcW w:w="2353" w:type="dxa"/>
            <w:tcBorders>
              <w:left w:val="single" w:sz="2" w:space="0" w:color="D3D3D3"/>
              <w:bottom w:val="single" w:sz="2" w:space="0" w:color="D3D3D3"/>
              <w:right w:val="single" w:sz="2" w:space="0" w:color="D3D3D3"/>
            </w:tcBorders>
          </w:tcPr>
          <w:p>
            <w:pPr/>
          </w:p>
        </w:tc>
        <w:tc>
          <w:tcPr>
            <w:tcW w:w="968"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12"/>
              <w:rPr>
                <w:rFonts w:ascii="Calibri"/>
                <w:sz w:val="6"/>
              </w:rPr>
            </w:pPr>
            <w:r>
              <w:rPr>
                <w:rFonts w:ascii="Calibri"/>
                <w:w w:val="104"/>
                <w:sz w:val="6"/>
              </w:rPr>
              <w:t>1</w:t>
            </w:r>
          </w:p>
        </w:tc>
        <w:tc>
          <w:tcPr>
            <w:tcW w:w="1449"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65" w:right="63"/>
              <w:rPr>
                <w:rFonts w:ascii="Calibri"/>
                <w:sz w:val="6"/>
              </w:rPr>
            </w:pPr>
            <w:r>
              <w:rPr>
                <w:rFonts w:ascii="Calibri"/>
                <w:w w:val="105"/>
                <w:sz w:val="6"/>
              </w:rPr>
              <w:t>0.8</w:t>
            </w:r>
          </w:p>
        </w:tc>
        <w:tc>
          <w:tcPr>
            <w:tcW w:w="1516"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333" w:right="334"/>
              <w:rPr>
                <w:rFonts w:ascii="Calibri"/>
                <w:sz w:val="6"/>
              </w:rPr>
            </w:pPr>
            <w:r>
              <w:rPr>
                <w:rFonts w:ascii="Calibri"/>
                <w:w w:val="105"/>
                <w:sz w:val="6"/>
              </w:rPr>
              <w:t>0.5</w:t>
            </w:r>
          </w:p>
        </w:tc>
        <w:tc>
          <w:tcPr>
            <w:tcW w:w="645" w:type="dxa"/>
            <w:tcBorders>
              <w:left w:val="single" w:sz="2" w:space="0" w:color="D3D3D3"/>
              <w:bottom w:val="single" w:sz="2" w:space="0" w:color="D3D3D3"/>
              <w:right w:val="single" w:sz="2" w:space="0" w:color="D3D3D3"/>
            </w:tcBorders>
            <w:shd w:val="clear" w:color="auto" w:fill="BAF9F5"/>
          </w:tcPr>
          <w:p>
            <w:pPr/>
          </w:p>
        </w:tc>
        <w:tc>
          <w:tcPr>
            <w:tcW w:w="585" w:type="dxa"/>
            <w:tcBorders>
              <w:left w:val="single" w:sz="2" w:space="0" w:color="D3D3D3"/>
              <w:bottom w:val="single" w:sz="2" w:space="0" w:color="D3D3D3"/>
              <w:right w:val="single" w:sz="2" w:space="0" w:color="D3D3D3"/>
            </w:tcBorders>
            <w:shd w:val="clear" w:color="auto" w:fill="BAF9F5"/>
          </w:tcPr>
          <w:p>
            <w:pPr/>
          </w:p>
        </w:tc>
        <w:tc>
          <w:tcPr>
            <w:tcW w:w="1105" w:type="dxa"/>
            <w:tcBorders>
              <w:left w:val="single" w:sz="2" w:space="0" w:color="D3D3D3"/>
              <w:bottom w:val="single" w:sz="2" w:space="0" w:color="D3D3D3"/>
              <w:right w:val="single" w:sz="15" w:space="0" w:color="FFFFFF"/>
            </w:tcBorders>
            <w:shd w:val="clear" w:color="auto" w:fill="BAF9F5"/>
          </w:tcPr>
          <w:p>
            <w:pPr/>
          </w:p>
        </w:tc>
        <w:tc>
          <w:tcPr>
            <w:tcW w:w="485" w:type="dxa"/>
            <w:tcBorders>
              <w:left w:val="single" w:sz="15" w:space="0" w:color="FFFFFF"/>
              <w:bottom w:val="single" w:sz="2" w:space="0" w:color="D3D3D3"/>
            </w:tcBorders>
            <w:shd w:val="clear" w:color="auto" w:fill="BAF9F5"/>
          </w:tcPr>
          <w:p>
            <w:pPr>
              <w:pStyle w:val="TableParagraph"/>
              <w:spacing w:line="41" w:lineRule="exact"/>
              <w:ind w:left="105" w:right="104"/>
              <w:rPr>
                <w:rFonts w:ascii="Calibri"/>
                <w:sz w:val="6"/>
              </w:rPr>
            </w:pPr>
            <w:r>
              <w:rPr>
                <w:rFonts w:ascii="Calibri"/>
                <w:w w:val="105"/>
                <w:sz w:val="6"/>
              </w:rPr>
              <w:t>0.5</w:t>
            </w:r>
          </w:p>
          <w:p>
            <w:pPr>
              <w:pStyle w:val="TableParagraph"/>
              <w:spacing w:before="9"/>
              <w:ind w:left="107" w:right="104"/>
              <w:rPr>
                <w:rFonts w:ascii="Calibri"/>
                <w:sz w:val="6"/>
              </w:rPr>
            </w:pPr>
            <w:r>
              <w:rPr>
                <w:rFonts w:ascii="Calibri"/>
                <w:w w:val="105"/>
                <w:sz w:val="6"/>
              </w:rPr>
              <w:t>Subtotal</w:t>
            </w:r>
          </w:p>
        </w:tc>
        <w:tc>
          <w:tcPr>
            <w:tcW w:w="346" w:type="dxa"/>
            <w:shd w:val="clear" w:color="auto" w:fill="F79646"/>
          </w:tcPr>
          <w:p>
            <w:pPr>
              <w:pStyle w:val="TableParagraph"/>
              <w:spacing w:before="49"/>
              <w:ind w:left="160"/>
              <w:jc w:val="left"/>
              <w:rPr>
                <w:rFonts w:ascii="Calibri"/>
                <w:sz w:val="6"/>
              </w:rPr>
            </w:pPr>
            <w:r>
              <w:rPr>
                <w:rFonts w:ascii="Calibri"/>
                <w:w w:val="104"/>
                <w:sz w:val="6"/>
              </w:rPr>
              <w:t>2</w:t>
            </w:r>
          </w:p>
        </w:tc>
        <w:tc>
          <w:tcPr>
            <w:tcW w:w="346" w:type="dxa"/>
            <w:tcBorders>
              <w:top w:val="single" w:sz="35" w:space="0" w:color="BAF9F5"/>
            </w:tcBorders>
            <w:shd w:val="clear" w:color="auto" w:fill="FFFF00"/>
          </w:tcPr>
          <w:p>
            <w:pPr>
              <w:pStyle w:val="TableParagraph"/>
              <w:spacing w:line="2" w:lineRule="exact"/>
              <w:ind w:left="115" w:right="109"/>
              <w:rPr>
                <w:rFonts w:ascii="Calibri"/>
                <w:sz w:val="6"/>
              </w:rPr>
            </w:pPr>
            <w:r>
              <w:rPr>
                <w:rFonts w:ascii="Calibri"/>
                <w:w w:val="105"/>
                <w:sz w:val="6"/>
              </w:rPr>
              <w:t>0.8</w:t>
            </w:r>
          </w:p>
          <w:p>
            <w:pPr>
              <w:pStyle w:val="TableParagraph"/>
              <w:spacing w:before="6"/>
              <w:ind w:left="115" w:right="109"/>
              <w:rPr>
                <w:rFonts w:ascii="Calibri"/>
                <w:sz w:val="6"/>
              </w:rPr>
            </w:pPr>
            <w:r>
              <w:rPr>
                <w:rFonts w:ascii="Calibri"/>
                <w:w w:val="105"/>
                <w:sz w:val="6"/>
              </w:rPr>
              <w:t>2.6</w:t>
            </w:r>
          </w:p>
        </w:tc>
        <w:tc>
          <w:tcPr>
            <w:tcW w:w="346" w:type="dxa"/>
            <w:tcBorders>
              <w:top w:val="single" w:sz="35" w:space="0" w:color="BAF9F5"/>
            </w:tcBorders>
            <w:shd w:val="clear" w:color="auto" w:fill="67ED4D"/>
          </w:tcPr>
          <w:p>
            <w:pPr>
              <w:pStyle w:val="TableParagraph"/>
              <w:spacing w:line="2" w:lineRule="exact"/>
              <w:ind w:left="6"/>
              <w:rPr>
                <w:rFonts w:ascii="Calibri"/>
                <w:sz w:val="6"/>
              </w:rPr>
            </w:pPr>
            <w:r>
              <w:rPr>
                <w:rFonts w:ascii="Calibri"/>
                <w:w w:val="104"/>
                <w:sz w:val="6"/>
              </w:rPr>
              <w:t>1</w:t>
            </w:r>
          </w:p>
          <w:p>
            <w:pPr>
              <w:pStyle w:val="TableParagraph"/>
              <w:spacing w:before="6"/>
              <w:ind w:left="6"/>
              <w:rPr>
                <w:rFonts w:ascii="Calibri"/>
                <w:sz w:val="6"/>
              </w:rPr>
            </w:pPr>
            <w:r>
              <w:rPr>
                <w:rFonts w:ascii="Calibri"/>
                <w:w w:val="104"/>
                <w:sz w:val="6"/>
              </w:rPr>
              <w:t>3</w:t>
            </w:r>
          </w:p>
        </w:tc>
        <w:tc>
          <w:tcPr>
            <w:tcW w:w="89" w:type="dxa"/>
            <w:tcBorders>
              <w:bottom w:val="single" w:sz="2" w:space="0" w:color="D3D3D3"/>
            </w:tcBorders>
          </w:tcPr>
          <w:p>
            <w:pPr/>
          </w:p>
        </w:tc>
      </w:tr>
      <w:tr>
        <w:trPr>
          <w:trHeight w:val="82" w:hRule="exact"/>
        </w:trPr>
        <w:tc>
          <w:tcPr>
            <w:tcW w:w="347" w:type="dxa"/>
            <w:tcBorders>
              <w:right w:val="single" w:sz="2" w:space="0" w:color="D3D3D3"/>
            </w:tcBorders>
          </w:tcPr>
          <w:p>
            <w:pPr/>
          </w:p>
        </w:tc>
        <w:tc>
          <w:tcPr>
            <w:tcW w:w="1182" w:type="dxa"/>
            <w:tcBorders>
              <w:top w:val="single" w:sz="2" w:space="0" w:color="D3D3D3"/>
              <w:left w:val="single" w:sz="2" w:space="0" w:color="D3D3D3"/>
              <w:bottom w:val="single" w:sz="2" w:space="0" w:color="D3D3D3"/>
              <w:right w:val="single" w:sz="2" w:space="0" w:color="D3D3D3"/>
            </w:tcBorders>
          </w:tcPr>
          <w:p>
            <w:pPr/>
          </w:p>
        </w:tc>
        <w:tc>
          <w:tcPr>
            <w:tcW w:w="1241" w:type="dxa"/>
            <w:tcBorders>
              <w:top w:val="single" w:sz="2" w:space="0" w:color="D3D3D3"/>
              <w:left w:val="single" w:sz="2" w:space="0" w:color="D3D3D3"/>
              <w:bottom w:val="single" w:sz="2" w:space="0" w:color="D3D3D3"/>
              <w:right w:val="single" w:sz="2" w:space="0" w:color="D3D3D3"/>
            </w:tcBorders>
          </w:tcPr>
          <w:p>
            <w:pPr/>
          </w:p>
        </w:tc>
        <w:tc>
          <w:tcPr>
            <w:tcW w:w="2353" w:type="dxa"/>
            <w:tcBorders>
              <w:top w:val="single" w:sz="2" w:space="0" w:color="D3D3D3"/>
              <w:left w:val="single" w:sz="2" w:space="0" w:color="D3D3D3"/>
              <w:bottom w:val="single" w:sz="2" w:space="0" w:color="D3D3D3"/>
              <w:right w:val="single" w:sz="2" w:space="0" w:color="D3D3D3"/>
            </w:tcBorders>
          </w:tcPr>
          <w:p>
            <w:pPr/>
          </w:p>
        </w:tc>
        <w:tc>
          <w:tcPr>
            <w:tcW w:w="968" w:type="dxa"/>
            <w:tcBorders>
              <w:top w:val="single" w:sz="2" w:space="0" w:color="D3D3D3"/>
              <w:left w:val="single" w:sz="2" w:space="0" w:color="D3D3D3"/>
              <w:bottom w:val="single" w:sz="2" w:space="0" w:color="D3D3D3"/>
              <w:right w:val="single" w:sz="2" w:space="0" w:color="D3D3D3"/>
            </w:tcBorders>
          </w:tcPr>
          <w:p>
            <w:pPr/>
          </w:p>
        </w:tc>
        <w:tc>
          <w:tcPr>
            <w:tcW w:w="1449" w:type="dxa"/>
            <w:tcBorders>
              <w:top w:val="single" w:sz="2" w:space="0" w:color="D3D3D3"/>
              <w:left w:val="single" w:sz="2" w:space="0" w:color="D3D3D3"/>
              <w:bottom w:val="single" w:sz="35" w:space="0" w:color="808080"/>
              <w:right w:val="single" w:sz="2" w:space="0" w:color="D3D3D3"/>
            </w:tcBorders>
          </w:tcPr>
          <w:p>
            <w:pPr/>
          </w:p>
        </w:tc>
        <w:tc>
          <w:tcPr>
            <w:tcW w:w="1516" w:type="dxa"/>
            <w:tcBorders>
              <w:top w:val="single" w:sz="2" w:space="0" w:color="D3D3D3"/>
              <w:left w:val="single" w:sz="2" w:space="0" w:color="D3D3D3"/>
              <w:bottom w:val="single" w:sz="2" w:space="0" w:color="D3D3D3"/>
              <w:right w:val="single" w:sz="2" w:space="0" w:color="D3D3D3"/>
            </w:tcBorders>
          </w:tcPr>
          <w:p>
            <w:pPr/>
          </w:p>
        </w:tc>
        <w:tc>
          <w:tcPr>
            <w:tcW w:w="645" w:type="dxa"/>
            <w:tcBorders>
              <w:top w:val="single" w:sz="2" w:space="0" w:color="D3D3D3"/>
              <w:left w:val="single" w:sz="2" w:space="0" w:color="D3D3D3"/>
              <w:bottom w:val="single" w:sz="2" w:space="0" w:color="D3D3D3"/>
              <w:right w:val="single" w:sz="2" w:space="0" w:color="D3D3D3"/>
            </w:tcBorders>
          </w:tcPr>
          <w:p>
            <w:pPr/>
          </w:p>
        </w:tc>
        <w:tc>
          <w:tcPr>
            <w:tcW w:w="585" w:type="dxa"/>
            <w:tcBorders>
              <w:top w:val="single" w:sz="2" w:space="0" w:color="D3D3D3"/>
              <w:left w:val="single" w:sz="2" w:space="0" w:color="D3D3D3"/>
              <w:bottom w:val="single" w:sz="2" w:space="0" w:color="D3D3D3"/>
              <w:right w:val="single" w:sz="2" w:space="0" w:color="D3D3D3"/>
            </w:tcBorders>
          </w:tcPr>
          <w:p>
            <w:pPr/>
          </w:p>
        </w:tc>
        <w:tc>
          <w:tcPr>
            <w:tcW w:w="1105" w:type="dxa"/>
            <w:tcBorders>
              <w:top w:val="single" w:sz="2" w:space="0" w:color="D3D3D3"/>
              <w:left w:val="single" w:sz="2" w:space="0" w:color="D3D3D3"/>
              <w:bottom w:val="single" w:sz="2" w:space="0" w:color="D3D3D3"/>
              <w:right w:val="single" w:sz="15" w:space="0" w:color="FFFFFF"/>
            </w:tcBorders>
          </w:tcPr>
          <w:p>
            <w:pPr/>
          </w:p>
        </w:tc>
        <w:tc>
          <w:tcPr>
            <w:tcW w:w="485" w:type="dxa"/>
            <w:tcBorders>
              <w:top w:val="single" w:sz="2" w:space="0" w:color="D3D3D3"/>
              <w:left w:val="single" w:sz="15" w:space="0" w:color="FFFFFF"/>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89" w:type="dxa"/>
            <w:tcBorders>
              <w:top w:val="single" w:sz="2" w:space="0" w:color="D3D3D3"/>
              <w:left w:val="single" w:sz="2" w:space="0" w:color="D3D3D3"/>
              <w:bottom w:val="single" w:sz="2" w:space="0" w:color="D3D3D3"/>
            </w:tcBorders>
          </w:tcPr>
          <w:p>
            <w:pPr/>
          </w:p>
        </w:tc>
      </w:tr>
      <w:tr>
        <w:trPr>
          <w:trHeight w:val="99" w:hRule="exact"/>
        </w:trPr>
        <w:tc>
          <w:tcPr>
            <w:tcW w:w="347" w:type="dxa"/>
            <w:tcBorders>
              <w:right w:val="single" w:sz="2" w:space="0" w:color="D3D3D3"/>
            </w:tcBorders>
          </w:tcPr>
          <w:p>
            <w:pPr/>
          </w:p>
        </w:tc>
        <w:tc>
          <w:tcPr>
            <w:tcW w:w="1182" w:type="dxa"/>
            <w:tcBorders>
              <w:top w:val="single" w:sz="2" w:space="0" w:color="D3D3D3"/>
              <w:left w:val="single" w:sz="2" w:space="0" w:color="D3D3D3"/>
              <w:right w:val="single" w:sz="2" w:space="0" w:color="D3D3D3"/>
            </w:tcBorders>
          </w:tcPr>
          <w:p>
            <w:pPr>
              <w:pStyle w:val="TableParagraph"/>
              <w:spacing w:before="6"/>
              <w:ind w:left="32"/>
              <w:jc w:val="left"/>
              <w:rPr>
                <w:rFonts w:ascii="Calibri"/>
                <w:sz w:val="6"/>
              </w:rPr>
            </w:pPr>
            <w:r>
              <w:rPr>
                <w:rFonts w:ascii="Calibri"/>
                <w:w w:val="105"/>
                <w:sz w:val="6"/>
              </w:rPr>
              <w:t>5  Manejo de residuos solidos</w:t>
            </w:r>
          </w:p>
        </w:tc>
        <w:tc>
          <w:tcPr>
            <w:tcW w:w="1241" w:type="dxa"/>
            <w:tcBorders>
              <w:top w:val="single" w:sz="2" w:space="0" w:color="D3D3D3"/>
              <w:left w:val="single" w:sz="2" w:space="0" w:color="D3D3D3"/>
              <w:right w:val="single" w:sz="2" w:space="0" w:color="D3D3D3"/>
            </w:tcBorders>
          </w:tcPr>
          <w:p>
            <w:pPr>
              <w:pStyle w:val="TableParagraph"/>
              <w:spacing w:before="6"/>
              <w:ind w:left="8"/>
              <w:jc w:val="left"/>
              <w:rPr>
                <w:rFonts w:ascii="Calibri" w:hAnsi="Calibri"/>
                <w:sz w:val="6"/>
              </w:rPr>
            </w:pPr>
            <w:r>
              <w:rPr>
                <w:rFonts w:ascii="Calibri" w:hAnsi="Calibri"/>
                <w:w w:val="105"/>
                <w:sz w:val="6"/>
              </w:rPr>
              <w:t>Separación</w:t>
            </w:r>
          </w:p>
        </w:tc>
        <w:tc>
          <w:tcPr>
            <w:tcW w:w="2353" w:type="dxa"/>
            <w:tcBorders>
              <w:top w:val="single" w:sz="2" w:space="0" w:color="D3D3D3"/>
              <w:left w:val="single" w:sz="2" w:space="0" w:color="D3D3D3"/>
              <w:right w:val="single" w:sz="2" w:space="0" w:color="D3D3D3"/>
            </w:tcBorders>
          </w:tcPr>
          <w:p>
            <w:pPr>
              <w:pStyle w:val="TableParagraph"/>
              <w:spacing w:before="6"/>
              <w:ind w:left="8"/>
              <w:jc w:val="left"/>
              <w:rPr>
                <w:rFonts w:ascii="Calibri" w:hAnsi="Calibri"/>
                <w:sz w:val="6"/>
              </w:rPr>
            </w:pPr>
            <w:r>
              <w:rPr>
                <w:rFonts w:ascii="Calibri" w:hAnsi="Calibri"/>
                <w:w w:val="105"/>
                <w:sz w:val="6"/>
              </w:rPr>
              <w:t>¿Existe un programa de separación de residuos?</w:t>
            </w:r>
          </w:p>
        </w:tc>
        <w:tc>
          <w:tcPr>
            <w:tcW w:w="968" w:type="dxa"/>
            <w:tcBorders>
              <w:top w:val="single" w:sz="2" w:space="0" w:color="D3D3D3"/>
              <w:left w:val="single" w:sz="2" w:space="0" w:color="D3D3D3"/>
              <w:bottom w:val="single" w:sz="35" w:space="0" w:color="BAF9F5"/>
            </w:tcBorders>
          </w:tcPr>
          <w:p>
            <w:pPr>
              <w:pStyle w:val="TableParagraph"/>
              <w:spacing w:before="6"/>
              <w:ind w:left="446" w:right="436"/>
              <w:rPr>
                <w:rFonts w:ascii="Calibri"/>
                <w:sz w:val="6"/>
              </w:rPr>
            </w:pPr>
            <w:r>
              <w:rPr>
                <w:rFonts w:ascii="Calibri"/>
                <w:w w:val="105"/>
                <w:sz w:val="6"/>
              </w:rPr>
              <w:t>Si</w:t>
            </w:r>
          </w:p>
        </w:tc>
        <w:tc>
          <w:tcPr>
            <w:tcW w:w="1449" w:type="dxa"/>
            <w:tcBorders>
              <w:bottom w:val="single" w:sz="35" w:space="0" w:color="BAF9F5"/>
            </w:tcBorders>
            <w:shd w:val="clear" w:color="auto" w:fill="808080"/>
          </w:tcPr>
          <w:p>
            <w:pPr>
              <w:pStyle w:val="TableParagraph"/>
              <w:spacing w:before="8"/>
              <w:ind w:left="510" w:right="506"/>
              <w:rPr>
                <w:rFonts w:ascii="Calibri"/>
                <w:sz w:val="6"/>
              </w:rPr>
            </w:pPr>
            <w:r>
              <w:rPr>
                <w:rFonts w:ascii="Calibri"/>
                <w:w w:val="105"/>
                <w:sz w:val="6"/>
              </w:rPr>
              <w:t>No</w:t>
            </w:r>
          </w:p>
        </w:tc>
        <w:tc>
          <w:tcPr>
            <w:tcW w:w="1516" w:type="dxa"/>
            <w:tcBorders>
              <w:top w:val="single" w:sz="2" w:space="0" w:color="D3D3D3"/>
              <w:bottom w:val="single" w:sz="35" w:space="0" w:color="BAF9F5"/>
              <w:right w:val="single" w:sz="2" w:space="0" w:color="D3D3D3"/>
            </w:tcBorders>
          </w:tcPr>
          <w:p>
            <w:pPr>
              <w:pStyle w:val="TableParagraph"/>
              <w:spacing w:before="6"/>
              <w:ind w:left="565" w:right="563"/>
              <w:rPr>
                <w:rFonts w:ascii="Calibri"/>
                <w:sz w:val="6"/>
              </w:rPr>
            </w:pPr>
            <w:r>
              <w:rPr>
                <w:rFonts w:ascii="Calibri"/>
                <w:w w:val="105"/>
                <w:sz w:val="6"/>
              </w:rPr>
              <w:t>Comentarios:</w:t>
            </w:r>
          </w:p>
        </w:tc>
        <w:tc>
          <w:tcPr>
            <w:tcW w:w="645" w:type="dxa"/>
            <w:tcBorders>
              <w:top w:val="single" w:sz="2" w:space="0" w:color="D3D3D3"/>
              <w:left w:val="single" w:sz="2" w:space="0" w:color="D3D3D3"/>
              <w:bottom w:val="single" w:sz="35" w:space="0" w:color="BAF9F5"/>
              <w:right w:val="single" w:sz="2" w:space="0" w:color="D3D3D3"/>
            </w:tcBorders>
          </w:tcPr>
          <w:p>
            <w:pPr/>
          </w:p>
        </w:tc>
        <w:tc>
          <w:tcPr>
            <w:tcW w:w="585" w:type="dxa"/>
            <w:tcBorders>
              <w:top w:val="single" w:sz="2" w:space="0" w:color="D3D3D3"/>
              <w:left w:val="single" w:sz="2" w:space="0" w:color="D3D3D3"/>
              <w:bottom w:val="single" w:sz="35" w:space="0" w:color="BAF9F5"/>
              <w:right w:val="single" w:sz="2" w:space="0" w:color="D3D3D3"/>
            </w:tcBorders>
          </w:tcPr>
          <w:p>
            <w:pPr/>
          </w:p>
        </w:tc>
        <w:tc>
          <w:tcPr>
            <w:tcW w:w="1105" w:type="dxa"/>
            <w:tcBorders>
              <w:top w:val="single" w:sz="2" w:space="0" w:color="D3D3D3"/>
              <w:left w:val="single" w:sz="2" w:space="0" w:color="D3D3D3"/>
              <w:bottom w:val="single" w:sz="35" w:space="0" w:color="BAF9F5"/>
              <w:right w:val="single" w:sz="15" w:space="0" w:color="FFFFFF"/>
            </w:tcBorders>
          </w:tcPr>
          <w:p>
            <w:pPr/>
          </w:p>
        </w:tc>
        <w:tc>
          <w:tcPr>
            <w:tcW w:w="485" w:type="dxa"/>
            <w:tcBorders>
              <w:top w:val="single" w:sz="2" w:space="0" w:color="D3D3D3"/>
              <w:left w:val="single" w:sz="15" w:space="0" w:color="FFFFFF"/>
              <w:bottom w:val="single" w:sz="35" w:space="0" w:color="BAF9F5"/>
              <w:right w:val="single" w:sz="2" w:space="0" w:color="D3D3D3"/>
            </w:tcBorders>
          </w:tcPr>
          <w:p>
            <w:pPr/>
          </w:p>
        </w:tc>
        <w:tc>
          <w:tcPr>
            <w:tcW w:w="346" w:type="dxa"/>
            <w:tcBorders>
              <w:top w:val="single" w:sz="2" w:space="0" w:color="D3D3D3"/>
              <w:left w:val="single" w:sz="2" w:space="0" w:color="D3D3D3"/>
              <w:right w:val="single" w:sz="2" w:space="0" w:color="D3D3D3"/>
            </w:tcBorders>
          </w:tcPr>
          <w:p>
            <w:pPr/>
          </w:p>
        </w:tc>
        <w:tc>
          <w:tcPr>
            <w:tcW w:w="346" w:type="dxa"/>
            <w:tcBorders>
              <w:top w:val="single" w:sz="2" w:space="0" w:color="D3D3D3"/>
              <w:left w:val="single" w:sz="2" w:space="0" w:color="D3D3D3"/>
              <w:bottom w:val="single" w:sz="35" w:space="0" w:color="BAF9F5"/>
              <w:right w:val="single" w:sz="2" w:space="0" w:color="D3D3D3"/>
            </w:tcBorders>
          </w:tcPr>
          <w:p>
            <w:pPr/>
          </w:p>
        </w:tc>
        <w:tc>
          <w:tcPr>
            <w:tcW w:w="346" w:type="dxa"/>
            <w:tcBorders>
              <w:top w:val="single" w:sz="2" w:space="0" w:color="D3D3D3"/>
              <w:left w:val="single" w:sz="2" w:space="0" w:color="D3D3D3"/>
              <w:bottom w:val="single" w:sz="35" w:space="0" w:color="BAF9F5"/>
              <w:right w:val="single" w:sz="2" w:space="0" w:color="D3D3D3"/>
            </w:tcBorders>
          </w:tcPr>
          <w:p>
            <w:pPr/>
          </w:p>
        </w:tc>
        <w:tc>
          <w:tcPr>
            <w:tcW w:w="89" w:type="dxa"/>
            <w:tcBorders>
              <w:top w:val="single" w:sz="2" w:space="0" w:color="D3D3D3"/>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
        </w:tc>
        <w:tc>
          <w:tcPr>
            <w:tcW w:w="1449" w:type="dxa"/>
            <w:shd w:val="clear" w:color="auto" w:fill="BAF9F5"/>
          </w:tcPr>
          <w:p>
            <w:pPr/>
          </w:p>
        </w:tc>
        <w:tc>
          <w:tcPr>
            <w:tcW w:w="1516" w:type="dxa"/>
            <w:shd w:val="clear" w:color="auto" w:fill="BAF9F5"/>
          </w:tcPr>
          <w:p>
            <w:pP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10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Style w:val="TableParagraph"/>
              <w:spacing w:before="49"/>
              <w:ind w:left="8"/>
              <w:jc w:val="left"/>
              <w:rPr>
                <w:rFonts w:ascii="Calibri" w:hAnsi="Calibri"/>
                <w:sz w:val="6"/>
              </w:rPr>
            </w:pPr>
            <w:r>
              <w:rPr>
                <w:rFonts w:ascii="Calibri" w:hAnsi="Calibri"/>
                <w:w w:val="105"/>
                <w:sz w:val="6"/>
              </w:rPr>
              <w:t>Recolección</w:t>
            </w:r>
          </w:p>
        </w:tc>
        <w:tc>
          <w:tcPr>
            <w:tcW w:w="2353" w:type="dxa"/>
            <w:tcBorders>
              <w:left w:val="single" w:sz="2" w:space="0" w:color="D3D3D3"/>
              <w:right w:val="single" w:sz="2" w:space="0" w:color="D3D3D3"/>
            </w:tcBorders>
          </w:tcPr>
          <w:p>
            <w:pPr>
              <w:pStyle w:val="TableParagraph"/>
              <w:spacing w:before="49"/>
              <w:ind w:left="8" w:right="-3"/>
              <w:jc w:val="left"/>
              <w:rPr>
                <w:rFonts w:ascii="Calibri" w:hAnsi="Calibri"/>
                <w:sz w:val="6"/>
              </w:rPr>
            </w:pPr>
            <w:r>
              <w:rPr>
                <w:rFonts w:ascii="Calibri" w:hAnsi="Calibri"/>
                <w:w w:val="105"/>
                <w:sz w:val="6"/>
              </w:rPr>
              <w:t>¿Quién otorga el servicio de recolección de residuos solidos?</w:t>
            </w:r>
          </w:p>
        </w:tc>
        <w:tc>
          <w:tcPr>
            <w:tcW w:w="968"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12"/>
              <w:rPr>
                <w:rFonts w:ascii="Calibri"/>
                <w:sz w:val="6"/>
              </w:rPr>
            </w:pPr>
            <w:r>
              <w:rPr>
                <w:rFonts w:ascii="Calibri"/>
                <w:w w:val="104"/>
                <w:sz w:val="6"/>
              </w:rPr>
              <w:t>1</w:t>
            </w:r>
          </w:p>
          <w:p>
            <w:pPr>
              <w:pStyle w:val="TableParagraph"/>
              <w:spacing w:before="6"/>
              <w:ind w:left="310" w:right="297"/>
              <w:rPr>
                <w:rFonts w:ascii="Calibri"/>
                <w:sz w:val="6"/>
              </w:rPr>
            </w:pPr>
            <w:r>
              <w:rPr>
                <w:rFonts w:ascii="Calibri"/>
                <w:w w:val="105"/>
                <w:sz w:val="6"/>
              </w:rPr>
              <w:t>Municipio</w:t>
            </w:r>
          </w:p>
        </w:tc>
        <w:tc>
          <w:tcPr>
            <w:tcW w:w="1449" w:type="dxa"/>
            <w:tcBorders>
              <w:top w:val="single" w:sz="35" w:space="0" w:color="BAF9F5"/>
              <w:left w:val="single" w:sz="2" w:space="0" w:color="D3D3D3"/>
              <w:bottom w:val="single" w:sz="35" w:space="0" w:color="BAF9F5"/>
            </w:tcBorders>
          </w:tcPr>
          <w:p>
            <w:pPr>
              <w:pStyle w:val="TableParagraph"/>
              <w:spacing w:line="3" w:lineRule="exact"/>
              <w:rPr>
                <w:rFonts w:ascii="Calibri"/>
                <w:sz w:val="6"/>
              </w:rPr>
            </w:pPr>
            <w:r>
              <w:rPr>
                <w:rFonts w:ascii="Calibri"/>
                <w:w w:val="104"/>
                <w:sz w:val="6"/>
              </w:rPr>
              <w:t>0</w:t>
            </w:r>
          </w:p>
          <w:p>
            <w:pPr>
              <w:pStyle w:val="TableParagraph"/>
              <w:spacing w:before="6"/>
              <w:ind w:left="414" w:right="415"/>
              <w:rPr>
                <w:rFonts w:ascii="Calibri"/>
                <w:sz w:val="6"/>
              </w:rPr>
            </w:pPr>
            <w:r>
              <w:rPr>
                <w:rFonts w:ascii="Calibri"/>
                <w:w w:val="105"/>
                <w:sz w:val="6"/>
              </w:rPr>
              <w:t>Empresa especializada</w:t>
            </w:r>
          </w:p>
        </w:tc>
        <w:tc>
          <w:tcPr>
            <w:tcW w:w="1516" w:type="dxa"/>
            <w:tcBorders>
              <w:top w:val="single" w:sz="35" w:space="0" w:color="BAF9F5"/>
              <w:bottom w:val="single" w:sz="35" w:space="0" w:color="BAF9F5"/>
            </w:tcBorders>
          </w:tcPr>
          <w:p>
            <w:pPr>
              <w:pStyle w:val="TableParagraph"/>
              <w:tabs>
                <w:tab w:pos="620" w:val="left" w:leader="none"/>
                <w:tab w:pos="1515" w:val="left" w:leader="none"/>
              </w:tabs>
              <w:spacing w:before="6"/>
              <w:ind w:left="-1"/>
              <w:rPr>
                <w:rFonts w:ascii="Calibri" w:hAnsi="Calibri"/>
                <w:sz w:val="6"/>
              </w:rPr>
            </w:pPr>
            <w:r>
              <w:rPr>
                <w:rFonts w:ascii="Times New Roman" w:hAnsi="Times New Roman"/>
                <w:w w:val="104"/>
                <w:sz w:val="6"/>
                <w:shd w:fill="808080" w:color="auto" w:val="clear"/>
              </w:rPr>
              <w:t> </w:t>
            </w:r>
            <w:r>
              <w:rPr>
                <w:rFonts w:ascii="Times New Roman" w:hAnsi="Times New Roman"/>
                <w:sz w:val="6"/>
                <w:shd w:fill="808080" w:color="auto" w:val="clear"/>
              </w:rPr>
              <w:tab/>
            </w:r>
            <w:r>
              <w:rPr>
                <w:rFonts w:ascii="Calibri" w:hAnsi="Calibri"/>
                <w:w w:val="105"/>
                <w:sz w:val="6"/>
                <w:shd w:fill="808080" w:color="auto" w:val="clear"/>
              </w:rPr>
              <w:t>Asociación</w:t>
            </w:r>
            <w:r>
              <w:rPr>
                <w:rFonts w:ascii="Calibri" w:hAnsi="Calibri"/>
                <w:sz w:val="6"/>
                <w:shd w:fill="808080" w:color="auto" w:val="clear"/>
              </w:rPr>
              <w:tab/>
            </w:r>
          </w:p>
        </w:tc>
        <w:tc>
          <w:tcPr>
            <w:tcW w:w="645" w:type="dxa"/>
            <w:tcBorders>
              <w:top w:val="single" w:sz="35" w:space="0" w:color="BAF9F5"/>
              <w:bottom w:val="single" w:sz="35" w:space="0" w:color="BAF9F5"/>
              <w:right w:val="single" w:sz="2" w:space="0" w:color="D3D3D3"/>
            </w:tcBorders>
          </w:tcPr>
          <w:p>
            <w:pPr>
              <w:pStyle w:val="TableParagraph"/>
              <w:spacing w:before="6"/>
              <w:rPr>
                <w:rFonts w:ascii="Calibri"/>
                <w:sz w:val="6"/>
              </w:rPr>
            </w:pPr>
            <w:r>
              <w:rPr>
                <w:rFonts w:ascii="Calibri"/>
                <w:w w:val="105"/>
                <w:sz w:val="6"/>
              </w:rPr>
              <w:t>Empresa desarrolladora</w:t>
            </w:r>
          </w:p>
        </w:tc>
        <w:tc>
          <w:tcPr>
            <w:tcW w:w="585" w:type="dxa"/>
            <w:tcBorders>
              <w:top w:val="single" w:sz="35" w:space="0" w:color="BAF9F5"/>
              <w:left w:val="single" w:sz="2" w:space="0" w:color="D3D3D3"/>
              <w:bottom w:val="single" w:sz="35" w:space="0" w:color="BAF9F5"/>
              <w:right w:val="single" w:sz="2" w:space="0" w:color="D3D3D3"/>
            </w:tcBorders>
          </w:tcPr>
          <w:p>
            <w:pPr/>
          </w:p>
        </w:tc>
        <w:tc>
          <w:tcPr>
            <w:tcW w:w="1105" w:type="dxa"/>
            <w:tcBorders>
              <w:top w:val="single" w:sz="35" w:space="0" w:color="BAF9F5"/>
              <w:left w:val="single" w:sz="2" w:space="0" w:color="D3D3D3"/>
              <w:bottom w:val="single" w:sz="35" w:space="0" w:color="BAF9F5"/>
              <w:right w:val="single" w:sz="15" w:space="0" w:color="FFFFFF"/>
            </w:tcBorders>
          </w:tcPr>
          <w:p>
            <w:pPr/>
          </w:p>
        </w:tc>
        <w:tc>
          <w:tcPr>
            <w:tcW w:w="485" w:type="dxa"/>
            <w:tcBorders>
              <w:top w:val="single" w:sz="35" w:space="0" w:color="BAF9F5"/>
              <w:left w:val="single" w:sz="15" w:space="0" w:color="FFFFFF"/>
              <w:bottom w:val="single" w:sz="35" w:space="0" w:color="BAF9F5"/>
              <w:right w:val="single" w:sz="2" w:space="0" w:color="D3D3D3"/>
            </w:tcBorders>
          </w:tcPr>
          <w:p>
            <w:pPr>
              <w:pStyle w:val="TableParagraph"/>
              <w:spacing w:line="3" w:lineRule="exact"/>
              <w:ind w:left="4"/>
              <w:rPr>
                <w:rFonts w:ascii="Calibri"/>
                <w:sz w:val="6"/>
              </w:rPr>
            </w:pPr>
            <w:r>
              <w:rPr>
                <w:rFonts w:ascii="Calibri"/>
                <w:w w:val="104"/>
                <w:sz w:val="6"/>
              </w:rPr>
              <w:t>0</w:t>
            </w:r>
          </w:p>
        </w:tc>
        <w:tc>
          <w:tcPr>
            <w:tcW w:w="346" w:type="dxa"/>
            <w:tcBorders>
              <w:left w:val="single" w:sz="2" w:space="0" w:color="D3D3D3"/>
              <w:right w:val="single" w:sz="2" w:space="0" w:color="D3D3D3"/>
            </w:tcBorders>
          </w:tcPr>
          <w:p>
            <w:pP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
        </w:tc>
        <w:tc>
          <w:tcPr>
            <w:tcW w:w="1449" w:type="dxa"/>
            <w:shd w:val="clear" w:color="auto" w:fill="BAF9F5"/>
          </w:tcPr>
          <w:p>
            <w:pPr/>
          </w:p>
        </w:tc>
        <w:tc>
          <w:tcPr>
            <w:tcW w:w="1516" w:type="dxa"/>
            <w:shd w:val="clear" w:color="auto" w:fill="BAF9F5"/>
          </w:tcPr>
          <w:p>
            <w:pP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10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Style w:val="TableParagraph"/>
              <w:spacing w:before="50"/>
              <w:ind w:left="8"/>
              <w:jc w:val="left"/>
              <w:rPr>
                <w:rFonts w:ascii="Calibri" w:hAnsi="Calibri"/>
                <w:sz w:val="6"/>
              </w:rPr>
            </w:pPr>
            <w:r>
              <w:rPr>
                <w:rFonts w:ascii="Calibri" w:hAnsi="Calibri"/>
                <w:w w:val="105"/>
                <w:sz w:val="6"/>
              </w:rPr>
              <w:t>Disposición</w:t>
            </w:r>
          </w:p>
        </w:tc>
        <w:tc>
          <w:tcPr>
            <w:tcW w:w="2353" w:type="dxa"/>
            <w:tcBorders>
              <w:left w:val="single" w:sz="2" w:space="0" w:color="D3D3D3"/>
              <w:right w:val="single" w:sz="2" w:space="0" w:color="D3D3D3"/>
            </w:tcBorders>
          </w:tcPr>
          <w:p>
            <w:pPr>
              <w:pStyle w:val="TableParagraph"/>
              <w:spacing w:before="50"/>
              <w:ind w:left="8" w:right="-3"/>
              <w:jc w:val="left"/>
              <w:rPr>
                <w:rFonts w:ascii="Calibri" w:hAnsi="Calibri"/>
                <w:sz w:val="6"/>
              </w:rPr>
            </w:pPr>
            <w:r>
              <w:rPr>
                <w:rFonts w:ascii="Calibri" w:hAnsi="Calibri"/>
                <w:w w:val="105"/>
                <w:sz w:val="6"/>
              </w:rPr>
              <w:t>¿A qué distancia se realiza la disposición final?</w:t>
            </w:r>
          </w:p>
        </w:tc>
        <w:tc>
          <w:tcPr>
            <w:tcW w:w="968"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12"/>
              <w:rPr>
                <w:rFonts w:ascii="Calibri"/>
                <w:sz w:val="6"/>
              </w:rPr>
            </w:pPr>
            <w:r>
              <w:rPr>
                <w:rFonts w:ascii="Calibri"/>
                <w:w w:val="104"/>
                <w:sz w:val="6"/>
              </w:rPr>
              <w:t>1</w:t>
            </w:r>
          </w:p>
          <w:p>
            <w:pPr>
              <w:pStyle w:val="TableParagraph"/>
              <w:spacing w:before="6"/>
              <w:ind w:left="310" w:right="302"/>
              <w:rPr>
                <w:rFonts w:ascii="Calibri" w:hAnsi="Calibri"/>
                <w:sz w:val="6"/>
              </w:rPr>
            </w:pPr>
            <w:r>
              <w:rPr>
                <w:rFonts w:ascii="Calibri" w:hAnsi="Calibri"/>
                <w:w w:val="105"/>
                <w:sz w:val="6"/>
              </w:rPr>
              <w:t>30km o más</w:t>
            </w:r>
          </w:p>
        </w:tc>
        <w:tc>
          <w:tcPr>
            <w:tcW w:w="1449" w:type="dxa"/>
            <w:tcBorders>
              <w:top w:val="single" w:sz="35" w:space="0" w:color="BAF9F5"/>
              <w:left w:val="single" w:sz="2" w:space="0" w:color="D3D3D3"/>
              <w:bottom w:val="single" w:sz="35" w:space="0" w:color="BAF9F5"/>
            </w:tcBorders>
          </w:tcPr>
          <w:p>
            <w:pPr>
              <w:pStyle w:val="TableParagraph"/>
              <w:spacing w:line="3" w:lineRule="exact"/>
              <w:rPr>
                <w:rFonts w:ascii="Calibri"/>
                <w:sz w:val="6"/>
              </w:rPr>
            </w:pPr>
            <w:r>
              <w:rPr>
                <w:rFonts w:ascii="Calibri"/>
                <w:w w:val="104"/>
                <w:sz w:val="6"/>
              </w:rPr>
              <w:t>1</w:t>
            </w:r>
          </w:p>
          <w:p>
            <w:pPr>
              <w:pStyle w:val="TableParagraph"/>
              <w:spacing w:before="6"/>
              <w:ind w:left="414" w:right="413"/>
              <w:rPr>
                <w:rFonts w:ascii="Calibri"/>
                <w:sz w:val="6"/>
              </w:rPr>
            </w:pPr>
            <w:r>
              <w:rPr>
                <w:rFonts w:ascii="Calibri"/>
                <w:w w:val="105"/>
                <w:sz w:val="6"/>
              </w:rPr>
              <w:t>de 10km a 20km</w:t>
            </w:r>
          </w:p>
        </w:tc>
        <w:tc>
          <w:tcPr>
            <w:tcW w:w="1516" w:type="dxa"/>
            <w:tcBorders>
              <w:top w:val="single" w:sz="35" w:space="0" w:color="BAF9F5"/>
              <w:bottom w:val="single" w:sz="35" w:space="0" w:color="BAF9F5"/>
            </w:tcBorders>
          </w:tcPr>
          <w:p>
            <w:pPr>
              <w:pStyle w:val="TableParagraph"/>
              <w:spacing w:line="3" w:lineRule="exact"/>
              <w:ind w:left="670" w:right="670"/>
              <w:rPr>
                <w:rFonts w:ascii="Calibri"/>
                <w:sz w:val="6"/>
              </w:rPr>
            </w:pPr>
            <w:r>
              <w:rPr>
                <w:rFonts w:ascii="Calibri"/>
                <w:w w:val="105"/>
                <w:sz w:val="6"/>
              </w:rPr>
              <w:t>0.6</w:t>
            </w:r>
          </w:p>
          <w:p>
            <w:pPr>
              <w:pStyle w:val="TableParagraph"/>
              <w:tabs>
                <w:tab w:pos="565" w:val="left" w:leader="none"/>
                <w:tab w:pos="1515" w:val="left" w:leader="none"/>
              </w:tabs>
              <w:spacing w:before="6"/>
              <w:ind w:left="-1"/>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de 5km a</w:t>
            </w:r>
            <w:r>
              <w:rPr>
                <w:rFonts w:ascii="Calibri"/>
                <w:spacing w:val="-9"/>
                <w:w w:val="105"/>
                <w:sz w:val="6"/>
                <w:shd w:fill="808080" w:color="auto" w:val="clear"/>
              </w:rPr>
              <w:t> </w:t>
            </w:r>
            <w:r>
              <w:rPr>
                <w:rFonts w:ascii="Calibri"/>
                <w:w w:val="105"/>
                <w:sz w:val="6"/>
                <w:shd w:fill="808080" w:color="auto" w:val="clear"/>
              </w:rPr>
              <w:t>10km</w:t>
            </w:r>
            <w:r>
              <w:rPr>
                <w:rFonts w:ascii="Calibri"/>
                <w:sz w:val="6"/>
                <w:shd w:fill="808080" w:color="auto" w:val="clear"/>
              </w:rPr>
              <w:tab/>
            </w:r>
          </w:p>
        </w:tc>
        <w:tc>
          <w:tcPr>
            <w:tcW w:w="645" w:type="dxa"/>
            <w:tcBorders>
              <w:top w:val="single" w:sz="35" w:space="0" w:color="BAF9F5"/>
              <w:bottom w:val="single" w:sz="35" w:space="0" w:color="BAF9F5"/>
              <w:right w:val="single" w:sz="2" w:space="0" w:color="D3D3D3"/>
            </w:tcBorders>
          </w:tcPr>
          <w:p>
            <w:pPr>
              <w:pStyle w:val="TableParagraph"/>
              <w:spacing w:line="3" w:lineRule="exact"/>
              <w:ind w:left="2"/>
              <w:rPr>
                <w:rFonts w:ascii="Calibri"/>
                <w:sz w:val="6"/>
              </w:rPr>
            </w:pPr>
            <w:r>
              <w:rPr>
                <w:rFonts w:ascii="Calibri"/>
                <w:w w:val="105"/>
                <w:sz w:val="6"/>
              </w:rPr>
              <w:t>0.4</w:t>
            </w:r>
          </w:p>
          <w:p>
            <w:pPr>
              <w:pStyle w:val="TableParagraph"/>
              <w:spacing w:before="6"/>
              <w:ind w:left="4"/>
              <w:rPr>
                <w:rFonts w:ascii="Calibri"/>
                <w:sz w:val="6"/>
              </w:rPr>
            </w:pPr>
            <w:r>
              <w:rPr>
                <w:rFonts w:ascii="Calibri"/>
                <w:w w:val="105"/>
                <w:sz w:val="6"/>
              </w:rPr>
              <w:t>entre 2 y 1km</w:t>
            </w:r>
          </w:p>
        </w:tc>
        <w:tc>
          <w:tcPr>
            <w:tcW w:w="585" w:type="dxa"/>
            <w:tcBorders>
              <w:top w:val="single" w:sz="35" w:space="0" w:color="BAF9F5"/>
              <w:left w:val="single" w:sz="2" w:space="0" w:color="D3D3D3"/>
              <w:bottom w:val="single" w:sz="35" w:space="0" w:color="BAF9F5"/>
              <w:right w:val="single" w:sz="2" w:space="0" w:color="D3D3D3"/>
            </w:tcBorders>
          </w:tcPr>
          <w:p>
            <w:pPr/>
          </w:p>
        </w:tc>
        <w:tc>
          <w:tcPr>
            <w:tcW w:w="1105" w:type="dxa"/>
            <w:tcBorders>
              <w:top w:val="single" w:sz="35" w:space="0" w:color="BAF9F5"/>
              <w:left w:val="single" w:sz="2" w:space="0" w:color="D3D3D3"/>
              <w:bottom w:val="single" w:sz="35" w:space="0" w:color="BAF9F5"/>
              <w:right w:val="single" w:sz="15" w:space="0" w:color="FFFFFF"/>
            </w:tcBorders>
          </w:tcPr>
          <w:p>
            <w:pPr/>
          </w:p>
        </w:tc>
        <w:tc>
          <w:tcPr>
            <w:tcW w:w="485" w:type="dxa"/>
            <w:tcBorders>
              <w:top w:val="single" w:sz="35" w:space="0" w:color="BAF9F5"/>
              <w:left w:val="single" w:sz="15" w:space="0" w:color="FFFFFF"/>
              <w:bottom w:val="single" w:sz="35" w:space="0" w:color="BAF9F5"/>
              <w:right w:val="single" w:sz="2" w:space="0" w:color="D3D3D3"/>
            </w:tcBorders>
          </w:tcPr>
          <w:p>
            <w:pPr>
              <w:pStyle w:val="TableParagraph"/>
              <w:spacing w:line="3" w:lineRule="exact"/>
              <w:ind w:left="173" w:right="169"/>
              <w:rPr>
                <w:rFonts w:ascii="Calibri"/>
                <w:sz w:val="6"/>
              </w:rPr>
            </w:pPr>
            <w:r>
              <w:rPr>
                <w:rFonts w:ascii="Calibri"/>
                <w:w w:val="105"/>
                <w:sz w:val="6"/>
              </w:rPr>
              <w:t>0.6</w:t>
            </w:r>
          </w:p>
        </w:tc>
        <w:tc>
          <w:tcPr>
            <w:tcW w:w="346" w:type="dxa"/>
            <w:tcBorders>
              <w:left w:val="single" w:sz="2" w:space="0" w:color="D3D3D3"/>
              <w:right w:val="single" w:sz="2" w:space="0" w:color="D3D3D3"/>
            </w:tcBorders>
          </w:tcPr>
          <w:p>
            <w:pP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
        </w:tc>
        <w:tc>
          <w:tcPr>
            <w:tcW w:w="1449" w:type="dxa"/>
            <w:shd w:val="clear" w:color="auto" w:fill="BAF9F5"/>
          </w:tcPr>
          <w:p>
            <w:pPr/>
          </w:p>
        </w:tc>
        <w:tc>
          <w:tcPr>
            <w:tcW w:w="1516" w:type="dxa"/>
            <w:shd w:val="clear" w:color="auto" w:fill="BAF9F5"/>
          </w:tcPr>
          <w:p>
            <w:pP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85" w:hRule="exact"/>
        </w:trPr>
        <w:tc>
          <w:tcPr>
            <w:tcW w:w="347" w:type="dxa"/>
            <w:tcBorders>
              <w:right w:val="single" w:sz="2" w:space="0" w:color="D3D3D3"/>
            </w:tcBorders>
          </w:tcPr>
          <w:p>
            <w:pPr/>
          </w:p>
        </w:tc>
        <w:tc>
          <w:tcPr>
            <w:tcW w:w="1182" w:type="dxa"/>
            <w:tcBorders>
              <w:left w:val="single" w:sz="2" w:space="0" w:color="D3D3D3"/>
              <w:bottom w:val="single" w:sz="2" w:space="0" w:color="D3D3D3"/>
              <w:right w:val="single" w:sz="2" w:space="0" w:color="D3D3D3"/>
            </w:tcBorders>
          </w:tcPr>
          <w:p>
            <w:pPr/>
          </w:p>
        </w:tc>
        <w:tc>
          <w:tcPr>
            <w:tcW w:w="1241" w:type="dxa"/>
            <w:tcBorders>
              <w:left w:val="single" w:sz="2" w:space="0" w:color="D3D3D3"/>
              <w:bottom w:val="single" w:sz="2" w:space="0" w:color="D3D3D3"/>
              <w:right w:val="single" w:sz="2" w:space="0" w:color="D3D3D3"/>
            </w:tcBorders>
          </w:tcPr>
          <w:p>
            <w:pPr/>
          </w:p>
        </w:tc>
        <w:tc>
          <w:tcPr>
            <w:tcW w:w="2353" w:type="dxa"/>
            <w:tcBorders>
              <w:left w:val="single" w:sz="2" w:space="0" w:color="D3D3D3"/>
              <w:bottom w:val="single" w:sz="2" w:space="0" w:color="D3D3D3"/>
              <w:right w:val="single" w:sz="2" w:space="0" w:color="D3D3D3"/>
            </w:tcBorders>
          </w:tcPr>
          <w:p>
            <w:pPr/>
          </w:p>
        </w:tc>
        <w:tc>
          <w:tcPr>
            <w:tcW w:w="968"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12"/>
              <w:rPr>
                <w:rFonts w:ascii="Calibri"/>
                <w:sz w:val="6"/>
              </w:rPr>
            </w:pPr>
            <w:r>
              <w:rPr>
                <w:rFonts w:ascii="Calibri"/>
                <w:w w:val="104"/>
                <w:sz w:val="6"/>
              </w:rPr>
              <w:t>1</w:t>
            </w:r>
          </w:p>
        </w:tc>
        <w:tc>
          <w:tcPr>
            <w:tcW w:w="1449"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65" w:right="63"/>
              <w:rPr>
                <w:rFonts w:ascii="Calibri"/>
                <w:sz w:val="6"/>
              </w:rPr>
            </w:pPr>
            <w:r>
              <w:rPr>
                <w:rFonts w:ascii="Calibri"/>
                <w:w w:val="105"/>
                <w:sz w:val="6"/>
              </w:rPr>
              <w:t>0.8</w:t>
            </w:r>
          </w:p>
        </w:tc>
        <w:tc>
          <w:tcPr>
            <w:tcW w:w="1516"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333" w:right="334"/>
              <w:rPr>
                <w:rFonts w:ascii="Calibri"/>
                <w:sz w:val="6"/>
              </w:rPr>
            </w:pPr>
            <w:r>
              <w:rPr>
                <w:rFonts w:ascii="Calibri"/>
                <w:w w:val="105"/>
                <w:sz w:val="6"/>
              </w:rPr>
              <w:t>0.5</w:t>
            </w:r>
          </w:p>
        </w:tc>
        <w:tc>
          <w:tcPr>
            <w:tcW w:w="645"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5"/>
              <w:rPr>
                <w:rFonts w:ascii="Calibri"/>
                <w:sz w:val="6"/>
              </w:rPr>
            </w:pPr>
            <w:r>
              <w:rPr>
                <w:rFonts w:ascii="Calibri"/>
                <w:w w:val="104"/>
                <w:sz w:val="6"/>
              </w:rPr>
              <w:t>0</w:t>
            </w:r>
          </w:p>
        </w:tc>
        <w:tc>
          <w:tcPr>
            <w:tcW w:w="585" w:type="dxa"/>
            <w:tcBorders>
              <w:left w:val="single" w:sz="2" w:space="0" w:color="D3D3D3"/>
              <w:bottom w:val="single" w:sz="2" w:space="0" w:color="D3D3D3"/>
              <w:right w:val="single" w:sz="2" w:space="0" w:color="D3D3D3"/>
            </w:tcBorders>
            <w:shd w:val="clear" w:color="auto" w:fill="BAF9F5"/>
          </w:tcPr>
          <w:p>
            <w:pPr/>
          </w:p>
        </w:tc>
        <w:tc>
          <w:tcPr>
            <w:tcW w:w="1105" w:type="dxa"/>
            <w:tcBorders>
              <w:left w:val="single" w:sz="2" w:space="0" w:color="D3D3D3"/>
              <w:bottom w:val="single" w:sz="2" w:space="0" w:color="D3D3D3"/>
              <w:right w:val="single" w:sz="15" w:space="0" w:color="FFFFFF"/>
            </w:tcBorders>
            <w:shd w:val="clear" w:color="auto" w:fill="BAF9F5"/>
          </w:tcPr>
          <w:p>
            <w:pPr/>
          </w:p>
        </w:tc>
        <w:tc>
          <w:tcPr>
            <w:tcW w:w="485" w:type="dxa"/>
            <w:tcBorders>
              <w:left w:val="single" w:sz="15" w:space="0" w:color="FFFFFF"/>
              <w:bottom w:val="single" w:sz="2" w:space="0" w:color="D3D3D3"/>
            </w:tcBorders>
            <w:shd w:val="clear" w:color="auto" w:fill="BAF9F5"/>
          </w:tcPr>
          <w:p>
            <w:pPr>
              <w:pStyle w:val="TableParagraph"/>
              <w:spacing w:line="41" w:lineRule="exact"/>
              <w:ind w:left="105" w:right="104"/>
              <w:rPr>
                <w:rFonts w:ascii="Calibri"/>
                <w:sz w:val="6"/>
              </w:rPr>
            </w:pPr>
            <w:r>
              <w:rPr>
                <w:rFonts w:ascii="Calibri"/>
                <w:w w:val="105"/>
                <w:sz w:val="6"/>
              </w:rPr>
              <w:t>0.5</w:t>
            </w:r>
          </w:p>
          <w:p>
            <w:pPr>
              <w:pStyle w:val="TableParagraph"/>
              <w:spacing w:before="9"/>
              <w:ind w:left="107" w:right="104"/>
              <w:rPr>
                <w:rFonts w:ascii="Calibri"/>
                <w:sz w:val="6"/>
              </w:rPr>
            </w:pPr>
            <w:r>
              <w:rPr>
                <w:rFonts w:ascii="Calibri"/>
                <w:w w:val="105"/>
                <w:sz w:val="6"/>
              </w:rPr>
              <w:t>Subtotal</w:t>
            </w:r>
          </w:p>
        </w:tc>
        <w:tc>
          <w:tcPr>
            <w:tcW w:w="346" w:type="dxa"/>
            <w:shd w:val="clear" w:color="auto" w:fill="F79646"/>
          </w:tcPr>
          <w:p>
            <w:pPr>
              <w:pStyle w:val="TableParagraph"/>
              <w:spacing w:before="50"/>
              <w:ind w:left="136"/>
              <w:jc w:val="left"/>
              <w:rPr>
                <w:rFonts w:ascii="Calibri"/>
                <w:sz w:val="6"/>
              </w:rPr>
            </w:pPr>
            <w:r>
              <w:rPr>
                <w:rFonts w:ascii="Calibri"/>
                <w:w w:val="105"/>
                <w:sz w:val="6"/>
              </w:rPr>
              <w:t>1.1</w:t>
            </w:r>
          </w:p>
        </w:tc>
        <w:tc>
          <w:tcPr>
            <w:tcW w:w="346" w:type="dxa"/>
            <w:tcBorders>
              <w:top w:val="single" w:sz="35" w:space="0" w:color="BAF9F5"/>
            </w:tcBorders>
            <w:shd w:val="clear" w:color="auto" w:fill="FFFF00"/>
          </w:tcPr>
          <w:p>
            <w:pPr>
              <w:pStyle w:val="TableParagraph"/>
              <w:spacing w:line="3" w:lineRule="exact"/>
              <w:ind w:left="115" w:right="109"/>
              <w:rPr>
                <w:rFonts w:ascii="Calibri"/>
                <w:sz w:val="6"/>
              </w:rPr>
            </w:pPr>
            <w:r>
              <w:rPr>
                <w:rFonts w:ascii="Calibri"/>
                <w:w w:val="105"/>
                <w:sz w:val="6"/>
              </w:rPr>
              <w:t>0.8</w:t>
            </w:r>
          </w:p>
          <w:p>
            <w:pPr>
              <w:pStyle w:val="TableParagraph"/>
              <w:spacing w:before="6"/>
              <w:ind w:left="115" w:right="109"/>
              <w:rPr>
                <w:rFonts w:ascii="Calibri"/>
                <w:sz w:val="6"/>
              </w:rPr>
            </w:pPr>
            <w:r>
              <w:rPr>
                <w:rFonts w:ascii="Calibri"/>
                <w:w w:val="105"/>
                <w:sz w:val="6"/>
              </w:rPr>
              <w:t>2.8</w:t>
            </w:r>
          </w:p>
        </w:tc>
        <w:tc>
          <w:tcPr>
            <w:tcW w:w="346" w:type="dxa"/>
            <w:tcBorders>
              <w:top w:val="single" w:sz="35" w:space="0" w:color="BAF9F5"/>
            </w:tcBorders>
            <w:shd w:val="clear" w:color="auto" w:fill="67ED4D"/>
          </w:tcPr>
          <w:p>
            <w:pPr>
              <w:pStyle w:val="TableParagraph"/>
              <w:spacing w:line="3" w:lineRule="exact"/>
              <w:ind w:left="6"/>
              <w:rPr>
                <w:rFonts w:ascii="Calibri"/>
                <w:sz w:val="6"/>
              </w:rPr>
            </w:pPr>
            <w:r>
              <w:rPr>
                <w:rFonts w:ascii="Calibri"/>
                <w:w w:val="104"/>
                <w:sz w:val="6"/>
              </w:rPr>
              <w:t>1</w:t>
            </w:r>
          </w:p>
          <w:p>
            <w:pPr>
              <w:pStyle w:val="TableParagraph"/>
              <w:spacing w:before="6"/>
              <w:ind w:left="6"/>
              <w:rPr>
                <w:rFonts w:ascii="Calibri"/>
                <w:sz w:val="6"/>
              </w:rPr>
            </w:pPr>
            <w:r>
              <w:rPr>
                <w:rFonts w:ascii="Calibri"/>
                <w:w w:val="104"/>
                <w:sz w:val="6"/>
              </w:rPr>
              <w:t>3</w:t>
            </w:r>
          </w:p>
        </w:tc>
        <w:tc>
          <w:tcPr>
            <w:tcW w:w="89" w:type="dxa"/>
            <w:tcBorders>
              <w:bottom w:val="single" w:sz="2" w:space="0" w:color="D3D3D3"/>
            </w:tcBorders>
          </w:tcPr>
          <w:p>
            <w:pPr/>
          </w:p>
        </w:tc>
      </w:tr>
      <w:tr>
        <w:trPr>
          <w:trHeight w:val="82" w:hRule="exact"/>
        </w:trPr>
        <w:tc>
          <w:tcPr>
            <w:tcW w:w="347" w:type="dxa"/>
            <w:tcBorders>
              <w:right w:val="single" w:sz="2" w:space="0" w:color="D3D3D3"/>
            </w:tcBorders>
          </w:tcPr>
          <w:p>
            <w:pPr/>
          </w:p>
        </w:tc>
        <w:tc>
          <w:tcPr>
            <w:tcW w:w="1182" w:type="dxa"/>
            <w:tcBorders>
              <w:top w:val="single" w:sz="2" w:space="0" w:color="D3D3D3"/>
              <w:left w:val="single" w:sz="2" w:space="0" w:color="D3D3D3"/>
              <w:bottom w:val="single" w:sz="2" w:space="0" w:color="D3D3D3"/>
              <w:right w:val="single" w:sz="2" w:space="0" w:color="D3D3D3"/>
            </w:tcBorders>
          </w:tcPr>
          <w:p>
            <w:pPr/>
          </w:p>
        </w:tc>
        <w:tc>
          <w:tcPr>
            <w:tcW w:w="1241" w:type="dxa"/>
            <w:tcBorders>
              <w:top w:val="single" w:sz="2" w:space="0" w:color="D3D3D3"/>
              <w:left w:val="single" w:sz="2" w:space="0" w:color="D3D3D3"/>
              <w:bottom w:val="single" w:sz="2" w:space="0" w:color="D3D3D3"/>
              <w:right w:val="single" w:sz="2" w:space="0" w:color="D3D3D3"/>
            </w:tcBorders>
          </w:tcPr>
          <w:p>
            <w:pPr/>
          </w:p>
        </w:tc>
        <w:tc>
          <w:tcPr>
            <w:tcW w:w="2353" w:type="dxa"/>
            <w:tcBorders>
              <w:top w:val="single" w:sz="2" w:space="0" w:color="D3D3D3"/>
              <w:left w:val="single" w:sz="2" w:space="0" w:color="D3D3D3"/>
              <w:bottom w:val="single" w:sz="2" w:space="0" w:color="D3D3D3"/>
              <w:right w:val="single" w:sz="2" w:space="0" w:color="D3D3D3"/>
            </w:tcBorders>
          </w:tcPr>
          <w:p>
            <w:pPr/>
          </w:p>
        </w:tc>
        <w:tc>
          <w:tcPr>
            <w:tcW w:w="968" w:type="dxa"/>
            <w:tcBorders>
              <w:top w:val="single" w:sz="2" w:space="0" w:color="D3D3D3"/>
              <w:left w:val="single" w:sz="2" w:space="0" w:color="D3D3D3"/>
              <w:bottom w:val="single" w:sz="35" w:space="0" w:color="808080"/>
              <w:right w:val="single" w:sz="2" w:space="0" w:color="D3D3D3"/>
            </w:tcBorders>
          </w:tcPr>
          <w:p>
            <w:pPr/>
          </w:p>
        </w:tc>
        <w:tc>
          <w:tcPr>
            <w:tcW w:w="1449" w:type="dxa"/>
            <w:tcBorders>
              <w:top w:val="single" w:sz="2" w:space="0" w:color="D3D3D3"/>
              <w:left w:val="single" w:sz="2" w:space="0" w:color="D3D3D3"/>
              <w:bottom w:val="single" w:sz="2" w:space="0" w:color="D3D3D3"/>
              <w:right w:val="single" w:sz="2" w:space="0" w:color="D3D3D3"/>
            </w:tcBorders>
          </w:tcPr>
          <w:p>
            <w:pPr/>
          </w:p>
        </w:tc>
        <w:tc>
          <w:tcPr>
            <w:tcW w:w="1516" w:type="dxa"/>
            <w:tcBorders>
              <w:top w:val="single" w:sz="2" w:space="0" w:color="D3D3D3"/>
              <w:left w:val="single" w:sz="2" w:space="0" w:color="D3D3D3"/>
              <w:bottom w:val="single" w:sz="2" w:space="0" w:color="D3D3D3"/>
              <w:right w:val="single" w:sz="2" w:space="0" w:color="D3D3D3"/>
            </w:tcBorders>
          </w:tcPr>
          <w:p>
            <w:pPr/>
          </w:p>
        </w:tc>
        <w:tc>
          <w:tcPr>
            <w:tcW w:w="645" w:type="dxa"/>
            <w:tcBorders>
              <w:top w:val="single" w:sz="2" w:space="0" w:color="D3D3D3"/>
              <w:left w:val="single" w:sz="2" w:space="0" w:color="D3D3D3"/>
              <w:bottom w:val="single" w:sz="2" w:space="0" w:color="D3D3D3"/>
              <w:right w:val="single" w:sz="2" w:space="0" w:color="D3D3D3"/>
            </w:tcBorders>
          </w:tcPr>
          <w:p>
            <w:pPr/>
          </w:p>
        </w:tc>
        <w:tc>
          <w:tcPr>
            <w:tcW w:w="585" w:type="dxa"/>
            <w:tcBorders>
              <w:top w:val="single" w:sz="2" w:space="0" w:color="D3D3D3"/>
              <w:left w:val="single" w:sz="2" w:space="0" w:color="D3D3D3"/>
              <w:bottom w:val="single" w:sz="2" w:space="0" w:color="D3D3D3"/>
              <w:right w:val="single" w:sz="2" w:space="0" w:color="D3D3D3"/>
            </w:tcBorders>
          </w:tcPr>
          <w:p>
            <w:pPr/>
          </w:p>
        </w:tc>
        <w:tc>
          <w:tcPr>
            <w:tcW w:w="1105" w:type="dxa"/>
            <w:tcBorders>
              <w:top w:val="single" w:sz="2" w:space="0" w:color="D3D3D3"/>
              <w:left w:val="single" w:sz="2" w:space="0" w:color="D3D3D3"/>
              <w:bottom w:val="single" w:sz="2" w:space="0" w:color="D3D3D3"/>
              <w:right w:val="single" w:sz="15" w:space="0" w:color="FFFFFF"/>
            </w:tcBorders>
          </w:tcPr>
          <w:p>
            <w:pPr/>
          </w:p>
        </w:tc>
        <w:tc>
          <w:tcPr>
            <w:tcW w:w="485" w:type="dxa"/>
            <w:tcBorders>
              <w:top w:val="single" w:sz="2" w:space="0" w:color="D3D3D3"/>
              <w:left w:val="single" w:sz="15" w:space="0" w:color="FFFFFF"/>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89" w:type="dxa"/>
            <w:tcBorders>
              <w:top w:val="single" w:sz="2" w:space="0" w:color="D3D3D3"/>
              <w:left w:val="single" w:sz="2" w:space="0" w:color="D3D3D3"/>
              <w:bottom w:val="single" w:sz="2" w:space="0" w:color="D3D3D3"/>
            </w:tcBorders>
          </w:tcPr>
          <w:p>
            <w:pPr/>
          </w:p>
        </w:tc>
      </w:tr>
      <w:tr>
        <w:trPr>
          <w:trHeight w:val="99" w:hRule="exact"/>
        </w:trPr>
        <w:tc>
          <w:tcPr>
            <w:tcW w:w="347" w:type="dxa"/>
            <w:tcBorders>
              <w:right w:val="single" w:sz="2" w:space="0" w:color="D3D3D3"/>
            </w:tcBorders>
          </w:tcPr>
          <w:p>
            <w:pPr/>
          </w:p>
        </w:tc>
        <w:tc>
          <w:tcPr>
            <w:tcW w:w="1182" w:type="dxa"/>
            <w:tcBorders>
              <w:top w:val="single" w:sz="2" w:space="0" w:color="D3D3D3"/>
              <w:left w:val="single" w:sz="2" w:space="0" w:color="D3D3D3"/>
              <w:right w:val="single" w:sz="2" w:space="0" w:color="D3D3D3"/>
            </w:tcBorders>
          </w:tcPr>
          <w:p>
            <w:pPr>
              <w:pStyle w:val="TableParagraph"/>
              <w:spacing w:before="6"/>
              <w:ind w:left="32"/>
              <w:jc w:val="left"/>
              <w:rPr>
                <w:rFonts w:ascii="Calibri" w:hAnsi="Calibri"/>
                <w:sz w:val="6"/>
              </w:rPr>
            </w:pPr>
            <w:r>
              <w:rPr>
                <w:rFonts w:ascii="Calibri" w:hAnsi="Calibri"/>
                <w:w w:val="105"/>
                <w:sz w:val="6"/>
              </w:rPr>
              <w:t>6  Ecotegnologías</w:t>
            </w:r>
          </w:p>
        </w:tc>
        <w:tc>
          <w:tcPr>
            <w:tcW w:w="1241" w:type="dxa"/>
            <w:tcBorders>
              <w:top w:val="single" w:sz="2" w:space="0" w:color="D3D3D3"/>
              <w:left w:val="single" w:sz="2" w:space="0" w:color="D3D3D3"/>
              <w:right w:val="single" w:sz="2" w:space="0" w:color="D3D3D3"/>
            </w:tcBorders>
          </w:tcPr>
          <w:p>
            <w:pPr>
              <w:pStyle w:val="TableParagraph"/>
              <w:spacing w:before="6"/>
              <w:ind w:left="8"/>
              <w:jc w:val="left"/>
              <w:rPr>
                <w:rFonts w:ascii="Calibri"/>
                <w:sz w:val="6"/>
              </w:rPr>
            </w:pPr>
            <w:r>
              <w:rPr>
                <w:rFonts w:ascii="Calibri"/>
                <w:w w:val="105"/>
                <w:sz w:val="6"/>
              </w:rPr>
              <w:t>Vivienda</w:t>
            </w:r>
          </w:p>
        </w:tc>
        <w:tc>
          <w:tcPr>
            <w:tcW w:w="2353" w:type="dxa"/>
            <w:tcBorders>
              <w:top w:val="single" w:sz="2" w:space="0" w:color="D3D3D3"/>
              <w:left w:val="single" w:sz="2" w:space="0" w:color="D3D3D3"/>
            </w:tcBorders>
          </w:tcPr>
          <w:p>
            <w:pPr>
              <w:pStyle w:val="TableParagraph"/>
              <w:spacing w:before="6"/>
              <w:ind w:left="8"/>
              <w:jc w:val="left"/>
              <w:rPr>
                <w:rFonts w:ascii="Calibri" w:hAnsi="Calibri"/>
                <w:sz w:val="6"/>
              </w:rPr>
            </w:pPr>
            <w:r>
              <w:rPr>
                <w:rFonts w:ascii="Calibri" w:hAnsi="Calibri"/>
                <w:w w:val="105"/>
                <w:sz w:val="6"/>
              </w:rPr>
              <w:t>¿Con que ecotecnologías cuenta la vivienda?</w:t>
            </w:r>
          </w:p>
        </w:tc>
        <w:tc>
          <w:tcPr>
            <w:tcW w:w="968" w:type="dxa"/>
            <w:tcBorders>
              <w:bottom w:val="single" w:sz="35" w:space="0" w:color="BAF9F5"/>
            </w:tcBorders>
            <w:shd w:val="clear" w:color="auto" w:fill="808080"/>
          </w:tcPr>
          <w:p>
            <w:pPr>
              <w:pStyle w:val="TableParagraph"/>
              <w:spacing w:before="8"/>
              <w:ind w:left="178"/>
              <w:jc w:val="left"/>
              <w:rPr>
                <w:rFonts w:ascii="Calibri" w:hAnsi="Calibri"/>
                <w:sz w:val="6"/>
              </w:rPr>
            </w:pPr>
            <w:r>
              <w:rPr>
                <w:rFonts w:ascii="Calibri" w:hAnsi="Calibri"/>
                <w:w w:val="105"/>
                <w:sz w:val="6"/>
              </w:rPr>
              <w:t>Iluminación especificar:</w:t>
            </w:r>
          </w:p>
        </w:tc>
        <w:tc>
          <w:tcPr>
            <w:tcW w:w="1449" w:type="dxa"/>
            <w:tcBorders>
              <w:top w:val="single" w:sz="2" w:space="0" w:color="D3D3D3"/>
              <w:bottom w:val="single" w:sz="35" w:space="0" w:color="BAF9F5"/>
              <w:right w:val="single" w:sz="2" w:space="0" w:color="D3D3D3"/>
            </w:tcBorders>
          </w:tcPr>
          <w:p>
            <w:pPr>
              <w:pStyle w:val="TableParagraph"/>
              <w:spacing w:before="6"/>
              <w:ind w:left="415" w:right="409"/>
              <w:rPr>
                <w:rFonts w:ascii="Calibri"/>
                <w:sz w:val="6"/>
              </w:rPr>
            </w:pPr>
            <w:r>
              <w:rPr>
                <w:rFonts w:ascii="Calibri"/>
                <w:w w:val="105"/>
                <w:sz w:val="6"/>
              </w:rPr>
              <w:t>Gas especificar:</w:t>
            </w:r>
          </w:p>
        </w:tc>
        <w:tc>
          <w:tcPr>
            <w:tcW w:w="1516" w:type="dxa"/>
            <w:tcBorders>
              <w:top w:val="single" w:sz="2" w:space="0" w:color="D3D3D3"/>
              <w:left w:val="single" w:sz="2" w:space="0" w:color="D3D3D3"/>
              <w:bottom w:val="single" w:sz="35" w:space="0" w:color="BAF9F5"/>
              <w:right w:val="single" w:sz="2" w:space="0" w:color="D3D3D3"/>
            </w:tcBorders>
          </w:tcPr>
          <w:p>
            <w:pPr>
              <w:pStyle w:val="TableParagraph"/>
              <w:spacing w:before="6"/>
              <w:ind w:left="334" w:right="334"/>
              <w:rPr>
                <w:rFonts w:ascii="Calibri"/>
                <w:sz w:val="6"/>
              </w:rPr>
            </w:pPr>
            <w:r>
              <w:rPr>
                <w:rFonts w:ascii="Calibri"/>
                <w:w w:val="105"/>
                <w:sz w:val="6"/>
              </w:rPr>
              <w:t>Agua especificar</w:t>
            </w:r>
          </w:p>
        </w:tc>
        <w:tc>
          <w:tcPr>
            <w:tcW w:w="645" w:type="dxa"/>
            <w:tcBorders>
              <w:top w:val="single" w:sz="2" w:space="0" w:color="D3D3D3"/>
              <w:left w:val="single" w:sz="2" w:space="0" w:color="D3D3D3"/>
              <w:bottom w:val="single" w:sz="35" w:space="0" w:color="BAF9F5"/>
              <w:right w:val="single" w:sz="2" w:space="0" w:color="D3D3D3"/>
            </w:tcBorders>
          </w:tcPr>
          <w:p>
            <w:pPr>
              <w:pStyle w:val="TableParagraph"/>
              <w:spacing w:before="6"/>
              <w:ind w:left="80" w:right="75"/>
              <w:rPr>
                <w:rFonts w:ascii="Calibri"/>
                <w:sz w:val="6"/>
              </w:rPr>
            </w:pPr>
            <w:r>
              <w:rPr>
                <w:rFonts w:ascii="Calibri"/>
                <w:w w:val="105"/>
                <w:sz w:val="6"/>
              </w:rPr>
              <w:t>Salud especificar:</w:t>
            </w:r>
          </w:p>
        </w:tc>
        <w:tc>
          <w:tcPr>
            <w:tcW w:w="585" w:type="dxa"/>
            <w:tcBorders>
              <w:top w:val="single" w:sz="2" w:space="0" w:color="D3D3D3"/>
              <w:left w:val="single" w:sz="2" w:space="0" w:color="D3D3D3"/>
              <w:bottom w:val="single" w:sz="35" w:space="0" w:color="BAF9F5"/>
              <w:right w:val="single" w:sz="2" w:space="0" w:color="D3D3D3"/>
            </w:tcBorders>
          </w:tcPr>
          <w:p>
            <w:pPr>
              <w:pStyle w:val="TableParagraph"/>
              <w:spacing w:before="6"/>
              <w:ind w:right="1"/>
              <w:rPr>
                <w:rFonts w:ascii="Calibri"/>
                <w:sz w:val="6"/>
              </w:rPr>
            </w:pPr>
            <w:r>
              <w:rPr>
                <w:rFonts w:ascii="Calibri"/>
                <w:w w:val="105"/>
                <w:sz w:val="6"/>
              </w:rPr>
              <w:t>ioclimaticas especifica</w:t>
            </w:r>
          </w:p>
        </w:tc>
        <w:tc>
          <w:tcPr>
            <w:tcW w:w="1105" w:type="dxa"/>
            <w:tcBorders>
              <w:top w:val="single" w:sz="2" w:space="0" w:color="D3D3D3"/>
              <w:left w:val="single" w:sz="2" w:space="0" w:color="D3D3D3"/>
              <w:bottom w:val="single" w:sz="35" w:space="0" w:color="BAF9F5"/>
              <w:right w:val="single" w:sz="15" w:space="0" w:color="FFFFFF"/>
            </w:tcBorders>
          </w:tcPr>
          <w:p>
            <w:pPr>
              <w:pStyle w:val="TableParagraph"/>
              <w:spacing w:before="6"/>
              <w:ind w:left="415" w:right="415"/>
              <w:rPr>
                <w:rFonts w:ascii="Calibri"/>
                <w:sz w:val="6"/>
              </w:rPr>
            </w:pPr>
            <w:r>
              <w:rPr>
                <w:rFonts w:ascii="Calibri"/>
                <w:w w:val="105"/>
                <w:sz w:val="6"/>
              </w:rPr>
              <w:t>Ninguna</w:t>
            </w:r>
          </w:p>
        </w:tc>
        <w:tc>
          <w:tcPr>
            <w:tcW w:w="485" w:type="dxa"/>
            <w:tcBorders>
              <w:top w:val="single" w:sz="2" w:space="0" w:color="D3D3D3"/>
              <w:left w:val="single" w:sz="15" w:space="0" w:color="FFFFFF"/>
              <w:bottom w:val="single" w:sz="35" w:space="0" w:color="BAF9F5"/>
              <w:right w:val="single" w:sz="2" w:space="0" w:color="D3D3D3"/>
            </w:tcBorders>
          </w:tcPr>
          <w:p>
            <w:pPr/>
          </w:p>
        </w:tc>
        <w:tc>
          <w:tcPr>
            <w:tcW w:w="346" w:type="dxa"/>
            <w:tcBorders>
              <w:top w:val="single" w:sz="2" w:space="0" w:color="D3D3D3"/>
              <w:left w:val="single" w:sz="2" w:space="0" w:color="D3D3D3"/>
              <w:right w:val="single" w:sz="2" w:space="0" w:color="D3D3D3"/>
            </w:tcBorders>
          </w:tcPr>
          <w:p>
            <w:pPr/>
          </w:p>
        </w:tc>
        <w:tc>
          <w:tcPr>
            <w:tcW w:w="346" w:type="dxa"/>
            <w:tcBorders>
              <w:top w:val="single" w:sz="2" w:space="0" w:color="D3D3D3"/>
              <w:left w:val="single" w:sz="2" w:space="0" w:color="D3D3D3"/>
              <w:bottom w:val="single" w:sz="35" w:space="0" w:color="BAF9F5"/>
              <w:right w:val="single" w:sz="2" w:space="0" w:color="D3D3D3"/>
            </w:tcBorders>
          </w:tcPr>
          <w:p>
            <w:pPr/>
          </w:p>
        </w:tc>
        <w:tc>
          <w:tcPr>
            <w:tcW w:w="346" w:type="dxa"/>
            <w:tcBorders>
              <w:top w:val="single" w:sz="2" w:space="0" w:color="D3D3D3"/>
              <w:left w:val="single" w:sz="2" w:space="0" w:color="D3D3D3"/>
              <w:bottom w:val="single" w:sz="35" w:space="0" w:color="BAF9F5"/>
              <w:right w:val="single" w:sz="2" w:space="0" w:color="D3D3D3"/>
            </w:tcBorders>
          </w:tcPr>
          <w:p>
            <w:pPr/>
          </w:p>
        </w:tc>
        <w:tc>
          <w:tcPr>
            <w:tcW w:w="89" w:type="dxa"/>
            <w:tcBorders>
              <w:top w:val="single" w:sz="2" w:space="0" w:color="D3D3D3"/>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
        </w:tc>
        <w:tc>
          <w:tcPr>
            <w:tcW w:w="1449" w:type="dxa"/>
            <w:shd w:val="clear" w:color="auto" w:fill="BAF9F5"/>
          </w:tcPr>
          <w:p>
            <w:pPr/>
          </w:p>
        </w:tc>
        <w:tc>
          <w:tcPr>
            <w:tcW w:w="1516" w:type="dxa"/>
            <w:shd w:val="clear" w:color="auto" w:fill="BAF9F5"/>
          </w:tcPr>
          <w:p>
            <w:pP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10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Style w:val="TableParagraph"/>
              <w:spacing w:before="50"/>
              <w:ind w:left="8"/>
              <w:jc w:val="left"/>
              <w:rPr>
                <w:rFonts w:ascii="Calibri" w:hAnsi="Calibri"/>
                <w:sz w:val="6"/>
              </w:rPr>
            </w:pPr>
            <w:r>
              <w:rPr>
                <w:rFonts w:ascii="Calibri" w:hAnsi="Calibri"/>
                <w:w w:val="105"/>
                <w:sz w:val="6"/>
              </w:rPr>
              <w:t>Urbanización</w:t>
            </w:r>
          </w:p>
        </w:tc>
        <w:tc>
          <w:tcPr>
            <w:tcW w:w="2353" w:type="dxa"/>
            <w:tcBorders>
              <w:left w:val="single" w:sz="2" w:space="0" w:color="D3D3D3"/>
              <w:right w:val="single" w:sz="2" w:space="0" w:color="D3D3D3"/>
            </w:tcBorders>
          </w:tcPr>
          <w:p>
            <w:pPr>
              <w:pStyle w:val="TableParagraph"/>
              <w:spacing w:before="50"/>
              <w:ind w:left="8" w:right="-3"/>
              <w:jc w:val="left"/>
              <w:rPr>
                <w:rFonts w:ascii="Calibri" w:hAnsi="Calibri"/>
                <w:sz w:val="6"/>
              </w:rPr>
            </w:pPr>
            <w:r>
              <w:rPr>
                <w:rFonts w:ascii="Calibri" w:hAnsi="Calibri"/>
                <w:w w:val="105"/>
                <w:sz w:val="6"/>
              </w:rPr>
              <w:t>¿Con que ecotecnologías cuenta la urbanización existente?</w:t>
            </w:r>
          </w:p>
        </w:tc>
        <w:tc>
          <w:tcPr>
            <w:tcW w:w="968" w:type="dxa"/>
            <w:tcBorders>
              <w:top w:val="single" w:sz="35" w:space="0" w:color="BAF9F5"/>
              <w:left w:val="single" w:sz="2" w:space="0" w:color="D3D3D3"/>
              <w:bottom w:val="single" w:sz="35" w:space="0" w:color="BAF9F5"/>
            </w:tcBorders>
          </w:tcPr>
          <w:p>
            <w:pPr>
              <w:pStyle w:val="TableParagraph"/>
              <w:spacing w:line="3" w:lineRule="exact"/>
              <w:ind w:left="241" w:right="232"/>
              <w:rPr>
                <w:rFonts w:ascii="Calibri"/>
                <w:sz w:val="6"/>
              </w:rPr>
            </w:pPr>
            <w:r>
              <w:rPr>
                <w:rFonts w:ascii="Calibri"/>
                <w:w w:val="105"/>
                <w:sz w:val="6"/>
              </w:rPr>
              <w:t>0.2</w:t>
            </w:r>
          </w:p>
          <w:p>
            <w:pPr>
              <w:pStyle w:val="TableParagraph"/>
              <w:spacing w:before="6"/>
              <w:ind w:left="243" w:right="232"/>
              <w:rPr>
                <w:rFonts w:ascii="Calibri"/>
                <w:sz w:val="6"/>
              </w:rPr>
            </w:pPr>
            <w:r>
              <w:rPr>
                <w:rFonts w:ascii="Calibri"/>
                <w:sz w:val="6"/>
              </w:rPr>
              <w:t>Asfalto permeable</w:t>
            </w:r>
          </w:p>
        </w:tc>
        <w:tc>
          <w:tcPr>
            <w:tcW w:w="1449" w:type="dxa"/>
            <w:tcBorders>
              <w:top w:val="single" w:sz="35" w:space="0" w:color="BAF9F5"/>
              <w:bottom w:val="single" w:sz="35" w:space="0" w:color="BAF9F5"/>
            </w:tcBorders>
          </w:tcPr>
          <w:p>
            <w:pPr>
              <w:pStyle w:val="TableParagraph"/>
              <w:spacing w:line="3" w:lineRule="exact"/>
              <w:ind w:left="510" w:right="506"/>
              <w:rPr>
                <w:rFonts w:ascii="Calibri"/>
                <w:sz w:val="6"/>
              </w:rPr>
            </w:pPr>
            <w:r>
              <w:rPr>
                <w:rFonts w:ascii="Calibri"/>
                <w:w w:val="105"/>
                <w:sz w:val="6"/>
              </w:rPr>
              <w:t>0.2</w:t>
            </w:r>
          </w:p>
          <w:p>
            <w:pPr>
              <w:pStyle w:val="TableParagraph"/>
              <w:tabs>
                <w:tab w:pos="596" w:val="left" w:leader="none"/>
                <w:tab w:pos="1452" w:val="left" w:leader="none"/>
              </w:tabs>
              <w:spacing w:before="6"/>
              <w:ind w:left="-1" w:right="-4"/>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Adoquetro</w:t>
            </w:r>
            <w:r>
              <w:rPr>
                <w:rFonts w:ascii="Calibri"/>
                <w:sz w:val="6"/>
                <w:shd w:fill="808080" w:color="auto" w:val="clear"/>
              </w:rPr>
              <w:tab/>
            </w:r>
          </w:p>
        </w:tc>
        <w:tc>
          <w:tcPr>
            <w:tcW w:w="1516" w:type="dxa"/>
            <w:tcBorders>
              <w:top w:val="single" w:sz="35" w:space="0" w:color="BAF9F5"/>
              <w:bottom w:val="single" w:sz="35" w:space="0" w:color="BAF9F5"/>
              <w:right w:val="single" w:sz="2" w:space="0" w:color="D3D3D3"/>
            </w:tcBorders>
          </w:tcPr>
          <w:p>
            <w:pPr>
              <w:pStyle w:val="TableParagraph"/>
              <w:spacing w:line="3" w:lineRule="exact"/>
              <w:ind w:left="336" w:right="333"/>
              <w:rPr>
                <w:rFonts w:ascii="Calibri"/>
                <w:sz w:val="6"/>
              </w:rPr>
            </w:pPr>
            <w:r>
              <w:rPr>
                <w:rFonts w:ascii="Calibri"/>
                <w:w w:val="105"/>
                <w:sz w:val="6"/>
              </w:rPr>
              <w:t>0.2</w:t>
            </w:r>
          </w:p>
          <w:p>
            <w:pPr>
              <w:pStyle w:val="TableParagraph"/>
              <w:spacing w:before="6"/>
              <w:ind w:left="334" w:right="333"/>
              <w:rPr>
                <w:rFonts w:ascii="Calibri"/>
                <w:sz w:val="6"/>
              </w:rPr>
            </w:pPr>
            <w:r>
              <w:rPr>
                <w:rFonts w:ascii="Calibri"/>
                <w:w w:val="105"/>
                <w:sz w:val="6"/>
              </w:rPr>
              <w:t>Ninguna</w:t>
            </w:r>
          </w:p>
        </w:tc>
        <w:tc>
          <w:tcPr>
            <w:tcW w:w="645"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154" w:right="149"/>
              <w:rPr>
                <w:rFonts w:ascii="Calibri"/>
                <w:sz w:val="6"/>
              </w:rPr>
            </w:pPr>
            <w:r>
              <w:rPr>
                <w:rFonts w:ascii="Calibri"/>
                <w:w w:val="105"/>
                <w:sz w:val="6"/>
              </w:rPr>
              <w:t>0.2</w:t>
            </w:r>
          </w:p>
        </w:tc>
        <w:tc>
          <w:tcPr>
            <w:tcW w:w="585"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230" w:right="228"/>
              <w:rPr>
                <w:rFonts w:ascii="Calibri"/>
                <w:sz w:val="6"/>
              </w:rPr>
            </w:pPr>
            <w:r>
              <w:rPr>
                <w:rFonts w:ascii="Calibri"/>
                <w:w w:val="105"/>
                <w:sz w:val="6"/>
              </w:rPr>
              <w:t>0.2</w:t>
            </w:r>
          </w:p>
        </w:tc>
        <w:tc>
          <w:tcPr>
            <w:tcW w:w="1105" w:type="dxa"/>
            <w:tcBorders>
              <w:top w:val="single" w:sz="35" w:space="0" w:color="BAF9F5"/>
              <w:left w:val="single" w:sz="2" w:space="0" w:color="D3D3D3"/>
              <w:bottom w:val="single" w:sz="35" w:space="0" w:color="BAF9F5"/>
              <w:right w:val="single" w:sz="15" w:space="0" w:color="FFFFFF"/>
            </w:tcBorders>
          </w:tcPr>
          <w:p>
            <w:pPr>
              <w:pStyle w:val="TableParagraph"/>
              <w:spacing w:line="3" w:lineRule="exact"/>
              <w:rPr>
                <w:rFonts w:ascii="Calibri"/>
                <w:sz w:val="6"/>
              </w:rPr>
            </w:pPr>
            <w:r>
              <w:rPr>
                <w:rFonts w:ascii="Calibri"/>
                <w:w w:val="104"/>
                <w:sz w:val="6"/>
              </w:rPr>
              <w:t>0</w:t>
            </w:r>
          </w:p>
        </w:tc>
        <w:tc>
          <w:tcPr>
            <w:tcW w:w="485" w:type="dxa"/>
            <w:tcBorders>
              <w:top w:val="single" w:sz="35" w:space="0" w:color="BAF9F5"/>
              <w:left w:val="single" w:sz="15" w:space="0" w:color="FFFFFF"/>
              <w:bottom w:val="single" w:sz="35" w:space="0" w:color="BAF9F5"/>
              <w:right w:val="single" w:sz="2" w:space="0" w:color="D3D3D3"/>
            </w:tcBorders>
          </w:tcPr>
          <w:p>
            <w:pPr>
              <w:pStyle w:val="TableParagraph"/>
              <w:spacing w:line="3" w:lineRule="exact"/>
              <w:ind w:left="173" w:right="169"/>
              <w:rPr>
                <w:rFonts w:ascii="Calibri"/>
                <w:sz w:val="6"/>
              </w:rPr>
            </w:pPr>
            <w:r>
              <w:rPr>
                <w:rFonts w:ascii="Calibri"/>
                <w:w w:val="105"/>
                <w:sz w:val="6"/>
              </w:rPr>
              <w:t>0.2</w:t>
            </w:r>
          </w:p>
        </w:tc>
        <w:tc>
          <w:tcPr>
            <w:tcW w:w="346" w:type="dxa"/>
            <w:tcBorders>
              <w:left w:val="single" w:sz="2" w:space="0" w:color="D3D3D3"/>
              <w:right w:val="single" w:sz="2" w:space="0" w:color="D3D3D3"/>
            </w:tcBorders>
          </w:tcPr>
          <w:p>
            <w:pP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112" w:right="106"/>
              <w:rPr>
                <w:rFonts w:ascii="Calibri"/>
                <w:sz w:val="6"/>
              </w:rPr>
            </w:pPr>
            <w:r>
              <w:rPr>
                <w:rFonts w:ascii="Calibri"/>
                <w:w w:val="105"/>
                <w:sz w:val="6"/>
              </w:rPr>
              <w:t>0.6</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
        </w:tc>
        <w:tc>
          <w:tcPr>
            <w:tcW w:w="1449" w:type="dxa"/>
            <w:shd w:val="clear" w:color="auto" w:fill="BAF9F5"/>
          </w:tcPr>
          <w:p>
            <w:pPr/>
          </w:p>
        </w:tc>
        <w:tc>
          <w:tcPr>
            <w:tcW w:w="1516" w:type="dxa"/>
            <w:shd w:val="clear" w:color="auto" w:fill="BAF9F5"/>
          </w:tcPr>
          <w:p>
            <w:pP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10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Style w:val="TableParagraph"/>
              <w:spacing w:before="49"/>
              <w:ind w:left="8"/>
              <w:jc w:val="left"/>
              <w:rPr>
                <w:rFonts w:ascii="Calibri"/>
                <w:sz w:val="6"/>
              </w:rPr>
            </w:pPr>
            <w:r>
              <w:rPr>
                <w:rFonts w:ascii="Calibri"/>
                <w:w w:val="105"/>
                <w:sz w:val="6"/>
              </w:rPr>
              <w:t>Equipamiento</w:t>
            </w:r>
          </w:p>
        </w:tc>
        <w:tc>
          <w:tcPr>
            <w:tcW w:w="2353" w:type="dxa"/>
            <w:tcBorders>
              <w:left w:val="single" w:sz="2" w:space="0" w:color="D3D3D3"/>
              <w:right w:val="single" w:sz="2" w:space="0" w:color="D3D3D3"/>
            </w:tcBorders>
          </w:tcPr>
          <w:p>
            <w:pPr>
              <w:pStyle w:val="TableParagraph"/>
              <w:spacing w:before="49"/>
              <w:ind w:left="8" w:right="-3"/>
              <w:jc w:val="left"/>
              <w:rPr>
                <w:rFonts w:ascii="Calibri" w:hAnsi="Calibri"/>
                <w:sz w:val="6"/>
              </w:rPr>
            </w:pPr>
            <w:r>
              <w:rPr>
                <w:rFonts w:ascii="Calibri" w:hAnsi="Calibri"/>
                <w:w w:val="105"/>
                <w:sz w:val="6"/>
              </w:rPr>
              <w:t>¿Cuenta con equipamiento ecotegnológico el CU?</w:t>
            </w:r>
          </w:p>
        </w:tc>
        <w:tc>
          <w:tcPr>
            <w:tcW w:w="968" w:type="dxa"/>
            <w:tcBorders>
              <w:top w:val="single" w:sz="35" w:space="0" w:color="BAF9F5"/>
              <w:left w:val="single" w:sz="2" w:space="0" w:color="D3D3D3"/>
              <w:bottom w:val="single" w:sz="35" w:space="0" w:color="BAF9F5"/>
            </w:tcBorders>
          </w:tcPr>
          <w:p>
            <w:pPr>
              <w:pStyle w:val="TableParagraph"/>
              <w:spacing w:line="3" w:lineRule="exact"/>
              <w:ind w:left="241" w:right="232"/>
              <w:rPr>
                <w:rFonts w:ascii="Calibri"/>
                <w:sz w:val="6"/>
              </w:rPr>
            </w:pPr>
            <w:r>
              <w:rPr>
                <w:rFonts w:ascii="Calibri"/>
                <w:w w:val="105"/>
                <w:sz w:val="6"/>
              </w:rPr>
              <w:t>0.5</w:t>
            </w:r>
          </w:p>
          <w:p>
            <w:pPr>
              <w:pStyle w:val="TableParagraph"/>
              <w:spacing w:before="6"/>
              <w:ind w:left="241" w:right="232"/>
              <w:rPr>
                <w:rFonts w:ascii="Calibri"/>
                <w:sz w:val="6"/>
              </w:rPr>
            </w:pPr>
            <w:r>
              <w:rPr>
                <w:rFonts w:ascii="Calibri"/>
                <w:w w:val="105"/>
                <w:sz w:val="6"/>
              </w:rPr>
              <w:t>Si</w:t>
            </w:r>
          </w:p>
        </w:tc>
        <w:tc>
          <w:tcPr>
            <w:tcW w:w="1449" w:type="dxa"/>
            <w:tcBorders>
              <w:top w:val="single" w:sz="35" w:space="0" w:color="BAF9F5"/>
              <w:bottom w:val="single" w:sz="35" w:space="0" w:color="BAF9F5"/>
            </w:tcBorders>
          </w:tcPr>
          <w:p>
            <w:pPr>
              <w:pStyle w:val="TableParagraph"/>
              <w:spacing w:line="3" w:lineRule="exact"/>
              <w:ind w:left="510" w:right="506"/>
              <w:rPr>
                <w:rFonts w:ascii="Calibri"/>
                <w:sz w:val="6"/>
              </w:rPr>
            </w:pPr>
            <w:r>
              <w:rPr>
                <w:rFonts w:ascii="Calibri"/>
                <w:w w:val="105"/>
                <w:sz w:val="6"/>
              </w:rPr>
              <w:t>0.5</w:t>
            </w:r>
          </w:p>
          <w:p>
            <w:pPr>
              <w:pStyle w:val="TableParagraph"/>
              <w:tabs>
                <w:tab w:pos="691" w:val="left" w:leader="none"/>
                <w:tab w:pos="1452" w:val="left" w:leader="none"/>
              </w:tabs>
              <w:spacing w:before="6"/>
              <w:ind w:right="-4"/>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No</w:t>
            </w:r>
            <w:r>
              <w:rPr>
                <w:rFonts w:ascii="Calibri"/>
                <w:sz w:val="6"/>
                <w:shd w:fill="808080" w:color="auto" w:val="clear"/>
              </w:rPr>
              <w:tab/>
            </w:r>
          </w:p>
        </w:tc>
        <w:tc>
          <w:tcPr>
            <w:tcW w:w="1516" w:type="dxa"/>
            <w:tcBorders>
              <w:top w:val="single" w:sz="35" w:space="0" w:color="BAF9F5"/>
              <w:bottom w:val="single" w:sz="35" w:space="0" w:color="BAF9F5"/>
              <w:right w:val="single" w:sz="2" w:space="0" w:color="D3D3D3"/>
            </w:tcBorders>
          </w:tcPr>
          <w:p>
            <w:pPr>
              <w:pStyle w:val="TableParagraph"/>
              <w:spacing w:line="3" w:lineRule="exact"/>
              <w:ind w:left="3"/>
              <w:rPr>
                <w:rFonts w:ascii="Calibri"/>
                <w:sz w:val="6"/>
              </w:rPr>
            </w:pPr>
            <w:r>
              <w:rPr>
                <w:rFonts w:ascii="Calibri"/>
                <w:w w:val="104"/>
                <w:sz w:val="6"/>
              </w:rPr>
              <w:t>0</w:t>
            </w:r>
          </w:p>
          <w:p>
            <w:pPr>
              <w:pStyle w:val="TableParagraph"/>
              <w:spacing w:before="6"/>
              <w:ind w:left="337" w:right="330"/>
              <w:rPr>
                <w:rFonts w:ascii="Calibri"/>
                <w:sz w:val="6"/>
              </w:rPr>
            </w:pPr>
            <w:r>
              <w:rPr>
                <w:rFonts w:ascii="Calibri"/>
                <w:w w:val="105"/>
                <w:sz w:val="6"/>
              </w:rPr>
              <w:t>Especificar:</w:t>
            </w:r>
          </w:p>
        </w:tc>
        <w:tc>
          <w:tcPr>
            <w:tcW w:w="645" w:type="dxa"/>
            <w:tcBorders>
              <w:top w:val="single" w:sz="35" w:space="0" w:color="BAF9F5"/>
              <w:left w:val="single" w:sz="2" w:space="0" w:color="D3D3D3"/>
              <w:bottom w:val="single" w:sz="35" w:space="0" w:color="BAF9F5"/>
              <w:right w:val="single" w:sz="2" w:space="0" w:color="D3D3D3"/>
            </w:tcBorders>
          </w:tcPr>
          <w:p>
            <w:pPr/>
          </w:p>
        </w:tc>
        <w:tc>
          <w:tcPr>
            <w:tcW w:w="585" w:type="dxa"/>
            <w:tcBorders>
              <w:top w:val="single" w:sz="35" w:space="0" w:color="BAF9F5"/>
              <w:left w:val="single" w:sz="2" w:space="0" w:color="D3D3D3"/>
              <w:bottom w:val="single" w:sz="35" w:space="0" w:color="BAF9F5"/>
              <w:right w:val="single" w:sz="2" w:space="0" w:color="D3D3D3"/>
            </w:tcBorders>
          </w:tcPr>
          <w:p>
            <w:pPr/>
          </w:p>
        </w:tc>
        <w:tc>
          <w:tcPr>
            <w:tcW w:w="1105" w:type="dxa"/>
            <w:tcBorders>
              <w:top w:val="single" w:sz="35" w:space="0" w:color="BAF9F5"/>
              <w:left w:val="single" w:sz="2" w:space="0" w:color="D3D3D3"/>
              <w:bottom w:val="single" w:sz="35" w:space="0" w:color="BAF9F5"/>
              <w:right w:val="single" w:sz="15" w:space="0" w:color="FFFFFF"/>
            </w:tcBorders>
          </w:tcPr>
          <w:p>
            <w:pPr/>
          </w:p>
        </w:tc>
        <w:tc>
          <w:tcPr>
            <w:tcW w:w="485" w:type="dxa"/>
            <w:tcBorders>
              <w:top w:val="single" w:sz="35" w:space="0" w:color="BAF9F5"/>
              <w:left w:val="single" w:sz="15" w:space="0" w:color="FFFFFF"/>
              <w:bottom w:val="single" w:sz="35" w:space="0" w:color="BAF9F5"/>
              <w:right w:val="single" w:sz="2" w:space="0" w:color="D3D3D3"/>
            </w:tcBorders>
          </w:tcPr>
          <w:p>
            <w:pPr>
              <w:pStyle w:val="TableParagraph"/>
              <w:spacing w:line="3" w:lineRule="exact"/>
              <w:ind w:left="173" w:right="169"/>
              <w:rPr>
                <w:rFonts w:ascii="Calibri"/>
                <w:sz w:val="6"/>
              </w:rPr>
            </w:pPr>
            <w:r>
              <w:rPr>
                <w:rFonts w:ascii="Calibri"/>
                <w:w w:val="105"/>
                <w:sz w:val="6"/>
              </w:rPr>
              <w:t>0.5</w:t>
            </w:r>
          </w:p>
        </w:tc>
        <w:tc>
          <w:tcPr>
            <w:tcW w:w="346" w:type="dxa"/>
            <w:tcBorders>
              <w:left w:val="single" w:sz="2" w:space="0" w:color="D3D3D3"/>
              <w:right w:val="single" w:sz="2" w:space="0" w:color="D3D3D3"/>
            </w:tcBorders>
          </w:tcPr>
          <w:p>
            <w:pP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112" w:right="106"/>
              <w:rPr>
                <w:rFonts w:ascii="Calibri"/>
                <w:sz w:val="6"/>
              </w:rPr>
            </w:pPr>
            <w:r>
              <w:rPr>
                <w:rFonts w:ascii="Calibri"/>
                <w:w w:val="105"/>
                <w:sz w:val="6"/>
              </w:rPr>
              <w:t>0.5</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
        </w:tc>
        <w:tc>
          <w:tcPr>
            <w:tcW w:w="1449" w:type="dxa"/>
            <w:shd w:val="clear" w:color="auto" w:fill="BAF9F5"/>
          </w:tcPr>
          <w:p>
            <w:pPr/>
          </w:p>
        </w:tc>
        <w:tc>
          <w:tcPr>
            <w:tcW w:w="1516" w:type="dxa"/>
            <w:shd w:val="clear" w:color="auto" w:fill="BAF9F5"/>
          </w:tcPr>
          <w:p>
            <w:pP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10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Style w:val="TableParagraph"/>
              <w:spacing w:before="49"/>
              <w:ind w:left="8"/>
              <w:jc w:val="left"/>
              <w:rPr>
                <w:rFonts w:ascii="Calibri"/>
                <w:sz w:val="6"/>
              </w:rPr>
            </w:pPr>
            <w:r>
              <w:rPr>
                <w:rFonts w:ascii="Calibri"/>
                <w:w w:val="105"/>
                <w:sz w:val="6"/>
              </w:rPr>
              <w:t>Mobiliario</w:t>
            </w:r>
          </w:p>
        </w:tc>
        <w:tc>
          <w:tcPr>
            <w:tcW w:w="2353" w:type="dxa"/>
            <w:tcBorders>
              <w:left w:val="single" w:sz="2" w:space="0" w:color="D3D3D3"/>
              <w:right w:val="single" w:sz="2" w:space="0" w:color="D3D3D3"/>
            </w:tcBorders>
          </w:tcPr>
          <w:p>
            <w:pPr>
              <w:pStyle w:val="TableParagraph"/>
              <w:spacing w:before="49"/>
              <w:ind w:left="8" w:right="-3"/>
              <w:jc w:val="left"/>
              <w:rPr>
                <w:rFonts w:ascii="Calibri" w:hAnsi="Calibri"/>
                <w:sz w:val="6"/>
              </w:rPr>
            </w:pPr>
            <w:r>
              <w:rPr>
                <w:rFonts w:ascii="Calibri" w:hAnsi="Calibri"/>
                <w:w w:val="105"/>
                <w:sz w:val="6"/>
              </w:rPr>
              <w:t>¿Cuenta con mobiliario ecotegnológico cuenta el CU?</w:t>
            </w:r>
          </w:p>
        </w:tc>
        <w:tc>
          <w:tcPr>
            <w:tcW w:w="968" w:type="dxa"/>
            <w:tcBorders>
              <w:top w:val="single" w:sz="35" w:space="0" w:color="BAF9F5"/>
              <w:left w:val="single" w:sz="2" w:space="0" w:color="D3D3D3"/>
              <w:bottom w:val="single" w:sz="35" w:space="0" w:color="BAF9F5"/>
            </w:tcBorders>
          </w:tcPr>
          <w:p>
            <w:pPr>
              <w:pStyle w:val="TableParagraph"/>
              <w:spacing w:line="3" w:lineRule="exact"/>
              <w:ind w:left="9"/>
              <w:rPr>
                <w:rFonts w:ascii="Calibri"/>
                <w:sz w:val="6"/>
              </w:rPr>
            </w:pPr>
            <w:r>
              <w:rPr>
                <w:rFonts w:ascii="Calibri"/>
                <w:w w:val="104"/>
                <w:sz w:val="6"/>
              </w:rPr>
              <w:t>1</w:t>
            </w:r>
          </w:p>
          <w:p>
            <w:pPr>
              <w:pStyle w:val="TableParagraph"/>
              <w:spacing w:before="6"/>
              <w:ind w:left="241" w:right="232"/>
              <w:rPr>
                <w:rFonts w:ascii="Calibri"/>
                <w:sz w:val="6"/>
              </w:rPr>
            </w:pPr>
            <w:r>
              <w:rPr>
                <w:rFonts w:ascii="Calibri"/>
                <w:w w:val="105"/>
                <w:sz w:val="6"/>
              </w:rPr>
              <w:t>Si</w:t>
            </w:r>
          </w:p>
        </w:tc>
        <w:tc>
          <w:tcPr>
            <w:tcW w:w="1449" w:type="dxa"/>
            <w:tcBorders>
              <w:top w:val="single" w:sz="35" w:space="0" w:color="BAF9F5"/>
              <w:bottom w:val="single" w:sz="35" w:space="0" w:color="BAF9F5"/>
            </w:tcBorders>
          </w:tcPr>
          <w:p>
            <w:pPr>
              <w:pStyle w:val="TableParagraph"/>
              <w:spacing w:line="3" w:lineRule="exact"/>
              <w:ind w:left="4"/>
              <w:rPr>
                <w:rFonts w:ascii="Calibri"/>
                <w:sz w:val="6"/>
              </w:rPr>
            </w:pPr>
            <w:r>
              <w:rPr>
                <w:rFonts w:ascii="Calibri"/>
                <w:w w:val="104"/>
                <w:sz w:val="6"/>
              </w:rPr>
              <w:t>0</w:t>
            </w:r>
          </w:p>
          <w:p>
            <w:pPr>
              <w:pStyle w:val="TableParagraph"/>
              <w:tabs>
                <w:tab w:pos="691" w:val="left" w:leader="none"/>
                <w:tab w:pos="1452" w:val="left" w:leader="none"/>
              </w:tabs>
              <w:spacing w:before="6"/>
              <w:ind w:right="-4"/>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No</w:t>
            </w:r>
            <w:r>
              <w:rPr>
                <w:rFonts w:ascii="Calibri"/>
                <w:sz w:val="6"/>
                <w:shd w:fill="808080" w:color="auto" w:val="clear"/>
              </w:rPr>
              <w:tab/>
            </w:r>
          </w:p>
        </w:tc>
        <w:tc>
          <w:tcPr>
            <w:tcW w:w="1516" w:type="dxa"/>
            <w:tcBorders>
              <w:top w:val="single" w:sz="35" w:space="0" w:color="BAF9F5"/>
              <w:bottom w:val="single" w:sz="35" w:space="0" w:color="BAF9F5"/>
              <w:right w:val="single" w:sz="2" w:space="0" w:color="D3D3D3"/>
            </w:tcBorders>
          </w:tcPr>
          <w:p>
            <w:pPr>
              <w:pStyle w:val="TableParagraph"/>
              <w:spacing w:line="3" w:lineRule="exact"/>
              <w:ind w:left="337" w:right="333"/>
              <w:rPr>
                <w:rFonts w:ascii="Calibri"/>
                <w:sz w:val="6"/>
              </w:rPr>
            </w:pPr>
            <w:r>
              <w:rPr>
                <w:rFonts w:ascii="Calibri"/>
                <w:w w:val="105"/>
                <w:sz w:val="6"/>
              </w:rPr>
              <w:t>Evaluar con base a congruencia</w:t>
            </w:r>
          </w:p>
          <w:p>
            <w:pPr>
              <w:pStyle w:val="TableParagraph"/>
              <w:spacing w:before="6"/>
              <w:ind w:left="337" w:right="330"/>
              <w:rPr>
                <w:rFonts w:ascii="Calibri"/>
                <w:sz w:val="6"/>
              </w:rPr>
            </w:pPr>
            <w:r>
              <w:rPr>
                <w:rFonts w:ascii="Calibri"/>
                <w:w w:val="105"/>
                <w:sz w:val="6"/>
              </w:rPr>
              <w:t>Especificar:</w:t>
            </w:r>
          </w:p>
        </w:tc>
        <w:tc>
          <w:tcPr>
            <w:tcW w:w="645" w:type="dxa"/>
            <w:tcBorders>
              <w:top w:val="single" w:sz="35" w:space="0" w:color="BAF9F5"/>
              <w:left w:val="single" w:sz="2" w:space="0" w:color="D3D3D3"/>
              <w:bottom w:val="single" w:sz="35" w:space="0" w:color="BAF9F5"/>
              <w:right w:val="single" w:sz="2" w:space="0" w:color="D3D3D3"/>
            </w:tcBorders>
          </w:tcPr>
          <w:p>
            <w:pPr/>
          </w:p>
        </w:tc>
        <w:tc>
          <w:tcPr>
            <w:tcW w:w="585" w:type="dxa"/>
            <w:tcBorders>
              <w:top w:val="single" w:sz="35" w:space="0" w:color="BAF9F5"/>
              <w:left w:val="single" w:sz="2" w:space="0" w:color="D3D3D3"/>
              <w:bottom w:val="single" w:sz="35" w:space="0" w:color="BAF9F5"/>
              <w:right w:val="single" w:sz="2" w:space="0" w:color="D3D3D3"/>
            </w:tcBorders>
          </w:tcPr>
          <w:p>
            <w:pPr/>
          </w:p>
        </w:tc>
        <w:tc>
          <w:tcPr>
            <w:tcW w:w="1105" w:type="dxa"/>
            <w:tcBorders>
              <w:top w:val="single" w:sz="35" w:space="0" w:color="BAF9F5"/>
              <w:left w:val="single" w:sz="2" w:space="0" w:color="D3D3D3"/>
              <w:bottom w:val="single" w:sz="35" w:space="0" w:color="BAF9F5"/>
              <w:right w:val="single" w:sz="15" w:space="0" w:color="FFFFFF"/>
            </w:tcBorders>
          </w:tcPr>
          <w:p>
            <w:pPr/>
          </w:p>
        </w:tc>
        <w:tc>
          <w:tcPr>
            <w:tcW w:w="485" w:type="dxa"/>
            <w:tcBorders>
              <w:top w:val="single" w:sz="35" w:space="0" w:color="BAF9F5"/>
              <w:left w:val="single" w:sz="15" w:space="0" w:color="FFFFFF"/>
              <w:bottom w:val="single" w:sz="35" w:space="0" w:color="BAF9F5"/>
              <w:right w:val="single" w:sz="2" w:space="0" w:color="D3D3D3"/>
            </w:tcBorders>
          </w:tcPr>
          <w:p>
            <w:pPr>
              <w:pStyle w:val="TableParagraph"/>
              <w:spacing w:line="3" w:lineRule="exact"/>
              <w:ind w:left="4"/>
              <w:rPr>
                <w:rFonts w:ascii="Calibri"/>
                <w:sz w:val="6"/>
              </w:rPr>
            </w:pPr>
            <w:r>
              <w:rPr>
                <w:rFonts w:ascii="Calibri"/>
                <w:w w:val="104"/>
                <w:sz w:val="6"/>
              </w:rPr>
              <w:t>0</w:t>
            </w:r>
          </w:p>
        </w:tc>
        <w:tc>
          <w:tcPr>
            <w:tcW w:w="346" w:type="dxa"/>
            <w:tcBorders>
              <w:left w:val="single" w:sz="2" w:space="0" w:color="D3D3D3"/>
              <w:right w:val="single" w:sz="2" w:space="0" w:color="D3D3D3"/>
            </w:tcBorders>
          </w:tcPr>
          <w:p>
            <w:pP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
        </w:tc>
        <w:tc>
          <w:tcPr>
            <w:tcW w:w="1449" w:type="dxa"/>
            <w:shd w:val="clear" w:color="auto" w:fill="BAF9F5"/>
          </w:tcPr>
          <w:p>
            <w:pPr/>
          </w:p>
        </w:tc>
        <w:tc>
          <w:tcPr>
            <w:tcW w:w="1516" w:type="dxa"/>
            <w:shd w:val="clear" w:color="auto" w:fill="BAF9F5"/>
          </w:tcPr>
          <w:p>
            <w:pP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85" w:hRule="exact"/>
        </w:trPr>
        <w:tc>
          <w:tcPr>
            <w:tcW w:w="347" w:type="dxa"/>
            <w:tcBorders>
              <w:right w:val="single" w:sz="2" w:space="0" w:color="D3D3D3"/>
            </w:tcBorders>
          </w:tcPr>
          <w:p>
            <w:pPr/>
          </w:p>
        </w:tc>
        <w:tc>
          <w:tcPr>
            <w:tcW w:w="1182" w:type="dxa"/>
            <w:tcBorders>
              <w:left w:val="single" w:sz="2" w:space="0" w:color="D3D3D3"/>
              <w:bottom w:val="single" w:sz="2" w:space="0" w:color="D3D3D3"/>
              <w:right w:val="single" w:sz="2" w:space="0" w:color="D3D3D3"/>
            </w:tcBorders>
          </w:tcPr>
          <w:p>
            <w:pPr/>
          </w:p>
        </w:tc>
        <w:tc>
          <w:tcPr>
            <w:tcW w:w="1241" w:type="dxa"/>
            <w:tcBorders>
              <w:left w:val="single" w:sz="2" w:space="0" w:color="D3D3D3"/>
              <w:bottom w:val="single" w:sz="2" w:space="0" w:color="D3D3D3"/>
              <w:right w:val="single" w:sz="2" w:space="0" w:color="D3D3D3"/>
            </w:tcBorders>
          </w:tcPr>
          <w:p>
            <w:pPr/>
          </w:p>
        </w:tc>
        <w:tc>
          <w:tcPr>
            <w:tcW w:w="2353" w:type="dxa"/>
            <w:tcBorders>
              <w:left w:val="single" w:sz="2" w:space="0" w:color="D3D3D3"/>
              <w:bottom w:val="single" w:sz="2" w:space="0" w:color="D3D3D3"/>
              <w:right w:val="single" w:sz="2" w:space="0" w:color="D3D3D3"/>
            </w:tcBorders>
          </w:tcPr>
          <w:p>
            <w:pPr/>
          </w:p>
        </w:tc>
        <w:tc>
          <w:tcPr>
            <w:tcW w:w="968"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12"/>
              <w:rPr>
                <w:rFonts w:ascii="Calibri"/>
                <w:sz w:val="6"/>
              </w:rPr>
            </w:pPr>
            <w:r>
              <w:rPr>
                <w:rFonts w:ascii="Calibri"/>
                <w:w w:val="104"/>
                <w:sz w:val="6"/>
              </w:rPr>
              <w:t>1</w:t>
            </w:r>
          </w:p>
        </w:tc>
        <w:tc>
          <w:tcPr>
            <w:tcW w:w="1449"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2"/>
              <w:rPr>
                <w:rFonts w:ascii="Calibri"/>
                <w:sz w:val="6"/>
              </w:rPr>
            </w:pPr>
            <w:r>
              <w:rPr>
                <w:rFonts w:ascii="Calibri"/>
                <w:w w:val="104"/>
                <w:sz w:val="6"/>
              </w:rPr>
              <w:t>0</w:t>
            </w:r>
          </w:p>
        </w:tc>
        <w:tc>
          <w:tcPr>
            <w:tcW w:w="1516"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334" w:right="334"/>
              <w:rPr>
                <w:rFonts w:ascii="Calibri"/>
                <w:sz w:val="6"/>
              </w:rPr>
            </w:pPr>
            <w:r>
              <w:rPr>
                <w:rFonts w:ascii="Calibri"/>
                <w:w w:val="105"/>
                <w:sz w:val="6"/>
              </w:rPr>
              <w:t>Evaluar con base a congruencia</w:t>
            </w:r>
          </w:p>
        </w:tc>
        <w:tc>
          <w:tcPr>
            <w:tcW w:w="645" w:type="dxa"/>
            <w:tcBorders>
              <w:left w:val="single" w:sz="2" w:space="0" w:color="D3D3D3"/>
              <w:bottom w:val="single" w:sz="2" w:space="0" w:color="D3D3D3"/>
              <w:right w:val="single" w:sz="2" w:space="0" w:color="D3D3D3"/>
            </w:tcBorders>
            <w:shd w:val="clear" w:color="auto" w:fill="BAF9F5"/>
          </w:tcPr>
          <w:p>
            <w:pPr/>
          </w:p>
        </w:tc>
        <w:tc>
          <w:tcPr>
            <w:tcW w:w="585" w:type="dxa"/>
            <w:tcBorders>
              <w:left w:val="single" w:sz="2" w:space="0" w:color="D3D3D3"/>
              <w:bottom w:val="single" w:sz="2" w:space="0" w:color="D3D3D3"/>
              <w:right w:val="single" w:sz="2" w:space="0" w:color="D3D3D3"/>
            </w:tcBorders>
            <w:shd w:val="clear" w:color="auto" w:fill="BAF9F5"/>
          </w:tcPr>
          <w:p>
            <w:pPr/>
          </w:p>
        </w:tc>
        <w:tc>
          <w:tcPr>
            <w:tcW w:w="1105" w:type="dxa"/>
            <w:tcBorders>
              <w:left w:val="single" w:sz="2" w:space="0" w:color="D3D3D3"/>
              <w:bottom w:val="single" w:sz="2" w:space="0" w:color="D3D3D3"/>
              <w:right w:val="single" w:sz="15" w:space="0" w:color="FFFFFF"/>
            </w:tcBorders>
            <w:shd w:val="clear" w:color="auto" w:fill="BAF9F5"/>
          </w:tcPr>
          <w:p>
            <w:pPr/>
          </w:p>
        </w:tc>
        <w:tc>
          <w:tcPr>
            <w:tcW w:w="485" w:type="dxa"/>
            <w:tcBorders>
              <w:left w:val="single" w:sz="15" w:space="0" w:color="FFFFFF"/>
              <w:bottom w:val="single" w:sz="2" w:space="0" w:color="D3D3D3"/>
            </w:tcBorders>
            <w:shd w:val="clear" w:color="auto" w:fill="BAF9F5"/>
          </w:tcPr>
          <w:p>
            <w:pPr>
              <w:pStyle w:val="TableParagraph"/>
              <w:spacing w:line="41" w:lineRule="exact"/>
              <w:ind w:left="1"/>
              <w:rPr>
                <w:rFonts w:ascii="Calibri"/>
                <w:sz w:val="6"/>
              </w:rPr>
            </w:pPr>
            <w:r>
              <w:rPr>
                <w:rFonts w:ascii="Calibri"/>
                <w:w w:val="104"/>
                <w:sz w:val="6"/>
              </w:rPr>
              <w:t>0</w:t>
            </w:r>
          </w:p>
          <w:p>
            <w:pPr>
              <w:pStyle w:val="TableParagraph"/>
              <w:spacing w:before="9"/>
              <w:ind w:left="107" w:right="104"/>
              <w:rPr>
                <w:rFonts w:ascii="Calibri"/>
                <w:sz w:val="6"/>
              </w:rPr>
            </w:pPr>
            <w:r>
              <w:rPr>
                <w:rFonts w:ascii="Calibri"/>
                <w:w w:val="105"/>
                <w:sz w:val="6"/>
              </w:rPr>
              <w:t>Subtotal</w:t>
            </w:r>
          </w:p>
        </w:tc>
        <w:tc>
          <w:tcPr>
            <w:tcW w:w="346" w:type="dxa"/>
            <w:shd w:val="clear" w:color="auto" w:fill="F79646"/>
          </w:tcPr>
          <w:p>
            <w:pPr>
              <w:pStyle w:val="TableParagraph"/>
              <w:spacing w:before="49"/>
              <w:ind w:left="136"/>
              <w:jc w:val="left"/>
              <w:rPr>
                <w:rFonts w:ascii="Calibri"/>
                <w:sz w:val="6"/>
              </w:rPr>
            </w:pPr>
            <w:r>
              <w:rPr>
                <w:rFonts w:ascii="Calibri"/>
                <w:w w:val="105"/>
                <w:sz w:val="6"/>
              </w:rPr>
              <w:t>0.7</w:t>
            </w:r>
          </w:p>
        </w:tc>
        <w:tc>
          <w:tcPr>
            <w:tcW w:w="346" w:type="dxa"/>
            <w:tcBorders>
              <w:top w:val="single" w:sz="35" w:space="0" w:color="BAF9F5"/>
            </w:tcBorders>
            <w:shd w:val="clear" w:color="auto" w:fill="FFFF00"/>
          </w:tcPr>
          <w:p>
            <w:pPr>
              <w:pStyle w:val="TableParagraph"/>
              <w:spacing w:line="2" w:lineRule="exact"/>
              <w:ind w:left="6"/>
              <w:rPr>
                <w:rFonts w:ascii="Calibri"/>
                <w:sz w:val="6"/>
              </w:rPr>
            </w:pPr>
            <w:r>
              <w:rPr>
                <w:rFonts w:ascii="Calibri"/>
                <w:w w:val="104"/>
                <w:sz w:val="6"/>
              </w:rPr>
              <w:t>1</w:t>
            </w:r>
          </w:p>
          <w:p>
            <w:pPr>
              <w:pStyle w:val="TableParagraph"/>
              <w:spacing w:before="6"/>
              <w:ind w:left="115" w:right="109"/>
              <w:rPr>
                <w:rFonts w:ascii="Calibri"/>
                <w:sz w:val="6"/>
              </w:rPr>
            </w:pPr>
            <w:r>
              <w:rPr>
                <w:rFonts w:ascii="Calibri"/>
                <w:w w:val="105"/>
                <w:sz w:val="6"/>
              </w:rPr>
              <w:t>3.1</w:t>
            </w:r>
          </w:p>
        </w:tc>
        <w:tc>
          <w:tcPr>
            <w:tcW w:w="346" w:type="dxa"/>
            <w:tcBorders>
              <w:top w:val="single" w:sz="35" w:space="0" w:color="BAF9F5"/>
            </w:tcBorders>
            <w:shd w:val="clear" w:color="auto" w:fill="67ED4D"/>
          </w:tcPr>
          <w:p>
            <w:pPr>
              <w:pStyle w:val="TableParagraph"/>
              <w:spacing w:line="2" w:lineRule="exact"/>
              <w:ind w:left="6"/>
              <w:rPr>
                <w:rFonts w:ascii="Calibri"/>
                <w:sz w:val="6"/>
              </w:rPr>
            </w:pPr>
            <w:r>
              <w:rPr>
                <w:rFonts w:ascii="Calibri"/>
                <w:w w:val="104"/>
                <w:sz w:val="6"/>
              </w:rPr>
              <w:t>1</w:t>
            </w:r>
          </w:p>
          <w:p>
            <w:pPr>
              <w:pStyle w:val="TableParagraph"/>
              <w:spacing w:before="6"/>
              <w:ind w:left="6"/>
              <w:rPr>
                <w:rFonts w:ascii="Calibri"/>
                <w:sz w:val="6"/>
              </w:rPr>
            </w:pPr>
            <w:r>
              <w:rPr>
                <w:rFonts w:ascii="Calibri"/>
                <w:w w:val="104"/>
                <w:sz w:val="6"/>
              </w:rPr>
              <w:t>4</w:t>
            </w:r>
          </w:p>
        </w:tc>
        <w:tc>
          <w:tcPr>
            <w:tcW w:w="89" w:type="dxa"/>
            <w:tcBorders>
              <w:bottom w:val="single" w:sz="2" w:space="0" w:color="D3D3D3"/>
            </w:tcBorders>
          </w:tcPr>
          <w:p>
            <w:pPr/>
          </w:p>
        </w:tc>
      </w:tr>
      <w:tr>
        <w:trPr>
          <w:trHeight w:val="82" w:hRule="exact"/>
        </w:trPr>
        <w:tc>
          <w:tcPr>
            <w:tcW w:w="347" w:type="dxa"/>
            <w:tcBorders>
              <w:right w:val="single" w:sz="2" w:space="0" w:color="D3D3D3"/>
            </w:tcBorders>
          </w:tcPr>
          <w:p>
            <w:pPr/>
          </w:p>
        </w:tc>
        <w:tc>
          <w:tcPr>
            <w:tcW w:w="1182" w:type="dxa"/>
            <w:tcBorders>
              <w:top w:val="single" w:sz="2" w:space="0" w:color="D3D3D3"/>
              <w:left w:val="single" w:sz="2" w:space="0" w:color="D3D3D3"/>
              <w:bottom w:val="single" w:sz="2" w:space="0" w:color="D3D3D3"/>
              <w:right w:val="single" w:sz="2" w:space="0" w:color="D3D3D3"/>
            </w:tcBorders>
          </w:tcPr>
          <w:p>
            <w:pPr/>
          </w:p>
        </w:tc>
        <w:tc>
          <w:tcPr>
            <w:tcW w:w="1241" w:type="dxa"/>
            <w:tcBorders>
              <w:top w:val="single" w:sz="2" w:space="0" w:color="D3D3D3"/>
              <w:left w:val="single" w:sz="2" w:space="0" w:color="D3D3D3"/>
              <w:bottom w:val="single" w:sz="2" w:space="0" w:color="D3D3D3"/>
              <w:right w:val="single" w:sz="2" w:space="0" w:color="D3D3D3"/>
            </w:tcBorders>
          </w:tcPr>
          <w:p>
            <w:pPr/>
          </w:p>
        </w:tc>
        <w:tc>
          <w:tcPr>
            <w:tcW w:w="2353" w:type="dxa"/>
            <w:tcBorders>
              <w:top w:val="single" w:sz="2" w:space="0" w:color="D3D3D3"/>
              <w:left w:val="single" w:sz="2" w:space="0" w:color="D3D3D3"/>
              <w:bottom w:val="single" w:sz="2" w:space="0" w:color="D3D3D3"/>
              <w:right w:val="single" w:sz="2" w:space="0" w:color="D3D3D3"/>
            </w:tcBorders>
          </w:tcPr>
          <w:p>
            <w:pPr/>
          </w:p>
        </w:tc>
        <w:tc>
          <w:tcPr>
            <w:tcW w:w="968" w:type="dxa"/>
            <w:tcBorders>
              <w:top w:val="single" w:sz="2" w:space="0" w:color="D3D3D3"/>
              <w:left w:val="single" w:sz="2" w:space="0" w:color="D3D3D3"/>
              <w:bottom w:val="single" w:sz="2" w:space="0" w:color="D3D3D3"/>
              <w:right w:val="single" w:sz="2" w:space="0" w:color="D3D3D3"/>
            </w:tcBorders>
          </w:tcPr>
          <w:p>
            <w:pPr/>
          </w:p>
        </w:tc>
        <w:tc>
          <w:tcPr>
            <w:tcW w:w="1449" w:type="dxa"/>
            <w:tcBorders>
              <w:top w:val="single" w:sz="2" w:space="0" w:color="D3D3D3"/>
              <w:left w:val="single" w:sz="2" w:space="0" w:color="D3D3D3"/>
              <w:bottom w:val="single" w:sz="35" w:space="0" w:color="808080"/>
              <w:right w:val="single" w:sz="2" w:space="0" w:color="D3D3D3"/>
            </w:tcBorders>
          </w:tcPr>
          <w:p>
            <w:pPr/>
          </w:p>
        </w:tc>
        <w:tc>
          <w:tcPr>
            <w:tcW w:w="1516" w:type="dxa"/>
            <w:tcBorders>
              <w:top w:val="single" w:sz="2" w:space="0" w:color="D3D3D3"/>
              <w:left w:val="single" w:sz="2" w:space="0" w:color="D3D3D3"/>
              <w:bottom w:val="single" w:sz="2" w:space="0" w:color="D3D3D3"/>
              <w:right w:val="single" w:sz="2" w:space="0" w:color="D3D3D3"/>
            </w:tcBorders>
          </w:tcPr>
          <w:p>
            <w:pPr/>
          </w:p>
        </w:tc>
        <w:tc>
          <w:tcPr>
            <w:tcW w:w="645" w:type="dxa"/>
            <w:tcBorders>
              <w:top w:val="single" w:sz="2" w:space="0" w:color="D3D3D3"/>
              <w:left w:val="single" w:sz="2" w:space="0" w:color="D3D3D3"/>
              <w:bottom w:val="single" w:sz="2" w:space="0" w:color="D3D3D3"/>
              <w:right w:val="single" w:sz="2" w:space="0" w:color="D3D3D3"/>
            </w:tcBorders>
          </w:tcPr>
          <w:p>
            <w:pPr/>
          </w:p>
        </w:tc>
        <w:tc>
          <w:tcPr>
            <w:tcW w:w="585" w:type="dxa"/>
            <w:tcBorders>
              <w:top w:val="single" w:sz="2" w:space="0" w:color="D3D3D3"/>
              <w:left w:val="single" w:sz="2" w:space="0" w:color="D3D3D3"/>
              <w:bottom w:val="single" w:sz="2" w:space="0" w:color="D3D3D3"/>
              <w:right w:val="single" w:sz="2" w:space="0" w:color="D3D3D3"/>
            </w:tcBorders>
          </w:tcPr>
          <w:p>
            <w:pPr/>
          </w:p>
        </w:tc>
        <w:tc>
          <w:tcPr>
            <w:tcW w:w="1105" w:type="dxa"/>
            <w:tcBorders>
              <w:top w:val="single" w:sz="2" w:space="0" w:color="D3D3D3"/>
              <w:left w:val="single" w:sz="2" w:space="0" w:color="D3D3D3"/>
              <w:bottom w:val="single" w:sz="2" w:space="0" w:color="D3D3D3"/>
              <w:right w:val="single" w:sz="15" w:space="0" w:color="FFFFFF"/>
            </w:tcBorders>
          </w:tcPr>
          <w:p>
            <w:pPr/>
          </w:p>
        </w:tc>
        <w:tc>
          <w:tcPr>
            <w:tcW w:w="485" w:type="dxa"/>
            <w:tcBorders>
              <w:top w:val="single" w:sz="2" w:space="0" w:color="D3D3D3"/>
              <w:left w:val="single" w:sz="15" w:space="0" w:color="FFFFFF"/>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89" w:type="dxa"/>
            <w:tcBorders>
              <w:top w:val="single" w:sz="2" w:space="0" w:color="D3D3D3"/>
              <w:left w:val="single" w:sz="2" w:space="0" w:color="D3D3D3"/>
              <w:bottom w:val="single" w:sz="2" w:space="0" w:color="D3D3D3"/>
            </w:tcBorders>
          </w:tcPr>
          <w:p>
            <w:pPr/>
          </w:p>
        </w:tc>
      </w:tr>
      <w:tr>
        <w:trPr>
          <w:trHeight w:val="99" w:hRule="exact"/>
        </w:trPr>
        <w:tc>
          <w:tcPr>
            <w:tcW w:w="347" w:type="dxa"/>
            <w:tcBorders>
              <w:right w:val="single" w:sz="2" w:space="0" w:color="D3D3D3"/>
            </w:tcBorders>
          </w:tcPr>
          <w:p>
            <w:pPr/>
          </w:p>
        </w:tc>
        <w:tc>
          <w:tcPr>
            <w:tcW w:w="1182" w:type="dxa"/>
            <w:tcBorders>
              <w:top w:val="single" w:sz="2" w:space="0" w:color="D3D3D3"/>
              <w:left w:val="single" w:sz="2" w:space="0" w:color="D3D3D3"/>
              <w:right w:val="single" w:sz="2" w:space="0" w:color="D3D3D3"/>
            </w:tcBorders>
          </w:tcPr>
          <w:p>
            <w:pPr>
              <w:pStyle w:val="TableParagraph"/>
              <w:spacing w:before="6"/>
              <w:ind w:left="32"/>
              <w:jc w:val="left"/>
              <w:rPr>
                <w:rFonts w:ascii="Calibri" w:hAnsi="Calibri"/>
                <w:sz w:val="6"/>
              </w:rPr>
            </w:pPr>
            <w:r>
              <w:rPr>
                <w:rFonts w:ascii="Calibri" w:hAnsi="Calibri"/>
                <w:w w:val="105"/>
                <w:sz w:val="6"/>
              </w:rPr>
              <w:t>7  Educación ambiental</w:t>
            </w:r>
          </w:p>
        </w:tc>
        <w:tc>
          <w:tcPr>
            <w:tcW w:w="1241" w:type="dxa"/>
            <w:tcBorders>
              <w:top w:val="single" w:sz="2" w:space="0" w:color="D3D3D3"/>
              <w:left w:val="single" w:sz="2" w:space="0" w:color="D3D3D3"/>
              <w:right w:val="single" w:sz="2" w:space="0" w:color="D3D3D3"/>
            </w:tcBorders>
          </w:tcPr>
          <w:p>
            <w:pPr>
              <w:pStyle w:val="TableParagraph"/>
              <w:spacing w:before="6"/>
              <w:ind w:left="8"/>
              <w:jc w:val="left"/>
              <w:rPr>
                <w:rFonts w:ascii="Calibri"/>
                <w:sz w:val="6"/>
              </w:rPr>
            </w:pPr>
            <w:r>
              <w:rPr>
                <w:rFonts w:ascii="Calibri"/>
                <w:w w:val="105"/>
                <w:sz w:val="6"/>
              </w:rPr>
              <w:t>Planes</w:t>
            </w:r>
          </w:p>
        </w:tc>
        <w:tc>
          <w:tcPr>
            <w:tcW w:w="2353" w:type="dxa"/>
            <w:tcBorders>
              <w:top w:val="single" w:sz="2" w:space="0" w:color="D3D3D3"/>
              <w:left w:val="single" w:sz="2" w:space="0" w:color="D3D3D3"/>
              <w:right w:val="single" w:sz="2" w:space="0" w:color="D3D3D3"/>
            </w:tcBorders>
          </w:tcPr>
          <w:p>
            <w:pPr>
              <w:pStyle w:val="TableParagraph"/>
              <w:spacing w:before="6"/>
              <w:ind w:left="8"/>
              <w:jc w:val="left"/>
              <w:rPr>
                <w:rFonts w:ascii="Calibri" w:hAnsi="Calibri"/>
                <w:sz w:val="6"/>
              </w:rPr>
            </w:pPr>
            <w:r>
              <w:rPr>
                <w:rFonts w:ascii="Calibri" w:hAnsi="Calibri"/>
                <w:w w:val="105"/>
                <w:sz w:val="6"/>
              </w:rPr>
              <w:t>¿Existe un plan de educación ambiental en el CU?</w:t>
            </w:r>
          </w:p>
        </w:tc>
        <w:tc>
          <w:tcPr>
            <w:tcW w:w="968" w:type="dxa"/>
            <w:tcBorders>
              <w:top w:val="single" w:sz="2" w:space="0" w:color="D3D3D3"/>
              <w:left w:val="single" w:sz="2" w:space="0" w:color="D3D3D3"/>
              <w:bottom w:val="single" w:sz="35" w:space="0" w:color="BAF9F5"/>
            </w:tcBorders>
          </w:tcPr>
          <w:p>
            <w:pPr>
              <w:pStyle w:val="TableParagraph"/>
              <w:spacing w:before="6"/>
              <w:ind w:left="446" w:right="436"/>
              <w:rPr>
                <w:rFonts w:ascii="Calibri"/>
                <w:sz w:val="6"/>
              </w:rPr>
            </w:pPr>
            <w:r>
              <w:rPr>
                <w:rFonts w:ascii="Calibri"/>
                <w:w w:val="105"/>
                <w:sz w:val="6"/>
              </w:rPr>
              <w:t>Si</w:t>
            </w:r>
          </w:p>
        </w:tc>
        <w:tc>
          <w:tcPr>
            <w:tcW w:w="1449" w:type="dxa"/>
            <w:tcBorders>
              <w:bottom w:val="single" w:sz="35" w:space="0" w:color="BAF9F5"/>
            </w:tcBorders>
            <w:shd w:val="clear" w:color="auto" w:fill="808080"/>
          </w:tcPr>
          <w:p>
            <w:pPr>
              <w:pStyle w:val="TableParagraph"/>
              <w:spacing w:before="8"/>
              <w:ind w:left="510" w:right="506"/>
              <w:rPr>
                <w:rFonts w:ascii="Calibri"/>
                <w:sz w:val="6"/>
              </w:rPr>
            </w:pPr>
            <w:r>
              <w:rPr>
                <w:rFonts w:ascii="Calibri"/>
                <w:w w:val="105"/>
                <w:sz w:val="6"/>
              </w:rPr>
              <w:t>No</w:t>
            </w:r>
          </w:p>
        </w:tc>
        <w:tc>
          <w:tcPr>
            <w:tcW w:w="1516" w:type="dxa"/>
            <w:tcBorders>
              <w:top w:val="single" w:sz="2" w:space="0" w:color="D3D3D3"/>
              <w:bottom w:val="single" w:sz="35" w:space="0" w:color="BAF9F5"/>
              <w:right w:val="single" w:sz="2" w:space="0" w:color="D3D3D3"/>
            </w:tcBorders>
          </w:tcPr>
          <w:p>
            <w:pPr>
              <w:pStyle w:val="TableParagraph"/>
              <w:spacing w:before="6"/>
              <w:ind w:left="565" w:right="559"/>
              <w:rPr>
                <w:rFonts w:ascii="Calibri"/>
                <w:sz w:val="6"/>
              </w:rPr>
            </w:pPr>
            <w:r>
              <w:rPr>
                <w:rFonts w:ascii="Calibri"/>
                <w:w w:val="105"/>
                <w:sz w:val="6"/>
              </w:rPr>
              <w:t>Especificar:</w:t>
            </w:r>
          </w:p>
        </w:tc>
        <w:tc>
          <w:tcPr>
            <w:tcW w:w="645" w:type="dxa"/>
            <w:tcBorders>
              <w:top w:val="single" w:sz="2" w:space="0" w:color="D3D3D3"/>
              <w:left w:val="single" w:sz="2" w:space="0" w:color="D3D3D3"/>
              <w:bottom w:val="single" w:sz="35" w:space="0" w:color="BAF9F5"/>
              <w:right w:val="single" w:sz="2" w:space="0" w:color="D3D3D3"/>
            </w:tcBorders>
          </w:tcPr>
          <w:p>
            <w:pPr/>
          </w:p>
        </w:tc>
        <w:tc>
          <w:tcPr>
            <w:tcW w:w="585" w:type="dxa"/>
            <w:tcBorders>
              <w:top w:val="single" w:sz="2" w:space="0" w:color="D3D3D3"/>
              <w:left w:val="single" w:sz="2" w:space="0" w:color="D3D3D3"/>
              <w:bottom w:val="single" w:sz="35" w:space="0" w:color="BAF9F5"/>
              <w:right w:val="single" w:sz="2" w:space="0" w:color="D3D3D3"/>
            </w:tcBorders>
          </w:tcPr>
          <w:p>
            <w:pPr/>
          </w:p>
        </w:tc>
        <w:tc>
          <w:tcPr>
            <w:tcW w:w="1105" w:type="dxa"/>
            <w:tcBorders>
              <w:top w:val="single" w:sz="2" w:space="0" w:color="D3D3D3"/>
              <w:left w:val="single" w:sz="2" w:space="0" w:color="D3D3D3"/>
              <w:bottom w:val="single" w:sz="35" w:space="0" w:color="BAF9F5"/>
              <w:right w:val="single" w:sz="15" w:space="0" w:color="FFFFFF"/>
            </w:tcBorders>
          </w:tcPr>
          <w:p>
            <w:pPr/>
          </w:p>
        </w:tc>
        <w:tc>
          <w:tcPr>
            <w:tcW w:w="485" w:type="dxa"/>
            <w:tcBorders>
              <w:top w:val="single" w:sz="2" w:space="0" w:color="D3D3D3"/>
              <w:left w:val="single" w:sz="15" w:space="0" w:color="FFFFFF"/>
              <w:bottom w:val="single" w:sz="35" w:space="0" w:color="BAF9F5"/>
              <w:right w:val="single" w:sz="2" w:space="0" w:color="D3D3D3"/>
            </w:tcBorders>
          </w:tcPr>
          <w:p>
            <w:pPr/>
          </w:p>
        </w:tc>
        <w:tc>
          <w:tcPr>
            <w:tcW w:w="346" w:type="dxa"/>
            <w:tcBorders>
              <w:top w:val="single" w:sz="2" w:space="0" w:color="D3D3D3"/>
              <w:left w:val="single" w:sz="2" w:space="0" w:color="D3D3D3"/>
              <w:right w:val="single" w:sz="2" w:space="0" w:color="D3D3D3"/>
            </w:tcBorders>
          </w:tcPr>
          <w:p>
            <w:pPr/>
          </w:p>
        </w:tc>
        <w:tc>
          <w:tcPr>
            <w:tcW w:w="346" w:type="dxa"/>
            <w:tcBorders>
              <w:top w:val="single" w:sz="2" w:space="0" w:color="D3D3D3"/>
              <w:left w:val="single" w:sz="2" w:space="0" w:color="D3D3D3"/>
              <w:bottom w:val="single" w:sz="35" w:space="0" w:color="BAF9F5"/>
              <w:right w:val="single" w:sz="2" w:space="0" w:color="D3D3D3"/>
            </w:tcBorders>
          </w:tcPr>
          <w:p>
            <w:pPr/>
          </w:p>
        </w:tc>
        <w:tc>
          <w:tcPr>
            <w:tcW w:w="346" w:type="dxa"/>
            <w:tcBorders>
              <w:top w:val="single" w:sz="2" w:space="0" w:color="D3D3D3"/>
              <w:left w:val="single" w:sz="2" w:space="0" w:color="D3D3D3"/>
              <w:bottom w:val="single" w:sz="35" w:space="0" w:color="BAF9F5"/>
              <w:right w:val="single" w:sz="2" w:space="0" w:color="D3D3D3"/>
            </w:tcBorders>
          </w:tcPr>
          <w:p>
            <w:pPr/>
          </w:p>
        </w:tc>
        <w:tc>
          <w:tcPr>
            <w:tcW w:w="89" w:type="dxa"/>
            <w:tcBorders>
              <w:top w:val="single" w:sz="2" w:space="0" w:color="D3D3D3"/>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
        </w:tc>
        <w:tc>
          <w:tcPr>
            <w:tcW w:w="1449" w:type="dxa"/>
            <w:shd w:val="clear" w:color="auto" w:fill="BAF9F5"/>
          </w:tcPr>
          <w:p>
            <w:pPr/>
          </w:p>
        </w:tc>
        <w:tc>
          <w:tcPr>
            <w:tcW w:w="1516" w:type="dxa"/>
            <w:shd w:val="clear" w:color="auto" w:fill="BAF9F5"/>
          </w:tcPr>
          <w:p>
            <w:pP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10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Style w:val="TableParagraph"/>
              <w:spacing w:before="49"/>
              <w:ind w:left="8"/>
              <w:jc w:val="left"/>
              <w:rPr>
                <w:rFonts w:ascii="Calibri"/>
                <w:sz w:val="6"/>
              </w:rPr>
            </w:pPr>
            <w:r>
              <w:rPr>
                <w:rFonts w:ascii="Calibri"/>
                <w:w w:val="105"/>
                <w:sz w:val="6"/>
              </w:rPr>
              <w:t>Programas</w:t>
            </w:r>
          </w:p>
        </w:tc>
        <w:tc>
          <w:tcPr>
            <w:tcW w:w="2353" w:type="dxa"/>
            <w:tcBorders>
              <w:left w:val="single" w:sz="2" w:space="0" w:color="D3D3D3"/>
              <w:right w:val="single" w:sz="2" w:space="0" w:color="D3D3D3"/>
            </w:tcBorders>
          </w:tcPr>
          <w:p>
            <w:pPr>
              <w:pStyle w:val="TableParagraph"/>
              <w:spacing w:before="49"/>
              <w:ind w:left="8" w:right="-3"/>
              <w:jc w:val="left"/>
              <w:rPr>
                <w:rFonts w:ascii="Calibri" w:hAnsi="Calibri"/>
                <w:sz w:val="6"/>
              </w:rPr>
            </w:pPr>
            <w:r>
              <w:rPr>
                <w:rFonts w:ascii="Calibri" w:hAnsi="Calibri"/>
                <w:w w:val="105"/>
                <w:sz w:val="6"/>
              </w:rPr>
              <w:t>¿Existe algún programa de educación ambiental?</w:t>
            </w:r>
          </w:p>
        </w:tc>
        <w:tc>
          <w:tcPr>
            <w:tcW w:w="968" w:type="dxa"/>
            <w:tcBorders>
              <w:top w:val="single" w:sz="35" w:space="0" w:color="BAF9F5"/>
              <w:left w:val="single" w:sz="2" w:space="0" w:color="D3D3D3"/>
              <w:bottom w:val="single" w:sz="35" w:space="0" w:color="BAF9F5"/>
            </w:tcBorders>
          </w:tcPr>
          <w:p>
            <w:pPr>
              <w:pStyle w:val="TableParagraph"/>
              <w:spacing w:line="3" w:lineRule="exact"/>
              <w:ind w:left="9"/>
              <w:rPr>
                <w:rFonts w:ascii="Calibri"/>
                <w:sz w:val="6"/>
              </w:rPr>
            </w:pPr>
            <w:r>
              <w:rPr>
                <w:rFonts w:ascii="Calibri"/>
                <w:w w:val="104"/>
                <w:sz w:val="6"/>
              </w:rPr>
              <w:t>1</w:t>
            </w:r>
          </w:p>
          <w:p>
            <w:pPr>
              <w:pStyle w:val="TableParagraph"/>
              <w:spacing w:before="6"/>
              <w:ind w:left="241" w:right="232"/>
              <w:rPr>
                <w:rFonts w:ascii="Calibri"/>
                <w:sz w:val="6"/>
              </w:rPr>
            </w:pPr>
            <w:r>
              <w:rPr>
                <w:rFonts w:ascii="Calibri"/>
                <w:w w:val="105"/>
                <w:sz w:val="6"/>
              </w:rPr>
              <w:t>Si</w:t>
            </w:r>
          </w:p>
        </w:tc>
        <w:tc>
          <w:tcPr>
            <w:tcW w:w="1449" w:type="dxa"/>
            <w:tcBorders>
              <w:top w:val="single" w:sz="35" w:space="0" w:color="BAF9F5"/>
              <w:bottom w:val="single" w:sz="35" w:space="0" w:color="BAF9F5"/>
            </w:tcBorders>
          </w:tcPr>
          <w:p>
            <w:pPr>
              <w:pStyle w:val="TableParagraph"/>
              <w:spacing w:line="3" w:lineRule="exact"/>
              <w:ind w:left="4"/>
              <w:rPr>
                <w:rFonts w:ascii="Calibri"/>
                <w:sz w:val="6"/>
              </w:rPr>
            </w:pPr>
            <w:r>
              <w:rPr>
                <w:rFonts w:ascii="Calibri"/>
                <w:w w:val="104"/>
                <w:sz w:val="6"/>
              </w:rPr>
              <w:t>0</w:t>
            </w:r>
          </w:p>
          <w:p>
            <w:pPr>
              <w:pStyle w:val="TableParagraph"/>
              <w:tabs>
                <w:tab w:pos="691" w:val="left" w:leader="none"/>
                <w:tab w:pos="1452" w:val="left" w:leader="none"/>
              </w:tabs>
              <w:spacing w:before="6"/>
              <w:ind w:right="-4"/>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No</w:t>
            </w:r>
            <w:r>
              <w:rPr>
                <w:rFonts w:ascii="Calibri"/>
                <w:sz w:val="6"/>
                <w:shd w:fill="808080" w:color="auto" w:val="clear"/>
              </w:rPr>
              <w:tab/>
            </w:r>
          </w:p>
        </w:tc>
        <w:tc>
          <w:tcPr>
            <w:tcW w:w="1516" w:type="dxa"/>
            <w:tcBorders>
              <w:top w:val="single" w:sz="35" w:space="0" w:color="BAF9F5"/>
              <w:bottom w:val="single" w:sz="35" w:space="0" w:color="BAF9F5"/>
              <w:right w:val="single" w:sz="2" w:space="0" w:color="D3D3D3"/>
            </w:tcBorders>
          </w:tcPr>
          <w:p>
            <w:pPr>
              <w:pStyle w:val="TableParagraph"/>
              <w:spacing w:before="6"/>
              <w:ind w:left="337" w:right="330"/>
              <w:rPr>
                <w:rFonts w:ascii="Calibri"/>
                <w:sz w:val="6"/>
              </w:rPr>
            </w:pPr>
            <w:r>
              <w:rPr>
                <w:rFonts w:ascii="Calibri"/>
                <w:w w:val="105"/>
                <w:sz w:val="6"/>
              </w:rPr>
              <w:t>Especificar:</w:t>
            </w:r>
          </w:p>
        </w:tc>
        <w:tc>
          <w:tcPr>
            <w:tcW w:w="645" w:type="dxa"/>
            <w:tcBorders>
              <w:top w:val="single" w:sz="35" w:space="0" w:color="BAF9F5"/>
              <w:left w:val="single" w:sz="2" w:space="0" w:color="D3D3D3"/>
              <w:bottom w:val="single" w:sz="35" w:space="0" w:color="BAF9F5"/>
              <w:right w:val="single" w:sz="2" w:space="0" w:color="D3D3D3"/>
            </w:tcBorders>
          </w:tcPr>
          <w:p>
            <w:pPr/>
          </w:p>
        </w:tc>
        <w:tc>
          <w:tcPr>
            <w:tcW w:w="585" w:type="dxa"/>
            <w:tcBorders>
              <w:top w:val="single" w:sz="35" w:space="0" w:color="BAF9F5"/>
              <w:left w:val="single" w:sz="2" w:space="0" w:color="D3D3D3"/>
              <w:bottom w:val="single" w:sz="35" w:space="0" w:color="BAF9F5"/>
              <w:right w:val="single" w:sz="2" w:space="0" w:color="D3D3D3"/>
            </w:tcBorders>
          </w:tcPr>
          <w:p>
            <w:pPr/>
          </w:p>
        </w:tc>
        <w:tc>
          <w:tcPr>
            <w:tcW w:w="1105" w:type="dxa"/>
            <w:tcBorders>
              <w:top w:val="single" w:sz="35" w:space="0" w:color="BAF9F5"/>
              <w:left w:val="single" w:sz="2" w:space="0" w:color="D3D3D3"/>
              <w:bottom w:val="single" w:sz="35" w:space="0" w:color="BAF9F5"/>
              <w:right w:val="single" w:sz="15" w:space="0" w:color="FFFFFF"/>
            </w:tcBorders>
          </w:tcPr>
          <w:p>
            <w:pPr/>
          </w:p>
        </w:tc>
        <w:tc>
          <w:tcPr>
            <w:tcW w:w="485" w:type="dxa"/>
            <w:tcBorders>
              <w:top w:val="single" w:sz="35" w:space="0" w:color="BAF9F5"/>
              <w:left w:val="single" w:sz="15" w:space="0" w:color="FFFFFF"/>
              <w:bottom w:val="single" w:sz="35" w:space="0" w:color="BAF9F5"/>
              <w:right w:val="single" w:sz="2" w:space="0" w:color="D3D3D3"/>
            </w:tcBorders>
          </w:tcPr>
          <w:p>
            <w:pPr>
              <w:pStyle w:val="TableParagraph"/>
              <w:spacing w:line="3" w:lineRule="exact"/>
              <w:ind w:left="4"/>
              <w:rPr>
                <w:rFonts w:ascii="Calibri"/>
                <w:sz w:val="6"/>
              </w:rPr>
            </w:pPr>
            <w:r>
              <w:rPr>
                <w:rFonts w:ascii="Calibri"/>
                <w:w w:val="104"/>
                <w:sz w:val="6"/>
              </w:rPr>
              <w:t>0</w:t>
            </w:r>
          </w:p>
        </w:tc>
        <w:tc>
          <w:tcPr>
            <w:tcW w:w="346" w:type="dxa"/>
            <w:tcBorders>
              <w:left w:val="single" w:sz="2" w:space="0" w:color="D3D3D3"/>
              <w:right w:val="single" w:sz="2" w:space="0" w:color="D3D3D3"/>
            </w:tcBorders>
          </w:tcPr>
          <w:p>
            <w:pP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53" w:type="dxa"/>
            <w:tcBorders>
              <w:left w:val="single" w:sz="2" w:space="0" w:color="D3D3D3"/>
            </w:tcBorders>
          </w:tcPr>
          <w:p>
            <w:pPr/>
          </w:p>
        </w:tc>
        <w:tc>
          <w:tcPr>
            <w:tcW w:w="968" w:type="dxa"/>
            <w:shd w:val="clear" w:color="auto" w:fill="BAF9F5"/>
          </w:tcPr>
          <w:p>
            <w:pPr/>
          </w:p>
        </w:tc>
        <w:tc>
          <w:tcPr>
            <w:tcW w:w="1449" w:type="dxa"/>
            <w:shd w:val="clear" w:color="auto" w:fill="BAF9F5"/>
          </w:tcPr>
          <w:p>
            <w:pPr/>
          </w:p>
        </w:tc>
        <w:tc>
          <w:tcPr>
            <w:tcW w:w="1516" w:type="dxa"/>
            <w:shd w:val="clear" w:color="auto" w:fill="BAF9F5"/>
          </w:tcPr>
          <w:p>
            <w:pPr/>
          </w:p>
        </w:tc>
        <w:tc>
          <w:tcPr>
            <w:tcW w:w="645" w:type="dxa"/>
            <w:shd w:val="clear" w:color="auto" w:fill="BAF9F5"/>
          </w:tcPr>
          <w:p>
            <w:pPr/>
          </w:p>
        </w:tc>
        <w:tc>
          <w:tcPr>
            <w:tcW w:w="585"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85" w:hRule="exact"/>
        </w:trPr>
        <w:tc>
          <w:tcPr>
            <w:tcW w:w="347" w:type="dxa"/>
            <w:tcBorders>
              <w:right w:val="single" w:sz="2" w:space="0" w:color="D3D3D3"/>
            </w:tcBorders>
          </w:tcPr>
          <w:p>
            <w:pPr/>
          </w:p>
        </w:tc>
        <w:tc>
          <w:tcPr>
            <w:tcW w:w="1182" w:type="dxa"/>
            <w:tcBorders>
              <w:left w:val="single" w:sz="2" w:space="0" w:color="D3D3D3"/>
              <w:bottom w:val="single" w:sz="2" w:space="0" w:color="D3D3D3"/>
              <w:right w:val="single" w:sz="2" w:space="0" w:color="D3D3D3"/>
            </w:tcBorders>
          </w:tcPr>
          <w:p>
            <w:pPr/>
          </w:p>
        </w:tc>
        <w:tc>
          <w:tcPr>
            <w:tcW w:w="1241" w:type="dxa"/>
            <w:tcBorders>
              <w:left w:val="single" w:sz="2" w:space="0" w:color="D3D3D3"/>
              <w:bottom w:val="single" w:sz="2" w:space="0" w:color="D3D3D3"/>
              <w:right w:val="single" w:sz="2" w:space="0" w:color="D3D3D3"/>
            </w:tcBorders>
          </w:tcPr>
          <w:p>
            <w:pPr/>
          </w:p>
        </w:tc>
        <w:tc>
          <w:tcPr>
            <w:tcW w:w="2353" w:type="dxa"/>
            <w:tcBorders>
              <w:left w:val="single" w:sz="2" w:space="0" w:color="D3D3D3"/>
              <w:bottom w:val="single" w:sz="2" w:space="0" w:color="D3D3D3"/>
              <w:right w:val="single" w:sz="2" w:space="0" w:color="D3D3D3"/>
            </w:tcBorders>
          </w:tcPr>
          <w:p>
            <w:pPr/>
          </w:p>
        </w:tc>
        <w:tc>
          <w:tcPr>
            <w:tcW w:w="968"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12"/>
              <w:rPr>
                <w:rFonts w:ascii="Calibri"/>
                <w:sz w:val="6"/>
              </w:rPr>
            </w:pPr>
            <w:r>
              <w:rPr>
                <w:rFonts w:ascii="Calibri"/>
                <w:w w:val="104"/>
                <w:sz w:val="6"/>
              </w:rPr>
              <w:t>1</w:t>
            </w:r>
          </w:p>
        </w:tc>
        <w:tc>
          <w:tcPr>
            <w:tcW w:w="1449"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2"/>
              <w:rPr>
                <w:rFonts w:ascii="Calibri"/>
                <w:sz w:val="6"/>
              </w:rPr>
            </w:pPr>
            <w:r>
              <w:rPr>
                <w:rFonts w:ascii="Calibri"/>
                <w:w w:val="104"/>
                <w:sz w:val="6"/>
              </w:rPr>
              <w:t>0</w:t>
            </w:r>
          </w:p>
        </w:tc>
        <w:tc>
          <w:tcPr>
            <w:tcW w:w="1516" w:type="dxa"/>
            <w:tcBorders>
              <w:left w:val="single" w:sz="2" w:space="0" w:color="D3D3D3"/>
              <w:bottom w:val="single" w:sz="2" w:space="0" w:color="D3D3D3"/>
              <w:right w:val="single" w:sz="2" w:space="0" w:color="D3D3D3"/>
            </w:tcBorders>
            <w:shd w:val="clear" w:color="auto" w:fill="BAF9F5"/>
          </w:tcPr>
          <w:p>
            <w:pPr/>
          </w:p>
        </w:tc>
        <w:tc>
          <w:tcPr>
            <w:tcW w:w="645" w:type="dxa"/>
            <w:tcBorders>
              <w:left w:val="single" w:sz="2" w:space="0" w:color="D3D3D3"/>
              <w:bottom w:val="single" w:sz="2" w:space="0" w:color="D3D3D3"/>
              <w:right w:val="single" w:sz="2" w:space="0" w:color="D3D3D3"/>
            </w:tcBorders>
            <w:shd w:val="clear" w:color="auto" w:fill="BAF9F5"/>
          </w:tcPr>
          <w:p>
            <w:pPr/>
          </w:p>
        </w:tc>
        <w:tc>
          <w:tcPr>
            <w:tcW w:w="585" w:type="dxa"/>
            <w:tcBorders>
              <w:left w:val="single" w:sz="2" w:space="0" w:color="D3D3D3"/>
              <w:bottom w:val="single" w:sz="2" w:space="0" w:color="D3D3D3"/>
              <w:right w:val="single" w:sz="2" w:space="0" w:color="D3D3D3"/>
            </w:tcBorders>
            <w:shd w:val="clear" w:color="auto" w:fill="BAF9F5"/>
          </w:tcPr>
          <w:p>
            <w:pPr/>
          </w:p>
        </w:tc>
        <w:tc>
          <w:tcPr>
            <w:tcW w:w="1105" w:type="dxa"/>
            <w:tcBorders>
              <w:left w:val="single" w:sz="2" w:space="0" w:color="D3D3D3"/>
              <w:bottom w:val="single" w:sz="2" w:space="0" w:color="D3D3D3"/>
              <w:right w:val="single" w:sz="15" w:space="0" w:color="FFFFFF"/>
            </w:tcBorders>
            <w:shd w:val="clear" w:color="auto" w:fill="BAF9F5"/>
          </w:tcPr>
          <w:p>
            <w:pPr/>
          </w:p>
        </w:tc>
        <w:tc>
          <w:tcPr>
            <w:tcW w:w="485" w:type="dxa"/>
            <w:tcBorders>
              <w:left w:val="single" w:sz="15" w:space="0" w:color="FFFFFF"/>
              <w:bottom w:val="single" w:sz="2" w:space="0" w:color="D3D3D3"/>
            </w:tcBorders>
            <w:shd w:val="clear" w:color="auto" w:fill="BAF9F5"/>
          </w:tcPr>
          <w:p>
            <w:pPr>
              <w:pStyle w:val="TableParagraph"/>
              <w:spacing w:line="41" w:lineRule="exact"/>
              <w:ind w:left="1"/>
              <w:rPr>
                <w:rFonts w:ascii="Calibri"/>
                <w:sz w:val="6"/>
              </w:rPr>
            </w:pPr>
            <w:r>
              <w:rPr>
                <w:rFonts w:ascii="Calibri"/>
                <w:w w:val="104"/>
                <w:sz w:val="6"/>
              </w:rPr>
              <w:t>0</w:t>
            </w:r>
          </w:p>
          <w:p>
            <w:pPr>
              <w:pStyle w:val="TableParagraph"/>
              <w:spacing w:before="9"/>
              <w:ind w:left="107" w:right="104"/>
              <w:rPr>
                <w:rFonts w:ascii="Calibri"/>
                <w:sz w:val="6"/>
              </w:rPr>
            </w:pPr>
            <w:r>
              <w:rPr>
                <w:rFonts w:ascii="Calibri"/>
                <w:w w:val="105"/>
                <w:sz w:val="6"/>
              </w:rPr>
              <w:t>Subtotal</w:t>
            </w:r>
          </w:p>
        </w:tc>
        <w:tc>
          <w:tcPr>
            <w:tcW w:w="346" w:type="dxa"/>
            <w:shd w:val="clear" w:color="auto" w:fill="F79646"/>
          </w:tcPr>
          <w:p>
            <w:pPr>
              <w:pStyle w:val="TableParagraph"/>
              <w:spacing w:before="49"/>
              <w:ind w:left="160"/>
              <w:jc w:val="left"/>
              <w:rPr>
                <w:rFonts w:ascii="Calibri"/>
                <w:sz w:val="6"/>
              </w:rPr>
            </w:pPr>
            <w:r>
              <w:rPr>
                <w:rFonts w:ascii="Calibri"/>
                <w:w w:val="104"/>
                <w:sz w:val="6"/>
              </w:rPr>
              <w:t>0</w:t>
            </w:r>
          </w:p>
        </w:tc>
        <w:tc>
          <w:tcPr>
            <w:tcW w:w="346" w:type="dxa"/>
            <w:tcBorders>
              <w:top w:val="single" w:sz="35" w:space="0" w:color="BAF9F5"/>
            </w:tcBorders>
            <w:shd w:val="clear" w:color="auto" w:fill="FFFF00"/>
          </w:tcPr>
          <w:p>
            <w:pPr>
              <w:pStyle w:val="TableParagraph"/>
              <w:spacing w:line="3" w:lineRule="exact"/>
              <w:ind w:left="6"/>
              <w:rPr>
                <w:rFonts w:ascii="Calibri"/>
                <w:sz w:val="6"/>
              </w:rPr>
            </w:pPr>
            <w:r>
              <w:rPr>
                <w:rFonts w:ascii="Calibri"/>
                <w:w w:val="104"/>
                <w:sz w:val="6"/>
              </w:rPr>
              <w:t>1</w:t>
            </w:r>
          </w:p>
          <w:p>
            <w:pPr>
              <w:pStyle w:val="TableParagraph"/>
              <w:spacing w:before="6"/>
              <w:ind w:left="6"/>
              <w:rPr>
                <w:rFonts w:ascii="Calibri"/>
                <w:sz w:val="6"/>
              </w:rPr>
            </w:pPr>
            <w:r>
              <w:rPr>
                <w:rFonts w:ascii="Calibri"/>
                <w:w w:val="104"/>
                <w:sz w:val="6"/>
              </w:rPr>
              <w:t>2</w:t>
            </w:r>
          </w:p>
        </w:tc>
        <w:tc>
          <w:tcPr>
            <w:tcW w:w="346" w:type="dxa"/>
            <w:tcBorders>
              <w:top w:val="single" w:sz="35" w:space="0" w:color="BAF9F5"/>
            </w:tcBorders>
            <w:shd w:val="clear" w:color="auto" w:fill="67ED4D"/>
          </w:tcPr>
          <w:p>
            <w:pPr>
              <w:pStyle w:val="TableParagraph"/>
              <w:spacing w:line="3" w:lineRule="exact"/>
              <w:ind w:left="6"/>
              <w:rPr>
                <w:rFonts w:ascii="Calibri"/>
                <w:sz w:val="6"/>
              </w:rPr>
            </w:pPr>
            <w:r>
              <w:rPr>
                <w:rFonts w:ascii="Calibri"/>
                <w:w w:val="104"/>
                <w:sz w:val="6"/>
              </w:rPr>
              <w:t>1</w:t>
            </w:r>
          </w:p>
          <w:p>
            <w:pPr>
              <w:pStyle w:val="TableParagraph"/>
              <w:spacing w:before="6"/>
              <w:ind w:left="6"/>
              <w:rPr>
                <w:rFonts w:ascii="Calibri"/>
                <w:sz w:val="6"/>
              </w:rPr>
            </w:pPr>
            <w:r>
              <w:rPr>
                <w:rFonts w:ascii="Calibri"/>
                <w:w w:val="104"/>
                <w:sz w:val="6"/>
              </w:rPr>
              <w:t>2</w:t>
            </w:r>
          </w:p>
        </w:tc>
        <w:tc>
          <w:tcPr>
            <w:tcW w:w="89" w:type="dxa"/>
            <w:tcBorders>
              <w:bottom w:val="single" w:sz="2" w:space="0" w:color="D3D3D3"/>
            </w:tcBorders>
          </w:tcPr>
          <w:p>
            <w:pPr/>
          </w:p>
        </w:tc>
      </w:tr>
      <w:tr>
        <w:trPr>
          <w:trHeight w:val="82" w:hRule="exact"/>
        </w:trPr>
        <w:tc>
          <w:tcPr>
            <w:tcW w:w="347" w:type="dxa"/>
            <w:tcBorders>
              <w:right w:val="single" w:sz="2" w:space="0" w:color="D3D3D3"/>
            </w:tcBorders>
          </w:tcPr>
          <w:p>
            <w:pPr/>
          </w:p>
        </w:tc>
        <w:tc>
          <w:tcPr>
            <w:tcW w:w="1182" w:type="dxa"/>
            <w:tcBorders>
              <w:top w:val="single" w:sz="2" w:space="0" w:color="D3D3D3"/>
              <w:left w:val="single" w:sz="2" w:space="0" w:color="D3D3D3"/>
              <w:bottom w:val="single" w:sz="2" w:space="0" w:color="D3D3D3"/>
              <w:right w:val="single" w:sz="2" w:space="0" w:color="D3D3D3"/>
            </w:tcBorders>
          </w:tcPr>
          <w:p>
            <w:pPr/>
          </w:p>
        </w:tc>
        <w:tc>
          <w:tcPr>
            <w:tcW w:w="1241" w:type="dxa"/>
            <w:tcBorders>
              <w:top w:val="single" w:sz="2" w:space="0" w:color="D3D3D3"/>
              <w:left w:val="single" w:sz="2" w:space="0" w:color="D3D3D3"/>
              <w:bottom w:val="single" w:sz="2" w:space="0" w:color="D3D3D3"/>
              <w:right w:val="single" w:sz="2" w:space="0" w:color="D3D3D3"/>
            </w:tcBorders>
          </w:tcPr>
          <w:p>
            <w:pPr/>
          </w:p>
        </w:tc>
        <w:tc>
          <w:tcPr>
            <w:tcW w:w="2353" w:type="dxa"/>
            <w:tcBorders>
              <w:top w:val="single" w:sz="2" w:space="0" w:color="D3D3D3"/>
              <w:left w:val="single" w:sz="2" w:space="0" w:color="D3D3D3"/>
              <w:bottom w:val="single" w:sz="2" w:space="0" w:color="D3D3D3"/>
              <w:right w:val="single" w:sz="2" w:space="0" w:color="D3D3D3"/>
            </w:tcBorders>
          </w:tcPr>
          <w:p>
            <w:pPr/>
          </w:p>
        </w:tc>
        <w:tc>
          <w:tcPr>
            <w:tcW w:w="968" w:type="dxa"/>
            <w:tcBorders>
              <w:top w:val="single" w:sz="2" w:space="0" w:color="D3D3D3"/>
              <w:left w:val="single" w:sz="2" w:space="0" w:color="D3D3D3"/>
              <w:bottom w:val="single" w:sz="2" w:space="0" w:color="D3D3D3"/>
              <w:right w:val="single" w:sz="2" w:space="0" w:color="D3D3D3"/>
            </w:tcBorders>
          </w:tcPr>
          <w:p>
            <w:pPr/>
          </w:p>
        </w:tc>
        <w:tc>
          <w:tcPr>
            <w:tcW w:w="1449" w:type="dxa"/>
            <w:tcBorders>
              <w:top w:val="single" w:sz="2" w:space="0" w:color="D3D3D3"/>
              <w:left w:val="single" w:sz="2" w:space="0" w:color="D3D3D3"/>
              <w:bottom w:val="single" w:sz="2" w:space="0" w:color="D3D3D3"/>
              <w:right w:val="single" w:sz="2" w:space="0" w:color="D3D3D3"/>
            </w:tcBorders>
          </w:tcPr>
          <w:p>
            <w:pPr/>
          </w:p>
        </w:tc>
        <w:tc>
          <w:tcPr>
            <w:tcW w:w="1516" w:type="dxa"/>
            <w:tcBorders>
              <w:top w:val="single" w:sz="2" w:space="0" w:color="D3D3D3"/>
              <w:left w:val="single" w:sz="2" w:space="0" w:color="D3D3D3"/>
              <w:bottom w:val="single" w:sz="2" w:space="0" w:color="D3D3D3"/>
              <w:right w:val="single" w:sz="2" w:space="0" w:color="D3D3D3"/>
            </w:tcBorders>
          </w:tcPr>
          <w:p>
            <w:pPr/>
          </w:p>
        </w:tc>
        <w:tc>
          <w:tcPr>
            <w:tcW w:w="645" w:type="dxa"/>
            <w:tcBorders>
              <w:top w:val="single" w:sz="2" w:space="0" w:color="D3D3D3"/>
              <w:left w:val="single" w:sz="2" w:space="0" w:color="D3D3D3"/>
              <w:bottom w:val="single" w:sz="2" w:space="0" w:color="D3D3D3"/>
              <w:right w:val="single" w:sz="2" w:space="0" w:color="D3D3D3"/>
            </w:tcBorders>
          </w:tcPr>
          <w:p>
            <w:pPr/>
          </w:p>
        </w:tc>
        <w:tc>
          <w:tcPr>
            <w:tcW w:w="585" w:type="dxa"/>
            <w:tcBorders>
              <w:top w:val="single" w:sz="2" w:space="0" w:color="D3D3D3"/>
              <w:left w:val="single" w:sz="2" w:space="0" w:color="D3D3D3"/>
              <w:bottom w:val="single" w:sz="2" w:space="0" w:color="D3D3D3"/>
              <w:right w:val="single" w:sz="2" w:space="0" w:color="D3D3D3"/>
            </w:tcBorders>
          </w:tcPr>
          <w:p>
            <w:pPr/>
          </w:p>
        </w:tc>
        <w:tc>
          <w:tcPr>
            <w:tcW w:w="1105" w:type="dxa"/>
            <w:tcBorders>
              <w:top w:val="single" w:sz="2" w:space="0" w:color="D3D3D3"/>
              <w:left w:val="single" w:sz="2" w:space="0" w:color="D3D3D3"/>
              <w:bottom w:val="single" w:sz="2" w:space="0" w:color="D3D3D3"/>
              <w:right w:val="single" w:sz="15" w:space="0" w:color="FFFFFF"/>
            </w:tcBorders>
          </w:tcPr>
          <w:p>
            <w:pPr/>
          </w:p>
        </w:tc>
        <w:tc>
          <w:tcPr>
            <w:tcW w:w="485" w:type="dxa"/>
            <w:tcBorders>
              <w:top w:val="single" w:sz="2" w:space="0" w:color="D3D3D3"/>
              <w:left w:val="single" w:sz="15" w:space="0" w:color="FFFFFF"/>
              <w:bottom w:val="single" w:sz="2" w:space="0" w:color="D3D3D3"/>
              <w:right w:val="single" w:sz="2" w:space="0" w:color="D3D3D3"/>
            </w:tcBorders>
          </w:tcPr>
          <w:p>
            <w:pPr/>
          </w:p>
        </w:tc>
        <w:tc>
          <w:tcPr>
            <w:tcW w:w="346" w:type="dxa"/>
            <w:tcBorders>
              <w:left w:val="single" w:sz="2" w:space="0" w:color="D3D3D3"/>
              <w:bottom w:val="single" w:sz="35" w:space="0" w:color="F79646"/>
              <w:right w:val="single" w:sz="2" w:space="0" w:color="D3D3D3"/>
            </w:tcBorders>
          </w:tcPr>
          <w:p>
            <w:pPr/>
          </w:p>
        </w:tc>
        <w:tc>
          <w:tcPr>
            <w:tcW w:w="346" w:type="dxa"/>
            <w:tcBorders>
              <w:left w:val="single" w:sz="2" w:space="0" w:color="D3D3D3"/>
              <w:bottom w:val="single" w:sz="35" w:space="0" w:color="FFFF00"/>
              <w:right w:val="single" w:sz="2" w:space="0" w:color="D3D3D3"/>
            </w:tcBorders>
          </w:tcPr>
          <w:p>
            <w:pPr/>
          </w:p>
        </w:tc>
        <w:tc>
          <w:tcPr>
            <w:tcW w:w="346" w:type="dxa"/>
            <w:tcBorders>
              <w:left w:val="single" w:sz="2" w:space="0" w:color="D3D3D3"/>
              <w:bottom w:val="single" w:sz="35" w:space="0" w:color="67ED4D"/>
              <w:right w:val="single" w:sz="2" w:space="0" w:color="D3D3D3"/>
            </w:tcBorders>
          </w:tcPr>
          <w:p>
            <w:pPr/>
          </w:p>
        </w:tc>
        <w:tc>
          <w:tcPr>
            <w:tcW w:w="89" w:type="dxa"/>
            <w:tcBorders>
              <w:top w:val="single" w:sz="2" w:space="0" w:color="D3D3D3"/>
              <w:left w:val="single" w:sz="2" w:space="0" w:color="D3D3D3"/>
              <w:bottom w:val="single" w:sz="2" w:space="0" w:color="D3D3D3"/>
            </w:tcBorders>
          </w:tcPr>
          <w:p>
            <w:pPr/>
          </w:p>
        </w:tc>
      </w:tr>
      <w:tr>
        <w:trPr>
          <w:trHeight w:val="82" w:hRule="exact"/>
        </w:trPr>
        <w:tc>
          <w:tcPr>
            <w:tcW w:w="347" w:type="dxa"/>
            <w:tcBorders>
              <w:bottom w:val="single" w:sz="2" w:space="0" w:color="D3D3D3"/>
              <w:right w:val="single" w:sz="2" w:space="0" w:color="D3D3D3"/>
            </w:tcBorders>
          </w:tcPr>
          <w:p>
            <w:pPr/>
          </w:p>
        </w:tc>
        <w:tc>
          <w:tcPr>
            <w:tcW w:w="1182" w:type="dxa"/>
            <w:tcBorders>
              <w:top w:val="single" w:sz="2" w:space="0" w:color="D3D3D3"/>
              <w:left w:val="single" w:sz="2" w:space="0" w:color="D3D3D3"/>
              <w:bottom w:val="single" w:sz="2" w:space="0" w:color="D3D3D3"/>
              <w:right w:val="single" w:sz="2" w:space="0" w:color="D3D3D3"/>
            </w:tcBorders>
          </w:tcPr>
          <w:p>
            <w:pPr/>
          </w:p>
        </w:tc>
        <w:tc>
          <w:tcPr>
            <w:tcW w:w="1241" w:type="dxa"/>
            <w:tcBorders>
              <w:top w:val="single" w:sz="2" w:space="0" w:color="D3D3D3"/>
              <w:left w:val="single" w:sz="2" w:space="0" w:color="D3D3D3"/>
              <w:bottom w:val="single" w:sz="2" w:space="0" w:color="D3D3D3"/>
              <w:right w:val="single" w:sz="2" w:space="0" w:color="D3D3D3"/>
            </w:tcBorders>
          </w:tcPr>
          <w:p>
            <w:pPr/>
          </w:p>
        </w:tc>
        <w:tc>
          <w:tcPr>
            <w:tcW w:w="2353" w:type="dxa"/>
            <w:tcBorders>
              <w:top w:val="single" w:sz="2" w:space="0" w:color="D3D3D3"/>
              <w:left w:val="single" w:sz="2" w:space="0" w:color="D3D3D3"/>
              <w:bottom w:val="single" w:sz="2" w:space="0" w:color="D3D3D3"/>
              <w:right w:val="single" w:sz="2" w:space="0" w:color="D3D3D3"/>
            </w:tcBorders>
          </w:tcPr>
          <w:p>
            <w:pPr/>
          </w:p>
        </w:tc>
        <w:tc>
          <w:tcPr>
            <w:tcW w:w="968" w:type="dxa"/>
            <w:tcBorders>
              <w:top w:val="single" w:sz="2" w:space="0" w:color="D3D3D3"/>
              <w:left w:val="single" w:sz="2" w:space="0" w:color="D3D3D3"/>
              <w:bottom w:val="single" w:sz="2" w:space="0" w:color="D3D3D3"/>
              <w:right w:val="single" w:sz="2" w:space="0" w:color="D3D3D3"/>
            </w:tcBorders>
          </w:tcPr>
          <w:p>
            <w:pPr/>
          </w:p>
        </w:tc>
        <w:tc>
          <w:tcPr>
            <w:tcW w:w="1449" w:type="dxa"/>
            <w:tcBorders>
              <w:top w:val="single" w:sz="2" w:space="0" w:color="D3D3D3"/>
              <w:left w:val="single" w:sz="2" w:space="0" w:color="D3D3D3"/>
              <w:bottom w:val="single" w:sz="2" w:space="0" w:color="D3D3D3"/>
              <w:right w:val="single" w:sz="2" w:space="0" w:color="D3D3D3"/>
            </w:tcBorders>
          </w:tcPr>
          <w:p>
            <w:pPr/>
          </w:p>
        </w:tc>
        <w:tc>
          <w:tcPr>
            <w:tcW w:w="1516" w:type="dxa"/>
            <w:tcBorders>
              <w:top w:val="single" w:sz="2" w:space="0" w:color="D3D3D3"/>
              <w:left w:val="single" w:sz="2" w:space="0" w:color="D3D3D3"/>
              <w:bottom w:val="single" w:sz="2" w:space="0" w:color="D3D3D3"/>
              <w:right w:val="single" w:sz="2" w:space="0" w:color="D3D3D3"/>
            </w:tcBorders>
          </w:tcPr>
          <w:p>
            <w:pPr/>
          </w:p>
        </w:tc>
        <w:tc>
          <w:tcPr>
            <w:tcW w:w="645" w:type="dxa"/>
            <w:tcBorders>
              <w:top w:val="single" w:sz="2" w:space="0" w:color="D3D3D3"/>
              <w:left w:val="single" w:sz="2" w:space="0" w:color="D3D3D3"/>
              <w:bottom w:val="single" w:sz="2" w:space="0" w:color="D3D3D3"/>
              <w:right w:val="single" w:sz="2" w:space="0" w:color="D3D3D3"/>
            </w:tcBorders>
          </w:tcPr>
          <w:p>
            <w:pPr/>
          </w:p>
        </w:tc>
        <w:tc>
          <w:tcPr>
            <w:tcW w:w="585" w:type="dxa"/>
            <w:tcBorders>
              <w:top w:val="single" w:sz="2" w:space="0" w:color="D3D3D3"/>
              <w:left w:val="single" w:sz="2" w:space="0" w:color="D3D3D3"/>
              <w:bottom w:val="single" w:sz="2" w:space="0" w:color="D3D3D3"/>
              <w:right w:val="single" w:sz="2" w:space="0" w:color="D3D3D3"/>
            </w:tcBorders>
          </w:tcPr>
          <w:p>
            <w:pPr/>
          </w:p>
        </w:tc>
        <w:tc>
          <w:tcPr>
            <w:tcW w:w="1105" w:type="dxa"/>
            <w:tcBorders>
              <w:top w:val="single" w:sz="2" w:space="0" w:color="D3D3D3"/>
              <w:left w:val="single" w:sz="2" w:space="0" w:color="D3D3D3"/>
              <w:bottom w:val="single" w:sz="2" w:space="0" w:color="D3D3D3"/>
              <w:right w:val="single" w:sz="15" w:space="0" w:color="FFFFFF"/>
            </w:tcBorders>
          </w:tcPr>
          <w:p>
            <w:pPr/>
          </w:p>
        </w:tc>
        <w:tc>
          <w:tcPr>
            <w:tcW w:w="485" w:type="dxa"/>
            <w:tcBorders>
              <w:top w:val="single" w:sz="2" w:space="0" w:color="D3D3D3"/>
              <w:left w:val="single" w:sz="15" w:space="0" w:color="FFFFFF"/>
              <w:bottom w:val="single" w:sz="2" w:space="0" w:color="D3D3D3"/>
            </w:tcBorders>
          </w:tcPr>
          <w:p>
            <w:pPr>
              <w:pStyle w:val="TableParagraph"/>
              <w:spacing w:before="6"/>
              <w:ind w:left="143"/>
              <w:jc w:val="left"/>
              <w:rPr>
                <w:rFonts w:ascii="Calibri"/>
                <w:sz w:val="6"/>
              </w:rPr>
            </w:pPr>
            <w:r>
              <w:rPr>
                <w:rFonts w:ascii="Calibri"/>
                <w:w w:val="105"/>
                <w:sz w:val="6"/>
              </w:rPr>
              <w:t>Total A</w:t>
            </w:r>
          </w:p>
        </w:tc>
        <w:tc>
          <w:tcPr>
            <w:tcW w:w="346" w:type="dxa"/>
            <w:shd w:val="clear" w:color="auto" w:fill="F79646"/>
          </w:tcPr>
          <w:p>
            <w:pPr>
              <w:pStyle w:val="TableParagraph"/>
              <w:spacing w:before="8"/>
              <w:ind w:left="136"/>
              <w:jc w:val="left"/>
              <w:rPr>
                <w:rFonts w:ascii="Calibri"/>
                <w:sz w:val="6"/>
              </w:rPr>
            </w:pPr>
            <w:r>
              <w:rPr>
                <w:rFonts w:ascii="Calibri"/>
                <w:w w:val="105"/>
                <w:sz w:val="6"/>
              </w:rPr>
              <w:t>8.8</w:t>
            </w:r>
          </w:p>
        </w:tc>
        <w:tc>
          <w:tcPr>
            <w:tcW w:w="346" w:type="dxa"/>
            <w:shd w:val="clear" w:color="auto" w:fill="FFFF00"/>
          </w:tcPr>
          <w:p>
            <w:pPr>
              <w:pStyle w:val="TableParagraph"/>
              <w:spacing w:before="8"/>
              <w:ind w:left="120"/>
              <w:jc w:val="left"/>
              <w:rPr>
                <w:rFonts w:ascii="Calibri"/>
                <w:sz w:val="6"/>
              </w:rPr>
            </w:pPr>
            <w:r>
              <w:rPr>
                <w:rFonts w:ascii="Calibri"/>
                <w:w w:val="105"/>
                <w:sz w:val="6"/>
              </w:rPr>
              <w:t>18.6</w:t>
            </w:r>
          </w:p>
        </w:tc>
        <w:tc>
          <w:tcPr>
            <w:tcW w:w="346" w:type="dxa"/>
            <w:shd w:val="clear" w:color="auto" w:fill="67ED4D"/>
          </w:tcPr>
          <w:p>
            <w:pPr>
              <w:pStyle w:val="TableParagraph"/>
              <w:spacing w:before="8"/>
              <w:ind w:left="123" w:right="118"/>
              <w:rPr>
                <w:rFonts w:ascii="Calibri"/>
                <w:sz w:val="6"/>
              </w:rPr>
            </w:pPr>
            <w:r>
              <w:rPr>
                <w:rFonts w:ascii="Calibri"/>
                <w:w w:val="105"/>
                <w:sz w:val="6"/>
              </w:rPr>
              <w:t>24</w:t>
            </w:r>
          </w:p>
        </w:tc>
        <w:tc>
          <w:tcPr>
            <w:tcW w:w="89" w:type="dxa"/>
            <w:tcBorders>
              <w:top w:val="single" w:sz="2" w:space="0" w:color="D3D3D3"/>
              <w:bottom w:val="single" w:sz="2" w:space="0" w:color="D3D3D3"/>
            </w:tcBorders>
          </w:tcPr>
          <w:p>
            <w:pPr/>
          </w:p>
        </w:tc>
      </w:tr>
      <w:tr>
        <w:trPr>
          <w:trHeight w:val="83" w:hRule="exact"/>
        </w:trPr>
        <w:tc>
          <w:tcPr>
            <w:tcW w:w="347" w:type="dxa"/>
            <w:tcBorders>
              <w:top w:val="single" w:sz="2" w:space="0" w:color="D3D3D3"/>
              <w:bottom w:val="single" w:sz="2" w:space="0" w:color="FBF111"/>
              <w:right w:val="single" w:sz="2" w:space="0" w:color="D3D3D3"/>
            </w:tcBorders>
          </w:tcPr>
          <w:p>
            <w:pPr/>
          </w:p>
        </w:tc>
        <w:tc>
          <w:tcPr>
            <w:tcW w:w="1182" w:type="dxa"/>
            <w:tcBorders>
              <w:top w:val="single" w:sz="2" w:space="0" w:color="D3D3D3"/>
              <w:left w:val="single" w:sz="2" w:space="0" w:color="D3D3D3"/>
              <w:bottom w:val="single" w:sz="2" w:space="0" w:color="FBF111"/>
              <w:right w:val="single" w:sz="2" w:space="0" w:color="D3D3D3"/>
            </w:tcBorders>
          </w:tcPr>
          <w:p>
            <w:pPr/>
          </w:p>
        </w:tc>
        <w:tc>
          <w:tcPr>
            <w:tcW w:w="1241" w:type="dxa"/>
            <w:tcBorders>
              <w:top w:val="single" w:sz="2" w:space="0" w:color="D3D3D3"/>
              <w:left w:val="single" w:sz="2" w:space="0" w:color="D3D3D3"/>
              <w:bottom w:val="single" w:sz="2" w:space="0" w:color="FBF111"/>
              <w:right w:val="single" w:sz="2" w:space="0" w:color="D3D3D3"/>
            </w:tcBorders>
          </w:tcPr>
          <w:p>
            <w:pPr/>
          </w:p>
        </w:tc>
        <w:tc>
          <w:tcPr>
            <w:tcW w:w="2353" w:type="dxa"/>
            <w:tcBorders>
              <w:top w:val="single" w:sz="2" w:space="0" w:color="D3D3D3"/>
              <w:left w:val="single" w:sz="2" w:space="0" w:color="D3D3D3"/>
              <w:bottom w:val="single" w:sz="2" w:space="0" w:color="FBF111"/>
              <w:right w:val="single" w:sz="2" w:space="0" w:color="D3D3D3"/>
            </w:tcBorders>
          </w:tcPr>
          <w:p>
            <w:pPr/>
          </w:p>
        </w:tc>
        <w:tc>
          <w:tcPr>
            <w:tcW w:w="968" w:type="dxa"/>
            <w:tcBorders>
              <w:top w:val="single" w:sz="2" w:space="0" w:color="D3D3D3"/>
              <w:left w:val="single" w:sz="2" w:space="0" w:color="D3D3D3"/>
              <w:bottom w:val="single" w:sz="2" w:space="0" w:color="FBF111"/>
              <w:right w:val="single" w:sz="2" w:space="0" w:color="D3D3D3"/>
            </w:tcBorders>
          </w:tcPr>
          <w:p>
            <w:pPr/>
          </w:p>
        </w:tc>
        <w:tc>
          <w:tcPr>
            <w:tcW w:w="1449" w:type="dxa"/>
            <w:tcBorders>
              <w:top w:val="single" w:sz="2" w:space="0" w:color="D3D3D3"/>
              <w:left w:val="single" w:sz="2" w:space="0" w:color="D3D3D3"/>
              <w:bottom w:val="single" w:sz="2" w:space="0" w:color="FBF111"/>
              <w:right w:val="single" w:sz="2" w:space="0" w:color="D3D3D3"/>
            </w:tcBorders>
          </w:tcPr>
          <w:p>
            <w:pPr/>
          </w:p>
        </w:tc>
        <w:tc>
          <w:tcPr>
            <w:tcW w:w="1516" w:type="dxa"/>
            <w:tcBorders>
              <w:top w:val="single" w:sz="2" w:space="0" w:color="D3D3D3"/>
              <w:left w:val="single" w:sz="2" w:space="0" w:color="D3D3D3"/>
              <w:bottom w:val="single" w:sz="2" w:space="0" w:color="FBF111"/>
              <w:right w:val="single" w:sz="2" w:space="0" w:color="D3D3D3"/>
            </w:tcBorders>
          </w:tcPr>
          <w:p>
            <w:pPr/>
          </w:p>
        </w:tc>
        <w:tc>
          <w:tcPr>
            <w:tcW w:w="645" w:type="dxa"/>
            <w:tcBorders>
              <w:top w:val="single" w:sz="2" w:space="0" w:color="D3D3D3"/>
              <w:left w:val="single" w:sz="2" w:space="0" w:color="D3D3D3"/>
              <w:bottom w:val="single" w:sz="2" w:space="0" w:color="FBF111"/>
              <w:right w:val="single" w:sz="2" w:space="0" w:color="D3D3D3"/>
            </w:tcBorders>
          </w:tcPr>
          <w:p>
            <w:pPr/>
          </w:p>
        </w:tc>
        <w:tc>
          <w:tcPr>
            <w:tcW w:w="585" w:type="dxa"/>
            <w:tcBorders>
              <w:top w:val="single" w:sz="2" w:space="0" w:color="D3D3D3"/>
              <w:left w:val="single" w:sz="2" w:space="0" w:color="D3D3D3"/>
              <w:bottom w:val="single" w:sz="2" w:space="0" w:color="FBF111"/>
              <w:right w:val="single" w:sz="2" w:space="0" w:color="D3D3D3"/>
            </w:tcBorders>
          </w:tcPr>
          <w:p>
            <w:pPr/>
          </w:p>
        </w:tc>
        <w:tc>
          <w:tcPr>
            <w:tcW w:w="1105" w:type="dxa"/>
            <w:tcBorders>
              <w:top w:val="single" w:sz="2" w:space="0" w:color="D3D3D3"/>
              <w:left w:val="single" w:sz="2" w:space="0" w:color="D3D3D3"/>
              <w:bottom w:val="single" w:sz="2" w:space="0" w:color="FBF111"/>
              <w:right w:val="single" w:sz="15" w:space="0" w:color="FFFFFF"/>
            </w:tcBorders>
          </w:tcPr>
          <w:p>
            <w:pPr/>
          </w:p>
        </w:tc>
        <w:tc>
          <w:tcPr>
            <w:tcW w:w="485" w:type="dxa"/>
            <w:tcBorders>
              <w:top w:val="single" w:sz="2" w:space="0" w:color="D3D3D3"/>
              <w:left w:val="single" w:sz="15" w:space="0" w:color="FFFFFF"/>
              <w:bottom w:val="single" w:sz="2" w:space="0" w:color="FBF111"/>
              <w:right w:val="single" w:sz="2" w:space="0" w:color="D3D3D3"/>
            </w:tcBorders>
          </w:tcPr>
          <w:p>
            <w:pPr/>
          </w:p>
        </w:tc>
        <w:tc>
          <w:tcPr>
            <w:tcW w:w="346" w:type="dxa"/>
            <w:tcBorders>
              <w:left w:val="single" w:sz="2" w:space="0" w:color="D3D3D3"/>
              <w:bottom w:val="single" w:sz="2" w:space="0" w:color="FBF111"/>
              <w:right w:val="single" w:sz="2" w:space="0" w:color="D3D3D3"/>
            </w:tcBorders>
          </w:tcPr>
          <w:p>
            <w:pPr/>
          </w:p>
        </w:tc>
        <w:tc>
          <w:tcPr>
            <w:tcW w:w="346" w:type="dxa"/>
            <w:tcBorders>
              <w:left w:val="single" w:sz="2" w:space="0" w:color="D3D3D3"/>
              <w:bottom w:val="single" w:sz="2" w:space="0" w:color="FBF111"/>
              <w:right w:val="single" w:sz="2" w:space="0" w:color="D3D3D3"/>
            </w:tcBorders>
          </w:tcPr>
          <w:p>
            <w:pPr/>
          </w:p>
        </w:tc>
        <w:tc>
          <w:tcPr>
            <w:tcW w:w="346" w:type="dxa"/>
            <w:tcBorders>
              <w:left w:val="single" w:sz="2" w:space="0" w:color="D3D3D3"/>
              <w:bottom w:val="single" w:sz="2" w:space="0" w:color="FBF111"/>
              <w:right w:val="single" w:sz="2" w:space="0" w:color="D3D3D3"/>
            </w:tcBorders>
          </w:tcPr>
          <w:p>
            <w:pPr/>
          </w:p>
        </w:tc>
        <w:tc>
          <w:tcPr>
            <w:tcW w:w="89" w:type="dxa"/>
            <w:tcBorders>
              <w:top w:val="single" w:sz="2" w:space="0" w:color="D3D3D3"/>
              <w:left w:val="single" w:sz="2" w:space="0" w:color="D3D3D3"/>
              <w:bottom w:val="single" w:sz="2" w:space="0" w:color="FBF111"/>
            </w:tcBorders>
          </w:tcPr>
          <w:p>
            <w:pPr/>
          </w:p>
        </w:tc>
      </w:tr>
    </w:tbl>
    <w:p>
      <w:pPr>
        <w:spacing w:before="132"/>
        <w:ind w:left="135" w:right="0" w:firstLine="0"/>
        <w:jc w:val="left"/>
        <w:rPr>
          <w:sz w:val="21"/>
        </w:rPr>
      </w:pPr>
      <w:r>
        <w:rPr>
          <w:w w:val="105"/>
          <w:sz w:val="21"/>
        </w:rPr>
        <w:t>Fuente: Elaboración propia con base al estudio realizado.</w:t>
      </w:r>
    </w:p>
    <w:p>
      <w:pPr>
        <w:spacing w:after="0"/>
        <w:jc w:val="left"/>
        <w:rPr>
          <w:sz w:val="21"/>
        </w:rPr>
        <w:sectPr>
          <w:headerReference w:type="default" r:id="rId421"/>
          <w:pgSz w:w="15840" w:h="12240" w:orient="landscape"/>
          <w:pgMar w:header="732" w:footer="1063" w:top="1320" w:bottom="1260" w:left="128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p>
    <w:p>
      <w:pPr>
        <w:pStyle w:val="BodyText"/>
        <w:spacing w:before="69" w:after="33"/>
        <w:ind w:left="135"/>
      </w:pPr>
      <w:r>
        <w:rPr/>
        <w:pict>
          <v:group style="position:absolute;margin-left:69.035004pt;margin-top:18.489847pt;width:654.550pt;height:160.2pt;mso-position-horizontal-relative:page;mso-position-vertical-relative:paragraph;z-index:-1121344" coordorigin="1381,370" coordsize="13091,3204">
            <v:rect style="position:absolute;left:1424;top:378;width:13004;height:137" filled="true" fillcolor="#81de55" stroked="false">
              <v:fill type="solid"/>
            </v:rect>
            <v:line style="position:absolute" from="1422,376" to="1426,376" stroked="true" strokeweight=".196064pt" strokecolor="#d3d3d3"/>
            <v:rect style="position:absolute;left:1428;top:374;width:13000;height:8" filled="true" fillcolor="#000000" stroked="false">
              <v:fill type="solid"/>
            </v:rect>
            <v:shape style="position:absolute;left:1768;top:376;width:12659;height:2" coordorigin="1768,376" coordsize="12659,0" path="m14422,376l14426,376m1768,376l1772,376m1862,376l1866,376m2950,376l2954,376m4190,376l4194,376m12793,376l12797,376m12828,376l12832,376m6534,376l6538,376m7512,376l7516,376m8961,376l8965,376m10472,376l10476,376m11120,376l11124,376m11705,376l11709,376m13295,376l13299,376m13641,376l13645,376m13986,376l13990,376m14332,376l14336,376e" filled="false" stroked="true" strokeweight=".196064pt" strokecolor="#d3d3d3">
              <v:path arrowok="t"/>
            </v:shape>
            <v:line style="position:absolute" from="1424,637" to="14428,637" stroked="true" strokeweight="4.31994pt" strokecolor="#81de55"/>
            <v:line style="position:absolute" from="1428,802" to="14428,802" stroked="true" strokeweight="4.31341pt" strokecolor="#fbf111"/>
            <v:line style="position:absolute" from="1865,680" to="1865,759" stroked="true" strokeweight=".294358pt" strokecolor="#d3d3d3"/>
            <v:line style="position:absolute" from="10475,680" to="10475,759" stroked="true" strokeweight=".294289pt" strokecolor="#d3d3d3"/>
            <v:line style="position:absolute" from="12796,680" to="12796,759" stroked="true" strokeweight=".294995pt" strokecolor="#d3d3d3"/>
            <v:line style="position:absolute" from="12831,680" to="12831,759" stroked="true" strokeweight=".294682pt" strokecolor="#d3d3d3"/>
            <v:line style="position:absolute" from="7514,967" to="8967,967" stroked="true" strokeweight="4.31994pt" strokecolor="#808080"/>
            <v:line style="position:absolute" from="1428,923" to="7514,923" stroked="true" strokeweight=".196064pt" strokecolor="#d3d3d3"/>
            <v:line style="position:absolute" from="1428,925" to="7514,925" stroked="true" strokeweight=".196064pt" strokecolor="#d3d3d3"/>
            <v:line style="position:absolute" from="8967,923" to="14420,923" stroked="true" strokeweight=".196064pt" strokecolor="#d3d3d3"/>
            <v:line style="position:absolute" from="8967,925" to="14420,925" stroked="true" strokeweight=".196064pt" strokecolor="#d3d3d3"/>
            <v:line style="position:absolute" from="10474,845" to="10474,1006" stroked="true" strokeweight=".196257pt" strokecolor="#d3d3d3"/>
            <v:line style="position:absolute" from="10476,845" to="10476,1006" stroked="true" strokeweight=".196257pt" strokecolor="#d3d3d3"/>
            <v:line style="position:absolute" from="12795,845" to="12795,1006" stroked="true" strokeweight=".196257pt" strokecolor="#d3d3d3"/>
            <v:line style="position:absolute" from="12797,845" to="12797,1006" stroked="true" strokeweight=".196257pt" strokecolor="#d3d3d3"/>
            <v:line style="position:absolute" from="12830,845" to="12830,1006" stroked="true" strokeweight=".196257pt" strokecolor="#d3d3d3"/>
            <v:line style="position:absolute" from="12832,845" to="12832,1006" stroked="true" strokeweight=".196257pt" strokecolor="#d3d3d3"/>
            <v:line style="position:absolute" from="1864,845" to="1864,3562" stroked="true" strokeweight=".196257pt" strokecolor="#d3d3d3"/>
            <v:line style="position:absolute" from="1866,845" to="1866,3562" stroked="true" strokeweight=".196257pt" strokecolor="#d3d3d3"/>
            <v:line style="position:absolute" from="10474,3236" to="10474,3562" stroked="true" strokeweight=".196257pt" strokecolor="#d3d3d3"/>
            <v:line style="position:absolute" from="10476,3236" to="10476,3562" stroked="true" strokeweight=".196257pt" strokecolor="#d3d3d3"/>
            <v:line style="position:absolute" from="12795,3236" to="12795,3562" stroked="true" strokeweight=".196257pt" strokecolor="#d3d3d3"/>
            <v:line style="position:absolute" from="12797,3236" to="12797,3562" stroked="true" strokeweight=".196257pt" strokecolor="#d3d3d3"/>
            <v:line style="position:absolute" from="12830,3236" to="12830,3562" stroked="true" strokeweight=".196257pt" strokecolor="#d3d3d3"/>
            <v:line style="position:absolute" from="12832,3236" to="12832,3562" stroked="true" strokeweight=".196257pt" strokecolor="#d3d3d3"/>
            <v:line style="position:absolute" from="1424,374" to="1424,3570" stroked="true" strokeweight=".392514pt" strokecolor="#000000"/>
            <v:line style="position:absolute" from="14424,382" to="14424,3570" stroked="true" strokeweight=".392514pt" strokecolor="#000000"/>
            <v:shape style="position:absolute;left:49695;top:-3085;width:15;height:2088" coordorigin="49695,-3085" coordsize="15,2088" path="m14428,378l14432,378m14428,511l14432,511m14428,594l14432,594m14428,676l14432,676m14428,923l14432,923e" filled="false" stroked="true" strokeweight=".196161pt" strokecolor="#d3d3d3">
              <v:path arrowok="t"/>
            </v:shape>
            <w10:wrap type="none"/>
          </v:group>
        </w:pict>
      </w:r>
      <w:r>
        <w:rPr/>
        <w:pict>
          <v:line style="position:absolute;mso-position-horizontal-relative:page;mso-position-vertical-relative:paragraph;z-index:-1121320" from="523.770142pt,54.613747pt" to="523.770142pt,58.542874pt" stroked="true" strokeweight=".294289pt" strokecolor="#d3d3d3">
            <w10:wrap type="none"/>
          </v:line>
        </w:pict>
      </w:r>
      <w:r>
        <w:rPr/>
        <w:pict>
          <v:group style="position:absolute;margin-left:639.640381pt;margin-top:54.513748pt;width:2.1pt;height:8.25pt;mso-position-horizontal-relative:page;mso-position-vertical-relative:paragraph;z-index:-1121296" coordorigin="12793,1090" coordsize="42,165">
            <v:line style="position:absolute" from="12795,1092" to="12795,1253" stroked="true" strokeweight=".196257pt" strokecolor="#d3d3d3"/>
            <v:line style="position:absolute" from="12797,1092" to="12797,1253" stroked="true" strokeweight=".196257pt" strokecolor="#d3d3d3"/>
            <v:line style="position:absolute" from="12830,1092" to="12830,1253" stroked="true" strokeweight=".196257pt" strokecolor="#d3d3d3"/>
            <v:line style="position:absolute" from="12832,1092" to="12832,1253" stroked="true" strokeweight=".196257pt" strokecolor="#d3d3d3"/>
            <w10:wrap type="none"/>
          </v:group>
        </w:pict>
      </w:r>
      <w:r>
        <w:rPr/>
        <w:pict>
          <v:line style="position:absolute;mso-position-horizontal-relative:page;mso-position-vertical-relative:paragraph;z-index:-1121272" from="523.770142pt,66.980026pt" to="523.770142pt,70.907993pt" stroked="true" strokeweight=".294289pt" strokecolor="#d3d3d3">
            <w10:wrap type="none"/>
          </v:line>
        </w:pict>
      </w:r>
      <w:r>
        <w:rPr/>
        <w:pict>
          <v:group style="position:absolute;margin-left:639.640381pt;margin-top:66.881477pt;width:2.1pt;height:8.3pt;mso-position-horizontal-relative:page;mso-position-vertical-relative:paragraph;z-index:-1121248" coordorigin="12793,1338" coordsize="42,166">
            <v:line style="position:absolute" from="12795,1340" to="12795,1501" stroked="true" strokeweight=".196257pt" strokecolor="#d3d3d3"/>
            <v:line style="position:absolute" from="12797,1340" to="12797,1501" stroked="true" strokeweight=".196257pt" strokecolor="#d3d3d3"/>
            <v:line style="position:absolute" from="12830,1340" to="12830,1501" stroked="true" strokeweight=".196257pt" strokecolor="#d3d3d3"/>
            <v:line style="position:absolute" from="12832,1340" to="12832,1501" stroked="true" strokeweight=".196257pt" strokecolor="#d3d3d3"/>
            <w10:wrap type="none"/>
          </v:group>
        </w:pict>
      </w:r>
      <w:r>
        <w:rPr/>
        <w:pict>
          <v:group style="position:absolute;margin-left:639.639771pt;margin-top:79.201569pt;width:2.1pt;height:4.25pt;mso-position-horizontal-relative:page;mso-position-vertical-relative:paragraph;z-index:-1121224" coordorigin="12793,1584" coordsize="42,85">
            <v:line style="position:absolute" from="12796,1587" to="12796,1665" stroked="true" strokeweight=".294995pt" strokecolor="#d3d3d3"/>
            <v:line style="position:absolute" from="12831,1587" to="12831,1665" stroked="true" strokeweight=".294682pt" strokecolor="#d3d3d3"/>
            <w10:wrap type="none"/>
          </v:group>
        </w:pict>
      </w:r>
      <w:r>
        <w:rPr/>
        <w:pict>
          <v:group style="position:absolute;margin-left:639.639771pt;margin-top:87.443024pt;width:2.1pt;height:4.25pt;mso-position-horizontal-relative:page;mso-position-vertical-relative:paragraph;z-index:-1121200" coordorigin="12793,1749" coordsize="42,85">
            <v:line style="position:absolute" from="12796,1752" to="12796,1830" stroked="true" strokeweight=".294995pt" strokecolor="#d3d3d3"/>
            <v:line style="position:absolute" from="12831,1752" to="12831,1830" stroked="true" strokeweight=".294682pt" strokecolor="#d3d3d3"/>
            <w10:wrap type="none"/>
          </v:group>
        </w:pict>
      </w:r>
      <w:r>
        <w:rPr/>
        <w:pict>
          <v:group style="position:absolute;margin-left:523.621094pt;margin-top:95.739525pt;width:.3pt;height:12.4pt;mso-position-horizontal-relative:page;mso-position-vertical-relative:paragraph;z-index:-1121176" coordorigin="10472,1915" coordsize="6,248">
            <v:line style="position:absolute" from="10474,1917" to="10474,2160" stroked="true" strokeweight=".196257pt" strokecolor="#d3d3d3"/>
            <v:line style="position:absolute" from="10476,1917" to="10476,2160" stroked="true" strokeweight=".196257pt" strokecolor="#d3d3d3"/>
            <w10:wrap type="none"/>
          </v:group>
        </w:pict>
      </w:r>
      <w:r>
        <w:rPr/>
        <w:pict>
          <v:group style="position:absolute;margin-left:639.640381pt;margin-top:95.739525pt;width:2.1pt;height:12.4pt;mso-position-horizontal-relative:page;mso-position-vertical-relative:paragraph;z-index:-1121152" coordorigin="12793,1915" coordsize="42,248">
            <v:line style="position:absolute" from="12795,1917" to="12795,2160" stroked="true" strokeweight=".196257pt" strokecolor="#d3d3d3"/>
            <v:line style="position:absolute" from="12797,1917" to="12797,2160" stroked="true" strokeweight=".196257pt" strokecolor="#d3d3d3"/>
            <v:line style="position:absolute" from="12830,1917" to="12830,2160" stroked="true" strokeweight=".196257pt" strokecolor="#d3d3d3"/>
            <v:line style="position:absolute" from="12832,1917" to="12832,2160" stroked="true" strokeweight=".196257pt" strokecolor="#d3d3d3"/>
            <w10:wrap type="none"/>
          </v:group>
        </w:pict>
      </w:r>
      <w:r>
        <w:rPr/>
        <w:t>Tabla 84. Formato de trabajo y evaluación de indicadores económicos.</w:t>
      </w:r>
    </w:p>
    <w:tbl>
      <w:tblPr>
        <w:tblW w:w="0" w:type="auto"/>
        <w:jc w:val="left"/>
        <w:tblInd w:w="1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7"/>
        <w:gridCol w:w="1182"/>
        <w:gridCol w:w="1241"/>
        <w:gridCol w:w="2344"/>
        <w:gridCol w:w="977"/>
        <w:gridCol w:w="1449"/>
        <w:gridCol w:w="2159"/>
        <w:gridCol w:w="581"/>
        <w:gridCol w:w="1225"/>
        <w:gridCol w:w="370"/>
        <w:gridCol w:w="346"/>
        <w:gridCol w:w="346"/>
        <w:gridCol w:w="346"/>
        <w:gridCol w:w="89"/>
      </w:tblGrid>
      <w:tr>
        <w:trPr>
          <w:trHeight w:val="563" w:hRule="exact"/>
        </w:trPr>
        <w:tc>
          <w:tcPr>
            <w:tcW w:w="347" w:type="dxa"/>
            <w:tcBorders>
              <w:right w:val="single" w:sz="2" w:space="0" w:color="D3D3D3"/>
            </w:tcBorders>
          </w:tcPr>
          <w:p>
            <w:pPr>
              <w:pStyle w:val="TableParagraph"/>
              <w:jc w:val="left"/>
              <w:rPr>
                <w:sz w:val="6"/>
              </w:rPr>
            </w:pPr>
          </w:p>
          <w:p>
            <w:pPr>
              <w:pStyle w:val="TableParagraph"/>
              <w:jc w:val="left"/>
              <w:rPr>
                <w:sz w:val="6"/>
              </w:rPr>
            </w:pPr>
          </w:p>
          <w:p>
            <w:pPr>
              <w:pStyle w:val="TableParagraph"/>
              <w:spacing w:before="7"/>
              <w:jc w:val="left"/>
              <w:rPr>
                <w:sz w:val="7"/>
              </w:rPr>
            </w:pPr>
          </w:p>
          <w:p>
            <w:pPr>
              <w:pStyle w:val="TableParagraph"/>
              <w:ind w:left="10" w:right="6"/>
              <w:rPr>
                <w:rFonts w:ascii="Calibri" w:hAnsi="Calibri"/>
                <w:b/>
                <w:sz w:val="6"/>
              </w:rPr>
            </w:pPr>
            <w:r>
              <w:rPr>
                <w:rFonts w:ascii="Calibri" w:hAnsi="Calibri"/>
                <w:b/>
                <w:w w:val="105"/>
                <w:sz w:val="6"/>
              </w:rPr>
              <w:t>Índice</w:t>
            </w:r>
          </w:p>
        </w:tc>
        <w:tc>
          <w:tcPr>
            <w:tcW w:w="1182" w:type="dxa"/>
            <w:tcBorders>
              <w:left w:val="single" w:sz="2" w:space="0" w:color="D3D3D3"/>
              <w:right w:val="single" w:sz="2" w:space="0" w:color="D3D3D3"/>
            </w:tcBorders>
          </w:tcPr>
          <w:p>
            <w:pPr>
              <w:pStyle w:val="TableParagraph"/>
              <w:jc w:val="left"/>
              <w:rPr>
                <w:sz w:val="6"/>
              </w:rPr>
            </w:pPr>
          </w:p>
          <w:p>
            <w:pPr>
              <w:pStyle w:val="TableParagraph"/>
              <w:jc w:val="left"/>
              <w:rPr>
                <w:sz w:val="6"/>
              </w:rPr>
            </w:pPr>
          </w:p>
          <w:p>
            <w:pPr>
              <w:pStyle w:val="TableParagraph"/>
              <w:spacing w:before="7"/>
              <w:jc w:val="left"/>
              <w:rPr>
                <w:sz w:val="7"/>
              </w:rPr>
            </w:pPr>
          </w:p>
          <w:p>
            <w:pPr>
              <w:pStyle w:val="TableParagraph"/>
              <w:ind w:left="490" w:right="391"/>
              <w:rPr>
                <w:rFonts w:ascii="Calibri" w:hAnsi="Calibri"/>
                <w:b/>
                <w:sz w:val="6"/>
              </w:rPr>
            </w:pPr>
            <w:r>
              <w:rPr>
                <w:rFonts w:ascii="Calibri" w:hAnsi="Calibri"/>
                <w:b/>
                <w:w w:val="105"/>
                <w:sz w:val="6"/>
              </w:rPr>
              <w:t>SubÍndice</w:t>
            </w:r>
          </w:p>
        </w:tc>
        <w:tc>
          <w:tcPr>
            <w:tcW w:w="1241" w:type="dxa"/>
            <w:tcBorders>
              <w:left w:val="single" w:sz="2" w:space="0" w:color="D3D3D3"/>
              <w:right w:val="single" w:sz="2" w:space="0" w:color="D3D3D3"/>
            </w:tcBorders>
          </w:tcPr>
          <w:p>
            <w:pPr>
              <w:pStyle w:val="TableParagraph"/>
              <w:jc w:val="left"/>
              <w:rPr>
                <w:sz w:val="6"/>
              </w:rPr>
            </w:pPr>
          </w:p>
          <w:p>
            <w:pPr>
              <w:pStyle w:val="TableParagraph"/>
              <w:jc w:val="left"/>
              <w:rPr>
                <w:sz w:val="6"/>
              </w:rPr>
            </w:pPr>
          </w:p>
          <w:p>
            <w:pPr>
              <w:pStyle w:val="TableParagraph"/>
              <w:spacing w:before="7"/>
              <w:jc w:val="left"/>
              <w:rPr>
                <w:sz w:val="7"/>
              </w:rPr>
            </w:pPr>
          </w:p>
          <w:p>
            <w:pPr>
              <w:pStyle w:val="TableParagraph"/>
              <w:ind w:left="474" w:right="474"/>
              <w:rPr>
                <w:rFonts w:ascii="Calibri"/>
                <w:b/>
                <w:sz w:val="6"/>
              </w:rPr>
            </w:pPr>
            <w:r>
              <w:rPr>
                <w:rFonts w:ascii="Calibri"/>
                <w:b/>
                <w:w w:val="105"/>
                <w:sz w:val="6"/>
              </w:rPr>
              <w:t>Indicador</w:t>
            </w:r>
          </w:p>
        </w:tc>
        <w:tc>
          <w:tcPr>
            <w:tcW w:w="2344" w:type="dxa"/>
            <w:tcBorders>
              <w:left w:val="single" w:sz="2" w:space="0" w:color="D3D3D3"/>
              <w:right w:val="single" w:sz="2" w:space="0" w:color="D3D3D3"/>
            </w:tcBorders>
          </w:tcPr>
          <w:p>
            <w:pPr/>
          </w:p>
        </w:tc>
        <w:tc>
          <w:tcPr>
            <w:tcW w:w="977" w:type="dxa"/>
            <w:tcBorders>
              <w:left w:val="single" w:sz="2" w:space="0" w:color="D3D3D3"/>
              <w:right w:val="single" w:sz="2" w:space="0" w:color="D3D3D3"/>
            </w:tcBorders>
          </w:tcPr>
          <w:p>
            <w:pPr>
              <w:pStyle w:val="TableParagraph"/>
              <w:spacing w:before="24"/>
              <w:ind w:right="-9"/>
              <w:jc w:val="right"/>
              <w:rPr>
                <w:rFonts w:ascii="Calibri"/>
                <w:b/>
                <w:sz w:val="9"/>
              </w:rPr>
            </w:pPr>
            <w:r>
              <w:rPr>
                <w:rFonts w:ascii="Calibri"/>
                <w:b/>
                <w:w w:val="104"/>
                <w:sz w:val="9"/>
              </w:rPr>
              <w:t>S</w:t>
            </w:r>
          </w:p>
        </w:tc>
        <w:tc>
          <w:tcPr>
            <w:tcW w:w="1449" w:type="dxa"/>
            <w:tcBorders>
              <w:left w:val="single" w:sz="2" w:space="0" w:color="D3D3D3"/>
              <w:right w:val="single" w:sz="2" w:space="0" w:color="D3D3D3"/>
            </w:tcBorders>
          </w:tcPr>
          <w:p>
            <w:pPr>
              <w:pStyle w:val="TableParagraph"/>
              <w:spacing w:before="24"/>
              <w:ind w:right="580"/>
              <w:rPr>
                <w:rFonts w:ascii="Calibri"/>
                <w:b/>
                <w:sz w:val="9"/>
              </w:rPr>
            </w:pPr>
            <w:r>
              <w:rPr>
                <w:rFonts w:ascii="Calibri"/>
                <w:b/>
                <w:w w:val="105"/>
                <w:sz w:val="9"/>
              </w:rPr>
              <w:t>istema de Indicadores</w:t>
            </w:r>
          </w:p>
          <w:p>
            <w:pPr>
              <w:pStyle w:val="TableParagraph"/>
              <w:spacing w:before="9"/>
              <w:ind w:right="619"/>
              <w:rPr>
                <w:rFonts w:ascii="Calibri" w:hAnsi="Calibri"/>
                <w:sz w:val="6"/>
              </w:rPr>
            </w:pPr>
            <w:r>
              <w:rPr>
                <w:rFonts w:ascii="Calibri" w:hAnsi="Calibri"/>
                <w:w w:val="105"/>
                <w:sz w:val="6"/>
              </w:rPr>
              <w:t>Formato de evaluación</w:t>
            </w:r>
          </w:p>
          <w:p>
            <w:pPr>
              <w:pStyle w:val="TableParagraph"/>
              <w:spacing w:before="5"/>
              <w:ind w:left="718"/>
              <w:jc w:val="left"/>
              <w:rPr>
                <w:rFonts w:ascii="Calibri" w:hAnsi="Calibri"/>
                <w:b/>
                <w:sz w:val="6"/>
              </w:rPr>
            </w:pPr>
            <w:r>
              <w:rPr>
                <w:rFonts w:ascii="Calibri" w:hAnsi="Calibri"/>
                <w:b/>
                <w:w w:val="105"/>
                <w:sz w:val="6"/>
              </w:rPr>
              <w:t>Medición Reactivos</w:t>
            </w:r>
          </w:p>
        </w:tc>
        <w:tc>
          <w:tcPr>
            <w:tcW w:w="2159" w:type="dxa"/>
            <w:tcBorders>
              <w:left w:val="single" w:sz="2" w:space="0" w:color="D3D3D3"/>
              <w:right w:val="single" w:sz="2" w:space="0" w:color="D3D3D3"/>
            </w:tcBorders>
          </w:tcPr>
          <w:p>
            <w:pPr/>
          </w:p>
        </w:tc>
        <w:tc>
          <w:tcPr>
            <w:tcW w:w="581" w:type="dxa"/>
            <w:tcBorders>
              <w:left w:val="single" w:sz="2" w:space="0" w:color="D3D3D3"/>
              <w:right w:val="single" w:sz="2" w:space="0" w:color="D3D3D3"/>
            </w:tcBorders>
          </w:tcPr>
          <w:p>
            <w:pPr/>
          </w:p>
        </w:tc>
        <w:tc>
          <w:tcPr>
            <w:tcW w:w="1225" w:type="dxa"/>
            <w:tcBorders>
              <w:left w:val="single" w:sz="2" w:space="0" w:color="D3D3D3"/>
            </w:tcBorders>
          </w:tcPr>
          <w:p>
            <w:pPr/>
          </w:p>
        </w:tc>
        <w:tc>
          <w:tcPr>
            <w:tcW w:w="370" w:type="dxa"/>
            <w:tcBorders>
              <w:right w:val="single" w:sz="2" w:space="0" w:color="D3D3D3"/>
            </w:tcBorders>
          </w:tcPr>
          <w:p>
            <w:pPr/>
          </w:p>
        </w:tc>
        <w:tc>
          <w:tcPr>
            <w:tcW w:w="346" w:type="dxa"/>
            <w:tcBorders>
              <w:left w:val="single" w:sz="2" w:space="0" w:color="D3D3D3"/>
              <w:right w:val="single" w:sz="2" w:space="0" w:color="D3D3D3"/>
            </w:tcBorders>
          </w:tcPr>
          <w:p>
            <w:pPr>
              <w:pStyle w:val="TableParagraph"/>
              <w:jc w:val="left"/>
              <w:rPr>
                <w:sz w:val="6"/>
              </w:rPr>
            </w:pPr>
          </w:p>
          <w:p>
            <w:pPr>
              <w:pStyle w:val="TableParagraph"/>
              <w:jc w:val="left"/>
              <w:rPr>
                <w:sz w:val="6"/>
              </w:rPr>
            </w:pPr>
          </w:p>
          <w:p>
            <w:pPr>
              <w:pStyle w:val="TableParagraph"/>
              <w:spacing w:before="3"/>
              <w:jc w:val="left"/>
              <w:rPr>
                <w:sz w:val="7"/>
              </w:rPr>
            </w:pPr>
          </w:p>
          <w:p>
            <w:pPr>
              <w:pStyle w:val="TableParagraph"/>
              <w:ind w:right="-8"/>
              <w:jc w:val="right"/>
              <w:rPr>
                <w:rFonts w:ascii="Calibri"/>
                <w:b/>
                <w:sz w:val="6"/>
              </w:rPr>
            </w:pPr>
            <w:r>
              <w:rPr>
                <w:rFonts w:ascii="Calibri"/>
                <w:b/>
                <w:w w:val="105"/>
                <w:sz w:val="6"/>
              </w:rPr>
              <w:t>Valo</w:t>
            </w:r>
          </w:p>
        </w:tc>
        <w:tc>
          <w:tcPr>
            <w:tcW w:w="346" w:type="dxa"/>
            <w:tcBorders>
              <w:left w:val="single" w:sz="2" w:space="0" w:color="D3D3D3"/>
              <w:right w:val="single" w:sz="2" w:space="0" w:color="D3D3D3"/>
            </w:tcBorders>
          </w:tcPr>
          <w:p>
            <w:pPr>
              <w:pStyle w:val="TableParagraph"/>
              <w:jc w:val="left"/>
              <w:rPr>
                <w:sz w:val="6"/>
              </w:rPr>
            </w:pPr>
          </w:p>
          <w:p>
            <w:pPr>
              <w:pStyle w:val="TableParagraph"/>
              <w:jc w:val="left"/>
              <w:rPr>
                <w:sz w:val="6"/>
              </w:rPr>
            </w:pPr>
          </w:p>
          <w:p>
            <w:pPr>
              <w:pStyle w:val="TableParagraph"/>
              <w:spacing w:before="3"/>
              <w:jc w:val="left"/>
              <w:rPr>
                <w:sz w:val="7"/>
              </w:rPr>
            </w:pPr>
          </w:p>
          <w:p>
            <w:pPr>
              <w:pStyle w:val="TableParagraph"/>
              <w:ind w:left="4"/>
              <w:jc w:val="left"/>
              <w:rPr>
                <w:rFonts w:ascii="Calibri"/>
                <w:b/>
                <w:sz w:val="6"/>
              </w:rPr>
            </w:pPr>
            <w:r>
              <w:rPr>
                <w:rFonts w:ascii="Calibri"/>
                <w:b/>
                <w:w w:val="105"/>
                <w:sz w:val="6"/>
              </w:rPr>
              <w:t>res</w:t>
            </w:r>
          </w:p>
        </w:tc>
        <w:tc>
          <w:tcPr>
            <w:tcW w:w="346" w:type="dxa"/>
            <w:tcBorders>
              <w:left w:val="single" w:sz="2" w:space="0" w:color="D3D3D3"/>
              <w:right w:val="single" w:sz="2" w:space="0" w:color="D3D3D3"/>
            </w:tcBorders>
          </w:tcPr>
          <w:p>
            <w:pPr/>
          </w:p>
        </w:tc>
        <w:tc>
          <w:tcPr>
            <w:tcW w:w="89" w:type="dxa"/>
            <w:vMerge w:val="restart"/>
          </w:tcPr>
          <w:p>
            <w:pPr/>
          </w:p>
        </w:tc>
      </w:tr>
      <w:tr>
        <w:trPr>
          <w:trHeight w:val="8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Style w:val="TableParagraph"/>
              <w:spacing w:line="65" w:lineRule="exact"/>
              <w:ind w:left="52"/>
              <w:jc w:val="left"/>
              <w:rPr>
                <w:rFonts w:ascii="Calibri" w:hAnsi="Calibri"/>
                <w:sz w:val="6"/>
              </w:rPr>
            </w:pPr>
            <w:r>
              <w:rPr>
                <w:rFonts w:ascii="Calibri" w:hAnsi="Calibri"/>
                <w:w w:val="105"/>
                <w:sz w:val="6"/>
              </w:rPr>
              <w:t>1 Situación de la vivienda</w:t>
            </w:r>
          </w:p>
        </w:tc>
        <w:tc>
          <w:tcPr>
            <w:tcW w:w="1241" w:type="dxa"/>
            <w:tcBorders>
              <w:left w:val="single" w:sz="2" w:space="0" w:color="D3D3D3"/>
              <w:right w:val="single" w:sz="2" w:space="0" w:color="D3D3D3"/>
            </w:tcBorders>
          </w:tcPr>
          <w:p>
            <w:pPr>
              <w:pStyle w:val="TableParagraph"/>
              <w:spacing w:line="65" w:lineRule="exact"/>
              <w:ind w:left="8"/>
              <w:jc w:val="left"/>
              <w:rPr>
                <w:rFonts w:ascii="Calibri"/>
                <w:sz w:val="6"/>
              </w:rPr>
            </w:pPr>
            <w:r>
              <w:rPr>
                <w:rFonts w:ascii="Calibri"/>
                <w:w w:val="105"/>
                <w:sz w:val="6"/>
              </w:rPr>
              <w:t>Precio</w:t>
            </w:r>
          </w:p>
        </w:tc>
        <w:tc>
          <w:tcPr>
            <w:tcW w:w="2344" w:type="dxa"/>
            <w:tcBorders>
              <w:left w:val="single" w:sz="2" w:space="0" w:color="D3D3D3"/>
              <w:right w:val="single" w:sz="2" w:space="0" w:color="D3D3D3"/>
            </w:tcBorders>
          </w:tcPr>
          <w:p>
            <w:pPr>
              <w:pStyle w:val="TableParagraph"/>
              <w:spacing w:line="65" w:lineRule="exact"/>
              <w:ind w:left="8"/>
              <w:jc w:val="left"/>
              <w:rPr>
                <w:rFonts w:ascii="Calibri" w:hAnsi="Calibri"/>
                <w:sz w:val="6"/>
              </w:rPr>
            </w:pPr>
            <w:r>
              <w:rPr>
                <w:rFonts w:ascii="Calibri" w:hAnsi="Calibri"/>
                <w:w w:val="105"/>
                <w:sz w:val="6"/>
              </w:rPr>
              <w:t>¿El precio de venta de la vivienda es congruente con la normatividad?</w:t>
            </w:r>
          </w:p>
        </w:tc>
        <w:tc>
          <w:tcPr>
            <w:tcW w:w="977" w:type="dxa"/>
            <w:tcBorders>
              <w:left w:val="single" w:sz="2" w:space="0" w:color="D3D3D3"/>
            </w:tcBorders>
            <w:shd w:val="clear" w:color="auto" w:fill="BAF9F5"/>
          </w:tcPr>
          <w:p>
            <w:pPr>
              <w:pStyle w:val="TableParagraph"/>
              <w:spacing w:line="65" w:lineRule="exact"/>
              <w:ind w:left="404" w:right="401"/>
              <w:rPr>
                <w:rFonts w:ascii="Calibri"/>
                <w:sz w:val="6"/>
              </w:rPr>
            </w:pPr>
            <w:r>
              <w:rPr>
                <w:rFonts w:ascii="Calibri"/>
                <w:w w:val="105"/>
                <w:sz w:val="6"/>
              </w:rPr>
              <w:t>Total</w:t>
            </w:r>
          </w:p>
        </w:tc>
        <w:tc>
          <w:tcPr>
            <w:tcW w:w="1449" w:type="dxa"/>
            <w:shd w:val="clear" w:color="auto" w:fill="BAF9F5"/>
          </w:tcPr>
          <w:p>
            <w:pPr>
              <w:pStyle w:val="TableParagraph"/>
              <w:spacing w:line="65" w:lineRule="exact"/>
              <w:ind w:left="508" w:right="506"/>
              <w:rPr>
                <w:rFonts w:ascii="Calibri"/>
                <w:sz w:val="6"/>
              </w:rPr>
            </w:pPr>
            <w:r>
              <w:rPr>
                <w:rFonts w:ascii="Calibri"/>
                <w:w w:val="105"/>
                <w:sz w:val="6"/>
              </w:rPr>
              <w:t>Parcial</w:t>
            </w:r>
          </w:p>
        </w:tc>
        <w:tc>
          <w:tcPr>
            <w:tcW w:w="2159" w:type="dxa"/>
            <w:tcBorders>
              <w:right w:val="single" w:sz="2" w:space="0" w:color="D3D3D3"/>
            </w:tcBorders>
            <w:shd w:val="clear" w:color="auto" w:fill="BAF9F5"/>
          </w:tcPr>
          <w:p>
            <w:pPr>
              <w:pStyle w:val="TableParagraph"/>
              <w:spacing w:line="65" w:lineRule="exact"/>
              <w:ind w:left="702" w:right="1341"/>
              <w:rPr>
                <w:rFonts w:ascii="Calibri"/>
                <w:sz w:val="6"/>
              </w:rPr>
            </w:pPr>
            <w:r>
              <w:rPr>
                <w:rFonts w:ascii="Calibri"/>
                <w:w w:val="105"/>
                <w:sz w:val="6"/>
              </w:rPr>
              <w:t>No</w:t>
            </w:r>
          </w:p>
        </w:tc>
        <w:tc>
          <w:tcPr>
            <w:tcW w:w="581" w:type="dxa"/>
            <w:tcBorders>
              <w:left w:val="single" w:sz="2" w:space="0" w:color="D3D3D3"/>
              <w:right w:val="single" w:sz="2" w:space="0" w:color="D3D3D3"/>
            </w:tcBorders>
            <w:shd w:val="clear" w:color="auto" w:fill="BAF9F5"/>
          </w:tcPr>
          <w:p>
            <w:pPr/>
          </w:p>
        </w:tc>
        <w:tc>
          <w:tcPr>
            <w:tcW w:w="1225" w:type="dxa"/>
            <w:tcBorders>
              <w:left w:val="single" w:sz="2" w:space="0" w:color="D3D3D3"/>
            </w:tcBorders>
            <w:shd w:val="clear" w:color="auto" w:fill="BAF9F5"/>
          </w:tcPr>
          <w:p>
            <w:pPr/>
          </w:p>
        </w:tc>
        <w:tc>
          <w:tcPr>
            <w:tcW w:w="370" w:type="dxa"/>
            <w:tcBorders>
              <w:right w:val="single" w:sz="2" w:space="0" w:color="D3D3D3"/>
            </w:tcBorders>
            <w:shd w:val="clear" w:color="auto" w:fill="BAF9F5"/>
          </w:tcPr>
          <w:p>
            <w:pPr>
              <w:pStyle w:val="TableParagraph"/>
              <w:spacing w:line="65" w:lineRule="exact"/>
              <w:jc w:val="left"/>
              <w:rPr>
                <w:rFonts w:ascii="Calibri" w:hAnsi="Calibri"/>
                <w:sz w:val="6"/>
              </w:rPr>
            </w:pPr>
            <w:r>
              <w:rPr>
                <w:rFonts w:ascii="Calibri" w:hAnsi="Calibri"/>
                <w:w w:val="105"/>
                <w:sz w:val="6"/>
              </w:rPr>
              <w:t>Evaluación</w:t>
            </w:r>
          </w:p>
        </w:tc>
        <w:tc>
          <w:tcPr>
            <w:tcW w:w="346" w:type="dxa"/>
            <w:tcBorders>
              <w:left w:val="single" w:sz="2" w:space="0" w:color="D3D3D3"/>
              <w:right w:val="single" w:sz="2" w:space="0" w:color="D3D3D3"/>
            </w:tcBorders>
          </w:tcPr>
          <w:p>
            <w:pPr>
              <w:pStyle w:val="TableParagraph"/>
              <w:spacing w:line="65" w:lineRule="exact"/>
              <w:ind w:left="114"/>
              <w:jc w:val="left"/>
              <w:rPr>
                <w:rFonts w:ascii="Calibri"/>
                <w:sz w:val="6"/>
              </w:rPr>
            </w:pPr>
            <w:r>
              <w:rPr>
                <w:rFonts w:ascii="Calibri"/>
                <w:w w:val="105"/>
                <w:sz w:val="6"/>
              </w:rPr>
              <w:t>Real</w:t>
            </w:r>
          </w:p>
        </w:tc>
        <w:tc>
          <w:tcPr>
            <w:tcW w:w="346" w:type="dxa"/>
            <w:tcBorders>
              <w:left w:val="single" w:sz="2" w:space="0" w:color="D3D3D3"/>
              <w:right w:val="single" w:sz="2" w:space="0" w:color="D3D3D3"/>
            </w:tcBorders>
            <w:shd w:val="clear" w:color="auto" w:fill="BAF9F5"/>
          </w:tcPr>
          <w:p>
            <w:pPr>
              <w:pStyle w:val="TableParagraph"/>
              <w:spacing w:line="65" w:lineRule="exact"/>
              <w:ind w:left="52"/>
              <w:jc w:val="left"/>
              <w:rPr>
                <w:rFonts w:ascii="Calibri"/>
                <w:sz w:val="6"/>
              </w:rPr>
            </w:pPr>
            <w:r>
              <w:rPr>
                <w:rFonts w:ascii="Calibri"/>
                <w:w w:val="105"/>
                <w:sz w:val="6"/>
              </w:rPr>
              <w:t>Deseable</w:t>
            </w:r>
          </w:p>
        </w:tc>
        <w:tc>
          <w:tcPr>
            <w:tcW w:w="346" w:type="dxa"/>
            <w:tcBorders>
              <w:left w:val="single" w:sz="2" w:space="0" w:color="D3D3D3"/>
              <w:right w:val="single" w:sz="2" w:space="0" w:color="D3D3D3"/>
            </w:tcBorders>
            <w:shd w:val="clear" w:color="auto" w:fill="BAF9F5"/>
          </w:tcPr>
          <w:p>
            <w:pPr>
              <w:pStyle w:val="TableParagraph"/>
              <w:spacing w:line="65" w:lineRule="exact"/>
              <w:ind w:left="57" w:right="50"/>
              <w:rPr>
                <w:rFonts w:ascii="Calibri" w:hAnsi="Calibri"/>
                <w:sz w:val="6"/>
              </w:rPr>
            </w:pPr>
            <w:r>
              <w:rPr>
                <w:rFonts w:ascii="Calibri" w:hAnsi="Calibri"/>
                <w:w w:val="105"/>
                <w:sz w:val="6"/>
              </w:rPr>
              <w:t>Óptimo</w:t>
            </w:r>
          </w:p>
        </w:tc>
        <w:tc>
          <w:tcPr>
            <w:tcW w:w="89" w:type="dxa"/>
            <w:vMerge/>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2159" w:type="dxa"/>
            <w:shd w:val="clear" w:color="auto" w:fill="BAF9F5"/>
          </w:tcPr>
          <w:p>
            <w:pPr/>
          </w:p>
        </w:tc>
        <w:tc>
          <w:tcPr>
            <w:tcW w:w="581" w:type="dxa"/>
            <w:shd w:val="clear" w:color="auto" w:fill="BAF9F5"/>
          </w:tcPr>
          <w:p>
            <w:pPr/>
          </w:p>
        </w:tc>
        <w:tc>
          <w:tcPr>
            <w:tcW w:w="1225" w:type="dxa"/>
            <w:shd w:val="clear" w:color="auto" w:fill="BAF9F5"/>
          </w:tcPr>
          <w:p>
            <w:pPr/>
          </w:p>
        </w:tc>
        <w:tc>
          <w:tcPr>
            <w:tcW w:w="370" w:type="dxa"/>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85" w:hRule="exact"/>
        </w:trPr>
        <w:tc>
          <w:tcPr>
            <w:tcW w:w="347" w:type="dxa"/>
            <w:tcBorders>
              <w:right w:val="single" w:sz="2" w:space="0" w:color="D3D3D3"/>
            </w:tcBorders>
          </w:tcPr>
          <w:p>
            <w:pPr/>
          </w:p>
        </w:tc>
        <w:tc>
          <w:tcPr>
            <w:tcW w:w="1182" w:type="dxa"/>
            <w:tcBorders>
              <w:left w:val="single" w:sz="2" w:space="0" w:color="D3D3D3"/>
              <w:bottom w:val="single" w:sz="2" w:space="0" w:color="D3D3D3"/>
              <w:right w:val="single" w:sz="2" w:space="0" w:color="D3D3D3"/>
            </w:tcBorders>
          </w:tcPr>
          <w:p>
            <w:pPr/>
          </w:p>
        </w:tc>
        <w:tc>
          <w:tcPr>
            <w:tcW w:w="1241" w:type="dxa"/>
            <w:tcBorders>
              <w:left w:val="single" w:sz="2" w:space="0" w:color="D3D3D3"/>
              <w:bottom w:val="single" w:sz="2" w:space="0" w:color="D3D3D3"/>
              <w:right w:val="single" w:sz="2" w:space="0" w:color="D3D3D3"/>
            </w:tcBorders>
          </w:tcPr>
          <w:p>
            <w:pPr/>
          </w:p>
        </w:tc>
        <w:tc>
          <w:tcPr>
            <w:tcW w:w="2344" w:type="dxa"/>
            <w:tcBorders>
              <w:left w:val="single" w:sz="2" w:space="0" w:color="D3D3D3"/>
              <w:bottom w:val="single" w:sz="2" w:space="0" w:color="D3D3D3"/>
              <w:right w:val="single" w:sz="2" w:space="0" w:color="D3D3D3"/>
            </w:tcBorders>
          </w:tcPr>
          <w:p>
            <w:pPr/>
          </w:p>
        </w:tc>
        <w:tc>
          <w:tcPr>
            <w:tcW w:w="977"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3"/>
              <w:rPr>
                <w:rFonts w:ascii="Calibri"/>
                <w:sz w:val="6"/>
              </w:rPr>
            </w:pPr>
            <w:r>
              <w:rPr>
                <w:rFonts w:ascii="Calibri"/>
                <w:w w:val="104"/>
                <w:sz w:val="6"/>
              </w:rPr>
              <w:t>1</w:t>
            </w:r>
          </w:p>
        </w:tc>
        <w:tc>
          <w:tcPr>
            <w:tcW w:w="1449"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65" w:right="63"/>
              <w:rPr>
                <w:rFonts w:ascii="Calibri"/>
                <w:sz w:val="6"/>
              </w:rPr>
            </w:pPr>
            <w:r>
              <w:rPr>
                <w:rFonts w:ascii="Calibri"/>
                <w:w w:val="105"/>
                <w:sz w:val="6"/>
              </w:rPr>
              <w:t>0.5</w:t>
            </w:r>
          </w:p>
        </w:tc>
        <w:tc>
          <w:tcPr>
            <w:tcW w:w="2159" w:type="dxa"/>
            <w:tcBorders>
              <w:left w:val="single" w:sz="2" w:space="0" w:color="D3D3D3"/>
              <w:bottom w:val="single" w:sz="35" w:space="0" w:color="808080"/>
              <w:right w:val="single" w:sz="2" w:space="0" w:color="D3D3D3"/>
            </w:tcBorders>
            <w:shd w:val="clear" w:color="auto" w:fill="BAF9F5"/>
          </w:tcPr>
          <w:p>
            <w:pPr>
              <w:pStyle w:val="TableParagraph"/>
              <w:spacing w:line="41" w:lineRule="exact"/>
              <w:ind w:right="642"/>
              <w:rPr>
                <w:rFonts w:ascii="Calibri"/>
                <w:sz w:val="6"/>
              </w:rPr>
            </w:pPr>
            <w:r>
              <w:rPr>
                <w:rFonts w:ascii="Calibri"/>
                <w:w w:val="104"/>
                <w:sz w:val="6"/>
              </w:rPr>
              <w:t>0</w:t>
            </w:r>
          </w:p>
        </w:tc>
        <w:tc>
          <w:tcPr>
            <w:tcW w:w="581" w:type="dxa"/>
            <w:tcBorders>
              <w:left w:val="single" w:sz="2" w:space="0" w:color="D3D3D3"/>
              <w:bottom w:val="single" w:sz="2" w:space="0" w:color="D3D3D3"/>
              <w:right w:val="single" w:sz="2" w:space="0" w:color="D3D3D3"/>
            </w:tcBorders>
            <w:shd w:val="clear" w:color="auto" w:fill="BAF9F5"/>
          </w:tcPr>
          <w:p>
            <w:pPr/>
          </w:p>
        </w:tc>
        <w:tc>
          <w:tcPr>
            <w:tcW w:w="1225" w:type="dxa"/>
            <w:tcBorders>
              <w:left w:val="single" w:sz="2" w:space="0" w:color="D3D3D3"/>
              <w:bottom w:val="single" w:sz="2" w:space="0" w:color="D3D3D3"/>
            </w:tcBorders>
            <w:shd w:val="clear" w:color="auto" w:fill="BAF9F5"/>
          </w:tcPr>
          <w:p>
            <w:pPr/>
          </w:p>
        </w:tc>
        <w:tc>
          <w:tcPr>
            <w:tcW w:w="370" w:type="dxa"/>
            <w:tcBorders>
              <w:bottom w:val="single" w:sz="2" w:space="0" w:color="D3D3D3"/>
            </w:tcBorders>
            <w:shd w:val="clear" w:color="auto" w:fill="BAF9F5"/>
          </w:tcPr>
          <w:p>
            <w:pPr>
              <w:pStyle w:val="TableParagraph"/>
              <w:spacing w:line="41" w:lineRule="exact"/>
              <w:ind w:left="98"/>
              <w:jc w:val="left"/>
              <w:rPr>
                <w:rFonts w:ascii="Calibri"/>
                <w:sz w:val="6"/>
              </w:rPr>
            </w:pPr>
            <w:r>
              <w:rPr>
                <w:rFonts w:ascii="Calibri"/>
                <w:w w:val="105"/>
                <w:sz w:val="6"/>
              </w:rPr>
              <w:t>0.5</w:t>
            </w:r>
          </w:p>
          <w:p>
            <w:pPr>
              <w:pStyle w:val="TableParagraph"/>
              <w:spacing w:before="9"/>
              <w:ind w:left="35"/>
              <w:jc w:val="left"/>
              <w:rPr>
                <w:rFonts w:ascii="Calibri"/>
                <w:sz w:val="6"/>
              </w:rPr>
            </w:pPr>
            <w:r>
              <w:rPr>
                <w:rFonts w:ascii="Calibri"/>
                <w:w w:val="105"/>
                <w:sz w:val="6"/>
              </w:rPr>
              <w:t>Subtotal</w:t>
            </w:r>
          </w:p>
        </w:tc>
        <w:tc>
          <w:tcPr>
            <w:tcW w:w="346" w:type="dxa"/>
            <w:shd w:val="clear" w:color="auto" w:fill="F79646"/>
          </w:tcPr>
          <w:p>
            <w:pPr>
              <w:pStyle w:val="TableParagraph"/>
              <w:spacing w:before="49"/>
              <w:ind w:left="136"/>
              <w:jc w:val="left"/>
              <w:rPr>
                <w:rFonts w:ascii="Calibri"/>
                <w:sz w:val="6"/>
              </w:rPr>
            </w:pPr>
            <w:r>
              <w:rPr>
                <w:rFonts w:ascii="Calibri"/>
                <w:w w:val="105"/>
                <w:sz w:val="6"/>
              </w:rPr>
              <w:t>0.5</w:t>
            </w:r>
          </w:p>
        </w:tc>
        <w:tc>
          <w:tcPr>
            <w:tcW w:w="346" w:type="dxa"/>
            <w:tcBorders>
              <w:top w:val="single" w:sz="35" w:space="0" w:color="BAF9F5"/>
            </w:tcBorders>
            <w:shd w:val="clear" w:color="auto" w:fill="FFFF00"/>
          </w:tcPr>
          <w:p>
            <w:pPr>
              <w:pStyle w:val="TableParagraph"/>
              <w:spacing w:line="3" w:lineRule="exact"/>
              <w:ind w:left="115" w:right="109"/>
              <w:rPr>
                <w:rFonts w:ascii="Calibri"/>
                <w:sz w:val="6"/>
              </w:rPr>
            </w:pPr>
            <w:r>
              <w:rPr>
                <w:rFonts w:ascii="Calibri"/>
                <w:w w:val="105"/>
                <w:sz w:val="6"/>
              </w:rPr>
              <w:t>0.5</w:t>
            </w:r>
          </w:p>
          <w:p>
            <w:pPr>
              <w:pStyle w:val="TableParagraph"/>
              <w:spacing w:before="6"/>
              <w:ind w:left="115" w:right="109"/>
              <w:rPr>
                <w:rFonts w:ascii="Calibri"/>
                <w:sz w:val="6"/>
              </w:rPr>
            </w:pPr>
            <w:r>
              <w:rPr>
                <w:rFonts w:ascii="Calibri"/>
                <w:w w:val="105"/>
                <w:sz w:val="6"/>
              </w:rPr>
              <w:t>0.5</w:t>
            </w:r>
          </w:p>
        </w:tc>
        <w:tc>
          <w:tcPr>
            <w:tcW w:w="346" w:type="dxa"/>
            <w:tcBorders>
              <w:top w:val="single" w:sz="35" w:space="0" w:color="BAF9F5"/>
            </w:tcBorders>
            <w:shd w:val="clear" w:color="auto" w:fill="67ED4D"/>
          </w:tcPr>
          <w:p>
            <w:pPr>
              <w:pStyle w:val="TableParagraph"/>
              <w:spacing w:line="3" w:lineRule="exact"/>
              <w:ind w:left="6"/>
              <w:rPr>
                <w:rFonts w:ascii="Calibri"/>
                <w:sz w:val="6"/>
              </w:rPr>
            </w:pPr>
            <w:r>
              <w:rPr>
                <w:rFonts w:ascii="Calibri"/>
                <w:w w:val="104"/>
                <w:sz w:val="6"/>
              </w:rPr>
              <w:t>1</w:t>
            </w:r>
          </w:p>
          <w:p>
            <w:pPr>
              <w:pStyle w:val="TableParagraph"/>
              <w:spacing w:before="6"/>
              <w:ind w:left="6"/>
              <w:rPr>
                <w:rFonts w:ascii="Calibri"/>
                <w:sz w:val="6"/>
              </w:rPr>
            </w:pPr>
            <w:r>
              <w:rPr>
                <w:rFonts w:ascii="Calibri"/>
                <w:w w:val="104"/>
                <w:sz w:val="6"/>
              </w:rPr>
              <w:t>1</w:t>
            </w:r>
          </w:p>
        </w:tc>
        <w:tc>
          <w:tcPr>
            <w:tcW w:w="89" w:type="dxa"/>
            <w:tcBorders>
              <w:bottom w:val="single" w:sz="2" w:space="0" w:color="D3D3D3"/>
            </w:tcBorders>
          </w:tcPr>
          <w:p>
            <w:pPr/>
          </w:p>
        </w:tc>
      </w:tr>
      <w:tr>
        <w:trPr>
          <w:trHeight w:val="99" w:hRule="exact"/>
        </w:trPr>
        <w:tc>
          <w:tcPr>
            <w:tcW w:w="347" w:type="dxa"/>
            <w:tcBorders>
              <w:right w:val="single" w:sz="2" w:space="0" w:color="D3D3D3"/>
            </w:tcBorders>
          </w:tcPr>
          <w:p>
            <w:pPr/>
          </w:p>
        </w:tc>
        <w:tc>
          <w:tcPr>
            <w:tcW w:w="1182" w:type="dxa"/>
            <w:tcBorders>
              <w:top w:val="single" w:sz="2" w:space="0" w:color="D3D3D3"/>
              <w:left w:val="single" w:sz="2" w:space="0" w:color="D3D3D3"/>
              <w:right w:val="single" w:sz="2" w:space="0" w:color="D3D3D3"/>
            </w:tcBorders>
          </w:tcPr>
          <w:p>
            <w:pPr>
              <w:pStyle w:val="TableParagraph"/>
              <w:spacing w:before="6"/>
              <w:ind w:left="52"/>
              <w:jc w:val="left"/>
              <w:rPr>
                <w:rFonts w:ascii="Calibri"/>
                <w:sz w:val="6"/>
              </w:rPr>
            </w:pPr>
            <w:r>
              <w:rPr>
                <w:rFonts w:ascii="Calibri"/>
                <w:w w:val="105"/>
                <w:sz w:val="6"/>
              </w:rPr>
              <w:t>2 INEX</w:t>
            </w:r>
          </w:p>
        </w:tc>
        <w:tc>
          <w:tcPr>
            <w:tcW w:w="1241" w:type="dxa"/>
            <w:tcBorders>
              <w:top w:val="single" w:sz="2" w:space="0" w:color="D3D3D3"/>
              <w:left w:val="single" w:sz="2" w:space="0" w:color="D3D3D3"/>
              <w:right w:val="single" w:sz="2" w:space="0" w:color="D3D3D3"/>
            </w:tcBorders>
          </w:tcPr>
          <w:p>
            <w:pPr>
              <w:pStyle w:val="TableParagraph"/>
              <w:spacing w:before="6"/>
              <w:ind w:left="8"/>
              <w:jc w:val="left"/>
              <w:rPr>
                <w:rFonts w:ascii="Calibri"/>
                <w:sz w:val="6"/>
              </w:rPr>
            </w:pPr>
            <w:r>
              <w:rPr>
                <w:rFonts w:ascii="Calibri"/>
                <w:w w:val="105"/>
                <w:sz w:val="6"/>
              </w:rPr>
              <w:t>Infonavit</w:t>
            </w:r>
          </w:p>
        </w:tc>
        <w:tc>
          <w:tcPr>
            <w:tcW w:w="2344" w:type="dxa"/>
            <w:tcBorders>
              <w:top w:val="single" w:sz="2" w:space="0" w:color="D3D3D3"/>
              <w:left w:val="single" w:sz="2" w:space="0" w:color="D3D3D3"/>
              <w:right w:val="single" w:sz="2" w:space="0" w:color="D3D3D3"/>
            </w:tcBorders>
          </w:tcPr>
          <w:p>
            <w:pPr>
              <w:pStyle w:val="TableParagraph"/>
              <w:spacing w:before="6"/>
              <w:ind w:left="8"/>
              <w:jc w:val="left"/>
              <w:rPr>
                <w:rFonts w:ascii="Calibri" w:hAnsi="Calibri"/>
                <w:sz w:val="6"/>
              </w:rPr>
            </w:pPr>
            <w:r>
              <w:rPr>
                <w:rFonts w:ascii="Calibri" w:hAnsi="Calibri"/>
                <w:w w:val="105"/>
                <w:sz w:val="6"/>
              </w:rPr>
              <w:t>¿La evaluación de la empresa desarrolladora es?</w:t>
            </w:r>
          </w:p>
        </w:tc>
        <w:tc>
          <w:tcPr>
            <w:tcW w:w="977" w:type="dxa"/>
            <w:tcBorders>
              <w:top w:val="single" w:sz="2" w:space="0" w:color="D3D3D3"/>
              <w:left w:val="single" w:sz="2" w:space="0" w:color="D3D3D3"/>
              <w:bottom w:val="single" w:sz="35" w:space="0" w:color="BAF9F5"/>
              <w:right w:val="single" w:sz="2" w:space="0" w:color="D3D3D3"/>
            </w:tcBorders>
          </w:tcPr>
          <w:p>
            <w:pPr>
              <w:pStyle w:val="TableParagraph"/>
              <w:spacing w:before="6"/>
              <w:ind w:left="122"/>
              <w:jc w:val="left"/>
              <w:rPr>
                <w:rFonts w:ascii="Calibri"/>
                <w:sz w:val="6"/>
              </w:rPr>
            </w:pPr>
            <w:r>
              <w:rPr>
                <w:rFonts w:ascii="Calibri"/>
                <w:w w:val="105"/>
                <w:sz w:val="6"/>
              </w:rPr>
              <w:t>Arriba del promedio nacional</w:t>
            </w:r>
          </w:p>
        </w:tc>
        <w:tc>
          <w:tcPr>
            <w:tcW w:w="1449" w:type="dxa"/>
            <w:tcBorders>
              <w:top w:val="single" w:sz="2" w:space="0" w:color="D3D3D3"/>
              <w:left w:val="single" w:sz="2" w:space="0" w:color="D3D3D3"/>
              <w:bottom w:val="single" w:sz="35" w:space="0" w:color="BAF9F5"/>
              <w:right w:val="single" w:sz="2" w:space="0" w:color="D3D3D3"/>
            </w:tcBorders>
          </w:tcPr>
          <w:p>
            <w:pPr>
              <w:pStyle w:val="TableParagraph"/>
              <w:spacing w:before="6"/>
              <w:ind w:left="65" w:right="66"/>
              <w:rPr>
                <w:rFonts w:ascii="Calibri"/>
                <w:sz w:val="6"/>
              </w:rPr>
            </w:pPr>
            <w:r>
              <w:rPr>
                <w:rFonts w:ascii="Calibri"/>
                <w:w w:val="105"/>
                <w:sz w:val="6"/>
              </w:rPr>
              <w:t>Igual o menos de un punto del promedio nacional</w:t>
            </w:r>
          </w:p>
        </w:tc>
        <w:tc>
          <w:tcPr>
            <w:tcW w:w="2159" w:type="dxa"/>
            <w:tcBorders>
              <w:top w:val="single" w:sz="35" w:space="0" w:color="808080"/>
              <w:left w:val="single" w:sz="2" w:space="0" w:color="D3D3D3"/>
              <w:bottom w:val="single" w:sz="35" w:space="0" w:color="BAF9F5"/>
            </w:tcBorders>
          </w:tcPr>
          <w:p>
            <w:pPr>
              <w:pStyle w:val="TableParagraph"/>
              <w:tabs>
                <w:tab w:pos="1578" w:val="left" w:leader="none"/>
              </w:tabs>
              <w:spacing w:line="39" w:lineRule="exact"/>
              <w:ind w:right="176"/>
              <w:jc w:val="right"/>
              <w:rPr>
                <w:rFonts w:ascii="Calibri" w:hAnsi="Calibri"/>
                <w:sz w:val="6"/>
              </w:rPr>
            </w:pPr>
            <w:r>
              <w:rPr>
                <w:rFonts w:ascii="Calibri" w:hAnsi="Calibri"/>
                <w:w w:val="105"/>
                <w:sz w:val="6"/>
              </w:rPr>
              <w:t>Por</w:t>
            </w:r>
            <w:r>
              <w:rPr>
                <w:rFonts w:ascii="Calibri" w:hAnsi="Calibri"/>
                <w:spacing w:val="-5"/>
                <w:w w:val="105"/>
                <w:sz w:val="6"/>
              </w:rPr>
              <w:t> </w:t>
            </w:r>
            <w:r>
              <w:rPr>
                <w:rFonts w:ascii="Calibri" w:hAnsi="Calibri"/>
                <w:w w:val="105"/>
                <w:sz w:val="6"/>
              </w:rPr>
              <w:t>más</w:t>
            </w:r>
            <w:r>
              <w:rPr>
                <w:rFonts w:ascii="Calibri" w:hAnsi="Calibri"/>
                <w:spacing w:val="-2"/>
                <w:w w:val="105"/>
                <w:sz w:val="6"/>
              </w:rPr>
              <w:t> </w:t>
            </w:r>
            <w:r>
              <w:rPr>
                <w:rFonts w:ascii="Calibri" w:hAnsi="Calibri"/>
                <w:w w:val="105"/>
                <w:sz w:val="6"/>
              </w:rPr>
              <w:t>de</w:t>
            </w:r>
            <w:r>
              <w:rPr>
                <w:rFonts w:ascii="Calibri" w:hAnsi="Calibri"/>
                <w:spacing w:val="-3"/>
                <w:w w:val="105"/>
                <w:sz w:val="6"/>
              </w:rPr>
              <w:t> </w:t>
            </w:r>
            <w:r>
              <w:rPr>
                <w:rFonts w:ascii="Calibri" w:hAnsi="Calibri"/>
                <w:w w:val="105"/>
                <w:sz w:val="6"/>
              </w:rPr>
              <w:t>un</w:t>
            </w:r>
            <w:r>
              <w:rPr>
                <w:rFonts w:ascii="Calibri" w:hAnsi="Calibri"/>
                <w:spacing w:val="-5"/>
                <w:w w:val="105"/>
                <w:sz w:val="6"/>
              </w:rPr>
              <w:t> </w:t>
            </w:r>
            <w:r>
              <w:rPr>
                <w:rFonts w:ascii="Calibri" w:hAnsi="Calibri"/>
                <w:w w:val="105"/>
                <w:sz w:val="6"/>
              </w:rPr>
              <w:t>punto</w:t>
            </w:r>
            <w:r>
              <w:rPr>
                <w:rFonts w:ascii="Calibri" w:hAnsi="Calibri"/>
                <w:spacing w:val="-5"/>
                <w:w w:val="105"/>
                <w:sz w:val="6"/>
              </w:rPr>
              <w:t> </w:t>
            </w:r>
            <w:r>
              <w:rPr>
                <w:rFonts w:ascii="Calibri" w:hAnsi="Calibri"/>
                <w:w w:val="105"/>
                <w:sz w:val="6"/>
              </w:rPr>
              <w:t>debajo</w:t>
            </w:r>
            <w:r>
              <w:rPr>
                <w:rFonts w:ascii="Calibri" w:hAnsi="Calibri"/>
                <w:spacing w:val="-5"/>
                <w:w w:val="105"/>
                <w:sz w:val="6"/>
              </w:rPr>
              <w:t> </w:t>
            </w:r>
            <w:r>
              <w:rPr>
                <w:rFonts w:ascii="Calibri" w:hAnsi="Calibri"/>
                <w:w w:val="105"/>
                <w:sz w:val="6"/>
              </w:rPr>
              <w:t>del</w:t>
            </w:r>
            <w:r>
              <w:rPr>
                <w:rFonts w:ascii="Calibri" w:hAnsi="Calibri"/>
                <w:spacing w:val="-3"/>
                <w:w w:val="105"/>
                <w:sz w:val="6"/>
              </w:rPr>
              <w:t> </w:t>
            </w:r>
            <w:r>
              <w:rPr>
                <w:rFonts w:ascii="Calibri" w:hAnsi="Calibri"/>
                <w:w w:val="105"/>
                <w:sz w:val="6"/>
              </w:rPr>
              <w:t>promedio</w:t>
            </w:r>
            <w:r>
              <w:rPr>
                <w:rFonts w:ascii="Calibri" w:hAnsi="Calibri"/>
                <w:spacing w:val="-5"/>
                <w:w w:val="105"/>
                <w:sz w:val="6"/>
              </w:rPr>
              <w:t> </w:t>
            </w:r>
            <w:r>
              <w:rPr>
                <w:rFonts w:ascii="Calibri" w:hAnsi="Calibri"/>
                <w:w w:val="105"/>
                <w:sz w:val="6"/>
              </w:rPr>
              <w:t>nacional</w:t>
              <w:tab/>
              <w:t>No</w:t>
            </w:r>
            <w:r>
              <w:rPr>
                <w:rFonts w:ascii="Calibri" w:hAnsi="Calibri"/>
                <w:spacing w:val="-6"/>
                <w:w w:val="105"/>
                <w:sz w:val="6"/>
              </w:rPr>
              <w:t> </w:t>
            </w:r>
            <w:r>
              <w:rPr>
                <w:rFonts w:ascii="Calibri" w:hAnsi="Calibri"/>
                <w:w w:val="105"/>
                <w:sz w:val="6"/>
              </w:rPr>
              <w:t>aparece</w:t>
            </w:r>
          </w:p>
        </w:tc>
        <w:tc>
          <w:tcPr>
            <w:tcW w:w="581" w:type="dxa"/>
            <w:tcBorders>
              <w:top w:val="single" w:sz="2" w:space="0" w:color="D3D3D3"/>
              <w:bottom w:val="single" w:sz="35" w:space="0" w:color="BAF9F5"/>
              <w:right w:val="single" w:sz="2" w:space="0" w:color="D3D3D3"/>
            </w:tcBorders>
          </w:tcPr>
          <w:p>
            <w:pPr/>
          </w:p>
        </w:tc>
        <w:tc>
          <w:tcPr>
            <w:tcW w:w="1225" w:type="dxa"/>
            <w:tcBorders>
              <w:top w:val="single" w:sz="2" w:space="0" w:color="D3D3D3"/>
              <w:left w:val="single" w:sz="2" w:space="0" w:color="D3D3D3"/>
              <w:bottom w:val="single" w:sz="35" w:space="0" w:color="BAF9F5"/>
            </w:tcBorders>
          </w:tcPr>
          <w:p>
            <w:pPr/>
          </w:p>
        </w:tc>
        <w:tc>
          <w:tcPr>
            <w:tcW w:w="370" w:type="dxa"/>
            <w:tcBorders>
              <w:top w:val="single" w:sz="2" w:space="0" w:color="D3D3D3"/>
              <w:bottom w:val="single" w:sz="35" w:space="0" w:color="BAF9F5"/>
              <w:right w:val="single" w:sz="2" w:space="0" w:color="D3D3D3"/>
            </w:tcBorders>
          </w:tcPr>
          <w:p>
            <w:pPr/>
          </w:p>
        </w:tc>
        <w:tc>
          <w:tcPr>
            <w:tcW w:w="346" w:type="dxa"/>
            <w:tcBorders>
              <w:left w:val="single" w:sz="2" w:space="0" w:color="D3D3D3"/>
              <w:right w:val="single" w:sz="2" w:space="0" w:color="D3D3D3"/>
            </w:tcBorders>
          </w:tcPr>
          <w:p>
            <w:pPr/>
          </w:p>
        </w:tc>
        <w:tc>
          <w:tcPr>
            <w:tcW w:w="346" w:type="dxa"/>
            <w:tcBorders>
              <w:left w:val="single" w:sz="2" w:space="0" w:color="D3D3D3"/>
              <w:bottom w:val="single" w:sz="35" w:space="0" w:color="BAF9F5"/>
              <w:right w:val="single" w:sz="2" w:space="0" w:color="D3D3D3"/>
            </w:tcBorders>
          </w:tcPr>
          <w:p>
            <w:pPr/>
          </w:p>
        </w:tc>
        <w:tc>
          <w:tcPr>
            <w:tcW w:w="346" w:type="dxa"/>
            <w:tcBorders>
              <w:left w:val="single" w:sz="2" w:space="0" w:color="D3D3D3"/>
              <w:bottom w:val="single" w:sz="35" w:space="0" w:color="BAF9F5"/>
              <w:right w:val="single" w:sz="2" w:space="0" w:color="D3D3D3"/>
            </w:tcBorders>
          </w:tcPr>
          <w:p>
            <w:pPr/>
          </w:p>
        </w:tc>
        <w:tc>
          <w:tcPr>
            <w:tcW w:w="89" w:type="dxa"/>
            <w:tcBorders>
              <w:top w:val="single" w:sz="2" w:space="0" w:color="D3D3D3"/>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2159" w:type="dxa"/>
            <w:shd w:val="clear" w:color="auto" w:fill="BAF9F5"/>
          </w:tcPr>
          <w:p>
            <w:pPr/>
          </w:p>
        </w:tc>
        <w:tc>
          <w:tcPr>
            <w:tcW w:w="581" w:type="dxa"/>
            <w:shd w:val="clear" w:color="auto" w:fill="BAF9F5"/>
          </w:tcPr>
          <w:p>
            <w:pPr/>
          </w:p>
        </w:tc>
        <w:tc>
          <w:tcPr>
            <w:tcW w:w="1225" w:type="dxa"/>
            <w:shd w:val="clear" w:color="auto" w:fill="BAF9F5"/>
          </w:tcPr>
          <w:p>
            <w:pPr/>
          </w:p>
        </w:tc>
        <w:tc>
          <w:tcPr>
            <w:tcW w:w="370" w:type="dxa"/>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85" w:hRule="exact"/>
        </w:trPr>
        <w:tc>
          <w:tcPr>
            <w:tcW w:w="347" w:type="dxa"/>
            <w:tcBorders>
              <w:right w:val="single" w:sz="2" w:space="0" w:color="D3D3D3"/>
            </w:tcBorders>
          </w:tcPr>
          <w:p>
            <w:pPr/>
          </w:p>
        </w:tc>
        <w:tc>
          <w:tcPr>
            <w:tcW w:w="1182" w:type="dxa"/>
            <w:tcBorders>
              <w:left w:val="single" w:sz="2" w:space="0" w:color="D3D3D3"/>
              <w:bottom w:val="single" w:sz="2" w:space="0" w:color="D3D3D3"/>
              <w:right w:val="single" w:sz="2" w:space="0" w:color="D3D3D3"/>
            </w:tcBorders>
          </w:tcPr>
          <w:p>
            <w:pPr/>
          </w:p>
        </w:tc>
        <w:tc>
          <w:tcPr>
            <w:tcW w:w="1241" w:type="dxa"/>
            <w:tcBorders>
              <w:left w:val="single" w:sz="2" w:space="0" w:color="D3D3D3"/>
              <w:bottom w:val="single" w:sz="2" w:space="0" w:color="D3D3D3"/>
              <w:right w:val="single" w:sz="2" w:space="0" w:color="D3D3D3"/>
            </w:tcBorders>
          </w:tcPr>
          <w:p>
            <w:pPr/>
          </w:p>
        </w:tc>
        <w:tc>
          <w:tcPr>
            <w:tcW w:w="2344" w:type="dxa"/>
            <w:tcBorders>
              <w:left w:val="single" w:sz="2" w:space="0" w:color="D3D3D3"/>
              <w:bottom w:val="single" w:sz="2" w:space="0" w:color="D3D3D3"/>
              <w:right w:val="single" w:sz="2" w:space="0" w:color="D3D3D3"/>
            </w:tcBorders>
          </w:tcPr>
          <w:p>
            <w:pPr/>
          </w:p>
        </w:tc>
        <w:tc>
          <w:tcPr>
            <w:tcW w:w="977"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3"/>
              <w:rPr>
                <w:rFonts w:ascii="Calibri"/>
                <w:sz w:val="6"/>
              </w:rPr>
            </w:pPr>
            <w:r>
              <w:rPr>
                <w:rFonts w:ascii="Calibri"/>
                <w:w w:val="104"/>
                <w:sz w:val="6"/>
              </w:rPr>
              <w:t>1</w:t>
            </w:r>
          </w:p>
        </w:tc>
        <w:tc>
          <w:tcPr>
            <w:tcW w:w="1449"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582" w:right="579"/>
              <w:rPr>
                <w:rFonts w:ascii="Calibri"/>
                <w:sz w:val="6"/>
              </w:rPr>
            </w:pPr>
            <w:r>
              <w:rPr>
                <w:rFonts w:ascii="Calibri"/>
                <w:w w:val="105"/>
                <w:sz w:val="6"/>
              </w:rPr>
              <w:t>0.7</w:t>
            </w:r>
          </w:p>
        </w:tc>
        <w:tc>
          <w:tcPr>
            <w:tcW w:w="2159" w:type="dxa"/>
            <w:tcBorders>
              <w:left w:val="single" w:sz="2" w:space="0" w:color="D3D3D3"/>
              <w:bottom w:val="single" w:sz="35" w:space="0" w:color="808080"/>
              <w:right w:val="single" w:sz="2" w:space="0" w:color="D3D3D3"/>
            </w:tcBorders>
            <w:shd w:val="clear" w:color="auto" w:fill="BAF9F5"/>
          </w:tcPr>
          <w:p>
            <w:pPr>
              <w:pStyle w:val="TableParagraph"/>
              <w:tabs>
                <w:tab w:pos="1817" w:val="left" w:leader="none"/>
              </w:tabs>
              <w:spacing w:line="41" w:lineRule="exact"/>
              <w:ind w:left="714"/>
              <w:jc w:val="left"/>
              <w:rPr>
                <w:rFonts w:ascii="Calibri"/>
                <w:sz w:val="6"/>
              </w:rPr>
            </w:pPr>
            <w:r>
              <w:rPr>
                <w:rFonts w:ascii="Calibri"/>
                <w:w w:val="105"/>
                <w:sz w:val="6"/>
              </w:rPr>
              <w:t>0.3</w:t>
              <w:tab/>
              <w:t>0</w:t>
            </w:r>
          </w:p>
        </w:tc>
        <w:tc>
          <w:tcPr>
            <w:tcW w:w="581" w:type="dxa"/>
            <w:tcBorders>
              <w:left w:val="single" w:sz="2" w:space="0" w:color="D3D3D3"/>
              <w:bottom w:val="single" w:sz="2" w:space="0" w:color="D3D3D3"/>
              <w:right w:val="single" w:sz="2" w:space="0" w:color="D3D3D3"/>
            </w:tcBorders>
            <w:shd w:val="clear" w:color="auto" w:fill="BAF9F5"/>
          </w:tcPr>
          <w:p>
            <w:pPr/>
          </w:p>
        </w:tc>
        <w:tc>
          <w:tcPr>
            <w:tcW w:w="1225" w:type="dxa"/>
            <w:tcBorders>
              <w:left w:val="single" w:sz="2" w:space="0" w:color="D3D3D3"/>
              <w:bottom w:val="single" w:sz="2" w:space="0" w:color="D3D3D3"/>
            </w:tcBorders>
            <w:shd w:val="clear" w:color="auto" w:fill="BAF9F5"/>
          </w:tcPr>
          <w:p>
            <w:pPr/>
          </w:p>
        </w:tc>
        <w:tc>
          <w:tcPr>
            <w:tcW w:w="370" w:type="dxa"/>
            <w:tcBorders>
              <w:bottom w:val="single" w:sz="2" w:space="0" w:color="D3D3D3"/>
            </w:tcBorders>
            <w:shd w:val="clear" w:color="auto" w:fill="BAF9F5"/>
          </w:tcPr>
          <w:p>
            <w:pPr>
              <w:pStyle w:val="TableParagraph"/>
              <w:spacing w:line="41" w:lineRule="exact"/>
              <w:ind w:left="121"/>
              <w:jc w:val="left"/>
              <w:rPr>
                <w:rFonts w:ascii="Calibri"/>
                <w:sz w:val="6"/>
              </w:rPr>
            </w:pPr>
            <w:r>
              <w:rPr>
                <w:rFonts w:ascii="Calibri"/>
                <w:w w:val="104"/>
                <w:sz w:val="6"/>
              </w:rPr>
              <w:t>0</w:t>
            </w:r>
          </w:p>
          <w:p>
            <w:pPr>
              <w:pStyle w:val="TableParagraph"/>
              <w:spacing w:before="9"/>
              <w:ind w:left="35"/>
              <w:jc w:val="left"/>
              <w:rPr>
                <w:rFonts w:ascii="Calibri"/>
                <w:sz w:val="6"/>
              </w:rPr>
            </w:pPr>
            <w:r>
              <w:rPr>
                <w:rFonts w:ascii="Calibri"/>
                <w:w w:val="105"/>
                <w:sz w:val="6"/>
              </w:rPr>
              <w:t>Subtotal</w:t>
            </w:r>
          </w:p>
        </w:tc>
        <w:tc>
          <w:tcPr>
            <w:tcW w:w="346" w:type="dxa"/>
            <w:shd w:val="clear" w:color="auto" w:fill="F79646"/>
          </w:tcPr>
          <w:p>
            <w:pPr>
              <w:pStyle w:val="TableParagraph"/>
              <w:spacing w:before="50"/>
              <w:ind w:left="160"/>
              <w:jc w:val="left"/>
              <w:rPr>
                <w:rFonts w:ascii="Calibri"/>
                <w:sz w:val="6"/>
              </w:rPr>
            </w:pPr>
            <w:r>
              <w:rPr>
                <w:rFonts w:ascii="Calibri"/>
                <w:w w:val="104"/>
                <w:sz w:val="6"/>
              </w:rPr>
              <w:t>0</w:t>
            </w:r>
          </w:p>
        </w:tc>
        <w:tc>
          <w:tcPr>
            <w:tcW w:w="346" w:type="dxa"/>
            <w:tcBorders>
              <w:top w:val="single" w:sz="35" w:space="0" w:color="BAF9F5"/>
            </w:tcBorders>
            <w:shd w:val="clear" w:color="auto" w:fill="FFFF00"/>
          </w:tcPr>
          <w:p>
            <w:pPr>
              <w:pStyle w:val="TableParagraph"/>
              <w:spacing w:line="3" w:lineRule="exact"/>
              <w:ind w:left="115" w:right="109"/>
              <w:rPr>
                <w:rFonts w:ascii="Calibri"/>
                <w:sz w:val="6"/>
              </w:rPr>
            </w:pPr>
            <w:r>
              <w:rPr>
                <w:rFonts w:ascii="Calibri"/>
                <w:w w:val="105"/>
                <w:sz w:val="6"/>
              </w:rPr>
              <w:t>0.7</w:t>
            </w:r>
          </w:p>
          <w:p>
            <w:pPr>
              <w:pStyle w:val="TableParagraph"/>
              <w:spacing w:before="6"/>
              <w:ind w:left="115" w:right="109"/>
              <w:rPr>
                <w:rFonts w:ascii="Calibri"/>
                <w:sz w:val="6"/>
              </w:rPr>
            </w:pPr>
            <w:r>
              <w:rPr>
                <w:rFonts w:ascii="Calibri"/>
                <w:w w:val="105"/>
                <w:sz w:val="6"/>
              </w:rPr>
              <w:t>0.7</w:t>
            </w:r>
          </w:p>
        </w:tc>
        <w:tc>
          <w:tcPr>
            <w:tcW w:w="346" w:type="dxa"/>
            <w:tcBorders>
              <w:top w:val="single" w:sz="35" w:space="0" w:color="BAF9F5"/>
            </w:tcBorders>
            <w:shd w:val="clear" w:color="auto" w:fill="67ED4D"/>
          </w:tcPr>
          <w:p>
            <w:pPr>
              <w:pStyle w:val="TableParagraph"/>
              <w:spacing w:line="3" w:lineRule="exact"/>
              <w:ind w:left="6"/>
              <w:rPr>
                <w:rFonts w:ascii="Calibri"/>
                <w:sz w:val="6"/>
              </w:rPr>
            </w:pPr>
            <w:r>
              <w:rPr>
                <w:rFonts w:ascii="Calibri"/>
                <w:w w:val="104"/>
                <w:sz w:val="6"/>
              </w:rPr>
              <w:t>1</w:t>
            </w:r>
          </w:p>
          <w:p>
            <w:pPr>
              <w:pStyle w:val="TableParagraph"/>
              <w:spacing w:before="6"/>
              <w:ind w:left="6"/>
              <w:rPr>
                <w:rFonts w:ascii="Calibri"/>
                <w:sz w:val="6"/>
              </w:rPr>
            </w:pPr>
            <w:r>
              <w:rPr>
                <w:rFonts w:ascii="Calibri"/>
                <w:w w:val="104"/>
                <w:sz w:val="6"/>
              </w:rPr>
              <w:t>1</w:t>
            </w:r>
          </w:p>
        </w:tc>
        <w:tc>
          <w:tcPr>
            <w:tcW w:w="89" w:type="dxa"/>
            <w:tcBorders>
              <w:bottom w:val="single" w:sz="2" w:space="0" w:color="D3D3D3"/>
            </w:tcBorders>
          </w:tcPr>
          <w:p>
            <w:pPr/>
          </w:p>
        </w:tc>
      </w:tr>
      <w:tr>
        <w:trPr>
          <w:trHeight w:val="99" w:hRule="exact"/>
        </w:trPr>
        <w:tc>
          <w:tcPr>
            <w:tcW w:w="347" w:type="dxa"/>
            <w:tcBorders>
              <w:right w:val="single" w:sz="2" w:space="0" w:color="D3D3D3"/>
            </w:tcBorders>
          </w:tcPr>
          <w:p>
            <w:pPr/>
          </w:p>
        </w:tc>
        <w:tc>
          <w:tcPr>
            <w:tcW w:w="1182" w:type="dxa"/>
            <w:tcBorders>
              <w:top w:val="single" w:sz="2" w:space="0" w:color="D3D3D3"/>
              <w:left w:val="single" w:sz="2" w:space="0" w:color="D3D3D3"/>
              <w:right w:val="single" w:sz="2" w:space="0" w:color="D3D3D3"/>
            </w:tcBorders>
          </w:tcPr>
          <w:p>
            <w:pPr>
              <w:pStyle w:val="TableParagraph"/>
              <w:spacing w:before="6"/>
              <w:ind w:left="52"/>
              <w:jc w:val="left"/>
              <w:rPr>
                <w:rFonts w:ascii="Calibri" w:hAnsi="Calibri"/>
                <w:sz w:val="6"/>
              </w:rPr>
            </w:pPr>
            <w:r>
              <w:rPr>
                <w:rFonts w:ascii="Calibri" w:hAnsi="Calibri"/>
                <w:w w:val="105"/>
                <w:sz w:val="6"/>
              </w:rPr>
              <w:t>3 Ingresos por autorización</w:t>
            </w:r>
          </w:p>
        </w:tc>
        <w:tc>
          <w:tcPr>
            <w:tcW w:w="1241" w:type="dxa"/>
            <w:tcBorders>
              <w:top w:val="single" w:sz="2" w:space="0" w:color="D3D3D3"/>
              <w:left w:val="single" w:sz="2" w:space="0" w:color="D3D3D3"/>
              <w:right w:val="single" w:sz="2" w:space="0" w:color="D3D3D3"/>
            </w:tcBorders>
          </w:tcPr>
          <w:p>
            <w:pPr>
              <w:pStyle w:val="TableParagraph"/>
              <w:spacing w:before="6"/>
              <w:ind w:left="8"/>
              <w:jc w:val="left"/>
              <w:rPr>
                <w:rFonts w:ascii="Calibri"/>
                <w:sz w:val="6"/>
              </w:rPr>
            </w:pPr>
            <w:r>
              <w:rPr>
                <w:rFonts w:ascii="Calibri"/>
                <w:w w:val="105"/>
                <w:sz w:val="6"/>
              </w:rPr>
              <w:t>Ingresos al Estado</w:t>
            </w:r>
          </w:p>
        </w:tc>
        <w:tc>
          <w:tcPr>
            <w:tcW w:w="2344" w:type="dxa"/>
            <w:tcBorders>
              <w:top w:val="single" w:sz="2" w:space="0" w:color="D3D3D3"/>
              <w:left w:val="single" w:sz="2" w:space="0" w:color="D3D3D3"/>
              <w:right w:val="single" w:sz="2" w:space="0" w:color="D3D3D3"/>
            </w:tcBorders>
          </w:tcPr>
          <w:p>
            <w:pPr>
              <w:pStyle w:val="TableParagraph"/>
              <w:spacing w:before="6"/>
              <w:ind w:left="8"/>
              <w:jc w:val="left"/>
              <w:rPr>
                <w:rFonts w:ascii="Calibri"/>
                <w:sz w:val="6"/>
              </w:rPr>
            </w:pPr>
            <w:r>
              <w:rPr>
                <w:rFonts w:ascii="Calibri"/>
                <w:w w:val="105"/>
                <w:sz w:val="6"/>
              </w:rPr>
              <w:t>La suma del total de impuestos al Estado, dividido en el total de viviendas es de:</w:t>
            </w:r>
          </w:p>
        </w:tc>
        <w:tc>
          <w:tcPr>
            <w:tcW w:w="977" w:type="dxa"/>
            <w:tcBorders>
              <w:top w:val="single" w:sz="2" w:space="0" w:color="D3D3D3"/>
              <w:left w:val="single" w:sz="2" w:space="0" w:color="D3D3D3"/>
              <w:bottom w:val="single" w:sz="35" w:space="0" w:color="BAF9F5"/>
              <w:right w:val="single" w:sz="2" w:space="0" w:color="D3D3D3"/>
            </w:tcBorders>
          </w:tcPr>
          <w:p>
            <w:pPr>
              <w:pStyle w:val="TableParagraph"/>
              <w:spacing w:before="6"/>
              <w:ind w:left="364" w:right="361"/>
              <w:rPr>
                <w:rFonts w:ascii="Calibri"/>
                <w:sz w:val="6"/>
              </w:rPr>
            </w:pPr>
            <w:r>
              <w:rPr>
                <w:rFonts w:ascii="Calibri"/>
                <w:w w:val="105"/>
                <w:sz w:val="6"/>
              </w:rPr>
              <w:t>$500.00</w:t>
            </w:r>
          </w:p>
        </w:tc>
        <w:tc>
          <w:tcPr>
            <w:tcW w:w="1449" w:type="dxa"/>
            <w:tcBorders>
              <w:top w:val="single" w:sz="2" w:space="0" w:color="D3D3D3"/>
              <w:left w:val="single" w:sz="2" w:space="0" w:color="D3D3D3"/>
              <w:bottom w:val="single" w:sz="35" w:space="0" w:color="BAF9F5"/>
            </w:tcBorders>
          </w:tcPr>
          <w:p>
            <w:pPr>
              <w:pStyle w:val="TableParagraph"/>
              <w:spacing w:before="6"/>
              <w:ind w:left="412" w:right="412"/>
              <w:rPr>
                <w:rFonts w:ascii="Calibri"/>
                <w:sz w:val="6"/>
              </w:rPr>
            </w:pPr>
            <w:r>
              <w:rPr>
                <w:rFonts w:ascii="Calibri"/>
                <w:w w:val="105"/>
                <w:sz w:val="6"/>
              </w:rPr>
              <w:t>$1,000.00</w:t>
            </w:r>
          </w:p>
        </w:tc>
        <w:tc>
          <w:tcPr>
            <w:tcW w:w="2159" w:type="dxa"/>
            <w:tcBorders>
              <w:top w:val="single" w:sz="2" w:space="0" w:color="D3D3D3"/>
              <w:bottom w:val="single" w:sz="35" w:space="0" w:color="BAF9F5"/>
              <w:right w:val="single" w:sz="2" w:space="0" w:color="D3D3D3"/>
            </w:tcBorders>
            <w:shd w:val="clear" w:color="auto" w:fill="808080"/>
          </w:tcPr>
          <w:p>
            <w:pPr>
              <w:pStyle w:val="TableParagraph"/>
              <w:tabs>
                <w:tab w:pos="1079" w:val="left" w:leader="none"/>
              </w:tabs>
              <w:spacing w:before="6"/>
              <w:ind w:right="192"/>
              <w:jc w:val="right"/>
              <w:rPr>
                <w:rFonts w:ascii="Calibri"/>
                <w:sz w:val="6"/>
              </w:rPr>
            </w:pPr>
            <w:r>
              <w:rPr>
                <w:rFonts w:ascii="Calibri"/>
                <w:w w:val="105"/>
                <w:sz w:val="6"/>
              </w:rPr>
              <w:t>$2,500.00</w:t>
              <w:tab/>
            </w:r>
            <w:r>
              <w:rPr>
                <w:rFonts w:ascii="Calibri"/>
                <w:spacing w:val="-1"/>
                <w:w w:val="105"/>
                <w:sz w:val="6"/>
              </w:rPr>
              <w:t>$5,000.00</w:t>
            </w:r>
          </w:p>
        </w:tc>
        <w:tc>
          <w:tcPr>
            <w:tcW w:w="581" w:type="dxa"/>
            <w:tcBorders>
              <w:top w:val="single" w:sz="2" w:space="0" w:color="D3D3D3"/>
              <w:left w:val="single" w:sz="2" w:space="0" w:color="D3D3D3"/>
              <w:bottom w:val="single" w:sz="35" w:space="0" w:color="BAF9F5"/>
              <w:right w:val="single" w:sz="2" w:space="0" w:color="D3D3D3"/>
            </w:tcBorders>
          </w:tcPr>
          <w:p>
            <w:pPr>
              <w:pStyle w:val="TableParagraph"/>
              <w:spacing w:before="6"/>
              <w:ind w:left="143" w:right="137"/>
              <w:rPr>
                <w:rFonts w:ascii="Calibri"/>
                <w:sz w:val="6"/>
              </w:rPr>
            </w:pPr>
            <w:r>
              <w:rPr>
                <w:rFonts w:ascii="Calibri"/>
                <w:w w:val="105"/>
                <w:sz w:val="6"/>
              </w:rPr>
              <w:t>$7,000.00</w:t>
            </w:r>
          </w:p>
        </w:tc>
        <w:tc>
          <w:tcPr>
            <w:tcW w:w="1225" w:type="dxa"/>
            <w:tcBorders>
              <w:top w:val="single" w:sz="2" w:space="0" w:color="D3D3D3"/>
              <w:left w:val="single" w:sz="2" w:space="0" w:color="D3D3D3"/>
              <w:bottom w:val="single" w:sz="35" w:space="0" w:color="BAF9F5"/>
            </w:tcBorders>
          </w:tcPr>
          <w:p>
            <w:pPr>
              <w:pStyle w:val="TableParagraph"/>
              <w:spacing w:before="6"/>
              <w:ind w:left="283" w:right="415"/>
              <w:rPr>
                <w:rFonts w:ascii="Calibri" w:hAnsi="Calibri"/>
                <w:sz w:val="6"/>
              </w:rPr>
            </w:pPr>
            <w:r>
              <w:rPr>
                <w:rFonts w:ascii="Calibri" w:hAnsi="Calibri"/>
                <w:w w:val="105"/>
                <w:sz w:val="6"/>
              </w:rPr>
              <w:t>más de $10,000.00</w:t>
            </w:r>
          </w:p>
        </w:tc>
        <w:tc>
          <w:tcPr>
            <w:tcW w:w="370" w:type="dxa"/>
            <w:tcBorders>
              <w:top w:val="single" w:sz="2" w:space="0" w:color="D3D3D3"/>
              <w:bottom w:val="single" w:sz="35" w:space="0" w:color="BAF9F5"/>
              <w:right w:val="single" w:sz="2" w:space="0" w:color="D3D3D3"/>
            </w:tcBorders>
          </w:tcPr>
          <w:p>
            <w:pPr/>
          </w:p>
        </w:tc>
        <w:tc>
          <w:tcPr>
            <w:tcW w:w="346" w:type="dxa"/>
            <w:tcBorders>
              <w:left w:val="single" w:sz="2" w:space="0" w:color="D3D3D3"/>
              <w:right w:val="single" w:sz="2" w:space="0" w:color="D3D3D3"/>
            </w:tcBorders>
          </w:tcPr>
          <w:p>
            <w:pPr/>
          </w:p>
        </w:tc>
        <w:tc>
          <w:tcPr>
            <w:tcW w:w="346" w:type="dxa"/>
            <w:tcBorders>
              <w:left w:val="single" w:sz="2" w:space="0" w:color="D3D3D3"/>
              <w:bottom w:val="single" w:sz="35" w:space="0" w:color="BAF9F5"/>
              <w:right w:val="single" w:sz="2" w:space="0" w:color="D3D3D3"/>
            </w:tcBorders>
          </w:tcPr>
          <w:p>
            <w:pPr/>
          </w:p>
        </w:tc>
        <w:tc>
          <w:tcPr>
            <w:tcW w:w="346" w:type="dxa"/>
            <w:tcBorders>
              <w:left w:val="single" w:sz="2" w:space="0" w:color="D3D3D3"/>
              <w:bottom w:val="single" w:sz="35" w:space="0" w:color="BAF9F5"/>
              <w:right w:val="single" w:sz="2" w:space="0" w:color="D3D3D3"/>
            </w:tcBorders>
          </w:tcPr>
          <w:p>
            <w:pPr/>
          </w:p>
        </w:tc>
        <w:tc>
          <w:tcPr>
            <w:tcW w:w="89" w:type="dxa"/>
            <w:tcBorders>
              <w:top w:val="single" w:sz="2" w:space="0" w:color="D3D3D3"/>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2159" w:type="dxa"/>
            <w:shd w:val="clear" w:color="auto" w:fill="BAF9F5"/>
          </w:tcPr>
          <w:p>
            <w:pPr/>
          </w:p>
        </w:tc>
        <w:tc>
          <w:tcPr>
            <w:tcW w:w="581" w:type="dxa"/>
            <w:shd w:val="clear" w:color="auto" w:fill="BAF9F5"/>
          </w:tcPr>
          <w:p>
            <w:pPr/>
          </w:p>
        </w:tc>
        <w:tc>
          <w:tcPr>
            <w:tcW w:w="1225" w:type="dxa"/>
            <w:shd w:val="clear" w:color="auto" w:fill="BAF9F5"/>
          </w:tcPr>
          <w:p>
            <w:pPr/>
          </w:p>
        </w:tc>
        <w:tc>
          <w:tcPr>
            <w:tcW w:w="370" w:type="dxa"/>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10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Style w:val="TableParagraph"/>
              <w:spacing w:before="49"/>
              <w:ind w:left="8"/>
              <w:jc w:val="left"/>
              <w:rPr>
                <w:rFonts w:ascii="Calibri"/>
                <w:sz w:val="6"/>
              </w:rPr>
            </w:pPr>
            <w:r>
              <w:rPr>
                <w:rFonts w:ascii="Calibri"/>
                <w:w w:val="105"/>
                <w:sz w:val="6"/>
              </w:rPr>
              <w:t>Ingresos al Municipio</w:t>
            </w:r>
          </w:p>
        </w:tc>
        <w:tc>
          <w:tcPr>
            <w:tcW w:w="2344" w:type="dxa"/>
            <w:tcBorders>
              <w:left w:val="single" w:sz="2" w:space="0" w:color="D3D3D3"/>
              <w:right w:val="single" w:sz="2" w:space="0" w:color="D3D3D3"/>
            </w:tcBorders>
          </w:tcPr>
          <w:p>
            <w:pPr>
              <w:pStyle w:val="TableParagraph"/>
              <w:spacing w:before="49"/>
              <w:ind w:left="8"/>
              <w:jc w:val="left"/>
              <w:rPr>
                <w:rFonts w:ascii="Calibri"/>
                <w:sz w:val="6"/>
              </w:rPr>
            </w:pPr>
            <w:r>
              <w:rPr>
                <w:rFonts w:ascii="Calibri"/>
                <w:w w:val="105"/>
                <w:sz w:val="6"/>
              </w:rPr>
              <w:t>La suma del total de impuestos al Municipio, dividido en el total de viviendas es de:</w:t>
            </w:r>
          </w:p>
        </w:tc>
        <w:tc>
          <w:tcPr>
            <w:tcW w:w="977"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3"/>
              <w:rPr>
                <w:rFonts w:ascii="Calibri"/>
                <w:sz w:val="6"/>
              </w:rPr>
            </w:pPr>
            <w:r>
              <w:rPr>
                <w:rFonts w:ascii="Calibri"/>
                <w:w w:val="104"/>
                <w:sz w:val="6"/>
              </w:rPr>
              <w:t>1</w:t>
            </w:r>
          </w:p>
          <w:p>
            <w:pPr>
              <w:pStyle w:val="TableParagraph"/>
              <w:spacing w:before="6"/>
              <w:ind w:left="269" w:right="266"/>
              <w:rPr>
                <w:rFonts w:ascii="Calibri"/>
                <w:sz w:val="6"/>
              </w:rPr>
            </w:pPr>
            <w:r>
              <w:rPr>
                <w:rFonts w:ascii="Calibri"/>
                <w:w w:val="105"/>
                <w:sz w:val="6"/>
              </w:rPr>
              <w:t>$500.00</w:t>
            </w:r>
          </w:p>
        </w:tc>
        <w:tc>
          <w:tcPr>
            <w:tcW w:w="1449"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506" w:right="504"/>
              <w:rPr>
                <w:rFonts w:ascii="Calibri"/>
                <w:sz w:val="6"/>
              </w:rPr>
            </w:pPr>
            <w:r>
              <w:rPr>
                <w:rFonts w:ascii="Calibri"/>
                <w:w w:val="105"/>
                <w:sz w:val="6"/>
              </w:rPr>
              <w:t>0.9</w:t>
            </w:r>
          </w:p>
          <w:p>
            <w:pPr>
              <w:pStyle w:val="TableParagraph"/>
              <w:spacing w:before="6"/>
              <w:ind w:left="506" w:right="504"/>
              <w:rPr>
                <w:rFonts w:ascii="Calibri"/>
                <w:sz w:val="6"/>
              </w:rPr>
            </w:pPr>
            <w:r>
              <w:rPr>
                <w:rFonts w:ascii="Calibri"/>
                <w:w w:val="105"/>
                <w:sz w:val="6"/>
              </w:rPr>
              <w:t>$1,000.00</w:t>
            </w:r>
          </w:p>
        </w:tc>
        <w:tc>
          <w:tcPr>
            <w:tcW w:w="2159" w:type="dxa"/>
            <w:tcBorders>
              <w:top w:val="single" w:sz="35" w:space="0" w:color="BAF9F5"/>
              <w:left w:val="single" w:sz="2" w:space="0" w:color="D3D3D3"/>
              <w:bottom w:val="single" w:sz="35" w:space="0" w:color="BAF9F5"/>
            </w:tcBorders>
          </w:tcPr>
          <w:p>
            <w:pPr>
              <w:pStyle w:val="TableParagraph"/>
              <w:tabs>
                <w:tab w:pos="1794" w:val="left" w:leader="none"/>
              </w:tabs>
              <w:spacing w:line="3" w:lineRule="exact"/>
              <w:ind w:left="714"/>
              <w:jc w:val="left"/>
              <w:rPr>
                <w:rFonts w:ascii="Calibri"/>
                <w:sz w:val="6"/>
              </w:rPr>
            </w:pPr>
            <w:r>
              <w:rPr>
                <w:rFonts w:ascii="Calibri"/>
                <w:w w:val="105"/>
                <w:sz w:val="6"/>
              </w:rPr>
              <w:t>0.7</w:t>
              <w:tab/>
              <w:t>0.5</w:t>
            </w:r>
          </w:p>
          <w:p>
            <w:pPr>
              <w:pStyle w:val="TableParagraph"/>
              <w:tabs>
                <w:tab w:pos="1507" w:val="left" w:leader="none"/>
              </w:tabs>
              <w:spacing w:before="6"/>
              <w:ind w:left="628"/>
              <w:jc w:val="left"/>
              <w:rPr>
                <w:rFonts w:ascii="Calibri"/>
                <w:sz w:val="6"/>
              </w:rPr>
            </w:pPr>
            <w:r>
              <w:rPr>
                <w:rFonts w:ascii="Calibri"/>
                <w:w w:val="105"/>
                <w:sz w:val="6"/>
              </w:rPr>
              <w:t>$2,500.00</w:t>
              <w:tab/>
            </w:r>
            <w:r>
              <w:rPr>
                <w:rFonts w:ascii="Calibri"/>
                <w:w w:val="105"/>
                <w:sz w:val="6"/>
                <w:shd w:fill="808080" w:color="auto" w:val="clear"/>
              </w:rPr>
              <w:t>$5,000.00</w:t>
            </w:r>
            <w:r>
              <w:rPr>
                <w:rFonts w:ascii="Calibri"/>
                <w:spacing w:val="-4"/>
                <w:sz w:val="6"/>
                <w:shd w:fill="808080" w:color="auto" w:val="clear"/>
              </w:rPr>
              <w:t> </w:t>
            </w:r>
          </w:p>
        </w:tc>
        <w:tc>
          <w:tcPr>
            <w:tcW w:w="581" w:type="dxa"/>
            <w:tcBorders>
              <w:top w:val="single" w:sz="35" w:space="0" w:color="BAF9F5"/>
              <w:bottom w:val="single" w:sz="35" w:space="0" w:color="BAF9F5"/>
              <w:right w:val="single" w:sz="2" w:space="0" w:color="D3D3D3"/>
            </w:tcBorders>
          </w:tcPr>
          <w:p>
            <w:pPr>
              <w:pStyle w:val="TableParagraph"/>
              <w:spacing w:line="3" w:lineRule="exact"/>
              <w:ind w:left="146" w:right="135"/>
              <w:rPr>
                <w:rFonts w:ascii="Calibri"/>
                <w:sz w:val="6"/>
              </w:rPr>
            </w:pPr>
            <w:r>
              <w:rPr>
                <w:rFonts w:ascii="Calibri"/>
                <w:w w:val="105"/>
                <w:sz w:val="6"/>
              </w:rPr>
              <w:t>0.1</w:t>
            </w:r>
          </w:p>
          <w:p>
            <w:pPr>
              <w:pStyle w:val="TableParagraph"/>
              <w:spacing w:before="6"/>
              <w:ind w:left="146" w:right="135"/>
              <w:rPr>
                <w:rFonts w:ascii="Calibri"/>
                <w:sz w:val="6"/>
              </w:rPr>
            </w:pPr>
            <w:r>
              <w:rPr>
                <w:rFonts w:ascii="Calibri"/>
                <w:w w:val="105"/>
                <w:sz w:val="6"/>
              </w:rPr>
              <w:t>$7,000.00</w:t>
            </w:r>
          </w:p>
        </w:tc>
        <w:tc>
          <w:tcPr>
            <w:tcW w:w="1225" w:type="dxa"/>
            <w:tcBorders>
              <w:top w:val="single" w:sz="35" w:space="0" w:color="BAF9F5"/>
              <w:left w:val="single" w:sz="2" w:space="0" w:color="D3D3D3"/>
              <w:bottom w:val="single" w:sz="35" w:space="0" w:color="BAF9F5"/>
            </w:tcBorders>
          </w:tcPr>
          <w:p>
            <w:pPr>
              <w:pStyle w:val="TableParagraph"/>
              <w:spacing w:line="3" w:lineRule="exact"/>
              <w:ind w:right="136"/>
              <w:rPr>
                <w:rFonts w:ascii="Calibri"/>
                <w:sz w:val="6"/>
              </w:rPr>
            </w:pPr>
            <w:r>
              <w:rPr>
                <w:rFonts w:ascii="Calibri"/>
                <w:w w:val="104"/>
                <w:sz w:val="6"/>
              </w:rPr>
              <w:t>0</w:t>
            </w:r>
          </w:p>
          <w:p>
            <w:pPr>
              <w:pStyle w:val="TableParagraph"/>
              <w:spacing w:before="6"/>
              <w:ind w:left="282" w:right="415"/>
              <w:rPr>
                <w:rFonts w:ascii="Calibri" w:hAnsi="Calibri"/>
                <w:sz w:val="6"/>
              </w:rPr>
            </w:pPr>
            <w:r>
              <w:rPr>
                <w:rFonts w:ascii="Calibri" w:hAnsi="Calibri"/>
                <w:w w:val="105"/>
                <w:sz w:val="6"/>
              </w:rPr>
              <w:t>más de $10,000.00</w:t>
            </w:r>
          </w:p>
        </w:tc>
        <w:tc>
          <w:tcPr>
            <w:tcW w:w="370" w:type="dxa"/>
            <w:tcBorders>
              <w:top w:val="single" w:sz="35" w:space="0" w:color="BAF9F5"/>
              <w:bottom w:val="single" w:sz="35" w:space="0" w:color="BAF9F5"/>
              <w:right w:val="single" w:sz="2" w:space="0" w:color="D3D3D3"/>
            </w:tcBorders>
          </w:tcPr>
          <w:p>
            <w:pPr>
              <w:pStyle w:val="TableParagraph"/>
              <w:spacing w:line="3" w:lineRule="exact"/>
              <w:ind w:left="98"/>
              <w:jc w:val="left"/>
              <w:rPr>
                <w:rFonts w:ascii="Calibri"/>
                <w:sz w:val="6"/>
              </w:rPr>
            </w:pPr>
            <w:r>
              <w:rPr>
                <w:rFonts w:ascii="Calibri"/>
                <w:w w:val="105"/>
                <w:sz w:val="6"/>
              </w:rPr>
              <w:t>0.7</w:t>
            </w:r>
          </w:p>
        </w:tc>
        <w:tc>
          <w:tcPr>
            <w:tcW w:w="346" w:type="dxa"/>
            <w:tcBorders>
              <w:left w:val="single" w:sz="2" w:space="0" w:color="D3D3D3"/>
              <w:right w:val="single" w:sz="2" w:space="0" w:color="D3D3D3"/>
            </w:tcBorders>
          </w:tcPr>
          <w:p>
            <w:pP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112" w:right="106"/>
              <w:rPr>
                <w:rFonts w:ascii="Calibri"/>
                <w:sz w:val="6"/>
              </w:rPr>
            </w:pPr>
            <w:r>
              <w:rPr>
                <w:rFonts w:ascii="Calibri"/>
                <w:w w:val="105"/>
                <w:sz w:val="6"/>
              </w:rPr>
              <w:t>0.9</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2159" w:type="dxa"/>
            <w:shd w:val="clear" w:color="auto" w:fill="BAF9F5"/>
          </w:tcPr>
          <w:p>
            <w:pPr/>
          </w:p>
        </w:tc>
        <w:tc>
          <w:tcPr>
            <w:tcW w:w="581" w:type="dxa"/>
            <w:shd w:val="clear" w:color="auto" w:fill="BAF9F5"/>
          </w:tcPr>
          <w:p>
            <w:pPr/>
          </w:p>
        </w:tc>
        <w:tc>
          <w:tcPr>
            <w:tcW w:w="1225" w:type="dxa"/>
            <w:shd w:val="clear" w:color="auto" w:fill="BAF9F5"/>
          </w:tcPr>
          <w:p>
            <w:pPr/>
          </w:p>
        </w:tc>
        <w:tc>
          <w:tcPr>
            <w:tcW w:w="370" w:type="dxa"/>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10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Style w:val="TableParagraph"/>
              <w:spacing w:before="50"/>
              <w:ind w:left="8"/>
              <w:jc w:val="left"/>
              <w:rPr>
                <w:rFonts w:ascii="Calibri"/>
                <w:sz w:val="6"/>
              </w:rPr>
            </w:pPr>
            <w:r>
              <w:rPr>
                <w:rFonts w:ascii="Calibri"/>
                <w:w w:val="105"/>
                <w:sz w:val="6"/>
              </w:rPr>
              <w:t>Ingresos al Desarrollador</w:t>
            </w:r>
          </w:p>
        </w:tc>
        <w:tc>
          <w:tcPr>
            <w:tcW w:w="2344" w:type="dxa"/>
            <w:tcBorders>
              <w:left w:val="single" w:sz="2" w:space="0" w:color="D3D3D3"/>
              <w:right w:val="single" w:sz="2" w:space="0" w:color="D3D3D3"/>
            </w:tcBorders>
          </w:tcPr>
          <w:p>
            <w:pPr>
              <w:pStyle w:val="TableParagraph"/>
              <w:spacing w:before="50"/>
              <w:ind w:left="8"/>
              <w:jc w:val="left"/>
              <w:rPr>
                <w:rFonts w:ascii="Calibri"/>
                <w:sz w:val="6"/>
              </w:rPr>
            </w:pPr>
            <w:r>
              <w:rPr>
                <w:rFonts w:ascii="Calibri"/>
                <w:w w:val="105"/>
                <w:sz w:val="6"/>
              </w:rPr>
              <w:t>El estimado de utilidad del proyecto es de:</w:t>
            </w:r>
          </w:p>
        </w:tc>
        <w:tc>
          <w:tcPr>
            <w:tcW w:w="977"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3"/>
              <w:rPr>
                <w:rFonts w:ascii="Calibri"/>
                <w:sz w:val="6"/>
              </w:rPr>
            </w:pPr>
            <w:r>
              <w:rPr>
                <w:rFonts w:ascii="Calibri"/>
                <w:w w:val="104"/>
                <w:sz w:val="6"/>
              </w:rPr>
              <w:t>1</w:t>
            </w:r>
          </w:p>
          <w:p>
            <w:pPr>
              <w:pStyle w:val="TableParagraph"/>
              <w:spacing w:before="6"/>
              <w:ind w:left="269" w:right="261"/>
              <w:rPr>
                <w:rFonts w:ascii="Calibri"/>
                <w:sz w:val="6"/>
              </w:rPr>
            </w:pPr>
            <w:r>
              <w:rPr>
                <w:rFonts w:ascii="Calibri"/>
                <w:w w:val="105"/>
                <w:sz w:val="6"/>
              </w:rPr>
              <w:t>15%</w:t>
            </w:r>
          </w:p>
        </w:tc>
        <w:tc>
          <w:tcPr>
            <w:tcW w:w="1449" w:type="dxa"/>
            <w:tcBorders>
              <w:top w:val="single" w:sz="35" w:space="0" w:color="BAF9F5"/>
              <w:left w:val="single" w:sz="2" w:space="0" w:color="D3D3D3"/>
              <w:bottom w:val="single" w:sz="35" w:space="0" w:color="BAF9F5"/>
            </w:tcBorders>
          </w:tcPr>
          <w:p>
            <w:pPr>
              <w:pStyle w:val="TableParagraph"/>
              <w:spacing w:line="3" w:lineRule="exact"/>
              <w:ind w:left="414" w:right="414"/>
              <w:rPr>
                <w:rFonts w:ascii="Calibri"/>
                <w:sz w:val="6"/>
              </w:rPr>
            </w:pPr>
            <w:r>
              <w:rPr>
                <w:rFonts w:ascii="Calibri"/>
                <w:w w:val="105"/>
                <w:sz w:val="6"/>
              </w:rPr>
              <w:t>0.9</w:t>
            </w:r>
          </w:p>
          <w:p>
            <w:pPr>
              <w:pStyle w:val="TableParagraph"/>
              <w:spacing w:before="6"/>
              <w:ind w:left="414" w:right="410"/>
              <w:rPr>
                <w:rFonts w:ascii="Calibri"/>
                <w:sz w:val="6"/>
              </w:rPr>
            </w:pPr>
            <w:r>
              <w:rPr>
                <w:rFonts w:ascii="Calibri"/>
                <w:w w:val="105"/>
                <w:sz w:val="6"/>
              </w:rPr>
              <w:t>18%</w:t>
            </w:r>
          </w:p>
        </w:tc>
        <w:tc>
          <w:tcPr>
            <w:tcW w:w="2159" w:type="dxa"/>
            <w:tcBorders>
              <w:top w:val="single" w:sz="35" w:space="0" w:color="BAF9F5"/>
              <w:bottom w:val="single" w:sz="35" w:space="0" w:color="BAF9F5"/>
              <w:right w:val="single" w:sz="2" w:space="0" w:color="D3D3D3"/>
            </w:tcBorders>
          </w:tcPr>
          <w:p>
            <w:pPr>
              <w:pStyle w:val="TableParagraph"/>
              <w:tabs>
                <w:tab w:pos="1798" w:val="left" w:leader="none"/>
              </w:tabs>
              <w:spacing w:line="3" w:lineRule="exact"/>
              <w:ind w:left="718"/>
              <w:jc w:val="left"/>
              <w:rPr>
                <w:rFonts w:ascii="Calibri"/>
                <w:sz w:val="6"/>
              </w:rPr>
            </w:pPr>
            <w:r>
              <w:rPr>
                <w:rFonts w:ascii="Calibri"/>
                <w:w w:val="105"/>
                <w:sz w:val="6"/>
              </w:rPr>
              <w:t>0.7</w:t>
              <w:tab/>
              <w:t>0.5</w:t>
            </w:r>
          </w:p>
          <w:p>
            <w:pPr>
              <w:pStyle w:val="TableParagraph"/>
              <w:tabs>
                <w:tab w:pos="706" w:val="left" w:leader="none"/>
                <w:tab w:pos="1515" w:val="left" w:leader="none"/>
                <w:tab w:pos="1786" w:val="left" w:leader="none"/>
              </w:tabs>
              <w:spacing w:before="6"/>
              <w:jc w:val="left"/>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25%</w:t>
              <w:tab/>
            </w:r>
            <w:r>
              <w:rPr>
                <w:rFonts w:ascii="Calibri"/>
                <w:w w:val="105"/>
                <w:sz w:val="6"/>
              </w:rPr>
              <w:tab/>
              <w:t>30%</w:t>
            </w:r>
          </w:p>
        </w:tc>
        <w:tc>
          <w:tcPr>
            <w:tcW w:w="581"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26" w:right="20"/>
              <w:rPr>
                <w:rFonts w:ascii="Calibri"/>
                <w:sz w:val="6"/>
              </w:rPr>
            </w:pPr>
            <w:r>
              <w:rPr>
                <w:rFonts w:ascii="Calibri"/>
                <w:w w:val="105"/>
                <w:sz w:val="6"/>
              </w:rPr>
              <w:t>0.1</w:t>
            </w:r>
          </w:p>
          <w:p>
            <w:pPr>
              <w:pStyle w:val="TableParagraph"/>
              <w:spacing w:before="6"/>
              <w:ind w:left="26" w:right="15"/>
              <w:rPr>
                <w:rFonts w:ascii="Calibri" w:hAnsi="Calibri"/>
                <w:sz w:val="6"/>
              </w:rPr>
            </w:pPr>
            <w:r>
              <w:rPr>
                <w:rFonts w:ascii="Calibri" w:hAnsi="Calibri"/>
                <w:w w:val="105"/>
                <w:sz w:val="6"/>
              </w:rPr>
              <w:t>Más del 30%</w:t>
            </w:r>
          </w:p>
        </w:tc>
        <w:tc>
          <w:tcPr>
            <w:tcW w:w="1225" w:type="dxa"/>
            <w:tcBorders>
              <w:top w:val="single" w:sz="35" w:space="0" w:color="BAF9F5"/>
              <w:left w:val="single" w:sz="2" w:space="0" w:color="D3D3D3"/>
              <w:bottom w:val="single" w:sz="35" w:space="0" w:color="BAF9F5"/>
            </w:tcBorders>
          </w:tcPr>
          <w:p>
            <w:pPr>
              <w:pStyle w:val="TableParagraph"/>
              <w:spacing w:line="3" w:lineRule="exact"/>
              <w:ind w:right="136"/>
              <w:rPr>
                <w:rFonts w:ascii="Calibri"/>
                <w:sz w:val="6"/>
              </w:rPr>
            </w:pPr>
            <w:r>
              <w:rPr>
                <w:rFonts w:ascii="Calibri"/>
                <w:w w:val="104"/>
                <w:sz w:val="6"/>
              </w:rPr>
              <w:t>0</w:t>
            </w:r>
          </w:p>
        </w:tc>
        <w:tc>
          <w:tcPr>
            <w:tcW w:w="370" w:type="dxa"/>
            <w:tcBorders>
              <w:top w:val="single" w:sz="35" w:space="0" w:color="BAF9F5"/>
              <w:bottom w:val="single" w:sz="35" w:space="0" w:color="BAF9F5"/>
              <w:right w:val="single" w:sz="2" w:space="0" w:color="D3D3D3"/>
            </w:tcBorders>
          </w:tcPr>
          <w:p>
            <w:pPr>
              <w:pStyle w:val="TableParagraph"/>
              <w:spacing w:line="3" w:lineRule="exact"/>
              <w:ind w:left="98"/>
              <w:jc w:val="left"/>
              <w:rPr>
                <w:rFonts w:ascii="Calibri"/>
                <w:sz w:val="6"/>
              </w:rPr>
            </w:pPr>
            <w:r>
              <w:rPr>
                <w:rFonts w:ascii="Calibri"/>
                <w:w w:val="105"/>
                <w:sz w:val="6"/>
              </w:rPr>
              <w:t>0.5</w:t>
            </w:r>
          </w:p>
        </w:tc>
        <w:tc>
          <w:tcPr>
            <w:tcW w:w="346" w:type="dxa"/>
            <w:tcBorders>
              <w:left w:val="single" w:sz="2" w:space="0" w:color="D3D3D3"/>
              <w:right w:val="single" w:sz="2" w:space="0" w:color="D3D3D3"/>
            </w:tcBorders>
          </w:tcPr>
          <w:p>
            <w:pP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112" w:right="106"/>
              <w:rPr>
                <w:rFonts w:ascii="Calibri"/>
                <w:sz w:val="6"/>
              </w:rPr>
            </w:pPr>
            <w:r>
              <w:rPr>
                <w:rFonts w:ascii="Calibri"/>
                <w:w w:val="105"/>
                <w:sz w:val="6"/>
              </w:rPr>
              <w:t>0.9</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2159" w:type="dxa"/>
            <w:shd w:val="clear" w:color="auto" w:fill="BAF9F5"/>
          </w:tcPr>
          <w:p>
            <w:pPr/>
          </w:p>
        </w:tc>
        <w:tc>
          <w:tcPr>
            <w:tcW w:w="581" w:type="dxa"/>
            <w:shd w:val="clear" w:color="auto" w:fill="BAF9F5"/>
          </w:tcPr>
          <w:p>
            <w:pPr/>
          </w:p>
        </w:tc>
        <w:tc>
          <w:tcPr>
            <w:tcW w:w="1225" w:type="dxa"/>
            <w:shd w:val="clear" w:color="auto" w:fill="BAF9F5"/>
          </w:tcPr>
          <w:p>
            <w:pPr/>
          </w:p>
        </w:tc>
        <w:tc>
          <w:tcPr>
            <w:tcW w:w="370" w:type="dxa"/>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85" w:hRule="exact"/>
        </w:trPr>
        <w:tc>
          <w:tcPr>
            <w:tcW w:w="347" w:type="dxa"/>
            <w:tcBorders>
              <w:right w:val="single" w:sz="2" w:space="0" w:color="D3D3D3"/>
            </w:tcBorders>
          </w:tcPr>
          <w:p>
            <w:pPr/>
          </w:p>
        </w:tc>
        <w:tc>
          <w:tcPr>
            <w:tcW w:w="1182" w:type="dxa"/>
            <w:tcBorders>
              <w:left w:val="single" w:sz="2" w:space="0" w:color="D3D3D3"/>
              <w:bottom w:val="single" w:sz="2" w:space="0" w:color="D3D3D3"/>
              <w:right w:val="single" w:sz="2" w:space="0" w:color="D3D3D3"/>
            </w:tcBorders>
          </w:tcPr>
          <w:p>
            <w:pPr/>
          </w:p>
        </w:tc>
        <w:tc>
          <w:tcPr>
            <w:tcW w:w="1241" w:type="dxa"/>
            <w:tcBorders>
              <w:left w:val="single" w:sz="2" w:space="0" w:color="D3D3D3"/>
              <w:bottom w:val="single" w:sz="2" w:space="0" w:color="D3D3D3"/>
              <w:right w:val="single" w:sz="2" w:space="0" w:color="D3D3D3"/>
            </w:tcBorders>
          </w:tcPr>
          <w:p>
            <w:pPr/>
          </w:p>
        </w:tc>
        <w:tc>
          <w:tcPr>
            <w:tcW w:w="2344" w:type="dxa"/>
            <w:tcBorders>
              <w:left w:val="single" w:sz="2" w:space="0" w:color="D3D3D3"/>
              <w:bottom w:val="single" w:sz="2" w:space="0" w:color="D3D3D3"/>
              <w:right w:val="single" w:sz="2" w:space="0" w:color="D3D3D3"/>
            </w:tcBorders>
          </w:tcPr>
          <w:p>
            <w:pPr/>
          </w:p>
        </w:tc>
        <w:tc>
          <w:tcPr>
            <w:tcW w:w="977"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3"/>
              <w:rPr>
                <w:rFonts w:ascii="Calibri"/>
                <w:sz w:val="6"/>
              </w:rPr>
            </w:pPr>
            <w:r>
              <w:rPr>
                <w:rFonts w:ascii="Calibri"/>
                <w:w w:val="104"/>
                <w:sz w:val="6"/>
              </w:rPr>
              <w:t>1</w:t>
            </w:r>
          </w:p>
        </w:tc>
        <w:tc>
          <w:tcPr>
            <w:tcW w:w="1449"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65" w:right="63"/>
              <w:rPr>
                <w:rFonts w:ascii="Calibri"/>
                <w:sz w:val="6"/>
              </w:rPr>
            </w:pPr>
            <w:r>
              <w:rPr>
                <w:rFonts w:ascii="Calibri"/>
                <w:w w:val="105"/>
                <w:sz w:val="6"/>
              </w:rPr>
              <w:t>0.8</w:t>
            </w:r>
          </w:p>
        </w:tc>
        <w:tc>
          <w:tcPr>
            <w:tcW w:w="2159" w:type="dxa"/>
            <w:tcBorders>
              <w:left w:val="single" w:sz="2" w:space="0" w:color="D3D3D3"/>
              <w:bottom w:val="single" w:sz="2" w:space="0" w:color="D3D3D3"/>
              <w:right w:val="single" w:sz="2" w:space="0" w:color="D3D3D3"/>
            </w:tcBorders>
            <w:shd w:val="clear" w:color="auto" w:fill="BAF9F5"/>
          </w:tcPr>
          <w:p>
            <w:pPr>
              <w:pStyle w:val="TableParagraph"/>
              <w:tabs>
                <w:tab w:pos="1079" w:val="left" w:leader="none"/>
              </w:tabs>
              <w:spacing w:line="41" w:lineRule="exact"/>
              <w:ind w:right="279"/>
              <w:jc w:val="right"/>
              <w:rPr>
                <w:rFonts w:ascii="Calibri"/>
                <w:sz w:val="6"/>
              </w:rPr>
            </w:pPr>
            <w:r>
              <w:rPr>
                <w:rFonts w:ascii="Calibri"/>
                <w:w w:val="105"/>
                <w:sz w:val="6"/>
              </w:rPr>
              <w:t>0.6</w:t>
              <w:tab/>
            </w:r>
            <w:r>
              <w:rPr>
                <w:rFonts w:ascii="Calibri"/>
                <w:spacing w:val="-2"/>
                <w:w w:val="105"/>
                <w:sz w:val="6"/>
              </w:rPr>
              <w:t>0.3</w:t>
            </w:r>
          </w:p>
        </w:tc>
        <w:tc>
          <w:tcPr>
            <w:tcW w:w="581"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6"/>
              <w:rPr>
                <w:rFonts w:ascii="Calibri"/>
                <w:sz w:val="6"/>
              </w:rPr>
            </w:pPr>
            <w:r>
              <w:rPr>
                <w:rFonts w:ascii="Calibri"/>
                <w:w w:val="104"/>
                <w:sz w:val="6"/>
              </w:rPr>
              <w:t>0</w:t>
            </w:r>
          </w:p>
        </w:tc>
        <w:tc>
          <w:tcPr>
            <w:tcW w:w="1225" w:type="dxa"/>
            <w:tcBorders>
              <w:left w:val="single" w:sz="2" w:space="0" w:color="D3D3D3"/>
              <w:bottom w:val="single" w:sz="2" w:space="0" w:color="D3D3D3"/>
            </w:tcBorders>
            <w:shd w:val="clear" w:color="auto" w:fill="BAF9F5"/>
          </w:tcPr>
          <w:p>
            <w:pPr/>
          </w:p>
        </w:tc>
        <w:tc>
          <w:tcPr>
            <w:tcW w:w="370" w:type="dxa"/>
            <w:tcBorders>
              <w:bottom w:val="single" w:sz="2" w:space="0" w:color="D3D3D3"/>
            </w:tcBorders>
            <w:shd w:val="clear" w:color="auto" w:fill="BAF9F5"/>
          </w:tcPr>
          <w:p>
            <w:pPr>
              <w:pStyle w:val="TableParagraph"/>
              <w:spacing w:line="41" w:lineRule="exact"/>
              <w:ind w:left="98"/>
              <w:jc w:val="left"/>
              <w:rPr>
                <w:rFonts w:ascii="Calibri"/>
                <w:sz w:val="6"/>
              </w:rPr>
            </w:pPr>
            <w:r>
              <w:rPr>
                <w:rFonts w:ascii="Calibri"/>
                <w:w w:val="105"/>
                <w:sz w:val="6"/>
              </w:rPr>
              <w:t>0.6</w:t>
            </w:r>
          </w:p>
          <w:p>
            <w:pPr>
              <w:pStyle w:val="TableParagraph"/>
              <w:spacing w:before="9"/>
              <w:ind w:left="35"/>
              <w:jc w:val="left"/>
              <w:rPr>
                <w:rFonts w:ascii="Calibri"/>
                <w:sz w:val="6"/>
              </w:rPr>
            </w:pPr>
            <w:r>
              <w:rPr>
                <w:rFonts w:ascii="Calibri"/>
                <w:w w:val="105"/>
                <w:sz w:val="6"/>
              </w:rPr>
              <w:t>Subtotal</w:t>
            </w:r>
          </w:p>
        </w:tc>
        <w:tc>
          <w:tcPr>
            <w:tcW w:w="346" w:type="dxa"/>
            <w:shd w:val="clear" w:color="auto" w:fill="F79646"/>
          </w:tcPr>
          <w:p>
            <w:pPr>
              <w:pStyle w:val="TableParagraph"/>
              <w:spacing w:before="49"/>
              <w:ind w:left="136"/>
              <w:jc w:val="left"/>
              <w:rPr>
                <w:rFonts w:ascii="Calibri"/>
                <w:sz w:val="6"/>
              </w:rPr>
            </w:pPr>
            <w:r>
              <w:rPr>
                <w:rFonts w:ascii="Calibri"/>
                <w:w w:val="105"/>
                <w:sz w:val="6"/>
              </w:rPr>
              <w:t>1.8</w:t>
            </w:r>
          </w:p>
        </w:tc>
        <w:tc>
          <w:tcPr>
            <w:tcW w:w="346" w:type="dxa"/>
            <w:tcBorders>
              <w:top w:val="single" w:sz="35" w:space="0" w:color="BAF9F5"/>
            </w:tcBorders>
            <w:shd w:val="clear" w:color="auto" w:fill="FFFF00"/>
          </w:tcPr>
          <w:p>
            <w:pPr>
              <w:pStyle w:val="TableParagraph"/>
              <w:spacing w:line="3" w:lineRule="exact"/>
              <w:ind w:left="6"/>
              <w:rPr>
                <w:rFonts w:ascii="Calibri"/>
                <w:sz w:val="6"/>
              </w:rPr>
            </w:pPr>
            <w:r>
              <w:rPr>
                <w:rFonts w:ascii="Calibri"/>
                <w:w w:val="104"/>
                <w:sz w:val="6"/>
              </w:rPr>
              <w:t>1</w:t>
            </w:r>
          </w:p>
          <w:p>
            <w:pPr>
              <w:pStyle w:val="TableParagraph"/>
              <w:spacing w:before="6"/>
              <w:ind w:left="115" w:right="109"/>
              <w:rPr>
                <w:rFonts w:ascii="Calibri"/>
                <w:sz w:val="6"/>
              </w:rPr>
            </w:pPr>
            <w:r>
              <w:rPr>
                <w:rFonts w:ascii="Calibri"/>
                <w:w w:val="105"/>
                <w:sz w:val="6"/>
              </w:rPr>
              <w:t>2.8</w:t>
            </w:r>
          </w:p>
        </w:tc>
        <w:tc>
          <w:tcPr>
            <w:tcW w:w="346" w:type="dxa"/>
            <w:tcBorders>
              <w:top w:val="single" w:sz="35" w:space="0" w:color="BAF9F5"/>
            </w:tcBorders>
            <w:shd w:val="clear" w:color="auto" w:fill="67ED4D"/>
          </w:tcPr>
          <w:p>
            <w:pPr>
              <w:pStyle w:val="TableParagraph"/>
              <w:spacing w:line="3" w:lineRule="exact"/>
              <w:ind w:left="6"/>
              <w:rPr>
                <w:rFonts w:ascii="Calibri"/>
                <w:sz w:val="6"/>
              </w:rPr>
            </w:pPr>
            <w:r>
              <w:rPr>
                <w:rFonts w:ascii="Calibri"/>
                <w:w w:val="104"/>
                <w:sz w:val="6"/>
              </w:rPr>
              <w:t>1</w:t>
            </w:r>
          </w:p>
          <w:p>
            <w:pPr>
              <w:pStyle w:val="TableParagraph"/>
              <w:spacing w:before="6"/>
              <w:ind w:left="6"/>
              <w:rPr>
                <w:rFonts w:ascii="Calibri"/>
                <w:sz w:val="6"/>
              </w:rPr>
            </w:pPr>
            <w:r>
              <w:rPr>
                <w:rFonts w:ascii="Calibri"/>
                <w:w w:val="104"/>
                <w:sz w:val="6"/>
              </w:rPr>
              <w:t>3</w:t>
            </w:r>
          </w:p>
        </w:tc>
        <w:tc>
          <w:tcPr>
            <w:tcW w:w="89" w:type="dxa"/>
            <w:tcBorders>
              <w:bottom w:val="single" w:sz="2" w:space="0" w:color="D3D3D3"/>
            </w:tcBorders>
          </w:tcPr>
          <w:p>
            <w:pPr/>
          </w:p>
        </w:tc>
      </w:tr>
      <w:tr>
        <w:trPr>
          <w:trHeight w:val="83" w:hRule="exact"/>
        </w:trPr>
        <w:tc>
          <w:tcPr>
            <w:tcW w:w="347" w:type="dxa"/>
            <w:tcBorders>
              <w:right w:val="single" w:sz="2" w:space="0" w:color="D3D3D3"/>
            </w:tcBorders>
          </w:tcPr>
          <w:p>
            <w:pPr/>
          </w:p>
        </w:tc>
        <w:tc>
          <w:tcPr>
            <w:tcW w:w="1182" w:type="dxa"/>
            <w:tcBorders>
              <w:top w:val="single" w:sz="2" w:space="0" w:color="D3D3D3"/>
              <w:left w:val="single" w:sz="2" w:space="0" w:color="D3D3D3"/>
              <w:bottom w:val="single" w:sz="2" w:space="0" w:color="D3D3D3"/>
              <w:right w:val="single" w:sz="2" w:space="0" w:color="D3D3D3"/>
            </w:tcBorders>
          </w:tcPr>
          <w:p>
            <w:pPr/>
          </w:p>
        </w:tc>
        <w:tc>
          <w:tcPr>
            <w:tcW w:w="1241" w:type="dxa"/>
            <w:tcBorders>
              <w:top w:val="single" w:sz="2" w:space="0" w:color="D3D3D3"/>
              <w:left w:val="single" w:sz="2" w:space="0" w:color="D3D3D3"/>
              <w:bottom w:val="single" w:sz="2" w:space="0" w:color="D3D3D3"/>
              <w:right w:val="single" w:sz="2" w:space="0" w:color="D3D3D3"/>
            </w:tcBorders>
          </w:tcPr>
          <w:p>
            <w:pPr/>
          </w:p>
        </w:tc>
        <w:tc>
          <w:tcPr>
            <w:tcW w:w="2344" w:type="dxa"/>
            <w:tcBorders>
              <w:top w:val="single" w:sz="2" w:space="0" w:color="D3D3D3"/>
              <w:left w:val="single" w:sz="2" w:space="0" w:color="D3D3D3"/>
              <w:bottom w:val="single" w:sz="2" w:space="0" w:color="D3D3D3"/>
              <w:right w:val="single" w:sz="2" w:space="0" w:color="D3D3D3"/>
            </w:tcBorders>
          </w:tcPr>
          <w:p>
            <w:pPr/>
          </w:p>
        </w:tc>
        <w:tc>
          <w:tcPr>
            <w:tcW w:w="977" w:type="dxa"/>
            <w:tcBorders>
              <w:top w:val="single" w:sz="2" w:space="0" w:color="D3D3D3"/>
              <w:left w:val="single" w:sz="2" w:space="0" w:color="D3D3D3"/>
              <w:bottom w:val="single" w:sz="2" w:space="0" w:color="D3D3D3"/>
              <w:right w:val="single" w:sz="2" w:space="0" w:color="D3D3D3"/>
            </w:tcBorders>
          </w:tcPr>
          <w:p>
            <w:pPr/>
          </w:p>
        </w:tc>
        <w:tc>
          <w:tcPr>
            <w:tcW w:w="1449" w:type="dxa"/>
            <w:tcBorders>
              <w:top w:val="single" w:sz="2" w:space="0" w:color="D3D3D3"/>
              <w:left w:val="single" w:sz="2" w:space="0" w:color="D3D3D3"/>
              <w:bottom w:val="single" w:sz="35" w:space="0" w:color="808080"/>
              <w:right w:val="single" w:sz="2" w:space="0" w:color="D3D3D3"/>
            </w:tcBorders>
          </w:tcPr>
          <w:p>
            <w:pPr/>
          </w:p>
        </w:tc>
        <w:tc>
          <w:tcPr>
            <w:tcW w:w="2159" w:type="dxa"/>
            <w:tcBorders>
              <w:top w:val="single" w:sz="2" w:space="0" w:color="D3D3D3"/>
              <w:left w:val="single" w:sz="2" w:space="0" w:color="D3D3D3"/>
              <w:bottom w:val="single" w:sz="2" w:space="0" w:color="D3D3D3"/>
              <w:right w:val="single" w:sz="2" w:space="0" w:color="D3D3D3"/>
            </w:tcBorders>
          </w:tcPr>
          <w:p>
            <w:pPr/>
          </w:p>
        </w:tc>
        <w:tc>
          <w:tcPr>
            <w:tcW w:w="581" w:type="dxa"/>
            <w:tcBorders>
              <w:top w:val="single" w:sz="2" w:space="0" w:color="D3D3D3"/>
              <w:left w:val="single" w:sz="2" w:space="0" w:color="D3D3D3"/>
              <w:bottom w:val="single" w:sz="2" w:space="0" w:color="D3D3D3"/>
              <w:right w:val="single" w:sz="2" w:space="0" w:color="D3D3D3"/>
            </w:tcBorders>
          </w:tcPr>
          <w:p>
            <w:pPr/>
          </w:p>
        </w:tc>
        <w:tc>
          <w:tcPr>
            <w:tcW w:w="1225" w:type="dxa"/>
            <w:tcBorders>
              <w:top w:val="single" w:sz="2" w:space="0" w:color="D3D3D3"/>
              <w:left w:val="single" w:sz="2" w:space="0" w:color="D3D3D3"/>
              <w:bottom w:val="single" w:sz="2" w:space="0" w:color="D3D3D3"/>
            </w:tcBorders>
          </w:tcPr>
          <w:p>
            <w:pPr/>
          </w:p>
        </w:tc>
        <w:tc>
          <w:tcPr>
            <w:tcW w:w="370" w:type="dxa"/>
            <w:tcBorders>
              <w:top w:val="single" w:sz="2" w:space="0" w:color="D3D3D3"/>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89" w:type="dxa"/>
            <w:tcBorders>
              <w:top w:val="single" w:sz="2" w:space="0" w:color="D3D3D3"/>
              <w:left w:val="single" w:sz="2" w:space="0" w:color="D3D3D3"/>
              <w:bottom w:val="single" w:sz="2" w:space="0" w:color="D3D3D3"/>
            </w:tcBorders>
          </w:tcPr>
          <w:p>
            <w:pPr/>
          </w:p>
        </w:tc>
      </w:tr>
      <w:tr>
        <w:trPr>
          <w:trHeight w:val="95" w:hRule="exact"/>
        </w:trPr>
        <w:tc>
          <w:tcPr>
            <w:tcW w:w="347" w:type="dxa"/>
            <w:tcBorders>
              <w:right w:val="single" w:sz="2" w:space="0" w:color="D3D3D3"/>
            </w:tcBorders>
          </w:tcPr>
          <w:p>
            <w:pPr/>
          </w:p>
        </w:tc>
        <w:tc>
          <w:tcPr>
            <w:tcW w:w="1182" w:type="dxa"/>
            <w:tcBorders>
              <w:top w:val="single" w:sz="2" w:space="0" w:color="D3D3D3"/>
              <w:left w:val="single" w:sz="2" w:space="0" w:color="D3D3D3"/>
              <w:right w:val="single" w:sz="2" w:space="0" w:color="D3D3D3"/>
            </w:tcBorders>
          </w:tcPr>
          <w:p>
            <w:pPr>
              <w:pStyle w:val="TableParagraph"/>
              <w:spacing w:before="6"/>
              <w:ind w:left="52"/>
              <w:jc w:val="left"/>
              <w:rPr>
                <w:rFonts w:ascii="Calibri"/>
                <w:sz w:val="6"/>
              </w:rPr>
            </w:pPr>
            <w:r>
              <w:rPr>
                <w:rFonts w:ascii="Calibri"/>
                <w:w w:val="105"/>
                <w:sz w:val="6"/>
              </w:rPr>
              <w:t>4 Gastos de habitabilidad</w:t>
            </w:r>
          </w:p>
        </w:tc>
        <w:tc>
          <w:tcPr>
            <w:tcW w:w="1241" w:type="dxa"/>
            <w:tcBorders>
              <w:top w:val="single" w:sz="2" w:space="0" w:color="D3D3D3"/>
              <w:left w:val="single" w:sz="2" w:space="0" w:color="D3D3D3"/>
              <w:right w:val="single" w:sz="2" w:space="0" w:color="D3D3D3"/>
            </w:tcBorders>
          </w:tcPr>
          <w:p>
            <w:pPr>
              <w:pStyle w:val="TableParagraph"/>
              <w:spacing w:before="6"/>
              <w:ind w:left="8"/>
              <w:jc w:val="left"/>
              <w:rPr>
                <w:rFonts w:ascii="Calibri"/>
                <w:sz w:val="6"/>
              </w:rPr>
            </w:pPr>
            <w:r>
              <w:rPr>
                <w:rFonts w:ascii="Calibri"/>
                <w:w w:val="105"/>
                <w:sz w:val="6"/>
              </w:rPr>
              <w:t>Pago de CFE</w:t>
            </w:r>
          </w:p>
        </w:tc>
        <w:tc>
          <w:tcPr>
            <w:tcW w:w="2344" w:type="dxa"/>
            <w:tcBorders>
              <w:top w:val="single" w:sz="2" w:space="0" w:color="D3D3D3"/>
              <w:left w:val="single" w:sz="2" w:space="0" w:color="D3D3D3"/>
              <w:right w:val="single" w:sz="2" w:space="0" w:color="D3D3D3"/>
            </w:tcBorders>
          </w:tcPr>
          <w:p>
            <w:pPr>
              <w:pStyle w:val="TableParagraph"/>
              <w:spacing w:before="6"/>
              <w:ind w:left="8"/>
              <w:jc w:val="left"/>
              <w:rPr>
                <w:rFonts w:ascii="Calibri" w:hAnsi="Calibri"/>
                <w:sz w:val="6"/>
              </w:rPr>
            </w:pPr>
            <w:r>
              <w:rPr>
                <w:rFonts w:ascii="Calibri" w:hAnsi="Calibri"/>
                <w:w w:val="105"/>
                <w:sz w:val="6"/>
              </w:rPr>
              <w:t>¿Cuál es el costo bimestral que se paga por el servicio de energía electrica?</w:t>
            </w:r>
          </w:p>
        </w:tc>
        <w:tc>
          <w:tcPr>
            <w:tcW w:w="977" w:type="dxa"/>
            <w:tcBorders>
              <w:top w:val="single" w:sz="2" w:space="0" w:color="D3D3D3"/>
              <w:left w:val="single" w:sz="2" w:space="0" w:color="D3D3D3"/>
              <w:bottom w:val="single" w:sz="35" w:space="0" w:color="BAF9F5"/>
            </w:tcBorders>
          </w:tcPr>
          <w:p>
            <w:pPr>
              <w:pStyle w:val="TableParagraph"/>
              <w:spacing w:before="6"/>
              <w:ind w:left="291"/>
              <w:jc w:val="left"/>
              <w:rPr>
                <w:rFonts w:ascii="Calibri"/>
                <w:sz w:val="6"/>
              </w:rPr>
            </w:pPr>
            <w:r>
              <w:rPr>
                <w:rFonts w:ascii="Calibri"/>
                <w:w w:val="105"/>
                <w:sz w:val="6"/>
              </w:rPr>
              <w:t>de $200 a $300</w:t>
            </w:r>
          </w:p>
        </w:tc>
        <w:tc>
          <w:tcPr>
            <w:tcW w:w="1449" w:type="dxa"/>
            <w:tcBorders>
              <w:bottom w:val="single" w:sz="35" w:space="0" w:color="BAF9F5"/>
            </w:tcBorders>
            <w:shd w:val="clear" w:color="auto" w:fill="808080"/>
          </w:tcPr>
          <w:p>
            <w:pPr>
              <w:pStyle w:val="TableParagraph"/>
              <w:spacing w:before="8"/>
              <w:ind w:left="510" w:right="506"/>
              <w:rPr>
                <w:rFonts w:ascii="Calibri"/>
                <w:sz w:val="6"/>
              </w:rPr>
            </w:pPr>
            <w:r>
              <w:rPr>
                <w:rFonts w:ascii="Calibri"/>
                <w:w w:val="105"/>
                <w:sz w:val="6"/>
              </w:rPr>
              <w:t>de $300 a $500</w:t>
            </w:r>
          </w:p>
        </w:tc>
        <w:tc>
          <w:tcPr>
            <w:tcW w:w="2159" w:type="dxa"/>
            <w:tcBorders>
              <w:top w:val="single" w:sz="2" w:space="0" w:color="D3D3D3"/>
              <w:bottom w:val="single" w:sz="35" w:space="0" w:color="BAF9F5"/>
              <w:right w:val="single" w:sz="2" w:space="0" w:color="D3D3D3"/>
            </w:tcBorders>
          </w:tcPr>
          <w:p>
            <w:pPr>
              <w:pStyle w:val="TableParagraph"/>
              <w:tabs>
                <w:tab w:pos="1079" w:val="left" w:leader="none"/>
              </w:tabs>
              <w:spacing w:before="6"/>
              <w:ind w:right="121"/>
              <w:jc w:val="right"/>
              <w:rPr>
                <w:rFonts w:ascii="Calibri"/>
                <w:sz w:val="6"/>
              </w:rPr>
            </w:pPr>
            <w:r>
              <w:rPr>
                <w:rFonts w:ascii="Calibri"/>
                <w:w w:val="105"/>
                <w:sz w:val="6"/>
              </w:rPr>
              <w:t>de $500</w:t>
            </w:r>
            <w:r>
              <w:rPr>
                <w:rFonts w:ascii="Calibri"/>
                <w:spacing w:val="-2"/>
                <w:w w:val="105"/>
                <w:sz w:val="6"/>
              </w:rPr>
              <w:t> </w:t>
            </w:r>
            <w:r>
              <w:rPr>
                <w:rFonts w:ascii="Calibri"/>
                <w:w w:val="105"/>
                <w:sz w:val="6"/>
              </w:rPr>
              <w:t>a $700</w:t>
              <w:tab/>
              <w:t>de $700 a</w:t>
            </w:r>
            <w:r>
              <w:rPr>
                <w:rFonts w:ascii="Calibri"/>
                <w:spacing w:val="-5"/>
                <w:w w:val="105"/>
                <w:sz w:val="6"/>
              </w:rPr>
              <w:t> </w:t>
            </w:r>
            <w:r>
              <w:rPr>
                <w:rFonts w:ascii="Calibri"/>
                <w:w w:val="105"/>
                <w:sz w:val="6"/>
              </w:rPr>
              <w:t>$900</w:t>
            </w:r>
          </w:p>
        </w:tc>
        <w:tc>
          <w:tcPr>
            <w:tcW w:w="581" w:type="dxa"/>
            <w:tcBorders>
              <w:top w:val="single" w:sz="2" w:space="0" w:color="D3D3D3"/>
              <w:left w:val="single" w:sz="2" w:space="0" w:color="D3D3D3"/>
              <w:bottom w:val="single" w:sz="35" w:space="0" w:color="BAF9F5"/>
              <w:right w:val="single" w:sz="2" w:space="0" w:color="D3D3D3"/>
            </w:tcBorders>
          </w:tcPr>
          <w:p>
            <w:pPr>
              <w:pStyle w:val="TableParagraph"/>
              <w:spacing w:before="6"/>
              <w:ind w:left="141" w:right="137"/>
              <w:rPr>
                <w:rFonts w:ascii="Calibri"/>
                <w:sz w:val="6"/>
              </w:rPr>
            </w:pPr>
            <w:r>
              <w:rPr>
                <w:rFonts w:ascii="Calibri"/>
                <w:w w:val="105"/>
                <w:sz w:val="6"/>
              </w:rPr>
              <w:t>No paga</w:t>
            </w:r>
          </w:p>
        </w:tc>
        <w:tc>
          <w:tcPr>
            <w:tcW w:w="1225" w:type="dxa"/>
            <w:tcBorders>
              <w:top w:val="single" w:sz="2" w:space="0" w:color="D3D3D3"/>
              <w:left w:val="single" w:sz="2" w:space="0" w:color="D3D3D3"/>
              <w:bottom w:val="single" w:sz="35" w:space="0" w:color="BAF9F5"/>
            </w:tcBorders>
          </w:tcPr>
          <w:p>
            <w:pPr>
              <w:pStyle w:val="TableParagraph"/>
              <w:spacing w:before="6"/>
              <w:ind w:left="283" w:right="414"/>
              <w:rPr>
                <w:rFonts w:ascii="Calibri"/>
                <w:sz w:val="6"/>
              </w:rPr>
            </w:pPr>
            <w:r>
              <w:rPr>
                <w:rFonts w:ascii="Calibri"/>
                <w:w w:val="105"/>
                <w:sz w:val="6"/>
              </w:rPr>
              <w:t>Especificar:</w:t>
            </w:r>
          </w:p>
        </w:tc>
        <w:tc>
          <w:tcPr>
            <w:tcW w:w="370" w:type="dxa"/>
            <w:tcBorders>
              <w:top w:val="single" w:sz="2" w:space="0" w:color="D3D3D3"/>
              <w:bottom w:val="single" w:sz="35" w:space="0" w:color="BAF9F5"/>
              <w:right w:val="single" w:sz="2" w:space="0" w:color="D3D3D3"/>
            </w:tcBorders>
          </w:tcPr>
          <w:p>
            <w:pPr/>
          </w:p>
        </w:tc>
        <w:tc>
          <w:tcPr>
            <w:tcW w:w="346" w:type="dxa"/>
            <w:tcBorders>
              <w:top w:val="single" w:sz="2" w:space="0" w:color="D3D3D3"/>
              <w:left w:val="single" w:sz="2" w:space="0" w:color="D3D3D3"/>
              <w:right w:val="single" w:sz="2" w:space="0" w:color="D3D3D3"/>
            </w:tcBorders>
          </w:tcPr>
          <w:p>
            <w:pPr/>
          </w:p>
        </w:tc>
        <w:tc>
          <w:tcPr>
            <w:tcW w:w="346" w:type="dxa"/>
            <w:tcBorders>
              <w:top w:val="single" w:sz="2" w:space="0" w:color="D3D3D3"/>
              <w:left w:val="single" w:sz="2" w:space="0" w:color="D3D3D3"/>
              <w:bottom w:val="single" w:sz="35" w:space="0" w:color="BAF9F5"/>
              <w:right w:val="single" w:sz="2" w:space="0" w:color="D3D3D3"/>
            </w:tcBorders>
          </w:tcPr>
          <w:p>
            <w:pPr/>
          </w:p>
        </w:tc>
        <w:tc>
          <w:tcPr>
            <w:tcW w:w="346" w:type="dxa"/>
            <w:tcBorders>
              <w:top w:val="single" w:sz="2" w:space="0" w:color="D3D3D3"/>
              <w:left w:val="single" w:sz="2" w:space="0" w:color="D3D3D3"/>
              <w:bottom w:val="single" w:sz="35" w:space="0" w:color="BAF9F5"/>
              <w:right w:val="single" w:sz="2" w:space="0" w:color="D3D3D3"/>
            </w:tcBorders>
          </w:tcPr>
          <w:p>
            <w:pPr/>
          </w:p>
        </w:tc>
        <w:tc>
          <w:tcPr>
            <w:tcW w:w="89" w:type="dxa"/>
            <w:tcBorders>
              <w:top w:val="single" w:sz="2" w:space="0" w:color="D3D3D3"/>
              <w:left w:val="single" w:sz="2" w:space="0" w:color="D3D3D3"/>
            </w:tcBorders>
          </w:tcPr>
          <w:p>
            <w:pPr/>
          </w:p>
        </w:tc>
      </w:tr>
      <w:tr>
        <w:trPr>
          <w:trHeight w:val="67" w:hRule="exact"/>
        </w:trPr>
        <w:tc>
          <w:tcPr>
            <w:tcW w:w="347" w:type="dxa"/>
            <w:tcBorders>
              <w:right w:val="single" w:sz="2" w:space="0" w:color="D3D3D3"/>
            </w:tcBorders>
          </w:tcPr>
          <w:p>
            <w:pPr>
              <w:pStyle w:val="TableParagraph"/>
              <w:spacing w:line="65" w:lineRule="exact"/>
              <w:ind w:left="16" w:right="6"/>
              <w:rPr>
                <w:rFonts w:ascii="Calibri" w:hAnsi="Calibri"/>
                <w:sz w:val="6"/>
              </w:rPr>
            </w:pPr>
            <w:r>
              <w:rPr>
                <w:rFonts w:ascii="Calibri" w:hAnsi="Calibri"/>
                <w:w w:val="105"/>
                <w:sz w:val="6"/>
              </w:rPr>
              <w:t>Económico</w:t>
            </w: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2159" w:type="dxa"/>
            <w:shd w:val="clear" w:color="auto" w:fill="BAF9F5"/>
          </w:tcPr>
          <w:p>
            <w:pPr/>
          </w:p>
        </w:tc>
        <w:tc>
          <w:tcPr>
            <w:tcW w:w="581" w:type="dxa"/>
            <w:shd w:val="clear" w:color="auto" w:fill="BAF9F5"/>
          </w:tcPr>
          <w:p>
            <w:pPr/>
          </w:p>
        </w:tc>
        <w:tc>
          <w:tcPr>
            <w:tcW w:w="1225" w:type="dxa"/>
            <w:shd w:val="clear" w:color="auto" w:fill="BAF9F5"/>
          </w:tcPr>
          <w:p>
            <w:pPr/>
          </w:p>
        </w:tc>
        <w:tc>
          <w:tcPr>
            <w:tcW w:w="370" w:type="dxa"/>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10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Style w:val="TableParagraph"/>
              <w:spacing w:before="49"/>
              <w:ind w:left="8"/>
              <w:jc w:val="left"/>
              <w:rPr>
                <w:rFonts w:ascii="Calibri"/>
                <w:sz w:val="6"/>
              </w:rPr>
            </w:pPr>
            <w:r>
              <w:rPr>
                <w:rFonts w:ascii="Calibri"/>
                <w:w w:val="105"/>
                <w:sz w:val="6"/>
              </w:rPr>
              <w:t>Pago de agua</w:t>
            </w:r>
          </w:p>
        </w:tc>
        <w:tc>
          <w:tcPr>
            <w:tcW w:w="2344" w:type="dxa"/>
            <w:tcBorders>
              <w:left w:val="single" w:sz="2" w:space="0" w:color="D3D3D3"/>
              <w:right w:val="single" w:sz="2" w:space="0" w:color="D3D3D3"/>
            </w:tcBorders>
          </w:tcPr>
          <w:p>
            <w:pPr>
              <w:pStyle w:val="TableParagraph"/>
              <w:spacing w:before="49"/>
              <w:ind w:left="8"/>
              <w:jc w:val="left"/>
              <w:rPr>
                <w:rFonts w:ascii="Calibri" w:hAnsi="Calibri"/>
                <w:sz w:val="6"/>
              </w:rPr>
            </w:pPr>
            <w:r>
              <w:rPr>
                <w:rFonts w:ascii="Calibri" w:hAnsi="Calibri"/>
                <w:w w:val="105"/>
                <w:sz w:val="6"/>
              </w:rPr>
              <w:t>¿Cuál es el costo bimestral que se paga por el servicio de agua potable?</w:t>
            </w:r>
          </w:p>
        </w:tc>
        <w:tc>
          <w:tcPr>
            <w:tcW w:w="977"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3"/>
              <w:rPr>
                <w:rFonts w:ascii="Calibri"/>
                <w:sz w:val="6"/>
              </w:rPr>
            </w:pPr>
            <w:r>
              <w:rPr>
                <w:rFonts w:ascii="Calibri"/>
                <w:w w:val="104"/>
                <w:sz w:val="6"/>
              </w:rPr>
              <w:t>1</w:t>
            </w:r>
          </w:p>
          <w:p>
            <w:pPr>
              <w:pStyle w:val="TableParagraph"/>
              <w:spacing w:before="6"/>
              <w:ind w:left="269" w:right="267"/>
              <w:rPr>
                <w:rFonts w:ascii="Calibri"/>
                <w:sz w:val="6"/>
              </w:rPr>
            </w:pPr>
            <w:r>
              <w:rPr>
                <w:rFonts w:ascii="Calibri"/>
                <w:w w:val="105"/>
                <w:sz w:val="6"/>
              </w:rPr>
              <w:t>de $200 a $300</w:t>
            </w:r>
          </w:p>
        </w:tc>
        <w:tc>
          <w:tcPr>
            <w:tcW w:w="1449"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506" w:right="504"/>
              <w:rPr>
                <w:rFonts w:ascii="Calibri"/>
                <w:sz w:val="6"/>
              </w:rPr>
            </w:pPr>
            <w:r>
              <w:rPr>
                <w:rFonts w:ascii="Calibri"/>
                <w:w w:val="105"/>
                <w:sz w:val="6"/>
              </w:rPr>
              <w:t>0.7</w:t>
            </w:r>
          </w:p>
          <w:p>
            <w:pPr>
              <w:pStyle w:val="TableParagraph"/>
              <w:spacing w:before="6"/>
              <w:ind w:left="506" w:right="504"/>
              <w:rPr>
                <w:rFonts w:ascii="Calibri"/>
                <w:sz w:val="6"/>
              </w:rPr>
            </w:pPr>
            <w:r>
              <w:rPr>
                <w:rFonts w:ascii="Calibri"/>
                <w:w w:val="105"/>
                <w:sz w:val="6"/>
              </w:rPr>
              <w:t>de $300 a $500</w:t>
            </w:r>
          </w:p>
        </w:tc>
        <w:tc>
          <w:tcPr>
            <w:tcW w:w="2159" w:type="dxa"/>
            <w:tcBorders>
              <w:top w:val="single" w:sz="35" w:space="0" w:color="BAF9F5"/>
              <w:left w:val="single" w:sz="2" w:space="0" w:color="D3D3D3"/>
              <w:bottom w:val="single" w:sz="35" w:space="0" w:color="BAF9F5"/>
            </w:tcBorders>
          </w:tcPr>
          <w:p>
            <w:pPr>
              <w:pStyle w:val="TableParagraph"/>
              <w:tabs>
                <w:tab w:pos="1511" w:val="left" w:leader="none"/>
              </w:tabs>
              <w:spacing w:line="3" w:lineRule="exact"/>
              <w:ind w:left="431"/>
              <w:rPr>
                <w:rFonts w:ascii="Calibri"/>
                <w:sz w:val="6"/>
              </w:rPr>
            </w:pPr>
            <w:r>
              <w:rPr>
                <w:rFonts w:ascii="Calibri"/>
                <w:w w:val="105"/>
                <w:sz w:val="6"/>
              </w:rPr>
              <w:t>0.6</w:t>
              <w:tab/>
              <w:t>0.2</w:t>
            </w:r>
          </w:p>
          <w:p>
            <w:pPr>
              <w:pStyle w:val="TableParagraph"/>
              <w:tabs>
                <w:tab w:pos="1510" w:val="left" w:leader="none"/>
              </w:tabs>
              <w:spacing w:before="6"/>
              <w:ind w:left="431"/>
              <w:rPr>
                <w:rFonts w:ascii="Calibri"/>
                <w:sz w:val="6"/>
              </w:rPr>
            </w:pPr>
            <w:r>
              <w:rPr>
                <w:rFonts w:ascii="Calibri"/>
                <w:w w:val="105"/>
                <w:sz w:val="6"/>
              </w:rPr>
              <w:t>de $500</w:t>
            </w:r>
            <w:r>
              <w:rPr>
                <w:rFonts w:ascii="Calibri"/>
                <w:spacing w:val="-2"/>
                <w:w w:val="105"/>
                <w:sz w:val="6"/>
              </w:rPr>
              <w:t> </w:t>
            </w:r>
            <w:r>
              <w:rPr>
                <w:rFonts w:ascii="Calibri"/>
                <w:w w:val="105"/>
                <w:sz w:val="6"/>
              </w:rPr>
              <w:t>a $700</w:t>
              <w:tab/>
              <w:t>de $700 a</w:t>
            </w:r>
            <w:r>
              <w:rPr>
                <w:rFonts w:ascii="Calibri"/>
                <w:spacing w:val="-5"/>
                <w:w w:val="105"/>
                <w:sz w:val="6"/>
              </w:rPr>
              <w:t> </w:t>
            </w:r>
            <w:r>
              <w:rPr>
                <w:rFonts w:ascii="Calibri"/>
                <w:w w:val="105"/>
                <w:sz w:val="6"/>
              </w:rPr>
              <w:t>$900</w:t>
            </w:r>
          </w:p>
        </w:tc>
        <w:tc>
          <w:tcPr>
            <w:tcW w:w="581" w:type="dxa"/>
            <w:tcBorders>
              <w:top w:val="single" w:sz="35" w:space="0" w:color="BAF9F5"/>
              <w:bottom w:val="single" w:sz="35" w:space="0" w:color="BAF9F5"/>
            </w:tcBorders>
          </w:tcPr>
          <w:p>
            <w:pPr>
              <w:pStyle w:val="TableParagraph"/>
              <w:spacing w:line="3" w:lineRule="exact"/>
              <w:ind w:left="8"/>
              <w:rPr>
                <w:rFonts w:ascii="Calibri"/>
                <w:sz w:val="6"/>
              </w:rPr>
            </w:pPr>
            <w:r>
              <w:rPr>
                <w:rFonts w:ascii="Calibri"/>
                <w:w w:val="104"/>
                <w:sz w:val="6"/>
              </w:rPr>
              <w:t>0</w:t>
            </w:r>
          </w:p>
          <w:p>
            <w:pPr>
              <w:pStyle w:val="TableParagraph"/>
              <w:spacing w:before="6"/>
              <w:ind w:left="-1" w:right="-9"/>
              <w:rPr>
                <w:rFonts w:ascii="Calibri"/>
                <w:sz w:val="6"/>
              </w:rPr>
            </w:pPr>
            <w:r>
              <w:rPr>
                <w:rFonts w:ascii="Times New Roman"/>
                <w:w w:val="104"/>
                <w:sz w:val="6"/>
                <w:shd w:fill="808080" w:color="auto" w:val="clear"/>
              </w:rPr>
              <w:t> </w:t>
            </w:r>
            <w:r>
              <w:rPr>
                <w:rFonts w:ascii="Times New Roman"/>
                <w:sz w:val="6"/>
                <w:shd w:fill="808080" w:color="auto" w:val="clear"/>
              </w:rPr>
              <w:t>           </w:t>
            </w:r>
            <w:r>
              <w:rPr>
                <w:rFonts w:ascii="Times New Roman"/>
                <w:spacing w:val="-8"/>
                <w:sz w:val="6"/>
                <w:shd w:fill="808080" w:color="auto" w:val="clear"/>
              </w:rPr>
              <w:t> </w:t>
            </w:r>
            <w:r>
              <w:rPr>
                <w:rFonts w:ascii="Calibri"/>
                <w:w w:val="105"/>
                <w:sz w:val="6"/>
                <w:shd w:fill="808080" w:color="auto" w:val="clear"/>
              </w:rPr>
              <w:t>No</w:t>
            </w:r>
            <w:r>
              <w:rPr>
                <w:rFonts w:ascii="Calibri"/>
                <w:spacing w:val="-3"/>
                <w:w w:val="105"/>
                <w:sz w:val="6"/>
                <w:shd w:fill="808080" w:color="auto" w:val="clear"/>
              </w:rPr>
              <w:t> </w:t>
            </w:r>
            <w:r>
              <w:rPr>
                <w:rFonts w:ascii="Calibri"/>
                <w:w w:val="105"/>
                <w:sz w:val="6"/>
                <w:shd w:fill="808080" w:color="auto" w:val="clear"/>
              </w:rPr>
              <w:t>paga</w:t>
            </w:r>
            <w:r>
              <w:rPr>
                <w:rFonts w:ascii="Calibri"/>
                <w:sz w:val="6"/>
                <w:shd w:fill="808080" w:color="auto" w:val="clear"/>
              </w:rPr>
              <w:t> </w:t>
            </w:r>
          </w:p>
        </w:tc>
        <w:tc>
          <w:tcPr>
            <w:tcW w:w="1225" w:type="dxa"/>
            <w:tcBorders>
              <w:top w:val="single" w:sz="35" w:space="0" w:color="BAF9F5"/>
              <w:bottom w:val="single" w:sz="35" w:space="0" w:color="BAF9F5"/>
            </w:tcBorders>
          </w:tcPr>
          <w:p>
            <w:pPr>
              <w:pStyle w:val="TableParagraph"/>
              <w:spacing w:before="6"/>
              <w:ind w:left="388" w:right="506"/>
              <w:rPr>
                <w:rFonts w:ascii="Calibri"/>
                <w:sz w:val="6"/>
              </w:rPr>
            </w:pPr>
            <w:r>
              <w:rPr>
                <w:rFonts w:ascii="Calibri"/>
                <w:w w:val="105"/>
                <w:sz w:val="6"/>
              </w:rPr>
              <w:t>Especificar:</w:t>
            </w:r>
          </w:p>
        </w:tc>
        <w:tc>
          <w:tcPr>
            <w:tcW w:w="370" w:type="dxa"/>
            <w:tcBorders>
              <w:top w:val="single" w:sz="35" w:space="0" w:color="BAF9F5"/>
              <w:bottom w:val="single" w:sz="35" w:space="0" w:color="BAF9F5"/>
              <w:right w:val="single" w:sz="2" w:space="0" w:color="D3D3D3"/>
            </w:tcBorders>
          </w:tcPr>
          <w:p>
            <w:pPr>
              <w:pStyle w:val="TableParagraph"/>
              <w:spacing w:line="3" w:lineRule="exact"/>
              <w:ind w:left="98"/>
              <w:jc w:val="left"/>
              <w:rPr>
                <w:rFonts w:ascii="Calibri"/>
                <w:sz w:val="6"/>
              </w:rPr>
            </w:pPr>
            <w:r>
              <w:rPr>
                <w:rFonts w:ascii="Calibri"/>
                <w:w w:val="105"/>
                <w:sz w:val="6"/>
              </w:rPr>
              <w:t>0.7</w:t>
            </w:r>
          </w:p>
        </w:tc>
        <w:tc>
          <w:tcPr>
            <w:tcW w:w="346" w:type="dxa"/>
            <w:tcBorders>
              <w:left w:val="single" w:sz="2" w:space="0" w:color="D3D3D3"/>
              <w:right w:val="single" w:sz="2" w:space="0" w:color="D3D3D3"/>
            </w:tcBorders>
          </w:tcPr>
          <w:p>
            <w:pP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112" w:right="106"/>
              <w:rPr>
                <w:rFonts w:ascii="Calibri"/>
                <w:sz w:val="6"/>
              </w:rPr>
            </w:pPr>
            <w:r>
              <w:rPr>
                <w:rFonts w:ascii="Calibri"/>
                <w:w w:val="105"/>
                <w:sz w:val="6"/>
              </w:rPr>
              <w:t>0.7</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2159" w:type="dxa"/>
            <w:shd w:val="clear" w:color="auto" w:fill="BAF9F5"/>
          </w:tcPr>
          <w:p>
            <w:pPr/>
          </w:p>
        </w:tc>
        <w:tc>
          <w:tcPr>
            <w:tcW w:w="581" w:type="dxa"/>
            <w:shd w:val="clear" w:color="auto" w:fill="BAF9F5"/>
          </w:tcPr>
          <w:p>
            <w:pPr/>
          </w:p>
        </w:tc>
        <w:tc>
          <w:tcPr>
            <w:tcW w:w="1225" w:type="dxa"/>
            <w:shd w:val="clear" w:color="auto" w:fill="BAF9F5"/>
          </w:tcPr>
          <w:p>
            <w:pPr/>
          </w:p>
        </w:tc>
        <w:tc>
          <w:tcPr>
            <w:tcW w:w="370" w:type="dxa"/>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10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Style w:val="TableParagraph"/>
              <w:spacing w:before="50"/>
              <w:ind w:left="8"/>
              <w:jc w:val="left"/>
              <w:rPr>
                <w:rFonts w:ascii="Calibri"/>
                <w:sz w:val="6"/>
              </w:rPr>
            </w:pPr>
            <w:r>
              <w:rPr>
                <w:rFonts w:ascii="Calibri"/>
                <w:w w:val="105"/>
                <w:sz w:val="6"/>
              </w:rPr>
              <w:t>Pago predial</w:t>
            </w:r>
          </w:p>
        </w:tc>
        <w:tc>
          <w:tcPr>
            <w:tcW w:w="2344" w:type="dxa"/>
            <w:tcBorders>
              <w:left w:val="single" w:sz="2" w:space="0" w:color="D3D3D3"/>
              <w:right w:val="single" w:sz="2" w:space="0" w:color="D3D3D3"/>
            </w:tcBorders>
          </w:tcPr>
          <w:p>
            <w:pPr>
              <w:pStyle w:val="TableParagraph"/>
              <w:spacing w:before="50"/>
              <w:ind w:left="8"/>
              <w:jc w:val="left"/>
              <w:rPr>
                <w:rFonts w:ascii="Calibri" w:hAnsi="Calibri"/>
                <w:sz w:val="6"/>
              </w:rPr>
            </w:pPr>
            <w:r>
              <w:rPr>
                <w:rFonts w:ascii="Calibri" w:hAnsi="Calibri"/>
                <w:w w:val="105"/>
                <w:sz w:val="6"/>
              </w:rPr>
              <w:t>¿Cuál es el monto que se paga por predial anual?</w:t>
            </w:r>
          </w:p>
        </w:tc>
        <w:tc>
          <w:tcPr>
            <w:tcW w:w="977"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3"/>
              <w:rPr>
                <w:rFonts w:ascii="Calibri"/>
                <w:sz w:val="6"/>
              </w:rPr>
            </w:pPr>
            <w:r>
              <w:rPr>
                <w:rFonts w:ascii="Calibri"/>
                <w:w w:val="104"/>
                <w:sz w:val="6"/>
              </w:rPr>
              <w:t>1</w:t>
            </w:r>
          </w:p>
          <w:p>
            <w:pPr>
              <w:pStyle w:val="TableParagraph"/>
              <w:spacing w:before="6"/>
              <w:ind w:left="269" w:right="267"/>
              <w:rPr>
                <w:rFonts w:ascii="Calibri"/>
                <w:sz w:val="6"/>
              </w:rPr>
            </w:pPr>
            <w:r>
              <w:rPr>
                <w:rFonts w:ascii="Calibri"/>
                <w:w w:val="105"/>
                <w:sz w:val="6"/>
              </w:rPr>
              <w:t>de $400 a $600</w:t>
            </w:r>
          </w:p>
        </w:tc>
        <w:tc>
          <w:tcPr>
            <w:tcW w:w="1449" w:type="dxa"/>
            <w:tcBorders>
              <w:top w:val="single" w:sz="35" w:space="0" w:color="BAF9F5"/>
              <w:left w:val="single" w:sz="2" w:space="0" w:color="D3D3D3"/>
              <w:bottom w:val="single" w:sz="35" w:space="0" w:color="BAF9F5"/>
            </w:tcBorders>
          </w:tcPr>
          <w:p>
            <w:pPr>
              <w:pStyle w:val="TableParagraph"/>
              <w:spacing w:line="3" w:lineRule="exact"/>
              <w:ind w:left="414" w:right="414"/>
              <w:rPr>
                <w:rFonts w:ascii="Calibri"/>
                <w:sz w:val="6"/>
              </w:rPr>
            </w:pPr>
            <w:r>
              <w:rPr>
                <w:rFonts w:ascii="Calibri"/>
                <w:w w:val="105"/>
                <w:sz w:val="6"/>
              </w:rPr>
              <w:t>0.7</w:t>
            </w:r>
          </w:p>
          <w:p>
            <w:pPr>
              <w:pStyle w:val="TableParagraph"/>
              <w:spacing w:before="6"/>
              <w:ind w:left="414" w:right="414"/>
              <w:rPr>
                <w:rFonts w:ascii="Calibri"/>
                <w:sz w:val="6"/>
              </w:rPr>
            </w:pPr>
            <w:r>
              <w:rPr>
                <w:rFonts w:ascii="Calibri"/>
                <w:w w:val="105"/>
                <w:sz w:val="6"/>
              </w:rPr>
              <w:t>de $600 a $800</w:t>
            </w:r>
          </w:p>
        </w:tc>
        <w:tc>
          <w:tcPr>
            <w:tcW w:w="2159" w:type="dxa"/>
            <w:tcBorders>
              <w:top w:val="single" w:sz="35" w:space="0" w:color="BAF9F5"/>
              <w:bottom w:val="single" w:sz="35" w:space="0" w:color="BAF9F5"/>
              <w:right w:val="single" w:sz="2" w:space="0" w:color="D3D3D3"/>
            </w:tcBorders>
          </w:tcPr>
          <w:p>
            <w:pPr>
              <w:pStyle w:val="TableParagraph"/>
              <w:tabs>
                <w:tab w:pos="1798" w:val="left" w:leader="none"/>
              </w:tabs>
              <w:spacing w:line="3" w:lineRule="exact"/>
              <w:ind w:left="718"/>
              <w:jc w:val="left"/>
              <w:rPr>
                <w:rFonts w:ascii="Calibri"/>
                <w:sz w:val="6"/>
              </w:rPr>
            </w:pPr>
            <w:r>
              <w:rPr>
                <w:rFonts w:ascii="Calibri"/>
                <w:w w:val="105"/>
                <w:sz w:val="6"/>
              </w:rPr>
              <w:t>0.6</w:t>
              <w:tab/>
              <w:t>0.2</w:t>
            </w:r>
          </w:p>
          <w:p>
            <w:pPr>
              <w:pStyle w:val="TableParagraph"/>
              <w:tabs>
                <w:tab w:pos="537" w:val="left" w:leader="none"/>
                <w:tab w:pos="1515" w:val="left" w:leader="none"/>
              </w:tabs>
              <w:spacing w:before="6"/>
              <w:jc w:val="left"/>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de $800 a</w:t>
            </w:r>
            <w:r>
              <w:rPr>
                <w:rFonts w:ascii="Calibri"/>
                <w:spacing w:val="1"/>
                <w:w w:val="105"/>
                <w:sz w:val="6"/>
                <w:shd w:fill="808080" w:color="auto" w:val="clear"/>
              </w:rPr>
              <w:t> </w:t>
            </w:r>
            <w:r>
              <w:rPr>
                <w:rFonts w:ascii="Calibri"/>
                <w:w w:val="105"/>
                <w:sz w:val="6"/>
                <w:shd w:fill="808080" w:color="auto" w:val="clear"/>
              </w:rPr>
              <w:t>$1,000</w:t>
              <w:tab/>
            </w:r>
            <w:r>
              <w:rPr>
                <w:rFonts w:ascii="Calibri"/>
                <w:w w:val="105"/>
                <w:sz w:val="6"/>
              </w:rPr>
              <w:t>de $1,000 a</w:t>
            </w:r>
            <w:r>
              <w:rPr>
                <w:rFonts w:ascii="Calibri"/>
                <w:spacing w:val="2"/>
                <w:w w:val="105"/>
                <w:sz w:val="6"/>
              </w:rPr>
              <w:t> </w:t>
            </w:r>
            <w:r>
              <w:rPr>
                <w:rFonts w:ascii="Calibri"/>
                <w:w w:val="105"/>
                <w:sz w:val="6"/>
              </w:rPr>
              <w:t>$1,200</w:t>
            </w:r>
          </w:p>
        </w:tc>
        <w:tc>
          <w:tcPr>
            <w:tcW w:w="581"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0</w:t>
            </w:r>
          </w:p>
          <w:p>
            <w:pPr>
              <w:pStyle w:val="TableParagraph"/>
              <w:spacing w:before="6"/>
              <w:ind w:left="26" w:right="20"/>
              <w:rPr>
                <w:rFonts w:ascii="Calibri"/>
                <w:sz w:val="6"/>
              </w:rPr>
            </w:pPr>
            <w:r>
              <w:rPr>
                <w:rFonts w:ascii="Calibri"/>
                <w:w w:val="105"/>
                <w:sz w:val="6"/>
              </w:rPr>
              <w:t>de $1,200 a $1,400</w:t>
            </w:r>
          </w:p>
        </w:tc>
        <w:tc>
          <w:tcPr>
            <w:tcW w:w="1225" w:type="dxa"/>
            <w:tcBorders>
              <w:top w:val="single" w:sz="35" w:space="0" w:color="BAF9F5"/>
              <w:left w:val="single" w:sz="2" w:space="0" w:color="D3D3D3"/>
              <w:bottom w:val="single" w:sz="35" w:space="0" w:color="BAF9F5"/>
            </w:tcBorders>
          </w:tcPr>
          <w:p>
            <w:pPr>
              <w:pStyle w:val="TableParagraph"/>
              <w:spacing w:before="6"/>
              <w:ind w:left="282" w:right="414"/>
              <w:rPr>
                <w:rFonts w:ascii="Calibri"/>
                <w:sz w:val="6"/>
              </w:rPr>
            </w:pPr>
            <w:r>
              <w:rPr>
                <w:rFonts w:ascii="Calibri"/>
                <w:w w:val="105"/>
                <w:sz w:val="6"/>
              </w:rPr>
              <w:t>Especificar:</w:t>
            </w:r>
          </w:p>
        </w:tc>
        <w:tc>
          <w:tcPr>
            <w:tcW w:w="370" w:type="dxa"/>
            <w:tcBorders>
              <w:top w:val="single" w:sz="35" w:space="0" w:color="BAF9F5"/>
              <w:bottom w:val="single" w:sz="35" w:space="0" w:color="BAF9F5"/>
              <w:right w:val="single" w:sz="2" w:space="0" w:color="D3D3D3"/>
            </w:tcBorders>
          </w:tcPr>
          <w:p>
            <w:pPr>
              <w:pStyle w:val="TableParagraph"/>
              <w:spacing w:line="3" w:lineRule="exact"/>
              <w:ind w:left="121"/>
              <w:jc w:val="left"/>
              <w:rPr>
                <w:rFonts w:ascii="Calibri"/>
                <w:sz w:val="6"/>
              </w:rPr>
            </w:pPr>
            <w:r>
              <w:rPr>
                <w:rFonts w:ascii="Calibri"/>
                <w:w w:val="104"/>
                <w:sz w:val="6"/>
              </w:rPr>
              <w:t>0</w:t>
            </w:r>
          </w:p>
        </w:tc>
        <w:tc>
          <w:tcPr>
            <w:tcW w:w="346" w:type="dxa"/>
            <w:tcBorders>
              <w:left w:val="single" w:sz="2" w:space="0" w:color="D3D3D3"/>
              <w:right w:val="single" w:sz="2" w:space="0" w:color="D3D3D3"/>
            </w:tcBorders>
          </w:tcPr>
          <w:p>
            <w:pP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112" w:right="106"/>
              <w:rPr>
                <w:rFonts w:ascii="Calibri"/>
                <w:sz w:val="6"/>
              </w:rPr>
            </w:pPr>
            <w:r>
              <w:rPr>
                <w:rFonts w:ascii="Calibri"/>
                <w:w w:val="105"/>
                <w:sz w:val="6"/>
              </w:rPr>
              <w:t>0.7</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2159" w:type="dxa"/>
            <w:shd w:val="clear" w:color="auto" w:fill="BAF9F5"/>
          </w:tcPr>
          <w:p>
            <w:pPr/>
          </w:p>
        </w:tc>
        <w:tc>
          <w:tcPr>
            <w:tcW w:w="581" w:type="dxa"/>
            <w:shd w:val="clear" w:color="auto" w:fill="BAF9F5"/>
          </w:tcPr>
          <w:p>
            <w:pPr/>
          </w:p>
        </w:tc>
        <w:tc>
          <w:tcPr>
            <w:tcW w:w="1225" w:type="dxa"/>
            <w:shd w:val="clear" w:color="auto" w:fill="BAF9F5"/>
          </w:tcPr>
          <w:p>
            <w:pPr/>
          </w:p>
        </w:tc>
        <w:tc>
          <w:tcPr>
            <w:tcW w:w="370" w:type="dxa"/>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10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Style w:val="TableParagraph"/>
              <w:spacing w:before="50"/>
              <w:ind w:left="8"/>
              <w:jc w:val="left"/>
              <w:rPr>
                <w:rFonts w:ascii="Calibri" w:hAnsi="Calibri"/>
                <w:sz w:val="6"/>
              </w:rPr>
            </w:pPr>
            <w:r>
              <w:rPr>
                <w:rFonts w:ascii="Calibri" w:hAnsi="Calibri"/>
                <w:w w:val="105"/>
                <w:sz w:val="6"/>
              </w:rPr>
              <w:t>Comunicación</w:t>
            </w:r>
          </w:p>
        </w:tc>
        <w:tc>
          <w:tcPr>
            <w:tcW w:w="2344" w:type="dxa"/>
            <w:tcBorders>
              <w:left w:val="single" w:sz="2" w:space="0" w:color="D3D3D3"/>
              <w:right w:val="single" w:sz="2" w:space="0" w:color="D3D3D3"/>
            </w:tcBorders>
          </w:tcPr>
          <w:p>
            <w:pPr>
              <w:pStyle w:val="TableParagraph"/>
              <w:spacing w:before="50"/>
              <w:ind w:left="8"/>
              <w:jc w:val="left"/>
              <w:rPr>
                <w:rFonts w:ascii="Calibri" w:hAnsi="Calibri"/>
                <w:sz w:val="6"/>
              </w:rPr>
            </w:pPr>
            <w:r>
              <w:rPr>
                <w:rFonts w:ascii="Calibri" w:hAnsi="Calibri"/>
                <w:w w:val="105"/>
                <w:sz w:val="6"/>
              </w:rPr>
              <w:t>¿Cuál es el monto que se gasta en comunicaciones; cable, telefono e internet?</w:t>
            </w:r>
          </w:p>
        </w:tc>
        <w:tc>
          <w:tcPr>
            <w:tcW w:w="977" w:type="dxa"/>
            <w:tcBorders>
              <w:top w:val="single" w:sz="35" w:space="0" w:color="BAF9F5"/>
              <w:left w:val="single" w:sz="2" w:space="0" w:color="D3D3D3"/>
              <w:bottom w:val="single" w:sz="35" w:space="0" w:color="BAF9F5"/>
            </w:tcBorders>
          </w:tcPr>
          <w:p>
            <w:pPr>
              <w:pStyle w:val="TableParagraph"/>
              <w:spacing w:line="2" w:lineRule="exact"/>
              <w:rPr>
                <w:rFonts w:ascii="Calibri"/>
                <w:sz w:val="6"/>
              </w:rPr>
            </w:pPr>
            <w:r>
              <w:rPr>
                <w:rFonts w:ascii="Calibri"/>
                <w:w w:val="104"/>
                <w:sz w:val="6"/>
              </w:rPr>
              <w:t>1</w:t>
            </w:r>
          </w:p>
          <w:p>
            <w:pPr>
              <w:pStyle w:val="TableParagraph"/>
              <w:spacing w:before="6"/>
              <w:ind w:left="403" w:right="403"/>
              <w:rPr>
                <w:rFonts w:ascii="Calibri"/>
                <w:sz w:val="6"/>
              </w:rPr>
            </w:pPr>
            <w:r>
              <w:rPr>
                <w:rFonts w:ascii="Calibri"/>
                <w:w w:val="105"/>
                <w:sz w:val="6"/>
              </w:rPr>
              <w:t>$350</w:t>
            </w:r>
          </w:p>
        </w:tc>
        <w:tc>
          <w:tcPr>
            <w:tcW w:w="1449" w:type="dxa"/>
            <w:tcBorders>
              <w:top w:val="single" w:sz="35" w:space="0" w:color="BAF9F5"/>
              <w:bottom w:val="single" w:sz="35" w:space="0" w:color="BAF9F5"/>
            </w:tcBorders>
          </w:tcPr>
          <w:p>
            <w:pPr>
              <w:pStyle w:val="TableParagraph"/>
              <w:spacing w:line="2" w:lineRule="exact"/>
              <w:ind w:left="510" w:right="506"/>
              <w:rPr>
                <w:rFonts w:ascii="Calibri"/>
                <w:sz w:val="6"/>
              </w:rPr>
            </w:pPr>
            <w:r>
              <w:rPr>
                <w:rFonts w:ascii="Calibri"/>
                <w:w w:val="105"/>
                <w:sz w:val="6"/>
              </w:rPr>
              <w:t>0.7</w:t>
            </w:r>
          </w:p>
          <w:p>
            <w:pPr>
              <w:pStyle w:val="TableParagraph"/>
              <w:tabs>
                <w:tab w:pos="663" w:val="left" w:leader="none"/>
                <w:tab w:pos="1452" w:val="left" w:leader="none"/>
              </w:tabs>
              <w:spacing w:before="6"/>
              <w:ind w:right="-4"/>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$450</w:t>
            </w:r>
            <w:r>
              <w:rPr>
                <w:rFonts w:ascii="Calibri"/>
                <w:sz w:val="6"/>
                <w:shd w:fill="808080" w:color="auto" w:val="clear"/>
              </w:rPr>
              <w:tab/>
            </w:r>
          </w:p>
        </w:tc>
        <w:tc>
          <w:tcPr>
            <w:tcW w:w="2159" w:type="dxa"/>
            <w:tcBorders>
              <w:top w:val="single" w:sz="35" w:space="0" w:color="BAF9F5"/>
              <w:bottom w:val="single" w:sz="35" w:space="0" w:color="BAF9F5"/>
              <w:right w:val="single" w:sz="2" w:space="0" w:color="D3D3D3"/>
            </w:tcBorders>
          </w:tcPr>
          <w:p>
            <w:pPr>
              <w:pStyle w:val="TableParagraph"/>
              <w:tabs>
                <w:tab w:pos="1798" w:val="left" w:leader="none"/>
              </w:tabs>
              <w:spacing w:line="2" w:lineRule="exact"/>
              <w:ind w:left="718"/>
              <w:jc w:val="left"/>
              <w:rPr>
                <w:rFonts w:ascii="Calibri"/>
                <w:sz w:val="6"/>
              </w:rPr>
            </w:pPr>
            <w:r>
              <w:rPr>
                <w:rFonts w:ascii="Calibri"/>
                <w:w w:val="105"/>
                <w:sz w:val="6"/>
              </w:rPr>
              <w:t>0.6</w:t>
              <w:tab/>
              <w:t>0.2</w:t>
            </w:r>
          </w:p>
          <w:p>
            <w:pPr>
              <w:pStyle w:val="TableParagraph"/>
              <w:tabs>
                <w:tab w:pos="1774" w:val="left" w:leader="none"/>
              </w:tabs>
              <w:spacing w:before="6"/>
              <w:ind w:left="694"/>
              <w:jc w:val="left"/>
              <w:rPr>
                <w:rFonts w:ascii="Calibri"/>
                <w:sz w:val="6"/>
              </w:rPr>
            </w:pPr>
            <w:r>
              <w:rPr>
                <w:rFonts w:ascii="Calibri"/>
                <w:w w:val="105"/>
                <w:sz w:val="6"/>
              </w:rPr>
              <w:t>$650</w:t>
              <w:tab/>
              <w:t>$850</w:t>
            </w:r>
          </w:p>
        </w:tc>
        <w:tc>
          <w:tcPr>
            <w:tcW w:w="581" w:type="dxa"/>
            <w:tcBorders>
              <w:top w:val="single" w:sz="35" w:space="0" w:color="BAF9F5"/>
              <w:left w:val="single" w:sz="2" w:space="0" w:color="D3D3D3"/>
              <w:bottom w:val="single" w:sz="35" w:space="0" w:color="BAF9F5"/>
              <w:right w:val="single" w:sz="2" w:space="0" w:color="D3D3D3"/>
            </w:tcBorders>
          </w:tcPr>
          <w:p>
            <w:pPr>
              <w:pStyle w:val="TableParagraph"/>
              <w:spacing w:line="2" w:lineRule="exact"/>
              <w:ind w:left="6"/>
              <w:rPr>
                <w:rFonts w:ascii="Calibri"/>
                <w:sz w:val="6"/>
              </w:rPr>
            </w:pPr>
            <w:r>
              <w:rPr>
                <w:rFonts w:ascii="Calibri"/>
                <w:w w:val="104"/>
                <w:sz w:val="6"/>
              </w:rPr>
              <w:t>0</w:t>
            </w:r>
          </w:p>
          <w:p>
            <w:pPr>
              <w:pStyle w:val="TableParagraph"/>
              <w:spacing w:before="6"/>
              <w:ind w:left="26" w:right="20"/>
              <w:rPr>
                <w:rFonts w:ascii="Calibri"/>
                <w:sz w:val="6"/>
              </w:rPr>
            </w:pPr>
            <w:r>
              <w:rPr>
                <w:rFonts w:ascii="Calibri"/>
                <w:w w:val="105"/>
                <w:sz w:val="6"/>
              </w:rPr>
              <w:t>$1,050</w:t>
            </w:r>
          </w:p>
        </w:tc>
        <w:tc>
          <w:tcPr>
            <w:tcW w:w="1225" w:type="dxa"/>
            <w:tcBorders>
              <w:top w:val="single" w:sz="35" w:space="0" w:color="BAF9F5"/>
              <w:left w:val="single" w:sz="2" w:space="0" w:color="D3D3D3"/>
              <w:bottom w:val="single" w:sz="35" w:space="0" w:color="BAF9F5"/>
            </w:tcBorders>
          </w:tcPr>
          <w:p>
            <w:pPr>
              <w:pStyle w:val="TableParagraph"/>
              <w:spacing w:before="6"/>
              <w:ind w:left="282" w:right="414"/>
              <w:rPr>
                <w:rFonts w:ascii="Calibri"/>
                <w:sz w:val="6"/>
              </w:rPr>
            </w:pPr>
            <w:r>
              <w:rPr>
                <w:rFonts w:ascii="Calibri"/>
                <w:w w:val="105"/>
                <w:sz w:val="6"/>
              </w:rPr>
              <w:t>Especificar:</w:t>
            </w:r>
          </w:p>
        </w:tc>
        <w:tc>
          <w:tcPr>
            <w:tcW w:w="370" w:type="dxa"/>
            <w:tcBorders>
              <w:top w:val="single" w:sz="35" w:space="0" w:color="BAF9F5"/>
              <w:bottom w:val="single" w:sz="35" w:space="0" w:color="BAF9F5"/>
              <w:right w:val="single" w:sz="2" w:space="0" w:color="D3D3D3"/>
            </w:tcBorders>
          </w:tcPr>
          <w:p>
            <w:pPr>
              <w:pStyle w:val="TableParagraph"/>
              <w:spacing w:line="2" w:lineRule="exact"/>
              <w:ind w:left="98"/>
              <w:jc w:val="left"/>
              <w:rPr>
                <w:rFonts w:ascii="Calibri"/>
                <w:sz w:val="6"/>
              </w:rPr>
            </w:pPr>
            <w:r>
              <w:rPr>
                <w:rFonts w:ascii="Calibri"/>
                <w:w w:val="105"/>
                <w:sz w:val="6"/>
              </w:rPr>
              <w:t>0.6</w:t>
            </w:r>
          </w:p>
        </w:tc>
        <w:tc>
          <w:tcPr>
            <w:tcW w:w="346" w:type="dxa"/>
            <w:tcBorders>
              <w:left w:val="single" w:sz="2" w:space="0" w:color="D3D3D3"/>
              <w:right w:val="single" w:sz="2" w:space="0" w:color="D3D3D3"/>
            </w:tcBorders>
          </w:tcPr>
          <w:p>
            <w:pP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2" w:lineRule="exact"/>
              <w:ind w:left="112" w:right="106"/>
              <w:rPr>
                <w:rFonts w:ascii="Calibri"/>
                <w:sz w:val="6"/>
              </w:rPr>
            </w:pPr>
            <w:r>
              <w:rPr>
                <w:rFonts w:ascii="Calibri"/>
                <w:w w:val="105"/>
                <w:sz w:val="6"/>
              </w:rPr>
              <w:t>0.7</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2"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2159" w:type="dxa"/>
            <w:shd w:val="clear" w:color="auto" w:fill="BAF9F5"/>
          </w:tcPr>
          <w:p>
            <w:pPr/>
          </w:p>
        </w:tc>
        <w:tc>
          <w:tcPr>
            <w:tcW w:w="581" w:type="dxa"/>
            <w:shd w:val="clear" w:color="auto" w:fill="BAF9F5"/>
          </w:tcPr>
          <w:p>
            <w:pPr/>
          </w:p>
        </w:tc>
        <w:tc>
          <w:tcPr>
            <w:tcW w:w="1225" w:type="dxa"/>
            <w:shd w:val="clear" w:color="auto" w:fill="BAF9F5"/>
          </w:tcPr>
          <w:p>
            <w:pPr/>
          </w:p>
        </w:tc>
        <w:tc>
          <w:tcPr>
            <w:tcW w:w="370" w:type="dxa"/>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102"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Style w:val="TableParagraph"/>
              <w:spacing w:before="50"/>
              <w:ind w:left="8"/>
              <w:jc w:val="left"/>
              <w:rPr>
                <w:rFonts w:ascii="Calibri"/>
                <w:sz w:val="6"/>
              </w:rPr>
            </w:pPr>
            <w:r>
              <w:rPr>
                <w:rFonts w:ascii="Calibri"/>
                <w:w w:val="105"/>
                <w:sz w:val="6"/>
              </w:rPr>
              <w:t>Comunidad</w:t>
            </w:r>
          </w:p>
        </w:tc>
        <w:tc>
          <w:tcPr>
            <w:tcW w:w="2344" w:type="dxa"/>
            <w:tcBorders>
              <w:left w:val="single" w:sz="2" w:space="0" w:color="D3D3D3"/>
              <w:right w:val="single" w:sz="2" w:space="0" w:color="D3D3D3"/>
            </w:tcBorders>
          </w:tcPr>
          <w:p>
            <w:pPr>
              <w:pStyle w:val="TableParagraph"/>
              <w:spacing w:before="50"/>
              <w:ind w:left="8"/>
              <w:jc w:val="left"/>
              <w:rPr>
                <w:rFonts w:ascii="Calibri" w:hAnsi="Calibri"/>
                <w:sz w:val="6"/>
              </w:rPr>
            </w:pPr>
            <w:r>
              <w:rPr>
                <w:rFonts w:ascii="Calibri" w:hAnsi="Calibri"/>
                <w:w w:val="105"/>
                <w:sz w:val="6"/>
              </w:rPr>
              <w:t>¿Cuál es la tarifa que se paga mensualmente por servicios de comunidad?</w:t>
            </w:r>
          </w:p>
        </w:tc>
        <w:tc>
          <w:tcPr>
            <w:tcW w:w="977"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3"/>
              <w:rPr>
                <w:rFonts w:ascii="Calibri"/>
                <w:sz w:val="6"/>
              </w:rPr>
            </w:pPr>
            <w:r>
              <w:rPr>
                <w:rFonts w:ascii="Calibri"/>
                <w:w w:val="104"/>
                <w:sz w:val="6"/>
              </w:rPr>
              <w:t>1</w:t>
            </w:r>
          </w:p>
          <w:p>
            <w:pPr>
              <w:pStyle w:val="TableParagraph"/>
              <w:spacing w:before="6"/>
              <w:ind w:left="269" w:right="267"/>
              <w:rPr>
                <w:rFonts w:ascii="Calibri"/>
                <w:sz w:val="6"/>
              </w:rPr>
            </w:pPr>
            <w:r>
              <w:rPr>
                <w:rFonts w:ascii="Calibri"/>
                <w:w w:val="105"/>
                <w:sz w:val="6"/>
              </w:rPr>
              <w:t>$250</w:t>
            </w:r>
          </w:p>
        </w:tc>
        <w:tc>
          <w:tcPr>
            <w:tcW w:w="1449" w:type="dxa"/>
            <w:tcBorders>
              <w:top w:val="single" w:sz="35" w:space="0" w:color="BAF9F5"/>
              <w:left w:val="single" w:sz="2" w:space="0" w:color="D3D3D3"/>
              <w:bottom w:val="single" w:sz="35" w:space="0" w:color="BAF9F5"/>
            </w:tcBorders>
          </w:tcPr>
          <w:p>
            <w:pPr>
              <w:pStyle w:val="TableParagraph"/>
              <w:spacing w:line="3" w:lineRule="exact"/>
              <w:ind w:left="414" w:right="414"/>
              <w:rPr>
                <w:rFonts w:ascii="Calibri"/>
                <w:sz w:val="6"/>
              </w:rPr>
            </w:pPr>
            <w:r>
              <w:rPr>
                <w:rFonts w:ascii="Calibri"/>
                <w:w w:val="105"/>
                <w:sz w:val="6"/>
              </w:rPr>
              <w:t>0.7</w:t>
            </w:r>
          </w:p>
          <w:p>
            <w:pPr>
              <w:pStyle w:val="TableParagraph"/>
              <w:spacing w:before="6"/>
              <w:ind w:left="414" w:right="414"/>
              <w:rPr>
                <w:rFonts w:ascii="Calibri"/>
                <w:sz w:val="6"/>
              </w:rPr>
            </w:pPr>
            <w:r>
              <w:rPr>
                <w:rFonts w:ascii="Calibri"/>
                <w:w w:val="105"/>
                <w:sz w:val="6"/>
              </w:rPr>
              <w:t>$350</w:t>
            </w:r>
          </w:p>
        </w:tc>
        <w:tc>
          <w:tcPr>
            <w:tcW w:w="2159" w:type="dxa"/>
            <w:tcBorders>
              <w:top w:val="single" w:sz="35" w:space="0" w:color="BAF9F5"/>
              <w:bottom w:val="single" w:sz="35" w:space="0" w:color="BAF9F5"/>
              <w:right w:val="single" w:sz="2" w:space="0" w:color="D3D3D3"/>
            </w:tcBorders>
          </w:tcPr>
          <w:p>
            <w:pPr>
              <w:pStyle w:val="TableParagraph"/>
              <w:tabs>
                <w:tab w:pos="1798" w:val="left" w:leader="none"/>
              </w:tabs>
              <w:spacing w:line="3" w:lineRule="exact"/>
              <w:ind w:left="718"/>
              <w:jc w:val="left"/>
              <w:rPr>
                <w:rFonts w:ascii="Calibri"/>
                <w:sz w:val="6"/>
              </w:rPr>
            </w:pPr>
            <w:r>
              <w:rPr>
                <w:rFonts w:ascii="Calibri"/>
                <w:w w:val="105"/>
                <w:sz w:val="6"/>
              </w:rPr>
              <w:t>0.6</w:t>
              <w:tab/>
              <w:t>0.2</w:t>
            </w:r>
          </w:p>
          <w:p>
            <w:pPr>
              <w:pStyle w:val="TableParagraph"/>
              <w:tabs>
                <w:tab w:pos="694" w:val="left" w:leader="none"/>
                <w:tab w:pos="1515" w:val="left" w:leader="none"/>
                <w:tab w:pos="1774" w:val="left" w:leader="none"/>
              </w:tabs>
              <w:spacing w:before="6"/>
              <w:jc w:val="left"/>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$450</w:t>
              <w:tab/>
            </w:r>
            <w:r>
              <w:rPr>
                <w:rFonts w:ascii="Calibri"/>
                <w:w w:val="105"/>
                <w:sz w:val="6"/>
              </w:rPr>
              <w:tab/>
              <w:t>$550</w:t>
            </w:r>
          </w:p>
        </w:tc>
        <w:tc>
          <w:tcPr>
            <w:tcW w:w="581"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0</w:t>
            </w:r>
          </w:p>
          <w:p>
            <w:pPr>
              <w:pStyle w:val="TableParagraph"/>
              <w:spacing w:before="6"/>
              <w:ind w:left="26" w:right="20"/>
              <w:rPr>
                <w:rFonts w:ascii="Calibri"/>
                <w:sz w:val="6"/>
              </w:rPr>
            </w:pPr>
            <w:r>
              <w:rPr>
                <w:rFonts w:ascii="Calibri"/>
                <w:w w:val="105"/>
                <w:sz w:val="6"/>
              </w:rPr>
              <w:t>$650</w:t>
            </w:r>
          </w:p>
        </w:tc>
        <w:tc>
          <w:tcPr>
            <w:tcW w:w="1225" w:type="dxa"/>
            <w:tcBorders>
              <w:top w:val="single" w:sz="35" w:space="0" w:color="BAF9F5"/>
              <w:left w:val="single" w:sz="2" w:space="0" w:color="D3D3D3"/>
              <w:bottom w:val="single" w:sz="35" w:space="0" w:color="BAF9F5"/>
            </w:tcBorders>
          </w:tcPr>
          <w:p>
            <w:pPr>
              <w:pStyle w:val="TableParagraph"/>
              <w:spacing w:before="6"/>
              <w:ind w:left="282" w:right="414"/>
              <w:rPr>
                <w:rFonts w:ascii="Calibri"/>
                <w:sz w:val="6"/>
              </w:rPr>
            </w:pPr>
            <w:r>
              <w:rPr>
                <w:rFonts w:ascii="Calibri"/>
                <w:w w:val="105"/>
                <w:sz w:val="6"/>
              </w:rPr>
              <w:t>Especificar:</w:t>
            </w:r>
          </w:p>
        </w:tc>
        <w:tc>
          <w:tcPr>
            <w:tcW w:w="370" w:type="dxa"/>
            <w:tcBorders>
              <w:top w:val="single" w:sz="35" w:space="0" w:color="BAF9F5"/>
              <w:bottom w:val="single" w:sz="35" w:space="0" w:color="BAF9F5"/>
              <w:right w:val="single" w:sz="2" w:space="0" w:color="D3D3D3"/>
            </w:tcBorders>
          </w:tcPr>
          <w:p>
            <w:pPr>
              <w:pStyle w:val="TableParagraph"/>
              <w:spacing w:line="3" w:lineRule="exact"/>
              <w:ind w:left="98"/>
              <w:jc w:val="left"/>
              <w:rPr>
                <w:rFonts w:ascii="Calibri"/>
                <w:sz w:val="6"/>
              </w:rPr>
            </w:pPr>
            <w:r>
              <w:rPr>
                <w:rFonts w:ascii="Calibri"/>
                <w:w w:val="105"/>
                <w:sz w:val="6"/>
              </w:rPr>
              <w:t>0.7</w:t>
            </w:r>
          </w:p>
        </w:tc>
        <w:tc>
          <w:tcPr>
            <w:tcW w:w="346" w:type="dxa"/>
            <w:tcBorders>
              <w:left w:val="single" w:sz="2" w:space="0" w:color="D3D3D3"/>
              <w:right w:val="single" w:sz="2" w:space="0" w:color="D3D3D3"/>
            </w:tcBorders>
          </w:tcPr>
          <w:p>
            <w:pP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112" w:right="106"/>
              <w:rPr>
                <w:rFonts w:ascii="Calibri"/>
                <w:sz w:val="6"/>
              </w:rPr>
            </w:pPr>
            <w:r>
              <w:rPr>
                <w:rFonts w:ascii="Calibri"/>
                <w:w w:val="105"/>
                <w:sz w:val="6"/>
              </w:rPr>
              <w:t>0.7</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2159" w:type="dxa"/>
            <w:shd w:val="clear" w:color="auto" w:fill="BAF9F5"/>
          </w:tcPr>
          <w:p>
            <w:pPr/>
          </w:p>
        </w:tc>
        <w:tc>
          <w:tcPr>
            <w:tcW w:w="581" w:type="dxa"/>
            <w:shd w:val="clear" w:color="auto" w:fill="BAF9F5"/>
          </w:tcPr>
          <w:p>
            <w:pPr/>
          </w:p>
        </w:tc>
        <w:tc>
          <w:tcPr>
            <w:tcW w:w="1225" w:type="dxa"/>
            <w:shd w:val="clear" w:color="auto" w:fill="BAF9F5"/>
          </w:tcPr>
          <w:p>
            <w:pPr/>
          </w:p>
        </w:tc>
        <w:tc>
          <w:tcPr>
            <w:tcW w:w="370" w:type="dxa"/>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85" w:hRule="exact"/>
        </w:trPr>
        <w:tc>
          <w:tcPr>
            <w:tcW w:w="347" w:type="dxa"/>
            <w:tcBorders>
              <w:right w:val="single" w:sz="2" w:space="0" w:color="D3D3D3"/>
            </w:tcBorders>
          </w:tcPr>
          <w:p>
            <w:pPr/>
          </w:p>
        </w:tc>
        <w:tc>
          <w:tcPr>
            <w:tcW w:w="1182" w:type="dxa"/>
            <w:tcBorders>
              <w:left w:val="single" w:sz="2" w:space="0" w:color="D3D3D3"/>
              <w:bottom w:val="single" w:sz="2" w:space="0" w:color="D3D3D3"/>
              <w:right w:val="single" w:sz="2" w:space="0" w:color="D3D3D3"/>
            </w:tcBorders>
          </w:tcPr>
          <w:p>
            <w:pPr/>
          </w:p>
        </w:tc>
        <w:tc>
          <w:tcPr>
            <w:tcW w:w="1241" w:type="dxa"/>
            <w:tcBorders>
              <w:left w:val="single" w:sz="2" w:space="0" w:color="D3D3D3"/>
              <w:bottom w:val="single" w:sz="2" w:space="0" w:color="D3D3D3"/>
              <w:right w:val="single" w:sz="2" w:space="0" w:color="D3D3D3"/>
            </w:tcBorders>
          </w:tcPr>
          <w:p>
            <w:pPr/>
          </w:p>
        </w:tc>
        <w:tc>
          <w:tcPr>
            <w:tcW w:w="2344" w:type="dxa"/>
            <w:tcBorders>
              <w:left w:val="single" w:sz="2" w:space="0" w:color="D3D3D3"/>
              <w:bottom w:val="single" w:sz="2" w:space="0" w:color="D3D3D3"/>
              <w:right w:val="single" w:sz="2" w:space="0" w:color="D3D3D3"/>
            </w:tcBorders>
          </w:tcPr>
          <w:p>
            <w:pPr/>
          </w:p>
        </w:tc>
        <w:tc>
          <w:tcPr>
            <w:tcW w:w="977"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3"/>
              <w:rPr>
                <w:rFonts w:ascii="Calibri"/>
                <w:sz w:val="6"/>
              </w:rPr>
            </w:pPr>
            <w:r>
              <w:rPr>
                <w:rFonts w:ascii="Calibri"/>
                <w:w w:val="104"/>
                <w:sz w:val="6"/>
              </w:rPr>
              <w:t>1</w:t>
            </w:r>
          </w:p>
        </w:tc>
        <w:tc>
          <w:tcPr>
            <w:tcW w:w="1449"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65" w:right="63"/>
              <w:rPr>
                <w:rFonts w:ascii="Calibri"/>
                <w:sz w:val="6"/>
              </w:rPr>
            </w:pPr>
            <w:r>
              <w:rPr>
                <w:rFonts w:ascii="Calibri"/>
                <w:w w:val="105"/>
                <w:sz w:val="6"/>
              </w:rPr>
              <w:t>0.7</w:t>
            </w:r>
          </w:p>
        </w:tc>
        <w:tc>
          <w:tcPr>
            <w:tcW w:w="2159" w:type="dxa"/>
            <w:tcBorders>
              <w:left w:val="single" w:sz="2" w:space="0" w:color="D3D3D3"/>
              <w:bottom w:val="single" w:sz="2" w:space="0" w:color="D3D3D3"/>
              <w:right w:val="single" w:sz="2" w:space="0" w:color="D3D3D3"/>
            </w:tcBorders>
            <w:shd w:val="clear" w:color="auto" w:fill="BAF9F5"/>
          </w:tcPr>
          <w:p>
            <w:pPr>
              <w:pStyle w:val="TableParagraph"/>
              <w:tabs>
                <w:tab w:pos="1079" w:val="left" w:leader="none"/>
              </w:tabs>
              <w:spacing w:line="41" w:lineRule="exact"/>
              <w:ind w:right="279"/>
              <w:jc w:val="right"/>
              <w:rPr>
                <w:rFonts w:ascii="Calibri"/>
                <w:sz w:val="6"/>
              </w:rPr>
            </w:pPr>
            <w:r>
              <w:rPr>
                <w:rFonts w:ascii="Calibri"/>
                <w:w w:val="105"/>
                <w:sz w:val="6"/>
              </w:rPr>
              <w:t>0.6</w:t>
              <w:tab/>
            </w:r>
            <w:r>
              <w:rPr>
                <w:rFonts w:ascii="Calibri"/>
                <w:spacing w:val="-2"/>
                <w:w w:val="105"/>
                <w:sz w:val="6"/>
              </w:rPr>
              <w:t>0.2</w:t>
            </w:r>
          </w:p>
        </w:tc>
        <w:tc>
          <w:tcPr>
            <w:tcW w:w="581"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6"/>
              <w:rPr>
                <w:rFonts w:ascii="Calibri"/>
                <w:sz w:val="6"/>
              </w:rPr>
            </w:pPr>
            <w:r>
              <w:rPr>
                <w:rFonts w:ascii="Calibri"/>
                <w:w w:val="104"/>
                <w:sz w:val="6"/>
              </w:rPr>
              <w:t>0</w:t>
            </w:r>
          </w:p>
        </w:tc>
        <w:tc>
          <w:tcPr>
            <w:tcW w:w="1225" w:type="dxa"/>
            <w:tcBorders>
              <w:left w:val="single" w:sz="2" w:space="0" w:color="D3D3D3"/>
              <w:bottom w:val="single" w:sz="2" w:space="0" w:color="D3D3D3"/>
            </w:tcBorders>
            <w:shd w:val="clear" w:color="auto" w:fill="BAF9F5"/>
          </w:tcPr>
          <w:p>
            <w:pPr/>
          </w:p>
        </w:tc>
        <w:tc>
          <w:tcPr>
            <w:tcW w:w="370" w:type="dxa"/>
            <w:tcBorders>
              <w:bottom w:val="single" w:sz="2" w:space="0" w:color="D3D3D3"/>
            </w:tcBorders>
            <w:shd w:val="clear" w:color="auto" w:fill="BAF9F5"/>
          </w:tcPr>
          <w:p>
            <w:pPr>
              <w:pStyle w:val="TableParagraph"/>
              <w:spacing w:line="41" w:lineRule="exact"/>
              <w:ind w:left="98"/>
              <w:jc w:val="left"/>
              <w:rPr>
                <w:rFonts w:ascii="Calibri"/>
                <w:sz w:val="6"/>
              </w:rPr>
            </w:pPr>
            <w:r>
              <w:rPr>
                <w:rFonts w:ascii="Calibri"/>
                <w:w w:val="105"/>
                <w:sz w:val="6"/>
              </w:rPr>
              <w:t>0.6</w:t>
            </w:r>
          </w:p>
          <w:p>
            <w:pPr>
              <w:pStyle w:val="TableParagraph"/>
              <w:spacing w:before="9"/>
              <w:ind w:left="35"/>
              <w:jc w:val="left"/>
              <w:rPr>
                <w:rFonts w:ascii="Calibri"/>
                <w:sz w:val="6"/>
              </w:rPr>
            </w:pPr>
            <w:r>
              <w:rPr>
                <w:rFonts w:ascii="Calibri"/>
                <w:w w:val="105"/>
                <w:sz w:val="6"/>
              </w:rPr>
              <w:t>Subtotal</w:t>
            </w:r>
          </w:p>
        </w:tc>
        <w:tc>
          <w:tcPr>
            <w:tcW w:w="346" w:type="dxa"/>
            <w:shd w:val="clear" w:color="auto" w:fill="F79646"/>
          </w:tcPr>
          <w:p>
            <w:pPr>
              <w:pStyle w:val="TableParagraph"/>
              <w:spacing w:before="50"/>
              <w:ind w:left="136"/>
              <w:jc w:val="left"/>
              <w:rPr>
                <w:rFonts w:ascii="Calibri"/>
                <w:sz w:val="6"/>
              </w:rPr>
            </w:pPr>
            <w:r>
              <w:rPr>
                <w:rFonts w:ascii="Calibri"/>
                <w:w w:val="105"/>
                <w:sz w:val="6"/>
              </w:rPr>
              <w:t>2.6</w:t>
            </w:r>
          </w:p>
        </w:tc>
        <w:tc>
          <w:tcPr>
            <w:tcW w:w="346" w:type="dxa"/>
            <w:tcBorders>
              <w:top w:val="single" w:sz="35" w:space="0" w:color="BAF9F5"/>
            </w:tcBorders>
            <w:shd w:val="clear" w:color="auto" w:fill="FFFF00"/>
          </w:tcPr>
          <w:p>
            <w:pPr>
              <w:pStyle w:val="TableParagraph"/>
              <w:spacing w:line="3" w:lineRule="exact"/>
              <w:ind w:left="115" w:right="109"/>
              <w:rPr>
                <w:rFonts w:ascii="Calibri"/>
                <w:sz w:val="6"/>
              </w:rPr>
            </w:pPr>
            <w:r>
              <w:rPr>
                <w:rFonts w:ascii="Calibri"/>
                <w:w w:val="105"/>
                <w:sz w:val="6"/>
              </w:rPr>
              <w:t>0.7</w:t>
            </w:r>
          </w:p>
          <w:p>
            <w:pPr>
              <w:pStyle w:val="TableParagraph"/>
              <w:spacing w:before="6"/>
              <w:ind w:left="115" w:right="109"/>
              <w:rPr>
                <w:rFonts w:ascii="Calibri"/>
                <w:sz w:val="6"/>
              </w:rPr>
            </w:pPr>
            <w:r>
              <w:rPr>
                <w:rFonts w:ascii="Calibri"/>
                <w:w w:val="105"/>
                <w:sz w:val="6"/>
              </w:rPr>
              <w:t>4.2</w:t>
            </w:r>
          </w:p>
        </w:tc>
        <w:tc>
          <w:tcPr>
            <w:tcW w:w="346" w:type="dxa"/>
            <w:tcBorders>
              <w:top w:val="single" w:sz="35" w:space="0" w:color="BAF9F5"/>
            </w:tcBorders>
            <w:shd w:val="clear" w:color="auto" w:fill="67ED4D"/>
          </w:tcPr>
          <w:p>
            <w:pPr>
              <w:pStyle w:val="TableParagraph"/>
              <w:spacing w:line="3" w:lineRule="exact"/>
              <w:ind w:left="6"/>
              <w:rPr>
                <w:rFonts w:ascii="Calibri"/>
                <w:sz w:val="6"/>
              </w:rPr>
            </w:pPr>
            <w:r>
              <w:rPr>
                <w:rFonts w:ascii="Calibri"/>
                <w:w w:val="104"/>
                <w:sz w:val="6"/>
              </w:rPr>
              <w:t>1</w:t>
            </w:r>
          </w:p>
          <w:p>
            <w:pPr>
              <w:pStyle w:val="TableParagraph"/>
              <w:spacing w:before="6"/>
              <w:ind w:left="6"/>
              <w:rPr>
                <w:rFonts w:ascii="Calibri"/>
                <w:sz w:val="6"/>
              </w:rPr>
            </w:pPr>
            <w:r>
              <w:rPr>
                <w:rFonts w:ascii="Calibri"/>
                <w:w w:val="104"/>
                <w:sz w:val="6"/>
              </w:rPr>
              <w:t>5</w:t>
            </w:r>
          </w:p>
        </w:tc>
        <w:tc>
          <w:tcPr>
            <w:tcW w:w="89" w:type="dxa"/>
            <w:tcBorders>
              <w:bottom w:val="single" w:sz="2" w:space="0" w:color="D3D3D3"/>
            </w:tcBorders>
          </w:tcPr>
          <w:p>
            <w:pPr/>
          </w:p>
        </w:tc>
      </w:tr>
      <w:tr>
        <w:trPr>
          <w:trHeight w:val="82" w:hRule="exact"/>
        </w:trPr>
        <w:tc>
          <w:tcPr>
            <w:tcW w:w="347" w:type="dxa"/>
            <w:tcBorders>
              <w:right w:val="single" w:sz="2" w:space="0" w:color="D3D3D3"/>
            </w:tcBorders>
          </w:tcPr>
          <w:p>
            <w:pPr/>
          </w:p>
        </w:tc>
        <w:tc>
          <w:tcPr>
            <w:tcW w:w="1182" w:type="dxa"/>
            <w:tcBorders>
              <w:top w:val="single" w:sz="2" w:space="0" w:color="D3D3D3"/>
              <w:left w:val="single" w:sz="2" w:space="0" w:color="D3D3D3"/>
              <w:bottom w:val="single" w:sz="2" w:space="0" w:color="D3D3D3"/>
              <w:right w:val="single" w:sz="2" w:space="0" w:color="D3D3D3"/>
            </w:tcBorders>
          </w:tcPr>
          <w:p>
            <w:pPr/>
          </w:p>
        </w:tc>
        <w:tc>
          <w:tcPr>
            <w:tcW w:w="1241" w:type="dxa"/>
            <w:tcBorders>
              <w:top w:val="single" w:sz="2" w:space="0" w:color="D3D3D3"/>
              <w:left w:val="single" w:sz="2" w:space="0" w:color="D3D3D3"/>
              <w:bottom w:val="single" w:sz="2" w:space="0" w:color="D3D3D3"/>
              <w:right w:val="single" w:sz="2" w:space="0" w:color="D3D3D3"/>
            </w:tcBorders>
          </w:tcPr>
          <w:p>
            <w:pPr/>
          </w:p>
        </w:tc>
        <w:tc>
          <w:tcPr>
            <w:tcW w:w="2344" w:type="dxa"/>
            <w:tcBorders>
              <w:top w:val="single" w:sz="2" w:space="0" w:color="D3D3D3"/>
              <w:left w:val="single" w:sz="2" w:space="0" w:color="D3D3D3"/>
              <w:bottom w:val="single" w:sz="2" w:space="0" w:color="D3D3D3"/>
              <w:right w:val="single" w:sz="2" w:space="0" w:color="D3D3D3"/>
            </w:tcBorders>
          </w:tcPr>
          <w:p>
            <w:pPr/>
          </w:p>
        </w:tc>
        <w:tc>
          <w:tcPr>
            <w:tcW w:w="977" w:type="dxa"/>
            <w:tcBorders>
              <w:top w:val="single" w:sz="2" w:space="0" w:color="D3D3D3"/>
              <w:left w:val="single" w:sz="2" w:space="0" w:color="D3D3D3"/>
              <w:bottom w:val="single" w:sz="2" w:space="0" w:color="D3D3D3"/>
              <w:right w:val="single" w:sz="2" w:space="0" w:color="D3D3D3"/>
            </w:tcBorders>
          </w:tcPr>
          <w:p>
            <w:pPr/>
          </w:p>
        </w:tc>
        <w:tc>
          <w:tcPr>
            <w:tcW w:w="1449" w:type="dxa"/>
            <w:tcBorders>
              <w:top w:val="single" w:sz="2" w:space="0" w:color="D3D3D3"/>
              <w:left w:val="single" w:sz="2" w:space="0" w:color="D3D3D3"/>
              <w:bottom w:val="single" w:sz="2" w:space="0" w:color="D3D3D3"/>
              <w:right w:val="single" w:sz="2" w:space="0" w:color="D3D3D3"/>
            </w:tcBorders>
          </w:tcPr>
          <w:p>
            <w:pPr/>
          </w:p>
        </w:tc>
        <w:tc>
          <w:tcPr>
            <w:tcW w:w="2159" w:type="dxa"/>
            <w:tcBorders>
              <w:top w:val="single" w:sz="2" w:space="0" w:color="D3D3D3"/>
              <w:left w:val="single" w:sz="2" w:space="0" w:color="D3D3D3"/>
              <w:bottom w:val="single" w:sz="35" w:space="0" w:color="808080"/>
              <w:right w:val="single" w:sz="2" w:space="0" w:color="D3D3D3"/>
            </w:tcBorders>
          </w:tcPr>
          <w:p>
            <w:pPr/>
          </w:p>
        </w:tc>
        <w:tc>
          <w:tcPr>
            <w:tcW w:w="581" w:type="dxa"/>
            <w:tcBorders>
              <w:top w:val="single" w:sz="2" w:space="0" w:color="D3D3D3"/>
              <w:left w:val="single" w:sz="2" w:space="0" w:color="D3D3D3"/>
              <w:bottom w:val="single" w:sz="2" w:space="0" w:color="D3D3D3"/>
              <w:right w:val="single" w:sz="2" w:space="0" w:color="D3D3D3"/>
            </w:tcBorders>
          </w:tcPr>
          <w:p>
            <w:pPr/>
          </w:p>
        </w:tc>
        <w:tc>
          <w:tcPr>
            <w:tcW w:w="1225" w:type="dxa"/>
            <w:tcBorders>
              <w:top w:val="single" w:sz="2" w:space="0" w:color="D3D3D3"/>
              <w:left w:val="single" w:sz="2" w:space="0" w:color="D3D3D3"/>
              <w:bottom w:val="single" w:sz="2" w:space="0" w:color="D3D3D3"/>
            </w:tcBorders>
          </w:tcPr>
          <w:p>
            <w:pPr/>
          </w:p>
        </w:tc>
        <w:tc>
          <w:tcPr>
            <w:tcW w:w="370" w:type="dxa"/>
            <w:tcBorders>
              <w:top w:val="single" w:sz="2" w:space="0" w:color="D3D3D3"/>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89" w:type="dxa"/>
            <w:tcBorders>
              <w:top w:val="single" w:sz="2" w:space="0" w:color="D3D3D3"/>
              <w:left w:val="single" w:sz="2" w:space="0" w:color="D3D3D3"/>
              <w:bottom w:val="single" w:sz="2" w:space="0" w:color="D3D3D3"/>
            </w:tcBorders>
          </w:tcPr>
          <w:p>
            <w:pPr/>
          </w:p>
        </w:tc>
      </w:tr>
      <w:tr>
        <w:trPr>
          <w:trHeight w:val="99" w:hRule="exact"/>
        </w:trPr>
        <w:tc>
          <w:tcPr>
            <w:tcW w:w="347" w:type="dxa"/>
            <w:tcBorders>
              <w:right w:val="single" w:sz="2" w:space="0" w:color="D3D3D3"/>
            </w:tcBorders>
          </w:tcPr>
          <w:p>
            <w:pPr/>
          </w:p>
        </w:tc>
        <w:tc>
          <w:tcPr>
            <w:tcW w:w="1182" w:type="dxa"/>
            <w:tcBorders>
              <w:top w:val="single" w:sz="2" w:space="0" w:color="D3D3D3"/>
              <w:left w:val="single" w:sz="2" w:space="0" w:color="D3D3D3"/>
              <w:right w:val="single" w:sz="2" w:space="0" w:color="D3D3D3"/>
            </w:tcBorders>
          </w:tcPr>
          <w:p>
            <w:pPr/>
          </w:p>
        </w:tc>
        <w:tc>
          <w:tcPr>
            <w:tcW w:w="1241" w:type="dxa"/>
            <w:tcBorders>
              <w:top w:val="single" w:sz="2" w:space="0" w:color="D3D3D3"/>
              <w:left w:val="single" w:sz="2" w:space="0" w:color="D3D3D3"/>
              <w:right w:val="single" w:sz="2" w:space="0" w:color="D3D3D3"/>
            </w:tcBorders>
          </w:tcPr>
          <w:p>
            <w:pPr/>
          </w:p>
        </w:tc>
        <w:tc>
          <w:tcPr>
            <w:tcW w:w="2344" w:type="dxa"/>
            <w:tcBorders>
              <w:top w:val="single" w:sz="2" w:space="0" w:color="D3D3D3"/>
              <w:left w:val="single" w:sz="2" w:space="0" w:color="D3D3D3"/>
              <w:right w:val="single" w:sz="2" w:space="0" w:color="D3D3D3"/>
            </w:tcBorders>
          </w:tcPr>
          <w:p>
            <w:pPr/>
          </w:p>
        </w:tc>
        <w:tc>
          <w:tcPr>
            <w:tcW w:w="977" w:type="dxa"/>
            <w:tcBorders>
              <w:top w:val="single" w:sz="2" w:space="0" w:color="D3D3D3"/>
              <w:left w:val="single" w:sz="2" w:space="0" w:color="D3D3D3"/>
              <w:bottom w:val="single" w:sz="35" w:space="0" w:color="BAF9F5"/>
              <w:right w:val="single" w:sz="2" w:space="0" w:color="D3D3D3"/>
            </w:tcBorders>
          </w:tcPr>
          <w:p>
            <w:pPr>
              <w:pStyle w:val="TableParagraph"/>
              <w:spacing w:before="6"/>
              <w:ind w:left="364" w:right="359"/>
              <w:rPr>
                <w:rFonts w:ascii="Calibri"/>
                <w:sz w:val="6"/>
              </w:rPr>
            </w:pPr>
            <w:r>
              <w:rPr>
                <w:rFonts w:ascii="Calibri"/>
                <w:w w:val="105"/>
                <w:sz w:val="6"/>
              </w:rPr>
              <w:t>Arriba</w:t>
            </w:r>
          </w:p>
        </w:tc>
        <w:tc>
          <w:tcPr>
            <w:tcW w:w="1449" w:type="dxa"/>
            <w:tcBorders>
              <w:top w:val="single" w:sz="2" w:space="0" w:color="D3D3D3"/>
              <w:left w:val="single" w:sz="2" w:space="0" w:color="D3D3D3"/>
              <w:bottom w:val="single" w:sz="35" w:space="0" w:color="BAF9F5"/>
            </w:tcBorders>
          </w:tcPr>
          <w:p>
            <w:pPr>
              <w:pStyle w:val="TableParagraph"/>
              <w:spacing w:before="6"/>
              <w:ind w:left="411" w:right="412"/>
              <w:rPr>
                <w:rFonts w:ascii="Calibri"/>
                <w:sz w:val="6"/>
              </w:rPr>
            </w:pPr>
            <w:r>
              <w:rPr>
                <w:rFonts w:ascii="Calibri"/>
                <w:w w:val="105"/>
                <w:sz w:val="6"/>
              </w:rPr>
              <w:t>Igual</w:t>
            </w:r>
          </w:p>
        </w:tc>
        <w:tc>
          <w:tcPr>
            <w:tcW w:w="2159" w:type="dxa"/>
            <w:tcBorders>
              <w:top w:val="single" w:sz="2" w:space="0" w:color="D3D3D3"/>
              <w:bottom w:val="single" w:sz="35" w:space="0" w:color="BAF9F5"/>
              <w:right w:val="single" w:sz="2" w:space="0" w:color="D3D3D3"/>
            </w:tcBorders>
            <w:shd w:val="clear" w:color="auto" w:fill="808080"/>
          </w:tcPr>
          <w:p>
            <w:pPr>
              <w:pStyle w:val="TableParagraph"/>
              <w:tabs>
                <w:tab w:pos="1122" w:val="left" w:leader="none"/>
              </w:tabs>
              <w:spacing w:before="6"/>
              <w:ind w:right="222"/>
              <w:jc w:val="right"/>
              <w:rPr>
                <w:rFonts w:ascii="Calibri" w:hAnsi="Calibri"/>
                <w:sz w:val="6"/>
              </w:rPr>
            </w:pPr>
            <w:r>
              <w:rPr>
                <w:rFonts w:ascii="Calibri" w:hAnsi="Calibri"/>
                <w:w w:val="105"/>
                <w:sz w:val="6"/>
              </w:rPr>
              <w:t>Por</w:t>
            </w:r>
            <w:r>
              <w:rPr>
                <w:rFonts w:ascii="Calibri" w:hAnsi="Calibri"/>
                <w:spacing w:val="-4"/>
                <w:w w:val="105"/>
                <w:sz w:val="6"/>
              </w:rPr>
              <w:t> </w:t>
            </w:r>
            <w:r>
              <w:rPr>
                <w:rFonts w:ascii="Calibri" w:hAnsi="Calibri"/>
                <w:w w:val="105"/>
                <w:sz w:val="6"/>
              </w:rPr>
              <w:t>debajo</w:t>
              <w:tab/>
            </w:r>
            <w:r>
              <w:rPr>
                <w:rFonts w:ascii="Calibri" w:hAnsi="Calibri"/>
                <w:spacing w:val="-1"/>
                <w:w w:val="105"/>
                <w:sz w:val="6"/>
              </w:rPr>
              <w:t>México</w:t>
            </w:r>
          </w:p>
        </w:tc>
        <w:tc>
          <w:tcPr>
            <w:tcW w:w="581" w:type="dxa"/>
            <w:tcBorders>
              <w:top w:val="single" w:sz="2" w:space="0" w:color="D3D3D3"/>
              <w:left w:val="single" w:sz="2" w:space="0" w:color="D3D3D3"/>
              <w:bottom w:val="single" w:sz="35" w:space="0" w:color="BAF9F5"/>
              <w:right w:val="single" w:sz="2" w:space="0" w:color="D3D3D3"/>
            </w:tcBorders>
          </w:tcPr>
          <w:p>
            <w:pPr>
              <w:pStyle w:val="TableParagraph"/>
              <w:spacing w:before="6"/>
              <w:ind w:left="142" w:right="137"/>
              <w:rPr>
                <w:rFonts w:ascii="Calibri"/>
                <w:sz w:val="6"/>
              </w:rPr>
            </w:pPr>
            <w:r>
              <w:rPr>
                <w:rFonts w:ascii="Calibri"/>
                <w:w w:val="105"/>
                <w:sz w:val="6"/>
              </w:rPr>
              <w:t>OCDE</w:t>
            </w:r>
          </w:p>
        </w:tc>
        <w:tc>
          <w:tcPr>
            <w:tcW w:w="1225" w:type="dxa"/>
            <w:tcBorders>
              <w:top w:val="single" w:sz="2" w:space="0" w:color="D3D3D3"/>
              <w:left w:val="single" w:sz="2" w:space="0" w:color="D3D3D3"/>
              <w:bottom w:val="single" w:sz="35" w:space="0" w:color="BAF9F5"/>
            </w:tcBorders>
          </w:tcPr>
          <w:p>
            <w:pPr>
              <w:pStyle w:val="TableParagraph"/>
              <w:spacing w:before="6"/>
              <w:ind w:left="-8" w:right="-2"/>
              <w:rPr>
                <w:rFonts w:ascii="Calibri" w:hAnsi="Calibri"/>
                <w:sz w:val="6"/>
              </w:rPr>
            </w:pPr>
            <w:r>
              <w:rPr>
                <w:rFonts w:ascii="Calibri" w:hAnsi="Calibri"/>
                <w:w w:val="105"/>
                <w:sz w:val="6"/>
              </w:rPr>
              <w:t>o Rep Checa y Eslovaca /Más Bajo Coreo F</w:t>
            </w:r>
            <w:r>
              <w:rPr>
                <w:rFonts w:ascii="Calibri" w:hAnsi="Calibri"/>
                <w:w w:val="105"/>
                <w:sz w:val="6"/>
                <w:u w:val="single" w:color="D3D3D3"/>
              </w:rPr>
              <w:t>e</w:t>
            </w:r>
            <w:r>
              <w:rPr>
                <w:rFonts w:ascii="Calibri" w:hAnsi="Calibri"/>
                <w:w w:val="105"/>
                <w:sz w:val="6"/>
              </w:rPr>
              <w:t>d</w:t>
            </w:r>
            <w:r>
              <w:rPr>
                <w:rFonts w:ascii="Calibri" w:hAnsi="Calibri"/>
                <w:spacing w:val="-2"/>
                <w:w w:val="105"/>
                <w:sz w:val="6"/>
              </w:rPr>
              <w:t> </w:t>
            </w:r>
            <w:r>
              <w:rPr>
                <w:rFonts w:ascii="Calibri" w:hAnsi="Calibri"/>
                <w:w w:val="105"/>
                <w:sz w:val="6"/>
              </w:rPr>
              <w:t>Ru</w:t>
            </w:r>
          </w:p>
        </w:tc>
        <w:tc>
          <w:tcPr>
            <w:tcW w:w="370" w:type="dxa"/>
            <w:tcBorders>
              <w:top w:val="single" w:sz="2" w:space="0" w:color="D3D3D3"/>
              <w:bottom w:val="single" w:sz="35" w:space="0" w:color="BAF9F5"/>
              <w:right w:val="single" w:sz="2" w:space="0" w:color="D3D3D3"/>
            </w:tcBorders>
          </w:tcPr>
          <w:p>
            <w:pPr>
              <w:pStyle w:val="TableParagraph"/>
              <w:spacing w:before="6"/>
              <w:ind w:left="5"/>
              <w:jc w:val="left"/>
              <w:rPr>
                <w:rFonts w:ascii="Calibri"/>
                <w:sz w:val="6"/>
              </w:rPr>
            </w:pPr>
            <w:r>
              <w:rPr>
                <w:rFonts w:ascii="Calibri"/>
                <w:w w:val="105"/>
                <w:sz w:val="6"/>
              </w:rPr>
              <w:t>sa</w:t>
            </w:r>
          </w:p>
        </w:tc>
        <w:tc>
          <w:tcPr>
            <w:tcW w:w="346" w:type="dxa"/>
            <w:tcBorders>
              <w:top w:val="single" w:sz="2" w:space="0" w:color="D3D3D3"/>
              <w:left w:val="single" w:sz="2" w:space="0" w:color="D3D3D3"/>
              <w:right w:val="single" w:sz="2" w:space="0" w:color="D3D3D3"/>
            </w:tcBorders>
          </w:tcPr>
          <w:p>
            <w:pPr/>
          </w:p>
        </w:tc>
        <w:tc>
          <w:tcPr>
            <w:tcW w:w="346" w:type="dxa"/>
            <w:tcBorders>
              <w:top w:val="single" w:sz="2" w:space="0" w:color="D3D3D3"/>
              <w:left w:val="single" w:sz="2" w:space="0" w:color="D3D3D3"/>
              <w:bottom w:val="single" w:sz="35" w:space="0" w:color="BAF9F5"/>
              <w:right w:val="single" w:sz="2" w:space="0" w:color="D3D3D3"/>
            </w:tcBorders>
          </w:tcPr>
          <w:p>
            <w:pPr/>
          </w:p>
        </w:tc>
        <w:tc>
          <w:tcPr>
            <w:tcW w:w="346" w:type="dxa"/>
            <w:tcBorders>
              <w:top w:val="single" w:sz="2" w:space="0" w:color="D3D3D3"/>
              <w:left w:val="single" w:sz="2" w:space="0" w:color="D3D3D3"/>
              <w:bottom w:val="single" w:sz="35" w:space="0" w:color="BAF9F5"/>
              <w:right w:val="single" w:sz="2" w:space="0" w:color="D3D3D3"/>
            </w:tcBorders>
          </w:tcPr>
          <w:p>
            <w:pPr/>
          </w:p>
        </w:tc>
        <w:tc>
          <w:tcPr>
            <w:tcW w:w="89" w:type="dxa"/>
            <w:tcBorders>
              <w:top w:val="single" w:sz="2" w:space="0" w:color="D3D3D3"/>
              <w:left w:val="single" w:sz="2" w:space="0" w:color="D3D3D3"/>
            </w:tcBorders>
          </w:tcPr>
          <w:p>
            <w:pPr/>
          </w:p>
        </w:tc>
      </w:tr>
      <w:tr>
        <w:trPr>
          <w:trHeight w:val="63" w:hRule="exact"/>
        </w:trPr>
        <w:tc>
          <w:tcPr>
            <w:tcW w:w="347" w:type="dxa"/>
            <w:tcBorders>
              <w:right w:val="single" w:sz="2" w:space="0" w:color="D3D3D3"/>
            </w:tcBorders>
          </w:tcPr>
          <w:p>
            <w:pPr/>
          </w:p>
        </w:tc>
        <w:tc>
          <w:tcPr>
            <w:tcW w:w="1182" w:type="dxa"/>
            <w:tcBorders>
              <w:left w:val="single" w:sz="2" w:space="0" w:color="D3D3D3"/>
              <w:right w:val="single" w:sz="2" w:space="0" w:color="D3D3D3"/>
            </w:tcBorders>
          </w:tcPr>
          <w:p>
            <w:pPr/>
          </w:p>
        </w:tc>
        <w:tc>
          <w:tcPr>
            <w:tcW w:w="1241"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2159" w:type="dxa"/>
            <w:shd w:val="clear" w:color="auto" w:fill="BAF9F5"/>
          </w:tcPr>
          <w:p>
            <w:pPr/>
          </w:p>
        </w:tc>
        <w:tc>
          <w:tcPr>
            <w:tcW w:w="581" w:type="dxa"/>
            <w:shd w:val="clear" w:color="auto" w:fill="BAF9F5"/>
          </w:tcPr>
          <w:p>
            <w:pPr/>
          </w:p>
        </w:tc>
        <w:tc>
          <w:tcPr>
            <w:tcW w:w="1225" w:type="dxa"/>
            <w:shd w:val="clear" w:color="auto" w:fill="BAF9F5"/>
          </w:tcPr>
          <w:p>
            <w:pPr/>
          </w:p>
        </w:tc>
        <w:tc>
          <w:tcPr>
            <w:tcW w:w="370" w:type="dxa"/>
            <w:shd w:val="clear" w:color="auto" w:fill="BAF9F5"/>
          </w:tcPr>
          <w:p>
            <w:pPr/>
          </w:p>
        </w:tc>
        <w:tc>
          <w:tcPr>
            <w:tcW w:w="346" w:type="dxa"/>
          </w:tcPr>
          <w:p>
            <w:pPr/>
          </w:p>
        </w:tc>
        <w:tc>
          <w:tcPr>
            <w:tcW w:w="346" w:type="dxa"/>
            <w:shd w:val="clear" w:color="auto" w:fill="BAF9F5"/>
          </w:tcPr>
          <w:p>
            <w:pPr/>
          </w:p>
        </w:tc>
        <w:tc>
          <w:tcPr>
            <w:tcW w:w="346" w:type="dxa"/>
            <w:shd w:val="clear" w:color="auto" w:fill="BAF9F5"/>
          </w:tcPr>
          <w:p>
            <w:pPr/>
          </w:p>
        </w:tc>
        <w:tc>
          <w:tcPr>
            <w:tcW w:w="89" w:type="dxa"/>
          </w:tcPr>
          <w:p>
            <w:pPr/>
          </w:p>
        </w:tc>
      </w:tr>
      <w:tr>
        <w:trPr>
          <w:trHeight w:val="85" w:hRule="exact"/>
        </w:trPr>
        <w:tc>
          <w:tcPr>
            <w:tcW w:w="347" w:type="dxa"/>
            <w:tcBorders>
              <w:right w:val="single" w:sz="2" w:space="0" w:color="D3D3D3"/>
            </w:tcBorders>
          </w:tcPr>
          <w:p>
            <w:pPr/>
          </w:p>
        </w:tc>
        <w:tc>
          <w:tcPr>
            <w:tcW w:w="1182" w:type="dxa"/>
            <w:tcBorders>
              <w:left w:val="single" w:sz="2" w:space="0" w:color="D3D3D3"/>
              <w:bottom w:val="single" w:sz="2" w:space="0" w:color="D3D3D3"/>
              <w:right w:val="single" w:sz="2" w:space="0" w:color="D3D3D3"/>
            </w:tcBorders>
          </w:tcPr>
          <w:p>
            <w:pPr>
              <w:pStyle w:val="TableParagraph"/>
              <w:spacing w:line="41" w:lineRule="exact"/>
              <w:ind w:left="52"/>
              <w:jc w:val="left"/>
              <w:rPr>
                <w:rFonts w:ascii="Calibri" w:hAnsi="Calibri"/>
                <w:sz w:val="6"/>
              </w:rPr>
            </w:pPr>
            <w:r>
              <w:rPr>
                <w:rFonts w:ascii="Calibri" w:hAnsi="Calibri"/>
                <w:w w:val="105"/>
                <w:sz w:val="6"/>
              </w:rPr>
              <w:t>5 Índice para una vida mejor</w:t>
            </w:r>
          </w:p>
        </w:tc>
        <w:tc>
          <w:tcPr>
            <w:tcW w:w="1241" w:type="dxa"/>
            <w:tcBorders>
              <w:left w:val="single" w:sz="2" w:space="0" w:color="D3D3D3"/>
              <w:bottom w:val="single" w:sz="2" w:space="0" w:color="D3D3D3"/>
              <w:right w:val="single" w:sz="2" w:space="0" w:color="D3D3D3"/>
            </w:tcBorders>
          </w:tcPr>
          <w:p>
            <w:pPr>
              <w:pStyle w:val="TableParagraph"/>
              <w:spacing w:line="41" w:lineRule="exact"/>
              <w:ind w:left="8"/>
              <w:jc w:val="left"/>
              <w:rPr>
                <w:rFonts w:ascii="Calibri"/>
                <w:sz w:val="6"/>
              </w:rPr>
            </w:pPr>
            <w:r>
              <w:rPr>
                <w:rFonts w:ascii="Calibri"/>
                <w:w w:val="105"/>
                <w:sz w:val="6"/>
              </w:rPr>
              <w:t>Gasto en vivienda</w:t>
            </w:r>
          </w:p>
        </w:tc>
        <w:tc>
          <w:tcPr>
            <w:tcW w:w="2344" w:type="dxa"/>
            <w:tcBorders>
              <w:left w:val="single" w:sz="2" w:space="0" w:color="D3D3D3"/>
              <w:bottom w:val="single" w:sz="2" w:space="0" w:color="D3D3D3"/>
              <w:right w:val="single" w:sz="2" w:space="0" w:color="D3D3D3"/>
            </w:tcBorders>
          </w:tcPr>
          <w:p>
            <w:pPr>
              <w:pStyle w:val="TableParagraph"/>
              <w:spacing w:line="41" w:lineRule="exact"/>
              <w:ind w:left="8"/>
              <w:jc w:val="left"/>
              <w:rPr>
                <w:rFonts w:ascii="Calibri" w:hAnsi="Calibri"/>
                <w:sz w:val="6"/>
              </w:rPr>
            </w:pPr>
            <w:r>
              <w:rPr>
                <w:rFonts w:ascii="Calibri" w:hAnsi="Calibri"/>
                <w:w w:val="105"/>
                <w:sz w:val="6"/>
              </w:rPr>
              <w:t>¿En que situación se encuentra el gasto de vivienda destinado del presupuesto familiar,</w:t>
            </w:r>
          </w:p>
          <w:p>
            <w:pPr>
              <w:pStyle w:val="TableParagraph"/>
              <w:spacing w:before="9"/>
              <w:ind w:left="8"/>
              <w:jc w:val="left"/>
              <w:rPr>
                <w:rFonts w:ascii="Calibri"/>
                <w:sz w:val="6"/>
              </w:rPr>
            </w:pPr>
            <w:r>
              <w:rPr>
                <w:rFonts w:ascii="Calibri"/>
                <w:w w:val="105"/>
                <w:sz w:val="6"/>
              </w:rPr>
              <w:t>frente al promedio de la OCDE?</w:t>
            </w:r>
          </w:p>
        </w:tc>
        <w:tc>
          <w:tcPr>
            <w:tcW w:w="977"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3"/>
              <w:rPr>
                <w:rFonts w:ascii="Calibri"/>
                <w:sz w:val="6"/>
              </w:rPr>
            </w:pPr>
            <w:r>
              <w:rPr>
                <w:rFonts w:ascii="Calibri"/>
                <w:w w:val="104"/>
                <w:sz w:val="6"/>
              </w:rPr>
              <w:t>1</w:t>
            </w:r>
          </w:p>
        </w:tc>
        <w:tc>
          <w:tcPr>
            <w:tcW w:w="1449"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65" w:right="63"/>
              <w:rPr>
                <w:rFonts w:ascii="Calibri"/>
                <w:sz w:val="6"/>
              </w:rPr>
            </w:pPr>
            <w:r>
              <w:rPr>
                <w:rFonts w:ascii="Calibri"/>
                <w:w w:val="105"/>
                <w:sz w:val="6"/>
              </w:rPr>
              <w:t>0.8</w:t>
            </w:r>
          </w:p>
        </w:tc>
        <w:tc>
          <w:tcPr>
            <w:tcW w:w="2159" w:type="dxa"/>
            <w:tcBorders>
              <w:left w:val="single" w:sz="2" w:space="0" w:color="D3D3D3"/>
              <w:bottom w:val="single" w:sz="2" w:space="0" w:color="D3D3D3"/>
              <w:right w:val="single" w:sz="2" w:space="0" w:color="D3D3D3"/>
            </w:tcBorders>
            <w:shd w:val="clear" w:color="auto" w:fill="BAF9F5"/>
          </w:tcPr>
          <w:p>
            <w:pPr>
              <w:pStyle w:val="TableParagraph"/>
              <w:tabs>
                <w:tab w:pos="918" w:val="left" w:leader="none"/>
              </w:tabs>
              <w:spacing w:line="41" w:lineRule="exact"/>
              <w:ind w:right="113"/>
              <w:jc w:val="right"/>
              <w:rPr>
                <w:rFonts w:ascii="Calibri"/>
                <w:sz w:val="6"/>
              </w:rPr>
            </w:pPr>
            <w:r>
              <w:rPr>
                <w:rFonts w:ascii="Calibri"/>
                <w:w w:val="105"/>
                <w:sz w:val="6"/>
              </w:rPr>
              <w:t>0.6</w:t>
              <w:tab/>
              <w:t>21% del</w:t>
            </w:r>
            <w:r>
              <w:rPr>
                <w:rFonts w:ascii="Calibri"/>
                <w:spacing w:val="-4"/>
                <w:w w:val="105"/>
                <w:sz w:val="6"/>
              </w:rPr>
              <w:t> </w:t>
            </w:r>
            <w:r>
              <w:rPr>
                <w:rFonts w:ascii="Calibri"/>
                <w:w w:val="105"/>
                <w:sz w:val="6"/>
              </w:rPr>
              <w:t>ingreso</w:t>
            </w:r>
          </w:p>
        </w:tc>
        <w:tc>
          <w:tcPr>
            <w:tcW w:w="581"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143" w:right="132"/>
              <w:rPr>
                <w:rFonts w:ascii="Calibri"/>
                <w:sz w:val="6"/>
              </w:rPr>
            </w:pPr>
            <w:r>
              <w:rPr>
                <w:rFonts w:ascii="Calibri"/>
                <w:w w:val="105"/>
                <w:sz w:val="6"/>
              </w:rPr>
              <w:t>18%</w:t>
            </w:r>
          </w:p>
        </w:tc>
        <w:tc>
          <w:tcPr>
            <w:tcW w:w="1225" w:type="dxa"/>
            <w:tcBorders>
              <w:left w:val="single" w:sz="2" w:space="0" w:color="D3D3D3"/>
              <w:bottom w:val="single" w:sz="2" w:space="0" w:color="D3D3D3"/>
            </w:tcBorders>
            <w:shd w:val="clear" w:color="auto" w:fill="BAF9F5"/>
          </w:tcPr>
          <w:p>
            <w:pPr>
              <w:pStyle w:val="TableParagraph"/>
              <w:spacing w:line="41" w:lineRule="exact"/>
              <w:ind w:left="280" w:right="415"/>
              <w:rPr>
                <w:rFonts w:ascii="Calibri"/>
                <w:sz w:val="6"/>
              </w:rPr>
            </w:pPr>
            <w:r>
              <w:rPr>
                <w:rFonts w:ascii="Calibri"/>
                <w:w w:val="105"/>
                <w:sz w:val="6"/>
              </w:rPr>
              <w:t>26%  / 16% y 11%</w:t>
            </w:r>
          </w:p>
        </w:tc>
        <w:tc>
          <w:tcPr>
            <w:tcW w:w="370" w:type="dxa"/>
            <w:tcBorders>
              <w:bottom w:val="single" w:sz="2" w:space="0" w:color="D3D3D3"/>
            </w:tcBorders>
            <w:shd w:val="clear" w:color="auto" w:fill="BAF9F5"/>
          </w:tcPr>
          <w:p>
            <w:pPr>
              <w:pStyle w:val="TableParagraph"/>
              <w:spacing w:line="41" w:lineRule="exact"/>
              <w:ind w:left="98"/>
              <w:jc w:val="left"/>
              <w:rPr>
                <w:rFonts w:ascii="Calibri"/>
                <w:sz w:val="6"/>
              </w:rPr>
            </w:pPr>
            <w:r>
              <w:rPr>
                <w:rFonts w:ascii="Calibri"/>
                <w:w w:val="105"/>
                <w:sz w:val="6"/>
              </w:rPr>
              <w:t>0.6</w:t>
            </w:r>
          </w:p>
          <w:p>
            <w:pPr>
              <w:pStyle w:val="TableParagraph"/>
              <w:spacing w:before="9"/>
              <w:ind w:left="35"/>
              <w:jc w:val="left"/>
              <w:rPr>
                <w:rFonts w:ascii="Calibri"/>
                <w:sz w:val="6"/>
              </w:rPr>
            </w:pPr>
            <w:r>
              <w:rPr>
                <w:rFonts w:ascii="Calibri"/>
                <w:w w:val="105"/>
                <w:sz w:val="6"/>
              </w:rPr>
              <w:t>Subtotal</w:t>
            </w:r>
          </w:p>
        </w:tc>
        <w:tc>
          <w:tcPr>
            <w:tcW w:w="346" w:type="dxa"/>
            <w:shd w:val="clear" w:color="auto" w:fill="F79646"/>
          </w:tcPr>
          <w:p>
            <w:pPr>
              <w:pStyle w:val="TableParagraph"/>
              <w:spacing w:before="50"/>
              <w:ind w:left="136"/>
              <w:jc w:val="left"/>
              <w:rPr>
                <w:rFonts w:ascii="Calibri"/>
                <w:sz w:val="6"/>
              </w:rPr>
            </w:pPr>
            <w:r>
              <w:rPr>
                <w:rFonts w:ascii="Calibri"/>
                <w:w w:val="105"/>
                <w:sz w:val="6"/>
              </w:rPr>
              <w:t>0.6</w:t>
            </w:r>
          </w:p>
        </w:tc>
        <w:tc>
          <w:tcPr>
            <w:tcW w:w="346" w:type="dxa"/>
            <w:tcBorders>
              <w:top w:val="single" w:sz="35" w:space="0" w:color="BAF9F5"/>
            </w:tcBorders>
            <w:shd w:val="clear" w:color="auto" w:fill="FFFF00"/>
          </w:tcPr>
          <w:p>
            <w:pPr>
              <w:pStyle w:val="TableParagraph"/>
              <w:spacing w:line="3" w:lineRule="exact"/>
              <w:ind w:left="115" w:right="109"/>
              <w:rPr>
                <w:rFonts w:ascii="Calibri"/>
                <w:sz w:val="6"/>
              </w:rPr>
            </w:pPr>
            <w:r>
              <w:rPr>
                <w:rFonts w:ascii="Calibri"/>
                <w:w w:val="105"/>
                <w:sz w:val="6"/>
              </w:rPr>
              <w:t>0.8</w:t>
            </w:r>
          </w:p>
          <w:p>
            <w:pPr>
              <w:pStyle w:val="TableParagraph"/>
              <w:spacing w:before="6"/>
              <w:ind w:left="115" w:right="109"/>
              <w:rPr>
                <w:rFonts w:ascii="Calibri"/>
                <w:sz w:val="6"/>
              </w:rPr>
            </w:pPr>
            <w:r>
              <w:rPr>
                <w:rFonts w:ascii="Calibri"/>
                <w:w w:val="105"/>
                <w:sz w:val="6"/>
              </w:rPr>
              <w:t>0.8</w:t>
            </w:r>
          </w:p>
        </w:tc>
        <w:tc>
          <w:tcPr>
            <w:tcW w:w="346" w:type="dxa"/>
            <w:tcBorders>
              <w:top w:val="single" w:sz="35" w:space="0" w:color="BAF9F5"/>
            </w:tcBorders>
            <w:shd w:val="clear" w:color="auto" w:fill="67ED4D"/>
          </w:tcPr>
          <w:p>
            <w:pPr>
              <w:pStyle w:val="TableParagraph"/>
              <w:spacing w:line="3" w:lineRule="exact"/>
              <w:ind w:left="6"/>
              <w:rPr>
                <w:rFonts w:ascii="Calibri"/>
                <w:sz w:val="6"/>
              </w:rPr>
            </w:pPr>
            <w:r>
              <w:rPr>
                <w:rFonts w:ascii="Calibri"/>
                <w:w w:val="104"/>
                <w:sz w:val="6"/>
              </w:rPr>
              <w:t>1</w:t>
            </w:r>
          </w:p>
          <w:p>
            <w:pPr>
              <w:pStyle w:val="TableParagraph"/>
              <w:spacing w:before="6"/>
              <w:ind w:left="6"/>
              <w:rPr>
                <w:rFonts w:ascii="Calibri"/>
                <w:sz w:val="6"/>
              </w:rPr>
            </w:pPr>
            <w:r>
              <w:rPr>
                <w:rFonts w:ascii="Calibri"/>
                <w:w w:val="104"/>
                <w:sz w:val="6"/>
              </w:rPr>
              <w:t>1</w:t>
            </w:r>
          </w:p>
        </w:tc>
        <w:tc>
          <w:tcPr>
            <w:tcW w:w="89" w:type="dxa"/>
            <w:tcBorders>
              <w:bottom w:val="single" w:sz="2" w:space="0" w:color="D3D3D3"/>
            </w:tcBorders>
          </w:tcPr>
          <w:p>
            <w:pPr/>
          </w:p>
        </w:tc>
      </w:tr>
      <w:tr>
        <w:trPr>
          <w:trHeight w:val="82" w:hRule="exact"/>
        </w:trPr>
        <w:tc>
          <w:tcPr>
            <w:tcW w:w="347" w:type="dxa"/>
            <w:tcBorders>
              <w:right w:val="single" w:sz="2" w:space="0" w:color="D3D3D3"/>
            </w:tcBorders>
          </w:tcPr>
          <w:p>
            <w:pPr/>
          </w:p>
        </w:tc>
        <w:tc>
          <w:tcPr>
            <w:tcW w:w="1182" w:type="dxa"/>
            <w:tcBorders>
              <w:top w:val="single" w:sz="2" w:space="0" w:color="D3D3D3"/>
              <w:left w:val="single" w:sz="2" w:space="0" w:color="D3D3D3"/>
              <w:bottom w:val="single" w:sz="2" w:space="0" w:color="D3D3D3"/>
              <w:right w:val="single" w:sz="2" w:space="0" w:color="D3D3D3"/>
            </w:tcBorders>
          </w:tcPr>
          <w:p>
            <w:pPr/>
          </w:p>
        </w:tc>
        <w:tc>
          <w:tcPr>
            <w:tcW w:w="1241" w:type="dxa"/>
            <w:tcBorders>
              <w:top w:val="single" w:sz="2" w:space="0" w:color="D3D3D3"/>
              <w:left w:val="single" w:sz="2" w:space="0" w:color="D3D3D3"/>
              <w:bottom w:val="single" w:sz="2" w:space="0" w:color="D3D3D3"/>
              <w:right w:val="single" w:sz="2" w:space="0" w:color="D3D3D3"/>
            </w:tcBorders>
          </w:tcPr>
          <w:p>
            <w:pPr/>
          </w:p>
        </w:tc>
        <w:tc>
          <w:tcPr>
            <w:tcW w:w="2344" w:type="dxa"/>
            <w:tcBorders>
              <w:top w:val="single" w:sz="2" w:space="0" w:color="D3D3D3"/>
              <w:left w:val="single" w:sz="2" w:space="0" w:color="D3D3D3"/>
              <w:bottom w:val="single" w:sz="2" w:space="0" w:color="D3D3D3"/>
              <w:right w:val="single" w:sz="2" w:space="0" w:color="D3D3D3"/>
            </w:tcBorders>
          </w:tcPr>
          <w:p>
            <w:pPr/>
          </w:p>
        </w:tc>
        <w:tc>
          <w:tcPr>
            <w:tcW w:w="977" w:type="dxa"/>
            <w:tcBorders>
              <w:top w:val="single" w:sz="2" w:space="0" w:color="D3D3D3"/>
              <w:left w:val="single" w:sz="2" w:space="0" w:color="D3D3D3"/>
              <w:bottom w:val="single" w:sz="2" w:space="0" w:color="D3D3D3"/>
              <w:right w:val="single" w:sz="2" w:space="0" w:color="D3D3D3"/>
            </w:tcBorders>
          </w:tcPr>
          <w:p>
            <w:pPr/>
          </w:p>
        </w:tc>
        <w:tc>
          <w:tcPr>
            <w:tcW w:w="1449" w:type="dxa"/>
            <w:tcBorders>
              <w:top w:val="single" w:sz="2" w:space="0" w:color="D3D3D3"/>
              <w:left w:val="single" w:sz="2" w:space="0" w:color="D3D3D3"/>
              <w:bottom w:val="single" w:sz="2" w:space="0" w:color="D3D3D3"/>
              <w:right w:val="single" w:sz="2" w:space="0" w:color="D3D3D3"/>
            </w:tcBorders>
          </w:tcPr>
          <w:p>
            <w:pPr/>
          </w:p>
        </w:tc>
        <w:tc>
          <w:tcPr>
            <w:tcW w:w="2159" w:type="dxa"/>
            <w:tcBorders>
              <w:top w:val="single" w:sz="2" w:space="0" w:color="D3D3D3"/>
              <w:left w:val="single" w:sz="2" w:space="0" w:color="D3D3D3"/>
              <w:bottom w:val="single" w:sz="2" w:space="0" w:color="D3D3D3"/>
              <w:right w:val="single" w:sz="2" w:space="0" w:color="D3D3D3"/>
            </w:tcBorders>
          </w:tcPr>
          <w:p>
            <w:pPr/>
          </w:p>
        </w:tc>
        <w:tc>
          <w:tcPr>
            <w:tcW w:w="581" w:type="dxa"/>
            <w:tcBorders>
              <w:top w:val="single" w:sz="2" w:space="0" w:color="D3D3D3"/>
              <w:left w:val="single" w:sz="2" w:space="0" w:color="D3D3D3"/>
              <w:bottom w:val="single" w:sz="2" w:space="0" w:color="D3D3D3"/>
              <w:right w:val="single" w:sz="2" w:space="0" w:color="D3D3D3"/>
            </w:tcBorders>
          </w:tcPr>
          <w:p>
            <w:pPr/>
          </w:p>
        </w:tc>
        <w:tc>
          <w:tcPr>
            <w:tcW w:w="1225" w:type="dxa"/>
            <w:tcBorders>
              <w:top w:val="single" w:sz="2" w:space="0" w:color="D3D3D3"/>
              <w:left w:val="single" w:sz="2" w:space="0" w:color="D3D3D3"/>
              <w:bottom w:val="single" w:sz="2" w:space="0" w:color="D3D3D3"/>
            </w:tcBorders>
          </w:tcPr>
          <w:p>
            <w:pPr/>
          </w:p>
        </w:tc>
        <w:tc>
          <w:tcPr>
            <w:tcW w:w="370" w:type="dxa"/>
            <w:tcBorders>
              <w:top w:val="single" w:sz="2" w:space="0" w:color="D3D3D3"/>
              <w:bottom w:val="single" w:sz="2" w:space="0" w:color="D3D3D3"/>
              <w:right w:val="single" w:sz="2" w:space="0" w:color="D3D3D3"/>
            </w:tcBorders>
          </w:tcPr>
          <w:p>
            <w:pPr/>
          </w:p>
        </w:tc>
        <w:tc>
          <w:tcPr>
            <w:tcW w:w="346" w:type="dxa"/>
            <w:tcBorders>
              <w:left w:val="single" w:sz="2" w:space="0" w:color="D3D3D3"/>
              <w:bottom w:val="single" w:sz="35" w:space="0" w:color="F79646"/>
              <w:right w:val="single" w:sz="2" w:space="0" w:color="D3D3D3"/>
            </w:tcBorders>
          </w:tcPr>
          <w:p>
            <w:pPr/>
          </w:p>
        </w:tc>
        <w:tc>
          <w:tcPr>
            <w:tcW w:w="346" w:type="dxa"/>
            <w:tcBorders>
              <w:left w:val="single" w:sz="2" w:space="0" w:color="D3D3D3"/>
              <w:bottom w:val="single" w:sz="35" w:space="0" w:color="FFFF00"/>
              <w:right w:val="single" w:sz="2" w:space="0" w:color="D3D3D3"/>
            </w:tcBorders>
          </w:tcPr>
          <w:p>
            <w:pPr/>
          </w:p>
        </w:tc>
        <w:tc>
          <w:tcPr>
            <w:tcW w:w="346" w:type="dxa"/>
            <w:tcBorders>
              <w:left w:val="single" w:sz="2" w:space="0" w:color="D3D3D3"/>
              <w:bottom w:val="single" w:sz="35" w:space="0" w:color="67ED4D"/>
              <w:right w:val="single" w:sz="2" w:space="0" w:color="D3D3D3"/>
            </w:tcBorders>
          </w:tcPr>
          <w:p>
            <w:pPr/>
          </w:p>
        </w:tc>
        <w:tc>
          <w:tcPr>
            <w:tcW w:w="89" w:type="dxa"/>
            <w:tcBorders>
              <w:top w:val="single" w:sz="2" w:space="0" w:color="D3D3D3"/>
              <w:left w:val="single" w:sz="2" w:space="0" w:color="D3D3D3"/>
              <w:bottom w:val="single" w:sz="2" w:space="0" w:color="D3D3D3"/>
            </w:tcBorders>
          </w:tcPr>
          <w:p>
            <w:pPr/>
          </w:p>
        </w:tc>
      </w:tr>
      <w:tr>
        <w:trPr>
          <w:trHeight w:val="82" w:hRule="exact"/>
        </w:trPr>
        <w:tc>
          <w:tcPr>
            <w:tcW w:w="347" w:type="dxa"/>
            <w:tcBorders>
              <w:bottom w:val="single" w:sz="2" w:space="0" w:color="D3D3D3"/>
              <w:right w:val="single" w:sz="2" w:space="0" w:color="D3D3D3"/>
            </w:tcBorders>
          </w:tcPr>
          <w:p>
            <w:pPr/>
          </w:p>
        </w:tc>
        <w:tc>
          <w:tcPr>
            <w:tcW w:w="1182" w:type="dxa"/>
            <w:tcBorders>
              <w:top w:val="single" w:sz="2" w:space="0" w:color="D3D3D3"/>
              <w:left w:val="single" w:sz="2" w:space="0" w:color="D3D3D3"/>
              <w:bottom w:val="single" w:sz="2" w:space="0" w:color="D3D3D3"/>
              <w:right w:val="single" w:sz="2" w:space="0" w:color="D3D3D3"/>
            </w:tcBorders>
          </w:tcPr>
          <w:p>
            <w:pPr/>
          </w:p>
        </w:tc>
        <w:tc>
          <w:tcPr>
            <w:tcW w:w="1241" w:type="dxa"/>
            <w:tcBorders>
              <w:top w:val="single" w:sz="2" w:space="0" w:color="D3D3D3"/>
              <w:left w:val="single" w:sz="2" w:space="0" w:color="D3D3D3"/>
              <w:bottom w:val="single" w:sz="2" w:space="0" w:color="D3D3D3"/>
              <w:right w:val="single" w:sz="2" w:space="0" w:color="D3D3D3"/>
            </w:tcBorders>
          </w:tcPr>
          <w:p>
            <w:pPr/>
          </w:p>
        </w:tc>
        <w:tc>
          <w:tcPr>
            <w:tcW w:w="2344" w:type="dxa"/>
            <w:tcBorders>
              <w:top w:val="single" w:sz="2" w:space="0" w:color="D3D3D3"/>
              <w:left w:val="single" w:sz="2" w:space="0" w:color="D3D3D3"/>
              <w:bottom w:val="single" w:sz="2" w:space="0" w:color="D3D3D3"/>
              <w:right w:val="single" w:sz="2" w:space="0" w:color="D3D3D3"/>
            </w:tcBorders>
          </w:tcPr>
          <w:p>
            <w:pPr/>
          </w:p>
        </w:tc>
        <w:tc>
          <w:tcPr>
            <w:tcW w:w="977" w:type="dxa"/>
            <w:tcBorders>
              <w:top w:val="single" w:sz="2" w:space="0" w:color="D3D3D3"/>
              <w:left w:val="single" w:sz="2" w:space="0" w:color="D3D3D3"/>
              <w:bottom w:val="single" w:sz="2" w:space="0" w:color="D3D3D3"/>
              <w:right w:val="single" w:sz="2" w:space="0" w:color="D3D3D3"/>
            </w:tcBorders>
          </w:tcPr>
          <w:p>
            <w:pPr/>
          </w:p>
        </w:tc>
        <w:tc>
          <w:tcPr>
            <w:tcW w:w="1449" w:type="dxa"/>
            <w:tcBorders>
              <w:top w:val="single" w:sz="2" w:space="0" w:color="D3D3D3"/>
              <w:left w:val="single" w:sz="2" w:space="0" w:color="D3D3D3"/>
              <w:bottom w:val="single" w:sz="2" w:space="0" w:color="D3D3D3"/>
              <w:right w:val="single" w:sz="2" w:space="0" w:color="D3D3D3"/>
            </w:tcBorders>
          </w:tcPr>
          <w:p>
            <w:pPr/>
          </w:p>
        </w:tc>
        <w:tc>
          <w:tcPr>
            <w:tcW w:w="2159" w:type="dxa"/>
            <w:tcBorders>
              <w:top w:val="single" w:sz="2" w:space="0" w:color="D3D3D3"/>
              <w:left w:val="single" w:sz="2" w:space="0" w:color="D3D3D3"/>
              <w:bottom w:val="single" w:sz="2" w:space="0" w:color="D3D3D3"/>
              <w:right w:val="single" w:sz="2" w:space="0" w:color="D3D3D3"/>
            </w:tcBorders>
          </w:tcPr>
          <w:p>
            <w:pPr/>
          </w:p>
        </w:tc>
        <w:tc>
          <w:tcPr>
            <w:tcW w:w="581" w:type="dxa"/>
            <w:tcBorders>
              <w:top w:val="single" w:sz="2" w:space="0" w:color="D3D3D3"/>
              <w:left w:val="single" w:sz="2" w:space="0" w:color="D3D3D3"/>
              <w:bottom w:val="single" w:sz="2" w:space="0" w:color="D3D3D3"/>
              <w:right w:val="single" w:sz="2" w:space="0" w:color="D3D3D3"/>
            </w:tcBorders>
          </w:tcPr>
          <w:p>
            <w:pPr/>
          </w:p>
        </w:tc>
        <w:tc>
          <w:tcPr>
            <w:tcW w:w="1225" w:type="dxa"/>
            <w:tcBorders>
              <w:top w:val="single" w:sz="2" w:space="0" w:color="D3D3D3"/>
              <w:left w:val="single" w:sz="2" w:space="0" w:color="D3D3D3"/>
              <w:bottom w:val="single" w:sz="2" w:space="0" w:color="D3D3D3"/>
            </w:tcBorders>
          </w:tcPr>
          <w:p>
            <w:pPr/>
          </w:p>
        </w:tc>
        <w:tc>
          <w:tcPr>
            <w:tcW w:w="370" w:type="dxa"/>
            <w:tcBorders>
              <w:top w:val="single" w:sz="2" w:space="0" w:color="D3D3D3"/>
              <w:bottom w:val="single" w:sz="2" w:space="0" w:color="D3D3D3"/>
            </w:tcBorders>
          </w:tcPr>
          <w:p>
            <w:pPr>
              <w:pStyle w:val="TableParagraph"/>
              <w:spacing w:before="6"/>
              <w:ind w:left="51"/>
              <w:jc w:val="left"/>
              <w:rPr>
                <w:rFonts w:ascii="Calibri"/>
                <w:sz w:val="6"/>
              </w:rPr>
            </w:pPr>
            <w:r>
              <w:rPr>
                <w:rFonts w:ascii="Calibri"/>
                <w:w w:val="105"/>
                <w:sz w:val="6"/>
              </w:rPr>
              <w:t>Total E</w:t>
            </w:r>
          </w:p>
        </w:tc>
        <w:tc>
          <w:tcPr>
            <w:tcW w:w="346" w:type="dxa"/>
            <w:shd w:val="clear" w:color="auto" w:fill="F79646"/>
          </w:tcPr>
          <w:p>
            <w:pPr>
              <w:pStyle w:val="TableParagraph"/>
              <w:spacing w:before="8"/>
              <w:ind w:left="136"/>
              <w:jc w:val="left"/>
              <w:rPr>
                <w:rFonts w:ascii="Calibri"/>
                <w:sz w:val="6"/>
              </w:rPr>
            </w:pPr>
            <w:r>
              <w:rPr>
                <w:rFonts w:ascii="Calibri"/>
                <w:w w:val="105"/>
                <w:sz w:val="6"/>
              </w:rPr>
              <w:t>5.5</w:t>
            </w:r>
          </w:p>
        </w:tc>
        <w:tc>
          <w:tcPr>
            <w:tcW w:w="346" w:type="dxa"/>
            <w:shd w:val="clear" w:color="auto" w:fill="FFFF00"/>
          </w:tcPr>
          <w:p>
            <w:pPr>
              <w:pStyle w:val="TableParagraph"/>
              <w:spacing w:before="8"/>
              <w:ind w:left="6"/>
              <w:rPr>
                <w:rFonts w:ascii="Calibri"/>
                <w:sz w:val="6"/>
              </w:rPr>
            </w:pPr>
            <w:r>
              <w:rPr>
                <w:rFonts w:ascii="Calibri"/>
                <w:w w:val="104"/>
                <w:sz w:val="6"/>
              </w:rPr>
              <w:t>9</w:t>
            </w:r>
          </w:p>
        </w:tc>
        <w:tc>
          <w:tcPr>
            <w:tcW w:w="346" w:type="dxa"/>
            <w:shd w:val="clear" w:color="auto" w:fill="67ED4D"/>
          </w:tcPr>
          <w:p>
            <w:pPr>
              <w:pStyle w:val="TableParagraph"/>
              <w:spacing w:before="8"/>
              <w:ind w:left="123" w:right="118"/>
              <w:rPr>
                <w:rFonts w:ascii="Calibri"/>
                <w:sz w:val="6"/>
              </w:rPr>
            </w:pPr>
            <w:r>
              <w:rPr>
                <w:rFonts w:ascii="Calibri"/>
                <w:w w:val="105"/>
                <w:sz w:val="6"/>
              </w:rPr>
              <w:t>11</w:t>
            </w:r>
          </w:p>
        </w:tc>
        <w:tc>
          <w:tcPr>
            <w:tcW w:w="89" w:type="dxa"/>
            <w:tcBorders>
              <w:top w:val="single" w:sz="2" w:space="0" w:color="D3D3D3"/>
              <w:bottom w:val="single" w:sz="2" w:space="0" w:color="D3D3D3"/>
            </w:tcBorders>
          </w:tcPr>
          <w:p>
            <w:pPr/>
          </w:p>
        </w:tc>
      </w:tr>
      <w:tr>
        <w:trPr>
          <w:trHeight w:val="83" w:hRule="exact"/>
        </w:trPr>
        <w:tc>
          <w:tcPr>
            <w:tcW w:w="347" w:type="dxa"/>
            <w:tcBorders>
              <w:top w:val="single" w:sz="2" w:space="0" w:color="D3D3D3"/>
              <w:bottom w:val="single" w:sz="2" w:space="0" w:color="EEECE1"/>
              <w:right w:val="single" w:sz="2" w:space="0" w:color="D3D3D3"/>
            </w:tcBorders>
          </w:tcPr>
          <w:p>
            <w:pPr/>
          </w:p>
        </w:tc>
        <w:tc>
          <w:tcPr>
            <w:tcW w:w="1182" w:type="dxa"/>
            <w:tcBorders>
              <w:top w:val="single" w:sz="2" w:space="0" w:color="D3D3D3"/>
              <w:left w:val="single" w:sz="2" w:space="0" w:color="D3D3D3"/>
              <w:bottom w:val="single" w:sz="2" w:space="0" w:color="EEECE1"/>
              <w:right w:val="single" w:sz="2" w:space="0" w:color="D3D3D3"/>
            </w:tcBorders>
          </w:tcPr>
          <w:p>
            <w:pPr/>
          </w:p>
        </w:tc>
        <w:tc>
          <w:tcPr>
            <w:tcW w:w="1241" w:type="dxa"/>
            <w:tcBorders>
              <w:top w:val="single" w:sz="2" w:space="0" w:color="D3D3D3"/>
              <w:left w:val="single" w:sz="2" w:space="0" w:color="D3D3D3"/>
              <w:bottom w:val="single" w:sz="2" w:space="0" w:color="EEECE1"/>
              <w:right w:val="single" w:sz="2" w:space="0" w:color="D3D3D3"/>
            </w:tcBorders>
          </w:tcPr>
          <w:p>
            <w:pPr/>
          </w:p>
        </w:tc>
        <w:tc>
          <w:tcPr>
            <w:tcW w:w="2344" w:type="dxa"/>
            <w:tcBorders>
              <w:top w:val="single" w:sz="2" w:space="0" w:color="D3D3D3"/>
              <w:left w:val="single" w:sz="2" w:space="0" w:color="D3D3D3"/>
              <w:bottom w:val="single" w:sz="2" w:space="0" w:color="EEECE1"/>
              <w:right w:val="single" w:sz="2" w:space="0" w:color="D3D3D3"/>
            </w:tcBorders>
          </w:tcPr>
          <w:p>
            <w:pPr/>
          </w:p>
        </w:tc>
        <w:tc>
          <w:tcPr>
            <w:tcW w:w="977" w:type="dxa"/>
            <w:tcBorders>
              <w:top w:val="single" w:sz="2" w:space="0" w:color="D3D3D3"/>
              <w:left w:val="single" w:sz="2" w:space="0" w:color="D3D3D3"/>
              <w:bottom w:val="single" w:sz="2" w:space="0" w:color="EEECE1"/>
              <w:right w:val="single" w:sz="2" w:space="0" w:color="D3D3D3"/>
            </w:tcBorders>
          </w:tcPr>
          <w:p>
            <w:pPr/>
          </w:p>
        </w:tc>
        <w:tc>
          <w:tcPr>
            <w:tcW w:w="1449" w:type="dxa"/>
            <w:tcBorders>
              <w:top w:val="single" w:sz="2" w:space="0" w:color="D3D3D3"/>
              <w:left w:val="single" w:sz="2" w:space="0" w:color="D3D3D3"/>
              <w:bottom w:val="single" w:sz="2" w:space="0" w:color="EEECE1"/>
              <w:right w:val="single" w:sz="2" w:space="0" w:color="D3D3D3"/>
            </w:tcBorders>
          </w:tcPr>
          <w:p>
            <w:pPr/>
          </w:p>
        </w:tc>
        <w:tc>
          <w:tcPr>
            <w:tcW w:w="2159" w:type="dxa"/>
            <w:tcBorders>
              <w:top w:val="single" w:sz="2" w:space="0" w:color="D3D3D3"/>
              <w:left w:val="single" w:sz="2" w:space="0" w:color="D3D3D3"/>
              <w:bottom w:val="single" w:sz="2" w:space="0" w:color="EEECE1"/>
              <w:right w:val="single" w:sz="2" w:space="0" w:color="D3D3D3"/>
            </w:tcBorders>
          </w:tcPr>
          <w:p>
            <w:pPr/>
          </w:p>
        </w:tc>
        <w:tc>
          <w:tcPr>
            <w:tcW w:w="581" w:type="dxa"/>
            <w:tcBorders>
              <w:top w:val="single" w:sz="2" w:space="0" w:color="D3D3D3"/>
              <w:left w:val="single" w:sz="2" w:space="0" w:color="D3D3D3"/>
              <w:bottom w:val="single" w:sz="2" w:space="0" w:color="EEECE1"/>
              <w:right w:val="single" w:sz="2" w:space="0" w:color="D3D3D3"/>
            </w:tcBorders>
          </w:tcPr>
          <w:p>
            <w:pPr/>
          </w:p>
        </w:tc>
        <w:tc>
          <w:tcPr>
            <w:tcW w:w="1225" w:type="dxa"/>
            <w:tcBorders>
              <w:top w:val="single" w:sz="2" w:space="0" w:color="D3D3D3"/>
              <w:left w:val="single" w:sz="2" w:space="0" w:color="D3D3D3"/>
              <w:bottom w:val="single" w:sz="2" w:space="0" w:color="EEECE1"/>
            </w:tcBorders>
          </w:tcPr>
          <w:p>
            <w:pPr/>
          </w:p>
        </w:tc>
        <w:tc>
          <w:tcPr>
            <w:tcW w:w="370" w:type="dxa"/>
            <w:tcBorders>
              <w:top w:val="single" w:sz="2" w:space="0" w:color="D3D3D3"/>
              <w:bottom w:val="single" w:sz="2" w:space="0" w:color="EEECE1"/>
              <w:right w:val="single" w:sz="2" w:space="0" w:color="D3D3D3"/>
            </w:tcBorders>
          </w:tcPr>
          <w:p>
            <w:pPr/>
          </w:p>
        </w:tc>
        <w:tc>
          <w:tcPr>
            <w:tcW w:w="346" w:type="dxa"/>
            <w:tcBorders>
              <w:left w:val="single" w:sz="2" w:space="0" w:color="D3D3D3"/>
              <w:bottom w:val="single" w:sz="2" w:space="0" w:color="EEECE1"/>
              <w:right w:val="single" w:sz="2" w:space="0" w:color="D3D3D3"/>
            </w:tcBorders>
          </w:tcPr>
          <w:p>
            <w:pPr/>
          </w:p>
        </w:tc>
        <w:tc>
          <w:tcPr>
            <w:tcW w:w="346" w:type="dxa"/>
            <w:tcBorders>
              <w:left w:val="single" w:sz="2" w:space="0" w:color="D3D3D3"/>
              <w:bottom w:val="single" w:sz="2" w:space="0" w:color="EEECE1"/>
              <w:right w:val="single" w:sz="2" w:space="0" w:color="D3D3D3"/>
            </w:tcBorders>
          </w:tcPr>
          <w:p>
            <w:pPr/>
          </w:p>
        </w:tc>
        <w:tc>
          <w:tcPr>
            <w:tcW w:w="346" w:type="dxa"/>
            <w:tcBorders>
              <w:left w:val="single" w:sz="2" w:space="0" w:color="D3D3D3"/>
              <w:bottom w:val="single" w:sz="2" w:space="0" w:color="EEECE1"/>
              <w:right w:val="single" w:sz="2" w:space="0" w:color="D3D3D3"/>
            </w:tcBorders>
          </w:tcPr>
          <w:p>
            <w:pPr/>
          </w:p>
        </w:tc>
        <w:tc>
          <w:tcPr>
            <w:tcW w:w="89" w:type="dxa"/>
            <w:tcBorders>
              <w:top w:val="single" w:sz="2" w:space="0" w:color="D3D3D3"/>
              <w:left w:val="single" w:sz="2" w:space="0" w:color="D3D3D3"/>
              <w:bottom w:val="single" w:sz="2" w:space="0" w:color="EEECE1"/>
            </w:tcBorders>
          </w:tcPr>
          <w:p>
            <w:pPr/>
          </w:p>
        </w:tc>
      </w:tr>
    </w:tbl>
    <w:p>
      <w:pPr>
        <w:spacing w:before="129"/>
        <w:ind w:left="135" w:right="0" w:firstLine="0"/>
        <w:jc w:val="left"/>
        <w:rPr>
          <w:sz w:val="21"/>
        </w:rPr>
      </w:pPr>
      <w:r>
        <w:rPr/>
        <w:pict>
          <v:line style="position:absolute;mso-position-horizontal-relative:page;mso-position-vertical-relative:paragraph;z-index:-1121128" from="523.770142pt,-66.077148pt" to="523.770142pt,-62.148021pt" stroked="true" strokeweight=".294289pt" strokecolor="#d3d3d3">
            <w10:wrap type="none"/>
          </v:line>
        </w:pict>
      </w:r>
      <w:r>
        <w:rPr/>
        <w:pict>
          <v:group style="position:absolute;margin-left:639.639771pt;margin-top:-66.227150pt;width:2.1pt;height:4.25pt;mso-position-horizontal-relative:page;mso-position-vertical-relative:paragraph;z-index:-1121104" coordorigin="12793,-1325" coordsize="42,85">
            <v:line style="position:absolute" from="12796,-1322" to="12796,-1243" stroked="true" strokeweight=".294995pt" strokecolor="#d3d3d3"/>
            <v:line style="position:absolute" from="12831,-1322" to="12831,-1243" stroked="true" strokeweight=".294682pt" strokecolor="#d3d3d3"/>
            <w10:wrap type="none"/>
          </v:group>
        </w:pict>
      </w:r>
      <w:r>
        <w:rPr/>
        <w:pict>
          <v:group style="position:absolute;margin-left:639.639771pt;margin-top:-57.985954pt;width:2.1pt;height:4.25pt;mso-position-horizontal-relative:page;mso-position-vertical-relative:paragraph;z-index:-1121080" coordorigin="12793,-1160" coordsize="42,85">
            <v:line style="position:absolute" from="12796,-1157" to="12796,-1078" stroked="true" strokeweight=".294995pt" strokecolor="#d3d3d3"/>
            <v:line style="position:absolute" from="12831,-1157" to="12831,-1078" stroked="true" strokeweight=".294682pt" strokecolor="#d3d3d3"/>
            <w10:wrap type="none"/>
          </v:group>
        </w:pict>
      </w:r>
      <w:r>
        <w:rPr/>
        <w:pict>
          <v:line style="position:absolute;mso-position-horizontal-relative:page;mso-position-vertical-relative:paragraph;z-index:-1121056" from="523.770142pt,-49.589455pt" to="523.770142pt,-45.660138pt" stroked="true" strokeweight=".294289pt" strokecolor="#d3d3d3">
            <w10:wrap type="none"/>
          </v:line>
        </w:pict>
      </w:r>
      <w:r>
        <w:rPr/>
        <w:pict>
          <v:group style="position:absolute;margin-left:639.639771pt;margin-top:-49.739452pt;width:2.1pt;height:4.25pt;mso-position-horizontal-relative:page;mso-position-vertical-relative:paragraph;z-index:-1121032" coordorigin="12793,-995" coordsize="42,85">
            <v:line style="position:absolute" from="12796,-992" to="12796,-913" stroked="true" strokeweight=".294995pt" strokecolor="#d3d3d3"/>
            <v:line style="position:absolute" from="12831,-992" to="12831,-913" stroked="true" strokeweight=".294682pt" strokecolor="#d3d3d3"/>
            <w10:wrap type="none"/>
          </v:group>
        </w:pict>
      </w:r>
      <w:r>
        <w:rPr/>
        <w:pict>
          <v:group style="position:absolute;margin-left:639.639771pt;margin-top:-41.489414pt;width:2.1pt;height:4.25pt;mso-position-horizontal-relative:page;mso-position-vertical-relative:paragraph;z-index:-1121008" coordorigin="12793,-830" coordsize="42,85">
            <v:line style="position:absolute" from="12796,-827" to="12796,-748" stroked="true" strokeweight=".294995pt" strokecolor="#d3d3d3"/>
            <v:line style="position:absolute" from="12831,-827" to="12831,-748" stroked="true" strokeweight=".294682pt" strokecolor="#d3d3d3"/>
            <w10:wrap type="none"/>
          </v:group>
        </w:pict>
      </w:r>
      <w:r>
        <w:rPr/>
        <w:pict>
          <v:group style="position:absolute;margin-left:523.621094pt;margin-top:-33.199142pt;width:.3pt;height:8.3pt;mso-position-horizontal-relative:page;mso-position-vertical-relative:paragraph;z-index:-1120984" coordorigin="10472,-664" coordsize="6,166">
            <v:line style="position:absolute" from="10474,-662" to="10474,-501" stroked="true" strokeweight=".196257pt" strokecolor="#d3d3d3"/>
            <v:line style="position:absolute" from="10476,-662" to="10476,-501" stroked="true" strokeweight=".196257pt" strokecolor="#d3d3d3"/>
            <w10:wrap type="none"/>
          </v:group>
        </w:pict>
      </w:r>
      <w:r>
        <w:rPr/>
        <w:pict>
          <v:group style="position:absolute;margin-left:639.640381pt;margin-top:-33.199142pt;width:2.1pt;height:8.450pt;mso-position-horizontal-relative:page;mso-position-vertical-relative:paragraph;z-index:-1120960" coordorigin="12793,-664" coordsize="42,169">
            <v:line style="position:absolute" from="12795,-662" to="12795,-497" stroked="true" strokeweight=".196257pt" strokecolor="#d3d3d3"/>
            <v:line style="position:absolute" from="12797,-662" to="12797,-497" stroked="true" strokeweight=".196257pt" strokecolor="#d3d3d3"/>
            <v:line style="position:absolute" from="12830,-662" to="12830,-497" stroked="true" strokeweight=".196257pt" strokecolor="#d3d3d3"/>
            <v:line style="position:absolute" from="12832,-662" to="12832,-497" stroked="true" strokeweight=".196257pt" strokecolor="#d3d3d3"/>
            <w10:wrap type="none"/>
          </v:group>
        </w:pict>
      </w:r>
      <w:r>
        <w:rPr>
          <w:w w:val="105"/>
          <w:sz w:val="21"/>
        </w:rPr>
        <w:t>Fuente: Elaboración propia con base al estudio realizado.</w:t>
      </w:r>
    </w:p>
    <w:p>
      <w:pPr>
        <w:spacing w:after="0"/>
        <w:jc w:val="left"/>
        <w:rPr>
          <w:sz w:val="21"/>
        </w:rPr>
        <w:sectPr>
          <w:pgSz w:w="15840" w:h="12240" w:orient="landscape"/>
          <w:pgMar w:header="732" w:footer="1063" w:top="1320" w:bottom="1260" w:left="128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8"/>
        </w:rPr>
      </w:pPr>
    </w:p>
    <w:p>
      <w:pPr>
        <w:pStyle w:val="BodyText"/>
        <w:ind w:left="155"/>
      </w:pPr>
      <w:r>
        <w:rPr/>
        <w:pict>
          <v:group style="position:absolute;margin-left:68.684898pt;margin-top:19.735859pt;width:654.5pt;height:225.95pt;mso-position-horizontal-relative:page;mso-position-vertical-relative:paragraph;z-index:-1120936" coordorigin="1374,395" coordsize="13090,4519">
            <v:rect style="position:absolute;left:1417;top:403;width:13003;height:137" filled="true" fillcolor="#81de55" stroked="false">
              <v:fill type="solid"/>
            </v:rect>
            <v:line style="position:absolute" from="1415,401" to="1419,401" stroked="true" strokeweight=".195956pt" strokecolor="#d3d3d3"/>
            <v:rect style="position:absolute;left:1421;top:399;width:12999;height:8" filled="true" fillcolor="#000000" stroked="false">
              <v:fill type="solid"/>
            </v:rect>
            <v:shape style="position:absolute;left:1761;top:401;width:12658;height:2" coordorigin="1761,401" coordsize="12658,0" path="m14414,401l14418,401m1761,401l1765,401m1855,401l1859,401m2942,401l2946,401m4183,401l4187,401m12785,401l12789,401m12820,401l12824,401m6527,401l6531,401m7504,401l7508,401m8953,401l8957,401m10465,401l10469,401m11112,401l11116,401m11697,401l11701,401m13287,401l13291,401m13633,401l13637,401m13978,401l13982,401m14324,401l14328,401e" filled="false" stroked="true" strokeweight=".195956pt" strokecolor="#d3d3d3">
              <v:path arrowok="t"/>
            </v:shape>
            <v:line style="position:absolute" from="1417,661" to="14420,661" stroked="true" strokeweight="4.31757pt" strokecolor="#81de55"/>
            <v:line style="position:absolute" from="1421,826" to="14420,826" stroked="true" strokeweight="4.31104pt" strokecolor="#eeece1"/>
            <v:line style="position:absolute" from="1858,705" to="1858,783" stroked="true" strokeweight=".294432pt" strokecolor="#d3d3d3"/>
            <v:line style="position:absolute" from="8955,991" to="10471,991" stroked="true" strokeweight="4.31104pt" strokecolor="#808080"/>
            <v:line style="position:absolute" from="1421,948" to="8955,948" stroked="true" strokeweight=".195956pt" strokecolor="#d3d3d3"/>
            <v:line style="position:absolute" from="1421,950" to="8955,950" stroked="true" strokeweight=".195957pt" strokecolor="#d3d3d3"/>
            <v:line style="position:absolute" from="10470,948" to="14412,948" stroked="true" strokeweight=".195956pt" strokecolor="#d3d3d3"/>
            <v:line style="position:absolute" from="10470,950" to="14412,950" stroked="true" strokeweight=".195957pt" strokecolor="#d3d3d3"/>
            <v:line style="position:absolute" from="1417,399" to="1417,4910" stroked="true" strokeweight=".392477pt" strokecolor="#000000"/>
            <v:line style="position:absolute" from="1857,869" to="1857,4902" stroked="true" strokeweight=".196238pt" strokecolor="#d3d3d3"/>
            <v:line style="position:absolute" from="1859,869" to="1859,4902" stroked="true" strokeweight=".196239pt" strokecolor="#d3d3d3"/>
            <v:line style="position:absolute" from="14416,407" to="14416,4910" stroked="true" strokeweight=".392477pt" strokecolor="#000000"/>
            <v:shape style="position:absolute;left:49695;top:-7705;width:15;height:2087" coordorigin="49695,-7705" coordsize="15,2087" path="m14420,403l14424,403m14420,536l14424,536m14420,618l14424,618m14420,701l14424,701m14420,948l14424,948e" filled="false" stroked="true" strokeweight=".196097pt" strokecolor="#d3d3d3">
              <v:path arrowok="t"/>
            </v:shape>
            <w10:wrap type="none"/>
          </v:group>
        </w:pict>
      </w:r>
      <w:r>
        <w:rPr/>
        <w:t>Tabla 85. Formato de trabajo y evaluación de indicadores territoriales.</w:t>
      </w:r>
    </w:p>
    <w:p>
      <w:pPr>
        <w:pStyle w:val="BodyText"/>
        <w:rPr>
          <w:sz w:val="11"/>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6"/>
        <w:gridCol w:w="1182"/>
        <w:gridCol w:w="1240"/>
        <w:gridCol w:w="2344"/>
        <w:gridCol w:w="977"/>
        <w:gridCol w:w="1449"/>
        <w:gridCol w:w="1512"/>
        <w:gridCol w:w="652"/>
        <w:gridCol w:w="582"/>
        <w:gridCol w:w="1105"/>
        <w:gridCol w:w="485"/>
        <w:gridCol w:w="346"/>
        <w:gridCol w:w="345"/>
        <w:gridCol w:w="346"/>
        <w:gridCol w:w="89"/>
      </w:tblGrid>
      <w:tr>
        <w:trPr>
          <w:trHeight w:val="563" w:hRule="exact"/>
        </w:trPr>
        <w:tc>
          <w:tcPr>
            <w:tcW w:w="346" w:type="dxa"/>
            <w:tcBorders>
              <w:right w:val="single" w:sz="2" w:space="0" w:color="D3D3D3"/>
            </w:tcBorders>
          </w:tcPr>
          <w:p>
            <w:pPr>
              <w:pStyle w:val="TableParagraph"/>
              <w:jc w:val="left"/>
              <w:rPr>
                <w:sz w:val="6"/>
              </w:rPr>
            </w:pPr>
          </w:p>
          <w:p>
            <w:pPr>
              <w:pStyle w:val="TableParagraph"/>
              <w:jc w:val="left"/>
              <w:rPr>
                <w:sz w:val="6"/>
              </w:rPr>
            </w:pPr>
          </w:p>
          <w:p>
            <w:pPr>
              <w:pStyle w:val="TableParagraph"/>
              <w:spacing w:before="6"/>
              <w:jc w:val="left"/>
              <w:rPr>
                <w:sz w:val="7"/>
              </w:rPr>
            </w:pPr>
          </w:p>
          <w:p>
            <w:pPr>
              <w:pStyle w:val="TableParagraph"/>
              <w:spacing w:before="1"/>
              <w:ind w:left="94"/>
              <w:jc w:val="left"/>
              <w:rPr>
                <w:rFonts w:ascii="Calibri" w:hAnsi="Calibri"/>
                <w:b/>
                <w:sz w:val="6"/>
              </w:rPr>
            </w:pPr>
            <w:r>
              <w:rPr>
                <w:rFonts w:ascii="Calibri" w:hAnsi="Calibri"/>
                <w:b/>
                <w:w w:val="105"/>
                <w:sz w:val="6"/>
              </w:rPr>
              <w:t>Índice</w:t>
            </w:r>
          </w:p>
        </w:tc>
        <w:tc>
          <w:tcPr>
            <w:tcW w:w="1182" w:type="dxa"/>
            <w:tcBorders>
              <w:left w:val="single" w:sz="2" w:space="0" w:color="D3D3D3"/>
              <w:right w:val="single" w:sz="2" w:space="0" w:color="D3D3D3"/>
            </w:tcBorders>
          </w:tcPr>
          <w:p>
            <w:pPr>
              <w:pStyle w:val="TableParagraph"/>
              <w:jc w:val="left"/>
              <w:rPr>
                <w:sz w:val="6"/>
              </w:rPr>
            </w:pPr>
          </w:p>
          <w:p>
            <w:pPr>
              <w:pStyle w:val="TableParagraph"/>
              <w:jc w:val="left"/>
              <w:rPr>
                <w:sz w:val="6"/>
              </w:rPr>
            </w:pPr>
          </w:p>
          <w:p>
            <w:pPr>
              <w:pStyle w:val="TableParagraph"/>
              <w:spacing w:before="6"/>
              <w:jc w:val="left"/>
              <w:rPr>
                <w:sz w:val="7"/>
              </w:rPr>
            </w:pPr>
          </w:p>
          <w:p>
            <w:pPr>
              <w:pStyle w:val="TableParagraph"/>
              <w:spacing w:before="1"/>
              <w:ind w:left="490" w:right="391"/>
              <w:rPr>
                <w:rFonts w:ascii="Calibri" w:hAnsi="Calibri"/>
                <w:b/>
                <w:sz w:val="6"/>
              </w:rPr>
            </w:pPr>
            <w:r>
              <w:rPr>
                <w:rFonts w:ascii="Calibri" w:hAnsi="Calibri"/>
                <w:b/>
                <w:w w:val="105"/>
                <w:sz w:val="6"/>
              </w:rPr>
              <w:t>SubÍndice</w:t>
            </w:r>
          </w:p>
        </w:tc>
        <w:tc>
          <w:tcPr>
            <w:tcW w:w="1240" w:type="dxa"/>
            <w:tcBorders>
              <w:left w:val="single" w:sz="2" w:space="0" w:color="D3D3D3"/>
              <w:right w:val="single" w:sz="2" w:space="0" w:color="D3D3D3"/>
            </w:tcBorders>
          </w:tcPr>
          <w:p>
            <w:pPr>
              <w:pStyle w:val="TableParagraph"/>
              <w:jc w:val="left"/>
              <w:rPr>
                <w:sz w:val="6"/>
              </w:rPr>
            </w:pPr>
          </w:p>
          <w:p>
            <w:pPr>
              <w:pStyle w:val="TableParagraph"/>
              <w:jc w:val="left"/>
              <w:rPr>
                <w:sz w:val="6"/>
              </w:rPr>
            </w:pPr>
          </w:p>
          <w:p>
            <w:pPr>
              <w:pStyle w:val="TableParagraph"/>
              <w:spacing w:before="6"/>
              <w:jc w:val="left"/>
              <w:rPr>
                <w:sz w:val="7"/>
              </w:rPr>
            </w:pPr>
          </w:p>
          <w:p>
            <w:pPr>
              <w:pStyle w:val="TableParagraph"/>
              <w:spacing w:before="1"/>
              <w:ind w:left="474" w:right="474"/>
              <w:rPr>
                <w:rFonts w:ascii="Calibri"/>
                <w:b/>
                <w:sz w:val="6"/>
              </w:rPr>
            </w:pPr>
            <w:r>
              <w:rPr>
                <w:rFonts w:ascii="Calibri"/>
                <w:b/>
                <w:w w:val="105"/>
                <w:sz w:val="6"/>
              </w:rPr>
              <w:t>Indicador</w:t>
            </w:r>
          </w:p>
        </w:tc>
        <w:tc>
          <w:tcPr>
            <w:tcW w:w="2344" w:type="dxa"/>
            <w:tcBorders>
              <w:left w:val="single" w:sz="2" w:space="0" w:color="D3D3D3"/>
              <w:right w:val="single" w:sz="2" w:space="0" w:color="D3D3D3"/>
            </w:tcBorders>
          </w:tcPr>
          <w:p>
            <w:pPr/>
          </w:p>
        </w:tc>
        <w:tc>
          <w:tcPr>
            <w:tcW w:w="977" w:type="dxa"/>
            <w:tcBorders>
              <w:left w:val="single" w:sz="2" w:space="0" w:color="D3D3D3"/>
              <w:right w:val="single" w:sz="2" w:space="0" w:color="D3D3D3"/>
            </w:tcBorders>
          </w:tcPr>
          <w:p>
            <w:pPr>
              <w:pStyle w:val="TableParagraph"/>
              <w:spacing w:before="24"/>
              <w:ind w:right="-8"/>
              <w:jc w:val="right"/>
              <w:rPr>
                <w:rFonts w:ascii="Calibri"/>
                <w:b/>
                <w:sz w:val="9"/>
              </w:rPr>
            </w:pPr>
            <w:r>
              <w:rPr>
                <w:rFonts w:ascii="Calibri"/>
                <w:b/>
                <w:w w:val="104"/>
                <w:sz w:val="9"/>
              </w:rPr>
              <w:t>S</w:t>
            </w:r>
          </w:p>
        </w:tc>
        <w:tc>
          <w:tcPr>
            <w:tcW w:w="1449" w:type="dxa"/>
            <w:tcBorders>
              <w:left w:val="single" w:sz="2" w:space="0" w:color="D3D3D3"/>
              <w:right w:val="single" w:sz="2" w:space="0" w:color="D3D3D3"/>
            </w:tcBorders>
          </w:tcPr>
          <w:p>
            <w:pPr>
              <w:pStyle w:val="TableParagraph"/>
              <w:spacing w:before="24"/>
              <w:ind w:right="579"/>
              <w:rPr>
                <w:rFonts w:ascii="Calibri"/>
                <w:b/>
                <w:sz w:val="9"/>
              </w:rPr>
            </w:pPr>
            <w:r>
              <w:rPr>
                <w:rFonts w:ascii="Calibri"/>
                <w:b/>
                <w:w w:val="105"/>
                <w:sz w:val="9"/>
              </w:rPr>
              <w:t>istema de Indicadores</w:t>
            </w:r>
          </w:p>
          <w:p>
            <w:pPr>
              <w:pStyle w:val="TableParagraph"/>
              <w:spacing w:before="9"/>
              <w:ind w:right="618"/>
              <w:rPr>
                <w:rFonts w:ascii="Calibri" w:hAnsi="Calibri"/>
                <w:sz w:val="6"/>
              </w:rPr>
            </w:pPr>
            <w:r>
              <w:rPr>
                <w:rFonts w:ascii="Calibri" w:hAnsi="Calibri"/>
                <w:w w:val="105"/>
                <w:sz w:val="6"/>
              </w:rPr>
              <w:t>Formato de evaluación</w:t>
            </w:r>
          </w:p>
          <w:p>
            <w:pPr>
              <w:pStyle w:val="TableParagraph"/>
              <w:spacing w:before="5"/>
              <w:ind w:left="719"/>
              <w:jc w:val="left"/>
              <w:rPr>
                <w:rFonts w:ascii="Calibri" w:hAnsi="Calibri"/>
                <w:b/>
                <w:sz w:val="6"/>
              </w:rPr>
            </w:pPr>
            <w:r>
              <w:rPr>
                <w:rFonts w:ascii="Calibri" w:hAnsi="Calibri"/>
                <w:b/>
                <w:w w:val="105"/>
                <w:sz w:val="6"/>
              </w:rPr>
              <w:t>Medición Reactivos</w:t>
            </w:r>
          </w:p>
        </w:tc>
        <w:tc>
          <w:tcPr>
            <w:tcW w:w="1512" w:type="dxa"/>
            <w:tcBorders>
              <w:left w:val="single" w:sz="2" w:space="0" w:color="D3D3D3"/>
              <w:right w:val="single" w:sz="2" w:space="0" w:color="D3D3D3"/>
            </w:tcBorders>
          </w:tcPr>
          <w:p>
            <w:pPr/>
          </w:p>
        </w:tc>
        <w:tc>
          <w:tcPr>
            <w:tcW w:w="652" w:type="dxa"/>
            <w:tcBorders>
              <w:left w:val="single" w:sz="2" w:space="0" w:color="D3D3D3"/>
              <w:right w:val="single" w:sz="2" w:space="0" w:color="D3D3D3"/>
            </w:tcBorders>
          </w:tcPr>
          <w:p>
            <w:pPr/>
          </w:p>
        </w:tc>
        <w:tc>
          <w:tcPr>
            <w:tcW w:w="582" w:type="dxa"/>
            <w:tcBorders>
              <w:left w:val="single" w:sz="2" w:space="0" w:color="D3D3D3"/>
              <w:right w:val="single" w:sz="2" w:space="0" w:color="D3D3D3"/>
            </w:tcBorders>
          </w:tcPr>
          <w:p>
            <w:pPr/>
          </w:p>
        </w:tc>
        <w:tc>
          <w:tcPr>
            <w:tcW w:w="1105" w:type="dxa"/>
            <w:tcBorders>
              <w:left w:val="single" w:sz="2" w:space="0" w:color="D3D3D3"/>
              <w:right w:val="single" w:sz="15" w:space="0" w:color="FFFFFF"/>
            </w:tcBorders>
          </w:tcPr>
          <w:p>
            <w:pPr/>
          </w:p>
        </w:tc>
        <w:tc>
          <w:tcPr>
            <w:tcW w:w="485" w:type="dxa"/>
            <w:tcBorders>
              <w:left w:val="single" w:sz="15" w:space="0" w:color="FFFFFF"/>
              <w:right w:val="single" w:sz="2" w:space="0" w:color="D3D3D3"/>
            </w:tcBorders>
          </w:tcPr>
          <w:p>
            <w:pPr/>
          </w:p>
        </w:tc>
        <w:tc>
          <w:tcPr>
            <w:tcW w:w="346" w:type="dxa"/>
            <w:tcBorders>
              <w:left w:val="single" w:sz="2" w:space="0" w:color="D3D3D3"/>
              <w:right w:val="single" w:sz="2" w:space="0" w:color="D3D3D3"/>
            </w:tcBorders>
          </w:tcPr>
          <w:p>
            <w:pPr>
              <w:pStyle w:val="TableParagraph"/>
              <w:jc w:val="left"/>
              <w:rPr>
                <w:sz w:val="6"/>
              </w:rPr>
            </w:pPr>
          </w:p>
          <w:p>
            <w:pPr>
              <w:pStyle w:val="TableParagraph"/>
              <w:jc w:val="left"/>
              <w:rPr>
                <w:sz w:val="6"/>
              </w:rPr>
            </w:pPr>
          </w:p>
          <w:p>
            <w:pPr>
              <w:pStyle w:val="TableParagraph"/>
              <w:spacing w:before="2"/>
              <w:jc w:val="left"/>
              <w:rPr>
                <w:sz w:val="7"/>
              </w:rPr>
            </w:pPr>
          </w:p>
          <w:p>
            <w:pPr>
              <w:pStyle w:val="TableParagraph"/>
              <w:spacing w:before="1"/>
              <w:ind w:right="-8"/>
              <w:jc w:val="right"/>
              <w:rPr>
                <w:rFonts w:ascii="Calibri"/>
                <w:b/>
                <w:sz w:val="6"/>
              </w:rPr>
            </w:pPr>
            <w:r>
              <w:rPr>
                <w:rFonts w:ascii="Calibri"/>
                <w:b/>
                <w:w w:val="105"/>
                <w:sz w:val="6"/>
              </w:rPr>
              <w:t>Valo</w:t>
            </w:r>
          </w:p>
        </w:tc>
        <w:tc>
          <w:tcPr>
            <w:tcW w:w="345" w:type="dxa"/>
            <w:tcBorders>
              <w:left w:val="single" w:sz="2" w:space="0" w:color="D3D3D3"/>
              <w:right w:val="single" w:sz="2" w:space="0" w:color="D3D3D3"/>
            </w:tcBorders>
          </w:tcPr>
          <w:p>
            <w:pPr>
              <w:pStyle w:val="TableParagraph"/>
              <w:jc w:val="left"/>
              <w:rPr>
                <w:sz w:val="6"/>
              </w:rPr>
            </w:pPr>
          </w:p>
          <w:p>
            <w:pPr>
              <w:pStyle w:val="TableParagraph"/>
              <w:jc w:val="left"/>
              <w:rPr>
                <w:sz w:val="6"/>
              </w:rPr>
            </w:pPr>
          </w:p>
          <w:p>
            <w:pPr>
              <w:pStyle w:val="TableParagraph"/>
              <w:spacing w:before="2"/>
              <w:jc w:val="left"/>
              <w:rPr>
                <w:sz w:val="7"/>
              </w:rPr>
            </w:pPr>
          </w:p>
          <w:p>
            <w:pPr>
              <w:pStyle w:val="TableParagraph"/>
              <w:spacing w:before="1"/>
              <w:ind w:left="4"/>
              <w:jc w:val="left"/>
              <w:rPr>
                <w:rFonts w:ascii="Calibri"/>
                <w:b/>
                <w:sz w:val="6"/>
              </w:rPr>
            </w:pPr>
            <w:r>
              <w:rPr>
                <w:rFonts w:ascii="Calibri"/>
                <w:b/>
                <w:w w:val="105"/>
                <w:sz w:val="6"/>
              </w:rPr>
              <w:t>res</w:t>
            </w:r>
          </w:p>
        </w:tc>
        <w:tc>
          <w:tcPr>
            <w:tcW w:w="346" w:type="dxa"/>
            <w:tcBorders>
              <w:left w:val="single" w:sz="2" w:space="0" w:color="D3D3D3"/>
              <w:right w:val="single" w:sz="2" w:space="0" w:color="D3D3D3"/>
            </w:tcBorders>
          </w:tcPr>
          <w:p>
            <w:pPr/>
          </w:p>
        </w:tc>
        <w:tc>
          <w:tcPr>
            <w:tcW w:w="89" w:type="dxa"/>
            <w:vMerge w:val="restart"/>
          </w:tcPr>
          <w:p>
            <w:pPr/>
          </w:p>
        </w:tc>
      </w:tr>
      <w:tr>
        <w:trPr>
          <w:trHeight w:val="82"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Style w:val="TableParagraph"/>
              <w:spacing w:line="65" w:lineRule="exact"/>
              <w:ind w:left="52"/>
              <w:jc w:val="left"/>
              <w:rPr>
                <w:rFonts w:ascii="Calibri"/>
                <w:sz w:val="6"/>
              </w:rPr>
            </w:pPr>
            <w:r>
              <w:rPr>
                <w:rFonts w:ascii="Calibri"/>
                <w:w w:val="105"/>
                <w:sz w:val="6"/>
              </w:rPr>
              <w:t>1 Uso de suelo</w:t>
            </w:r>
          </w:p>
        </w:tc>
        <w:tc>
          <w:tcPr>
            <w:tcW w:w="1240" w:type="dxa"/>
            <w:tcBorders>
              <w:left w:val="single" w:sz="2" w:space="0" w:color="D3D3D3"/>
              <w:right w:val="single" w:sz="2" w:space="0" w:color="D3D3D3"/>
            </w:tcBorders>
          </w:tcPr>
          <w:p>
            <w:pPr>
              <w:pStyle w:val="TableParagraph"/>
              <w:spacing w:line="65" w:lineRule="exact"/>
              <w:ind w:left="8"/>
              <w:jc w:val="left"/>
              <w:rPr>
                <w:rFonts w:ascii="Calibri" w:hAnsi="Calibri"/>
                <w:sz w:val="6"/>
              </w:rPr>
            </w:pPr>
            <w:r>
              <w:rPr>
                <w:rFonts w:ascii="Calibri" w:hAnsi="Calibri"/>
                <w:w w:val="105"/>
                <w:sz w:val="6"/>
              </w:rPr>
              <w:t>Clasificación del suelo</w:t>
            </w:r>
          </w:p>
        </w:tc>
        <w:tc>
          <w:tcPr>
            <w:tcW w:w="2344" w:type="dxa"/>
            <w:tcBorders>
              <w:left w:val="single" w:sz="2" w:space="0" w:color="D3D3D3"/>
              <w:right w:val="single" w:sz="2" w:space="0" w:color="D3D3D3"/>
            </w:tcBorders>
          </w:tcPr>
          <w:p>
            <w:pPr>
              <w:pStyle w:val="TableParagraph"/>
              <w:spacing w:line="65" w:lineRule="exact"/>
              <w:ind w:left="8"/>
              <w:jc w:val="left"/>
              <w:rPr>
                <w:rFonts w:ascii="Calibri" w:hAnsi="Calibri"/>
                <w:sz w:val="6"/>
              </w:rPr>
            </w:pPr>
            <w:r>
              <w:rPr>
                <w:rFonts w:ascii="Calibri" w:hAnsi="Calibri"/>
                <w:w w:val="105"/>
                <w:sz w:val="6"/>
              </w:rPr>
              <w:t>¿La clasificación del suelo del CU es congruente con la zona?</w:t>
            </w:r>
          </w:p>
        </w:tc>
        <w:tc>
          <w:tcPr>
            <w:tcW w:w="977" w:type="dxa"/>
            <w:tcBorders>
              <w:left w:val="single" w:sz="2" w:space="0" w:color="D3D3D3"/>
              <w:right w:val="single" w:sz="2" w:space="0" w:color="D3D3D3"/>
            </w:tcBorders>
            <w:shd w:val="clear" w:color="auto" w:fill="BAF9F5"/>
          </w:tcPr>
          <w:p>
            <w:pPr>
              <w:pStyle w:val="TableParagraph"/>
              <w:spacing w:line="65" w:lineRule="exact"/>
              <w:ind w:left="410" w:right="406"/>
              <w:rPr>
                <w:rFonts w:ascii="Calibri"/>
                <w:sz w:val="6"/>
              </w:rPr>
            </w:pPr>
            <w:r>
              <w:rPr>
                <w:rFonts w:ascii="Calibri"/>
                <w:w w:val="105"/>
                <w:sz w:val="6"/>
              </w:rPr>
              <w:t>Si</w:t>
            </w:r>
          </w:p>
        </w:tc>
        <w:tc>
          <w:tcPr>
            <w:tcW w:w="1449" w:type="dxa"/>
            <w:tcBorders>
              <w:left w:val="single" w:sz="2" w:space="0" w:color="D3D3D3"/>
            </w:tcBorders>
            <w:shd w:val="clear" w:color="auto" w:fill="BAF9F5"/>
          </w:tcPr>
          <w:p>
            <w:pPr>
              <w:pStyle w:val="TableParagraph"/>
              <w:spacing w:line="65" w:lineRule="exact"/>
              <w:ind w:left="536" w:right="533"/>
              <w:rPr>
                <w:rFonts w:ascii="Calibri"/>
                <w:sz w:val="6"/>
              </w:rPr>
            </w:pPr>
            <w:r>
              <w:rPr>
                <w:rFonts w:ascii="Calibri"/>
                <w:w w:val="105"/>
                <w:sz w:val="6"/>
              </w:rPr>
              <w:t>Parcialmente</w:t>
            </w:r>
          </w:p>
        </w:tc>
        <w:tc>
          <w:tcPr>
            <w:tcW w:w="1512" w:type="dxa"/>
            <w:shd w:val="clear" w:color="auto" w:fill="BAF9F5"/>
          </w:tcPr>
          <w:p>
            <w:pPr>
              <w:pStyle w:val="TableParagraph"/>
              <w:spacing w:line="65" w:lineRule="exact"/>
              <w:ind w:left="612" w:right="608"/>
              <w:rPr>
                <w:rFonts w:ascii="Calibri"/>
                <w:sz w:val="6"/>
              </w:rPr>
            </w:pPr>
            <w:r>
              <w:rPr>
                <w:rFonts w:ascii="Calibri"/>
                <w:w w:val="105"/>
                <w:sz w:val="6"/>
              </w:rPr>
              <w:t>No</w:t>
            </w:r>
          </w:p>
        </w:tc>
        <w:tc>
          <w:tcPr>
            <w:tcW w:w="652" w:type="dxa"/>
            <w:tcBorders>
              <w:right w:val="single" w:sz="2" w:space="0" w:color="D3D3D3"/>
            </w:tcBorders>
            <w:shd w:val="clear" w:color="auto" w:fill="BAF9F5"/>
          </w:tcPr>
          <w:p>
            <w:pPr>
              <w:pStyle w:val="TableParagraph"/>
              <w:spacing w:line="65" w:lineRule="exact"/>
              <w:ind w:left="133" w:right="131"/>
              <w:rPr>
                <w:rFonts w:ascii="Calibri"/>
                <w:sz w:val="6"/>
              </w:rPr>
            </w:pPr>
            <w:r>
              <w:rPr>
                <w:rFonts w:ascii="Calibri"/>
                <w:w w:val="105"/>
                <w:sz w:val="6"/>
              </w:rPr>
              <w:t>Comentarios:</w:t>
            </w:r>
          </w:p>
        </w:tc>
        <w:tc>
          <w:tcPr>
            <w:tcW w:w="582" w:type="dxa"/>
            <w:tcBorders>
              <w:left w:val="single" w:sz="2" w:space="0" w:color="D3D3D3"/>
              <w:right w:val="single" w:sz="2" w:space="0" w:color="D3D3D3"/>
            </w:tcBorders>
            <w:shd w:val="clear" w:color="auto" w:fill="BAF9F5"/>
          </w:tcPr>
          <w:p>
            <w:pPr/>
          </w:p>
        </w:tc>
        <w:tc>
          <w:tcPr>
            <w:tcW w:w="1105" w:type="dxa"/>
            <w:tcBorders>
              <w:left w:val="single" w:sz="2" w:space="0" w:color="D3D3D3"/>
              <w:right w:val="single" w:sz="15" w:space="0" w:color="FFFFFF"/>
            </w:tcBorders>
            <w:shd w:val="clear" w:color="auto" w:fill="BAF9F5"/>
          </w:tcPr>
          <w:p>
            <w:pPr/>
          </w:p>
        </w:tc>
        <w:tc>
          <w:tcPr>
            <w:tcW w:w="485" w:type="dxa"/>
            <w:tcBorders>
              <w:left w:val="single" w:sz="15" w:space="0" w:color="FFFFFF"/>
              <w:right w:val="single" w:sz="2" w:space="0" w:color="D3D3D3"/>
            </w:tcBorders>
            <w:shd w:val="clear" w:color="auto" w:fill="BAF9F5"/>
          </w:tcPr>
          <w:p>
            <w:pPr>
              <w:pStyle w:val="TableParagraph"/>
              <w:spacing w:line="65" w:lineRule="exact"/>
              <w:ind w:left="76" w:right="72"/>
              <w:rPr>
                <w:rFonts w:ascii="Calibri" w:hAnsi="Calibri"/>
                <w:sz w:val="6"/>
              </w:rPr>
            </w:pPr>
            <w:r>
              <w:rPr>
                <w:rFonts w:ascii="Calibri" w:hAnsi="Calibri"/>
                <w:w w:val="105"/>
                <w:sz w:val="6"/>
              </w:rPr>
              <w:t>Evaluación</w:t>
            </w:r>
          </w:p>
        </w:tc>
        <w:tc>
          <w:tcPr>
            <w:tcW w:w="346" w:type="dxa"/>
            <w:tcBorders>
              <w:left w:val="single" w:sz="2" w:space="0" w:color="D3D3D3"/>
              <w:right w:val="single" w:sz="2" w:space="0" w:color="D3D3D3"/>
            </w:tcBorders>
          </w:tcPr>
          <w:p>
            <w:pPr>
              <w:pStyle w:val="TableParagraph"/>
              <w:spacing w:line="65" w:lineRule="exact"/>
              <w:ind w:left="114"/>
              <w:jc w:val="left"/>
              <w:rPr>
                <w:rFonts w:ascii="Calibri"/>
                <w:sz w:val="6"/>
              </w:rPr>
            </w:pPr>
            <w:r>
              <w:rPr>
                <w:rFonts w:ascii="Calibri"/>
                <w:w w:val="105"/>
                <w:sz w:val="6"/>
              </w:rPr>
              <w:t>Real</w:t>
            </w:r>
          </w:p>
        </w:tc>
        <w:tc>
          <w:tcPr>
            <w:tcW w:w="345" w:type="dxa"/>
            <w:tcBorders>
              <w:left w:val="single" w:sz="2" w:space="0" w:color="D3D3D3"/>
              <w:right w:val="single" w:sz="2" w:space="0" w:color="D3D3D3"/>
            </w:tcBorders>
            <w:shd w:val="clear" w:color="auto" w:fill="BAF9F5"/>
          </w:tcPr>
          <w:p>
            <w:pPr>
              <w:pStyle w:val="TableParagraph"/>
              <w:spacing w:line="65" w:lineRule="exact"/>
              <w:ind w:left="51"/>
              <w:jc w:val="left"/>
              <w:rPr>
                <w:rFonts w:ascii="Calibri"/>
                <w:sz w:val="6"/>
              </w:rPr>
            </w:pPr>
            <w:r>
              <w:rPr>
                <w:rFonts w:ascii="Calibri"/>
                <w:w w:val="105"/>
                <w:sz w:val="6"/>
              </w:rPr>
              <w:t>Deseable</w:t>
            </w:r>
          </w:p>
        </w:tc>
        <w:tc>
          <w:tcPr>
            <w:tcW w:w="346" w:type="dxa"/>
            <w:tcBorders>
              <w:left w:val="single" w:sz="2" w:space="0" w:color="D3D3D3"/>
              <w:right w:val="single" w:sz="2" w:space="0" w:color="D3D3D3"/>
            </w:tcBorders>
            <w:shd w:val="clear" w:color="auto" w:fill="BAF9F5"/>
          </w:tcPr>
          <w:p>
            <w:pPr>
              <w:pStyle w:val="TableParagraph"/>
              <w:spacing w:line="65" w:lineRule="exact"/>
              <w:ind w:left="57" w:right="50"/>
              <w:rPr>
                <w:rFonts w:ascii="Calibri" w:hAnsi="Calibri"/>
                <w:sz w:val="6"/>
              </w:rPr>
            </w:pPr>
            <w:r>
              <w:rPr>
                <w:rFonts w:ascii="Calibri" w:hAnsi="Calibri"/>
                <w:w w:val="105"/>
                <w:sz w:val="6"/>
              </w:rPr>
              <w:t>Óptimo</w:t>
            </w:r>
          </w:p>
        </w:tc>
        <w:tc>
          <w:tcPr>
            <w:tcW w:w="89" w:type="dxa"/>
            <w:vMerge/>
          </w:tcPr>
          <w:p>
            <w:pPr/>
          </w:p>
        </w:tc>
      </w:tr>
      <w:tr>
        <w:trPr>
          <w:trHeight w:val="63"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1512" w:type="dxa"/>
            <w:shd w:val="clear" w:color="auto" w:fill="BAF9F5"/>
          </w:tcPr>
          <w:p>
            <w:pPr/>
          </w:p>
        </w:tc>
        <w:tc>
          <w:tcPr>
            <w:tcW w:w="652" w:type="dxa"/>
            <w:shd w:val="clear" w:color="auto" w:fill="BAF9F5"/>
          </w:tcPr>
          <w:p>
            <w:pPr/>
          </w:p>
        </w:tc>
        <w:tc>
          <w:tcPr>
            <w:tcW w:w="582"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5" w:type="dxa"/>
            <w:shd w:val="clear" w:color="auto" w:fill="BAF9F5"/>
          </w:tcPr>
          <w:p>
            <w:pPr/>
          </w:p>
        </w:tc>
        <w:tc>
          <w:tcPr>
            <w:tcW w:w="346" w:type="dxa"/>
            <w:shd w:val="clear" w:color="auto" w:fill="BAF9F5"/>
          </w:tcPr>
          <w:p>
            <w:pPr/>
          </w:p>
        </w:tc>
        <w:tc>
          <w:tcPr>
            <w:tcW w:w="89" w:type="dxa"/>
          </w:tcPr>
          <w:p>
            <w:pPr/>
          </w:p>
        </w:tc>
      </w:tr>
      <w:tr>
        <w:trPr>
          <w:trHeight w:val="102"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Style w:val="TableParagraph"/>
              <w:spacing w:before="49"/>
              <w:ind w:left="8"/>
              <w:jc w:val="left"/>
              <w:rPr>
                <w:rFonts w:ascii="Calibri" w:hAnsi="Calibri"/>
                <w:sz w:val="6"/>
              </w:rPr>
            </w:pPr>
            <w:r>
              <w:rPr>
                <w:rFonts w:ascii="Calibri" w:hAnsi="Calibri"/>
                <w:w w:val="105"/>
                <w:sz w:val="6"/>
              </w:rPr>
              <w:t>Densidad de población</w:t>
            </w:r>
          </w:p>
        </w:tc>
        <w:tc>
          <w:tcPr>
            <w:tcW w:w="2344" w:type="dxa"/>
            <w:tcBorders>
              <w:left w:val="single" w:sz="2" w:space="0" w:color="D3D3D3"/>
              <w:right w:val="single" w:sz="2" w:space="0" w:color="D3D3D3"/>
            </w:tcBorders>
          </w:tcPr>
          <w:p>
            <w:pPr>
              <w:pStyle w:val="TableParagraph"/>
              <w:spacing w:before="49"/>
              <w:ind w:left="8"/>
              <w:jc w:val="left"/>
              <w:rPr>
                <w:rFonts w:ascii="Calibri" w:hAnsi="Calibri"/>
                <w:sz w:val="6"/>
              </w:rPr>
            </w:pPr>
            <w:r>
              <w:rPr>
                <w:rFonts w:ascii="Calibri" w:hAnsi="Calibri"/>
                <w:w w:val="105"/>
                <w:sz w:val="6"/>
              </w:rPr>
              <w:t>¿La densidad de población del CU es congruente con la autorización?</w:t>
            </w:r>
          </w:p>
        </w:tc>
        <w:tc>
          <w:tcPr>
            <w:tcW w:w="977"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3"/>
              <w:rPr>
                <w:rFonts w:ascii="Calibri"/>
                <w:sz w:val="6"/>
              </w:rPr>
            </w:pPr>
            <w:r>
              <w:rPr>
                <w:rFonts w:ascii="Calibri"/>
                <w:w w:val="104"/>
                <w:sz w:val="6"/>
              </w:rPr>
              <w:t>1</w:t>
            </w:r>
          </w:p>
          <w:p>
            <w:pPr>
              <w:pStyle w:val="TableParagraph"/>
              <w:spacing w:before="6"/>
              <w:ind w:left="361" w:right="357"/>
              <w:rPr>
                <w:rFonts w:ascii="Calibri"/>
                <w:sz w:val="6"/>
              </w:rPr>
            </w:pPr>
            <w:r>
              <w:rPr>
                <w:rFonts w:ascii="Calibri"/>
                <w:w w:val="105"/>
                <w:sz w:val="6"/>
              </w:rPr>
              <w:t>Si</w:t>
            </w:r>
          </w:p>
        </w:tc>
        <w:tc>
          <w:tcPr>
            <w:tcW w:w="1449" w:type="dxa"/>
            <w:tcBorders>
              <w:top w:val="single" w:sz="35" w:space="0" w:color="BAF9F5"/>
              <w:left w:val="single" w:sz="2" w:space="0" w:color="D3D3D3"/>
              <w:bottom w:val="single" w:sz="35" w:space="0" w:color="808080"/>
              <w:right w:val="single" w:sz="2" w:space="0" w:color="D3D3D3"/>
            </w:tcBorders>
          </w:tcPr>
          <w:p>
            <w:pPr>
              <w:pStyle w:val="TableParagraph"/>
              <w:spacing w:line="3" w:lineRule="exact"/>
              <w:ind w:left="506" w:right="504"/>
              <w:rPr>
                <w:rFonts w:ascii="Calibri"/>
                <w:sz w:val="6"/>
              </w:rPr>
            </w:pPr>
            <w:r>
              <w:rPr>
                <w:rFonts w:ascii="Calibri"/>
                <w:w w:val="105"/>
                <w:sz w:val="6"/>
              </w:rPr>
              <w:t>0.5</w:t>
            </w:r>
          </w:p>
          <w:p>
            <w:pPr>
              <w:pStyle w:val="TableParagraph"/>
              <w:spacing w:before="6"/>
              <w:ind w:left="509" w:right="504"/>
              <w:rPr>
                <w:rFonts w:ascii="Calibri"/>
                <w:sz w:val="6"/>
              </w:rPr>
            </w:pPr>
            <w:r>
              <w:rPr>
                <w:rFonts w:ascii="Calibri"/>
                <w:w w:val="105"/>
                <w:sz w:val="6"/>
              </w:rPr>
              <w:t>Parcialmente</w:t>
            </w:r>
          </w:p>
        </w:tc>
        <w:tc>
          <w:tcPr>
            <w:tcW w:w="1512"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2"/>
              <w:rPr>
                <w:rFonts w:ascii="Calibri"/>
                <w:sz w:val="6"/>
              </w:rPr>
            </w:pPr>
            <w:r>
              <w:rPr>
                <w:rFonts w:ascii="Calibri"/>
                <w:w w:val="104"/>
                <w:sz w:val="6"/>
              </w:rPr>
              <w:t>0</w:t>
            </w:r>
          </w:p>
          <w:p>
            <w:pPr>
              <w:pStyle w:val="TableParagraph"/>
              <w:spacing w:before="6"/>
              <w:ind w:left="661" w:right="659"/>
              <w:rPr>
                <w:rFonts w:ascii="Calibri"/>
                <w:sz w:val="6"/>
              </w:rPr>
            </w:pPr>
            <w:r>
              <w:rPr>
                <w:rFonts w:ascii="Calibri"/>
                <w:w w:val="105"/>
                <w:sz w:val="6"/>
              </w:rPr>
              <w:t>No</w:t>
            </w:r>
          </w:p>
        </w:tc>
        <w:tc>
          <w:tcPr>
            <w:tcW w:w="652" w:type="dxa"/>
            <w:tcBorders>
              <w:top w:val="single" w:sz="35" w:space="0" w:color="BAF9F5"/>
              <w:left w:val="single" w:sz="2" w:space="0" w:color="D3D3D3"/>
              <w:bottom w:val="single" w:sz="35" w:space="0" w:color="BAF9F5"/>
              <w:right w:val="single" w:sz="2" w:space="0" w:color="D3D3D3"/>
            </w:tcBorders>
          </w:tcPr>
          <w:p>
            <w:pPr/>
          </w:p>
        </w:tc>
        <w:tc>
          <w:tcPr>
            <w:tcW w:w="582" w:type="dxa"/>
            <w:tcBorders>
              <w:top w:val="single" w:sz="35" w:space="0" w:color="BAF9F5"/>
              <w:left w:val="single" w:sz="2" w:space="0" w:color="D3D3D3"/>
              <w:bottom w:val="single" w:sz="35" w:space="0" w:color="BAF9F5"/>
              <w:right w:val="single" w:sz="2" w:space="0" w:color="D3D3D3"/>
            </w:tcBorders>
          </w:tcPr>
          <w:p>
            <w:pPr/>
          </w:p>
        </w:tc>
        <w:tc>
          <w:tcPr>
            <w:tcW w:w="1105" w:type="dxa"/>
            <w:tcBorders>
              <w:top w:val="single" w:sz="35" w:space="0" w:color="BAF9F5"/>
              <w:left w:val="single" w:sz="2" w:space="0" w:color="D3D3D3"/>
              <w:bottom w:val="single" w:sz="35" w:space="0" w:color="BAF9F5"/>
              <w:right w:val="single" w:sz="15" w:space="0" w:color="FFFFFF"/>
            </w:tcBorders>
          </w:tcPr>
          <w:p>
            <w:pPr/>
          </w:p>
        </w:tc>
        <w:tc>
          <w:tcPr>
            <w:tcW w:w="485" w:type="dxa"/>
            <w:tcBorders>
              <w:top w:val="single" w:sz="35" w:space="0" w:color="BAF9F5"/>
              <w:left w:val="single" w:sz="15" w:space="0" w:color="FFFFFF"/>
              <w:bottom w:val="single" w:sz="35" w:space="0" w:color="BAF9F5"/>
              <w:right w:val="single" w:sz="2" w:space="0" w:color="D3D3D3"/>
            </w:tcBorders>
          </w:tcPr>
          <w:p>
            <w:pPr>
              <w:pStyle w:val="TableParagraph"/>
              <w:spacing w:line="3" w:lineRule="exact"/>
              <w:ind w:left="4"/>
              <w:rPr>
                <w:rFonts w:ascii="Calibri"/>
                <w:sz w:val="6"/>
              </w:rPr>
            </w:pPr>
            <w:r>
              <w:rPr>
                <w:rFonts w:ascii="Calibri"/>
                <w:w w:val="104"/>
                <w:sz w:val="6"/>
              </w:rPr>
              <w:t>0</w:t>
            </w:r>
          </w:p>
        </w:tc>
        <w:tc>
          <w:tcPr>
            <w:tcW w:w="346" w:type="dxa"/>
            <w:tcBorders>
              <w:left w:val="single" w:sz="2" w:space="0" w:color="D3D3D3"/>
              <w:right w:val="single" w:sz="2" w:space="0" w:color="D3D3D3"/>
            </w:tcBorders>
          </w:tcPr>
          <w:p>
            <w:pPr/>
          </w:p>
        </w:tc>
        <w:tc>
          <w:tcPr>
            <w:tcW w:w="345"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112" w:right="106"/>
              <w:rPr>
                <w:rFonts w:ascii="Calibri"/>
                <w:sz w:val="6"/>
              </w:rPr>
            </w:pPr>
            <w:r>
              <w:rPr>
                <w:rFonts w:ascii="Calibri"/>
                <w:w w:val="105"/>
                <w:sz w:val="6"/>
              </w:rPr>
              <w:t>0.5</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808080"/>
          </w:tcPr>
          <w:p>
            <w:pPr/>
          </w:p>
        </w:tc>
        <w:tc>
          <w:tcPr>
            <w:tcW w:w="1512" w:type="dxa"/>
            <w:shd w:val="clear" w:color="auto" w:fill="BAF9F5"/>
          </w:tcPr>
          <w:p>
            <w:pPr/>
          </w:p>
        </w:tc>
        <w:tc>
          <w:tcPr>
            <w:tcW w:w="652" w:type="dxa"/>
            <w:shd w:val="clear" w:color="auto" w:fill="BAF9F5"/>
          </w:tcPr>
          <w:p>
            <w:pPr/>
          </w:p>
        </w:tc>
        <w:tc>
          <w:tcPr>
            <w:tcW w:w="582"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5" w:type="dxa"/>
            <w:shd w:val="clear" w:color="auto" w:fill="BAF9F5"/>
          </w:tcPr>
          <w:p>
            <w:pPr/>
          </w:p>
        </w:tc>
        <w:tc>
          <w:tcPr>
            <w:tcW w:w="346" w:type="dxa"/>
            <w:shd w:val="clear" w:color="auto" w:fill="BAF9F5"/>
          </w:tcPr>
          <w:p>
            <w:pPr/>
          </w:p>
        </w:tc>
        <w:tc>
          <w:tcPr>
            <w:tcW w:w="89" w:type="dxa"/>
          </w:tcPr>
          <w:p>
            <w:pPr/>
          </w:p>
        </w:tc>
      </w:tr>
      <w:tr>
        <w:trPr>
          <w:trHeight w:val="85" w:hRule="exact"/>
        </w:trPr>
        <w:tc>
          <w:tcPr>
            <w:tcW w:w="346" w:type="dxa"/>
            <w:tcBorders>
              <w:right w:val="single" w:sz="2" w:space="0" w:color="D3D3D3"/>
            </w:tcBorders>
          </w:tcPr>
          <w:p>
            <w:pPr/>
          </w:p>
        </w:tc>
        <w:tc>
          <w:tcPr>
            <w:tcW w:w="1182" w:type="dxa"/>
            <w:tcBorders>
              <w:left w:val="single" w:sz="2" w:space="0" w:color="D3D3D3"/>
              <w:bottom w:val="single" w:sz="2" w:space="0" w:color="D3D3D3"/>
              <w:right w:val="single" w:sz="2" w:space="0" w:color="D3D3D3"/>
            </w:tcBorders>
          </w:tcPr>
          <w:p>
            <w:pPr/>
          </w:p>
        </w:tc>
        <w:tc>
          <w:tcPr>
            <w:tcW w:w="1240" w:type="dxa"/>
            <w:tcBorders>
              <w:left w:val="single" w:sz="2" w:space="0" w:color="D3D3D3"/>
              <w:bottom w:val="single" w:sz="2" w:space="0" w:color="D3D3D3"/>
              <w:right w:val="single" w:sz="2" w:space="0" w:color="D3D3D3"/>
            </w:tcBorders>
          </w:tcPr>
          <w:p>
            <w:pPr/>
          </w:p>
        </w:tc>
        <w:tc>
          <w:tcPr>
            <w:tcW w:w="2344" w:type="dxa"/>
            <w:tcBorders>
              <w:left w:val="single" w:sz="2" w:space="0" w:color="D3D3D3"/>
              <w:bottom w:val="single" w:sz="2" w:space="0" w:color="D3D3D3"/>
              <w:right w:val="single" w:sz="2" w:space="0" w:color="D3D3D3"/>
            </w:tcBorders>
          </w:tcPr>
          <w:p>
            <w:pPr/>
          </w:p>
        </w:tc>
        <w:tc>
          <w:tcPr>
            <w:tcW w:w="977"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3"/>
              <w:rPr>
                <w:rFonts w:ascii="Calibri"/>
                <w:sz w:val="6"/>
              </w:rPr>
            </w:pPr>
            <w:r>
              <w:rPr>
                <w:rFonts w:ascii="Calibri"/>
                <w:w w:val="104"/>
                <w:sz w:val="6"/>
              </w:rPr>
              <w:t>1</w:t>
            </w:r>
          </w:p>
        </w:tc>
        <w:tc>
          <w:tcPr>
            <w:tcW w:w="1449" w:type="dxa"/>
            <w:tcBorders>
              <w:left w:val="single" w:sz="2" w:space="0" w:color="D3D3D3"/>
              <w:bottom w:val="single" w:sz="2" w:space="0" w:color="D3D3D3"/>
              <w:right w:val="single" w:sz="2" w:space="0" w:color="D3D3D3"/>
            </w:tcBorders>
            <w:shd w:val="clear" w:color="auto" w:fill="808080"/>
          </w:tcPr>
          <w:p>
            <w:pPr>
              <w:pStyle w:val="TableParagraph"/>
              <w:spacing w:line="41" w:lineRule="exact"/>
              <w:ind w:left="644" w:right="642"/>
              <w:rPr>
                <w:rFonts w:ascii="Calibri"/>
                <w:sz w:val="6"/>
              </w:rPr>
            </w:pPr>
            <w:r>
              <w:rPr>
                <w:rFonts w:ascii="Calibri"/>
                <w:w w:val="105"/>
                <w:sz w:val="6"/>
              </w:rPr>
              <w:t>0.5</w:t>
            </w:r>
          </w:p>
        </w:tc>
        <w:tc>
          <w:tcPr>
            <w:tcW w:w="1512"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2"/>
              <w:rPr>
                <w:rFonts w:ascii="Calibri"/>
                <w:sz w:val="6"/>
              </w:rPr>
            </w:pPr>
            <w:r>
              <w:rPr>
                <w:rFonts w:ascii="Calibri"/>
                <w:w w:val="104"/>
                <w:sz w:val="6"/>
              </w:rPr>
              <w:t>0</w:t>
            </w:r>
          </w:p>
        </w:tc>
        <w:tc>
          <w:tcPr>
            <w:tcW w:w="652" w:type="dxa"/>
            <w:tcBorders>
              <w:left w:val="single" w:sz="2" w:space="0" w:color="D3D3D3"/>
              <w:bottom w:val="single" w:sz="2" w:space="0" w:color="D3D3D3"/>
              <w:right w:val="single" w:sz="2" w:space="0" w:color="D3D3D3"/>
            </w:tcBorders>
            <w:shd w:val="clear" w:color="auto" w:fill="BAF9F5"/>
          </w:tcPr>
          <w:p>
            <w:pPr/>
          </w:p>
        </w:tc>
        <w:tc>
          <w:tcPr>
            <w:tcW w:w="582" w:type="dxa"/>
            <w:tcBorders>
              <w:left w:val="single" w:sz="2" w:space="0" w:color="D3D3D3"/>
              <w:bottom w:val="single" w:sz="2" w:space="0" w:color="D3D3D3"/>
              <w:right w:val="single" w:sz="2" w:space="0" w:color="D3D3D3"/>
            </w:tcBorders>
            <w:shd w:val="clear" w:color="auto" w:fill="BAF9F5"/>
          </w:tcPr>
          <w:p>
            <w:pPr/>
          </w:p>
        </w:tc>
        <w:tc>
          <w:tcPr>
            <w:tcW w:w="1105" w:type="dxa"/>
            <w:tcBorders>
              <w:left w:val="single" w:sz="2" w:space="0" w:color="D3D3D3"/>
              <w:bottom w:val="single" w:sz="2" w:space="0" w:color="D3D3D3"/>
              <w:right w:val="single" w:sz="15" w:space="0" w:color="FFFFFF"/>
            </w:tcBorders>
            <w:shd w:val="clear" w:color="auto" w:fill="BAF9F5"/>
          </w:tcPr>
          <w:p>
            <w:pPr/>
          </w:p>
        </w:tc>
        <w:tc>
          <w:tcPr>
            <w:tcW w:w="485" w:type="dxa"/>
            <w:tcBorders>
              <w:left w:val="single" w:sz="15" w:space="0" w:color="FFFFFF"/>
              <w:bottom w:val="single" w:sz="2" w:space="0" w:color="D3D3D3"/>
            </w:tcBorders>
            <w:shd w:val="clear" w:color="auto" w:fill="BAF9F5"/>
          </w:tcPr>
          <w:p>
            <w:pPr>
              <w:pStyle w:val="TableParagraph"/>
              <w:spacing w:line="41" w:lineRule="exact"/>
              <w:ind w:left="105" w:right="104"/>
              <w:rPr>
                <w:rFonts w:ascii="Calibri"/>
                <w:sz w:val="6"/>
              </w:rPr>
            </w:pPr>
            <w:r>
              <w:rPr>
                <w:rFonts w:ascii="Calibri"/>
                <w:w w:val="105"/>
                <w:sz w:val="6"/>
              </w:rPr>
              <w:t>0.5</w:t>
            </w:r>
          </w:p>
          <w:p>
            <w:pPr>
              <w:pStyle w:val="TableParagraph"/>
              <w:spacing w:before="9"/>
              <w:ind w:left="107" w:right="104"/>
              <w:rPr>
                <w:rFonts w:ascii="Calibri"/>
                <w:sz w:val="6"/>
              </w:rPr>
            </w:pPr>
            <w:r>
              <w:rPr>
                <w:rFonts w:ascii="Calibri"/>
                <w:w w:val="105"/>
                <w:sz w:val="6"/>
              </w:rPr>
              <w:t>Subtotal</w:t>
            </w:r>
          </w:p>
        </w:tc>
        <w:tc>
          <w:tcPr>
            <w:tcW w:w="346" w:type="dxa"/>
            <w:shd w:val="clear" w:color="auto" w:fill="F79646"/>
          </w:tcPr>
          <w:p>
            <w:pPr>
              <w:pStyle w:val="TableParagraph"/>
              <w:spacing w:before="49"/>
              <w:ind w:left="136"/>
              <w:jc w:val="left"/>
              <w:rPr>
                <w:rFonts w:ascii="Calibri"/>
                <w:sz w:val="6"/>
              </w:rPr>
            </w:pPr>
            <w:r>
              <w:rPr>
                <w:rFonts w:ascii="Calibri"/>
                <w:w w:val="105"/>
                <w:sz w:val="6"/>
              </w:rPr>
              <w:t>0.5</w:t>
            </w:r>
          </w:p>
        </w:tc>
        <w:tc>
          <w:tcPr>
            <w:tcW w:w="345" w:type="dxa"/>
            <w:tcBorders>
              <w:top w:val="single" w:sz="35" w:space="0" w:color="BAF9F5"/>
            </w:tcBorders>
            <w:shd w:val="clear" w:color="auto" w:fill="FFFF00"/>
          </w:tcPr>
          <w:p>
            <w:pPr>
              <w:pStyle w:val="TableParagraph"/>
              <w:spacing w:line="2" w:lineRule="exact"/>
              <w:ind w:left="99" w:right="93"/>
              <w:rPr>
                <w:rFonts w:ascii="Calibri"/>
                <w:sz w:val="6"/>
              </w:rPr>
            </w:pPr>
            <w:r>
              <w:rPr>
                <w:rFonts w:ascii="Calibri"/>
                <w:w w:val="105"/>
                <w:sz w:val="6"/>
              </w:rPr>
              <w:t>0.5</w:t>
            </w:r>
          </w:p>
          <w:p>
            <w:pPr>
              <w:pStyle w:val="TableParagraph"/>
              <w:spacing w:before="6"/>
              <w:ind w:left="6"/>
              <w:rPr>
                <w:rFonts w:ascii="Calibri"/>
                <w:sz w:val="6"/>
              </w:rPr>
            </w:pPr>
            <w:r>
              <w:rPr>
                <w:rFonts w:ascii="Calibri"/>
                <w:w w:val="104"/>
                <w:sz w:val="6"/>
              </w:rPr>
              <w:t>1</w:t>
            </w:r>
          </w:p>
        </w:tc>
        <w:tc>
          <w:tcPr>
            <w:tcW w:w="346" w:type="dxa"/>
            <w:tcBorders>
              <w:top w:val="single" w:sz="35" w:space="0" w:color="BAF9F5"/>
            </w:tcBorders>
            <w:shd w:val="clear" w:color="auto" w:fill="67ED4D"/>
          </w:tcPr>
          <w:p>
            <w:pPr>
              <w:pStyle w:val="TableParagraph"/>
              <w:spacing w:line="2" w:lineRule="exact"/>
              <w:ind w:left="6"/>
              <w:rPr>
                <w:rFonts w:ascii="Calibri"/>
                <w:sz w:val="6"/>
              </w:rPr>
            </w:pPr>
            <w:r>
              <w:rPr>
                <w:rFonts w:ascii="Calibri"/>
                <w:w w:val="104"/>
                <w:sz w:val="6"/>
              </w:rPr>
              <w:t>1</w:t>
            </w:r>
          </w:p>
          <w:p>
            <w:pPr>
              <w:pStyle w:val="TableParagraph"/>
              <w:spacing w:before="6"/>
              <w:ind w:left="6"/>
              <w:rPr>
                <w:rFonts w:ascii="Calibri"/>
                <w:sz w:val="6"/>
              </w:rPr>
            </w:pPr>
            <w:r>
              <w:rPr>
                <w:rFonts w:ascii="Calibri"/>
                <w:w w:val="104"/>
                <w:sz w:val="6"/>
              </w:rPr>
              <w:t>2</w:t>
            </w:r>
          </w:p>
        </w:tc>
        <w:tc>
          <w:tcPr>
            <w:tcW w:w="89" w:type="dxa"/>
            <w:tcBorders>
              <w:bottom w:val="single" w:sz="2" w:space="0" w:color="D3D3D3"/>
            </w:tcBorders>
          </w:tcPr>
          <w:p>
            <w:pPr/>
          </w:p>
        </w:tc>
      </w:tr>
      <w:tr>
        <w:trPr>
          <w:trHeight w:val="82" w:hRule="exact"/>
        </w:trPr>
        <w:tc>
          <w:tcPr>
            <w:tcW w:w="346" w:type="dxa"/>
            <w:tcBorders>
              <w:right w:val="single" w:sz="2" w:space="0" w:color="D3D3D3"/>
            </w:tcBorders>
          </w:tcPr>
          <w:p>
            <w:pPr/>
          </w:p>
        </w:tc>
        <w:tc>
          <w:tcPr>
            <w:tcW w:w="1182" w:type="dxa"/>
            <w:tcBorders>
              <w:top w:val="single" w:sz="2" w:space="0" w:color="D3D3D3"/>
              <w:left w:val="single" w:sz="2" w:space="0" w:color="D3D3D3"/>
              <w:bottom w:val="single" w:sz="2" w:space="0" w:color="D3D3D3"/>
              <w:right w:val="single" w:sz="2" w:space="0" w:color="D3D3D3"/>
            </w:tcBorders>
          </w:tcPr>
          <w:p>
            <w:pPr/>
          </w:p>
        </w:tc>
        <w:tc>
          <w:tcPr>
            <w:tcW w:w="1240" w:type="dxa"/>
            <w:tcBorders>
              <w:top w:val="single" w:sz="2" w:space="0" w:color="D3D3D3"/>
              <w:left w:val="single" w:sz="2" w:space="0" w:color="D3D3D3"/>
              <w:bottom w:val="single" w:sz="2" w:space="0" w:color="D3D3D3"/>
              <w:right w:val="single" w:sz="2" w:space="0" w:color="D3D3D3"/>
            </w:tcBorders>
          </w:tcPr>
          <w:p>
            <w:pPr/>
          </w:p>
        </w:tc>
        <w:tc>
          <w:tcPr>
            <w:tcW w:w="2344" w:type="dxa"/>
            <w:tcBorders>
              <w:top w:val="single" w:sz="2" w:space="0" w:color="D3D3D3"/>
              <w:left w:val="single" w:sz="2" w:space="0" w:color="D3D3D3"/>
              <w:bottom w:val="single" w:sz="2" w:space="0" w:color="D3D3D3"/>
              <w:right w:val="single" w:sz="2" w:space="0" w:color="D3D3D3"/>
            </w:tcBorders>
          </w:tcPr>
          <w:p>
            <w:pPr/>
          </w:p>
        </w:tc>
        <w:tc>
          <w:tcPr>
            <w:tcW w:w="977" w:type="dxa"/>
            <w:tcBorders>
              <w:top w:val="single" w:sz="2" w:space="0" w:color="D3D3D3"/>
              <w:left w:val="single" w:sz="2" w:space="0" w:color="D3D3D3"/>
              <w:bottom w:val="single" w:sz="34" w:space="0" w:color="808080"/>
              <w:right w:val="single" w:sz="2" w:space="0" w:color="D3D3D3"/>
            </w:tcBorders>
          </w:tcPr>
          <w:p>
            <w:pPr/>
          </w:p>
        </w:tc>
        <w:tc>
          <w:tcPr>
            <w:tcW w:w="1449" w:type="dxa"/>
            <w:tcBorders>
              <w:top w:val="single" w:sz="2" w:space="0" w:color="D3D3D3"/>
              <w:left w:val="single" w:sz="2" w:space="0" w:color="D3D3D3"/>
              <w:bottom w:val="single" w:sz="2" w:space="0" w:color="D3D3D3"/>
              <w:right w:val="single" w:sz="2" w:space="0" w:color="D3D3D3"/>
            </w:tcBorders>
          </w:tcPr>
          <w:p>
            <w:pPr/>
          </w:p>
        </w:tc>
        <w:tc>
          <w:tcPr>
            <w:tcW w:w="1512" w:type="dxa"/>
            <w:tcBorders>
              <w:top w:val="single" w:sz="2" w:space="0" w:color="D3D3D3"/>
              <w:left w:val="single" w:sz="2" w:space="0" w:color="D3D3D3"/>
              <w:bottom w:val="single" w:sz="2" w:space="0" w:color="D3D3D3"/>
              <w:right w:val="single" w:sz="2" w:space="0" w:color="D3D3D3"/>
            </w:tcBorders>
          </w:tcPr>
          <w:p>
            <w:pPr/>
          </w:p>
        </w:tc>
        <w:tc>
          <w:tcPr>
            <w:tcW w:w="652" w:type="dxa"/>
            <w:tcBorders>
              <w:top w:val="single" w:sz="2" w:space="0" w:color="D3D3D3"/>
              <w:left w:val="single" w:sz="2" w:space="0" w:color="D3D3D3"/>
              <w:bottom w:val="single" w:sz="2" w:space="0" w:color="D3D3D3"/>
              <w:right w:val="single" w:sz="2" w:space="0" w:color="D3D3D3"/>
            </w:tcBorders>
          </w:tcPr>
          <w:p>
            <w:pPr/>
          </w:p>
        </w:tc>
        <w:tc>
          <w:tcPr>
            <w:tcW w:w="582" w:type="dxa"/>
            <w:tcBorders>
              <w:top w:val="single" w:sz="2" w:space="0" w:color="D3D3D3"/>
              <w:left w:val="single" w:sz="2" w:space="0" w:color="D3D3D3"/>
              <w:bottom w:val="single" w:sz="2" w:space="0" w:color="D3D3D3"/>
              <w:right w:val="single" w:sz="2" w:space="0" w:color="D3D3D3"/>
            </w:tcBorders>
          </w:tcPr>
          <w:p>
            <w:pPr/>
          </w:p>
        </w:tc>
        <w:tc>
          <w:tcPr>
            <w:tcW w:w="1105" w:type="dxa"/>
            <w:tcBorders>
              <w:top w:val="single" w:sz="2" w:space="0" w:color="D3D3D3"/>
              <w:left w:val="single" w:sz="2" w:space="0" w:color="D3D3D3"/>
              <w:bottom w:val="single" w:sz="2" w:space="0" w:color="D3D3D3"/>
              <w:right w:val="single" w:sz="15" w:space="0" w:color="FFFFFF"/>
            </w:tcBorders>
          </w:tcPr>
          <w:p>
            <w:pPr/>
          </w:p>
        </w:tc>
        <w:tc>
          <w:tcPr>
            <w:tcW w:w="485" w:type="dxa"/>
            <w:tcBorders>
              <w:top w:val="single" w:sz="2" w:space="0" w:color="D3D3D3"/>
              <w:left w:val="single" w:sz="15" w:space="0" w:color="FFFFFF"/>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345" w:type="dxa"/>
            <w:tcBorders>
              <w:left w:val="single" w:sz="2" w:space="0" w:color="D3D3D3"/>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89" w:type="dxa"/>
            <w:tcBorders>
              <w:top w:val="single" w:sz="2" w:space="0" w:color="D3D3D3"/>
              <w:left w:val="single" w:sz="2" w:space="0" w:color="D3D3D3"/>
              <w:bottom w:val="single" w:sz="2" w:space="0" w:color="D3D3D3"/>
            </w:tcBorders>
          </w:tcPr>
          <w:p>
            <w:pPr/>
          </w:p>
        </w:tc>
      </w:tr>
      <w:tr>
        <w:trPr>
          <w:trHeight w:val="99" w:hRule="exact"/>
        </w:trPr>
        <w:tc>
          <w:tcPr>
            <w:tcW w:w="346" w:type="dxa"/>
            <w:tcBorders>
              <w:right w:val="single" w:sz="2" w:space="0" w:color="D3D3D3"/>
            </w:tcBorders>
          </w:tcPr>
          <w:p>
            <w:pPr/>
          </w:p>
        </w:tc>
        <w:tc>
          <w:tcPr>
            <w:tcW w:w="1182" w:type="dxa"/>
            <w:tcBorders>
              <w:top w:val="single" w:sz="2" w:space="0" w:color="D3D3D3"/>
              <w:left w:val="single" w:sz="2" w:space="0" w:color="D3D3D3"/>
              <w:right w:val="single" w:sz="2" w:space="0" w:color="D3D3D3"/>
            </w:tcBorders>
          </w:tcPr>
          <w:p>
            <w:pPr>
              <w:pStyle w:val="TableParagraph"/>
              <w:spacing w:before="6"/>
              <w:ind w:left="52"/>
              <w:jc w:val="left"/>
              <w:rPr>
                <w:rFonts w:ascii="Calibri"/>
                <w:sz w:val="6"/>
              </w:rPr>
            </w:pPr>
            <w:r>
              <w:rPr>
                <w:rFonts w:ascii="Calibri"/>
                <w:w w:val="105"/>
                <w:sz w:val="6"/>
              </w:rPr>
              <w:t>2 Vivienda</w:t>
            </w:r>
          </w:p>
        </w:tc>
        <w:tc>
          <w:tcPr>
            <w:tcW w:w="1240" w:type="dxa"/>
            <w:tcBorders>
              <w:top w:val="single" w:sz="2" w:space="0" w:color="D3D3D3"/>
              <w:left w:val="single" w:sz="2" w:space="0" w:color="D3D3D3"/>
              <w:right w:val="single" w:sz="2" w:space="0" w:color="D3D3D3"/>
            </w:tcBorders>
          </w:tcPr>
          <w:p>
            <w:pPr>
              <w:pStyle w:val="TableParagraph"/>
              <w:spacing w:before="6"/>
              <w:ind w:left="8"/>
              <w:jc w:val="left"/>
              <w:rPr>
                <w:rFonts w:ascii="Calibri"/>
                <w:sz w:val="6"/>
              </w:rPr>
            </w:pPr>
            <w:r>
              <w:rPr>
                <w:rFonts w:ascii="Calibri"/>
                <w:w w:val="105"/>
                <w:sz w:val="6"/>
              </w:rPr>
              <w:t>Autorizadas</w:t>
            </w:r>
          </w:p>
        </w:tc>
        <w:tc>
          <w:tcPr>
            <w:tcW w:w="2344" w:type="dxa"/>
            <w:tcBorders>
              <w:top w:val="single" w:sz="2" w:space="0" w:color="D3D3D3"/>
              <w:left w:val="single" w:sz="2" w:space="0" w:color="D3D3D3"/>
            </w:tcBorders>
          </w:tcPr>
          <w:p>
            <w:pPr>
              <w:pStyle w:val="TableParagraph"/>
              <w:spacing w:before="6"/>
              <w:ind w:left="8"/>
              <w:jc w:val="left"/>
              <w:rPr>
                <w:rFonts w:ascii="Calibri" w:hAnsi="Calibri"/>
                <w:sz w:val="6"/>
              </w:rPr>
            </w:pPr>
            <w:r>
              <w:rPr>
                <w:rFonts w:ascii="Calibri" w:hAnsi="Calibri"/>
                <w:w w:val="105"/>
                <w:sz w:val="6"/>
              </w:rPr>
              <w:t>¿El número de viviendas autorizadas es congruente con el uso de suelo?</w:t>
            </w:r>
          </w:p>
        </w:tc>
        <w:tc>
          <w:tcPr>
            <w:tcW w:w="977" w:type="dxa"/>
            <w:tcBorders>
              <w:bottom w:val="single" w:sz="35" w:space="0" w:color="BAF9F5"/>
            </w:tcBorders>
            <w:shd w:val="clear" w:color="auto" w:fill="808080"/>
          </w:tcPr>
          <w:p>
            <w:pPr>
              <w:pStyle w:val="TableParagraph"/>
              <w:spacing w:before="8"/>
              <w:ind w:left="342" w:right="338"/>
              <w:rPr>
                <w:rFonts w:ascii="Calibri"/>
                <w:sz w:val="6"/>
              </w:rPr>
            </w:pPr>
            <w:r>
              <w:rPr>
                <w:rFonts w:ascii="Calibri"/>
                <w:w w:val="105"/>
                <w:sz w:val="6"/>
              </w:rPr>
              <w:t>Si</w:t>
            </w:r>
          </w:p>
        </w:tc>
        <w:tc>
          <w:tcPr>
            <w:tcW w:w="1449" w:type="dxa"/>
            <w:tcBorders>
              <w:top w:val="single" w:sz="2" w:space="0" w:color="D3D3D3"/>
              <w:bottom w:val="single" w:sz="35" w:space="0" w:color="BAF9F5"/>
              <w:right w:val="single" w:sz="2" w:space="0" w:color="D3D3D3"/>
            </w:tcBorders>
          </w:tcPr>
          <w:p>
            <w:pPr>
              <w:pStyle w:val="TableParagraph"/>
              <w:spacing w:before="6"/>
              <w:ind w:left="536" w:right="530"/>
              <w:rPr>
                <w:rFonts w:ascii="Calibri"/>
                <w:sz w:val="6"/>
              </w:rPr>
            </w:pPr>
            <w:r>
              <w:rPr>
                <w:rFonts w:ascii="Calibri"/>
                <w:w w:val="105"/>
                <w:sz w:val="6"/>
              </w:rPr>
              <w:t>No</w:t>
            </w:r>
          </w:p>
        </w:tc>
        <w:tc>
          <w:tcPr>
            <w:tcW w:w="1512" w:type="dxa"/>
            <w:tcBorders>
              <w:top w:val="single" w:sz="2" w:space="0" w:color="D3D3D3"/>
              <w:left w:val="single" w:sz="2" w:space="0" w:color="D3D3D3"/>
              <w:bottom w:val="single" w:sz="35" w:space="0" w:color="BAF9F5"/>
              <w:right w:val="single" w:sz="2" w:space="0" w:color="D3D3D3"/>
            </w:tcBorders>
          </w:tcPr>
          <w:p>
            <w:pPr/>
          </w:p>
        </w:tc>
        <w:tc>
          <w:tcPr>
            <w:tcW w:w="652" w:type="dxa"/>
            <w:tcBorders>
              <w:top w:val="single" w:sz="2" w:space="0" w:color="D3D3D3"/>
              <w:left w:val="single" w:sz="2" w:space="0" w:color="D3D3D3"/>
              <w:bottom w:val="single" w:sz="35" w:space="0" w:color="BAF9F5"/>
              <w:right w:val="single" w:sz="2" w:space="0" w:color="D3D3D3"/>
            </w:tcBorders>
          </w:tcPr>
          <w:p>
            <w:pPr/>
          </w:p>
        </w:tc>
        <w:tc>
          <w:tcPr>
            <w:tcW w:w="582" w:type="dxa"/>
            <w:tcBorders>
              <w:top w:val="single" w:sz="2" w:space="0" w:color="D3D3D3"/>
              <w:left w:val="single" w:sz="2" w:space="0" w:color="D3D3D3"/>
              <w:bottom w:val="single" w:sz="35" w:space="0" w:color="BAF9F5"/>
              <w:right w:val="single" w:sz="2" w:space="0" w:color="D3D3D3"/>
            </w:tcBorders>
          </w:tcPr>
          <w:p>
            <w:pPr/>
          </w:p>
        </w:tc>
        <w:tc>
          <w:tcPr>
            <w:tcW w:w="1105" w:type="dxa"/>
            <w:tcBorders>
              <w:top w:val="single" w:sz="2" w:space="0" w:color="D3D3D3"/>
              <w:left w:val="single" w:sz="2" w:space="0" w:color="D3D3D3"/>
              <w:bottom w:val="single" w:sz="35" w:space="0" w:color="BAF9F5"/>
              <w:right w:val="single" w:sz="15" w:space="0" w:color="FFFFFF"/>
            </w:tcBorders>
          </w:tcPr>
          <w:p>
            <w:pPr/>
          </w:p>
        </w:tc>
        <w:tc>
          <w:tcPr>
            <w:tcW w:w="485" w:type="dxa"/>
            <w:tcBorders>
              <w:top w:val="single" w:sz="2" w:space="0" w:color="D3D3D3"/>
              <w:left w:val="single" w:sz="15" w:space="0" w:color="FFFFFF"/>
              <w:bottom w:val="single" w:sz="35" w:space="0" w:color="BAF9F5"/>
              <w:right w:val="single" w:sz="2" w:space="0" w:color="D3D3D3"/>
            </w:tcBorders>
          </w:tcPr>
          <w:p>
            <w:pPr/>
          </w:p>
        </w:tc>
        <w:tc>
          <w:tcPr>
            <w:tcW w:w="346" w:type="dxa"/>
            <w:tcBorders>
              <w:top w:val="single" w:sz="2" w:space="0" w:color="D3D3D3"/>
              <w:left w:val="single" w:sz="2" w:space="0" w:color="D3D3D3"/>
              <w:right w:val="single" w:sz="2" w:space="0" w:color="D3D3D3"/>
            </w:tcBorders>
          </w:tcPr>
          <w:p>
            <w:pPr/>
          </w:p>
        </w:tc>
        <w:tc>
          <w:tcPr>
            <w:tcW w:w="345" w:type="dxa"/>
            <w:tcBorders>
              <w:top w:val="single" w:sz="2" w:space="0" w:color="D3D3D3"/>
              <w:left w:val="single" w:sz="2" w:space="0" w:color="D3D3D3"/>
              <w:bottom w:val="single" w:sz="35" w:space="0" w:color="BAF9F5"/>
              <w:right w:val="single" w:sz="2" w:space="0" w:color="D3D3D3"/>
            </w:tcBorders>
          </w:tcPr>
          <w:p>
            <w:pPr/>
          </w:p>
        </w:tc>
        <w:tc>
          <w:tcPr>
            <w:tcW w:w="346" w:type="dxa"/>
            <w:tcBorders>
              <w:top w:val="single" w:sz="2" w:space="0" w:color="D3D3D3"/>
              <w:left w:val="single" w:sz="2" w:space="0" w:color="D3D3D3"/>
              <w:bottom w:val="single" w:sz="35" w:space="0" w:color="BAF9F5"/>
              <w:right w:val="single" w:sz="2" w:space="0" w:color="D3D3D3"/>
            </w:tcBorders>
          </w:tcPr>
          <w:p>
            <w:pPr/>
          </w:p>
        </w:tc>
        <w:tc>
          <w:tcPr>
            <w:tcW w:w="89" w:type="dxa"/>
            <w:tcBorders>
              <w:top w:val="single" w:sz="2" w:space="0" w:color="D3D3D3"/>
              <w:left w:val="single" w:sz="2" w:space="0" w:color="D3D3D3"/>
            </w:tcBorders>
          </w:tcPr>
          <w:p>
            <w:pPr/>
          </w:p>
        </w:tc>
      </w:tr>
      <w:tr>
        <w:trPr>
          <w:trHeight w:val="63"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1512" w:type="dxa"/>
            <w:shd w:val="clear" w:color="auto" w:fill="BAF9F5"/>
          </w:tcPr>
          <w:p>
            <w:pPr/>
          </w:p>
        </w:tc>
        <w:tc>
          <w:tcPr>
            <w:tcW w:w="652" w:type="dxa"/>
            <w:shd w:val="clear" w:color="auto" w:fill="BAF9F5"/>
          </w:tcPr>
          <w:p>
            <w:pPr/>
          </w:p>
        </w:tc>
        <w:tc>
          <w:tcPr>
            <w:tcW w:w="582"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5" w:type="dxa"/>
            <w:shd w:val="clear" w:color="auto" w:fill="BAF9F5"/>
          </w:tcPr>
          <w:p>
            <w:pPr/>
          </w:p>
        </w:tc>
        <w:tc>
          <w:tcPr>
            <w:tcW w:w="346" w:type="dxa"/>
            <w:shd w:val="clear" w:color="auto" w:fill="BAF9F5"/>
          </w:tcPr>
          <w:p>
            <w:pPr/>
          </w:p>
        </w:tc>
        <w:tc>
          <w:tcPr>
            <w:tcW w:w="89" w:type="dxa"/>
          </w:tcPr>
          <w:p>
            <w:pPr/>
          </w:p>
        </w:tc>
      </w:tr>
      <w:tr>
        <w:trPr>
          <w:trHeight w:val="102"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Style w:val="TableParagraph"/>
              <w:spacing w:before="49"/>
              <w:ind w:left="8"/>
              <w:jc w:val="left"/>
              <w:rPr>
                <w:rFonts w:ascii="Calibri"/>
                <w:sz w:val="6"/>
              </w:rPr>
            </w:pPr>
            <w:r>
              <w:rPr>
                <w:rFonts w:ascii="Calibri"/>
                <w:w w:val="105"/>
                <w:sz w:val="6"/>
              </w:rPr>
              <w:t>Tipo</w:t>
            </w:r>
          </w:p>
        </w:tc>
        <w:tc>
          <w:tcPr>
            <w:tcW w:w="2344" w:type="dxa"/>
            <w:tcBorders>
              <w:left w:val="single" w:sz="2" w:space="0" w:color="D3D3D3"/>
              <w:right w:val="single" w:sz="2" w:space="0" w:color="D3D3D3"/>
            </w:tcBorders>
          </w:tcPr>
          <w:p>
            <w:pPr>
              <w:pStyle w:val="TableParagraph"/>
              <w:spacing w:before="49"/>
              <w:ind w:left="8"/>
              <w:jc w:val="left"/>
              <w:rPr>
                <w:rFonts w:ascii="Calibri"/>
                <w:sz w:val="6"/>
              </w:rPr>
            </w:pPr>
            <w:r>
              <w:rPr>
                <w:rFonts w:ascii="Calibri"/>
                <w:w w:val="105"/>
                <w:sz w:val="6"/>
              </w:rPr>
              <w:t>El tipo de viviendas autorizadas es congruente con la zona</w:t>
            </w:r>
          </w:p>
        </w:tc>
        <w:tc>
          <w:tcPr>
            <w:tcW w:w="977" w:type="dxa"/>
            <w:tcBorders>
              <w:top w:val="single" w:sz="35" w:space="0" w:color="BAF9F5"/>
              <w:left w:val="single" w:sz="2" w:space="0" w:color="D3D3D3"/>
              <w:bottom w:val="single" w:sz="34" w:space="0" w:color="BAF9F5"/>
              <w:right w:val="single" w:sz="2" w:space="0" w:color="D3D3D3"/>
            </w:tcBorders>
          </w:tcPr>
          <w:p>
            <w:pPr>
              <w:pStyle w:val="TableParagraph"/>
              <w:spacing w:line="2" w:lineRule="exact"/>
              <w:ind w:left="3"/>
              <w:rPr>
                <w:rFonts w:ascii="Calibri"/>
                <w:sz w:val="6"/>
              </w:rPr>
            </w:pPr>
            <w:r>
              <w:rPr>
                <w:rFonts w:ascii="Calibri"/>
                <w:w w:val="104"/>
                <w:sz w:val="6"/>
              </w:rPr>
              <w:t>1</w:t>
            </w:r>
          </w:p>
          <w:p>
            <w:pPr>
              <w:pStyle w:val="TableParagraph"/>
              <w:spacing w:before="6"/>
              <w:ind w:left="361" w:right="357"/>
              <w:rPr>
                <w:rFonts w:ascii="Calibri"/>
                <w:sz w:val="6"/>
              </w:rPr>
            </w:pPr>
            <w:r>
              <w:rPr>
                <w:rFonts w:ascii="Calibri"/>
                <w:w w:val="105"/>
                <w:sz w:val="6"/>
              </w:rPr>
              <w:t>Si</w:t>
            </w:r>
          </w:p>
        </w:tc>
        <w:tc>
          <w:tcPr>
            <w:tcW w:w="1449" w:type="dxa"/>
            <w:tcBorders>
              <w:top w:val="single" w:sz="35" w:space="0" w:color="BAF9F5"/>
              <w:left w:val="single" w:sz="2" w:space="0" w:color="D3D3D3"/>
              <w:bottom w:val="single" w:sz="34" w:space="0" w:color="BAF9F5"/>
            </w:tcBorders>
          </w:tcPr>
          <w:p>
            <w:pPr>
              <w:pStyle w:val="TableParagraph"/>
              <w:spacing w:line="2" w:lineRule="exact"/>
              <w:rPr>
                <w:rFonts w:ascii="Calibri"/>
                <w:sz w:val="6"/>
              </w:rPr>
            </w:pPr>
            <w:r>
              <w:rPr>
                <w:rFonts w:ascii="Calibri"/>
                <w:w w:val="104"/>
                <w:sz w:val="6"/>
              </w:rPr>
              <w:t>0</w:t>
            </w:r>
          </w:p>
          <w:p>
            <w:pPr>
              <w:pStyle w:val="TableParagraph"/>
              <w:spacing w:before="6"/>
              <w:ind w:left="535" w:right="533"/>
              <w:rPr>
                <w:rFonts w:ascii="Calibri"/>
                <w:sz w:val="6"/>
              </w:rPr>
            </w:pPr>
            <w:r>
              <w:rPr>
                <w:rFonts w:ascii="Calibri"/>
                <w:w w:val="105"/>
                <w:sz w:val="6"/>
              </w:rPr>
              <w:t>Parcialmente</w:t>
            </w:r>
          </w:p>
        </w:tc>
        <w:tc>
          <w:tcPr>
            <w:tcW w:w="1512" w:type="dxa"/>
            <w:tcBorders>
              <w:top w:val="single" w:sz="35" w:space="0" w:color="BAF9F5"/>
              <w:bottom w:val="single" w:sz="34" w:space="0" w:color="BAF9F5"/>
            </w:tcBorders>
          </w:tcPr>
          <w:p>
            <w:pPr>
              <w:pStyle w:val="TableParagraph"/>
              <w:tabs>
                <w:tab w:pos="722" w:val="left" w:leader="none"/>
                <w:tab w:pos="1515" w:val="left" w:leader="none"/>
              </w:tabs>
              <w:spacing w:before="6"/>
              <w:ind w:right="-4"/>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No</w:t>
            </w:r>
            <w:r>
              <w:rPr>
                <w:rFonts w:ascii="Calibri"/>
                <w:sz w:val="6"/>
                <w:shd w:fill="808080" w:color="auto" w:val="clear"/>
              </w:rPr>
              <w:tab/>
            </w:r>
          </w:p>
        </w:tc>
        <w:tc>
          <w:tcPr>
            <w:tcW w:w="652" w:type="dxa"/>
            <w:tcBorders>
              <w:top w:val="single" w:sz="35" w:space="0" w:color="BAF9F5"/>
              <w:bottom w:val="single" w:sz="34" w:space="0" w:color="BAF9F5"/>
              <w:right w:val="single" w:sz="2" w:space="0" w:color="D3D3D3"/>
            </w:tcBorders>
          </w:tcPr>
          <w:p>
            <w:pPr/>
          </w:p>
        </w:tc>
        <w:tc>
          <w:tcPr>
            <w:tcW w:w="582" w:type="dxa"/>
            <w:tcBorders>
              <w:top w:val="single" w:sz="35" w:space="0" w:color="BAF9F5"/>
              <w:left w:val="single" w:sz="2" w:space="0" w:color="D3D3D3"/>
              <w:bottom w:val="single" w:sz="34" w:space="0" w:color="BAF9F5"/>
              <w:right w:val="single" w:sz="2" w:space="0" w:color="D3D3D3"/>
            </w:tcBorders>
          </w:tcPr>
          <w:p>
            <w:pPr/>
          </w:p>
        </w:tc>
        <w:tc>
          <w:tcPr>
            <w:tcW w:w="1105" w:type="dxa"/>
            <w:tcBorders>
              <w:top w:val="single" w:sz="35" w:space="0" w:color="BAF9F5"/>
              <w:left w:val="single" w:sz="2" w:space="0" w:color="D3D3D3"/>
              <w:bottom w:val="single" w:sz="34" w:space="0" w:color="BAF9F5"/>
              <w:right w:val="single" w:sz="15" w:space="0" w:color="FFFFFF"/>
            </w:tcBorders>
          </w:tcPr>
          <w:p>
            <w:pPr/>
          </w:p>
        </w:tc>
        <w:tc>
          <w:tcPr>
            <w:tcW w:w="485" w:type="dxa"/>
            <w:tcBorders>
              <w:top w:val="single" w:sz="35" w:space="0" w:color="BAF9F5"/>
              <w:left w:val="single" w:sz="15" w:space="0" w:color="FFFFFF"/>
              <w:bottom w:val="single" w:sz="34" w:space="0" w:color="BAF9F5"/>
              <w:right w:val="single" w:sz="2" w:space="0" w:color="D3D3D3"/>
            </w:tcBorders>
          </w:tcPr>
          <w:p>
            <w:pPr>
              <w:pStyle w:val="TableParagraph"/>
              <w:spacing w:line="2" w:lineRule="exact"/>
              <w:ind w:left="4"/>
              <w:rPr>
                <w:rFonts w:ascii="Calibri"/>
                <w:sz w:val="6"/>
              </w:rPr>
            </w:pPr>
            <w:r>
              <w:rPr>
                <w:rFonts w:ascii="Calibri"/>
                <w:w w:val="104"/>
                <w:sz w:val="6"/>
              </w:rPr>
              <w:t>1</w:t>
            </w:r>
          </w:p>
        </w:tc>
        <w:tc>
          <w:tcPr>
            <w:tcW w:w="346" w:type="dxa"/>
            <w:tcBorders>
              <w:left w:val="single" w:sz="2" w:space="0" w:color="D3D3D3"/>
              <w:right w:val="single" w:sz="2" w:space="0" w:color="D3D3D3"/>
            </w:tcBorders>
          </w:tcPr>
          <w:p>
            <w:pPr/>
          </w:p>
        </w:tc>
        <w:tc>
          <w:tcPr>
            <w:tcW w:w="345" w:type="dxa"/>
            <w:tcBorders>
              <w:top w:val="single" w:sz="35" w:space="0" w:color="BAF9F5"/>
              <w:left w:val="single" w:sz="2" w:space="0" w:color="D3D3D3"/>
              <w:bottom w:val="single" w:sz="34" w:space="0" w:color="BAF9F5"/>
              <w:right w:val="single" w:sz="2" w:space="0" w:color="D3D3D3"/>
            </w:tcBorders>
          </w:tcPr>
          <w:p>
            <w:pPr>
              <w:pStyle w:val="TableParagraph"/>
              <w:spacing w:line="2" w:lineRule="exact"/>
              <w:ind w:left="6"/>
              <w:rPr>
                <w:rFonts w:ascii="Calibri"/>
                <w:sz w:val="6"/>
              </w:rPr>
            </w:pPr>
            <w:r>
              <w:rPr>
                <w:rFonts w:ascii="Calibri"/>
                <w:w w:val="104"/>
                <w:sz w:val="6"/>
              </w:rPr>
              <w:t>1</w:t>
            </w:r>
          </w:p>
        </w:tc>
        <w:tc>
          <w:tcPr>
            <w:tcW w:w="346" w:type="dxa"/>
            <w:tcBorders>
              <w:top w:val="single" w:sz="35" w:space="0" w:color="BAF9F5"/>
              <w:left w:val="single" w:sz="2" w:space="0" w:color="D3D3D3"/>
              <w:bottom w:val="single" w:sz="34" w:space="0" w:color="BAF9F5"/>
              <w:right w:val="single" w:sz="2" w:space="0" w:color="D3D3D3"/>
            </w:tcBorders>
          </w:tcPr>
          <w:p>
            <w:pPr>
              <w:pStyle w:val="TableParagraph"/>
              <w:spacing w:line="2"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1512" w:type="dxa"/>
            <w:shd w:val="clear" w:color="auto" w:fill="BAF9F5"/>
          </w:tcPr>
          <w:p>
            <w:pPr/>
          </w:p>
        </w:tc>
        <w:tc>
          <w:tcPr>
            <w:tcW w:w="652" w:type="dxa"/>
            <w:shd w:val="clear" w:color="auto" w:fill="BAF9F5"/>
          </w:tcPr>
          <w:p>
            <w:pPr/>
          </w:p>
        </w:tc>
        <w:tc>
          <w:tcPr>
            <w:tcW w:w="582"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5" w:type="dxa"/>
            <w:shd w:val="clear" w:color="auto" w:fill="BAF9F5"/>
          </w:tcPr>
          <w:p>
            <w:pPr/>
          </w:p>
        </w:tc>
        <w:tc>
          <w:tcPr>
            <w:tcW w:w="346" w:type="dxa"/>
            <w:shd w:val="clear" w:color="auto" w:fill="BAF9F5"/>
          </w:tcPr>
          <w:p>
            <w:pPr/>
          </w:p>
        </w:tc>
        <w:tc>
          <w:tcPr>
            <w:tcW w:w="89" w:type="dxa"/>
          </w:tcPr>
          <w:p>
            <w:pPr/>
          </w:p>
        </w:tc>
      </w:tr>
      <w:tr>
        <w:trPr>
          <w:trHeight w:val="85" w:hRule="exact"/>
        </w:trPr>
        <w:tc>
          <w:tcPr>
            <w:tcW w:w="346" w:type="dxa"/>
            <w:tcBorders>
              <w:right w:val="single" w:sz="2" w:space="0" w:color="D3D3D3"/>
            </w:tcBorders>
          </w:tcPr>
          <w:p>
            <w:pPr/>
          </w:p>
        </w:tc>
        <w:tc>
          <w:tcPr>
            <w:tcW w:w="1182" w:type="dxa"/>
            <w:tcBorders>
              <w:left w:val="single" w:sz="2" w:space="0" w:color="D3D3D3"/>
              <w:bottom w:val="single" w:sz="2" w:space="0" w:color="D3D3D3"/>
              <w:right w:val="single" w:sz="2" w:space="0" w:color="D3D3D3"/>
            </w:tcBorders>
          </w:tcPr>
          <w:p>
            <w:pPr/>
          </w:p>
        </w:tc>
        <w:tc>
          <w:tcPr>
            <w:tcW w:w="1240" w:type="dxa"/>
            <w:tcBorders>
              <w:left w:val="single" w:sz="2" w:space="0" w:color="D3D3D3"/>
              <w:bottom w:val="single" w:sz="2" w:space="0" w:color="D3D3D3"/>
              <w:right w:val="single" w:sz="2" w:space="0" w:color="D3D3D3"/>
            </w:tcBorders>
          </w:tcPr>
          <w:p>
            <w:pPr/>
          </w:p>
        </w:tc>
        <w:tc>
          <w:tcPr>
            <w:tcW w:w="2344" w:type="dxa"/>
            <w:tcBorders>
              <w:left w:val="single" w:sz="2" w:space="0" w:color="D3D3D3"/>
              <w:bottom w:val="single" w:sz="2" w:space="0" w:color="D3D3D3"/>
              <w:right w:val="single" w:sz="2" w:space="0" w:color="D3D3D3"/>
            </w:tcBorders>
          </w:tcPr>
          <w:p>
            <w:pPr/>
          </w:p>
        </w:tc>
        <w:tc>
          <w:tcPr>
            <w:tcW w:w="977"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3"/>
              <w:rPr>
                <w:rFonts w:ascii="Calibri"/>
                <w:sz w:val="6"/>
              </w:rPr>
            </w:pPr>
            <w:r>
              <w:rPr>
                <w:rFonts w:ascii="Calibri"/>
                <w:w w:val="104"/>
                <w:sz w:val="6"/>
              </w:rPr>
              <w:t>1</w:t>
            </w:r>
          </w:p>
        </w:tc>
        <w:tc>
          <w:tcPr>
            <w:tcW w:w="1449"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644" w:right="642"/>
              <w:rPr>
                <w:rFonts w:ascii="Calibri"/>
                <w:sz w:val="6"/>
              </w:rPr>
            </w:pPr>
            <w:r>
              <w:rPr>
                <w:rFonts w:ascii="Calibri"/>
                <w:w w:val="105"/>
                <w:sz w:val="6"/>
              </w:rPr>
              <w:t>0.5</w:t>
            </w:r>
          </w:p>
        </w:tc>
        <w:tc>
          <w:tcPr>
            <w:tcW w:w="1512"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2"/>
              <w:rPr>
                <w:rFonts w:ascii="Calibri"/>
                <w:sz w:val="6"/>
              </w:rPr>
            </w:pPr>
            <w:r>
              <w:rPr>
                <w:rFonts w:ascii="Calibri"/>
                <w:w w:val="104"/>
                <w:sz w:val="6"/>
              </w:rPr>
              <w:t>0</w:t>
            </w:r>
          </w:p>
        </w:tc>
        <w:tc>
          <w:tcPr>
            <w:tcW w:w="652" w:type="dxa"/>
            <w:tcBorders>
              <w:left w:val="single" w:sz="2" w:space="0" w:color="D3D3D3"/>
              <w:bottom w:val="single" w:sz="2" w:space="0" w:color="D3D3D3"/>
              <w:right w:val="single" w:sz="2" w:space="0" w:color="D3D3D3"/>
            </w:tcBorders>
            <w:shd w:val="clear" w:color="auto" w:fill="BAF9F5"/>
          </w:tcPr>
          <w:p>
            <w:pPr/>
          </w:p>
        </w:tc>
        <w:tc>
          <w:tcPr>
            <w:tcW w:w="582" w:type="dxa"/>
            <w:tcBorders>
              <w:left w:val="single" w:sz="2" w:space="0" w:color="D3D3D3"/>
              <w:bottom w:val="single" w:sz="2" w:space="0" w:color="D3D3D3"/>
              <w:right w:val="single" w:sz="2" w:space="0" w:color="D3D3D3"/>
            </w:tcBorders>
            <w:shd w:val="clear" w:color="auto" w:fill="BAF9F5"/>
          </w:tcPr>
          <w:p>
            <w:pPr/>
          </w:p>
        </w:tc>
        <w:tc>
          <w:tcPr>
            <w:tcW w:w="1105" w:type="dxa"/>
            <w:tcBorders>
              <w:left w:val="single" w:sz="2" w:space="0" w:color="D3D3D3"/>
              <w:bottom w:val="single" w:sz="2" w:space="0" w:color="D3D3D3"/>
              <w:right w:val="single" w:sz="15" w:space="0" w:color="FFFFFF"/>
            </w:tcBorders>
            <w:shd w:val="clear" w:color="auto" w:fill="BAF9F5"/>
          </w:tcPr>
          <w:p>
            <w:pPr/>
          </w:p>
        </w:tc>
        <w:tc>
          <w:tcPr>
            <w:tcW w:w="485" w:type="dxa"/>
            <w:tcBorders>
              <w:left w:val="single" w:sz="15" w:space="0" w:color="FFFFFF"/>
              <w:bottom w:val="single" w:sz="2" w:space="0" w:color="D3D3D3"/>
            </w:tcBorders>
            <w:shd w:val="clear" w:color="auto" w:fill="BAF9F5"/>
          </w:tcPr>
          <w:p>
            <w:pPr>
              <w:pStyle w:val="TableParagraph"/>
              <w:spacing w:line="41" w:lineRule="exact"/>
              <w:ind w:left="1"/>
              <w:rPr>
                <w:rFonts w:ascii="Calibri"/>
                <w:sz w:val="6"/>
              </w:rPr>
            </w:pPr>
            <w:r>
              <w:rPr>
                <w:rFonts w:ascii="Calibri"/>
                <w:w w:val="104"/>
                <w:sz w:val="6"/>
              </w:rPr>
              <w:t>0</w:t>
            </w:r>
          </w:p>
          <w:p>
            <w:pPr>
              <w:pStyle w:val="TableParagraph"/>
              <w:spacing w:before="9"/>
              <w:ind w:left="107" w:right="104"/>
              <w:rPr>
                <w:rFonts w:ascii="Calibri"/>
                <w:sz w:val="6"/>
              </w:rPr>
            </w:pPr>
            <w:r>
              <w:rPr>
                <w:rFonts w:ascii="Calibri"/>
                <w:w w:val="105"/>
                <w:sz w:val="6"/>
              </w:rPr>
              <w:t>Subtotal</w:t>
            </w:r>
          </w:p>
        </w:tc>
        <w:tc>
          <w:tcPr>
            <w:tcW w:w="346" w:type="dxa"/>
            <w:shd w:val="clear" w:color="auto" w:fill="F79646"/>
          </w:tcPr>
          <w:p>
            <w:pPr>
              <w:pStyle w:val="TableParagraph"/>
              <w:spacing w:before="50"/>
              <w:ind w:left="160"/>
              <w:jc w:val="left"/>
              <w:rPr>
                <w:rFonts w:ascii="Calibri"/>
                <w:sz w:val="6"/>
              </w:rPr>
            </w:pPr>
            <w:r>
              <w:rPr>
                <w:rFonts w:ascii="Calibri"/>
                <w:w w:val="104"/>
                <w:sz w:val="6"/>
              </w:rPr>
              <w:t>1</w:t>
            </w:r>
          </w:p>
        </w:tc>
        <w:tc>
          <w:tcPr>
            <w:tcW w:w="345" w:type="dxa"/>
            <w:tcBorders>
              <w:top w:val="single" w:sz="34" w:space="0" w:color="BAF9F5"/>
            </w:tcBorders>
            <w:shd w:val="clear" w:color="auto" w:fill="FFFF00"/>
          </w:tcPr>
          <w:p>
            <w:pPr>
              <w:pStyle w:val="TableParagraph"/>
              <w:spacing w:line="2" w:lineRule="exact"/>
              <w:ind w:left="99" w:right="93"/>
              <w:rPr>
                <w:rFonts w:ascii="Calibri"/>
                <w:sz w:val="6"/>
              </w:rPr>
            </w:pPr>
            <w:r>
              <w:rPr>
                <w:rFonts w:ascii="Calibri"/>
                <w:w w:val="105"/>
                <w:sz w:val="6"/>
              </w:rPr>
              <w:t>0.5</w:t>
            </w:r>
          </w:p>
          <w:p>
            <w:pPr>
              <w:pStyle w:val="TableParagraph"/>
              <w:spacing w:before="6"/>
              <w:ind w:left="99" w:right="93"/>
              <w:rPr>
                <w:rFonts w:ascii="Calibri"/>
                <w:sz w:val="6"/>
              </w:rPr>
            </w:pPr>
            <w:r>
              <w:rPr>
                <w:rFonts w:ascii="Calibri"/>
                <w:w w:val="105"/>
                <w:sz w:val="6"/>
              </w:rPr>
              <w:t>1.5</w:t>
            </w:r>
          </w:p>
        </w:tc>
        <w:tc>
          <w:tcPr>
            <w:tcW w:w="346" w:type="dxa"/>
            <w:tcBorders>
              <w:top w:val="single" w:sz="34" w:space="0" w:color="BAF9F5"/>
            </w:tcBorders>
            <w:shd w:val="clear" w:color="auto" w:fill="67ED4D"/>
          </w:tcPr>
          <w:p>
            <w:pPr>
              <w:pStyle w:val="TableParagraph"/>
              <w:spacing w:line="2" w:lineRule="exact"/>
              <w:ind w:left="6"/>
              <w:rPr>
                <w:rFonts w:ascii="Calibri"/>
                <w:sz w:val="6"/>
              </w:rPr>
            </w:pPr>
            <w:r>
              <w:rPr>
                <w:rFonts w:ascii="Calibri"/>
                <w:w w:val="104"/>
                <w:sz w:val="6"/>
              </w:rPr>
              <w:t>1</w:t>
            </w:r>
          </w:p>
          <w:p>
            <w:pPr>
              <w:pStyle w:val="TableParagraph"/>
              <w:spacing w:before="6"/>
              <w:ind w:left="6"/>
              <w:rPr>
                <w:rFonts w:ascii="Calibri"/>
                <w:sz w:val="6"/>
              </w:rPr>
            </w:pPr>
            <w:r>
              <w:rPr>
                <w:rFonts w:ascii="Calibri"/>
                <w:w w:val="104"/>
                <w:sz w:val="6"/>
              </w:rPr>
              <w:t>2</w:t>
            </w:r>
          </w:p>
        </w:tc>
        <w:tc>
          <w:tcPr>
            <w:tcW w:w="89" w:type="dxa"/>
            <w:tcBorders>
              <w:bottom w:val="single" w:sz="2" w:space="0" w:color="D3D3D3"/>
            </w:tcBorders>
          </w:tcPr>
          <w:p>
            <w:pPr/>
          </w:p>
        </w:tc>
      </w:tr>
      <w:tr>
        <w:trPr>
          <w:trHeight w:val="82" w:hRule="exact"/>
        </w:trPr>
        <w:tc>
          <w:tcPr>
            <w:tcW w:w="346" w:type="dxa"/>
            <w:tcBorders>
              <w:right w:val="single" w:sz="2" w:space="0" w:color="D3D3D3"/>
            </w:tcBorders>
          </w:tcPr>
          <w:p>
            <w:pPr/>
          </w:p>
        </w:tc>
        <w:tc>
          <w:tcPr>
            <w:tcW w:w="1182" w:type="dxa"/>
            <w:tcBorders>
              <w:top w:val="single" w:sz="2" w:space="0" w:color="D3D3D3"/>
              <w:left w:val="single" w:sz="2" w:space="0" w:color="D3D3D3"/>
              <w:bottom w:val="single" w:sz="2" w:space="0" w:color="D3D3D3"/>
              <w:right w:val="single" w:sz="2" w:space="0" w:color="D3D3D3"/>
            </w:tcBorders>
          </w:tcPr>
          <w:p>
            <w:pPr/>
          </w:p>
        </w:tc>
        <w:tc>
          <w:tcPr>
            <w:tcW w:w="1240" w:type="dxa"/>
            <w:tcBorders>
              <w:top w:val="single" w:sz="2" w:space="0" w:color="D3D3D3"/>
              <w:left w:val="single" w:sz="2" w:space="0" w:color="D3D3D3"/>
              <w:bottom w:val="single" w:sz="2" w:space="0" w:color="D3D3D3"/>
              <w:right w:val="single" w:sz="2" w:space="0" w:color="D3D3D3"/>
            </w:tcBorders>
          </w:tcPr>
          <w:p>
            <w:pPr/>
          </w:p>
        </w:tc>
        <w:tc>
          <w:tcPr>
            <w:tcW w:w="2344" w:type="dxa"/>
            <w:tcBorders>
              <w:top w:val="single" w:sz="2" w:space="0" w:color="D3D3D3"/>
              <w:left w:val="single" w:sz="2" w:space="0" w:color="D3D3D3"/>
              <w:bottom w:val="single" w:sz="2" w:space="0" w:color="D3D3D3"/>
              <w:right w:val="single" w:sz="2" w:space="0" w:color="D3D3D3"/>
            </w:tcBorders>
          </w:tcPr>
          <w:p>
            <w:pPr/>
          </w:p>
        </w:tc>
        <w:tc>
          <w:tcPr>
            <w:tcW w:w="977" w:type="dxa"/>
            <w:tcBorders>
              <w:top w:val="single" w:sz="2" w:space="0" w:color="D3D3D3"/>
              <w:left w:val="single" w:sz="2" w:space="0" w:color="D3D3D3"/>
              <w:bottom w:val="single" w:sz="2" w:space="0" w:color="D3D3D3"/>
              <w:right w:val="single" w:sz="2" w:space="0" w:color="D3D3D3"/>
            </w:tcBorders>
          </w:tcPr>
          <w:p>
            <w:pPr/>
          </w:p>
        </w:tc>
        <w:tc>
          <w:tcPr>
            <w:tcW w:w="1449" w:type="dxa"/>
            <w:tcBorders>
              <w:top w:val="single" w:sz="2" w:space="0" w:color="D3D3D3"/>
              <w:left w:val="single" w:sz="2" w:space="0" w:color="D3D3D3"/>
              <w:bottom w:val="single" w:sz="35" w:space="0" w:color="808080"/>
              <w:right w:val="single" w:sz="2" w:space="0" w:color="D3D3D3"/>
            </w:tcBorders>
          </w:tcPr>
          <w:p>
            <w:pPr/>
          </w:p>
        </w:tc>
        <w:tc>
          <w:tcPr>
            <w:tcW w:w="1512" w:type="dxa"/>
            <w:tcBorders>
              <w:top w:val="single" w:sz="2" w:space="0" w:color="D3D3D3"/>
              <w:left w:val="single" w:sz="2" w:space="0" w:color="D3D3D3"/>
              <w:bottom w:val="single" w:sz="2" w:space="0" w:color="D3D3D3"/>
              <w:right w:val="single" w:sz="2" w:space="0" w:color="D3D3D3"/>
            </w:tcBorders>
          </w:tcPr>
          <w:p>
            <w:pPr/>
          </w:p>
        </w:tc>
        <w:tc>
          <w:tcPr>
            <w:tcW w:w="652" w:type="dxa"/>
            <w:tcBorders>
              <w:top w:val="single" w:sz="2" w:space="0" w:color="D3D3D3"/>
              <w:left w:val="single" w:sz="2" w:space="0" w:color="D3D3D3"/>
              <w:bottom w:val="single" w:sz="2" w:space="0" w:color="D3D3D3"/>
              <w:right w:val="single" w:sz="2" w:space="0" w:color="D3D3D3"/>
            </w:tcBorders>
          </w:tcPr>
          <w:p>
            <w:pPr/>
          </w:p>
        </w:tc>
        <w:tc>
          <w:tcPr>
            <w:tcW w:w="582" w:type="dxa"/>
            <w:tcBorders>
              <w:top w:val="single" w:sz="2" w:space="0" w:color="D3D3D3"/>
              <w:left w:val="single" w:sz="2" w:space="0" w:color="D3D3D3"/>
              <w:bottom w:val="single" w:sz="2" w:space="0" w:color="D3D3D3"/>
              <w:right w:val="single" w:sz="2" w:space="0" w:color="D3D3D3"/>
            </w:tcBorders>
          </w:tcPr>
          <w:p>
            <w:pPr/>
          </w:p>
        </w:tc>
        <w:tc>
          <w:tcPr>
            <w:tcW w:w="1105" w:type="dxa"/>
            <w:tcBorders>
              <w:top w:val="single" w:sz="2" w:space="0" w:color="D3D3D3"/>
              <w:left w:val="single" w:sz="2" w:space="0" w:color="D3D3D3"/>
              <w:bottom w:val="single" w:sz="2" w:space="0" w:color="D3D3D3"/>
              <w:right w:val="single" w:sz="15" w:space="0" w:color="FFFFFF"/>
            </w:tcBorders>
          </w:tcPr>
          <w:p>
            <w:pPr/>
          </w:p>
        </w:tc>
        <w:tc>
          <w:tcPr>
            <w:tcW w:w="485" w:type="dxa"/>
            <w:tcBorders>
              <w:top w:val="single" w:sz="2" w:space="0" w:color="D3D3D3"/>
              <w:left w:val="single" w:sz="15" w:space="0" w:color="FFFFFF"/>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345" w:type="dxa"/>
            <w:tcBorders>
              <w:left w:val="single" w:sz="2" w:space="0" w:color="D3D3D3"/>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89" w:type="dxa"/>
            <w:tcBorders>
              <w:top w:val="single" w:sz="2" w:space="0" w:color="D3D3D3"/>
              <w:left w:val="single" w:sz="2" w:space="0" w:color="D3D3D3"/>
              <w:bottom w:val="single" w:sz="2" w:space="0" w:color="D3D3D3"/>
            </w:tcBorders>
          </w:tcPr>
          <w:p>
            <w:pPr/>
          </w:p>
        </w:tc>
      </w:tr>
      <w:tr>
        <w:trPr>
          <w:trHeight w:val="99" w:hRule="exact"/>
        </w:trPr>
        <w:tc>
          <w:tcPr>
            <w:tcW w:w="346" w:type="dxa"/>
            <w:tcBorders>
              <w:right w:val="single" w:sz="2" w:space="0" w:color="D3D3D3"/>
            </w:tcBorders>
          </w:tcPr>
          <w:p>
            <w:pPr/>
          </w:p>
        </w:tc>
        <w:tc>
          <w:tcPr>
            <w:tcW w:w="1182" w:type="dxa"/>
            <w:tcBorders>
              <w:top w:val="single" w:sz="2" w:space="0" w:color="D3D3D3"/>
              <w:left w:val="single" w:sz="2" w:space="0" w:color="D3D3D3"/>
              <w:right w:val="single" w:sz="2" w:space="0" w:color="D3D3D3"/>
            </w:tcBorders>
          </w:tcPr>
          <w:p>
            <w:pPr>
              <w:pStyle w:val="TableParagraph"/>
              <w:spacing w:before="6"/>
              <w:ind w:left="52"/>
              <w:jc w:val="left"/>
              <w:rPr>
                <w:rFonts w:ascii="Calibri" w:hAnsi="Calibri"/>
                <w:sz w:val="6"/>
              </w:rPr>
            </w:pPr>
            <w:r>
              <w:rPr>
                <w:rFonts w:ascii="Calibri" w:hAnsi="Calibri"/>
                <w:w w:val="105"/>
                <w:sz w:val="6"/>
              </w:rPr>
              <w:t>3 Municipalización</w:t>
            </w:r>
          </w:p>
        </w:tc>
        <w:tc>
          <w:tcPr>
            <w:tcW w:w="1240" w:type="dxa"/>
            <w:tcBorders>
              <w:top w:val="single" w:sz="2" w:space="0" w:color="D3D3D3"/>
              <w:left w:val="single" w:sz="2" w:space="0" w:color="D3D3D3"/>
              <w:right w:val="single" w:sz="2" w:space="0" w:color="D3D3D3"/>
            </w:tcBorders>
          </w:tcPr>
          <w:p>
            <w:pPr>
              <w:pStyle w:val="TableParagraph"/>
              <w:spacing w:before="6"/>
              <w:ind w:left="8"/>
              <w:jc w:val="left"/>
              <w:rPr>
                <w:rFonts w:ascii="Calibri"/>
                <w:sz w:val="6"/>
              </w:rPr>
            </w:pPr>
            <w:r>
              <w:rPr>
                <w:rFonts w:ascii="Calibri"/>
                <w:w w:val="105"/>
                <w:sz w:val="6"/>
              </w:rPr>
              <w:t>Parcial</w:t>
            </w:r>
          </w:p>
        </w:tc>
        <w:tc>
          <w:tcPr>
            <w:tcW w:w="2344" w:type="dxa"/>
            <w:tcBorders>
              <w:top w:val="single" w:sz="2" w:space="0" w:color="D3D3D3"/>
              <w:left w:val="single" w:sz="2" w:space="0" w:color="D3D3D3"/>
              <w:right w:val="single" w:sz="2" w:space="0" w:color="D3D3D3"/>
            </w:tcBorders>
          </w:tcPr>
          <w:p>
            <w:pPr>
              <w:pStyle w:val="TableParagraph"/>
              <w:spacing w:before="6"/>
              <w:ind w:left="8"/>
              <w:jc w:val="left"/>
              <w:rPr>
                <w:rFonts w:ascii="Calibri" w:hAnsi="Calibri"/>
                <w:sz w:val="6"/>
              </w:rPr>
            </w:pPr>
            <w:r>
              <w:rPr>
                <w:rFonts w:ascii="Calibri" w:hAnsi="Calibri"/>
                <w:w w:val="105"/>
                <w:sz w:val="6"/>
              </w:rPr>
              <w:t>¿El conjunto urbano cuenta con entrega y recepción de obras?</w:t>
            </w:r>
          </w:p>
        </w:tc>
        <w:tc>
          <w:tcPr>
            <w:tcW w:w="977" w:type="dxa"/>
            <w:tcBorders>
              <w:top w:val="single" w:sz="2" w:space="0" w:color="D3D3D3"/>
              <w:left w:val="single" w:sz="2" w:space="0" w:color="D3D3D3"/>
              <w:bottom w:val="single" w:sz="34" w:space="0" w:color="BAF9F5"/>
            </w:tcBorders>
          </w:tcPr>
          <w:p>
            <w:pPr>
              <w:pStyle w:val="TableParagraph"/>
              <w:spacing w:before="6"/>
              <w:ind w:left="446" w:right="444"/>
              <w:rPr>
                <w:rFonts w:ascii="Calibri"/>
                <w:sz w:val="6"/>
              </w:rPr>
            </w:pPr>
            <w:r>
              <w:rPr>
                <w:rFonts w:ascii="Calibri"/>
                <w:w w:val="105"/>
                <w:sz w:val="6"/>
              </w:rPr>
              <w:t>Si</w:t>
            </w:r>
          </w:p>
        </w:tc>
        <w:tc>
          <w:tcPr>
            <w:tcW w:w="1449" w:type="dxa"/>
            <w:tcBorders>
              <w:bottom w:val="single" w:sz="34" w:space="0" w:color="BAF9F5"/>
            </w:tcBorders>
            <w:shd w:val="clear" w:color="auto" w:fill="808080"/>
          </w:tcPr>
          <w:p>
            <w:pPr>
              <w:pStyle w:val="TableParagraph"/>
              <w:spacing w:before="8"/>
              <w:ind w:left="539" w:right="532"/>
              <w:rPr>
                <w:rFonts w:ascii="Calibri"/>
                <w:sz w:val="6"/>
              </w:rPr>
            </w:pPr>
            <w:r>
              <w:rPr>
                <w:rFonts w:ascii="Calibri"/>
                <w:w w:val="105"/>
                <w:sz w:val="6"/>
              </w:rPr>
              <w:t>Parcialmente</w:t>
            </w:r>
          </w:p>
        </w:tc>
        <w:tc>
          <w:tcPr>
            <w:tcW w:w="1512" w:type="dxa"/>
            <w:tcBorders>
              <w:top w:val="single" w:sz="2" w:space="0" w:color="D3D3D3"/>
              <w:bottom w:val="single" w:sz="34" w:space="0" w:color="BAF9F5"/>
              <w:right w:val="single" w:sz="2" w:space="0" w:color="D3D3D3"/>
            </w:tcBorders>
          </w:tcPr>
          <w:p>
            <w:pPr>
              <w:pStyle w:val="TableParagraph"/>
              <w:spacing w:before="6"/>
              <w:ind w:left="612" w:right="606"/>
              <w:rPr>
                <w:rFonts w:ascii="Calibri"/>
                <w:sz w:val="6"/>
              </w:rPr>
            </w:pPr>
            <w:r>
              <w:rPr>
                <w:rFonts w:ascii="Calibri"/>
                <w:w w:val="105"/>
                <w:sz w:val="6"/>
              </w:rPr>
              <w:t>No</w:t>
            </w:r>
          </w:p>
        </w:tc>
        <w:tc>
          <w:tcPr>
            <w:tcW w:w="652" w:type="dxa"/>
            <w:tcBorders>
              <w:top w:val="single" w:sz="2" w:space="0" w:color="D3D3D3"/>
              <w:left w:val="single" w:sz="2" w:space="0" w:color="D3D3D3"/>
              <w:bottom w:val="single" w:sz="34" w:space="0" w:color="BAF9F5"/>
              <w:right w:val="single" w:sz="2" w:space="0" w:color="D3D3D3"/>
            </w:tcBorders>
          </w:tcPr>
          <w:p>
            <w:pPr>
              <w:pStyle w:val="TableParagraph"/>
              <w:spacing w:before="6"/>
              <w:ind w:left="131" w:right="132"/>
              <w:rPr>
                <w:rFonts w:ascii="Calibri"/>
                <w:sz w:val="6"/>
              </w:rPr>
            </w:pPr>
            <w:r>
              <w:rPr>
                <w:rFonts w:ascii="Calibri"/>
                <w:w w:val="105"/>
                <w:sz w:val="6"/>
              </w:rPr>
              <w:t>Comentarios:</w:t>
            </w:r>
          </w:p>
        </w:tc>
        <w:tc>
          <w:tcPr>
            <w:tcW w:w="582" w:type="dxa"/>
            <w:tcBorders>
              <w:top w:val="single" w:sz="2" w:space="0" w:color="D3D3D3"/>
              <w:left w:val="single" w:sz="2" w:space="0" w:color="D3D3D3"/>
              <w:bottom w:val="single" w:sz="34" w:space="0" w:color="BAF9F5"/>
              <w:right w:val="single" w:sz="2" w:space="0" w:color="D3D3D3"/>
            </w:tcBorders>
          </w:tcPr>
          <w:p>
            <w:pPr/>
          </w:p>
        </w:tc>
        <w:tc>
          <w:tcPr>
            <w:tcW w:w="1105" w:type="dxa"/>
            <w:tcBorders>
              <w:top w:val="single" w:sz="2" w:space="0" w:color="D3D3D3"/>
              <w:left w:val="single" w:sz="2" w:space="0" w:color="D3D3D3"/>
              <w:bottom w:val="single" w:sz="34" w:space="0" w:color="BAF9F5"/>
              <w:right w:val="single" w:sz="15" w:space="0" w:color="FFFFFF"/>
            </w:tcBorders>
          </w:tcPr>
          <w:p>
            <w:pPr/>
          </w:p>
        </w:tc>
        <w:tc>
          <w:tcPr>
            <w:tcW w:w="485" w:type="dxa"/>
            <w:tcBorders>
              <w:top w:val="single" w:sz="2" w:space="0" w:color="D3D3D3"/>
              <w:left w:val="single" w:sz="15" w:space="0" w:color="FFFFFF"/>
              <w:bottom w:val="single" w:sz="34" w:space="0" w:color="BAF9F5"/>
              <w:right w:val="single" w:sz="2" w:space="0" w:color="D3D3D3"/>
            </w:tcBorders>
          </w:tcPr>
          <w:p>
            <w:pPr/>
          </w:p>
        </w:tc>
        <w:tc>
          <w:tcPr>
            <w:tcW w:w="346" w:type="dxa"/>
            <w:tcBorders>
              <w:top w:val="single" w:sz="2" w:space="0" w:color="D3D3D3"/>
              <w:left w:val="single" w:sz="2" w:space="0" w:color="D3D3D3"/>
              <w:right w:val="single" w:sz="2" w:space="0" w:color="D3D3D3"/>
            </w:tcBorders>
          </w:tcPr>
          <w:p>
            <w:pPr/>
          </w:p>
        </w:tc>
        <w:tc>
          <w:tcPr>
            <w:tcW w:w="345" w:type="dxa"/>
            <w:tcBorders>
              <w:top w:val="single" w:sz="2" w:space="0" w:color="D3D3D3"/>
              <w:left w:val="single" w:sz="2" w:space="0" w:color="D3D3D3"/>
              <w:bottom w:val="single" w:sz="34" w:space="0" w:color="BAF9F5"/>
              <w:right w:val="single" w:sz="2" w:space="0" w:color="D3D3D3"/>
            </w:tcBorders>
          </w:tcPr>
          <w:p>
            <w:pPr/>
          </w:p>
        </w:tc>
        <w:tc>
          <w:tcPr>
            <w:tcW w:w="346" w:type="dxa"/>
            <w:tcBorders>
              <w:top w:val="single" w:sz="2" w:space="0" w:color="D3D3D3"/>
              <w:left w:val="single" w:sz="2" w:space="0" w:color="D3D3D3"/>
              <w:bottom w:val="single" w:sz="34" w:space="0" w:color="BAF9F5"/>
              <w:right w:val="single" w:sz="2" w:space="0" w:color="D3D3D3"/>
            </w:tcBorders>
          </w:tcPr>
          <w:p>
            <w:pPr/>
          </w:p>
        </w:tc>
        <w:tc>
          <w:tcPr>
            <w:tcW w:w="89" w:type="dxa"/>
            <w:tcBorders>
              <w:top w:val="single" w:sz="2" w:space="0" w:color="D3D3D3"/>
              <w:left w:val="single" w:sz="2" w:space="0" w:color="D3D3D3"/>
            </w:tcBorders>
          </w:tcPr>
          <w:p>
            <w:pPr/>
          </w:p>
        </w:tc>
      </w:tr>
      <w:tr>
        <w:trPr>
          <w:trHeight w:val="63"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1512" w:type="dxa"/>
            <w:shd w:val="clear" w:color="auto" w:fill="BAF9F5"/>
          </w:tcPr>
          <w:p>
            <w:pPr/>
          </w:p>
        </w:tc>
        <w:tc>
          <w:tcPr>
            <w:tcW w:w="652" w:type="dxa"/>
            <w:shd w:val="clear" w:color="auto" w:fill="BAF9F5"/>
          </w:tcPr>
          <w:p>
            <w:pPr/>
          </w:p>
        </w:tc>
        <w:tc>
          <w:tcPr>
            <w:tcW w:w="582"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5" w:type="dxa"/>
            <w:shd w:val="clear" w:color="auto" w:fill="BAF9F5"/>
          </w:tcPr>
          <w:p>
            <w:pPr/>
          </w:p>
        </w:tc>
        <w:tc>
          <w:tcPr>
            <w:tcW w:w="346" w:type="dxa"/>
            <w:shd w:val="clear" w:color="auto" w:fill="BAF9F5"/>
          </w:tcPr>
          <w:p>
            <w:pPr/>
          </w:p>
        </w:tc>
        <w:tc>
          <w:tcPr>
            <w:tcW w:w="89" w:type="dxa"/>
          </w:tcPr>
          <w:p>
            <w:pPr/>
          </w:p>
        </w:tc>
      </w:tr>
      <w:tr>
        <w:trPr>
          <w:trHeight w:val="102"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Style w:val="TableParagraph"/>
              <w:spacing w:before="49"/>
              <w:ind w:left="8"/>
              <w:jc w:val="left"/>
              <w:rPr>
                <w:rFonts w:ascii="Calibri"/>
                <w:sz w:val="6"/>
              </w:rPr>
            </w:pPr>
            <w:r>
              <w:rPr>
                <w:rFonts w:ascii="Calibri"/>
                <w:w w:val="105"/>
                <w:sz w:val="6"/>
              </w:rPr>
              <w:t>Total</w:t>
            </w:r>
          </w:p>
        </w:tc>
        <w:tc>
          <w:tcPr>
            <w:tcW w:w="2344" w:type="dxa"/>
            <w:tcBorders>
              <w:left w:val="single" w:sz="2" w:space="0" w:color="D3D3D3"/>
              <w:right w:val="single" w:sz="2" w:space="0" w:color="D3D3D3"/>
            </w:tcBorders>
          </w:tcPr>
          <w:p>
            <w:pPr>
              <w:pStyle w:val="TableParagraph"/>
              <w:spacing w:before="49"/>
              <w:ind w:left="8"/>
              <w:jc w:val="left"/>
              <w:rPr>
                <w:rFonts w:ascii="Calibri" w:hAnsi="Calibri"/>
                <w:sz w:val="6"/>
              </w:rPr>
            </w:pPr>
            <w:r>
              <w:rPr>
                <w:rFonts w:ascii="Calibri" w:hAnsi="Calibri"/>
                <w:w w:val="105"/>
                <w:sz w:val="6"/>
              </w:rPr>
              <w:t>¿El CU cuenta con liberación de dictamenes de autorización?</w:t>
            </w:r>
          </w:p>
        </w:tc>
        <w:tc>
          <w:tcPr>
            <w:tcW w:w="977" w:type="dxa"/>
            <w:tcBorders>
              <w:top w:val="single" w:sz="34" w:space="0" w:color="BAF9F5"/>
              <w:left w:val="single" w:sz="2" w:space="0" w:color="D3D3D3"/>
              <w:bottom w:val="single" w:sz="34" w:space="0" w:color="BAF9F5"/>
              <w:right w:val="single" w:sz="2" w:space="0" w:color="D3D3D3"/>
            </w:tcBorders>
          </w:tcPr>
          <w:p>
            <w:pPr>
              <w:pStyle w:val="TableParagraph"/>
              <w:spacing w:line="2" w:lineRule="exact"/>
              <w:ind w:left="3"/>
              <w:rPr>
                <w:rFonts w:ascii="Calibri"/>
                <w:sz w:val="6"/>
              </w:rPr>
            </w:pPr>
            <w:r>
              <w:rPr>
                <w:rFonts w:ascii="Calibri"/>
                <w:w w:val="104"/>
                <w:sz w:val="6"/>
              </w:rPr>
              <w:t>1</w:t>
            </w:r>
          </w:p>
          <w:p>
            <w:pPr>
              <w:pStyle w:val="TableParagraph"/>
              <w:spacing w:before="6"/>
              <w:ind w:left="361" w:right="356"/>
              <w:rPr>
                <w:rFonts w:ascii="Calibri"/>
                <w:sz w:val="6"/>
              </w:rPr>
            </w:pPr>
            <w:r>
              <w:rPr>
                <w:rFonts w:ascii="Calibri"/>
                <w:w w:val="105"/>
                <w:sz w:val="6"/>
              </w:rPr>
              <w:t>SI</w:t>
            </w:r>
          </w:p>
        </w:tc>
        <w:tc>
          <w:tcPr>
            <w:tcW w:w="1449" w:type="dxa"/>
            <w:tcBorders>
              <w:top w:val="single" w:sz="34" w:space="0" w:color="BAF9F5"/>
              <w:left w:val="single" w:sz="2" w:space="0" w:color="D3D3D3"/>
              <w:bottom w:val="single" w:sz="34" w:space="0" w:color="BAF9F5"/>
            </w:tcBorders>
          </w:tcPr>
          <w:p>
            <w:pPr>
              <w:pStyle w:val="TableParagraph"/>
              <w:spacing w:line="2" w:lineRule="exact"/>
              <w:ind w:left="533" w:right="533"/>
              <w:rPr>
                <w:rFonts w:ascii="Calibri"/>
                <w:sz w:val="6"/>
              </w:rPr>
            </w:pPr>
            <w:r>
              <w:rPr>
                <w:rFonts w:ascii="Calibri"/>
                <w:w w:val="105"/>
                <w:sz w:val="6"/>
              </w:rPr>
              <w:t>0.5</w:t>
            </w:r>
          </w:p>
          <w:p>
            <w:pPr>
              <w:pStyle w:val="TableParagraph"/>
              <w:spacing w:before="6"/>
              <w:ind w:left="535" w:right="533"/>
              <w:rPr>
                <w:rFonts w:ascii="Calibri"/>
                <w:sz w:val="6"/>
              </w:rPr>
            </w:pPr>
            <w:r>
              <w:rPr>
                <w:rFonts w:ascii="Calibri"/>
                <w:w w:val="105"/>
                <w:sz w:val="6"/>
              </w:rPr>
              <w:t>Parcialmente</w:t>
            </w:r>
          </w:p>
        </w:tc>
        <w:tc>
          <w:tcPr>
            <w:tcW w:w="1512" w:type="dxa"/>
            <w:tcBorders>
              <w:top w:val="single" w:sz="34" w:space="0" w:color="BAF9F5"/>
              <w:bottom w:val="single" w:sz="34" w:space="0" w:color="BAF9F5"/>
            </w:tcBorders>
          </w:tcPr>
          <w:p>
            <w:pPr>
              <w:pStyle w:val="TableParagraph"/>
              <w:spacing w:line="2" w:lineRule="exact"/>
              <w:ind w:left="4"/>
              <w:rPr>
                <w:rFonts w:ascii="Calibri"/>
                <w:sz w:val="6"/>
              </w:rPr>
            </w:pPr>
            <w:r>
              <w:rPr>
                <w:rFonts w:ascii="Calibri"/>
                <w:w w:val="104"/>
                <w:sz w:val="6"/>
              </w:rPr>
              <w:t>0</w:t>
            </w:r>
          </w:p>
          <w:p>
            <w:pPr>
              <w:pStyle w:val="TableParagraph"/>
              <w:tabs>
                <w:tab w:pos="722" w:val="left" w:leader="none"/>
                <w:tab w:pos="1515" w:val="left" w:leader="none"/>
              </w:tabs>
              <w:spacing w:before="6"/>
              <w:ind w:right="-4"/>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No</w:t>
            </w:r>
            <w:r>
              <w:rPr>
                <w:rFonts w:ascii="Calibri"/>
                <w:sz w:val="6"/>
                <w:shd w:fill="808080" w:color="auto" w:val="clear"/>
              </w:rPr>
              <w:tab/>
            </w:r>
          </w:p>
        </w:tc>
        <w:tc>
          <w:tcPr>
            <w:tcW w:w="652" w:type="dxa"/>
            <w:tcBorders>
              <w:top w:val="single" w:sz="34" w:space="0" w:color="BAF9F5"/>
              <w:bottom w:val="single" w:sz="34" w:space="0" w:color="BAF9F5"/>
              <w:right w:val="single" w:sz="2" w:space="0" w:color="D3D3D3"/>
            </w:tcBorders>
          </w:tcPr>
          <w:p>
            <w:pPr>
              <w:pStyle w:val="TableParagraph"/>
              <w:spacing w:before="6"/>
              <w:ind w:left="133" w:right="130"/>
              <w:rPr>
                <w:rFonts w:ascii="Calibri"/>
                <w:sz w:val="6"/>
              </w:rPr>
            </w:pPr>
            <w:r>
              <w:rPr>
                <w:rFonts w:ascii="Calibri"/>
                <w:w w:val="105"/>
                <w:sz w:val="6"/>
              </w:rPr>
              <w:t>Comentarios:</w:t>
            </w:r>
          </w:p>
        </w:tc>
        <w:tc>
          <w:tcPr>
            <w:tcW w:w="582" w:type="dxa"/>
            <w:tcBorders>
              <w:top w:val="single" w:sz="34" w:space="0" w:color="BAF9F5"/>
              <w:left w:val="single" w:sz="2" w:space="0" w:color="D3D3D3"/>
              <w:bottom w:val="single" w:sz="34" w:space="0" w:color="BAF9F5"/>
              <w:right w:val="single" w:sz="2" w:space="0" w:color="D3D3D3"/>
            </w:tcBorders>
          </w:tcPr>
          <w:p>
            <w:pPr/>
          </w:p>
        </w:tc>
        <w:tc>
          <w:tcPr>
            <w:tcW w:w="1105" w:type="dxa"/>
            <w:tcBorders>
              <w:top w:val="single" w:sz="34" w:space="0" w:color="BAF9F5"/>
              <w:left w:val="single" w:sz="2" w:space="0" w:color="D3D3D3"/>
              <w:bottom w:val="single" w:sz="34" w:space="0" w:color="BAF9F5"/>
              <w:right w:val="single" w:sz="15" w:space="0" w:color="FFFFFF"/>
            </w:tcBorders>
          </w:tcPr>
          <w:p>
            <w:pPr/>
          </w:p>
        </w:tc>
        <w:tc>
          <w:tcPr>
            <w:tcW w:w="485" w:type="dxa"/>
            <w:tcBorders>
              <w:top w:val="single" w:sz="34" w:space="0" w:color="BAF9F5"/>
              <w:left w:val="single" w:sz="15" w:space="0" w:color="FFFFFF"/>
              <w:bottom w:val="single" w:sz="34" w:space="0" w:color="BAF9F5"/>
              <w:right w:val="single" w:sz="2" w:space="0" w:color="D3D3D3"/>
            </w:tcBorders>
          </w:tcPr>
          <w:p>
            <w:pPr>
              <w:pStyle w:val="TableParagraph"/>
              <w:spacing w:line="2" w:lineRule="exact"/>
              <w:ind w:left="173" w:right="169"/>
              <w:rPr>
                <w:rFonts w:ascii="Calibri"/>
                <w:sz w:val="6"/>
              </w:rPr>
            </w:pPr>
            <w:r>
              <w:rPr>
                <w:rFonts w:ascii="Calibri"/>
                <w:w w:val="105"/>
                <w:sz w:val="6"/>
              </w:rPr>
              <w:t>0.5</w:t>
            </w:r>
          </w:p>
        </w:tc>
        <w:tc>
          <w:tcPr>
            <w:tcW w:w="346" w:type="dxa"/>
            <w:tcBorders>
              <w:left w:val="single" w:sz="2" w:space="0" w:color="D3D3D3"/>
              <w:right w:val="single" w:sz="2" w:space="0" w:color="D3D3D3"/>
            </w:tcBorders>
          </w:tcPr>
          <w:p>
            <w:pPr/>
          </w:p>
        </w:tc>
        <w:tc>
          <w:tcPr>
            <w:tcW w:w="345" w:type="dxa"/>
            <w:tcBorders>
              <w:top w:val="single" w:sz="34" w:space="0" w:color="BAF9F5"/>
              <w:left w:val="single" w:sz="2" w:space="0" w:color="D3D3D3"/>
              <w:bottom w:val="single" w:sz="34" w:space="0" w:color="BAF9F5"/>
              <w:right w:val="single" w:sz="2" w:space="0" w:color="D3D3D3"/>
            </w:tcBorders>
          </w:tcPr>
          <w:p>
            <w:pPr>
              <w:pStyle w:val="TableParagraph"/>
              <w:spacing w:line="2" w:lineRule="exact"/>
              <w:ind w:left="112" w:right="106"/>
              <w:rPr>
                <w:rFonts w:ascii="Calibri"/>
                <w:sz w:val="6"/>
              </w:rPr>
            </w:pPr>
            <w:r>
              <w:rPr>
                <w:rFonts w:ascii="Calibri"/>
                <w:w w:val="105"/>
                <w:sz w:val="6"/>
              </w:rPr>
              <w:t>0.5</w:t>
            </w:r>
          </w:p>
        </w:tc>
        <w:tc>
          <w:tcPr>
            <w:tcW w:w="346" w:type="dxa"/>
            <w:tcBorders>
              <w:top w:val="single" w:sz="34" w:space="0" w:color="BAF9F5"/>
              <w:left w:val="single" w:sz="2" w:space="0" w:color="D3D3D3"/>
              <w:bottom w:val="single" w:sz="34" w:space="0" w:color="BAF9F5"/>
              <w:right w:val="single" w:sz="2" w:space="0" w:color="D3D3D3"/>
            </w:tcBorders>
          </w:tcPr>
          <w:p>
            <w:pPr>
              <w:pStyle w:val="TableParagraph"/>
              <w:spacing w:line="2"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1512" w:type="dxa"/>
            <w:shd w:val="clear" w:color="auto" w:fill="BAF9F5"/>
          </w:tcPr>
          <w:p>
            <w:pPr/>
          </w:p>
        </w:tc>
        <w:tc>
          <w:tcPr>
            <w:tcW w:w="652" w:type="dxa"/>
            <w:shd w:val="clear" w:color="auto" w:fill="BAF9F5"/>
          </w:tcPr>
          <w:p>
            <w:pPr/>
          </w:p>
        </w:tc>
        <w:tc>
          <w:tcPr>
            <w:tcW w:w="582"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5" w:type="dxa"/>
            <w:shd w:val="clear" w:color="auto" w:fill="BAF9F5"/>
          </w:tcPr>
          <w:p>
            <w:pPr/>
          </w:p>
        </w:tc>
        <w:tc>
          <w:tcPr>
            <w:tcW w:w="346" w:type="dxa"/>
            <w:shd w:val="clear" w:color="auto" w:fill="BAF9F5"/>
          </w:tcPr>
          <w:p>
            <w:pPr/>
          </w:p>
        </w:tc>
        <w:tc>
          <w:tcPr>
            <w:tcW w:w="89" w:type="dxa"/>
          </w:tcPr>
          <w:p>
            <w:pPr/>
          </w:p>
        </w:tc>
      </w:tr>
      <w:tr>
        <w:trPr>
          <w:trHeight w:val="85" w:hRule="exact"/>
        </w:trPr>
        <w:tc>
          <w:tcPr>
            <w:tcW w:w="346" w:type="dxa"/>
            <w:tcBorders>
              <w:right w:val="single" w:sz="2" w:space="0" w:color="D3D3D3"/>
            </w:tcBorders>
          </w:tcPr>
          <w:p>
            <w:pPr/>
          </w:p>
        </w:tc>
        <w:tc>
          <w:tcPr>
            <w:tcW w:w="1182" w:type="dxa"/>
            <w:tcBorders>
              <w:left w:val="single" w:sz="2" w:space="0" w:color="D3D3D3"/>
              <w:bottom w:val="single" w:sz="2" w:space="0" w:color="D3D3D3"/>
              <w:right w:val="single" w:sz="2" w:space="0" w:color="D3D3D3"/>
            </w:tcBorders>
          </w:tcPr>
          <w:p>
            <w:pPr/>
          </w:p>
        </w:tc>
        <w:tc>
          <w:tcPr>
            <w:tcW w:w="1240" w:type="dxa"/>
            <w:tcBorders>
              <w:left w:val="single" w:sz="2" w:space="0" w:color="D3D3D3"/>
              <w:bottom w:val="single" w:sz="2" w:space="0" w:color="D3D3D3"/>
              <w:right w:val="single" w:sz="2" w:space="0" w:color="D3D3D3"/>
            </w:tcBorders>
          </w:tcPr>
          <w:p>
            <w:pPr/>
          </w:p>
        </w:tc>
        <w:tc>
          <w:tcPr>
            <w:tcW w:w="2344" w:type="dxa"/>
            <w:tcBorders>
              <w:left w:val="single" w:sz="2" w:space="0" w:color="D3D3D3"/>
              <w:bottom w:val="single" w:sz="2" w:space="0" w:color="D3D3D3"/>
              <w:right w:val="single" w:sz="2" w:space="0" w:color="D3D3D3"/>
            </w:tcBorders>
          </w:tcPr>
          <w:p>
            <w:pPr/>
          </w:p>
        </w:tc>
        <w:tc>
          <w:tcPr>
            <w:tcW w:w="977"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3"/>
              <w:rPr>
                <w:rFonts w:ascii="Calibri"/>
                <w:sz w:val="6"/>
              </w:rPr>
            </w:pPr>
            <w:r>
              <w:rPr>
                <w:rFonts w:ascii="Calibri"/>
                <w:w w:val="104"/>
                <w:sz w:val="6"/>
              </w:rPr>
              <w:t>1</w:t>
            </w:r>
          </w:p>
        </w:tc>
        <w:tc>
          <w:tcPr>
            <w:tcW w:w="1449"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644" w:right="642"/>
              <w:rPr>
                <w:rFonts w:ascii="Calibri"/>
                <w:sz w:val="6"/>
              </w:rPr>
            </w:pPr>
            <w:r>
              <w:rPr>
                <w:rFonts w:ascii="Calibri"/>
                <w:w w:val="105"/>
                <w:sz w:val="6"/>
              </w:rPr>
              <w:t>0.5</w:t>
            </w:r>
          </w:p>
        </w:tc>
        <w:tc>
          <w:tcPr>
            <w:tcW w:w="1512"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2"/>
              <w:rPr>
                <w:rFonts w:ascii="Calibri"/>
                <w:sz w:val="6"/>
              </w:rPr>
            </w:pPr>
            <w:r>
              <w:rPr>
                <w:rFonts w:ascii="Calibri"/>
                <w:w w:val="104"/>
                <w:sz w:val="6"/>
              </w:rPr>
              <w:t>0</w:t>
            </w:r>
          </w:p>
        </w:tc>
        <w:tc>
          <w:tcPr>
            <w:tcW w:w="652" w:type="dxa"/>
            <w:tcBorders>
              <w:left w:val="single" w:sz="2" w:space="0" w:color="D3D3D3"/>
              <w:bottom w:val="single" w:sz="2" w:space="0" w:color="D3D3D3"/>
              <w:right w:val="single" w:sz="2" w:space="0" w:color="D3D3D3"/>
            </w:tcBorders>
            <w:shd w:val="clear" w:color="auto" w:fill="BAF9F5"/>
          </w:tcPr>
          <w:p>
            <w:pPr/>
          </w:p>
        </w:tc>
        <w:tc>
          <w:tcPr>
            <w:tcW w:w="582" w:type="dxa"/>
            <w:tcBorders>
              <w:left w:val="single" w:sz="2" w:space="0" w:color="D3D3D3"/>
              <w:bottom w:val="single" w:sz="2" w:space="0" w:color="D3D3D3"/>
              <w:right w:val="single" w:sz="2" w:space="0" w:color="D3D3D3"/>
            </w:tcBorders>
            <w:shd w:val="clear" w:color="auto" w:fill="BAF9F5"/>
          </w:tcPr>
          <w:p>
            <w:pPr/>
          </w:p>
        </w:tc>
        <w:tc>
          <w:tcPr>
            <w:tcW w:w="1105" w:type="dxa"/>
            <w:tcBorders>
              <w:left w:val="single" w:sz="2" w:space="0" w:color="D3D3D3"/>
              <w:bottom w:val="single" w:sz="2" w:space="0" w:color="D3D3D3"/>
              <w:right w:val="single" w:sz="15" w:space="0" w:color="FFFFFF"/>
            </w:tcBorders>
            <w:shd w:val="clear" w:color="auto" w:fill="BAF9F5"/>
          </w:tcPr>
          <w:p>
            <w:pPr/>
          </w:p>
        </w:tc>
        <w:tc>
          <w:tcPr>
            <w:tcW w:w="485" w:type="dxa"/>
            <w:tcBorders>
              <w:left w:val="single" w:sz="15" w:space="0" w:color="FFFFFF"/>
              <w:bottom w:val="single" w:sz="2" w:space="0" w:color="D3D3D3"/>
            </w:tcBorders>
            <w:shd w:val="clear" w:color="auto" w:fill="BAF9F5"/>
          </w:tcPr>
          <w:p>
            <w:pPr>
              <w:pStyle w:val="TableParagraph"/>
              <w:spacing w:line="41" w:lineRule="exact"/>
              <w:ind w:left="1"/>
              <w:rPr>
                <w:rFonts w:ascii="Calibri"/>
                <w:sz w:val="6"/>
              </w:rPr>
            </w:pPr>
            <w:r>
              <w:rPr>
                <w:rFonts w:ascii="Calibri"/>
                <w:w w:val="104"/>
                <w:sz w:val="6"/>
              </w:rPr>
              <w:t>0</w:t>
            </w:r>
          </w:p>
          <w:p>
            <w:pPr>
              <w:pStyle w:val="TableParagraph"/>
              <w:spacing w:before="9"/>
              <w:ind w:left="107" w:right="104"/>
              <w:rPr>
                <w:rFonts w:ascii="Calibri"/>
                <w:sz w:val="6"/>
              </w:rPr>
            </w:pPr>
            <w:r>
              <w:rPr>
                <w:rFonts w:ascii="Calibri"/>
                <w:w w:val="105"/>
                <w:sz w:val="6"/>
              </w:rPr>
              <w:t>Subtotal</w:t>
            </w:r>
          </w:p>
        </w:tc>
        <w:tc>
          <w:tcPr>
            <w:tcW w:w="346" w:type="dxa"/>
            <w:shd w:val="clear" w:color="auto" w:fill="F79646"/>
          </w:tcPr>
          <w:p>
            <w:pPr>
              <w:pStyle w:val="TableParagraph"/>
              <w:spacing w:before="49"/>
              <w:ind w:left="136"/>
              <w:jc w:val="left"/>
              <w:rPr>
                <w:rFonts w:ascii="Calibri"/>
                <w:sz w:val="6"/>
              </w:rPr>
            </w:pPr>
            <w:r>
              <w:rPr>
                <w:rFonts w:ascii="Calibri"/>
                <w:w w:val="105"/>
                <w:sz w:val="6"/>
              </w:rPr>
              <w:t>0.5</w:t>
            </w:r>
          </w:p>
        </w:tc>
        <w:tc>
          <w:tcPr>
            <w:tcW w:w="345" w:type="dxa"/>
            <w:tcBorders>
              <w:top w:val="single" w:sz="34" w:space="0" w:color="BAF9F5"/>
            </w:tcBorders>
            <w:shd w:val="clear" w:color="auto" w:fill="FFFF00"/>
          </w:tcPr>
          <w:p>
            <w:pPr>
              <w:pStyle w:val="TableParagraph"/>
              <w:spacing w:line="2" w:lineRule="exact"/>
              <w:ind w:left="99" w:right="93"/>
              <w:rPr>
                <w:rFonts w:ascii="Calibri"/>
                <w:sz w:val="6"/>
              </w:rPr>
            </w:pPr>
            <w:r>
              <w:rPr>
                <w:rFonts w:ascii="Calibri"/>
                <w:w w:val="105"/>
                <w:sz w:val="6"/>
              </w:rPr>
              <w:t>0.5</w:t>
            </w:r>
          </w:p>
          <w:p>
            <w:pPr>
              <w:pStyle w:val="TableParagraph"/>
              <w:spacing w:before="6"/>
              <w:ind w:left="6"/>
              <w:rPr>
                <w:rFonts w:ascii="Calibri"/>
                <w:sz w:val="6"/>
              </w:rPr>
            </w:pPr>
            <w:r>
              <w:rPr>
                <w:rFonts w:ascii="Calibri"/>
                <w:w w:val="104"/>
                <w:sz w:val="6"/>
              </w:rPr>
              <w:t>1</w:t>
            </w:r>
          </w:p>
        </w:tc>
        <w:tc>
          <w:tcPr>
            <w:tcW w:w="346" w:type="dxa"/>
            <w:tcBorders>
              <w:top w:val="single" w:sz="34" w:space="0" w:color="BAF9F5"/>
            </w:tcBorders>
            <w:shd w:val="clear" w:color="auto" w:fill="67ED4D"/>
          </w:tcPr>
          <w:p>
            <w:pPr>
              <w:pStyle w:val="TableParagraph"/>
              <w:spacing w:line="2" w:lineRule="exact"/>
              <w:ind w:left="6"/>
              <w:rPr>
                <w:rFonts w:ascii="Calibri"/>
                <w:sz w:val="6"/>
              </w:rPr>
            </w:pPr>
            <w:r>
              <w:rPr>
                <w:rFonts w:ascii="Calibri"/>
                <w:w w:val="104"/>
                <w:sz w:val="6"/>
              </w:rPr>
              <w:t>1</w:t>
            </w:r>
          </w:p>
          <w:p>
            <w:pPr>
              <w:pStyle w:val="TableParagraph"/>
              <w:spacing w:before="6"/>
              <w:ind w:left="6"/>
              <w:rPr>
                <w:rFonts w:ascii="Calibri"/>
                <w:sz w:val="6"/>
              </w:rPr>
            </w:pPr>
            <w:r>
              <w:rPr>
                <w:rFonts w:ascii="Calibri"/>
                <w:w w:val="104"/>
                <w:sz w:val="6"/>
              </w:rPr>
              <w:t>2</w:t>
            </w:r>
          </w:p>
        </w:tc>
        <w:tc>
          <w:tcPr>
            <w:tcW w:w="89" w:type="dxa"/>
            <w:tcBorders>
              <w:bottom w:val="single" w:sz="2" w:space="0" w:color="D3D3D3"/>
            </w:tcBorders>
          </w:tcPr>
          <w:p>
            <w:pPr/>
          </w:p>
        </w:tc>
      </w:tr>
      <w:tr>
        <w:trPr>
          <w:trHeight w:val="82" w:hRule="exact"/>
        </w:trPr>
        <w:tc>
          <w:tcPr>
            <w:tcW w:w="346" w:type="dxa"/>
            <w:tcBorders>
              <w:right w:val="single" w:sz="2" w:space="0" w:color="D3D3D3"/>
            </w:tcBorders>
          </w:tcPr>
          <w:p>
            <w:pPr/>
          </w:p>
        </w:tc>
        <w:tc>
          <w:tcPr>
            <w:tcW w:w="1182" w:type="dxa"/>
            <w:tcBorders>
              <w:top w:val="single" w:sz="2" w:space="0" w:color="D3D3D3"/>
              <w:left w:val="single" w:sz="2" w:space="0" w:color="D3D3D3"/>
              <w:bottom w:val="single" w:sz="2" w:space="0" w:color="D3D3D3"/>
              <w:right w:val="single" w:sz="2" w:space="0" w:color="D3D3D3"/>
            </w:tcBorders>
          </w:tcPr>
          <w:p>
            <w:pPr/>
          </w:p>
        </w:tc>
        <w:tc>
          <w:tcPr>
            <w:tcW w:w="1240" w:type="dxa"/>
            <w:tcBorders>
              <w:top w:val="single" w:sz="2" w:space="0" w:color="D3D3D3"/>
              <w:left w:val="single" w:sz="2" w:space="0" w:color="D3D3D3"/>
              <w:bottom w:val="single" w:sz="2" w:space="0" w:color="D3D3D3"/>
              <w:right w:val="single" w:sz="2" w:space="0" w:color="D3D3D3"/>
            </w:tcBorders>
          </w:tcPr>
          <w:p>
            <w:pPr/>
          </w:p>
        </w:tc>
        <w:tc>
          <w:tcPr>
            <w:tcW w:w="2344" w:type="dxa"/>
            <w:tcBorders>
              <w:top w:val="single" w:sz="2" w:space="0" w:color="D3D3D3"/>
              <w:left w:val="single" w:sz="2" w:space="0" w:color="D3D3D3"/>
              <w:bottom w:val="single" w:sz="2" w:space="0" w:color="D3D3D3"/>
              <w:right w:val="single" w:sz="2" w:space="0" w:color="D3D3D3"/>
            </w:tcBorders>
          </w:tcPr>
          <w:p>
            <w:pPr/>
          </w:p>
        </w:tc>
        <w:tc>
          <w:tcPr>
            <w:tcW w:w="977" w:type="dxa"/>
            <w:tcBorders>
              <w:top w:val="single" w:sz="2" w:space="0" w:color="D3D3D3"/>
              <w:left w:val="single" w:sz="2" w:space="0" w:color="D3D3D3"/>
              <w:bottom w:val="single" w:sz="35" w:space="0" w:color="808080"/>
              <w:right w:val="single" w:sz="2" w:space="0" w:color="D3D3D3"/>
            </w:tcBorders>
          </w:tcPr>
          <w:p>
            <w:pPr/>
          </w:p>
        </w:tc>
        <w:tc>
          <w:tcPr>
            <w:tcW w:w="1449" w:type="dxa"/>
            <w:tcBorders>
              <w:top w:val="single" w:sz="2" w:space="0" w:color="D3D3D3"/>
              <w:left w:val="single" w:sz="2" w:space="0" w:color="D3D3D3"/>
              <w:bottom w:val="single" w:sz="35" w:space="0" w:color="808080"/>
              <w:right w:val="single" w:sz="2" w:space="0" w:color="D3D3D3"/>
            </w:tcBorders>
          </w:tcPr>
          <w:p>
            <w:pPr/>
          </w:p>
        </w:tc>
        <w:tc>
          <w:tcPr>
            <w:tcW w:w="1512" w:type="dxa"/>
            <w:tcBorders>
              <w:top w:val="single" w:sz="2" w:space="0" w:color="D3D3D3"/>
              <w:left w:val="single" w:sz="2" w:space="0" w:color="D3D3D3"/>
              <w:bottom w:val="single" w:sz="2" w:space="0" w:color="D3D3D3"/>
              <w:right w:val="single" w:sz="2" w:space="0" w:color="D3D3D3"/>
            </w:tcBorders>
          </w:tcPr>
          <w:p>
            <w:pPr/>
          </w:p>
        </w:tc>
        <w:tc>
          <w:tcPr>
            <w:tcW w:w="652" w:type="dxa"/>
            <w:tcBorders>
              <w:top w:val="single" w:sz="2" w:space="0" w:color="D3D3D3"/>
              <w:left w:val="single" w:sz="2" w:space="0" w:color="D3D3D3"/>
              <w:bottom w:val="single" w:sz="2" w:space="0" w:color="D3D3D3"/>
              <w:right w:val="single" w:sz="2" w:space="0" w:color="D3D3D3"/>
            </w:tcBorders>
          </w:tcPr>
          <w:p>
            <w:pPr/>
          </w:p>
        </w:tc>
        <w:tc>
          <w:tcPr>
            <w:tcW w:w="582" w:type="dxa"/>
            <w:tcBorders>
              <w:top w:val="single" w:sz="2" w:space="0" w:color="D3D3D3"/>
              <w:left w:val="single" w:sz="2" w:space="0" w:color="D3D3D3"/>
              <w:bottom w:val="single" w:sz="2" w:space="0" w:color="D3D3D3"/>
              <w:right w:val="single" w:sz="2" w:space="0" w:color="D3D3D3"/>
            </w:tcBorders>
          </w:tcPr>
          <w:p>
            <w:pPr/>
          </w:p>
        </w:tc>
        <w:tc>
          <w:tcPr>
            <w:tcW w:w="1105" w:type="dxa"/>
            <w:tcBorders>
              <w:top w:val="single" w:sz="2" w:space="0" w:color="D3D3D3"/>
              <w:left w:val="single" w:sz="2" w:space="0" w:color="D3D3D3"/>
              <w:bottom w:val="single" w:sz="2" w:space="0" w:color="D3D3D3"/>
              <w:right w:val="single" w:sz="15" w:space="0" w:color="FFFFFF"/>
            </w:tcBorders>
          </w:tcPr>
          <w:p>
            <w:pPr/>
          </w:p>
        </w:tc>
        <w:tc>
          <w:tcPr>
            <w:tcW w:w="485" w:type="dxa"/>
            <w:tcBorders>
              <w:top w:val="single" w:sz="2" w:space="0" w:color="D3D3D3"/>
              <w:left w:val="single" w:sz="15" w:space="0" w:color="FFFFFF"/>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345" w:type="dxa"/>
            <w:tcBorders>
              <w:left w:val="single" w:sz="2" w:space="0" w:color="D3D3D3"/>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89" w:type="dxa"/>
            <w:tcBorders>
              <w:top w:val="single" w:sz="2" w:space="0" w:color="D3D3D3"/>
              <w:left w:val="single" w:sz="2" w:space="0" w:color="D3D3D3"/>
              <w:bottom w:val="single" w:sz="2" w:space="0" w:color="D3D3D3"/>
            </w:tcBorders>
          </w:tcPr>
          <w:p>
            <w:pPr/>
          </w:p>
        </w:tc>
      </w:tr>
      <w:tr>
        <w:trPr>
          <w:trHeight w:val="99" w:hRule="exact"/>
        </w:trPr>
        <w:tc>
          <w:tcPr>
            <w:tcW w:w="346" w:type="dxa"/>
            <w:tcBorders>
              <w:right w:val="single" w:sz="2" w:space="0" w:color="D3D3D3"/>
            </w:tcBorders>
          </w:tcPr>
          <w:p>
            <w:pPr/>
          </w:p>
        </w:tc>
        <w:tc>
          <w:tcPr>
            <w:tcW w:w="1182" w:type="dxa"/>
            <w:tcBorders>
              <w:top w:val="single" w:sz="2" w:space="0" w:color="D3D3D3"/>
              <w:left w:val="single" w:sz="2" w:space="0" w:color="D3D3D3"/>
              <w:right w:val="single" w:sz="2" w:space="0" w:color="D3D3D3"/>
            </w:tcBorders>
          </w:tcPr>
          <w:p>
            <w:pPr>
              <w:pStyle w:val="TableParagraph"/>
              <w:spacing w:before="6"/>
              <w:ind w:left="52"/>
              <w:jc w:val="left"/>
              <w:rPr>
                <w:rFonts w:ascii="Calibri"/>
                <w:sz w:val="6"/>
              </w:rPr>
            </w:pPr>
            <w:r>
              <w:rPr>
                <w:rFonts w:ascii="Calibri"/>
                <w:w w:val="105"/>
                <w:sz w:val="6"/>
              </w:rPr>
              <w:t>4 Infraestrutura utilizada</w:t>
            </w:r>
          </w:p>
        </w:tc>
        <w:tc>
          <w:tcPr>
            <w:tcW w:w="1240" w:type="dxa"/>
            <w:tcBorders>
              <w:top w:val="single" w:sz="2" w:space="0" w:color="D3D3D3"/>
              <w:left w:val="single" w:sz="2" w:space="0" w:color="D3D3D3"/>
              <w:right w:val="single" w:sz="2" w:space="0" w:color="D3D3D3"/>
            </w:tcBorders>
          </w:tcPr>
          <w:p>
            <w:pPr>
              <w:pStyle w:val="TableParagraph"/>
              <w:spacing w:before="6"/>
              <w:ind w:left="8"/>
              <w:jc w:val="left"/>
              <w:rPr>
                <w:rFonts w:ascii="Calibri"/>
                <w:sz w:val="6"/>
              </w:rPr>
            </w:pPr>
            <w:r>
              <w:rPr>
                <w:rFonts w:ascii="Calibri"/>
                <w:w w:val="105"/>
                <w:sz w:val="6"/>
              </w:rPr>
              <w:t>Vialidades</w:t>
            </w:r>
          </w:p>
        </w:tc>
        <w:tc>
          <w:tcPr>
            <w:tcW w:w="2344" w:type="dxa"/>
            <w:tcBorders>
              <w:top w:val="single" w:sz="2" w:space="0" w:color="D3D3D3"/>
              <w:left w:val="single" w:sz="2" w:space="0" w:color="D3D3D3"/>
            </w:tcBorders>
          </w:tcPr>
          <w:p>
            <w:pPr>
              <w:pStyle w:val="TableParagraph"/>
              <w:spacing w:before="6"/>
              <w:ind w:left="8"/>
              <w:jc w:val="left"/>
              <w:rPr>
                <w:rFonts w:ascii="Calibri" w:hAnsi="Calibri"/>
                <w:sz w:val="6"/>
              </w:rPr>
            </w:pPr>
            <w:r>
              <w:rPr>
                <w:rFonts w:ascii="Calibri" w:hAnsi="Calibri"/>
                <w:w w:val="105"/>
                <w:sz w:val="6"/>
              </w:rPr>
              <w:t>¿Qué tipo de vialidades utilizó el CU para su conexión?</w:t>
            </w:r>
          </w:p>
        </w:tc>
        <w:tc>
          <w:tcPr>
            <w:tcW w:w="977" w:type="dxa"/>
            <w:tcBorders>
              <w:bottom w:val="single" w:sz="35" w:space="0" w:color="BAF9F5"/>
            </w:tcBorders>
            <w:shd w:val="clear" w:color="auto" w:fill="808080"/>
          </w:tcPr>
          <w:p>
            <w:pPr>
              <w:pStyle w:val="TableParagraph"/>
              <w:spacing w:before="8"/>
              <w:ind w:left="371"/>
              <w:jc w:val="left"/>
              <w:rPr>
                <w:rFonts w:ascii="Calibri"/>
                <w:sz w:val="6"/>
              </w:rPr>
            </w:pPr>
            <w:r>
              <w:rPr>
                <w:rFonts w:ascii="Calibri"/>
                <w:w w:val="105"/>
                <w:sz w:val="6"/>
              </w:rPr>
              <w:t>Primarias</w:t>
            </w:r>
          </w:p>
        </w:tc>
        <w:tc>
          <w:tcPr>
            <w:tcW w:w="1449" w:type="dxa"/>
            <w:tcBorders>
              <w:bottom w:val="single" w:sz="35" w:space="0" w:color="BAF9F5"/>
            </w:tcBorders>
            <w:shd w:val="clear" w:color="auto" w:fill="808080"/>
          </w:tcPr>
          <w:p>
            <w:pPr>
              <w:pStyle w:val="TableParagraph"/>
              <w:spacing w:before="8"/>
              <w:ind w:left="532" w:right="532"/>
              <w:rPr>
                <w:rFonts w:ascii="Calibri"/>
                <w:sz w:val="6"/>
              </w:rPr>
            </w:pPr>
            <w:r>
              <w:rPr>
                <w:rFonts w:ascii="Calibri"/>
                <w:w w:val="105"/>
                <w:sz w:val="6"/>
              </w:rPr>
              <w:t>Secundarias</w:t>
            </w:r>
          </w:p>
        </w:tc>
        <w:tc>
          <w:tcPr>
            <w:tcW w:w="1512" w:type="dxa"/>
            <w:tcBorders>
              <w:top w:val="single" w:sz="2" w:space="0" w:color="D3D3D3"/>
              <w:bottom w:val="single" w:sz="35" w:space="0" w:color="BAF9F5"/>
              <w:right w:val="single" w:sz="2" w:space="0" w:color="D3D3D3"/>
            </w:tcBorders>
          </w:tcPr>
          <w:p>
            <w:pPr>
              <w:pStyle w:val="TableParagraph"/>
              <w:spacing w:before="6"/>
              <w:ind w:left="612" w:right="610"/>
              <w:rPr>
                <w:rFonts w:ascii="Calibri"/>
                <w:sz w:val="6"/>
              </w:rPr>
            </w:pPr>
            <w:r>
              <w:rPr>
                <w:rFonts w:ascii="Calibri"/>
                <w:w w:val="105"/>
                <w:sz w:val="6"/>
              </w:rPr>
              <w:t>Terciarias</w:t>
            </w:r>
          </w:p>
        </w:tc>
        <w:tc>
          <w:tcPr>
            <w:tcW w:w="652" w:type="dxa"/>
            <w:tcBorders>
              <w:top w:val="single" w:sz="2" w:space="0" w:color="D3D3D3"/>
              <w:left w:val="single" w:sz="2" w:space="0" w:color="D3D3D3"/>
              <w:bottom w:val="single" w:sz="35" w:space="0" w:color="BAF9F5"/>
              <w:right w:val="single" w:sz="2" w:space="0" w:color="D3D3D3"/>
            </w:tcBorders>
          </w:tcPr>
          <w:p>
            <w:pPr>
              <w:pStyle w:val="TableParagraph"/>
              <w:spacing w:before="6"/>
              <w:ind w:left="131" w:right="132"/>
              <w:rPr>
                <w:rFonts w:ascii="Calibri"/>
                <w:sz w:val="6"/>
              </w:rPr>
            </w:pPr>
            <w:r>
              <w:rPr>
                <w:rFonts w:ascii="Calibri"/>
                <w:w w:val="105"/>
                <w:sz w:val="6"/>
              </w:rPr>
              <w:t>Locales</w:t>
            </w:r>
          </w:p>
        </w:tc>
        <w:tc>
          <w:tcPr>
            <w:tcW w:w="582" w:type="dxa"/>
            <w:tcBorders>
              <w:top w:val="single" w:sz="2" w:space="0" w:color="D3D3D3"/>
              <w:left w:val="single" w:sz="2" w:space="0" w:color="D3D3D3"/>
              <w:bottom w:val="single" w:sz="35" w:space="0" w:color="BAF9F5"/>
              <w:right w:val="single" w:sz="2" w:space="0" w:color="D3D3D3"/>
            </w:tcBorders>
          </w:tcPr>
          <w:p>
            <w:pPr/>
          </w:p>
        </w:tc>
        <w:tc>
          <w:tcPr>
            <w:tcW w:w="1105" w:type="dxa"/>
            <w:tcBorders>
              <w:top w:val="single" w:sz="2" w:space="0" w:color="D3D3D3"/>
              <w:left w:val="single" w:sz="2" w:space="0" w:color="D3D3D3"/>
              <w:bottom w:val="single" w:sz="35" w:space="0" w:color="BAF9F5"/>
              <w:right w:val="single" w:sz="15" w:space="0" w:color="FFFFFF"/>
            </w:tcBorders>
          </w:tcPr>
          <w:p>
            <w:pPr/>
          </w:p>
        </w:tc>
        <w:tc>
          <w:tcPr>
            <w:tcW w:w="485" w:type="dxa"/>
            <w:tcBorders>
              <w:top w:val="single" w:sz="2" w:space="0" w:color="D3D3D3"/>
              <w:left w:val="single" w:sz="15" w:space="0" w:color="FFFFFF"/>
              <w:bottom w:val="single" w:sz="35" w:space="0" w:color="BAF9F5"/>
              <w:right w:val="single" w:sz="2" w:space="0" w:color="D3D3D3"/>
            </w:tcBorders>
          </w:tcPr>
          <w:p>
            <w:pPr/>
          </w:p>
        </w:tc>
        <w:tc>
          <w:tcPr>
            <w:tcW w:w="346" w:type="dxa"/>
            <w:tcBorders>
              <w:top w:val="single" w:sz="2" w:space="0" w:color="D3D3D3"/>
              <w:left w:val="single" w:sz="2" w:space="0" w:color="D3D3D3"/>
              <w:right w:val="single" w:sz="2" w:space="0" w:color="D3D3D3"/>
            </w:tcBorders>
          </w:tcPr>
          <w:p>
            <w:pPr/>
          </w:p>
        </w:tc>
        <w:tc>
          <w:tcPr>
            <w:tcW w:w="345" w:type="dxa"/>
            <w:tcBorders>
              <w:top w:val="single" w:sz="2" w:space="0" w:color="D3D3D3"/>
              <w:left w:val="single" w:sz="2" w:space="0" w:color="D3D3D3"/>
              <w:bottom w:val="single" w:sz="35" w:space="0" w:color="BAF9F5"/>
              <w:right w:val="single" w:sz="2" w:space="0" w:color="D3D3D3"/>
            </w:tcBorders>
          </w:tcPr>
          <w:p>
            <w:pPr/>
          </w:p>
        </w:tc>
        <w:tc>
          <w:tcPr>
            <w:tcW w:w="346" w:type="dxa"/>
            <w:tcBorders>
              <w:top w:val="single" w:sz="2" w:space="0" w:color="D3D3D3"/>
              <w:left w:val="single" w:sz="2" w:space="0" w:color="D3D3D3"/>
              <w:bottom w:val="single" w:sz="35" w:space="0" w:color="BAF9F5"/>
              <w:right w:val="single" w:sz="2" w:space="0" w:color="D3D3D3"/>
            </w:tcBorders>
          </w:tcPr>
          <w:p>
            <w:pPr/>
          </w:p>
        </w:tc>
        <w:tc>
          <w:tcPr>
            <w:tcW w:w="89" w:type="dxa"/>
            <w:tcBorders>
              <w:top w:val="single" w:sz="2" w:space="0" w:color="D3D3D3"/>
              <w:left w:val="single" w:sz="2" w:space="0" w:color="D3D3D3"/>
            </w:tcBorders>
          </w:tcPr>
          <w:p>
            <w:pPr/>
          </w:p>
        </w:tc>
      </w:tr>
      <w:tr>
        <w:trPr>
          <w:trHeight w:val="63"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1512" w:type="dxa"/>
            <w:shd w:val="clear" w:color="auto" w:fill="BAF9F5"/>
          </w:tcPr>
          <w:p>
            <w:pPr/>
          </w:p>
        </w:tc>
        <w:tc>
          <w:tcPr>
            <w:tcW w:w="652" w:type="dxa"/>
            <w:shd w:val="clear" w:color="auto" w:fill="BAF9F5"/>
          </w:tcPr>
          <w:p>
            <w:pPr/>
          </w:p>
        </w:tc>
        <w:tc>
          <w:tcPr>
            <w:tcW w:w="582"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5" w:type="dxa"/>
            <w:shd w:val="clear" w:color="auto" w:fill="BAF9F5"/>
          </w:tcPr>
          <w:p>
            <w:pPr/>
          </w:p>
        </w:tc>
        <w:tc>
          <w:tcPr>
            <w:tcW w:w="346" w:type="dxa"/>
            <w:shd w:val="clear" w:color="auto" w:fill="BAF9F5"/>
          </w:tcPr>
          <w:p>
            <w:pPr/>
          </w:p>
        </w:tc>
        <w:tc>
          <w:tcPr>
            <w:tcW w:w="89" w:type="dxa"/>
          </w:tcPr>
          <w:p>
            <w:pPr/>
          </w:p>
        </w:tc>
      </w:tr>
      <w:tr>
        <w:trPr>
          <w:trHeight w:val="102"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Style w:val="TableParagraph"/>
              <w:spacing w:before="49"/>
              <w:ind w:left="8"/>
              <w:jc w:val="left"/>
              <w:rPr>
                <w:rFonts w:ascii="Calibri"/>
                <w:sz w:val="6"/>
              </w:rPr>
            </w:pPr>
            <w:r>
              <w:rPr>
                <w:rFonts w:ascii="Calibri"/>
                <w:w w:val="105"/>
                <w:sz w:val="6"/>
              </w:rPr>
              <w:t>Redes</w:t>
            </w:r>
          </w:p>
        </w:tc>
        <w:tc>
          <w:tcPr>
            <w:tcW w:w="2344" w:type="dxa"/>
            <w:tcBorders>
              <w:left w:val="single" w:sz="2" w:space="0" w:color="D3D3D3"/>
              <w:right w:val="single" w:sz="2" w:space="0" w:color="D3D3D3"/>
            </w:tcBorders>
          </w:tcPr>
          <w:p>
            <w:pPr>
              <w:pStyle w:val="TableParagraph"/>
              <w:spacing w:before="49"/>
              <w:ind w:left="8"/>
              <w:jc w:val="left"/>
              <w:rPr>
                <w:rFonts w:ascii="Calibri" w:hAnsi="Calibri"/>
                <w:sz w:val="6"/>
              </w:rPr>
            </w:pPr>
            <w:r>
              <w:rPr>
                <w:rFonts w:ascii="Calibri" w:hAnsi="Calibri"/>
                <w:w w:val="105"/>
                <w:sz w:val="6"/>
              </w:rPr>
              <w:t>¿Qué redes de infraestructura utilizó el CU para su conexión?</w:t>
            </w:r>
          </w:p>
        </w:tc>
        <w:tc>
          <w:tcPr>
            <w:tcW w:w="977"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361" w:right="358"/>
              <w:rPr>
                <w:rFonts w:ascii="Calibri"/>
                <w:sz w:val="6"/>
              </w:rPr>
            </w:pPr>
            <w:r>
              <w:rPr>
                <w:rFonts w:ascii="Calibri"/>
                <w:w w:val="105"/>
                <w:sz w:val="6"/>
              </w:rPr>
              <w:t>0.25</w:t>
            </w:r>
          </w:p>
          <w:p>
            <w:pPr>
              <w:pStyle w:val="TableParagraph"/>
              <w:spacing w:before="6"/>
              <w:ind w:left="361" w:right="360"/>
              <w:rPr>
                <w:rFonts w:ascii="Calibri"/>
                <w:sz w:val="6"/>
              </w:rPr>
            </w:pPr>
            <w:r>
              <w:rPr>
                <w:rFonts w:ascii="Calibri"/>
                <w:w w:val="105"/>
                <w:sz w:val="6"/>
              </w:rPr>
              <w:t>Red Vial</w:t>
            </w:r>
          </w:p>
        </w:tc>
        <w:tc>
          <w:tcPr>
            <w:tcW w:w="1449"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506" w:right="504"/>
              <w:rPr>
                <w:rFonts w:ascii="Calibri"/>
                <w:sz w:val="6"/>
              </w:rPr>
            </w:pPr>
            <w:r>
              <w:rPr>
                <w:rFonts w:ascii="Calibri"/>
                <w:w w:val="105"/>
                <w:sz w:val="6"/>
              </w:rPr>
              <w:t>0.25</w:t>
            </w:r>
          </w:p>
          <w:p>
            <w:pPr>
              <w:pStyle w:val="TableParagraph"/>
              <w:spacing w:before="6"/>
              <w:ind w:left="505" w:right="504"/>
              <w:rPr>
                <w:rFonts w:ascii="Calibri"/>
                <w:sz w:val="6"/>
              </w:rPr>
            </w:pPr>
            <w:r>
              <w:rPr>
                <w:rFonts w:ascii="Calibri"/>
                <w:w w:val="105"/>
                <w:sz w:val="6"/>
              </w:rPr>
              <w:t>Agua potable</w:t>
            </w:r>
          </w:p>
        </w:tc>
        <w:tc>
          <w:tcPr>
            <w:tcW w:w="1512" w:type="dxa"/>
            <w:tcBorders>
              <w:top w:val="single" w:sz="35" w:space="0" w:color="BAF9F5"/>
              <w:left w:val="single" w:sz="2" w:space="0" w:color="D3D3D3"/>
              <w:bottom w:val="single" w:sz="35" w:space="0" w:color="BAF9F5"/>
            </w:tcBorders>
          </w:tcPr>
          <w:p>
            <w:pPr>
              <w:pStyle w:val="TableParagraph"/>
              <w:spacing w:line="3" w:lineRule="exact"/>
              <w:ind w:left="551" w:right="551"/>
              <w:rPr>
                <w:rFonts w:ascii="Calibri"/>
                <w:sz w:val="6"/>
              </w:rPr>
            </w:pPr>
            <w:r>
              <w:rPr>
                <w:rFonts w:ascii="Calibri"/>
                <w:w w:val="105"/>
                <w:sz w:val="6"/>
              </w:rPr>
              <w:t>0.25</w:t>
            </w:r>
          </w:p>
          <w:p>
            <w:pPr>
              <w:pStyle w:val="TableParagraph"/>
              <w:spacing w:before="6"/>
              <w:ind w:left="551" w:right="551"/>
              <w:rPr>
                <w:rFonts w:ascii="Calibri"/>
                <w:sz w:val="6"/>
              </w:rPr>
            </w:pPr>
            <w:r>
              <w:rPr>
                <w:rFonts w:ascii="Calibri"/>
                <w:w w:val="105"/>
                <w:sz w:val="6"/>
              </w:rPr>
              <w:t>Alcantarillado</w:t>
            </w:r>
          </w:p>
        </w:tc>
        <w:tc>
          <w:tcPr>
            <w:tcW w:w="652" w:type="dxa"/>
            <w:tcBorders>
              <w:top w:val="single" w:sz="35" w:space="0" w:color="BAF9F5"/>
              <w:bottom w:val="single" w:sz="35" w:space="0" w:color="BAF9F5"/>
            </w:tcBorders>
          </w:tcPr>
          <w:p>
            <w:pPr>
              <w:pStyle w:val="TableParagraph"/>
              <w:spacing w:line="3" w:lineRule="exact"/>
              <w:rPr>
                <w:rFonts w:ascii="Calibri"/>
                <w:sz w:val="6"/>
              </w:rPr>
            </w:pPr>
            <w:r>
              <w:rPr>
                <w:rFonts w:ascii="Calibri"/>
                <w:w w:val="105"/>
                <w:sz w:val="6"/>
              </w:rPr>
              <w:t>0.25</w:t>
            </w:r>
          </w:p>
          <w:p>
            <w:pPr>
              <w:pStyle w:val="TableParagraph"/>
              <w:spacing w:before="6"/>
              <w:rPr>
                <w:rFonts w:ascii="Calibri" w:hAnsi="Calibri"/>
                <w:sz w:val="6"/>
              </w:rPr>
            </w:pPr>
            <w:r>
              <w:rPr>
                <w:rFonts w:ascii="Times New Roman" w:hAnsi="Times New Roman"/>
                <w:w w:val="104"/>
                <w:sz w:val="6"/>
                <w:shd w:fill="808080" w:color="auto" w:val="clear"/>
              </w:rPr>
              <w:t> </w:t>
            </w:r>
            <w:r>
              <w:rPr>
                <w:rFonts w:ascii="Times New Roman" w:hAnsi="Times New Roman"/>
                <w:sz w:val="6"/>
                <w:shd w:fill="808080" w:color="auto" w:val="clear"/>
              </w:rPr>
              <w:t>       </w:t>
            </w:r>
            <w:r>
              <w:rPr>
                <w:rFonts w:ascii="Calibri" w:hAnsi="Calibri"/>
                <w:w w:val="105"/>
                <w:sz w:val="6"/>
                <w:shd w:fill="808080" w:color="auto" w:val="clear"/>
              </w:rPr>
              <w:t>Energía electrica</w:t>
            </w:r>
            <w:r>
              <w:rPr>
                <w:rFonts w:ascii="Calibri" w:hAnsi="Calibri"/>
                <w:sz w:val="6"/>
                <w:shd w:fill="808080" w:color="auto" w:val="clear"/>
              </w:rPr>
              <w:t> </w:t>
            </w:r>
          </w:p>
        </w:tc>
        <w:tc>
          <w:tcPr>
            <w:tcW w:w="582" w:type="dxa"/>
            <w:tcBorders>
              <w:top w:val="single" w:sz="35" w:space="0" w:color="BAF9F5"/>
              <w:bottom w:val="single" w:sz="35" w:space="0" w:color="BAF9F5"/>
              <w:right w:val="single" w:sz="2" w:space="0" w:color="D3D3D3"/>
            </w:tcBorders>
          </w:tcPr>
          <w:p>
            <w:pPr>
              <w:pStyle w:val="TableParagraph"/>
              <w:spacing w:before="6"/>
              <w:ind w:left="162" w:right="162"/>
              <w:rPr>
                <w:rFonts w:ascii="Calibri"/>
                <w:sz w:val="6"/>
              </w:rPr>
            </w:pPr>
            <w:r>
              <w:rPr>
                <w:rFonts w:ascii="Calibri"/>
                <w:w w:val="105"/>
                <w:sz w:val="6"/>
              </w:rPr>
              <w:t>Ninguna</w:t>
            </w:r>
          </w:p>
        </w:tc>
        <w:tc>
          <w:tcPr>
            <w:tcW w:w="1105" w:type="dxa"/>
            <w:tcBorders>
              <w:top w:val="single" w:sz="35" w:space="0" w:color="BAF9F5"/>
              <w:left w:val="single" w:sz="2" w:space="0" w:color="D3D3D3"/>
              <w:bottom w:val="single" w:sz="35" w:space="0" w:color="BAF9F5"/>
              <w:right w:val="single" w:sz="15" w:space="0" w:color="FFFFFF"/>
            </w:tcBorders>
          </w:tcPr>
          <w:p>
            <w:pPr/>
          </w:p>
        </w:tc>
        <w:tc>
          <w:tcPr>
            <w:tcW w:w="485" w:type="dxa"/>
            <w:tcBorders>
              <w:top w:val="single" w:sz="35" w:space="0" w:color="BAF9F5"/>
              <w:left w:val="single" w:sz="15" w:space="0" w:color="FFFFFF"/>
              <w:bottom w:val="single" w:sz="35" w:space="0" w:color="BAF9F5"/>
              <w:right w:val="single" w:sz="2" w:space="0" w:color="D3D3D3"/>
            </w:tcBorders>
          </w:tcPr>
          <w:p>
            <w:pPr>
              <w:pStyle w:val="TableParagraph"/>
              <w:spacing w:line="3" w:lineRule="exact"/>
              <w:ind w:left="173" w:right="169"/>
              <w:rPr>
                <w:rFonts w:ascii="Calibri"/>
                <w:sz w:val="6"/>
              </w:rPr>
            </w:pPr>
            <w:r>
              <w:rPr>
                <w:rFonts w:ascii="Calibri"/>
                <w:w w:val="105"/>
                <w:sz w:val="6"/>
              </w:rPr>
              <w:t>0.5</w:t>
            </w:r>
          </w:p>
        </w:tc>
        <w:tc>
          <w:tcPr>
            <w:tcW w:w="346" w:type="dxa"/>
            <w:tcBorders>
              <w:left w:val="single" w:sz="2" w:space="0" w:color="D3D3D3"/>
              <w:right w:val="single" w:sz="2" w:space="0" w:color="D3D3D3"/>
            </w:tcBorders>
          </w:tcPr>
          <w:p>
            <w:pPr/>
          </w:p>
        </w:tc>
        <w:tc>
          <w:tcPr>
            <w:tcW w:w="345"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117"/>
              <w:jc w:val="left"/>
              <w:rPr>
                <w:rFonts w:ascii="Calibri"/>
                <w:sz w:val="6"/>
              </w:rPr>
            </w:pPr>
            <w:r>
              <w:rPr>
                <w:rFonts w:ascii="Calibri"/>
                <w:w w:val="105"/>
                <w:sz w:val="6"/>
              </w:rPr>
              <w:t>0.75</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1512" w:type="dxa"/>
            <w:shd w:val="clear" w:color="auto" w:fill="BAF9F5"/>
          </w:tcPr>
          <w:p>
            <w:pPr/>
          </w:p>
        </w:tc>
        <w:tc>
          <w:tcPr>
            <w:tcW w:w="652" w:type="dxa"/>
            <w:shd w:val="clear" w:color="auto" w:fill="BAF9F5"/>
          </w:tcPr>
          <w:p>
            <w:pPr/>
          </w:p>
        </w:tc>
        <w:tc>
          <w:tcPr>
            <w:tcW w:w="582" w:type="dxa"/>
            <w:shd w:val="clear" w:color="auto" w:fill="BAF9F5"/>
          </w:tcPr>
          <w:p>
            <w:pPr/>
          </w:p>
        </w:tc>
        <w:tc>
          <w:tcPr>
            <w:tcW w:w="1105" w:type="dxa"/>
            <w:tcBorders>
              <w:right w:val="single" w:sz="15" w:space="0" w:color="FFFFFF"/>
            </w:tcBorders>
            <w:shd w:val="clear" w:color="auto" w:fill="BAF9F5"/>
          </w:tcPr>
          <w:p>
            <w:pPr/>
          </w:p>
        </w:tc>
        <w:tc>
          <w:tcPr>
            <w:tcW w:w="485" w:type="dxa"/>
            <w:tcBorders>
              <w:left w:val="single" w:sz="15" w:space="0" w:color="FFFFFF"/>
            </w:tcBorders>
            <w:shd w:val="clear" w:color="auto" w:fill="BAF9F5"/>
          </w:tcPr>
          <w:p>
            <w:pPr/>
          </w:p>
        </w:tc>
        <w:tc>
          <w:tcPr>
            <w:tcW w:w="346" w:type="dxa"/>
          </w:tcPr>
          <w:p>
            <w:pPr/>
          </w:p>
        </w:tc>
        <w:tc>
          <w:tcPr>
            <w:tcW w:w="345" w:type="dxa"/>
            <w:shd w:val="clear" w:color="auto" w:fill="BAF9F5"/>
          </w:tcPr>
          <w:p>
            <w:pPr/>
          </w:p>
        </w:tc>
        <w:tc>
          <w:tcPr>
            <w:tcW w:w="346" w:type="dxa"/>
            <w:shd w:val="clear" w:color="auto" w:fill="BAF9F5"/>
          </w:tcPr>
          <w:p>
            <w:pPr/>
          </w:p>
        </w:tc>
        <w:tc>
          <w:tcPr>
            <w:tcW w:w="89" w:type="dxa"/>
          </w:tcPr>
          <w:p>
            <w:pPr/>
          </w:p>
        </w:tc>
      </w:tr>
      <w:tr>
        <w:trPr>
          <w:trHeight w:val="85" w:hRule="exact"/>
        </w:trPr>
        <w:tc>
          <w:tcPr>
            <w:tcW w:w="346" w:type="dxa"/>
            <w:tcBorders>
              <w:right w:val="single" w:sz="2" w:space="0" w:color="D3D3D3"/>
            </w:tcBorders>
          </w:tcPr>
          <w:p>
            <w:pPr/>
          </w:p>
        </w:tc>
        <w:tc>
          <w:tcPr>
            <w:tcW w:w="1182" w:type="dxa"/>
            <w:tcBorders>
              <w:left w:val="single" w:sz="2" w:space="0" w:color="D3D3D3"/>
              <w:bottom w:val="single" w:sz="2" w:space="0" w:color="D3D3D3"/>
              <w:right w:val="single" w:sz="2" w:space="0" w:color="D3D3D3"/>
            </w:tcBorders>
          </w:tcPr>
          <w:p>
            <w:pPr/>
          </w:p>
        </w:tc>
        <w:tc>
          <w:tcPr>
            <w:tcW w:w="1240" w:type="dxa"/>
            <w:tcBorders>
              <w:left w:val="single" w:sz="2" w:space="0" w:color="D3D3D3"/>
              <w:bottom w:val="single" w:sz="2" w:space="0" w:color="D3D3D3"/>
              <w:right w:val="single" w:sz="2" w:space="0" w:color="D3D3D3"/>
            </w:tcBorders>
          </w:tcPr>
          <w:p>
            <w:pPr/>
          </w:p>
        </w:tc>
        <w:tc>
          <w:tcPr>
            <w:tcW w:w="2344" w:type="dxa"/>
            <w:tcBorders>
              <w:left w:val="single" w:sz="2" w:space="0" w:color="D3D3D3"/>
              <w:bottom w:val="single" w:sz="2" w:space="0" w:color="D3D3D3"/>
              <w:right w:val="single" w:sz="2" w:space="0" w:color="D3D3D3"/>
            </w:tcBorders>
          </w:tcPr>
          <w:p>
            <w:pPr/>
          </w:p>
        </w:tc>
        <w:tc>
          <w:tcPr>
            <w:tcW w:w="977"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409" w:right="406"/>
              <w:rPr>
                <w:rFonts w:ascii="Calibri"/>
                <w:sz w:val="6"/>
              </w:rPr>
            </w:pPr>
            <w:r>
              <w:rPr>
                <w:rFonts w:ascii="Calibri"/>
                <w:w w:val="105"/>
                <w:sz w:val="6"/>
              </w:rPr>
              <w:t>0.4</w:t>
            </w:r>
          </w:p>
        </w:tc>
        <w:tc>
          <w:tcPr>
            <w:tcW w:w="1449"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644" w:right="642"/>
              <w:rPr>
                <w:rFonts w:ascii="Calibri"/>
                <w:sz w:val="6"/>
              </w:rPr>
            </w:pPr>
            <w:r>
              <w:rPr>
                <w:rFonts w:ascii="Calibri"/>
                <w:w w:val="105"/>
                <w:sz w:val="6"/>
              </w:rPr>
              <w:t>0.2</w:t>
            </w:r>
          </w:p>
        </w:tc>
        <w:tc>
          <w:tcPr>
            <w:tcW w:w="1512"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678" w:right="676"/>
              <w:rPr>
                <w:rFonts w:ascii="Calibri"/>
                <w:sz w:val="6"/>
              </w:rPr>
            </w:pPr>
            <w:r>
              <w:rPr>
                <w:rFonts w:ascii="Calibri"/>
                <w:w w:val="105"/>
                <w:sz w:val="6"/>
              </w:rPr>
              <w:t>0.2</w:t>
            </w:r>
          </w:p>
        </w:tc>
        <w:tc>
          <w:tcPr>
            <w:tcW w:w="652"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131" w:right="132"/>
              <w:rPr>
                <w:rFonts w:ascii="Calibri"/>
                <w:sz w:val="6"/>
              </w:rPr>
            </w:pPr>
            <w:r>
              <w:rPr>
                <w:rFonts w:ascii="Calibri"/>
                <w:w w:val="105"/>
                <w:sz w:val="6"/>
              </w:rPr>
              <w:t>0.4</w:t>
            </w:r>
          </w:p>
        </w:tc>
        <w:tc>
          <w:tcPr>
            <w:tcW w:w="582"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5"/>
              <w:rPr>
                <w:rFonts w:ascii="Calibri"/>
                <w:sz w:val="6"/>
              </w:rPr>
            </w:pPr>
            <w:r>
              <w:rPr>
                <w:rFonts w:ascii="Calibri"/>
                <w:w w:val="104"/>
                <w:sz w:val="6"/>
              </w:rPr>
              <w:t>1</w:t>
            </w:r>
          </w:p>
        </w:tc>
        <w:tc>
          <w:tcPr>
            <w:tcW w:w="1105" w:type="dxa"/>
            <w:tcBorders>
              <w:left w:val="single" w:sz="2" w:space="0" w:color="D3D3D3"/>
              <w:bottom w:val="single" w:sz="2" w:space="0" w:color="D3D3D3"/>
              <w:right w:val="single" w:sz="15" w:space="0" w:color="FFFFFF"/>
            </w:tcBorders>
            <w:shd w:val="clear" w:color="auto" w:fill="BAF9F5"/>
          </w:tcPr>
          <w:p>
            <w:pPr/>
          </w:p>
        </w:tc>
        <w:tc>
          <w:tcPr>
            <w:tcW w:w="485" w:type="dxa"/>
            <w:tcBorders>
              <w:left w:val="single" w:sz="15" w:space="0" w:color="FFFFFF"/>
              <w:bottom w:val="single" w:sz="2" w:space="0" w:color="D3D3D3"/>
            </w:tcBorders>
            <w:shd w:val="clear" w:color="auto" w:fill="BAF9F5"/>
          </w:tcPr>
          <w:p>
            <w:pPr>
              <w:pStyle w:val="TableParagraph"/>
              <w:spacing w:line="41" w:lineRule="exact"/>
              <w:ind w:left="105" w:right="104"/>
              <w:rPr>
                <w:rFonts w:ascii="Calibri"/>
                <w:sz w:val="6"/>
              </w:rPr>
            </w:pPr>
            <w:r>
              <w:rPr>
                <w:rFonts w:ascii="Calibri"/>
                <w:w w:val="105"/>
                <w:sz w:val="6"/>
              </w:rPr>
              <w:t>0.4</w:t>
            </w:r>
          </w:p>
          <w:p>
            <w:pPr>
              <w:pStyle w:val="TableParagraph"/>
              <w:spacing w:before="9"/>
              <w:ind w:left="107" w:right="104"/>
              <w:rPr>
                <w:rFonts w:ascii="Calibri"/>
                <w:sz w:val="6"/>
              </w:rPr>
            </w:pPr>
            <w:r>
              <w:rPr>
                <w:rFonts w:ascii="Calibri"/>
                <w:w w:val="105"/>
                <w:sz w:val="6"/>
              </w:rPr>
              <w:t>Subtotal</w:t>
            </w:r>
          </w:p>
        </w:tc>
        <w:tc>
          <w:tcPr>
            <w:tcW w:w="346" w:type="dxa"/>
            <w:shd w:val="clear" w:color="auto" w:fill="F79646"/>
          </w:tcPr>
          <w:p>
            <w:pPr>
              <w:pStyle w:val="TableParagraph"/>
              <w:spacing w:before="49"/>
              <w:ind w:left="136"/>
              <w:jc w:val="left"/>
              <w:rPr>
                <w:rFonts w:ascii="Calibri"/>
                <w:sz w:val="6"/>
              </w:rPr>
            </w:pPr>
            <w:r>
              <w:rPr>
                <w:rFonts w:ascii="Calibri"/>
                <w:w w:val="105"/>
                <w:sz w:val="6"/>
              </w:rPr>
              <w:t>0.9</w:t>
            </w:r>
          </w:p>
        </w:tc>
        <w:tc>
          <w:tcPr>
            <w:tcW w:w="345" w:type="dxa"/>
            <w:tcBorders>
              <w:top w:val="single" w:sz="35" w:space="0" w:color="BAF9F5"/>
            </w:tcBorders>
            <w:shd w:val="clear" w:color="auto" w:fill="FFFF00"/>
          </w:tcPr>
          <w:p>
            <w:pPr>
              <w:pStyle w:val="TableParagraph"/>
              <w:spacing w:line="2" w:lineRule="exact"/>
              <w:ind w:left="99" w:right="93"/>
              <w:rPr>
                <w:rFonts w:ascii="Calibri"/>
                <w:sz w:val="6"/>
              </w:rPr>
            </w:pPr>
            <w:r>
              <w:rPr>
                <w:rFonts w:ascii="Calibri"/>
                <w:w w:val="105"/>
                <w:sz w:val="6"/>
              </w:rPr>
              <w:t>0.8</w:t>
            </w:r>
          </w:p>
          <w:p>
            <w:pPr>
              <w:pStyle w:val="TableParagraph"/>
              <w:spacing w:before="6"/>
              <w:ind w:left="99" w:right="93"/>
              <w:rPr>
                <w:rFonts w:ascii="Calibri"/>
                <w:sz w:val="6"/>
              </w:rPr>
            </w:pPr>
            <w:r>
              <w:rPr>
                <w:rFonts w:ascii="Calibri"/>
                <w:w w:val="105"/>
                <w:sz w:val="6"/>
              </w:rPr>
              <w:t>1.55</w:t>
            </w:r>
          </w:p>
        </w:tc>
        <w:tc>
          <w:tcPr>
            <w:tcW w:w="346" w:type="dxa"/>
            <w:tcBorders>
              <w:top w:val="single" w:sz="35" w:space="0" w:color="BAF9F5"/>
            </w:tcBorders>
            <w:shd w:val="clear" w:color="auto" w:fill="67ED4D"/>
          </w:tcPr>
          <w:p>
            <w:pPr>
              <w:pStyle w:val="TableParagraph"/>
              <w:spacing w:line="2" w:lineRule="exact"/>
              <w:ind w:left="6"/>
              <w:rPr>
                <w:rFonts w:ascii="Calibri"/>
                <w:sz w:val="6"/>
              </w:rPr>
            </w:pPr>
            <w:r>
              <w:rPr>
                <w:rFonts w:ascii="Calibri"/>
                <w:w w:val="104"/>
                <w:sz w:val="6"/>
              </w:rPr>
              <w:t>1</w:t>
            </w:r>
          </w:p>
          <w:p>
            <w:pPr>
              <w:pStyle w:val="TableParagraph"/>
              <w:spacing w:before="6"/>
              <w:ind w:left="6"/>
              <w:rPr>
                <w:rFonts w:ascii="Calibri"/>
                <w:sz w:val="6"/>
              </w:rPr>
            </w:pPr>
            <w:r>
              <w:rPr>
                <w:rFonts w:ascii="Calibri"/>
                <w:w w:val="104"/>
                <w:sz w:val="6"/>
              </w:rPr>
              <w:t>2</w:t>
            </w:r>
          </w:p>
        </w:tc>
        <w:tc>
          <w:tcPr>
            <w:tcW w:w="89" w:type="dxa"/>
            <w:tcBorders>
              <w:bottom w:val="single" w:sz="2" w:space="0" w:color="D3D3D3"/>
            </w:tcBorders>
          </w:tcPr>
          <w:p>
            <w:pPr/>
          </w:p>
        </w:tc>
      </w:tr>
      <w:tr>
        <w:trPr>
          <w:trHeight w:val="99" w:hRule="exact"/>
        </w:trPr>
        <w:tc>
          <w:tcPr>
            <w:tcW w:w="346" w:type="dxa"/>
            <w:tcBorders>
              <w:right w:val="single" w:sz="2" w:space="0" w:color="D3D3D3"/>
            </w:tcBorders>
          </w:tcPr>
          <w:p>
            <w:pPr>
              <w:pStyle w:val="TableParagraph"/>
              <w:spacing w:before="4"/>
              <w:ind w:left="51"/>
              <w:jc w:val="left"/>
              <w:rPr>
                <w:rFonts w:ascii="Calibri"/>
                <w:sz w:val="6"/>
              </w:rPr>
            </w:pPr>
            <w:r>
              <w:rPr>
                <w:rFonts w:ascii="Calibri"/>
                <w:w w:val="105"/>
                <w:sz w:val="6"/>
              </w:rPr>
              <w:t>Territorial</w:t>
            </w:r>
          </w:p>
        </w:tc>
        <w:tc>
          <w:tcPr>
            <w:tcW w:w="1182" w:type="dxa"/>
            <w:tcBorders>
              <w:top w:val="single" w:sz="2" w:space="0" w:color="D3D3D3"/>
              <w:left w:val="single" w:sz="2" w:space="0" w:color="D3D3D3"/>
              <w:right w:val="single" w:sz="2" w:space="0" w:color="D3D3D3"/>
            </w:tcBorders>
          </w:tcPr>
          <w:p>
            <w:pPr/>
          </w:p>
        </w:tc>
        <w:tc>
          <w:tcPr>
            <w:tcW w:w="1240" w:type="dxa"/>
            <w:tcBorders>
              <w:top w:val="single" w:sz="2" w:space="0" w:color="D3D3D3"/>
              <w:left w:val="single" w:sz="2" w:space="0" w:color="D3D3D3"/>
              <w:right w:val="single" w:sz="2" w:space="0" w:color="D3D3D3"/>
            </w:tcBorders>
          </w:tcPr>
          <w:p>
            <w:pPr/>
          </w:p>
        </w:tc>
        <w:tc>
          <w:tcPr>
            <w:tcW w:w="2344" w:type="dxa"/>
            <w:tcBorders>
              <w:top w:val="single" w:sz="2" w:space="0" w:color="D3D3D3"/>
              <w:left w:val="single" w:sz="2" w:space="0" w:color="D3D3D3"/>
              <w:right w:val="single" w:sz="2" w:space="0" w:color="D3D3D3"/>
            </w:tcBorders>
          </w:tcPr>
          <w:p>
            <w:pPr/>
          </w:p>
        </w:tc>
        <w:tc>
          <w:tcPr>
            <w:tcW w:w="977" w:type="dxa"/>
            <w:tcBorders>
              <w:top w:val="single" w:sz="2" w:space="0" w:color="D3D3D3"/>
              <w:left w:val="single" w:sz="2" w:space="0" w:color="D3D3D3"/>
              <w:bottom w:val="single" w:sz="34" w:space="0" w:color="808080"/>
              <w:right w:val="single" w:sz="2" w:space="0" w:color="D3D3D3"/>
            </w:tcBorders>
          </w:tcPr>
          <w:p>
            <w:pPr/>
          </w:p>
        </w:tc>
        <w:tc>
          <w:tcPr>
            <w:tcW w:w="1449" w:type="dxa"/>
            <w:tcBorders>
              <w:top w:val="single" w:sz="2" w:space="0" w:color="D3D3D3"/>
              <w:left w:val="single" w:sz="2" w:space="0" w:color="D3D3D3"/>
              <w:bottom w:val="single" w:sz="34" w:space="0" w:color="808080"/>
              <w:right w:val="single" w:sz="2" w:space="0" w:color="D3D3D3"/>
            </w:tcBorders>
          </w:tcPr>
          <w:p>
            <w:pPr/>
          </w:p>
        </w:tc>
        <w:tc>
          <w:tcPr>
            <w:tcW w:w="1512" w:type="dxa"/>
            <w:tcBorders>
              <w:top w:val="single" w:sz="2" w:space="0" w:color="D3D3D3"/>
              <w:left w:val="single" w:sz="2" w:space="0" w:color="D3D3D3"/>
              <w:bottom w:val="single" w:sz="34" w:space="0" w:color="808080"/>
              <w:right w:val="single" w:sz="2" w:space="0" w:color="D3D3D3"/>
            </w:tcBorders>
          </w:tcPr>
          <w:p>
            <w:pPr/>
          </w:p>
        </w:tc>
        <w:tc>
          <w:tcPr>
            <w:tcW w:w="652" w:type="dxa"/>
            <w:tcBorders>
              <w:top w:val="single" w:sz="2" w:space="0" w:color="D3D3D3"/>
              <w:left w:val="single" w:sz="2" w:space="0" w:color="D3D3D3"/>
              <w:bottom w:val="single" w:sz="34" w:space="0" w:color="808080"/>
              <w:right w:val="single" w:sz="2" w:space="0" w:color="D3D3D3"/>
            </w:tcBorders>
          </w:tcPr>
          <w:p>
            <w:pPr/>
          </w:p>
        </w:tc>
        <w:tc>
          <w:tcPr>
            <w:tcW w:w="582" w:type="dxa"/>
            <w:tcBorders>
              <w:top w:val="single" w:sz="2" w:space="0" w:color="D3D3D3"/>
              <w:left w:val="single" w:sz="2" w:space="0" w:color="D3D3D3"/>
              <w:right w:val="single" w:sz="2" w:space="0" w:color="D3D3D3"/>
            </w:tcBorders>
          </w:tcPr>
          <w:p>
            <w:pPr/>
          </w:p>
        </w:tc>
        <w:tc>
          <w:tcPr>
            <w:tcW w:w="1105" w:type="dxa"/>
            <w:tcBorders>
              <w:top w:val="single" w:sz="2" w:space="0" w:color="D3D3D3"/>
              <w:left w:val="single" w:sz="2" w:space="0" w:color="D3D3D3"/>
              <w:right w:val="single" w:sz="15" w:space="0" w:color="FFFFFF"/>
            </w:tcBorders>
          </w:tcPr>
          <w:p>
            <w:pPr/>
          </w:p>
        </w:tc>
        <w:tc>
          <w:tcPr>
            <w:tcW w:w="485" w:type="dxa"/>
            <w:tcBorders>
              <w:top w:val="single" w:sz="2" w:space="0" w:color="D3D3D3"/>
              <w:left w:val="single" w:sz="15" w:space="0" w:color="FFFFFF"/>
              <w:right w:val="single" w:sz="2" w:space="0" w:color="D3D3D3"/>
            </w:tcBorders>
          </w:tcPr>
          <w:p>
            <w:pPr/>
          </w:p>
        </w:tc>
        <w:tc>
          <w:tcPr>
            <w:tcW w:w="346" w:type="dxa"/>
            <w:tcBorders>
              <w:left w:val="single" w:sz="2" w:space="0" w:color="D3D3D3"/>
              <w:right w:val="single" w:sz="2" w:space="0" w:color="D3D3D3"/>
            </w:tcBorders>
          </w:tcPr>
          <w:p>
            <w:pPr/>
          </w:p>
        </w:tc>
        <w:tc>
          <w:tcPr>
            <w:tcW w:w="345" w:type="dxa"/>
            <w:tcBorders>
              <w:left w:val="single" w:sz="2" w:space="0" w:color="D3D3D3"/>
              <w:right w:val="single" w:sz="2" w:space="0" w:color="D3D3D3"/>
            </w:tcBorders>
          </w:tcPr>
          <w:p>
            <w:pPr/>
          </w:p>
        </w:tc>
        <w:tc>
          <w:tcPr>
            <w:tcW w:w="346" w:type="dxa"/>
            <w:tcBorders>
              <w:left w:val="single" w:sz="2" w:space="0" w:color="D3D3D3"/>
              <w:right w:val="single" w:sz="2" w:space="0" w:color="D3D3D3"/>
            </w:tcBorders>
          </w:tcPr>
          <w:p>
            <w:pPr/>
          </w:p>
        </w:tc>
        <w:tc>
          <w:tcPr>
            <w:tcW w:w="89" w:type="dxa"/>
            <w:tcBorders>
              <w:top w:val="single" w:sz="2" w:space="0" w:color="D3D3D3"/>
              <w:left w:val="single" w:sz="2" w:space="0" w:color="D3D3D3"/>
            </w:tcBorders>
          </w:tcPr>
          <w:p>
            <w:pPr/>
          </w:p>
        </w:tc>
      </w:tr>
      <w:tr>
        <w:trPr>
          <w:trHeight w:val="63"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808080"/>
          </w:tcPr>
          <w:p>
            <w:pPr/>
          </w:p>
        </w:tc>
        <w:tc>
          <w:tcPr>
            <w:tcW w:w="1449" w:type="dxa"/>
            <w:shd w:val="clear" w:color="auto" w:fill="808080"/>
          </w:tcPr>
          <w:p>
            <w:pPr/>
          </w:p>
        </w:tc>
        <w:tc>
          <w:tcPr>
            <w:tcW w:w="1512" w:type="dxa"/>
            <w:shd w:val="clear" w:color="auto" w:fill="808080"/>
          </w:tcPr>
          <w:p>
            <w:pPr/>
          </w:p>
        </w:tc>
        <w:tc>
          <w:tcPr>
            <w:tcW w:w="652" w:type="dxa"/>
            <w:shd w:val="clear" w:color="auto" w:fill="808080"/>
          </w:tcPr>
          <w:p>
            <w:pPr/>
          </w:p>
        </w:tc>
        <w:tc>
          <w:tcPr>
            <w:tcW w:w="582" w:type="dxa"/>
            <w:tcBorders>
              <w:right w:val="single" w:sz="2" w:space="0" w:color="D3D3D3"/>
            </w:tcBorders>
          </w:tcPr>
          <w:p>
            <w:pPr/>
          </w:p>
        </w:tc>
        <w:tc>
          <w:tcPr>
            <w:tcW w:w="1105" w:type="dxa"/>
            <w:tcBorders>
              <w:left w:val="single" w:sz="2" w:space="0" w:color="D3D3D3"/>
              <w:right w:val="single" w:sz="15" w:space="0" w:color="FFFFFF"/>
            </w:tcBorders>
          </w:tcPr>
          <w:p>
            <w:pPr/>
          </w:p>
        </w:tc>
        <w:tc>
          <w:tcPr>
            <w:tcW w:w="485" w:type="dxa"/>
            <w:tcBorders>
              <w:left w:val="single" w:sz="15" w:space="0" w:color="FFFFFF"/>
              <w:right w:val="single" w:sz="2" w:space="0" w:color="D3D3D3"/>
            </w:tcBorders>
          </w:tcPr>
          <w:p>
            <w:pPr/>
          </w:p>
        </w:tc>
        <w:tc>
          <w:tcPr>
            <w:tcW w:w="346" w:type="dxa"/>
            <w:tcBorders>
              <w:left w:val="single" w:sz="2" w:space="0" w:color="D3D3D3"/>
              <w:right w:val="single" w:sz="2" w:space="0" w:color="D3D3D3"/>
            </w:tcBorders>
          </w:tcPr>
          <w:p>
            <w:pPr/>
          </w:p>
        </w:tc>
        <w:tc>
          <w:tcPr>
            <w:tcW w:w="345" w:type="dxa"/>
            <w:tcBorders>
              <w:left w:val="single" w:sz="2" w:space="0" w:color="D3D3D3"/>
              <w:right w:val="single" w:sz="2" w:space="0" w:color="D3D3D3"/>
            </w:tcBorders>
          </w:tcPr>
          <w:p>
            <w:pPr/>
          </w:p>
        </w:tc>
        <w:tc>
          <w:tcPr>
            <w:tcW w:w="346" w:type="dxa"/>
            <w:tcBorders>
              <w:left w:val="single" w:sz="2" w:space="0" w:color="D3D3D3"/>
              <w:right w:val="single" w:sz="2" w:space="0" w:color="D3D3D3"/>
            </w:tcBorders>
          </w:tcPr>
          <w:p>
            <w:pPr/>
          </w:p>
        </w:tc>
        <w:tc>
          <w:tcPr>
            <w:tcW w:w="89" w:type="dxa"/>
            <w:tcBorders>
              <w:left w:val="single" w:sz="2" w:space="0" w:color="D3D3D3"/>
            </w:tcBorders>
          </w:tcPr>
          <w:p>
            <w:pPr/>
          </w:p>
        </w:tc>
      </w:tr>
      <w:tr>
        <w:trPr>
          <w:trHeight w:val="88" w:hRule="exact"/>
        </w:trPr>
        <w:tc>
          <w:tcPr>
            <w:tcW w:w="346" w:type="dxa"/>
            <w:tcBorders>
              <w:right w:val="single" w:sz="2" w:space="0" w:color="D3D3D3"/>
            </w:tcBorders>
          </w:tcPr>
          <w:p>
            <w:pPr/>
          </w:p>
        </w:tc>
        <w:tc>
          <w:tcPr>
            <w:tcW w:w="1182" w:type="dxa"/>
            <w:tcBorders>
              <w:left w:val="single" w:sz="2" w:space="0" w:color="D3D3D3"/>
              <w:bottom w:val="single" w:sz="2" w:space="0" w:color="D3D3D3"/>
              <w:right w:val="single" w:sz="2" w:space="0" w:color="D3D3D3"/>
            </w:tcBorders>
          </w:tcPr>
          <w:p>
            <w:pPr>
              <w:pStyle w:val="TableParagraph"/>
              <w:spacing w:line="41" w:lineRule="exact"/>
              <w:ind w:left="52"/>
              <w:jc w:val="left"/>
              <w:rPr>
                <w:rFonts w:ascii="Calibri"/>
                <w:sz w:val="6"/>
              </w:rPr>
            </w:pPr>
            <w:r>
              <w:rPr>
                <w:rFonts w:ascii="Calibri"/>
                <w:w w:val="105"/>
                <w:sz w:val="6"/>
              </w:rPr>
              <w:t>5 Infraestructura desarrollada</w:t>
            </w:r>
          </w:p>
        </w:tc>
        <w:tc>
          <w:tcPr>
            <w:tcW w:w="1240" w:type="dxa"/>
            <w:tcBorders>
              <w:left w:val="single" w:sz="2" w:space="0" w:color="D3D3D3"/>
              <w:bottom w:val="single" w:sz="2" w:space="0" w:color="D3D3D3"/>
              <w:right w:val="single" w:sz="2" w:space="0" w:color="D3D3D3"/>
            </w:tcBorders>
          </w:tcPr>
          <w:p>
            <w:pPr>
              <w:pStyle w:val="TableParagraph"/>
              <w:spacing w:line="41" w:lineRule="exact"/>
              <w:ind w:left="8"/>
              <w:jc w:val="left"/>
              <w:rPr>
                <w:rFonts w:ascii="Calibri"/>
                <w:sz w:val="6"/>
              </w:rPr>
            </w:pPr>
            <w:r>
              <w:rPr>
                <w:rFonts w:ascii="Calibri"/>
                <w:w w:val="105"/>
                <w:sz w:val="6"/>
              </w:rPr>
              <w:t>Vialidades</w:t>
            </w:r>
          </w:p>
        </w:tc>
        <w:tc>
          <w:tcPr>
            <w:tcW w:w="2344" w:type="dxa"/>
            <w:tcBorders>
              <w:left w:val="single" w:sz="2" w:space="0" w:color="D3D3D3"/>
              <w:bottom w:val="single" w:sz="2" w:space="0" w:color="D3D3D3"/>
            </w:tcBorders>
          </w:tcPr>
          <w:p>
            <w:pPr>
              <w:pStyle w:val="TableParagraph"/>
              <w:spacing w:line="41" w:lineRule="exact"/>
              <w:ind w:left="8"/>
              <w:jc w:val="left"/>
              <w:rPr>
                <w:rFonts w:ascii="Calibri" w:hAnsi="Calibri"/>
                <w:sz w:val="6"/>
              </w:rPr>
            </w:pPr>
            <w:r>
              <w:rPr>
                <w:rFonts w:ascii="Calibri" w:hAnsi="Calibri"/>
                <w:w w:val="105"/>
                <w:sz w:val="6"/>
              </w:rPr>
              <w:t>¿Qué tipo de vialidades desarrolló la empresa para la conexicón del CU?</w:t>
            </w:r>
          </w:p>
        </w:tc>
        <w:tc>
          <w:tcPr>
            <w:tcW w:w="977" w:type="dxa"/>
            <w:tcBorders>
              <w:top w:val="single" w:sz="34" w:space="0" w:color="808080"/>
            </w:tcBorders>
            <w:shd w:val="clear" w:color="auto" w:fill="BAF9F5"/>
          </w:tcPr>
          <w:p>
            <w:pPr>
              <w:pStyle w:val="TableParagraph"/>
              <w:spacing w:line="3" w:lineRule="exact"/>
              <w:ind w:left="341" w:right="338"/>
              <w:rPr>
                <w:rFonts w:ascii="Calibri"/>
                <w:sz w:val="6"/>
              </w:rPr>
            </w:pPr>
            <w:r>
              <w:rPr>
                <w:rFonts w:ascii="Calibri"/>
                <w:w w:val="105"/>
                <w:sz w:val="6"/>
              </w:rPr>
              <w:t>Primarias</w:t>
            </w:r>
          </w:p>
          <w:p>
            <w:pPr>
              <w:pStyle w:val="TableParagraph"/>
              <w:spacing w:before="6"/>
              <w:ind w:left="341" w:right="338"/>
              <w:rPr>
                <w:rFonts w:ascii="Calibri"/>
                <w:sz w:val="6"/>
              </w:rPr>
            </w:pPr>
            <w:r>
              <w:rPr>
                <w:rFonts w:ascii="Calibri"/>
                <w:w w:val="105"/>
                <w:sz w:val="6"/>
              </w:rPr>
              <w:t>0.25</w:t>
            </w:r>
          </w:p>
        </w:tc>
        <w:tc>
          <w:tcPr>
            <w:tcW w:w="1449" w:type="dxa"/>
            <w:tcBorders>
              <w:top w:val="single" w:sz="34" w:space="0" w:color="808080"/>
            </w:tcBorders>
            <w:shd w:val="clear" w:color="auto" w:fill="BAF9F5"/>
          </w:tcPr>
          <w:p>
            <w:pPr>
              <w:pStyle w:val="TableParagraph"/>
              <w:spacing w:line="3" w:lineRule="exact"/>
              <w:ind w:left="532" w:right="532"/>
              <w:rPr>
                <w:rFonts w:ascii="Calibri"/>
                <w:sz w:val="6"/>
              </w:rPr>
            </w:pPr>
            <w:r>
              <w:rPr>
                <w:rFonts w:ascii="Calibri"/>
                <w:w w:val="105"/>
                <w:sz w:val="6"/>
              </w:rPr>
              <w:t>Secundarias</w:t>
            </w:r>
          </w:p>
          <w:p>
            <w:pPr>
              <w:pStyle w:val="TableParagraph"/>
              <w:spacing w:before="6"/>
              <w:ind w:left="536" w:right="532"/>
              <w:rPr>
                <w:rFonts w:ascii="Calibri"/>
                <w:sz w:val="6"/>
              </w:rPr>
            </w:pPr>
            <w:r>
              <w:rPr>
                <w:rFonts w:ascii="Calibri"/>
                <w:w w:val="105"/>
                <w:sz w:val="6"/>
              </w:rPr>
              <w:t>0.25</w:t>
            </w:r>
          </w:p>
        </w:tc>
        <w:tc>
          <w:tcPr>
            <w:tcW w:w="1512" w:type="dxa"/>
            <w:tcBorders>
              <w:top w:val="single" w:sz="34" w:space="0" w:color="808080"/>
            </w:tcBorders>
            <w:shd w:val="clear" w:color="auto" w:fill="BAF9F5"/>
          </w:tcPr>
          <w:p>
            <w:pPr>
              <w:pStyle w:val="TableParagraph"/>
              <w:spacing w:line="3" w:lineRule="exact"/>
              <w:ind w:left="612" w:right="612"/>
              <w:rPr>
                <w:rFonts w:ascii="Calibri"/>
                <w:sz w:val="6"/>
              </w:rPr>
            </w:pPr>
            <w:r>
              <w:rPr>
                <w:rFonts w:ascii="Calibri"/>
                <w:w w:val="105"/>
                <w:sz w:val="6"/>
              </w:rPr>
              <w:t>Terciarias</w:t>
            </w:r>
          </w:p>
          <w:p>
            <w:pPr>
              <w:pStyle w:val="TableParagraph"/>
              <w:spacing w:before="6"/>
              <w:ind w:left="612" w:right="608"/>
              <w:rPr>
                <w:rFonts w:ascii="Calibri"/>
                <w:sz w:val="6"/>
              </w:rPr>
            </w:pPr>
            <w:r>
              <w:rPr>
                <w:rFonts w:ascii="Calibri"/>
                <w:w w:val="105"/>
                <w:sz w:val="6"/>
              </w:rPr>
              <w:t>0.25</w:t>
            </w:r>
          </w:p>
        </w:tc>
        <w:tc>
          <w:tcPr>
            <w:tcW w:w="652" w:type="dxa"/>
            <w:tcBorders>
              <w:top w:val="single" w:sz="34" w:space="0" w:color="808080"/>
            </w:tcBorders>
            <w:shd w:val="clear" w:color="auto" w:fill="BAF9F5"/>
          </w:tcPr>
          <w:p>
            <w:pPr>
              <w:pStyle w:val="TableParagraph"/>
              <w:spacing w:line="3" w:lineRule="exact"/>
              <w:rPr>
                <w:rFonts w:ascii="Calibri"/>
                <w:sz w:val="6"/>
              </w:rPr>
            </w:pPr>
            <w:r>
              <w:rPr>
                <w:rFonts w:ascii="Calibri"/>
                <w:w w:val="105"/>
                <w:sz w:val="6"/>
              </w:rPr>
              <w:t>Locales</w:t>
            </w:r>
          </w:p>
          <w:p>
            <w:pPr>
              <w:pStyle w:val="TableParagraph"/>
              <w:spacing w:before="6"/>
              <w:rPr>
                <w:rFonts w:ascii="Calibri"/>
                <w:sz w:val="6"/>
              </w:rPr>
            </w:pPr>
            <w:r>
              <w:rPr>
                <w:rFonts w:ascii="Calibri"/>
                <w:w w:val="105"/>
                <w:sz w:val="6"/>
              </w:rPr>
              <w:t>0.25</w:t>
            </w:r>
          </w:p>
        </w:tc>
        <w:tc>
          <w:tcPr>
            <w:tcW w:w="582" w:type="dxa"/>
            <w:shd w:val="clear" w:color="auto" w:fill="BAF9F5"/>
          </w:tcPr>
          <w:p>
            <w:pPr/>
          </w:p>
        </w:tc>
        <w:tc>
          <w:tcPr>
            <w:tcW w:w="1105" w:type="dxa"/>
            <w:shd w:val="clear" w:color="auto" w:fill="BAF9F5"/>
          </w:tcPr>
          <w:p>
            <w:pPr/>
          </w:p>
        </w:tc>
        <w:tc>
          <w:tcPr>
            <w:tcW w:w="485" w:type="dxa"/>
            <w:shd w:val="clear" w:color="auto" w:fill="BAF9F5"/>
          </w:tcPr>
          <w:p>
            <w:pPr>
              <w:pStyle w:val="TableParagraph"/>
              <w:spacing w:before="49"/>
              <w:ind w:left="20"/>
              <w:rPr>
                <w:rFonts w:ascii="Calibri"/>
                <w:sz w:val="6"/>
              </w:rPr>
            </w:pPr>
            <w:r>
              <w:rPr>
                <w:rFonts w:ascii="Calibri"/>
                <w:w w:val="104"/>
                <w:sz w:val="6"/>
              </w:rPr>
              <w:t>1</w:t>
            </w:r>
          </w:p>
        </w:tc>
        <w:tc>
          <w:tcPr>
            <w:tcW w:w="346" w:type="dxa"/>
            <w:tcBorders>
              <w:bottom w:val="single" w:sz="2" w:space="0" w:color="D3D3D3"/>
            </w:tcBorders>
          </w:tcPr>
          <w:p>
            <w:pPr/>
          </w:p>
        </w:tc>
        <w:tc>
          <w:tcPr>
            <w:tcW w:w="345" w:type="dxa"/>
            <w:shd w:val="clear" w:color="auto" w:fill="BAF9F5"/>
          </w:tcPr>
          <w:p>
            <w:pPr>
              <w:pStyle w:val="TableParagraph"/>
              <w:spacing w:before="49"/>
              <w:ind w:left="120"/>
              <w:jc w:val="left"/>
              <w:rPr>
                <w:rFonts w:ascii="Calibri"/>
                <w:sz w:val="6"/>
              </w:rPr>
            </w:pPr>
            <w:r>
              <w:rPr>
                <w:rFonts w:ascii="Calibri"/>
                <w:w w:val="105"/>
                <w:sz w:val="6"/>
              </w:rPr>
              <w:t>0.75</w:t>
            </w:r>
          </w:p>
        </w:tc>
        <w:tc>
          <w:tcPr>
            <w:tcW w:w="346" w:type="dxa"/>
            <w:shd w:val="clear" w:color="auto" w:fill="BAF9F5"/>
          </w:tcPr>
          <w:p>
            <w:pPr>
              <w:pStyle w:val="TableParagraph"/>
              <w:spacing w:before="49"/>
              <w:ind w:left="6"/>
              <w:rPr>
                <w:rFonts w:ascii="Calibri"/>
                <w:sz w:val="6"/>
              </w:rPr>
            </w:pPr>
            <w:r>
              <w:rPr>
                <w:rFonts w:ascii="Calibri"/>
                <w:w w:val="104"/>
                <w:sz w:val="6"/>
              </w:rPr>
              <w:t>1</w:t>
            </w:r>
          </w:p>
        </w:tc>
        <w:tc>
          <w:tcPr>
            <w:tcW w:w="89" w:type="dxa"/>
            <w:tcBorders>
              <w:bottom w:val="single" w:sz="2" w:space="0" w:color="D3D3D3"/>
            </w:tcBorders>
          </w:tcPr>
          <w:p>
            <w:pPr/>
          </w:p>
        </w:tc>
      </w:tr>
      <w:tr>
        <w:trPr>
          <w:trHeight w:val="96" w:hRule="exact"/>
        </w:trPr>
        <w:tc>
          <w:tcPr>
            <w:tcW w:w="346" w:type="dxa"/>
            <w:tcBorders>
              <w:right w:val="single" w:sz="2" w:space="0" w:color="D3D3D3"/>
            </w:tcBorders>
          </w:tcPr>
          <w:p>
            <w:pPr/>
          </w:p>
        </w:tc>
        <w:tc>
          <w:tcPr>
            <w:tcW w:w="1182" w:type="dxa"/>
            <w:tcBorders>
              <w:top w:val="single" w:sz="2" w:space="0" w:color="D3D3D3"/>
              <w:left w:val="single" w:sz="2" w:space="0" w:color="D3D3D3"/>
              <w:right w:val="single" w:sz="2" w:space="0" w:color="D3D3D3"/>
            </w:tcBorders>
          </w:tcPr>
          <w:p>
            <w:pPr/>
          </w:p>
        </w:tc>
        <w:tc>
          <w:tcPr>
            <w:tcW w:w="1240" w:type="dxa"/>
            <w:tcBorders>
              <w:top w:val="single" w:sz="2" w:space="0" w:color="D3D3D3"/>
              <w:left w:val="single" w:sz="2" w:space="0" w:color="D3D3D3"/>
              <w:right w:val="single" w:sz="2" w:space="0" w:color="D3D3D3"/>
            </w:tcBorders>
          </w:tcPr>
          <w:p>
            <w:pPr>
              <w:pStyle w:val="TableParagraph"/>
              <w:spacing w:before="3"/>
              <w:ind w:left="8"/>
              <w:jc w:val="left"/>
              <w:rPr>
                <w:rFonts w:ascii="Calibri"/>
                <w:sz w:val="6"/>
              </w:rPr>
            </w:pPr>
            <w:r>
              <w:rPr>
                <w:rFonts w:ascii="Calibri"/>
                <w:w w:val="105"/>
                <w:sz w:val="6"/>
              </w:rPr>
              <w:t>Redes</w:t>
            </w:r>
          </w:p>
        </w:tc>
        <w:tc>
          <w:tcPr>
            <w:tcW w:w="2344" w:type="dxa"/>
            <w:tcBorders>
              <w:top w:val="single" w:sz="2" w:space="0" w:color="D3D3D3"/>
              <w:left w:val="single" w:sz="2" w:space="0" w:color="D3D3D3"/>
              <w:right w:val="single" w:sz="2" w:space="0" w:color="D3D3D3"/>
            </w:tcBorders>
          </w:tcPr>
          <w:p>
            <w:pPr>
              <w:pStyle w:val="TableParagraph"/>
              <w:spacing w:before="3"/>
              <w:ind w:left="8"/>
              <w:jc w:val="left"/>
              <w:rPr>
                <w:rFonts w:ascii="Calibri" w:hAnsi="Calibri"/>
                <w:sz w:val="6"/>
              </w:rPr>
            </w:pPr>
            <w:r>
              <w:rPr>
                <w:rFonts w:ascii="Calibri" w:hAnsi="Calibri"/>
                <w:w w:val="105"/>
                <w:sz w:val="6"/>
              </w:rPr>
              <w:t>¿Qué tipo de redes desarrolló la empresa para la conexicón del CU?</w:t>
            </w:r>
          </w:p>
        </w:tc>
        <w:tc>
          <w:tcPr>
            <w:tcW w:w="977" w:type="dxa"/>
            <w:tcBorders>
              <w:left w:val="single" w:sz="2" w:space="0" w:color="D3D3D3"/>
              <w:right w:val="single" w:sz="2" w:space="0" w:color="D3D3D3"/>
            </w:tcBorders>
            <w:shd w:val="clear" w:color="auto" w:fill="BAF9F5"/>
          </w:tcPr>
          <w:p>
            <w:pPr>
              <w:pStyle w:val="TableParagraph"/>
              <w:spacing w:before="5"/>
              <w:ind w:left="360" w:right="360"/>
              <w:rPr>
                <w:rFonts w:ascii="Calibri"/>
                <w:sz w:val="6"/>
              </w:rPr>
            </w:pPr>
            <w:r>
              <w:rPr>
                <w:rFonts w:ascii="Calibri"/>
                <w:w w:val="105"/>
                <w:sz w:val="6"/>
              </w:rPr>
              <w:t>Viales</w:t>
            </w:r>
          </w:p>
        </w:tc>
        <w:tc>
          <w:tcPr>
            <w:tcW w:w="1449" w:type="dxa"/>
            <w:tcBorders>
              <w:left w:val="single" w:sz="2" w:space="0" w:color="D3D3D3"/>
              <w:right w:val="single" w:sz="2" w:space="0" w:color="D3D3D3"/>
            </w:tcBorders>
            <w:shd w:val="clear" w:color="auto" w:fill="BAF9F5"/>
          </w:tcPr>
          <w:p>
            <w:pPr>
              <w:pStyle w:val="TableParagraph"/>
              <w:spacing w:before="5"/>
              <w:ind w:left="509" w:right="504"/>
              <w:rPr>
                <w:rFonts w:ascii="Calibri"/>
                <w:sz w:val="6"/>
              </w:rPr>
            </w:pPr>
            <w:r>
              <w:rPr>
                <w:rFonts w:ascii="Calibri"/>
                <w:w w:val="105"/>
                <w:sz w:val="6"/>
              </w:rPr>
              <w:t>Agua y Drenaje</w:t>
            </w:r>
          </w:p>
        </w:tc>
        <w:tc>
          <w:tcPr>
            <w:tcW w:w="1512" w:type="dxa"/>
            <w:tcBorders>
              <w:left w:val="single" w:sz="2" w:space="0" w:color="D3D3D3"/>
            </w:tcBorders>
            <w:shd w:val="clear" w:color="auto" w:fill="BAF9F5"/>
          </w:tcPr>
          <w:p>
            <w:pPr>
              <w:pStyle w:val="TableParagraph"/>
              <w:spacing w:before="5"/>
              <w:ind w:left="554" w:right="551"/>
              <w:rPr>
                <w:rFonts w:ascii="Calibri" w:hAnsi="Calibri"/>
                <w:sz w:val="6"/>
              </w:rPr>
            </w:pPr>
            <w:r>
              <w:rPr>
                <w:rFonts w:ascii="Calibri" w:hAnsi="Calibri"/>
                <w:w w:val="105"/>
                <w:sz w:val="6"/>
              </w:rPr>
              <w:t>Comunicación</w:t>
            </w:r>
          </w:p>
        </w:tc>
        <w:tc>
          <w:tcPr>
            <w:tcW w:w="652" w:type="dxa"/>
            <w:shd w:val="clear" w:color="auto" w:fill="BAF9F5"/>
          </w:tcPr>
          <w:p>
            <w:pPr>
              <w:pStyle w:val="TableParagraph"/>
              <w:tabs>
                <w:tab w:pos="251" w:val="left" w:leader="none"/>
                <w:tab w:pos="651" w:val="left" w:leader="none"/>
              </w:tabs>
              <w:spacing w:before="5"/>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Todas</w:t>
            </w:r>
            <w:r>
              <w:rPr>
                <w:rFonts w:ascii="Calibri"/>
                <w:sz w:val="6"/>
                <w:shd w:fill="808080" w:color="auto" w:val="clear"/>
              </w:rPr>
              <w:tab/>
            </w:r>
          </w:p>
        </w:tc>
        <w:tc>
          <w:tcPr>
            <w:tcW w:w="582" w:type="dxa"/>
            <w:tcBorders>
              <w:right w:val="single" w:sz="2" w:space="0" w:color="D3D3D3"/>
            </w:tcBorders>
            <w:shd w:val="clear" w:color="auto" w:fill="BAF9F5"/>
          </w:tcPr>
          <w:p>
            <w:pPr/>
          </w:p>
        </w:tc>
        <w:tc>
          <w:tcPr>
            <w:tcW w:w="1105" w:type="dxa"/>
            <w:tcBorders>
              <w:left w:val="single" w:sz="2" w:space="0" w:color="D3D3D3"/>
              <w:right w:val="double" w:sz="5" w:space="0" w:color="D3D3D3"/>
            </w:tcBorders>
            <w:shd w:val="clear" w:color="auto" w:fill="BAF9F5"/>
          </w:tcPr>
          <w:p>
            <w:pPr/>
          </w:p>
        </w:tc>
        <w:tc>
          <w:tcPr>
            <w:tcW w:w="485" w:type="dxa"/>
            <w:tcBorders>
              <w:left w:val="double" w:sz="5" w:space="0" w:color="D3D3D3"/>
              <w:right w:val="single" w:sz="2" w:space="0" w:color="D3D3D3"/>
            </w:tcBorders>
            <w:shd w:val="clear" w:color="auto" w:fill="BAF9F5"/>
          </w:tcPr>
          <w:p>
            <w:pPr/>
          </w:p>
        </w:tc>
        <w:tc>
          <w:tcPr>
            <w:tcW w:w="346" w:type="dxa"/>
            <w:tcBorders>
              <w:top w:val="single" w:sz="2" w:space="0" w:color="D3D3D3"/>
              <w:left w:val="single" w:sz="2" w:space="0" w:color="D3D3D3"/>
              <w:right w:val="single" w:sz="2" w:space="0" w:color="D3D3D3"/>
            </w:tcBorders>
          </w:tcPr>
          <w:p>
            <w:pPr/>
          </w:p>
        </w:tc>
        <w:tc>
          <w:tcPr>
            <w:tcW w:w="345" w:type="dxa"/>
            <w:tcBorders>
              <w:left w:val="single" w:sz="2" w:space="0" w:color="D3D3D3"/>
              <w:right w:val="single" w:sz="2" w:space="0" w:color="D3D3D3"/>
            </w:tcBorders>
            <w:shd w:val="clear" w:color="auto" w:fill="BAF9F5"/>
          </w:tcPr>
          <w:p>
            <w:pPr/>
          </w:p>
        </w:tc>
        <w:tc>
          <w:tcPr>
            <w:tcW w:w="346" w:type="dxa"/>
            <w:tcBorders>
              <w:left w:val="single" w:sz="2" w:space="0" w:color="D3D3D3"/>
              <w:right w:val="single" w:sz="2" w:space="0" w:color="D3D3D3"/>
            </w:tcBorders>
            <w:shd w:val="clear" w:color="auto" w:fill="BAF9F5"/>
          </w:tcPr>
          <w:p>
            <w:pPr/>
          </w:p>
        </w:tc>
        <w:tc>
          <w:tcPr>
            <w:tcW w:w="89" w:type="dxa"/>
            <w:tcBorders>
              <w:top w:val="single" w:sz="2" w:space="0" w:color="D3D3D3"/>
              <w:left w:val="single" w:sz="2" w:space="0" w:color="D3D3D3"/>
            </w:tcBorders>
          </w:tcPr>
          <w:p>
            <w:pPr/>
          </w:p>
        </w:tc>
      </w:tr>
      <w:tr>
        <w:trPr>
          <w:trHeight w:val="63"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1512" w:type="dxa"/>
            <w:shd w:val="clear" w:color="auto" w:fill="BAF9F5"/>
          </w:tcPr>
          <w:p>
            <w:pPr/>
          </w:p>
        </w:tc>
        <w:tc>
          <w:tcPr>
            <w:tcW w:w="652" w:type="dxa"/>
            <w:shd w:val="clear" w:color="auto" w:fill="BAF9F5"/>
          </w:tcPr>
          <w:p>
            <w:pPr/>
          </w:p>
        </w:tc>
        <w:tc>
          <w:tcPr>
            <w:tcW w:w="582" w:type="dxa"/>
            <w:shd w:val="clear" w:color="auto" w:fill="BAF9F5"/>
          </w:tcPr>
          <w:p>
            <w:pPr/>
          </w:p>
        </w:tc>
        <w:tc>
          <w:tcPr>
            <w:tcW w:w="1105" w:type="dxa"/>
            <w:shd w:val="clear" w:color="auto" w:fill="BAF9F5"/>
          </w:tcPr>
          <w:p>
            <w:pPr/>
          </w:p>
        </w:tc>
        <w:tc>
          <w:tcPr>
            <w:tcW w:w="485" w:type="dxa"/>
            <w:shd w:val="clear" w:color="auto" w:fill="BAF9F5"/>
          </w:tcPr>
          <w:p>
            <w:pPr/>
          </w:p>
        </w:tc>
        <w:tc>
          <w:tcPr>
            <w:tcW w:w="346" w:type="dxa"/>
          </w:tcPr>
          <w:p>
            <w:pPr/>
          </w:p>
        </w:tc>
        <w:tc>
          <w:tcPr>
            <w:tcW w:w="345" w:type="dxa"/>
            <w:shd w:val="clear" w:color="auto" w:fill="BAF9F5"/>
          </w:tcPr>
          <w:p>
            <w:pPr/>
          </w:p>
        </w:tc>
        <w:tc>
          <w:tcPr>
            <w:tcW w:w="346" w:type="dxa"/>
            <w:shd w:val="clear" w:color="auto" w:fill="BAF9F5"/>
          </w:tcPr>
          <w:p>
            <w:pPr/>
          </w:p>
        </w:tc>
        <w:tc>
          <w:tcPr>
            <w:tcW w:w="89" w:type="dxa"/>
          </w:tcPr>
          <w:p>
            <w:pPr/>
          </w:p>
        </w:tc>
      </w:tr>
      <w:tr>
        <w:trPr>
          <w:trHeight w:val="85" w:hRule="exact"/>
        </w:trPr>
        <w:tc>
          <w:tcPr>
            <w:tcW w:w="346" w:type="dxa"/>
            <w:tcBorders>
              <w:right w:val="single" w:sz="2" w:space="0" w:color="D3D3D3"/>
            </w:tcBorders>
          </w:tcPr>
          <w:p>
            <w:pPr/>
          </w:p>
        </w:tc>
        <w:tc>
          <w:tcPr>
            <w:tcW w:w="1182" w:type="dxa"/>
            <w:tcBorders>
              <w:left w:val="single" w:sz="2" w:space="0" w:color="D3D3D3"/>
              <w:bottom w:val="single" w:sz="2" w:space="0" w:color="D3D3D3"/>
              <w:right w:val="single" w:sz="2" w:space="0" w:color="D3D3D3"/>
            </w:tcBorders>
          </w:tcPr>
          <w:p>
            <w:pPr/>
          </w:p>
        </w:tc>
        <w:tc>
          <w:tcPr>
            <w:tcW w:w="1240" w:type="dxa"/>
            <w:tcBorders>
              <w:left w:val="single" w:sz="2" w:space="0" w:color="D3D3D3"/>
              <w:bottom w:val="single" w:sz="2" w:space="0" w:color="D3D3D3"/>
              <w:right w:val="single" w:sz="2" w:space="0" w:color="D3D3D3"/>
            </w:tcBorders>
          </w:tcPr>
          <w:p>
            <w:pPr/>
          </w:p>
        </w:tc>
        <w:tc>
          <w:tcPr>
            <w:tcW w:w="2344" w:type="dxa"/>
            <w:tcBorders>
              <w:left w:val="single" w:sz="2" w:space="0" w:color="D3D3D3"/>
              <w:bottom w:val="single" w:sz="2" w:space="0" w:color="D3D3D3"/>
              <w:right w:val="single" w:sz="2" w:space="0" w:color="D3D3D3"/>
            </w:tcBorders>
          </w:tcPr>
          <w:p>
            <w:pPr/>
          </w:p>
        </w:tc>
        <w:tc>
          <w:tcPr>
            <w:tcW w:w="977"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409" w:right="406"/>
              <w:rPr>
                <w:rFonts w:ascii="Calibri"/>
                <w:sz w:val="6"/>
              </w:rPr>
            </w:pPr>
            <w:r>
              <w:rPr>
                <w:rFonts w:ascii="Calibri"/>
                <w:w w:val="105"/>
                <w:sz w:val="6"/>
              </w:rPr>
              <w:t>0.33</w:t>
            </w:r>
          </w:p>
        </w:tc>
        <w:tc>
          <w:tcPr>
            <w:tcW w:w="1449"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644" w:right="642"/>
              <w:rPr>
                <w:rFonts w:ascii="Calibri"/>
                <w:sz w:val="6"/>
              </w:rPr>
            </w:pPr>
            <w:r>
              <w:rPr>
                <w:rFonts w:ascii="Calibri"/>
                <w:w w:val="105"/>
                <w:sz w:val="6"/>
              </w:rPr>
              <w:t>0.33</w:t>
            </w:r>
          </w:p>
        </w:tc>
        <w:tc>
          <w:tcPr>
            <w:tcW w:w="1512"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678" w:right="676"/>
              <w:rPr>
                <w:rFonts w:ascii="Calibri"/>
                <w:sz w:val="6"/>
              </w:rPr>
            </w:pPr>
            <w:r>
              <w:rPr>
                <w:rFonts w:ascii="Calibri"/>
                <w:w w:val="105"/>
                <w:sz w:val="6"/>
              </w:rPr>
              <w:t>0.33</w:t>
            </w:r>
          </w:p>
        </w:tc>
        <w:tc>
          <w:tcPr>
            <w:tcW w:w="652"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right="1"/>
              <w:rPr>
                <w:rFonts w:ascii="Calibri"/>
                <w:sz w:val="6"/>
              </w:rPr>
            </w:pPr>
            <w:r>
              <w:rPr>
                <w:rFonts w:ascii="Calibri"/>
                <w:w w:val="104"/>
                <w:sz w:val="6"/>
              </w:rPr>
              <w:t>1</w:t>
            </w:r>
          </w:p>
        </w:tc>
        <w:tc>
          <w:tcPr>
            <w:tcW w:w="582" w:type="dxa"/>
            <w:tcBorders>
              <w:left w:val="single" w:sz="2" w:space="0" w:color="D3D3D3"/>
              <w:bottom w:val="single" w:sz="2" w:space="0" w:color="D3D3D3"/>
              <w:right w:val="single" w:sz="2" w:space="0" w:color="D3D3D3"/>
            </w:tcBorders>
            <w:shd w:val="clear" w:color="auto" w:fill="BAF9F5"/>
          </w:tcPr>
          <w:p>
            <w:pPr/>
          </w:p>
        </w:tc>
        <w:tc>
          <w:tcPr>
            <w:tcW w:w="1105" w:type="dxa"/>
            <w:tcBorders>
              <w:left w:val="single" w:sz="2" w:space="0" w:color="D3D3D3"/>
              <w:bottom w:val="single" w:sz="2" w:space="0" w:color="D3D3D3"/>
              <w:right w:val="double" w:sz="5" w:space="0" w:color="D3D3D3"/>
            </w:tcBorders>
            <w:shd w:val="clear" w:color="auto" w:fill="BAF9F5"/>
          </w:tcPr>
          <w:p>
            <w:pPr/>
          </w:p>
        </w:tc>
        <w:tc>
          <w:tcPr>
            <w:tcW w:w="485" w:type="dxa"/>
            <w:tcBorders>
              <w:left w:val="double" w:sz="5" w:space="0" w:color="D3D3D3"/>
              <w:bottom w:val="single" w:sz="2" w:space="0" w:color="D3D3D3"/>
            </w:tcBorders>
            <w:shd w:val="clear" w:color="auto" w:fill="BAF9F5"/>
          </w:tcPr>
          <w:p>
            <w:pPr>
              <w:pStyle w:val="TableParagraph"/>
              <w:spacing w:line="41" w:lineRule="exact"/>
              <w:rPr>
                <w:rFonts w:ascii="Calibri"/>
                <w:sz w:val="6"/>
              </w:rPr>
            </w:pPr>
            <w:r>
              <w:rPr>
                <w:rFonts w:ascii="Calibri"/>
                <w:w w:val="104"/>
                <w:sz w:val="6"/>
              </w:rPr>
              <w:t>1</w:t>
            </w:r>
          </w:p>
          <w:p>
            <w:pPr>
              <w:pStyle w:val="TableParagraph"/>
              <w:spacing w:before="9"/>
              <w:ind w:left="73" w:right="72"/>
              <w:rPr>
                <w:rFonts w:ascii="Calibri"/>
                <w:sz w:val="6"/>
              </w:rPr>
            </w:pPr>
            <w:r>
              <w:rPr>
                <w:rFonts w:ascii="Calibri"/>
                <w:w w:val="105"/>
                <w:sz w:val="6"/>
              </w:rPr>
              <w:t>Subtotal</w:t>
            </w:r>
          </w:p>
        </w:tc>
        <w:tc>
          <w:tcPr>
            <w:tcW w:w="346" w:type="dxa"/>
            <w:shd w:val="clear" w:color="auto" w:fill="F79646"/>
          </w:tcPr>
          <w:p>
            <w:pPr>
              <w:pStyle w:val="TableParagraph"/>
              <w:spacing w:before="49"/>
              <w:ind w:left="160"/>
              <w:jc w:val="left"/>
              <w:rPr>
                <w:rFonts w:ascii="Calibri"/>
                <w:sz w:val="6"/>
              </w:rPr>
            </w:pPr>
            <w:r>
              <w:rPr>
                <w:rFonts w:ascii="Calibri"/>
                <w:w w:val="104"/>
                <w:sz w:val="6"/>
              </w:rPr>
              <w:t>2</w:t>
            </w:r>
          </w:p>
        </w:tc>
        <w:tc>
          <w:tcPr>
            <w:tcW w:w="345" w:type="dxa"/>
            <w:tcBorders>
              <w:top w:val="single" w:sz="35" w:space="0" w:color="BAF9F5"/>
            </w:tcBorders>
            <w:shd w:val="clear" w:color="auto" w:fill="FFFF00"/>
          </w:tcPr>
          <w:p>
            <w:pPr>
              <w:pStyle w:val="TableParagraph"/>
              <w:spacing w:line="3" w:lineRule="exact"/>
              <w:ind w:left="120"/>
              <w:jc w:val="left"/>
              <w:rPr>
                <w:rFonts w:ascii="Calibri"/>
                <w:sz w:val="6"/>
              </w:rPr>
            </w:pPr>
            <w:r>
              <w:rPr>
                <w:rFonts w:ascii="Calibri"/>
                <w:w w:val="105"/>
                <w:sz w:val="6"/>
              </w:rPr>
              <w:t>0.66</w:t>
            </w:r>
          </w:p>
          <w:p>
            <w:pPr>
              <w:pStyle w:val="TableParagraph"/>
              <w:spacing w:before="6"/>
              <w:ind w:left="120"/>
              <w:jc w:val="left"/>
              <w:rPr>
                <w:rFonts w:ascii="Calibri"/>
                <w:sz w:val="6"/>
              </w:rPr>
            </w:pPr>
            <w:r>
              <w:rPr>
                <w:rFonts w:ascii="Calibri"/>
                <w:w w:val="105"/>
                <w:sz w:val="6"/>
              </w:rPr>
              <w:t>1.41</w:t>
            </w:r>
          </w:p>
        </w:tc>
        <w:tc>
          <w:tcPr>
            <w:tcW w:w="346" w:type="dxa"/>
            <w:tcBorders>
              <w:top w:val="single" w:sz="35" w:space="0" w:color="BAF9F5"/>
            </w:tcBorders>
            <w:shd w:val="clear" w:color="auto" w:fill="67ED4D"/>
          </w:tcPr>
          <w:p>
            <w:pPr>
              <w:pStyle w:val="TableParagraph"/>
              <w:spacing w:line="3" w:lineRule="exact"/>
              <w:ind w:left="6"/>
              <w:rPr>
                <w:rFonts w:ascii="Calibri"/>
                <w:sz w:val="6"/>
              </w:rPr>
            </w:pPr>
            <w:r>
              <w:rPr>
                <w:rFonts w:ascii="Calibri"/>
                <w:w w:val="104"/>
                <w:sz w:val="6"/>
              </w:rPr>
              <w:t>1</w:t>
            </w:r>
          </w:p>
          <w:p>
            <w:pPr>
              <w:pStyle w:val="TableParagraph"/>
              <w:spacing w:before="6"/>
              <w:ind w:left="6"/>
              <w:rPr>
                <w:rFonts w:ascii="Calibri"/>
                <w:sz w:val="6"/>
              </w:rPr>
            </w:pPr>
            <w:r>
              <w:rPr>
                <w:rFonts w:ascii="Calibri"/>
                <w:w w:val="104"/>
                <w:sz w:val="6"/>
              </w:rPr>
              <w:t>2</w:t>
            </w:r>
          </w:p>
        </w:tc>
        <w:tc>
          <w:tcPr>
            <w:tcW w:w="89" w:type="dxa"/>
            <w:tcBorders>
              <w:bottom w:val="single" w:sz="2" w:space="0" w:color="D3D3D3"/>
            </w:tcBorders>
          </w:tcPr>
          <w:p>
            <w:pPr/>
          </w:p>
        </w:tc>
      </w:tr>
      <w:tr>
        <w:trPr>
          <w:trHeight w:val="82" w:hRule="exact"/>
        </w:trPr>
        <w:tc>
          <w:tcPr>
            <w:tcW w:w="346" w:type="dxa"/>
            <w:tcBorders>
              <w:right w:val="single" w:sz="2" w:space="0" w:color="D3D3D3"/>
            </w:tcBorders>
          </w:tcPr>
          <w:p>
            <w:pPr/>
          </w:p>
        </w:tc>
        <w:tc>
          <w:tcPr>
            <w:tcW w:w="1182" w:type="dxa"/>
            <w:tcBorders>
              <w:top w:val="single" w:sz="2" w:space="0" w:color="D3D3D3"/>
              <w:left w:val="single" w:sz="2" w:space="0" w:color="D3D3D3"/>
              <w:bottom w:val="single" w:sz="2" w:space="0" w:color="D3D3D3"/>
              <w:right w:val="single" w:sz="2" w:space="0" w:color="D3D3D3"/>
            </w:tcBorders>
          </w:tcPr>
          <w:p>
            <w:pPr/>
          </w:p>
        </w:tc>
        <w:tc>
          <w:tcPr>
            <w:tcW w:w="1240" w:type="dxa"/>
            <w:tcBorders>
              <w:top w:val="single" w:sz="2" w:space="0" w:color="D3D3D3"/>
              <w:left w:val="single" w:sz="2" w:space="0" w:color="D3D3D3"/>
              <w:bottom w:val="single" w:sz="2" w:space="0" w:color="D3D3D3"/>
              <w:right w:val="single" w:sz="2" w:space="0" w:color="D3D3D3"/>
            </w:tcBorders>
          </w:tcPr>
          <w:p>
            <w:pPr/>
          </w:p>
        </w:tc>
        <w:tc>
          <w:tcPr>
            <w:tcW w:w="2344" w:type="dxa"/>
            <w:tcBorders>
              <w:top w:val="single" w:sz="2" w:space="0" w:color="D3D3D3"/>
              <w:left w:val="single" w:sz="2" w:space="0" w:color="D3D3D3"/>
              <w:bottom w:val="single" w:sz="2" w:space="0" w:color="D3D3D3"/>
              <w:right w:val="single" w:sz="2" w:space="0" w:color="D3D3D3"/>
            </w:tcBorders>
          </w:tcPr>
          <w:p>
            <w:pPr/>
          </w:p>
        </w:tc>
        <w:tc>
          <w:tcPr>
            <w:tcW w:w="977" w:type="dxa"/>
            <w:tcBorders>
              <w:top w:val="single" w:sz="2" w:space="0" w:color="D3D3D3"/>
              <w:left w:val="single" w:sz="2" w:space="0" w:color="D3D3D3"/>
              <w:bottom w:val="single" w:sz="35" w:space="0" w:color="808080"/>
              <w:right w:val="single" w:sz="2" w:space="0" w:color="D3D3D3"/>
            </w:tcBorders>
          </w:tcPr>
          <w:p>
            <w:pPr/>
          </w:p>
        </w:tc>
        <w:tc>
          <w:tcPr>
            <w:tcW w:w="1449" w:type="dxa"/>
            <w:tcBorders>
              <w:top w:val="single" w:sz="2" w:space="0" w:color="D3D3D3"/>
              <w:left w:val="single" w:sz="2" w:space="0" w:color="D3D3D3"/>
              <w:bottom w:val="single" w:sz="35" w:space="0" w:color="808080"/>
              <w:right w:val="single" w:sz="2" w:space="0" w:color="D3D3D3"/>
            </w:tcBorders>
          </w:tcPr>
          <w:p>
            <w:pPr/>
          </w:p>
        </w:tc>
        <w:tc>
          <w:tcPr>
            <w:tcW w:w="1512" w:type="dxa"/>
            <w:tcBorders>
              <w:top w:val="single" w:sz="2" w:space="0" w:color="D3D3D3"/>
              <w:left w:val="single" w:sz="2" w:space="0" w:color="D3D3D3"/>
              <w:bottom w:val="single" w:sz="2" w:space="0" w:color="D3D3D3"/>
              <w:right w:val="single" w:sz="2" w:space="0" w:color="D3D3D3"/>
            </w:tcBorders>
          </w:tcPr>
          <w:p>
            <w:pPr/>
          </w:p>
        </w:tc>
        <w:tc>
          <w:tcPr>
            <w:tcW w:w="652" w:type="dxa"/>
            <w:tcBorders>
              <w:top w:val="single" w:sz="2" w:space="0" w:color="D3D3D3"/>
              <w:left w:val="single" w:sz="2" w:space="0" w:color="D3D3D3"/>
              <w:bottom w:val="single" w:sz="2" w:space="0" w:color="D3D3D3"/>
              <w:right w:val="single" w:sz="2" w:space="0" w:color="D3D3D3"/>
            </w:tcBorders>
          </w:tcPr>
          <w:p>
            <w:pPr/>
          </w:p>
        </w:tc>
        <w:tc>
          <w:tcPr>
            <w:tcW w:w="582" w:type="dxa"/>
            <w:tcBorders>
              <w:top w:val="single" w:sz="2" w:space="0" w:color="D3D3D3"/>
              <w:left w:val="single" w:sz="2" w:space="0" w:color="D3D3D3"/>
              <w:bottom w:val="single" w:sz="35" w:space="0" w:color="808080"/>
              <w:right w:val="single" w:sz="2" w:space="0" w:color="D3D3D3"/>
            </w:tcBorders>
          </w:tcPr>
          <w:p>
            <w:pPr/>
          </w:p>
        </w:tc>
        <w:tc>
          <w:tcPr>
            <w:tcW w:w="1105" w:type="dxa"/>
            <w:tcBorders>
              <w:top w:val="single" w:sz="2" w:space="0" w:color="D3D3D3"/>
              <w:left w:val="single" w:sz="2" w:space="0" w:color="D3D3D3"/>
              <w:bottom w:val="single" w:sz="35" w:space="0" w:color="808080"/>
              <w:right w:val="double" w:sz="5" w:space="0" w:color="D3D3D3"/>
            </w:tcBorders>
          </w:tcPr>
          <w:p>
            <w:pPr/>
          </w:p>
        </w:tc>
        <w:tc>
          <w:tcPr>
            <w:tcW w:w="485" w:type="dxa"/>
            <w:tcBorders>
              <w:top w:val="single" w:sz="2" w:space="0" w:color="D3D3D3"/>
              <w:left w:val="double" w:sz="5" w:space="0" w:color="D3D3D3"/>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345" w:type="dxa"/>
            <w:tcBorders>
              <w:left w:val="single" w:sz="2" w:space="0" w:color="D3D3D3"/>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89" w:type="dxa"/>
            <w:tcBorders>
              <w:top w:val="single" w:sz="2" w:space="0" w:color="D3D3D3"/>
              <w:left w:val="single" w:sz="2" w:space="0" w:color="D3D3D3"/>
              <w:bottom w:val="single" w:sz="2" w:space="0" w:color="D3D3D3"/>
            </w:tcBorders>
          </w:tcPr>
          <w:p>
            <w:pPr/>
          </w:p>
        </w:tc>
      </w:tr>
      <w:tr>
        <w:trPr>
          <w:trHeight w:val="99" w:hRule="exact"/>
        </w:trPr>
        <w:tc>
          <w:tcPr>
            <w:tcW w:w="346" w:type="dxa"/>
            <w:tcBorders>
              <w:right w:val="single" w:sz="2" w:space="0" w:color="D3D3D3"/>
            </w:tcBorders>
          </w:tcPr>
          <w:p>
            <w:pPr/>
          </w:p>
        </w:tc>
        <w:tc>
          <w:tcPr>
            <w:tcW w:w="1182" w:type="dxa"/>
            <w:tcBorders>
              <w:top w:val="single" w:sz="2" w:space="0" w:color="D3D3D3"/>
              <w:left w:val="single" w:sz="2" w:space="0" w:color="D3D3D3"/>
              <w:right w:val="single" w:sz="2" w:space="0" w:color="D3D3D3"/>
            </w:tcBorders>
          </w:tcPr>
          <w:p>
            <w:pPr>
              <w:pStyle w:val="TableParagraph"/>
              <w:spacing w:before="6"/>
              <w:ind w:left="52"/>
              <w:jc w:val="left"/>
              <w:rPr>
                <w:rFonts w:ascii="Calibri"/>
                <w:sz w:val="6"/>
              </w:rPr>
            </w:pPr>
            <w:r>
              <w:rPr>
                <w:rFonts w:ascii="Calibri"/>
                <w:w w:val="105"/>
                <w:sz w:val="6"/>
              </w:rPr>
              <w:t>6 Equipamiento desarrollado</w:t>
            </w:r>
          </w:p>
        </w:tc>
        <w:tc>
          <w:tcPr>
            <w:tcW w:w="1240" w:type="dxa"/>
            <w:tcBorders>
              <w:top w:val="single" w:sz="2" w:space="0" w:color="D3D3D3"/>
              <w:left w:val="single" w:sz="2" w:space="0" w:color="D3D3D3"/>
              <w:right w:val="single" w:sz="2" w:space="0" w:color="D3D3D3"/>
            </w:tcBorders>
          </w:tcPr>
          <w:p>
            <w:pPr>
              <w:pStyle w:val="TableParagraph"/>
              <w:spacing w:before="6"/>
              <w:ind w:left="8"/>
              <w:jc w:val="left"/>
              <w:rPr>
                <w:rFonts w:ascii="Calibri"/>
                <w:sz w:val="6"/>
              </w:rPr>
            </w:pPr>
            <w:r>
              <w:rPr>
                <w:rFonts w:ascii="Calibri"/>
                <w:w w:val="105"/>
                <w:sz w:val="6"/>
              </w:rPr>
              <w:t>Municipal</w:t>
            </w:r>
          </w:p>
        </w:tc>
        <w:tc>
          <w:tcPr>
            <w:tcW w:w="2344" w:type="dxa"/>
            <w:tcBorders>
              <w:top w:val="single" w:sz="2" w:space="0" w:color="D3D3D3"/>
              <w:left w:val="single" w:sz="2" w:space="0" w:color="D3D3D3"/>
            </w:tcBorders>
          </w:tcPr>
          <w:p>
            <w:pPr>
              <w:pStyle w:val="TableParagraph"/>
              <w:spacing w:before="6"/>
              <w:ind w:left="8"/>
              <w:jc w:val="left"/>
              <w:rPr>
                <w:rFonts w:ascii="Calibri" w:hAnsi="Calibri"/>
                <w:sz w:val="6"/>
              </w:rPr>
            </w:pPr>
            <w:r>
              <w:rPr>
                <w:rFonts w:ascii="Calibri" w:hAnsi="Calibri"/>
                <w:w w:val="105"/>
                <w:sz w:val="6"/>
              </w:rPr>
              <w:t>¿Qué equipamiento municipal desarrollo la empresa por el CU?</w:t>
            </w:r>
          </w:p>
        </w:tc>
        <w:tc>
          <w:tcPr>
            <w:tcW w:w="977" w:type="dxa"/>
            <w:tcBorders>
              <w:bottom w:val="single" w:sz="34" w:space="0" w:color="BAF9F5"/>
            </w:tcBorders>
            <w:shd w:val="clear" w:color="auto" w:fill="808080"/>
          </w:tcPr>
          <w:p>
            <w:pPr>
              <w:pStyle w:val="TableParagraph"/>
              <w:spacing w:before="8"/>
              <w:ind w:left="368"/>
              <w:jc w:val="left"/>
              <w:rPr>
                <w:rFonts w:ascii="Calibri"/>
                <w:sz w:val="6"/>
              </w:rPr>
            </w:pPr>
            <w:r>
              <w:rPr>
                <w:rFonts w:ascii="Calibri"/>
                <w:w w:val="105"/>
                <w:sz w:val="6"/>
              </w:rPr>
              <w:t>Educativo</w:t>
            </w:r>
          </w:p>
        </w:tc>
        <w:tc>
          <w:tcPr>
            <w:tcW w:w="1449" w:type="dxa"/>
            <w:tcBorders>
              <w:bottom w:val="single" w:sz="34" w:space="0" w:color="BAF9F5"/>
            </w:tcBorders>
            <w:shd w:val="clear" w:color="auto" w:fill="808080"/>
          </w:tcPr>
          <w:p>
            <w:pPr>
              <w:pStyle w:val="TableParagraph"/>
              <w:spacing w:before="8"/>
              <w:ind w:left="536" w:right="532"/>
              <w:rPr>
                <w:rFonts w:ascii="Calibri"/>
                <w:sz w:val="6"/>
              </w:rPr>
            </w:pPr>
            <w:r>
              <w:rPr>
                <w:rFonts w:ascii="Calibri"/>
                <w:w w:val="105"/>
                <w:sz w:val="6"/>
              </w:rPr>
              <w:t>Servicios</w:t>
            </w:r>
          </w:p>
        </w:tc>
        <w:tc>
          <w:tcPr>
            <w:tcW w:w="1512" w:type="dxa"/>
            <w:tcBorders>
              <w:top w:val="single" w:sz="2" w:space="0" w:color="D3D3D3"/>
              <w:bottom w:val="single" w:sz="34" w:space="0" w:color="BAF9F5"/>
              <w:right w:val="single" w:sz="2" w:space="0" w:color="D3D3D3"/>
            </w:tcBorders>
          </w:tcPr>
          <w:p>
            <w:pPr>
              <w:pStyle w:val="TableParagraph"/>
              <w:spacing w:before="6"/>
              <w:ind w:left="612" w:right="601"/>
              <w:rPr>
                <w:rFonts w:ascii="Calibri"/>
                <w:sz w:val="6"/>
              </w:rPr>
            </w:pPr>
            <w:r>
              <w:rPr>
                <w:rFonts w:ascii="Calibri"/>
                <w:w w:val="105"/>
                <w:sz w:val="6"/>
              </w:rPr>
              <w:t>Salud</w:t>
            </w:r>
          </w:p>
        </w:tc>
        <w:tc>
          <w:tcPr>
            <w:tcW w:w="652" w:type="dxa"/>
            <w:tcBorders>
              <w:top w:val="single" w:sz="2" w:space="0" w:color="D3D3D3"/>
              <w:left w:val="single" w:sz="2" w:space="0" w:color="D3D3D3"/>
              <w:bottom w:val="single" w:sz="34" w:space="0" w:color="BAF9F5"/>
            </w:tcBorders>
          </w:tcPr>
          <w:p>
            <w:pPr>
              <w:pStyle w:val="TableParagraph"/>
              <w:spacing w:before="6"/>
              <w:ind w:left="126" w:right="131"/>
              <w:rPr>
                <w:rFonts w:ascii="Calibri"/>
                <w:sz w:val="6"/>
              </w:rPr>
            </w:pPr>
            <w:r>
              <w:rPr>
                <w:rFonts w:ascii="Calibri"/>
                <w:w w:val="105"/>
                <w:sz w:val="6"/>
              </w:rPr>
              <w:t>Abastos</w:t>
            </w:r>
          </w:p>
        </w:tc>
        <w:tc>
          <w:tcPr>
            <w:tcW w:w="582" w:type="dxa"/>
            <w:tcBorders>
              <w:bottom w:val="single" w:sz="34" w:space="0" w:color="BAF9F5"/>
            </w:tcBorders>
            <w:shd w:val="clear" w:color="auto" w:fill="808080"/>
          </w:tcPr>
          <w:p>
            <w:pPr>
              <w:pStyle w:val="TableParagraph"/>
              <w:spacing w:before="8"/>
              <w:ind w:left="60" w:right="60"/>
              <w:rPr>
                <w:rFonts w:ascii="Calibri"/>
                <w:sz w:val="6"/>
              </w:rPr>
            </w:pPr>
            <w:r>
              <w:rPr>
                <w:rFonts w:ascii="Calibri"/>
                <w:w w:val="105"/>
                <w:sz w:val="6"/>
              </w:rPr>
              <w:t>Entretenimiento</w:t>
            </w:r>
          </w:p>
        </w:tc>
        <w:tc>
          <w:tcPr>
            <w:tcW w:w="1105" w:type="dxa"/>
            <w:tcBorders>
              <w:bottom w:val="single" w:sz="34" w:space="0" w:color="BAF9F5"/>
              <w:right w:val="single" w:sz="2" w:space="0" w:color="D3D3D3"/>
            </w:tcBorders>
            <w:shd w:val="clear" w:color="auto" w:fill="808080"/>
          </w:tcPr>
          <w:p>
            <w:pPr>
              <w:pStyle w:val="TableParagraph"/>
              <w:spacing w:before="8"/>
              <w:ind w:left="423"/>
              <w:jc w:val="left"/>
              <w:rPr>
                <w:rFonts w:ascii="Calibri"/>
                <w:sz w:val="6"/>
              </w:rPr>
            </w:pPr>
            <w:r>
              <w:rPr>
                <w:rFonts w:ascii="Calibri"/>
                <w:w w:val="105"/>
                <w:sz w:val="6"/>
              </w:rPr>
              <w:t>Deportivo</w:t>
            </w:r>
          </w:p>
        </w:tc>
        <w:tc>
          <w:tcPr>
            <w:tcW w:w="485" w:type="dxa"/>
            <w:tcBorders>
              <w:top w:val="single" w:sz="2" w:space="0" w:color="D3D3D3"/>
              <w:left w:val="single" w:sz="2" w:space="0" w:color="D3D3D3"/>
              <w:bottom w:val="single" w:sz="34" w:space="0" w:color="BAF9F5"/>
              <w:right w:val="single" w:sz="2" w:space="0" w:color="D3D3D3"/>
            </w:tcBorders>
          </w:tcPr>
          <w:p>
            <w:pPr/>
          </w:p>
        </w:tc>
        <w:tc>
          <w:tcPr>
            <w:tcW w:w="346" w:type="dxa"/>
            <w:tcBorders>
              <w:top w:val="single" w:sz="2" w:space="0" w:color="D3D3D3"/>
              <w:left w:val="single" w:sz="2" w:space="0" w:color="D3D3D3"/>
              <w:right w:val="single" w:sz="2" w:space="0" w:color="D3D3D3"/>
            </w:tcBorders>
          </w:tcPr>
          <w:p>
            <w:pPr/>
          </w:p>
        </w:tc>
        <w:tc>
          <w:tcPr>
            <w:tcW w:w="345" w:type="dxa"/>
            <w:tcBorders>
              <w:top w:val="single" w:sz="2" w:space="0" w:color="D3D3D3"/>
              <w:left w:val="single" w:sz="2" w:space="0" w:color="D3D3D3"/>
              <w:bottom w:val="single" w:sz="34" w:space="0" w:color="BAF9F5"/>
              <w:right w:val="single" w:sz="2" w:space="0" w:color="D3D3D3"/>
            </w:tcBorders>
          </w:tcPr>
          <w:p>
            <w:pPr/>
          </w:p>
        </w:tc>
        <w:tc>
          <w:tcPr>
            <w:tcW w:w="346" w:type="dxa"/>
            <w:tcBorders>
              <w:top w:val="single" w:sz="2" w:space="0" w:color="D3D3D3"/>
              <w:left w:val="single" w:sz="2" w:space="0" w:color="D3D3D3"/>
              <w:bottom w:val="single" w:sz="34" w:space="0" w:color="BAF9F5"/>
              <w:right w:val="single" w:sz="2" w:space="0" w:color="D3D3D3"/>
            </w:tcBorders>
          </w:tcPr>
          <w:p>
            <w:pPr/>
          </w:p>
        </w:tc>
        <w:tc>
          <w:tcPr>
            <w:tcW w:w="89" w:type="dxa"/>
            <w:tcBorders>
              <w:top w:val="single" w:sz="2" w:space="0" w:color="D3D3D3"/>
              <w:left w:val="single" w:sz="2" w:space="0" w:color="D3D3D3"/>
            </w:tcBorders>
          </w:tcPr>
          <w:p>
            <w:pPr/>
          </w:p>
        </w:tc>
      </w:tr>
      <w:tr>
        <w:trPr>
          <w:trHeight w:val="63"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1512" w:type="dxa"/>
            <w:shd w:val="clear" w:color="auto" w:fill="BAF9F5"/>
          </w:tcPr>
          <w:p>
            <w:pPr/>
          </w:p>
        </w:tc>
        <w:tc>
          <w:tcPr>
            <w:tcW w:w="652" w:type="dxa"/>
            <w:shd w:val="clear" w:color="auto" w:fill="BAF9F5"/>
          </w:tcPr>
          <w:p>
            <w:pPr/>
          </w:p>
        </w:tc>
        <w:tc>
          <w:tcPr>
            <w:tcW w:w="582" w:type="dxa"/>
            <w:shd w:val="clear" w:color="auto" w:fill="BAF9F5"/>
          </w:tcPr>
          <w:p>
            <w:pPr/>
          </w:p>
        </w:tc>
        <w:tc>
          <w:tcPr>
            <w:tcW w:w="1105" w:type="dxa"/>
            <w:shd w:val="clear" w:color="auto" w:fill="BAF9F5"/>
          </w:tcPr>
          <w:p>
            <w:pPr/>
          </w:p>
        </w:tc>
        <w:tc>
          <w:tcPr>
            <w:tcW w:w="485" w:type="dxa"/>
            <w:shd w:val="clear" w:color="auto" w:fill="BAF9F5"/>
          </w:tcPr>
          <w:p>
            <w:pPr/>
          </w:p>
        </w:tc>
        <w:tc>
          <w:tcPr>
            <w:tcW w:w="346" w:type="dxa"/>
          </w:tcPr>
          <w:p>
            <w:pPr/>
          </w:p>
        </w:tc>
        <w:tc>
          <w:tcPr>
            <w:tcW w:w="345" w:type="dxa"/>
            <w:shd w:val="clear" w:color="auto" w:fill="BAF9F5"/>
          </w:tcPr>
          <w:p>
            <w:pPr/>
          </w:p>
        </w:tc>
        <w:tc>
          <w:tcPr>
            <w:tcW w:w="346" w:type="dxa"/>
            <w:shd w:val="clear" w:color="auto" w:fill="BAF9F5"/>
          </w:tcPr>
          <w:p>
            <w:pPr/>
          </w:p>
        </w:tc>
        <w:tc>
          <w:tcPr>
            <w:tcW w:w="89" w:type="dxa"/>
          </w:tcPr>
          <w:p>
            <w:pPr/>
          </w:p>
        </w:tc>
      </w:tr>
      <w:tr>
        <w:trPr>
          <w:trHeight w:val="102"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Style w:val="TableParagraph"/>
              <w:spacing w:before="49"/>
              <w:ind w:left="8"/>
              <w:jc w:val="left"/>
              <w:rPr>
                <w:rFonts w:ascii="Calibri"/>
                <w:sz w:val="6"/>
              </w:rPr>
            </w:pPr>
            <w:r>
              <w:rPr>
                <w:rFonts w:ascii="Calibri"/>
                <w:w w:val="105"/>
                <w:sz w:val="6"/>
              </w:rPr>
              <w:t>Estatal</w:t>
            </w:r>
          </w:p>
        </w:tc>
        <w:tc>
          <w:tcPr>
            <w:tcW w:w="2344" w:type="dxa"/>
            <w:tcBorders>
              <w:left w:val="single" w:sz="2" w:space="0" w:color="D3D3D3"/>
            </w:tcBorders>
          </w:tcPr>
          <w:p>
            <w:pPr>
              <w:pStyle w:val="TableParagraph"/>
              <w:spacing w:before="49"/>
              <w:ind w:left="8"/>
              <w:jc w:val="left"/>
              <w:rPr>
                <w:rFonts w:ascii="Calibri" w:hAnsi="Calibri"/>
                <w:sz w:val="6"/>
              </w:rPr>
            </w:pPr>
            <w:r>
              <w:rPr>
                <w:rFonts w:ascii="Calibri" w:hAnsi="Calibri"/>
                <w:w w:val="105"/>
                <w:sz w:val="6"/>
              </w:rPr>
              <w:t>¿Qué equipamiento estatal desarrollo la empresa por el CU?</w:t>
            </w:r>
          </w:p>
        </w:tc>
        <w:tc>
          <w:tcPr>
            <w:tcW w:w="977" w:type="dxa"/>
            <w:tcBorders>
              <w:top w:val="single" w:sz="34" w:space="0" w:color="BAF9F5"/>
              <w:bottom w:val="single" w:sz="34" w:space="0" w:color="BAF9F5"/>
            </w:tcBorders>
            <w:shd w:val="clear" w:color="auto" w:fill="808080"/>
          </w:tcPr>
          <w:p>
            <w:pPr>
              <w:pStyle w:val="TableParagraph"/>
              <w:spacing w:line="2" w:lineRule="exact"/>
              <w:ind w:left="341" w:right="338"/>
              <w:rPr>
                <w:rFonts w:ascii="Calibri"/>
                <w:sz w:val="6"/>
              </w:rPr>
            </w:pPr>
            <w:r>
              <w:rPr>
                <w:rFonts w:ascii="Calibri"/>
                <w:w w:val="105"/>
                <w:sz w:val="6"/>
              </w:rPr>
              <w:t>0.2</w:t>
            </w:r>
          </w:p>
          <w:p>
            <w:pPr>
              <w:pStyle w:val="TableParagraph"/>
              <w:spacing w:before="6"/>
              <w:ind w:left="346" w:right="338"/>
              <w:rPr>
                <w:rFonts w:ascii="Calibri"/>
                <w:sz w:val="6"/>
              </w:rPr>
            </w:pPr>
            <w:r>
              <w:rPr>
                <w:rFonts w:ascii="Calibri"/>
                <w:w w:val="105"/>
                <w:sz w:val="6"/>
              </w:rPr>
              <w:t>Educativo</w:t>
            </w:r>
          </w:p>
        </w:tc>
        <w:tc>
          <w:tcPr>
            <w:tcW w:w="1449" w:type="dxa"/>
            <w:tcBorders>
              <w:top w:val="single" w:sz="34" w:space="0" w:color="BAF9F5"/>
              <w:bottom w:val="single" w:sz="34" w:space="0" w:color="BAF9F5"/>
              <w:right w:val="single" w:sz="2" w:space="0" w:color="D3D3D3"/>
            </w:tcBorders>
          </w:tcPr>
          <w:p>
            <w:pPr>
              <w:pStyle w:val="TableParagraph"/>
              <w:spacing w:line="2" w:lineRule="exact"/>
              <w:ind w:left="535" w:right="528"/>
              <w:rPr>
                <w:rFonts w:ascii="Calibri"/>
                <w:sz w:val="6"/>
              </w:rPr>
            </w:pPr>
            <w:r>
              <w:rPr>
                <w:rFonts w:ascii="Calibri"/>
                <w:w w:val="105"/>
                <w:sz w:val="6"/>
              </w:rPr>
              <w:t>0.2</w:t>
            </w:r>
          </w:p>
          <w:p>
            <w:pPr>
              <w:pStyle w:val="TableParagraph"/>
              <w:spacing w:before="6"/>
              <w:ind w:left="535" w:right="528"/>
              <w:rPr>
                <w:rFonts w:ascii="Calibri"/>
                <w:sz w:val="6"/>
              </w:rPr>
            </w:pPr>
            <w:r>
              <w:rPr>
                <w:rFonts w:ascii="Calibri"/>
                <w:w w:val="105"/>
                <w:sz w:val="6"/>
              </w:rPr>
              <w:t>Servicios</w:t>
            </w:r>
          </w:p>
        </w:tc>
        <w:tc>
          <w:tcPr>
            <w:tcW w:w="1512" w:type="dxa"/>
            <w:tcBorders>
              <w:top w:val="single" w:sz="34" w:space="0" w:color="BAF9F5"/>
              <w:left w:val="single" w:sz="2" w:space="0" w:color="D3D3D3"/>
              <w:bottom w:val="single" w:sz="34" w:space="0" w:color="BAF9F5"/>
              <w:right w:val="single" w:sz="2" w:space="0" w:color="D3D3D3"/>
            </w:tcBorders>
          </w:tcPr>
          <w:p>
            <w:pPr>
              <w:pStyle w:val="TableParagraph"/>
              <w:spacing w:line="2" w:lineRule="exact"/>
              <w:ind w:left="661" w:right="659"/>
              <w:rPr>
                <w:rFonts w:ascii="Calibri"/>
                <w:sz w:val="6"/>
              </w:rPr>
            </w:pPr>
            <w:r>
              <w:rPr>
                <w:rFonts w:ascii="Calibri"/>
                <w:w w:val="105"/>
                <w:sz w:val="6"/>
              </w:rPr>
              <w:t>0.2</w:t>
            </w:r>
          </w:p>
          <w:p>
            <w:pPr>
              <w:pStyle w:val="TableParagraph"/>
              <w:spacing w:before="6"/>
              <w:ind w:left="666" w:right="659"/>
              <w:rPr>
                <w:rFonts w:ascii="Calibri"/>
                <w:sz w:val="6"/>
              </w:rPr>
            </w:pPr>
            <w:r>
              <w:rPr>
                <w:rFonts w:ascii="Calibri"/>
                <w:w w:val="105"/>
                <w:sz w:val="6"/>
              </w:rPr>
              <w:t>Salud</w:t>
            </w:r>
          </w:p>
        </w:tc>
        <w:tc>
          <w:tcPr>
            <w:tcW w:w="652" w:type="dxa"/>
            <w:tcBorders>
              <w:top w:val="single" w:sz="34" w:space="0" w:color="BAF9F5"/>
              <w:left w:val="single" w:sz="2" w:space="0" w:color="D3D3D3"/>
              <w:bottom w:val="single" w:sz="34" w:space="0" w:color="BAF9F5"/>
              <w:right w:val="single" w:sz="2" w:space="0" w:color="D3D3D3"/>
            </w:tcBorders>
          </w:tcPr>
          <w:p>
            <w:pPr>
              <w:pStyle w:val="TableParagraph"/>
              <w:spacing w:line="2" w:lineRule="exact"/>
              <w:ind w:left="199" w:right="200"/>
              <w:rPr>
                <w:rFonts w:ascii="Calibri"/>
                <w:sz w:val="6"/>
              </w:rPr>
            </w:pPr>
            <w:r>
              <w:rPr>
                <w:rFonts w:ascii="Calibri"/>
                <w:w w:val="105"/>
                <w:sz w:val="6"/>
              </w:rPr>
              <w:t>0.2</w:t>
            </w:r>
          </w:p>
          <w:p>
            <w:pPr>
              <w:pStyle w:val="TableParagraph"/>
              <w:spacing w:before="6"/>
              <w:ind w:left="199" w:right="202"/>
              <w:rPr>
                <w:rFonts w:ascii="Calibri"/>
                <w:sz w:val="6"/>
              </w:rPr>
            </w:pPr>
            <w:r>
              <w:rPr>
                <w:rFonts w:ascii="Calibri"/>
                <w:w w:val="105"/>
                <w:sz w:val="6"/>
              </w:rPr>
              <w:t>Abastos</w:t>
            </w:r>
          </w:p>
        </w:tc>
        <w:tc>
          <w:tcPr>
            <w:tcW w:w="582" w:type="dxa"/>
            <w:tcBorders>
              <w:top w:val="single" w:sz="34" w:space="0" w:color="BAF9F5"/>
              <w:left w:val="single" w:sz="2" w:space="0" w:color="D3D3D3"/>
              <w:bottom w:val="single" w:sz="34" w:space="0" w:color="BAF9F5"/>
              <w:right w:val="single" w:sz="2" w:space="0" w:color="D3D3D3"/>
            </w:tcBorders>
          </w:tcPr>
          <w:p>
            <w:pPr>
              <w:pStyle w:val="TableParagraph"/>
              <w:spacing w:line="2" w:lineRule="exact"/>
              <w:ind w:left="59" w:right="54"/>
              <w:rPr>
                <w:rFonts w:ascii="Calibri"/>
                <w:sz w:val="6"/>
              </w:rPr>
            </w:pPr>
            <w:r>
              <w:rPr>
                <w:rFonts w:ascii="Calibri"/>
                <w:w w:val="105"/>
                <w:sz w:val="6"/>
              </w:rPr>
              <w:t>0.2</w:t>
            </w:r>
          </w:p>
          <w:p>
            <w:pPr>
              <w:pStyle w:val="TableParagraph"/>
              <w:spacing w:before="6"/>
              <w:ind w:left="60" w:right="54"/>
              <w:rPr>
                <w:rFonts w:ascii="Calibri"/>
                <w:sz w:val="6"/>
              </w:rPr>
            </w:pPr>
            <w:r>
              <w:rPr>
                <w:rFonts w:ascii="Calibri"/>
                <w:w w:val="105"/>
                <w:sz w:val="6"/>
              </w:rPr>
              <w:t>Entretenimiento</w:t>
            </w:r>
          </w:p>
        </w:tc>
        <w:tc>
          <w:tcPr>
            <w:tcW w:w="1105" w:type="dxa"/>
            <w:tcBorders>
              <w:top w:val="single" w:sz="34" w:space="0" w:color="BAF9F5"/>
              <w:left w:val="single" w:sz="2" w:space="0" w:color="D3D3D3"/>
              <w:bottom w:val="single" w:sz="34" w:space="0" w:color="BAF9F5"/>
              <w:right w:val="double" w:sz="5" w:space="0" w:color="D3D3D3"/>
            </w:tcBorders>
          </w:tcPr>
          <w:p>
            <w:pPr>
              <w:pStyle w:val="TableParagraph"/>
              <w:spacing w:line="2" w:lineRule="exact"/>
              <w:ind w:left="502"/>
              <w:jc w:val="left"/>
              <w:rPr>
                <w:rFonts w:ascii="Calibri"/>
                <w:sz w:val="6"/>
              </w:rPr>
            </w:pPr>
            <w:r>
              <w:rPr>
                <w:rFonts w:ascii="Calibri"/>
                <w:w w:val="105"/>
                <w:sz w:val="6"/>
              </w:rPr>
              <w:t>0.2</w:t>
            </w:r>
          </w:p>
        </w:tc>
        <w:tc>
          <w:tcPr>
            <w:tcW w:w="485" w:type="dxa"/>
            <w:tcBorders>
              <w:top w:val="single" w:sz="34" w:space="0" w:color="BAF9F5"/>
              <w:left w:val="double" w:sz="5" w:space="0" w:color="D3D3D3"/>
              <w:bottom w:val="single" w:sz="34" w:space="0" w:color="BAF9F5"/>
              <w:right w:val="single" w:sz="2" w:space="0" w:color="D3D3D3"/>
            </w:tcBorders>
          </w:tcPr>
          <w:p>
            <w:pPr>
              <w:pStyle w:val="TableParagraph"/>
              <w:spacing w:line="2" w:lineRule="exact"/>
              <w:ind w:left="171" w:right="169"/>
              <w:rPr>
                <w:rFonts w:ascii="Calibri"/>
                <w:sz w:val="6"/>
              </w:rPr>
            </w:pPr>
            <w:r>
              <w:rPr>
                <w:rFonts w:ascii="Calibri"/>
                <w:w w:val="105"/>
                <w:sz w:val="6"/>
              </w:rPr>
              <w:t>0.8</w:t>
            </w:r>
          </w:p>
        </w:tc>
        <w:tc>
          <w:tcPr>
            <w:tcW w:w="346" w:type="dxa"/>
            <w:tcBorders>
              <w:left w:val="single" w:sz="2" w:space="0" w:color="D3D3D3"/>
              <w:right w:val="single" w:sz="2" w:space="0" w:color="D3D3D3"/>
            </w:tcBorders>
          </w:tcPr>
          <w:p>
            <w:pPr/>
          </w:p>
        </w:tc>
        <w:tc>
          <w:tcPr>
            <w:tcW w:w="345" w:type="dxa"/>
            <w:tcBorders>
              <w:top w:val="single" w:sz="34" w:space="0" w:color="BAF9F5"/>
              <w:left w:val="single" w:sz="2" w:space="0" w:color="D3D3D3"/>
              <w:bottom w:val="single" w:sz="34" w:space="0" w:color="BAF9F5"/>
              <w:right w:val="single" w:sz="2" w:space="0" w:color="D3D3D3"/>
            </w:tcBorders>
          </w:tcPr>
          <w:p>
            <w:pPr>
              <w:pStyle w:val="TableParagraph"/>
              <w:spacing w:line="2" w:lineRule="exact"/>
              <w:ind w:left="112" w:right="106"/>
              <w:rPr>
                <w:rFonts w:ascii="Calibri"/>
                <w:sz w:val="6"/>
              </w:rPr>
            </w:pPr>
            <w:r>
              <w:rPr>
                <w:rFonts w:ascii="Calibri"/>
                <w:w w:val="105"/>
                <w:sz w:val="6"/>
              </w:rPr>
              <w:t>0.8</w:t>
            </w:r>
          </w:p>
        </w:tc>
        <w:tc>
          <w:tcPr>
            <w:tcW w:w="346" w:type="dxa"/>
            <w:tcBorders>
              <w:top w:val="single" w:sz="34" w:space="0" w:color="BAF9F5"/>
              <w:left w:val="single" w:sz="2" w:space="0" w:color="D3D3D3"/>
              <w:bottom w:val="single" w:sz="34" w:space="0" w:color="BAF9F5"/>
              <w:right w:val="single" w:sz="2" w:space="0" w:color="D3D3D3"/>
            </w:tcBorders>
          </w:tcPr>
          <w:p>
            <w:pPr>
              <w:pStyle w:val="TableParagraph"/>
              <w:spacing w:line="2"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1512" w:type="dxa"/>
            <w:shd w:val="clear" w:color="auto" w:fill="BAF9F5"/>
          </w:tcPr>
          <w:p>
            <w:pPr/>
          </w:p>
        </w:tc>
        <w:tc>
          <w:tcPr>
            <w:tcW w:w="652" w:type="dxa"/>
            <w:shd w:val="clear" w:color="auto" w:fill="BAF9F5"/>
          </w:tcPr>
          <w:p>
            <w:pPr/>
          </w:p>
        </w:tc>
        <w:tc>
          <w:tcPr>
            <w:tcW w:w="582" w:type="dxa"/>
            <w:shd w:val="clear" w:color="auto" w:fill="BAF9F5"/>
          </w:tcPr>
          <w:p>
            <w:pPr/>
          </w:p>
        </w:tc>
        <w:tc>
          <w:tcPr>
            <w:tcW w:w="1105" w:type="dxa"/>
            <w:shd w:val="clear" w:color="auto" w:fill="BAF9F5"/>
          </w:tcPr>
          <w:p>
            <w:pPr/>
          </w:p>
        </w:tc>
        <w:tc>
          <w:tcPr>
            <w:tcW w:w="485" w:type="dxa"/>
            <w:shd w:val="clear" w:color="auto" w:fill="BAF9F5"/>
          </w:tcPr>
          <w:p>
            <w:pPr/>
          </w:p>
        </w:tc>
        <w:tc>
          <w:tcPr>
            <w:tcW w:w="346" w:type="dxa"/>
          </w:tcPr>
          <w:p>
            <w:pPr/>
          </w:p>
        </w:tc>
        <w:tc>
          <w:tcPr>
            <w:tcW w:w="345" w:type="dxa"/>
            <w:shd w:val="clear" w:color="auto" w:fill="BAF9F5"/>
          </w:tcPr>
          <w:p>
            <w:pPr/>
          </w:p>
        </w:tc>
        <w:tc>
          <w:tcPr>
            <w:tcW w:w="346" w:type="dxa"/>
            <w:shd w:val="clear" w:color="auto" w:fill="BAF9F5"/>
          </w:tcPr>
          <w:p>
            <w:pPr/>
          </w:p>
        </w:tc>
        <w:tc>
          <w:tcPr>
            <w:tcW w:w="89" w:type="dxa"/>
          </w:tcPr>
          <w:p>
            <w:pPr/>
          </w:p>
        </w:tc>
      </w:tr>
      <w:tr>
        <w:trPr>
          <w:trHeight w:val="85" w:hRule="exact"/>
        </w:trPr>
        <w:tc>
          <w:tcPr>
            <w:tcW w:w="346" w:type="dxa"/>
            <w:tcBorders>
              <w:right w:val="single" w:sz="2" w:space="0" w:color="D3D3D3"/>
            </w:tcBorders>
          </w:tcPr>
          <w:p>
            <w:pPr/>
          </w:p>
        </w:tc>
        <w:tc>
          <w:tcPr>
            <w:tcW w:w="1182" w:type="dxa"/>
            <w:tcBorders>
              <w:left w:val="single" w:sz="2" w:space="0" w:color="D3D3D3"/>
              <w:bottom w:val="single" w:sz="2" w:space="0" w:color="D3D3D3"/>
              <w:right w:val="single" w:sz="2" w:space="0" w:color="D3D3D3"/>
            </w:tcBorders>
          </w:tcPr>
          <w:p>
            <w:pPr/>
          </w:p>
        </w:tc>
        <w:tc>
          <w:tcPr>
            <w:tcW w:w="1240" w:type="dxa"/>
            <w:tcBorders>
              <w:left w:val="single" w:sz="2" w:space="0" w:color="D3D3D3"/>
              <w:bottom w:val="single" w:sz="2" w:space="0" w:color="D3D3D3"/>
              <w:right w:val="single" w:sz="2" w:space="0" w:color="D3D3D3"/>
            </w:tcBorders>
          </w:tcPr>
          <w:p>
            <w:pPr/>
          </w:p>
        </w:tc>
        <w:tc>
          <w:tcPr>
            <w:tcW w:w="2344" w:type="dxa"/>
            <w:tcBorders>
              <w:left w:val="single" w:sz="2" w:space="0" w:color="D3D3D3"/>
              <w:bottom w:val="single" w:sz="2" w:space="0" w:color="D3D3D3"/>
              <w:right w:val="single" w:sz="2" w:space="0" w:color="D3D3D3"/>
            </w:tcBorders>
          </w:tcPr>
          <w:p>
            <w:pPr/>
          </w:p>
        </w:tc>
        <w:tc>
          <w:tcPr>
            <w:tcW w:w="977"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409" w:right="406"/>
              <w:rPr>
                <w:rFonts w:ascii="Calibri"/>
                <w:sz w:val="6"/>
              </w:rPr>
            </w:pPr>
            <w:r>
              <w:rPr>
                <w:rFonts w:ascii="Calibri"/>
                <w:w w:val="105"/>
                <w:sz w:val="6"/>
              </w:rPr>
              <w:t>0.2</w:t>
            </w:r>
          </w:p>
        </w:tc>
        <w:tc>
          <w:tcPr>
            <w:tcW w:w="1449"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644" w:right="642"/>
              <w:rPr>
                <w:rFonts w:ascii="Calibri"/>
                <w:sz w:val="6"/>
              </w:rPr>
            </w:pPr>
            <w:r>
              <w:rPr>
                <w:rFonts w:ascii="Calibri"/>
                <w:w w:val="105"/>
                <w:sz w:val="6"/>
              </w:rPr>
              <w:t>0.2</w:t>
            </w:r>
          </w:p>
        </w:tc>
        <w:tc>
          <w:tcPr>
            <w:tcW w:w="1512"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694" w:right="691"/>
              <w:rPr>
                <w:rFonts w:ascii="Calibri"/>
                <w:sz w:val="6"/>
              </w:rPr>
            </w:pPr>
            <w:r>
              <w:rPr>
                <w:rFonts w:ascii="Calibri"/>
                <w:w w:val="105"/>
                <w:sz w:val="6"/>
              </w:rPr>
              <w:t>0.2</w:t>
            </w:r>
          </w:p>
        </w:tc>
        <w:tc>
          <w:tcPr>
            <w:tcW w:w="652" w:type="dxa"/>
            <w:tcBorders>
              <w:left w:val="single" w:sz="2" w:space="0" w:color="D3D3D3"/>
              <w:bottom w:val="single" w:sz="34" w:space="0" w:color="808080"/>
              <w:right w:val="single" w:sz="2" w:space="0" w:color="D3D3D3"/>
            </w:tcBorders>
            <w:shd w:val="clear" w:color="auto" w:fill="BAF9F5"/>
          </w:tcPr>
          <w:p>
            <w:pPr>
              <w:pStyle w:val="TableParagraph"/>
              <w:spacing w:line="41" w:lineRule="exact"/>
              <w:ind w:left="199" w:right="200"/>
              <w:rPr>
                <w:rFonts w:ascii="Calibri"/>
                <w:sz w:val="6"/>
              </w:rPr>
            </w:pPr>
            <w:r>
              <w:rPr>
                <w:rFonts w:ascii="Calibri"/>
                <w:w w:val="105"/>
                <w:sz w:val="6"/>
              </w:rPr>
              <w:t>0.2</w:t>
            </w:r>
          </w:p>
        </w:tc>
        <w:tc>
          <w:tcPr>
            <w:tcW w:w="582"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230" w:right="226"/>
              <w:rPr>
                <w:rFonts w:ascii="Calibri"/>
                <w:sz w:val="6"/>
              </w:rPr>
            </w:pPr>
            <w:r>
              <w:rPr>
                <w:rFonts w:ascii="Calibri"/>
                <w:w w:val="105"/>
                <w:sz w:val="6"/>
              </w:rPr>
              <w:t>0.2</w:t>
            </w:r>
          </w:p>
        </w:tc>
        <w:tc>
          <w:tcPr>
            <w:tcW w:w="1105" w:type="dxa"/>
            <w:tcBorders>
              <w:left w:val="single" w:sz="2" w:space="0" w:color="D3D3D3"/>
              <w:bottom w:val="single" w:sz="2" w:space="0" w:color="D3D3D3"/>
              <w:right w:val="double" w:sz="5" w:space="0" w:color="D3D3D3"/>
            </w:tcBorders>
            <w:shd w:val="clear" w:color="auto" w:fill="BAF9F5"/>
          </w:tcPr>
          <w:p>
            <w:pPr/>
          </w:p>
        </w:tc>
        <w:tc>
          <w:tcPr>
            <w:tcW w:w="485" w:type="dxa"/>
            <w:tcBorders>
              <w:left w:val="double" w:sz="5" w:space="0" w:color="D3D3D3"/>
              <w:bottom w:val="single" w:sz="2" w:space="0" w:color="D3D3D3"/>
            </w:tcBorders>
            <w:shd w:val="clear" w:color="auto" w:fill="BAF9F5"/>
          </w:tcPr>
          <w:p>
            <w:pPr>
              <w:pStyle w:val="TableParagraph"/>
              <w:spacing w:line="41" w:lineRule="exact"/>
              <w:ind w:left="72" w:right="72"/>
              <w:rPr>
                <w:rFonts w:ascii="Calibri"/>
                <w:sz w:val="6"/>
              </w:rPr>
            </w:pPr>
            <w:r>
              <w:rPr>
                <w:rFonts w:ascii="Calibri"/>
                <w:w w:val="105"/>
                <w:sz w:val="6"/>
              </w:rPr>
              <w:t>0.2</w:t>
            </w:r>
          </w:p>
          <w:p>
            <w:pPr>
              <w:pStyle w:val="TableParagraph"/>
              <w:spacing w:before="9"/>
              <w:ind w:left="73" w:right="72"/>
              <w:rPr>
                <w:rFonts w:ascii="Calibri"/>
                <w:sz w:val="6"/>
              </w:rPr>
            </w:pPr>
            <w:r>
              <w:rPr>
                <w:rFonts w:ascii="Calibri"/>
                <w:w w:val="105"/>
                <w:sz w:val="6"/>
              </w:rPr>
              <w:t>Subtotal</w:t>
            </w:r>
          </w:p>
        </w:tc>
        <w:tc>
          <w:tcPr>
            <w:tcW w:w="346" w:type="dxa"/>
            <w:shd w:val="clear" w:color="auto" w:fill="F79646"/>
          </w:tcPr>
          <w:p>
            <w:pPr>
              <w:pStyle w:val="TableParagraph"/>
              <w:spacing w:before="50"/>
              <w:ind w:left="160"/>
              <w:jc w:val="left"/>
              <w:rPr>
                <w:rFonts w:ascii="Calibri"/>
                <w:sz w:val="6"/>
              </w:rPr>
            </w:pPr>
            <w:r>
              <w:rPr>
                <w:rFonts w:ascii="Calibri"/>
                <w:w w:val="104"/>
                <w:sz w:val="6"/>
              </w:rPr>
              <w:t>1</w:t>
            </w:r>
          </w:p>
        </w:tc>
        <w:tc>
          <w:tcPr>
            <w:tcW w:w="345" w:type="dxa"/>
            <w:tcBorders>
              <w:top w:val="single" w:sz="34" w:space="0" w:color="BAF9F5"/>
            </w:tcBorders>
            <w:shd w:val="clear" w:color="auto" w:fill="FFFF00"/>
          </w:tcPr>
          <w:p>
            <w:pPr>
              <w:pStyle w:val="TableParagraph"/>
              <w:spacing w:line="2" w:lineRule="exact"/>
              <w:ind w:left="99" w:right="93"/>
              <w:rPr>
                <w:rFonts w:ascii="Calibri"/>
                <w:sz w:val="6"/>
              </w:rPr>
            </w:pPr>
            <w:r>
              <w:rPr>
                <w:rFonts w:ascii="Calibri"/>
                <w:w w:val="105"/>
                <w:sz w:val="6"/>
              </w:rPr>
              <w:t>0.6</w:t>
            </w:r>
          </w:p>
          <w:p>
            <w:pPr>
              <w:pStyle w:val="TableParagraph"/>
              <w:spacing w:before="6"/>
              <w:ind w:left="99" w:right="93"/>
              <w:rPr>
                <w:rFonts w:ascii="Calibri"/>
                <w:sz w:val="6"/>
              </w:rPr>
            </w:pPr>
            <w:r>
              <w:rPr>
                <w:rFonts w:ascii="Calibri"/>
                <w:w w:val="105"/>
                <w:sz w:val="6"/>
              </w:rPr>
              <w:t>1.4</w:t>
            </w:r>
          </w:p>
        </w:tc>
        <w:tc>
          <w:tcPr>
            <w:tcW w:w="346" w:type="dxa"/>
            <w:tcBorders>
              <w:top w:val="single" w:sz="34" w:space="0" w:color="BAF9F5"/>
            </w:tcBorders>
            <w:shd w:val="clear" w:color="auto" w:fill="67ED4D"/>
          </w:tcPr>
          <w:p>
            <w:pPr>
              <w:pStyle w:val="TableParagraph"/>
              <w:spacing w:line="2" w:lineRule="exact"/>
              <w:ind w:left="6"/>
              <w:rPr>
                <w:rFonts w:ascii="Calibri"/>
                <w:sz w:val="6"/>
              </w:rPr>
            </w:pPr>
            <w:r>
              <w:rPr>
                <w:rFonts w:ascii="Calibri"/>
                <w:w w:val="104"/>
                <w:sz w:val="6"/>
              </w:rPr>
              <w:t>1</w:t>
            </w:r>
          </w:p>
          <w:p>
            <w:pPr>
              <w:pStyle w:val="TableParagraph"/>
              <w:spacing w:before="6"/>
              <w:ind w:left="6"/>
              <w:rPr>
                <w:rFonts w:ascii="Calibri"/>
                <w:sz w:val="6"/>
              </w:rPr>
            </w:pPr>
            <w:r>
              <w:rPr>
                <w:rFonts w:ascii="Calibri"/>
                <w:w w:val="104"/>
                <w:sz w:val="6"/>
              </w:rPr>
              <w:t>2</w:t>
            </w:r>
          </w:p>
        </w:tc>
        <w:tc>
          <w:tcPr>
            <w:tcW w:w="89" w:type="dxa"/>
            <w:tcBorders>
              <w:bottom w:val="single" w:sz="2" w:space="0" w:color="D3D3D3"/>
            </w:tcBorders>
          </w:tcPr>
          <w:p>
            <w:pPr/>
          </w:p>
        </w:tc>
      </w:tr>
      <w:tr>
        <w:trPr>
          <w:trHeight w:val="99" w:hRule="exact"/>
        </w:trPr>
        <w:tc>
          <w:tcPr>
            <w:tcW w:w="346" w:type="dxa"/>
            <w:tcBorders>
              <w:right w:val="single" w:sz="2" w:space="0" w:color="D3D3D3"/>
            </w:tcBorders>
          </w:tcPr>
          <w:p>
            <w:pPr/>
          </w:p>
        </w:tc>
        <w:tc>
          <w:tcPr>
            <w:tcW w:w="1182" w:type="dxa"/>
            <w:tcBorders>
              <w:top w:val="single" w:sz="2" w:space="0" w:color="D3D3D3"/>
              <w:left w:val="single" w:sz="2" w:space="0" w:color="D3D3D3"/>
              <w:right w:val="single" w:sz="2" w:space="0" w:color="D3D3D3"/>
            </w:tcBorders>
          </w:tcPr>
          <w:p>
            <w:pPr>
              <w:pStyle w:val="TableParagraph"/>
              <w:spacing w:before="6"/>
              <w:ind w:left="52"/>
              <w:jc w:val="left"/>
              <w:rPr>
                <w:rFonts w:ascii="Calibri" w:hAnsi="Calibri"/>
                <w:sz w:val="6"/>
              </w:rPr>
            </w:pPr>
            <w:r>
              <w:rPr>
                <w:rFonts w:ascii="Calibri" w:hAnsi="Calibri"/>
                <w:w w:val="105"/>
                <w:sz w:val="6"/>
              </w:rPr>
              <w:t>7 Integración al territorio</w:t>
            </w:r>
          </w:p>
        </w:tc>
        <w:tc>
          <w:tcPr>
            <w:tcW w:w="1240" w:type="dxa"/>
            <w:tcBorders>
              <w:top w:val="single" w:sz="2" w:space="0" w:color="D3D3D3"/>
              <w:left w:val="single" w:sz="2" w:space="0" w:color="D3D3D3"/>
              <w:right w:val="single" w:sz="2" w:space="0" w:color="D3D3D3"/>
            </w:tcBorders>
          </w:tcPr>
          <w:p>
            <w:pPr>
              <w:pStyle w:val="TableParagraph"/>
              <w:spacing w:before="6"/>
              <w:ind w:left="8"/>
              <w:jc w:val="left"/>
              <w:rPr>
                <w:rFonts w:ascii="Calibri" w:hAnsi="Calibri"/>
                <w:sz w:val="6"/>
              </w:rPr>
            </w:pPr>
            <w:r>
              <w:rPr>
                <w:rFonts w:ascii="Calibri" w:hAnsi="Calibri"/>
                <w:w w:val="105"/>
                <w:sz w:val="6"/>
              </w:rPr>
              <w:t>Ubicación del conjunto urbano</w:t>
            </w:r>
          </w:p>
        </w:tc>
        <w:tc>
          <w:tcPr>
            <w:tcW w:w="2344" w:type="dxa"/>
            <w:tcBorders>
              <w:top w:val="single" w:sz="2" w:space="0" w:color="D3D3D3"/>
              <w:left w:val="single" w:sz="2" w:space="0" w:color="D3D3D3"/>
              <w:right w:val="single" w:sz="2" w:space="0" w:color="D3D3D3"/>
            </w:tcBorders>
          </w:tcPr>
          <w:p>
            <w:pPr>
              <w:pStyle w:val="TableParagraph"/>
              <w:spacing w:before="6"/>
              <w:ind w:left="8"/>
              <w:jc w:val="left"/>
              <w:rPr>
                <w:rFonts w:ascii="Calibri" w:hAnsi="Calibri"/>
                <w:sz w:val="6"/>
              </w:rPr>
            </w:pPr>
            <w:r>
              <w:rPr>
                <w:rFonts w:ascii="Calibri" w:hAnsi="Calibri"/>
                <w:w w:val="105"/>
                <w:sz w:val="6"/>
              </w:rPr>
              <w:t>¿A que distancia se encuentra el CU de Toluca?</w:t>
            </w:r>
          </w:p>
        </w:tc>
        <w:tc>
          <w:tcPr>
            <w:tcW w:w="977" w:type="dxa"/>
            <w:tcBorders>
              <w:top w:val="single" w:sz="2" w:space="0" w:color="D3D3D3"/>
              <w:left w:val="single" w:sz="2" w:space="0" w:color="D3D3D3"/>
              <w:bottom w:val="single" w:sz="35" w:space="0" w:color="BAF9F5"/>
              <w:right w:val="single" w:sz="2" w:space="0" w:color="D3D3D3"/>
            </w:tcBorders>
          </w:tcPr>
          <w:p>
            <w:pPr>
              <w:pStyle w:val="TableParagraph"/>
              <w:spacing w:before="6"/>
              <w:ind w:left="411" w:right="402"/>
              <w:rPr>
                <w:rFonts w:ascii="Calibri"/>
                <w:sz w:val="6"/>
              </w:rPr>
            </w:pPr>
            <w:r>
              <w:rPr>
                <w:rFonts w:ascii="Calibri"/>
                <w:w w:val="105"/>
                <w:sz w:val="6"/>
              </w:rPr>
              <w:t>1km</w:t>
            </w:r>
          </w:p>
        </w:tc>
        <w:tc>
          <w:tcPr>
            <w:tcW w:w="1449" w:type="dxa"/>
            <w:tcBorders>
              <w:top w:val="single" w:sz="2" w:space="0" w:color="D3D3D3"/>
              <w:left w:val="single" w:sz="2" w:space="0" w:color="D3D3D3"/>
              <w:bottom w:val="single" w:sz="35" w:space="0" w:color="BAF9F5"/>
              <w:right w:val="single" w:sz="2" w:space="0" w:color="D3D3D3"/>
            </w:tcBorders>
          </w:tcPr>
          <w:p>
            <w:pPr>
              <w:pStyle w:val="TableParagraph"/>
              <w:spacing w:before="6"/>
              <w:ind w:left="647" w:right="638"/>
              <w:rPr>
                <w:rFonts w:ascii="Calibri"/>
                <w:sz w:val="6"/>
              </w:rPr>
            </w:pPr>
            <w:r>
              <w:rPr>
                <w:rFonts w:ascii="Calibri"/>
                <w:w w:val="105"/>
                <w:sz w:val="6"/>
              </w:rPr>
              <w:t>5km</w:t>
            </w:r>
          </w:p>
        </w:tc>
        <w:tc>
          <w:tcPr>
            <w:tcW w:w="1512" w:type="dxa"/>
            <w:tcBorders>
              <w:top w:val="single" w:sz="2" w:space="0" w:color="D3D3D3"/>
              <w:left w:val="single" w:sz="2" w:space="0" w:color="D3D3D3"/>
              <w:bottom w:val="single" w:sz="35" w:space="0" w:color="BAF9F5"/>
            </w:tcBorders>
          </w:tcPr>
          <w:p>
            <w:pPr>
              <w:pStyle w:val="TableParagraph"/>
              <w:spacing w:before="6"/>
              <w:ind w:left="612" w:right="606"/>
              <w:rPr>
                <w:rFonts w:ascii="Calibri"/>
                <w:sz w:val="6"/>
              </w:rPr>
            </w:pPr>
            <w:r>
              <w:rPr>
                <w:rFonts w:ascii="Calibri"/>
                <w:w w:val="105"/>
                <w:sz w:val="6"/>
              </w:rPr>
              <w:t>10km</w:t>
            </w:r>
          </w:p>
        </w:tc>
        <w:tc>
          <w:tcPr>
            <w:tcW w:w="652" w:type="dxa"/>
            <w:tcBorders>
              <w:bottom w:val="single" w:sz="35" w:space="0" w:color="BAF9F5"/>
            </w:tcBorders>
            <w:shd w:val="clear" w:color="auto" w:fill="808080"/>
          </w:tcPr>
          <w:p>
            <w:pPr>
              <w:pStyle w:val="TableParagraph"/>
              <w:spacing w:before="8"/>
              <w:ind w:left="6"/>
              <w:rPr>
                <w:rFonts w:ascii="Calibri"/>
                <w:sz w:val="6"/>
              </w:rPr>
            </w:pPr>
            <w:r>
              <w:rPr>
                <w:rFonts w:ascii="Calibri"/>
                <w:w w:val="105"/>
                <w:sz w:val="6"/>
              </w:rPr>
              <w:t>15km</w:t>
            </w:r>
          </w:p>
        </w:tc>
        <w:tc>
          <w:tcPr>
            <w:tcW w:w="582" w:type="dxa"/>
            <w:tcBorders>
              <w:top w:val="single" w:sz="2" w:space="0" w:color="D3D3D3"/>
              <w:bottom w:val="single" w:sz="35" w:space="0" w:color="BAF9F5"/>
              <w:right w:val="single" w:sz="2" w:space="0" w:color="D3D3D3"/>
            </w:tcBorders>
          </w:tcPr>
          <w:p>
            <w:pPr>
              <w:pStyle w:val="TableParagraph"/>
              <w:spacing w:before="6"/>
              <w:ind w:left="202" w:right="195"/>
              <w:rPr>
                <w:rFonts w:ascii="Calibri"/>
                <w:sz w:val="6"/>
              </w:rPr>
            </w:pPr>
            <w:r>
              <w:rPr>
                <w:rFonts w:ascii="Calibri"/>
                <w:w w:val="105"/>
                <w:sz w:val="6"/>
              </w:rPr>
              <w:t>20km</w:t>
            </w:r>
          </w:p>
        </w:tc>
        <w:tc>
          <w:tcPr>
            <w:tcW w:w="1105" w:type="dxa"/>
            <w:tcBorders>
              <w:top w:val="single" w:sz="2" w:space="0" w:color="D3D3D3"/>
              <w:left w:val="single" w:sz="2" w:space="0" w:color="D3D3D3"/>
              <w:bottom w:val="single" w:sz="35" w:space="0" w:color="BAF9F5"/>
              <w:right w:val="double" w:sz="5" w:space="0" w:color="D3D3D3"/>
            </w:tcBorders>
          </w:tcPr>
          <w:p>
            <w:pPr>
              <w:pStyle w:val="TableParagraph"/>
              <w:spacing w:before="6"/>
              <w:ind w:left="475"/>
              <w:jc w:val="left"/>
              <w:rPr>
                <w:rFonts w:ascii="Calibri"/>
                <w:sz w:val="6"/>
              </w:rPr>
            </w:pPr>
            <w:r>
              <w:rPr>
                <w:rFonts w:ascii="Calibri"/>
                <w:w w:val="105"/>
                <w:sz w:val="6"/>
              </w:rPr>
              <w:t>30km</w:t>
            </w:r>
          </w:p>
        </w:tc>
        <w:tc>
          <w:tcPr>
            <w:tcW w:w="485" w:type="dxa"/>
            <w:tcBorders>
              <w:top w:val="single" w:sz="2" w:space="0" w:color="D3D3D3"/>
              <w:left w:val="double" w:sz="5" w:space="0" w:color="D3D3D3"/>
              <w:bottom w:val="single" w:sz="35" w:space="0" w:color="BAF9F5"/>
              <w:right w:val="single" w:sz="2" w:space="0" w:color="D3D3D3"/>
            </w:tcBorders>
          </w:tcPr>
          <w:p>
            <w:pPr/>
          </w:p>
        </w:tc>
        <w:tc>
          <w:tcPr>
            <w:tcW w:w="346" w:type="dxa"/>
            <w:tcBorders>
              <w:left w:val="single" w:sz="2" w:space="0" w:color="D3D3D3"/>
              <w:right w:val="single" w:sz="2" w:space="0" w:color="D3D3D3"/>
            </w:tcBorders>
          </w:tcPr>
          <w:p>
            <w:pPr/>
          </w:p>
        </w:tc>
        <w:tc>
          <w:tcPr>
            <w:tcW w:w="345" w:type="dxa"/>
            <w:tcBorders>
              <w:left w:val="single" w:sz="2" w:space="0" w:color="D3D3D3"/>
              <w:bottom w:val="single" w:sz="35" w:space="0" w:color="BAF9F5"/>
              <w:right w:val="single" w:sz="2" w:space="0" w:color="D3D3D3"/>
            </w:tcBorders>
          </w:tcPr>
          <w:p>
            <w:pPr/>
          </w:p>
        </w:tc>
        <w:tc>
          <w:tcPr>
            <w:tcW w:w="346" w:type="dxa"/>
            <w:tcBorders>
              <w:left w:val="single" w:sz="2" w:space="0" w:color="D3D3D3"/>
              <w:bottom w:val="single" w:sz="35" w:space="0" w:color="BAF9F5"/>
              <w:right w:val="single" w:sz="2" w:space="0" w:color="D3D3D3"/>
            </w:tcBorders>
          </w:tcPr>
          <w:p>
            <w:pPr/>
          </w:p>
        </w:tc>
        <w:tc>
          <w:tcPr>
            <w:tcW w:w="89" w:type="dxa"/>
            <w:tcBorders>
              <w:top w:val="single" w:sz="2" w:space="0" w:color="D3D3D3"/>
              <w:left w:val="single" w:sz="2" w:space="0" w:color="D3D3D3"/>
            </w:tcBorders>
          </w:tcPr>
          <w:p>
            <w:pPr/>
          </w:p>
        </w:tc>
      </w:tr>
      <w:tr>
        <w:trPr>
          <w:trHeight w:val="63"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1512" w:type="dxa"/>
            <w:shd w:val="clear" w:color="auto" w:fill="BAF9F5"/>
          </w:tcPr>
          <w:p>
            <w:pPr/>
          </w:p>
        </w:tc>
        <w:tc>
          <w:tcPr>
            <w:tcW w:w="652" w:type="dxa"/>
            <w:shd w:val="clear" w:color="auto" w:fill="BAF9F5"/>
          </w:tcPr>
          <w:p>
            <w:pPr/>
          </w:p>
        </w:tc>
        <w:tc>
          <w:tcPr>
            <w:tcW w:w="582" w:type="dxa"/>
            <w:shd w:val="clear" w:color="auto" w:fill="BAF9F5"/>
          </w:tcPr>
          <w:p>
            <w:pPr/>
          </w:p>
        </w:tc>
        <w:tc>
          <w:tcPr>
            <w:tcW w:w="1105" w:type="dxa"/>
            <w:shd w:val="clear" w:color="auto" w:fill="BAF9F5"/>
          </w:tcPr>
          <w:p>
            <w:pPr/>
          </w:p>
        </w:tc>
        <w:tc>
          <w:tcPr>
            <w:tcW w:w="485" w:type="dxa"/>
            <w:shd w:val="clear" w:color="auto" w:fill="BAF9F5"/>
          </w:tcPr>
          <w:p>
            <w:pPr/>
          </w:p>
        </w:tc>
        <w:tc>
          <w:tcPr>
            <w:tcW w:w="346" w:type="dxa"/>
          </w:tcPr>
          <w:p>
            <w:pPr/>
          </w:p>
        </w:tc>
        <w:tc>
          <w:tcPr>
            <w:tcW w:w="345" w:type="dxa"/>
            <w:shd w:val="clear" w:color="auto" w:fill="BAF9F5"/>
          </w:tcPr>
          <w:p>
            <w:pPr/>
          </w:p>
        </w:tc>
        <w:tc>
          <w:tcPr>
            <w:tcW w:w="346" w:type="dxa"/>
            <w:shd w:val="clear" w:color="auto" w:fill="BAF9F5"/>
          </w:tcPr>
          <w:p>
            <w:pPr/>
          </w:p>
        </w:tc>
        <w:tc>
          <w:tcPr>
            <w:tcW w:w="89" w:type="dxa"/>
          </w:tcPr>
          <w:p>
            <w:pPr/>
          </w:p>
        </w:tc>
      </w:tr>
      <w:tr>
        <w:trPr>
          <w:trHeight w:val="102"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Style w:val="TableParagraph"/>
              <w:spacing w:before="49"/>
              <w:ind w:left="8"/>
              <w:jc w:val="left"/>
              <w:rPr>
                <w:rFonts w:ascii="Calibri"/>
                <w:sz w:val="6"/>
              </w:rPr>
            </w:pPr>
            <w:r>
              <w:rPr>
                <w:rFonts w:ascii="Calibri"/>
                <w:w w:val="105"/>
                <w:sz w:val="6"/>
              </w:rPr>
              <w:t>Abierto</w:t>
            </w:r>
          </w:p>
        </w:tc>
        <w:tc>
          <w:tcPr>
            <w:tcW w:w="2344" w:type="dxa"/>
            <w:tcBorders>
              <w:left w:val="single" w:sz="2" w:space="0" w:color="D3D3D3"/>
              <w:right w:val="single" w:sz="2" w:space="0" w:color="D3D3D3"/>
            </w:tcBorders>
          </w:tcPr>
          <w:p>
            <w:pPr>
              <w:pStyle w:val="TableParagraph"/>
              <w:spacing w:before="49"/>
              <w:ind w:left="8"/>
              <w:jc w:val="left"/>
              <w:rPr>
                <w:rFonts w:ascii="Calibri" w:hAnsi="Calibri"/>
                <w:sz w:val="6"/>
              </w:rPr>
            </w:pPr>
            <w:r>
              <w:rPr>
                <w:rFonts w:ascii="Calibri" w:hAnsi="Calibri"/>
                <w:w w:val="105"/>
                <w:sz w:val="6"/>
              </w:rPr>
              <w:t>¿El CU es abierto o cerrado?</w:t>
            </w:r>
          </w:p>
        </w:tc>
        <w:tc>
          <w:tcPr>
            <w:tcW w:w="977" w:type="dxa"/>
            <w:tcBorders>
              <w:top w:val="single" w:sz="35" w:space="0" w:color="BAF9F5"/>
              <w:left w:val="single" w:sz="2" w:space="0" w:color="D3D3D3"/>
              <w:bottom w:val="single" w:sz="35" w:space="0" w:color="BAF9F5"/>
            </w:tcBorders>
          </w:tcPr>
          <w:p>
            <w:pPr>
              <w:pStyle w:val="TableParagraph"/>
              <w:spacing w:line="3" w:lineRule="exact"/>
              <w:rPr>
                <w:rFonts w:ascii="Calibri"/>
                <w:sz w:val="6"/>
              </w:rPr>
            </w:pPr>
            <w:r>
              <w:rPr>
                <w:rFonts w:ascii="Calibri"/>
                <w:w w:val="104"/>
                <w:sz w:val="6"/>
              </w:rPr>
              <w:t>1</w:t>
            </w:r>
          </w:p>
          <w:p>
            <w:pPr>
              <w:pStyle w:val="TableParagraph"/>
              <w:spacing w:before="6"/>
              <w:ind w:left="373" w:right="368"/>
              <w:rPr>
                <w:rFonts w:ascii="Calibri"/>
                <w:sz w:val="6"/>
              </w:rPr>
            </w:pPr>
            <w:r>
              <w:rPr>
                <w:rFonts w:ascii="Calibri"/>
                <w:w w:val="105"/>
                <w:sz w:val="6"/>
              </w:rPr>
              <w:t>Abierto</w:t>
            </w:r>
          </w:p>
        </w:tc>
        <w:tc>
          <w:tcPr>
            <w:tcW w:w="1449" w:type="dxa"/>
            <w:tcBorders>
              <w:top w:val="single" w:sz="35" w:space="0" w:color="BAF9F5"/>
              <w:bottom w:val="single" w:sz="35" w:space="0" w:color="BAF9F5"/>
            </w:tcBorders>
          </w:tcPr>
          <w:p>
            <w:pPr>
              <w:pStyle w:val="TableParagraph"/>
              <w:spacing w:line="3" w:lineRule="exact"/>
              <w:ind w:left="536" w:right="532"/>
              <w:rPr>
                <w:rFonts w:ascii="Calibri"/>
                <w:sz w:val="6"/>
              </w:rPr>
            </w:pPr>
            <w:r>
              <w:rPr>
                <w:rFonts w:ascii="Calibri"/>
                <w:w w:val="105"/>
                <w:sz w:val="6"/>
              </w:rPr>
              <w:t>0.8</w:t>
            </w:r>
          </w:p>
          <w:p>
            <w:pPr>
              <w:pStyle w:val="TableParagraph"/>
              <w:tabs>
                <w:tab w:pos="628" w:val="left" w:leader="none"/>
                <w:tab w:pos="1452" w:val="left" w:leader="none"/>
              </w:tabs>
              <w:spacing w:before="6"/>
              <w:ind w:right="-4"/>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Cerrado</w:t>
            </w:r>
            <w:r>
              <w:rPr>
                <w:rFonts w:ascii="Calibri"/>
                <w:sz w:val="6"/>
                <w:shd w:fill="808080" w:color="auto" w:val="clear"/>
              </w:rPr>
              <w:tab/>
            </w:r>
          </w:p>
        </w:tc>
        <w:tc>
          <w:tcPr>
            <w:tcW w:w="1512" w:type="dxa"/>
            <w:tcBorders>
              <w:top w:val="single" w:sz="35" w:space="0" w:color="BAF9F5"/>
              <w:bottom w:val="single" w:sz="35" w:space="0" w:color="BAF9F5"/>
              <w:right w:val="single" w:sz="2" w:space="0" w:color="D3D3D3"/>
            </w:tcBorders>
          </w:tcPr>
          <w:p>
            <w:pPr>
              <w:pStyle w:val="TableParagraph"/>
              <w:spacing w:line="3" w:lineRule="exact"/>
              <w:ind w:left="554" w:right="547"/>
              <w:rPr>
                <w:rFonts w:ascii="Calibri"/>
                <w:sz w:val="6"/>
              </w:rPr>
            </w:pPr>
            <w:r>
              <w:rPr>
                <w:rFonts w:ascii="Calibri"/>
                <w:w w:val="105"/>
                <w:sz w:val="6"/>
              </w:rPr>
              <w:t>0.7</w:t>
            </w:r>
          </w:p>
        </w:tc>
        <w:tc>
          <w:tcPr>
            <w:tcW w:w="652"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199" w:right="200"/>
              <w:rPr>
                <w:rFonts w:ascii="Calibri"/>
                <w:sz w:val="6"/>
              </w:rPr>
            </w:pPr>
            <w:r>
              <w:rPr>
                <w:rFonts w:ascii="Calibri"/>
                <w:w w:val="105"/>
                <w:sz w:val="6"/>
              </w:rPr>
              <w:t>0.6</w:t>
            </w:r>
          </w:p>
        </w:tc>
        <w:tc>
          <w:tcPr>
            <w:tcW w:w="582"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59" w:right="54"/>
              <w:rPr>
                <w:rFonts w:ascii="Calibri"/>
                <w:sz w:val="6"/>
              </w:rPr>
            </w:pPr>
            <w:r>
              <w:rPr>
                <w:rFonts w:ascii="Calibri"/>
                <w:w w:val="105"/>
                <w:sz w:val="6"/>
              </w:rPr>
              <w:t>0.4</w:t>
            </w:r>
          </w:p>
        </w:tc>
        <w:tc>
          <w:tcPr>
            <w:tcW w:w="1105" w:type="dxa"/>
            <w:tcBorders>
              <w:top w:val="single" w:sz="35" w:space="0" w:color="BAF9F5"/>
              <w:left w:val="single" w:sz="2" w:space="0" w:color="D3D3D3"/>
              <w:bottom w:val="single" w:sz="35" w:space="0" w:color="BAF9F5"/>
              <w:right w:val="double" w:sz="5" w:space="0" w:color="D3D3D3"/>
            </w:tcBorders>
          </w:tcPr>
          <w:p>
            <w:pPr>
              <w:pStyle w:val="TableParagraph"/>
              <w:spacing w:line="3" w:lineRule="exact"/>
              <w:ind w:left="502"/>
              <w:jc w:val="left"/>
              <w:rPr>
                <w:rFonts w:ascii="Calibri"/>
                <w:sz w:val="6"/>
              </w:rPr>
            </w:pPr>
            <w:r>
              <w:rPr>
                <w:rFonts w:ascii="Calibri"/>
                <w:w w:val="105"/>
                <w:sz w:val="6"/>
              </w:rPr>
              <w:t>0.2</w:t>
            </w:r>
          </w:p>
        </w:tc>
        <w:tc>
          <w:tcPr>
            <w:tcW w:w="485" w:type="dxa"/>
            <w:tcBorders>
              <w:top w:val="single" w:sz="35" w:space="0" w:color="BAF9F5"/>
              <w:left w:val="double" w:sz="5" w:space="0" w:color="D3D3D3"/>
              <w:bottom w:val="single" w:sz="35" w:space="0" w:color="BAF9F5"/>
              <w:right w:val="single" w:sz="2" w:space="0" w:color="D3D3D3"/>
            </w:tcBorders>
          </w:tcPr>
          <w:p>
            <w:pPr>
              <w:pStyle w:val="TableParagraph"/>
              <w:spacing w:line="3" w:lineRule="exact"/>
              <w:ind w:left="171" w:right="169"/>
              <w:rPr>
                <w:rFonts w:ascii="Calibri"/>
                <w:sz w:val="6"/>
              </w:rPr>
            </w:pPr>
            <w:r>
              <w:rPr>
                <w:rFonts w:ascii="Calibri"/>
                <w:w w:val="105"/>
                <w:sz w:val="6"/>
              </w:rPr>
              <w:t>0.6</w:t>
            </w:r>
          </w:p>
        </w:tc>
        <w:tc>
          <w:tcPr>
            <w:tcW w:w="346" w:type="dxa"/>
            <w:tcBorders>
              <w:left w:val="single" w:sz="2" w:space="0" w:color="D3D3D3"/>
              <w:right w:val="single" w:sz="2" w:space="0" w:color="D3D3D3"/>
            </w:tcBorders>
          </w:tcPr>
          <w:p>
            <w:pPr/>
          </w:p>
        </w:tc>
        <w:tc>
          <w:tcPr>
            <w:tcW w:w="345"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112" w:right="106"/>
              <w:rPr>
                <w:rFonts w:ascii="Calibri"/>
                <w:sz w:val="6"/>
              </w:rPr>
            </w:pPr>
            <w:r>
              <w:rPr>
                <w:rFonts w:ascii="Calibri"/>
                <w:w w:val="105"/>
                <w:sz w:val="6"/>
              </w:rPr>
              <w:t>0.8</w:t>
            </w:r>
          </w:p>
        </w:tc>
        <w:tc>
          <w:tcPr>
            <w:tcW w:w="346" w:type="dxa"/>
            <w:tcBorders>
              <w:top w:val="single" w:sz="35" w:space="0" w:color="BAF9F5"/>
              <w:left w:val="single" w:sz="2" w:space="0" w:color="D3D3D3"/>
              <w:bottom w:val="single" w:sz="35"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1512" w:type="dxa"/>
            <w:shd w:val="clear" w:color="auto" w:fill="BAF9F5"/>
          </w:tcPr>
          <w:p>
            <w:pPr/>
          </w:p>
        </w:tc>
        <w:tc>
          <w:tcPr>
            <w:tcW w:w="652" w:type="dxa"/>
            <w:shd w:val="clear" w:color="auto" w:fill="BAF9F5"/>
          </w:tcPr>
          <w:p>
            <w:pPr/>
          </w:p>
        </w:tc>
        <w:tc>
          <w:tcPr>
            <w:tcW w:w="582" w:type="dxa"/>
            <w:shd w:val="clear" w:color="auto" w:fill="BAF9F5"/>
          </w:tcPr>
          <w:p>
            <w:pPr/>
          </w:p>
        </w:tc>
        <w:tc>
          <w:tcPr>
            <w:tcW w:w="1105" w:type="dxa"/>
            <w:shd w:val="clear" w:color="auto" w:fill="BAF9F5"/>
          </w:tcPr>
          <w:p>
            <w:pPr/>
          </w:p>
        </w:tc>
        <w:tc>
          <w:tcPr>
            <w:tcW w:w="485" w:type="dxa"/>
            <w:shd w:val="clear" w:color="auto" w:fill="BAF9F5"/>
          </w:tcPr>
          <w:p>
            <w:pPr/>
          </w:p>
        </w:tc>
        <w:tc>
          <w:tcPr>
            <w:tcW w:w="346" w:type="dxa"/>
          </w:tcPr>
          <w:p>
            <w:pPr/>
          </w:p>
        </w:tc>
        <w:tc>
          <w:tcPr>
            <w:tcW w:w="345" w:type="dxa"/>
            <w:shd w:val="clear" w:color="auto" w:fill="BAF9F5"/>
          </w:tcPr>
          <w:p>
            <w:pPr/>
          </w:p>
        </w:tc>
        <w:tc>
          <w:tcPr>
            <w:tcW w:w="346" w:type="dxa"/>
            <w:shd w:val="clear" w:color="auto" w:fill="BAF9F5"/>
          </w:tcPr>
          <w:p>
            <w:pPr/>
          </w:p>
        </w:tc>
        <w:tc>
          <w:tcPr>
            <w:tcW w:w="89" w:type="dxa"/>
          </w:tcPr>
          <w:p>
            <w:pPr/>
          </w:p>
        </w:tc>
      </w:tr>
      <w:tr>
        <w:trPr>
          <w:trHeight w:val="102"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Style w:val="TableParagraph"/>
              <w:spacing w:before="49"/>
              <w:ind w:left="8"/>
              <w:jc w:val="left"/>
              <w:rPr>
                <w:rFonts w:ascii="Calibri" w:hAnsi="Calibri"/>
                <w:sz w:val="6"/>
              </w:rPr>
            </w:pPr>
            <w:r>
              <w:rPr>
                <w:rFonts w:ascii="Calibri" w:hAnsi="Calibri"/>
                <w:w w:val="105"/>
                <w:sz w:val="6"/>
              </w:rPr>
              <w:t>Integración social</w:t>
            </w:r>
          </w:p>
        </w:tc>
        <w:tc>
          <w:tcPr>
            <w:tcW w:w="2344" w:type="dxa"/>
            <w:tcBorders>
              <w:left w:val="single" w:sz="2" w:space="0" w:color="D3D3D3"/>
              <w:right w:val="single" w:sz="2" w:space="0" w:color="D3D3D3"/>
            </w:tcBorders>
          </w:tcPr>
          <w:p>
            <w:pPr>
              <w:pStyle w:val="TableParagraph"/>
              <w:spacing w:before="49"/>
              <w:ind w:left="8"/>
              <w:jc w:val="left"/>
              <w:rPr>
                <w:rFonts w:ascii="Calibri" w:hAnsi="Calibri"/>
                <w:sz w:val="6"/>
              </w:rPr>
            </w:pPr>
            <w:r>
              <w:rPr>
                <w:rFonts w:ascii="Calibri" w:hAnsi="Calibri"/>
                <w:w w:val="105"/>
                <w:sz w:val="6"/>
              </w:rPr>
              <w:t>¿Existe integración en los habitantes con la población de la zona?</w:t>
            </w:r>
          </w:p>
        </w:tc>
        <w:tc>
          <w:tcPr>
            <w:tcW w:w="977" w:type="dxa"/>
            <w:tcBorders>
              <w:top w:val="single" w:sz="35" w:space="0" w:color="BAF9F5"/>
              <w:left w:val="single" w:sz="2" w:space="0" w:color="D3D3D3"/>
              <w:bottom w:val="single" w:sz="34" w:space="0" w:color="BAF9F5"/>
            </w:tcBorders>
          </w:tcPr>
          <w:p>
            <w:pPr>
              <w:pStyle w:val="TableParagraph"/>
              <w:spacing w:line="3" w:lineRule="exact"/>
              <w:rPr>
                <w:rFonts w:ascii="Calibri"/>
                <w:sz w:val="6"/>
              </w:rPr>
            </w:pPr>
            <w:r>
              <w:rPr>
                <w:rFonts w:ascii="Calibri"/>
                <w:w w:val="104"/>
                <w:sz w:val="6"/>
              </w:rPr>
              <w:t>1</w:t>
            </w:r>
          </w:p>
          <w:p>
            <w:pPr>
              <w:pStyle w:val="TableParagraph"/>
              <w:spacing w:before="6"/>
              <w:ind w:left="369" w:right="368"/>
              <w:rPr>
                <w:rFonts w:ascii="Calibri"/>
                <w:sz w:val="6"/>
              </w:rPr>
            </w:pPr>
            <w:r>
              <w:rPr>
                <w:rFonts w:ascii="Calibri"/>
                <w:w w:val="105"/>
                <w:sz w:val="6"/>
              </w:rPr>
              <w:t>Si</w:t>
            </w:r>
          </w:p>
        </w:tc>
        <w:tc>
          <w:tcPr>
            <w:tcW w:w="1449" w:type="dxa"/>
            <w:tcBorders>
              <w:top w:val="single" w:sz="35" w:space="0" w:color="BAF9F5"/>
              <w:bottom w:val="single" w:sz="34" w:space="0" w:color="BAF9F5"/>
            </w:tcBorders>
          </w:tcPr>
          <w:p>
            <w:pPr>
              <w:pStyle w:val="TableParagraph"/>
              <w:spacing w:line="3" w:lineRule="exact"/>
              <w:ind w:left="536" w:right="532"/>
              <w:rPr>
                <w:rFonts w:ascii="Calibri"/>
                <w:sz w:val="6"/>
              </w:rPr>
            </w:pPr>
            <w:r>
              <w:rPr>
                <w:rFonts w:ascii="Calibri"/>
                <w:w w:val="105"/>
                <w:sz w:val="6"/>
              </w:rPr>
              <w:t>0.5</w:t>
            </w:r>
          </w:p>
          <w:p>
            <w:pPr>
              <w:pStyle w:val="TableParagraph"/>
              <w:tabs>
                <w:tab w:pos="596" w:val="left" w:leader="none"/>
                <w:tab w:pos="1452" w:val="left" w:leader="none"/>
              </w:tabs>
              <w:spacing w:before="6"/>
              <w:ind w:right="-4"/>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Moderada</w:t>
            </w:r>
            <w:r>
              <w:rPr>
                <w:rFonts w:ascii="Calibri"/>
                <w:sz w:val="6"/>
                <w:shd w:fill="808080" w:color="auto" w:val="clear"/>
              </w:rPr>
              <w:tab/>
            </w:r>
          </w:p>
        </w:tc>
        <w:tc>
          <w:tcPr>
            <w:tcW w:w="1512" w:type="dxa"/>
            <w:tcBorders>
              <w:top w:val="single" w:sz="35" w:space="0" w:color="BAF9F5"/>
              <w:bottom w:val="single" w:sz="34" w:space="0" w:color="BAF9F5"/>
              <w:right w:val="single" w:sz="2" w:space="0" w:color="D3D3D3"/>
            </w:tcBorders>
          </w:tcPr>
          <w:p>
            <w:pPr>
              <w:pStyle w:val="TableParagraph"/>
              <w:spacing w:before="6"/>
              <w:ind w:left="554" w:right="547"/>
              <w:rPr>
                <w:rFonts w:ascii="Calibri"/>
                <w:sz w:val="6"/>
              </w:rPr>
            </w:pPr>
            <w:r>
              <w:rPr>
                <w:rFonts w:ascii="Calibri"/>
                <w:w w:val="105"/>
                <w:sz w:val="6"/>
              </w:rPr>
              <w:t>No</w:t>
            </w:r>
          </w:p>
        </w:tc>
        <w:tc>
          <w:tcPr>
            <w:tcW w:w="652" w:type="dxa"/>
            <w:tcBorders>
              <w:top w:val="single" w:sz="35" w:space="0" w:color="BAF9F5"/>
              <w:left w:val="single" w:sz="2" w:space="0" w:color="D3D3D3"/>
              <w:bottom w:val="single" w:sz="34" w:space="0" w:color="BAF9F5"/>
              <w:right w:val="single" w:sz="2" w:space="0" w:color="D3D3D3"/>
            </w:tcBorders>
          </w:tcPr>
          <w:p>
            <w:pPr/>
          </w:p>
        </w:tc>
        <w:tc>
          <w:tcPr>
            <w:tcW w:w="582" w:type="dxa"/>
            <w:tcBorders>
              <w:top w:val="single" w:sz="35" w:space="0" w:color="BAF9F5"/>
              <w:left w:val="single" w:sz="2" w:space="0" w:color="D3D3D3"/>
              <w:bottom w:val="single" w:sz="34" w:space="0" w:color="BAF9F5"/>
              <w:right w:val="single" w:sz="2" w:space="0" w:color="D3D3D3"/>
            </w:tcBorders>
          </w:tcPr>
          <w:p>
            <w:pPr/>
          </w:p>
        </w:tc>
        <w:tc>
          <w:tcPr>
            <w:tcW w:w="1105" w:type="dxa"/>
            <w:tcBorders>
              <w:top w:val="single" w:sz="35" w:space="0" w:color="BAF9F5"/>
              <w:left w:val="single" w:sz="2" w:space="0" w:color="D3D3D3"/>
              <w:bottom w:val="single" w:sz="34" w:space="0" w:color="BAF9F5"/>
              <w:right w:val="double" w:sz="5" w:space="0" w:color="D3D3D3"/>
            </w:tcBorders>
          </w:tcPr>
          <w:p>
            <w:pPr/>
          </w:p>
        </w:tc>
        <w:tc>
          <w:tcPr>
            <w:tcW w:w="485" w:type="dxa"/>
            <w:tcBorders>
              <w:top w:val="single" w:sz="35" w:space="0" w:color="BAF9F5"/>
              <w:left w:val="double" w:sz="5" w:space="0" w:color="D3D3D3"/>
              <w:bottom w:val="single" w:sz="34" w:space="0" w:color="BAF9F5"/>
              <w:right w:val="single" w:sz="2" w:space="0" w:color="D3D3D3"/>
            </w:tcBorders>
          </w:tcPr>
          <w:p>
            <w:pPr>
              <w:pStyle w:val="TableParagraph"/>
              <w:spacing w:line="3" w:lineRule="exact"/>
              <w:ind w:left="171" w:right="169"/>
              <w:rPr>
                <w:rFonts w:ascii="Calibri"/>
                <w:sz w:val="6"/>
              </w:rPr>
            </w:pPr>
            <w:r>
              <w:rPr>
                <w:rFonts w:ascii="Calibri"/>
                <w:w w:val="105"/>
                <w:sz w:val="6"/>
              </w:rPr>
              <w:t>0.5</w:t>
            </w:r>
          </w:p>
        </w:tc>
        <w:tc>
          <w:tcPr>
            <w:tcW w:w="346" w:type="dxa"/>
            <w:tcBorders>
              <w:left w:val="single" w:sz="2" w:space="0" w:color="D3D3D3"/>
              <w:right w:val="single" w:sz="2" w:space="0" w:color="D3D3D3"/>
            </w:tcBorders>
          </w:tcPr>
          <w:p>
            <w:pPr/>
          </w:p>
        </w:tc>
        <w:tc>
          <w:tcPr>
            <w:tcW w:w="345" w:type="dxa"/>
            <w:tcBorders>
              <w:top w:val="single" w:sz="35" w:space="0" w:color="BAF9F5"/>
              <w:left w:val="single" w:sz="2" w:space="0" w:color="D3D3D3"/>
              <w:bottom w:val="single" w:sz="34"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346" w:type="dxa"/>
            <w:tcBorders>
              <w:top w:val="single" w:sz="35" w:space="0" w:color="BAF9F5"/>
              <w:left w:val="single" w:sz="2" w:space="0" w:color="D3D3D3"/>
              <w:bottom w:val="single" w:sz="34"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1512" w:type="dxa"/>
            <w:shd w:val="clear" w:color="auto" w:fill="BAF9F5"/>
          </w:tcPr>
          <w:p>
            <w:pPr/>
          </w:p>
        </w:tc>
        <w:tc>
          <w:tcPr>
            <w:tcW w:w="652" w:type="dxa"/>
            <w:shd w:val="clear" w:color="auto" w:fill="BAF9F5"/>
          </w:tcPr>
          <w:p>
            <w:pPr/>
          </w:p>
        </w:tc>
        <w:tc>
          <w:tcPr>
            <w:tcW w:w="582" w:type="dxa"/>
            <w:shd w:val="clear" w:color="auto" w:fill="BAF9F5"/>
          </w:tcPr>
          <w:p>
            <w:pPr/>
          </w:p>
        </w:tc>
        <w:tc>
          <w:tcPr>
            <w:tcW w:w="1105" w:type="dxa"/>
            <w:shd w:val="clear" w:color="auto" w:fill="BAF9F5"/>
          </w:tcPr>
          <w:p>
            <w:pPr/>
          </w:p>
        </w:tc>
        <w:tc>
          <w:tcPr>
            <w:tcW w:w="485" w:type="dxa"/>
            <w:shd w:val="clear" w:color="auto" w:fill="BAF9F5"/>
          </w:tcPr>
          <w:p>
            <w:pPr/>
          </w:p>
        </w:tc>
        <w:tc>
          <w:tcPr>
            <w:tcW w:w="346" w:type="dxa"/>
          </w:tcPr>
          <w:p>
            <w:pPr/>
          </w:p>
        </w:tc>
        <w:tc>
          <w:tcPr>
            <w:tcW w:w="345" w:type="dxa"/>
            <w:shd w:val="clear" w:color="auto" w:fill="BAF9F5"/>
          </w:tcPr>
          <w:p>
            <w:pPr/>
          </w:p>
        </w:tc>
        <w:tc>
          <w:tcPr>
            <w:tcW w:w="346" w:type="dxa"/>
            <w:shd w:val="clear" w:color="auto" w:fill="BAF9F5"/>
          </w:tcPr>
          <w:p>
            <w:pPr/>
          </w:p>
        </w:tc>
        <w:tc>
          <w:tcPr>
            <w:tcW w:w="89" w:type="dxa"/>
          </w:tcPr>
          <w:p>
            <w:pPr/>
          </w:p>
        </w:tc>
      </w:tr>
      <w:tr>
        <w:trPr>
          <w:trHeight w:val="102"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Style w:val="TableParagraph"/>
              <w:spacing w:before="50"/>
              <w:ind w:left="8"/>
              <w:jc w:val="left"/>
              <w:rPr>
                <w:rFonts w:ascii="Calibri" w:hAnsi="Calibri"/>
                <w:sz w:val="6"/>
              </w:rPr>
            </w:pPr>
            <w:r>
              <w:rPr>
                <w:rFonts w:ascii="Calibri" w:hAnsi="Calibri"/>
                <w:sz w:val="6"/>
              </w:rPr>
              <w:t>Protección civil</w:t>
            </w:r>
          </w:p>
        </w:tc>
        <w:tc>
          <w:tcPr>
            <w:tcW w:w="2344" w:type="dxa"/>
            <w:tcBorders>
              <w:left w:val="single" w:sz="2" w:space="0" w:color="D3D3D3"/>
              <w:right w:val="single" w:sz="2" w:space="0" w:color="D3D3D3"/>
            </w:tcBorders>
          </w:tcPr>
          <w:p>
            <w:pPr>
              <w:pStyle w:val="TableParagraph"/>
              <w:spacing w:before="50"/>
              <w:ind w:left="8"/>
              <w:jc w:val="left"/>
              <w:rPr>
                <w:rFonts w:ascii="Calibri" w:hAnsi="Calibri"/>
                <w:sz w:val="6"/>
              </w:rPr>
            </w:pPr>
            <w:r>
              <w:rPr>
                <w:rFonts w:ascii="Calibri" w:hAnsi="Calibri"/>
                <w:w w:val="105"/>
                <w:sz w:val="6"/>
              </w:rPr>
              <w:t>¿Existe algún programa de contigencia en materia de protección civil en el CU?</w:t>
            </w:r>
          </w:p>
        </w:tc>
        <w:tc>
          <w:tcPr>
            <w:tcW w:w="977" w:type="dxa"/>
            <w:tcBorders>
              <w:top w:val="single" w:sz="34" w:space="0" w:color="BAF9F5"/>
              <w:left w:val="single" w:sz="2" w:space="0" w:color="D3D3D3"/>
              <w:bottom w:val="single" w:sz="34" w:space="0" w:color="BAF9F5"/>
            </w:tcBorders>
          </w:tcPr>
          <w:p>
            <w:pPr>
              <w:pStyle w:val="TableParagraph"/>
              <w:spacing w:line="2" w:lineRule="exact"/>
              <w:rPr>
                <w:rFonts w:ascii="Calibri"/>
                <w:sz w:val="6"/>
              </w:rPr>
            </w:pPr>
            <w:r>
              <w:rPr>
                <w:rFonts w:ascii="Calibri"/>
                <w:w w:val="104"/>
                <w:sz w:val="6"/>
              </w:rPr>
              <w:t>1</w:t>
            </w:r>
          </w:p>
          <w:p>
            <w:pPr>
              <w:pStyle w:val="TableParagraph"/>
              <w:spacing w:before="6"/>
              <w:ind w:left="369" w:right="368"/>
              <w:rPr>
                <w:rFonts w:ascii="Calibri"/>
                <w:sz w:val="6"/>
              </w:rPr>
            </w:pPr>
            <w:r>
              <w:rPr>
                <w:rFonts w:ascii="Calibri"/>
                <w:w w:val="105"/>
                <w:sz w:val="6"/>
              </w:rPr>
              <w:t>Si</w:t>
            </w:r>
          </w:p>
        </w:tc>
        <w:tc>
          <w:tcPr>
            <w:tcW w:w="1449" w:type="dxa"/>
            <w:tcBorders>
              <w:top w:val="single" w:sz="34" w:space="0" w:color="BAF9F5"/>
              <w:bottom w:val="single" w:sz="34" w:space="0" w:color="BAF9F5"/>
            </w:tcBorders>
          </w:tcPr>
          <w:p>
            <w:pPr>
              <w:pStyle w:val="TableParagraph"/>
              <w:spacing w:line="2" w:lineRule="exact"/>
              <w:ind w:left="536" w:right="532"/>
              <w:rPr>
                <w:rFonts w:ascii="Calibri"/>
                <w:sz w:val="6"/>
              </w:rPr>
            </w:pPr>
            <w:r>
              <w:rPr>
                <w:rFonts w:ascii="Calibri"/>
                <w:w w:val="105"/>
                <w:sz w:val="6"/>
              </w:rPr>
              <w:t>0.5</w:t>
            </w:r>
          </w:p>
          <w:p>
            <w:pPr>
              <w:pStyle w:val="TableParagraph"/>
              <w:tabs>
                <w:tab w:pos="690" w:val="left" w:leader="none"/>
                <w:tab w:pos="1452" w:val="left" w:leader="none"/>
              </w:tabs>
              <w:spacing w:before="6"/>
              <w:ind w:right="-4"/>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No</w:t>
            </w:r>
            <w:r>
              <w:rPr>
                <w:rFonts w:ascii="Calibri"/>
                <w:sz w:val="6"/>
                <w:shd w:fill="808080" w:color="auto" w:val="clear"/>
              </w:rPr>
              <w:tab/>
            </w:r>
          </w:p>
        </w:tc>
        <w:tc>
          <w:tcPr>
            <w:tcW w:w="1512" w:type="dxa"/>
            <w:tcBorders>
              <w:top w:val="single" w:sz="34" w:space="0" w:color="BAF9F5"/>
              <w:bottom w:val="single" w:sz="34" w:space="0" w:color="BAF9F5"/>
              <w:right w:val="single" w:sz="2" w:space="0" w:color="D3D3D3"/>
            </w:tcBorders>
          </w:tcPr>
          <w:p>
            <w:pPr>
              <w:pStyle w:val="TableParagraph"/>
              <w:spacing w:line="2" w:lineRule="exact"/>
              <w:ind w:left="7"/>
              <w:rPr>
                <w:rFonts w:ascii="Calibri"/>
                <w:sz w:val="6"/>
              </w:rPr>
            </w:pPr>
            <w:r>
              <w:rPr>
                <w:rFonts w:ascii="Calibri"/>
                <w:w w:val="104"/>
                <w:sz w:val="6"/>
              </w:rPr>
              <w:t>0</w:t>
            </w:r>
          </w:p>
        </w:tc>
        <w:tc>
          <w:tcPr>
            <w:tcW w:w="652" w:type="dxa"/>
            <w:tcBorders>
              <w:top w:val="single" w:sz="34" w:space="0" w:color="BAF9F5"/>
              <w:left w:val="single" w:sz="2" w:space="0" w:color="D3D3D3"/>
              <w:bottom w:val="single" w:sz="34" w:space="0" w:color="BAF9F5"/>
              <w:right w:val="single" w:sz="2" w:space="0" w:color="D3D3D3"/>
            </w:tcBorders>
          </w:tcPr>
          <w:p>
            <w:pPr/>
          </w:p>
        </w:tc>
        <w:tc>
          <w:tcPr>
            <w:tcW w:w="582" w:type="dxa"/>
            <w:tcBorders>
              <w:top w:val="single" w:sz="34" w:space="0" w:color="BAF9F5"/>
              <w:left w:val="single" w:sz="2" w:space="0" w:color="D3D3D3"/>
              <w:bottom w:val="single" w:sz="34" w:space="0" w:color="BAF9F5"/>
              <w:right w:val="single" w:sz="2" w:space="0" w:color="D3D3D3"/>
            </w:tcBorders>
          </w:tcPr>
          <w:p>
            <w:pPr/>
          </w:p>
        </w:tc>
        <w:tc>
          <w:tcPr>
            <w:tcW w:w="1105" w:type="dxa"/>
            <w:tcBorders>
              <w:top w:val="single" w:sz="34" w:space="0" w:color="BAF9F5"/>
              <w:left w:val="single" w:sz="2" w:space="0" w:color="D3D3D3"/>
              <w:bottom w:val="single" w:sz="34" w:space="0" w:color="BAF9F5"/>
              <w:right w:val="double" w:sz="5" w:space="0" w:color="D3D3D3"/>
            </w:tcBorders>
          </w:tcPr>
          <w:p>
            <w:pPr/>
          </w:p>
        </w:tc>
        <w:tc>
          <w:tcPr>
            <w:tcW w:w="485" w:type="dxa"/>
            <w:tcBorders>
              <w:top w:val="single" w:sz="34" w:space="0" w:color="BAF9F5"/>
              <w:left w:val="double" w:sz="5" w:space="0" w:color="D3D3D3"/>
              <w:bottom w:val="single" w:sz="34" w:space="0" w:color="BAF9F5"/>
              <w:right w:val="single" w:sz="2" w:space="0" w:color="D3D3D3"/>
            </w:tcBorders>
          </w:tcPr>
          <w:p>
            <w:pPr>
              <w:pStyle w:val="TableParagraph"/>
              <w:spacing w:line="2" w:lineRule="exact"/>
              <w:ind w:left="171" w:right="169"/>
              <w:rPr>
                <w:rFonts w:ascii="Calibri"/>
                <w:sz w:val="6"/>
              </w:rPr>
            </w:pPr>
            <w:r>
              <w:rPr>
                <w:rFonts w:ascii="Calibri"/>
                <w:w w:val="105"/>
                <w:sz w:val="6"/>
              </w:rPr>
              <w:t>0.5</w:t>
            </w:r>
          </w:p>
        </w:tc>
        <w:tc>
          <w:tcPr>
            <w:tcW w:w="346" w:type="dxa"/>
            <w:tcBorders>
              <w:left w:val="single" w:sz="2" w:space="0" w:color="D3D3D3"/>
              <w:right w:val="single" w:sz="2" w:space="0" w:color="D3D3D3"/>
            </w:tcBorders>
          </w:tcPr>
          <w:p>
            <w:pPr/>
          </w:p>
        </w:tc>
        <w:tc>
          <w:tcPr>
            <w:tcW w:w="345" w:type="dxa"/>
            <w:tcBorders>
              <w:top w:val="single" w:sz="34" w:space="0" w:color="BAF9F5"/>
              <w:left w:val="single" w:sz="2" w:space="0" w:color="D3D3D3"/>
              <w:bottom w:val="single" w:sz="34" w:space="0" w:color="BAF9F5"/>
              <w:right w:val="single" w:sz="2" w:space="0" w:color="D3D3D3"/>
            </w:tcBorders>
          </w:tcPr>
          <w:p>
            <w:pPr>
              <w:pStyle w:val="TableParagraph"/>
              <w:spacing w:line="2" w:lineRule="exact"/>
              <w:ind w:left="6"/>
              <w:rPr>
                <w:rFonts w:ascii="Calibri"/>
                <w:sz w:val="6"/>
              </w:rPr>
            </w:pPr>
            <w:r>
              <w:rPr>
                <w:rFonts w:ascii="Calibri"/>
                <w:w w:val="104"/>
                <w:sz w:val="6"/>
              </w:rPr>
              <w:t>1</w:t>
            </w:r>
          </w:p>
        </w:tc>
        <w:tc>
          <w:tcPr>
            <w:tcW w:w="346" w:type="dxa"/>
            <w:tcBorders>
              <w:top w:val="single" w:sz="34" w:space="0" w:color="BAF9F5"/>
              <w:left w:val="single" w:sz="2" w:space="0" w:color="D3D3D3"/>
              <w:bottom w:val="single" w:sz="34" w:space="0" w:color="BAF9F5"/>
              <w:right w:val="single" w:sz="2" w:space="0" w:color="D3D3D3"/>
            </w:tcBorders>
          </w:tcPr>
          <w:p>
            <w:pPr>
              <w:pStyle w:val="TableParagraph"/>
              <w:spacing w:line="2"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1512" w:type="dxa"/>
            <w:shd w:val="clear" w:color="auto" w:fill="BAF9F5"/>
          </w:tcPr>
          <w:p>
            <w:pPr/>
          </w:p>
        </w:tc>
        <w:tc>
          <w:tcPr>
            <w:tcW w:w="652" w:type="dxa"/>
            <w:shd w:val="clear" w:color="auto" w:fill="BAF9F5"/>
          </w:tcPr>
          <w:p>
            <w:pPr/>
          </w:p>
        </w:tc>
        <w:tc>
          <w:tcPr>
            <w:tcW w:w="582" w:type="dxa"/>
            <w:shd w:val="clear" w:color="auto" w:fill="BAF9F5"/>
          </w:tcPr>
          <w:p>
            <w:pPr/>
          </w:p>
        </w:tc>
        <w:tc>
          <w:tcPr>
            <w:tcW w:w="1105" w:type="dxa"/>
            <w:shd w:val="clear" w:color="auto" w:fill="BAF9F5"/>
          </w:tcPr>
          <w:p>
            <w:pPr/>
          </w:p>
        </w:tc>
        <w:tc>
          <w:tcPr>
            <w:tcW w:w="485" w:type="dxa"/>
            <w:shd w:val="clear" w:color="auto" w:fill="BAF9F5"/>
          </w:tcPr>
          <w:p>
            <w:pPr/>
          </w:p>
        </w:tc>
        <w:tc>
          <w:tcPr>
            <w:tcW w:w="346" w:type="dxa"/>
          </w:tcPr>
          <w:p>
            <w:pPr/>
          </w:p>
        </w:tc>
        <w:tc>
          <w:tcPr>
            <w:tcW w:w="345" w:type="dxa"/>
            <w:shd w:val="clear" w:color="auto" w:fill="BAF9F5"/>
          </w:tcPr>
          <w:p>
            <w:pPr/>
          </w:p>
        </w:tc>
        <w:tc>
          <w:tcPr>
            <w:tcW w:w="346" w:type="dxa"/>
            <w:shd w:val="clear" w:color="auto" w:fill="BAF9F5"/>
          </w:tcPr>
          <w:p>
            <w:pPr/>
          </w:p>
        </w:tc>
        <w:tc>
          <w:tcPr>
            <w:tcW w:w="89" w:type="dxa"/>
          </w:tcPr>
          <w:p>
            <w:pPr/>
          </w:p>
        </w:tc>
      </w:tr>
      <w:tr>
        <w:trPr>
          <w:trHeight w:val="102"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Style w:val="TableParagraph"/>
              <w:spacing w:before="49"/>
              <w:ind w:left="8"/>
              <w:jc w:val="left"/>
              <w:rPr>
                <w:rFonts w:ascii="Calibri"/>
                <w:sz w:val="6"/>
              </w:rPr>
            </w:pPr>
            <w:r>
              <w:rPr>
                <w:rFonts w:ascii="Calibri"/>
                <w:w w:val="105"/>
                <w:sz w:val="6"/>
              </w:rPr>
              <w:t>Seguridad</w:t>
            </w:r>
          </w:p>
        </w:tc>
        <w:tc>
          <w:tcPr>
            <w:tcW w:w="2344" w:type="dxa"/>
            <w:tcBorders>
              <w:left w:val="single" w:sz="2" w:space="0" w:color="D3D3D3"/>
              <w:right w:val="single" w:sz="2" w:space="0" w:color="D3D3D3"/>
            </w:tcBorders>
          </w:tcPr>
          <w:p>
            <w:pPr>
              <w:pStyle w:val="TableParagraph"/>
              <w:spacing w:before="49"/>
              <w:ind w:left="8"/>
              <w:jc w:val="left"/>
              <w:rPr>
                <w:rFonts w:ascii="Calibri" w:hAnsi="Calibri"/>
                <w:sz w:val="6"/>
              </w:rPr>
            </w:pPr>
            <w:r>
              <w:rPr>
                <w:rFonts w:ascii="Calibri" w:hAnsi="Calibri"/>
                <w:w w:val="105"/>
                <w:sz w:val="6"/>
              </w:rPr>
              <w:t>¿Existe algún progrma de seguridad vecinal o municipal en el CU?</w:t>
            </w:r>
          </w:p>
        </w:tc>
        <w:tc>
          <w:tcPr>
            <w:tcW w:w="977" w:type="dxa"/>
            <w:tcBorders>
              <w:top w:val="single" w:sz="34" w:space="0" w:color="BAF9F5"/>
              <w:left w:val="single" w:sz="2" w:space="0" w:color="D3D3D3"/>
              <w:bottom w:val="single" w:sz="34" w:space="0" w:color="BAF9F5"/>
            </w:tcBorders>
          </w:tcPr>
          <w:p>
            <w:pPr>
              <w:pStyle w:val="TableParagraph"/>
              <w:spacing w:line="3" w:lineRule="exact"/>
              <w:rPr>
                <w:rFonts w:ascii="Calibri"/>
                <w:sz w:val="6"/>
              </w:rPr>
            </w:pPr>
            <w:r>
              <w:rPr>
                <w:rFonts w:ascii="Calibri"/>
                <w:w w:val="104"/>
                <w:sz w:val="6"/>
              </w:rPr>
              <w:t>1</w:t>
            </w:r>
          </w:p>
          <w:p>
            <w:pPr>
              <w:pStyle w:val="TableParagraph"/>
              <w:spacing w:before="6"/>
              <w:ind w:left="369" w:right="368"/>
              <w:rPr>
                <w:rFonts w:ascii="Calibri"/>
                <w:sz w:val="6"/>
              </w:rPr>
            </w:pPr>
            <w:r>
              <w:rPr>
                <w:rFonts w:ascii="Calibri"/>
                <w:w w:val="105"/>
                <w:sz w:val="6"/>
              </w:rPr>
              <w:t>Si</w:t>
            </w:r>
          </w:p>
        </w:tc>
        <w:tc>
          <w:tcPr>
            <w:tcW w:w="1449" w:type="dxa"/>
            <w:tcBorders>
              <w:top w:val="single" w:sz="34" w:space="0" w:color="BAF9F5"/>
              <w:bottom w:val="single" w:sz="34" w:space="0" w:color="BAF9F5"/>
            </w:tcBorders>
          </w:tcPr>
          <w:p>
            <w:pPr>
              <w:pStyle w:val="TableParagraph"/>
              <w:spacing w:line="3" w:lineRule="exact"/>
              <w:ind w:left="4"/>
              <w:rPr>
                <w:rFonts w:ascii="Calibri"/>
                <w:sz w:val="6"/>
              </w:rPr>
            </w:pPr>
            <w:r>
              <w:rPr>
                <w:rFonts w:ascii="Calibri"/>
                <w:w w:val="104"/>
                <w:sz w:val="6"/>
              </w:rPr>
              <w:t>0</w:t>
            </w:r>
          </w:p>
          <w:p>
            <w:pPr>
              <w:pStyle w:val="TableParagraph"/>
              <w:tabs>
                <w:tab w:pos="639" w:val="left" w:leader="none"/>
                <w:tab w:pos="1452" w:val="left" w:leader="none"/>
              </w:tabs>
              <w:spacing w:before="6"/>
              <w:ind w:right="-4"/>
              <w:rPr>
                <w:rFonts w:ascii="Calibri"/>
                <w:sz w:val="6"/>
              </w:rPr>
            </w:pPr>
            <w:r>
              <w:rPr>
                <w:rFonts w:ascii="Times New Roman"/>
                <w:w w:val="104"/>
                <w:sz w:val="6"/>
                <w:shd w:fill="808080" w:color="auto" w:val="clear"/>
              </w:rPr>
              <w:t> </w:t>
            </w:r>
            <w:r>
              <w:rPr>
                <w:rFonts w:ascii="Times New Roman"/>
                <w:sz w:val="6"/>
                <w:shd w:fill="808080" w:color="auto" w:val="clear"/>
              </w:rPr>
              <w:tab/>
            </w:r>
            <w:r>
              <w:rPr>
                <w:rFonts w:ascii="Calibri"/>
                <w:w w:val="105"/>
                <w:sz w:val="6"/>
                <w:shd w:fill="808080" w:color="auto" w:val="clear"/>
              </w:rPr>
              <w:t>Parcial</w:t>
            </w:r>
            <w:r>
              <w:rPr>
                <w:rFonts w:ascii="Calibri"/>
                <w:sz w:val="6"/>
                <w:shd w:fill="808080" w:color="auto" w:val="clear"/>
              </w:rPr>
              <w:tab/>
            </w:r>
          </w:p>
        </w:tc>
        <w:tc>
          <w:tcPr>
            <w:tcW w:w="1512" w:type="dxa"/>
            <w:tcBorders>
              <w:top w:val="single" w:sz="34" w:space="0" w:color="BAF9F5"/>
              <w:bottom w:val="single" w:sz="34" w:space="0" w:color="BAF9F5"/>
              <w:right w:val="single" w:sz="2" w:space="0" w:color="D3D3D3"/>
            </w:tcBorders>
          </w:tcPr>
          <w:p>
            <w:pPr>
              <w:pStyle w:val="TableParagraph"/>
              <w:spacing w:before="6"/>
              <w:ind w:left="554" w:right="547"/>
              <w:rPr>
                <w:rFonts w:ascii="Calibri"/>
                <w:sz w:val="6"/>
              </w:rPr>
            </w:pPr>
            <w:r>
              <w:rPr>
                <w:rFonts w:ascii="Calibri"/>
                <w:w w:val="105"/>
                <w:sz w:val="6"/>
              </w:rPr>
              <w:t>No</w:t>
            </w:r>
          </w:p>
        </w:tc>
        <w:tc>
          <w:tcPr>
            <w:tcW w:w="652" w:type="dxa"/>
            <w:tcBorders>
              <w:top w:val="single" w:sz="34" w:space="0" w:color="BAF9F5"/>
              <w:left w:val="single" w:sz="2" w:space="0" w:color="D3D3D3"/>
              <w:bottom w:val="single" w:sz="34" w:space="0" w:color="BAF9F5"/>
              <w:right w:val="single" w:sz="2" w:space="0" w:color="D3D3D3"/>
            </w:tcBorders>
          </w:tcPr>
          <w:p>
            <w:pPr/>
          </w:p>
        </w:tc>
        <w:tc>
          <w:tcPr>
            <w:tcW w:w="582" w:type="dxa"/>
            <w:tcBorders>
              <w:top w:val="single" w:sz="34" w:space="0" w:color="BAF9F5"/>
              <w:left w:val="single" w:sz="2" w:space="0" w:color="D3D3D3"/>
              <w:bottom w:val="single" w:sz="34" w:space="0" w:color="BAF9F5"/>
              <w:right w:val="single" w:sz="2" w:space="0" w:color="D3D3D3"/>
            </w:tcBorders>
          </w:tcPr>
          <w:p>
            <w:pPr/>
          </w:p>
        </w:tc>
        <w:tc>
          <w:tcPr>
            <w:tcW w:w="1105" w:type="dxa"/>
            <w:tcBorders>
              <w:top w:val="single" w:sz="34" w:space="0" w:color="BAF9F5"/>
              <w:left w:val="single" w:sz="2" w:space="0" w:color="D3D3D3"/>
              <w:bottom w:val="single" w:sz="34" w:space="0" w:color="BAF9F5"/>
              <w:right w:val="double" w:sz="5" w:space="0" w:color="D3D3D3"/>
            </w:tcBorders>
          </w:tcPr>
          <w:p>
            <w:pPr/>
          </w:p>
        </w:tc>
        <w:tc>
          <w:tcPr>
            <w:tcW w:w="485" w:type="dxa"/>
            <w:tcBorders>
              <w:top w:val="single" w:sz="34" w:space="0" w:color="BAF9F5"/>
              <w:left w:val="double" w:sz="5" w:space="0" w:color="D3D3D3"/>
              <w:bottom w:val="single" w:sz="34" w:space="0" w:color="BAF9F5"/>
              <w:right w:val="single" w:sz="2" w:space="0" w:color="D3D3D3"/>
            </w:tcBorders>
          </w:tcPr>
          <w:p>
            <w:pPr>
              <w:pStyle w:val="TableParagraph"/>
              <w:spacing w:line="3" w:lineRule="exact"/>
              <w:ind w:left="2"/>
              <w:rPr>
                <w:rFonts w:ascii="Calibri"/>
                <w:sz w:val="6"/>
              </w:rPr>
            </w:pPr>
            <w:r>
              <w:rPr>
                <w:rFonts w:ascii="Calibri"/>
                <w:w w:val="104"/>
                <w:sz w:val="6"/>
              </w:rPr>
              <w:t>0</w:t>
            </w:r>
          </w:p>
        </w:tc>
        <w:tc>
          <w:tcPr>
            <w:tcW w:w="346" w:type="dxa"/>
            <w:tcBorders>
              <w:left w:val="single" w:sz="2" w:space="0" w:color="D3D3D3"/>
              <w:right w:val="single" w:sz="2" w:space="0" w:color="D3D3D3"/>
            </w:tcBorders>
          </w:tcPr>
          <w:p>
            <w:pPr/>
          </w:p>
        </w:tc>
        <w:tc>
          <w:tcPr>
            <w:tcW w:w="345" w:type="dxa"/>
            <w:tcBorders>
              <w:top w:val="single" w:sz="34" w:space="0" w:color="BAF9F5"/>
              <w:left w:val="single" w:sz="2" w:space="0" w:color="D3D3D3"/>
              <w:bottom w:val="single" w:sz="34"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346" w:type="dxa"/>
            <w:tcBorders>
              <w:top w:val="single" w:sz="34" w:space="0" w:color="BAF9F5"/>
              <w:left w:val="single" w:sz="2" w:space="0" w:color="D3D3D3"/>
              <w:bottom w:val="single" w:sz="34" w:space="0" w:color="BAF9F5"/>
              <w:right w:val="single" w:sz="2" w:space="0" w:color="D3D3D3"/>
            </w:tcBorders>
          </w:tcPr>
          <w:p>
            <w:pPr>
              <w:pStyle w:val="TableParagraph"/>
              <w:spacing w:line="3" w:lineRule="exact"/>
              <w:ind w:left="6"/>
              <w:rPr>
                <w:rFonts w:ascii="Calibri"/>
                <w:sz w:val="6"/>
              </w:rPr>
            </w:pPr>
            <w:r>
              <w:rPr>
                <w:rFonts w:ascii="Calibri"/>
                <w:w w:val="104"/>
                <w:sz w:val="6"/>
              </w:rPr>
              <w:t>1</w:t>
            </w:r>
          </w:p>
        </w:tc>
        <w:tc>
          <w:tcPr>
            <w:tcW w:w="89" w:type="dxa"/>
            <w:tcBorders>
              <w:left w:val="single" w:sz="2" w:space="0" w:color="D3D3D3"/>
            </w:tcBorders>
          </w:tcPr>
          <w:p>
            <w:pPr/>
          </w:p>
        </w:tc>
      </w:tr>
      <w:tr>
        <w:trPr>
          <w:trHeight w:val="63" w:hRule="exact"/>
        </w:trPr>
        <w:tc>
          <w:tcPr>
            <w:tcW w:w="346" w:type="dxa"/>
            <w:tcBorders>
              <w:right w:val="single" w:sz="2" w:space="0" w:color="D3D3D3"/>
            </w:tcBorders>
          </w:tcPr>
          <w:p>
            <w:pPr/>
          </w:p>
        </w:tc>
        <w:tc>
          <w:tcPr>
            <w:tcW w:w="1182" w:type="dxa"/>
            <w:tcBorders>
              <w:left w:val="single" w:sz="2" w:space="0" w:color="D3D3D3"/>
              <w:right w:val="single" w:sz="2" w:space="0" w:color="D3D3D3"/>
            </w:tcBorders>
          </w:tcPr>
          <w:p>
            <w:pPr/>
          </w:p>
        </w:tc>
        <w:tc>
          <w:tcPr>
            <w:tcW w:w="1240" w:type="dxa"/>
            <w:tcBorders>
              <w:left w:val="single" w:sz="2" w:space="0" w:color="D3D3D3"/>
              <w:right w:val="single" w:sz="2" w:space="0" w:color="D3D3D3"/>
            </w:tcBorders>
          </w:tcPr>
          <w:p>
            <w:pPr/>
          </w:p>
        </w:tc>
        <w:tc>
          <w:tcPr>
            <w:tcW w:w="2344" w:type="dxa"/>
            <w:tcBorders>
              <w:left w:val="single" w:sz="2" w:space="0" w:color="D3D3D3"/>
            </w:tcBorders>
          </w:tcPr>
          <w:p>
            <w:pPr/>
          </w:p>
        </w:tc>
        <w:tc>
          <w:tcPr>
            <w:tcW w:w="977" w:type="dxa"/>
            <w:shd w:val="clear" w:color="auto" w:fill="BAF9F5"/>
          </w:tcPr>
          <w:p>
            <w:pPr/>
          </w:p>
        </w:tc>
        <w:tc>
          <w:tcPr>
            <w:tcW w:w="1449" w:type="dxa"/>
            <w:shd w:val="clear" w:color="auto" w:fill="BAF9F5"/>
          </w:tcPr>
          <w:p>
            <w:pPr/>
          </w:p>
        </w:tc>
        <w:tc>
          <w:tcPr>
            <w:tcW w:w="1512" w:type="dxa"/>
            <w:shd w:val="clear" w:color="auto" w:fill="BAF9F5"/>
          </w:tcPr>
          <w:p>
            <w:pPr/>
          </w:p>
        </w:tc>
        <w:tc>
          <w:tcPr>
            <w:tcW w:w="652" w:type="dxa"/>
            <w:shd w:val="clear" w:color="auto" w:fill="BAF9F5"/>
          </w:tcPr>
          <w:p>
            <w:pPr/>
          </w:p>
        </w:tc>
        <w:tc>
          <w:tcPr>
            <w:tcW w:w="582" w:type="dxa"/>
            <w:shd w:val="clear" w:color="auto" w:fill="BAF9F5"/>
          </w:tcPr>
          <w:p>
            <w:pPr/>
          </w:p>
        </w:tc>
        <w:tc>
          <w:tcPr>
            <w:tcW w:w="1105" w:type="dxa"/>
            <w:shd w:val="clear" w:color="auto" w:fill="BAF9F5"/>
          </w:tcPr>
          <w:p>
            <w:pPr/>
          </w:p>
        </w:tc>
        <w:tc>
          <w:tcPr>
            <w:tcW w:w="485" w:type="dxa"/>
            <w:shd w:val="clear" w:color="auto" w:fill="BAF9F5"/>
          </w:tcPr>
          <w:p>
            <w:pPr/>
          </w:p>
        </w:tc>
        <w:tc>
          <w:tcPr>
            <w:tcW w:w="346" w:type="dxa"/>
          </w:tcPr>
          <w:p>
            <w:pPr/>
          </w:p>
        </w:tc>
        <w:tc>
          <w:tcPr>
            <w:tcW w:w="345" w:type="dxa"/>
            <w:shd w:val="clear" w:color="auto" w:fill="BAF9F5"/>
          </w:tcPr>
          <w:p>
            <w:pPr/>
          </w:p>
        </w:tc>
        <w:tc>
          <w:tcPr>
            <w:tcW w:w="346" w:type="dxa"/>
            <w:shd w:val="clear" w:color="auto" w:fill="BAF9F5"/>
          </w:tcPr>
          <w:p>
            <w:pPr/>
          </w:p>
        </w:tc>
        <w:tc>
          <w:tcPr>
            <w:tcW w:w="89" w:type="dxa"/>
          </w:tcPr>
          <w:p>
            <w:pPr/>
          </w:p>
        </w:tc>
      </w:tr>
      <w:tr>
        <w:trPr>
          <w:trHeight w:val="85" w:hRule="exact"/>
        </w:trPr>
        <w:tc>
          <w:tcPr>
            <w:tcW w:w="346" w:type="dxa"/>
            <w:tcBorders>
              <w:right w:val="single" w:sz="2" w:space="0" w:color="D3D3D3"/>
            </w:tcBorders>
          </w:tcPr>
          <w:p>
            <w:pPr/>
          </w:p>
        </w:tc>
        <w:tc>
          <w:tcPr>
            <w:tcW w:w="1182" w:type="dxa"/>
            <w:tcBorders>
              <w:left w:val="single" w:sz="2" w:space="0" w:color="D3D3D3"/>
              <w:bottom w:val="single" w:sz="2" w:space="0" w:color="D3D3D3"/>
              <w:right w:val="single" w:sz="2" w:space="0" w:color="D3D3D3"/>
            </w:tcBorders>
          </w:tcPr>
          <w:p>
            <w:pPr/>
          </w:p>
        </w:tc>
        <w:tc>
          <w:tcPr>
            <w:tcW w:w="1240" w:type="dxa"/>
            <w:tcBorders>
              <w:left w:val="single" w:sz="2" w:space="0" w:color="D3D3D3"/>
              <w:bottom w:val="single" w:sz="2" w:space="0" w:color="D3D3D3"/>
              <w:right w:val="single" w:sz="2" w:space="0" w:color="D3D3D3"/>
            </w:tcBorders>
          </w:tcPr>
          <w:p>
            <w:pPr/>
          </w:p>
        </w:tc>
        <w:tc>
          <w:tcPr>
            <w:tcW w:w="2344" w:type="dxa"/>
            <w:tcBorders>
              <w:left w:val="single" w:sz="2" w:space="0" w:color="D3D3D3"/>
              <w:bottom w:val="single" w:sz="2" w:space="0" w:color="D3D3D3"/>
              <w:right w:val="single" w:sz="2" w:space="0" w:color="D3D3D3"/>
            </w:tcBorders>
          </w:tcPr>
          <w:p>
            <w:pPr/>
          </w:p>
        </w:tc>
        <w:tc>
          <w:tcPr>
            <w:tcW w:w="977"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3"/>
              <w:rPr>
                <w:rFonts w:ascii="Calibri"/>
                <w:sz w:val="6"/>
              </w:rPr>
            </w:pPr>
            <w:r>
              <w:rPr>
                <w:rFonts w:ascii="Calibri"/>
                <w:w w:val="104"/>
                <w:sz w:val="6"/>
              </w:rPr>
              <w:t>1</w:t>
            </w:r>
          </w:p>
        </w:tc>
        <w:tc>
          <w:tcPr>
            <w:tcW w:w="1449"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644" w:right="642"/>
              <w:rPr>
                <w:rFonts w:ascii="Calibri"/>
                <w:sz w:val="6"/>
              </w:rPr>
            </w:pPr>
            <w:r>
              <w:rPr>
                <w:rFonts w:ascii="Calibri"/>
                <w:w w:val="105"/>
                <w:sz w:val="6"/>
              </w:rPr>
              <w:t>0.5</w:t>
            </w:r>
          </w:p>
        </w:tc>
        <w:tc>
          <w:tcPr>
            <w:tcW w:w="1512" w:type="dxa"/>
            <w:tcBorders>
              <w:left w:val="single" w:sz="2" w:space="0" w:color="D3D3D3"/>
              <w:bottom w:val="single" w:sz="2" w:space="0" w:color="D3D3D3"/>
              <w:right w:val="single" w:sz="2" w:space="0" w:color="D3D3D3"/>
            </w:tcBorders>
            <w:shd w:val="clear" w:color="auto" w:fill="BAF9F5"/>
          </w:tcPr>
          <w:p>
            <w:pPr>
              <w:pStyle w:val="TableParagraph"/>
              <w:spacing w:line="41" w:lineRule="exact"/>
              <w:ind w:left="2"/>
              <w:rPr>
                <w:rFonts w:ascii="Calibri"/>
                <w:sz w:val="6"/>
              </w:rPr>
            </w:pPr>
            <w:r>
              <w:rPr>
                <w:rFonts w:ascii="Calibri"/>
                <w:w w:val="104"/>
                <w:sz w:val="6"/>
              </w:rPr>
              <w:t>0</w:t>
            </w:r>
          </w:p>
        </w:tc>
        <w:tc>
          <w:tcPr>
            <w:tcW w:w="652" w:type="dxa"/>
            <w:tcBorders>
              <w:left w:val="single" w:sz="2" w:space="0" w:color="D3D3D3"/>
              <w:bottom w:val="single" w:sz="2" w:space="0" w:color="D3D3D3"/>
              <w:right w:val="single" w:sz="2" w:space="0" w:color="D3D3D3"/>
            </w:tcBorders>
            <w:shd w:val="clear" w:color="auto" w:fill="BAF9F5"/>
          </w:tcPr>
          <w:p>
            <w:pPr/>
          </w:p>
        </w:tc>
        <w:tc>
          <w:tcPr>
            <w:tcW w:w="582" w:type="dxa"/>
            <w:tcBorders>
              <w:left w:val="single" w:sz="2" w:space="0" w:color="D3D3D3"/>
              <w:bottom w:val="single" w:sz="2" w:space="0" w:color="D3D3D3"/>
              <w:right w:val="single" w:sz="2" w:space="0" w:color="D3D3D3"/>
            </w:tcBorders>
            <w:shd w:val="clear" w:color="auto" w:fill="BAF9F5"/>
          </w:tcPr>
          <w:p>
            <w:pPr/>
          </w:p>
        </w:tc>
        <w:tc>
          <w:tcPr>
            <w:tcW w:w="1105" w:type="dxa"/>
            <w:tcBorders>
              <w:left w:val="single" w:sz="2" w:space="0" w:color="D3D3D3"/>
              <w:bottom w:val="single" w:sz="2" w:space="0" w:color="D3D3D3"/>
              <w:right w:val="double" w:sz="5" w:space="0" w:color="D3D3D3"/>
            </w:tcBorders>
            <w:shd w:val="clear" w:color="auto" w:fill="BAF9F5"/>
          </w:tcPr>
          <w:p>
            <w:pPr/>
          </w:p>
        </w:tc>
        <w:tc>
          <w:tcPr>
            <w:tcW w:w="485" w:type="dxa"/>
            <w:tcBorders>
              <w:left w:val="double" w:sz="5" w:space="0" w:color="D3D3D3"/>
              <w:bottom w:val="single" w:sz="2" w:space="0" w:color="D3D3D3"/>
            </w:tcBorders>
            <w:shd w:val="clear" w:color="auto" w:fill="BAF9F5"/>
          </w:tcPr>
          <w:p>
            <w:pPr>
              <w:pStyle w:val="TableParagraph"/>
              <w:spacing w:line="41" w:lineRule="exact"/>
              <w:ind w:left="72" w:right="72"/>
              <w:rPr>
                <w:rFonts w:ascii="Calibri"/>
                <w:sz w:val="6"/>
              </w:rPr>
            </w:pPr>
            <w:r>
              <w:rPr>
                <w:rFonts w:ascii="Calibri"/>
                <w:w w:val="105"/>
                <w:sz w:val="6"/>
              </w:rPr>
              <w:t>0.5</w:t>
            </w:r>
          </w:p>
          <w:p>
            <w:pPr>
              <w:pStyle w:val="TableParagraph"/>
              <w:spacing w:before="9"/>
              <w:ind w:left="73" w:right="72"/>
              <w:rPr>
                <w:rFonts w:ascii="Calibri"/>
                <w:sz w:val="6"/>
              </w:rPr>
            </w:pPr>
            <w:r>
              <w:rPr>
                <w:rFonts w:ascii="Calibri"/>
                <w:w w:val="105"/>
                <w:sz w:val="6"/>
              </w:rPr>
              <w:t>Subtotal</w:t>
            </w:r>
          </w:p>
        </w:tc>
        <w:tc>
          <w:tcPr>
            <w:tcW w:w="346" w:type="dxa"/>
            <w:shd w:val="clear" w:color="auto" w:fill="F79646"/>
          </w:tcPr>
          <w:p>
            <w:pPr>
              <w:pStyle w:val="TableParagraph"/>
              <w:spacing w:before="50"/>
              <w:ind w:left="136"/>
              <w:jc w:val="left"/>
              <w:rPr>
                <w:rFonts w:ascii="Calibri"/>
                <w:sz w:val="6"/>
              </w:rPr>
            </w:pPr>
            <w:r>
              <w:rPr>
                <w:rFonts w:ascii="Calibri"/>
                <w:w w:val="105"/>
                <w:sz w:val="6"/>
              </w:rPr>
              <w:t>2.1</w:t>
            </w:r>
          </w:p>
        </w:tc>
        <w:tc>
          <w:tcPr>
            <w:tcW w:w="345" w:type="dxa"/>
            <w:tcBorders>
              <w:top w:val="single" w:sz="34" w:space="0" w:color="BAF9F5"/>
            </w:tcBorders>
            <w:shd w:val="clear" w:color="auto" w:fill="FFFF00"/>
          </w:tcPr>
          <w:p>
            <w:pPr>
              <w:pStyle w:val="TableParagraph"/>
              <w:spacing w:line="2" w:lineRule="exact"/>
              <w:ind w:left="6"/>
              <w:rPr>
                <w:rFonts w:ascii="Calibri"/>
                <w:sz w:val="6"/>
              </w:rPr>
            </w:pPr>
            <w:r>
              <w:rPr>
                <w:rFonts w:ascii="Calibri"/>
                <w:w w:val="104"/>
                <w:sz w:val="6"/>
              </w:rPr>
              <w:t>1</w:t>
            </w:r>
          </w:p>
          <w:p>
            <w:pPr>
              <w:pStyle w:val="TableParagraph"/>
              <w:spacing w:before="6"/>
              <w:ind w:left="99" w:right="93"/>
              <w:rPr>
                <w:rFonts w:ascii="Calibri"/>
                <w:sz w:val="6"/>
              </w:rPr>
            </w:pPr>
            <w:r>
              <w:rPr>
                <w:rFonts w:ascii="Calibri"/>
                <w:w w:val="105"/>
                <w:sz w:val="6"/>
              </w:rPr>
              <w:t>4.8</w:t>
            </w:r>
          </w:p>
        </w:tc>
        <w:tc>
          <w:tcPr>
            <w:tcW w:w="346" w:type="dxa"/>
            <w:tcBorders>
              <w:top w:val="single" w:sz="34" w:space="0" w:color="BAF9F5"/>
            </w:tcBorders>
            <w:shd w:val="clear" w:color="auto" w:fill="67ED4D"/>
          </w:tcPr>
          <w:p>
            <w:pPr>
              <w:pStyle w:val="TableParagraph"/>
              <w:spacing w:line="2" w:lineRule="exact"/>
              <w:ind w:left="6"/>
              <w:rPr>
                <w:rFonts w:ascii="Calibri"/>
                <w:sz w:val="6"/>
              </w:rPr>
            </w:pPr>
            <w:r>
              <w:rPr>
                <w:rFonts w:ascii="Calibri"/>
                <w:w w:val="104"/>
                <w:sz w:val="6"/>
              </w:rPr>
              <w:t>1</w:t>
            </w:r>
          </w:p>
          <w:p>
            <w:pPr>
              <w:pStyle w:val="TableParagraph"/>
              <w:spacing w:before="6"/>
              <w:ind w:left="6"/>
              <w:rPr>
                <w:rFonts w:ascii="Calibri"/>
                <w:sz w:val="6"/>
              </w:rPr>
            </w:pPr>
            <w:r>
              <w:rPr>
                <w:rFonts w:ascii="Calibri"/>
                <w:w w:val="104"/>
                <w:sz w:val="6"/>
              </w:rPr>
              <w:t>5</w:t>
            </w:r>
          </w:p>
        </w:tc>
        <w:tc>
          <w:tcPr>
            <w:tcW w:w="89" w:type="dxa"/>
            <w:tcBorders>
              <w:bottom w:val="single" w:sz="2" w:space="0" w:color="D3D3D3"/>
            </w:tcBorders>
          </w:tcPr>
          <w:p>
            <w:pPr/>
          </w:p>
        </w:tc>
      </w:tr>
      <w:tr>
        <w:trPr>
          <w:trHeight w:val="82" w:hRule="exact"/>
        </w:trPr>
        <w:tc>
          <w:tcPr>
            <w:tcW w:w="346" w:type="dxa"/>
            <w:tcBorders>
              <w:bottom w:val="single" w:sz="2" w:space="0" w:color="D3D3D3"/>
              <w:right w:val="single" w:sz="2" w:space="0" w:color="D3D3D3"/>
            </w:tcBorders>
          </w:tcPr>
          <w:p>
            <w:pPr/>
          </w:p>
        </w:tc>
        <w:tc>
          <w:tcPr>
            <w:tcW w:w="1182" w:type="dxa"/>
            <w:tcBorders>
              <w:top w:val="single" w:sz="2" w:space="0" w:color="D3D3D3"/>
              <w:left w:val="single" w:sz="2" w:space="0" w:color="D3D3D3"/>
              <w:bottom w:val="single" w:sz="2" w:space="0" w:color="D3D3D3"/>
              <w:right w:val="single" w:sz="2" w:space="0" w:color="D3D3D3"/>
            </w:tcBorders>
          </w:tcPr>
          <w:p>
            <w:pPr/>
          </w:p>
        </w:tc>
        <w:tc>
          <w:tcPr>
            <w:tcW w:w="1240" w:type="dxa"/>
            <w:tcBorders>
              <w:top w:val="single" w:sz="2" w:space="0" w:color="D3D3D3"/>
              <w:left w:val="single" w:sz="2" w:space="0" w:color="D3D3D3"/>
              <w:bottom w:val="single" w:sz="2" w:space="0" w:color="D3D3D3"/>
              <w:right w:val="single" w:sz="2" w:space="0" w:color="D3D3D3"/>
            </w:tcBorders>
          </w:tcPr>
          <w:p>
            <w:pPr/>
          </w:p>
        </w:tc>
        <w:tc>
          <w:tcPr>
            <w:tcW w:w="2344" w:type="dxa"/>
            <w:tcBorders>
              <w:top w:val="single" w:sz="2" w:space="0" w:color="D3D3D3"/>
              <w:left w:val="single" w:sz="2" w:space="0" w:color="D3D3D3"/>
              <w:bottom w:val="single" w:sz="2" w:space="0" w:color="D3D3D3"/>
              <w:right w:val="single" w:sz="2" w:space="0" w:color="D3D3D3"/>
            </w:tcBorders>
          </w:tcPr>
          <w:p>
            <w:pPr/>
          </w:p>
        </w:tc>
        <w:tc>
          <w:tcPr>
            <w:tcW w:w="977" w:type="dxa"/>
            <w:tcBorders>
              <w:top w:val="single" w:sz="2" w:space="0" w:color="D3D3D3"/>
              <w:left w:val="single" w:sz="2" w:space="0" w:color="D3D3D3"/>
              <w:bottom w:val="single" w:sz="2" w:space="0" w:color="D3D3D3"/>
              <w:right w:val="single" w:sz="2" w:space="0" w:color="D3D3D3"/>
            </w:tcBorders>
          </w:tcPr>
          <w:p>
            <w:pPr/>
          </w:p>
        </w:tc>
        <w:tc>
          <w:tcPr>
            <w:tcW w:w="1449" w:type="dxa"/>
            <w:tcBorders>
              <w:top w:val="single" w:sz="2" w:space="0" w:color="D3D3D3"/>
              <w:left w:val="single" w:sz="2" w:space="0" w:color="D3D3D3"/>
              <w:bottom w:val="single" w:sz="2" w:space="0" w:color="D3D3D3"/>
              <w:right w:val="single" w:sz="2" w:space="0" w:color="D3D3D3"/>
            </w:tcBorders>
          </w:tcPr>
          <w:p>
            <w:pPr/>
          </w:p>
        </w:tc>
        <w:tc>
          <w:tcPr>
            <w:tcW w:w="1512" w:type="dxa"/>
            <w:tcBorders>
              <w:top w:val="single" w:sz="2" w:space="0" w:color="D3D3D3"/>
              <w:left w:val="single" w:sz="2" w:space="0" w:color="D3D3D3"/>
              <w:bottom w:val="single" w:sz="2" w:space="0" w:color="D3D3D3"/>
              <w:right w:val="single" w:sz="2" w:space="0" w:color="D3D3D3"/>
            </w:tcBorders>
          </w:tcPr>
          <w:p>
            <w:pPr/>
          </w:p>
        </w:tc>
        <w:tc>
          <w:tcPr>
            <w:tcW w:w="652" w:type="dxa"/>
            <w:tcBorders>
              <w:top w:val="single" w:sz="2" w:space="0" w:color="D3D3D3"/>
              <w:left w:val="single" w:sz="2" w:space="0" w:color="D3D3D3"/>
              <w:bottom w:val="single" w:sz="2" w:space="0" w:color="D3D3D3"/>
              <w:right w:val="single" w:sz="2" w:space="0" w:color="D3D3D3"/>
            </w:tcBorders>
          </w:tcPr>
          <w:p>
            <w:pPr/>
          </w:p>
        </w:tc>
        <w:tc>
          <w:tcPr>
            <w:tcW w:w="582" w:type="dxa"/>
            <w:tcBorders>
              <w:top w:val="single" w:sz="2" w:space="0" w:color="D3D3D3"/>
              <w:left w:val="single" w:sz="2" w:space="0" w:color="D3D3D3"/>
              <w:bottom w:val="single" w:sz="2" w:space="0" w:color="D3D3D3"/>
              <w:right w:val="single" w:sz="2" w:space="0" w:color="D3D3D3"/>
            </w:tcBorders>
          </w:tcPr>
          <w:p>
            <w:pPr/>
          </w:p>
        </w:tc>
        <w:tc>
          <w:tcPr>
            <w:tcW w:w="1105" w:type="dxa"/>
            <w:tcBorders>
              <w:top w:val="single" w:sz="2" w:space="0" w:color="D3D3D3"/>
              <w:left w:val="single" w:sz="2" w:space="0" w:color="D3D3D3"/>
              <w:bottom w:val="single" w:sz="2" w:space="0" w:color="D3D3D3"/>
              <w:right w:val="double" w:sz="5" w:space="0" w:color="D3D3D3"/>
            </w:tcBorders>
          </w:tcPr>
          <w:p>
            <w:pPr/>
          </w:p>
        </w:tc>
        <w:tc>
          <w:tcPr>
            <w:tcW w:w="485" w:type="dxa"/>
            <w:tcBorders>
              <w:top w:val="single" w:sz="2" w:space="0" w:color="D3D3D3"/>
              <w:left w:val="double" w:sz="5" w:space="0" w:color="D3D3D3"/>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345" w:type="dxa"/>
            <w:tcBorders>
              <w:left w:val="single" w:sz="2" w:space="0" w:color="D3D3D3"/>
              <w:bottom w:val="single" w:sz="2" w:space="0" w:color="D3D3D3"/>
              <w:right w:val="single" w:sz="2" w:space="0" w:color="D3D3D3"/>
            </w:tcBorders>
          </w:tcPr>
          <w:p>
            <w:pPr/>
          </w:p>
        </w:tc>
        <w:tc>
          <w:tcPr>
            <w:tcW w:w="346" w:type="dxa"/>
            <w:tcBorders>
              <w:left w:val="single" w:sz="2" w:space="0" w:color="D3D3D3"/>
              <w:bottom w:val="single" w:sz="2" w:space="0" w:color="D3D3D3"/>
              <w:right w:val="single" w:sz="2" w:space="0" w:color="D3D3D3"/>
            </w:tcBorders>
          </w:tcPr>
          <w:p>
            <w:pPr/>
          </w:p>
        </w:tc>
        <w:tc>
          <w:tcPr>
            <w:tcW w:w="89" w:type="dxa"/>
            <w:tcBorders>
              <w:top w:val="single" w:sz="2" w:space="0" w:color="D3D3D3"/>
              <w:left w:val="single" w:sz="2" w:space="0" w:color="D3D3D3"/>
              <w:bottom w:val="single" w:sz="2" w:space="0" w:color="D3D3D3"/>
            </w:tcBorders>
          </w:tcPr>
          <w:p>
            <w:pPr/>
          </w:p>
        </w:tc>
      </w:tr>
      <w:tr>
        <w:trPr>
          <w:trHeight w:val="85" w:hRule="exact"/>
        </w:trPr>
        <w:tc>
          <w:tcPr>
            <w:tcW w:w="346" w:type="dxa"/>
            <w:tcBorders>
              <w:top w:val="single" w:sz="2" w:space="0" w:color="D3D3D3"/>
              <w:bottom w:val="single" w:sz="3" w:space="0" w:color="000000"/>
              <w:right w:val="single" w:sz="2" w:space="0" w:color="D3D3D3"/>
            </w:tcBorders>
          </w:tcPr>
          <w:p>
            <w:pPr/>
          </w:p>
        </w:tc>
        <w:tc>
          <w:tcPr>
            <w:tcW w:w="1182" w:type="dxa"/>
            <w:tcBorders>
              <w:top w:val="single" w:sz="2" w:space="0" w:color="D3D3D3"/>
              <w:left w:val="single" w:sz="2" w:space="0" w:color="D3D3D3"/>
              <w:bottom w:val="single" w:sz="3" w:space="0" w:color="000000"/>
              <w:right w:val="single" w:sz="2" w:space="0" w:color="D3D3D3"/>
            </w:tcBorders>
          </w:tcPr>
          <w:p>
            <w:pPr/>
          </w:p>
        </w:tc>
        <w:tc>
          <w:tcPr>
            <w:tcW w:w="1240" w:type="dxa"/>
            <w:tcBorders>
              <w:top w:val="single" w:sz="2" w:space="0" w:color="D3D3D3"/>
              <w:left w:val="single" w:sz="2" w:space="0" w:color="D3D3D3"/>
              <w:bottom w:val="single" w:sz="3" w:space="0" w:color="000000"/>
              <w:right w:val="single" w:sz="2" w:space="0" w:color="D3D3D3"/>
            </w:tcBorders>
          </w:tcPr>
          <w:p>
            <w:pPr/>
          </w:p>
        </w:tc>
        <w:tc>
          <w:tcPr>
            <w:tcW w:w="2344" w:type="dxa"/>
            <w:tcBorders>
              <w:top w:val="single" w:sz="2" w:space="0" w:color="D3D3D3"/>
              <w:left w:val="single" w:sz="2" w:space="0" w:color="D3D3D3"/>
              <w:bottom w:val="single" w:sz="3" w:space="0" w:color="000000"/>
              <w:right w:val="single" w:sz="2" w:space="0" w:color="D3D3D3"/>
            </w:tcBorders>
          </w:tcPr>
          <w:p>
            <w:pPr/>
          </w:p>
        </w:tc>
        <w:tc>
          <w:tcPr>
            <w:tcW w:w="977" w:type="dxa"/>
            <w:tcBorders>
              <w:top w:val="single" w:sz="2" w:space="0" w:color="D3D3D3"/>
              <w:left w:val="single" w:sz="2" w:space="0" w:color="D3D3D3"/>
              <w:bottom w:val="single" w:sz="3" w:space="0" w:color="000000"/>
              <w:right w:val="single" w:sz="2" w:space="0" w:color="D3D3D3"/>
            </w:tcBorders>
          </w:tcPr>
          <w:p>
            <w:pPr/>
          </w:p>
        </w:tc>
        <w:tc>
          <w:tcPr>
            <w:tcW w:w="1449" w:type="dxa"/>
            <w:tcBorders>
              <w:top w:val="single" w:sz="2" w:space="0" w:color="D3D3D3"/>
              <w:left w:val="single" w:sz="2" w:space="0" w:color="D3D3D3"/>
              <w:bottom w:val="single" w:sz="3" w:space="0" w:color="000000"/>
              <w:right w:val="single" w:sz="2" w:space="0" w:color="D3D3D3"/>
            </w:tcBorders>
          </w:tcPr>
          <w:p>
            <w:pPr/>
          </w:p>
        </w:tc>
        <w:tc>
          <w:tcPr>
            <w:tcW w:w="1512" w:type="dxa"/>
            <w:tcBorders>
              <w:top w:val="single" w:sz="2" w:space="0" w:color="D3D3D3"/>
              <w:left w:val="single" w:sz="2" w:space="0" w:color="D3D3D3"/>
              <w:bottom w:val="single" w:sz="3" w:space="0" w:color="000000"/>
              <w:right w:val="single" w:sz="2" w:space="0" w:color="D3D3D3"/>
            </w:tcBorders>
          </w:tcPr>
          <w:p>
            <w:pPr/>
          </w:p>
        </w:tc>
        <w:tc>
          <w:tcPr>
            <w:tcW w:w="652" w:type="dxa"/>
            <w:tcBorders>
              <w:top w:val="single" w:sz="2" w:space="0" w:color="D3D3D3"/>
              <w:left w:val="single" w:sz="2" w:space="0" w:color="D3D3D3"/>
              <w:bottom w:val="single" w:sz="3" w:space="0" w:color="000000"/>
              <w:right w:val="single" w:sz="2" w:space="0" w:color="D3D3D3"/>
            </w:tcBorders>
          </w:tcPr>
          <w:p>
            <w:pPr/>
          </w:p>
        </w:tc>
        <w:tc>
          <w:tcPr>
            <w:tcW w:w="582" w:type="dxa"/>
            <w:tcBorders>
              <w:top w:val="single" w:sz="2" w:space="0" w:color="D3D3D3"/>
              <w:left w:val="single" w:sz="2" w:space="0" w:color="D3D3D3"/>
              <w:bottom w:val="single" w:sz="3" w:space="0" w:color="000000"/>
              <w:right w:val="single" w:sz="2" w:space="0" w:color="D3D3D3"/>
            </w:tcBorders>
          </w:tcPr>
          <w:p>
            <w:pPr/>
          </w:p>
        </w:tc>
        <w:tc>
          <w:tcPr>
            <w:tcW w:w="1105" w:type="dxa"/>
            <w:tcBorders>
              <w:top w:val="single" w:sz="2" w:space="0" w:color="D3D3D3"/>
              <w:left w:val="single" w:sz="2" w:space="0" w:color="D3D3D3"/>
              <w:bottom w:val="single" w:sz="3" w:space="0" w:color="000000"/>
              <w:right w:val="double" w:sz="5" w:space="0" w:color="D3D3D3"/>
            </w:tcBorders>
          </w:tcPr>
          <w:p>
            <w:pPr/>
          </w:p>
        </w:tc>
        <w:tc>
          <w:tcPr>
            <w:tcW w:w="485" w:type="dxa"/>
            <w:tcBorders>
              <w:top w:val="single" w:sz="2" w:space="0" w:color="D3D3D3"/>
              <w:left w:val="double" w:sz="5" w:space="0" w:color="D3D3D3"/>
              <w:bottom w:val="single" w:sz="3" w:space="0" w:color="000000"/>
              <w:right w:val="single" w:sz="2" w:space="0" w:color="D3D3D3"/>
            </w:tcBorders>
          </w:tcPr>
          <w:p>
            <w:pPr/>
          </w:p>
        </w:tc>
        <w:tc>
          <w:tcPr>
            <w:tcW w:w="346" w:type="dxa"/>
            <w:tcBorders>
              <w:top w:val="single" w:sz="2" w:space="0" w:color="D3D3D3"/>
              <w:left w:val="single" w:sz="2" w:space="0" w:color="D3D3D3"/>
              <w:bottom w:val="single" w:sz="3" w:space="0" w:color="000000"/>
              <w:right w:val="single" w:sz="2" w:space="0" w:color="D3D3D3"/>
            </w:tcBorders>
          </w:tcPr>
          <w:p>
            <w:pPr/>
          </w:p>
        </w:tc>
        <w:tc>
          <w:tcPr>
            <w:tcW w:w="345" w:type="dxa"/>
            <w:tcBorders>
              <w:top w:val="single" w:sz="2" w:space="0" w:color="D3D3D3"/>
              <w:left w:val="single" w:sz="2" w:space="0" w:color="D3D3D3"/>
              <w:bottom w:val="single" w:sz="3" w:space="0" w:color="000000"/>
              <w:right w:val="single" w:sz="2" w:space="0" w:color="D3D3D3"/>
            </w:tcBorders>
          </w:tcPr>
          <w:p>
            <w:pPr/>
          </w:p>
        </w:tc>
        <w:tc>
          <w:tcPr>
            <w:tcW w:w="346" w:type="dxa"/>
            <w:tcBorders>
              <w:top w:val="single" w:sz="2" w:space="0" w:color="D3D3D3"/>
              <w:left w:val="single" w:sz="2" w:space="0" w:color="D3D3D3"/>
              <w:bottom w:val="single" w:sz="3" w:space="0" w:color="000000"/>
              <w:right w:val="single" w:sz="2" w:space="0" w:color="D3D3D3"/>
            </w:tcBorders>
          </w:tcPr>
          <w:p>
            <w:pPr/>
          </w:p>
        </w:tc>
        <w:tc>
          <w:tcPr>
            <w:tcW w:w="89" w:type="dxa"/>
            <w:tcBorders>
              <w:top w:val="single" w:sz="2" w:space="0" w:color="D3D3D3"/>
              <w:left w:val="single" w:sz="2" w:space="0" w:color="D3D3D3"/>
              <w:bottom w:val="single" w:sz="3" w:space="0" w:color="000000"/>
            </w:tcBorders>
          </w:tcPr>
          <w:p>
            <w:pPr/>
          </w:p>
        </w:tc>
      </w:tr>
    </w:tbl>
    <w:p>
      <w:pPr>
        <w:pStyle w:val="BodyText"/>
        <w:spacing w:before="9"/>
        <w:rPr>
          <w:sz w:val="21"/>
        </w:rPr>
      </w:pPr>
    </w:p>
    <w:p>
      <w:pPr>
        <w:spacing w:before="0"/>
        <w:ind w:left="155" w:right="0" w:firstLine="0"/>
        <w:jc w:val="left"/>
        <w:rPr>
          <w:sz w:val="21"/>
        </w:rPr>
      </w:pPr>
      <w:r>
        <w:rPr/>
        <w:pict>
          <v:group style="position:absolute;margin-left:639.43219pt;margin-top:-103.827209pt;width:1.8pt;height:.3pt;mso-position-horizontal-relative:page;mso-position-vertical-relative:paragraph;z-index:-1120912" coordorigin="12789,-2077" coordsize="36,6">
            <v:line style="position:absolute" from="12791,-2075" to="12822,-2075" stroked="true" strokeweight=".195956pt" strokecolor="#d3d3d3"/>
            <v:line style="position:absolute" from="12791,-2073" to="12822,-2073" stroked="true" strokeweight=".195957pt" strokecolor="#d3d3d3"/>
            <w10:wrap type="none"/>
          </v:group>
        </w:pict>
      </w:r>
      <w:r>
        <w:rPr>
          <w:w w:val="105"/>
          <w:sz w:val="21"/>
        </w:rPr>
        <w:t>Fuente: Elaboración propia con base al estudio realizado.</w:t>
      </w:r>
    </w:p>
    <w:p>
      <w:pPr>
        <w:spacing w:after="0"/>
        <w:jc w:val="left"/>
        <w:rPr>
          <w:sz w:val="21"/>
        </w:rPr>
        <w:sectPr>
          <w:pgSz w:w="15840" w:h="12240" w:orient="landscape"/>
          <w:pgMar w:header="732" w:footer="1063" w:top="1320" w:bottom="1260" w:left="1260" w:right="1260"/>
        </w:sectPr>
      </w:pPr>
    </w:p>
    <w:p>
      <w:pPr>
        <w:pStyle w:val="BodyText"/>
        <w:rPr>
          <w:sz w:val="20"/>
        </w:rPr>
      </w:pPr>
    </w:p>
    <w:p>
      <w:pPr>
        <w:pStyle w:val="BodyText"/>
        <w:spacing w:before="4"/>
        <w:rPr>
          <w:sz w:val="20"/>
        </w:rPr>
      </w:pPr>
    </w:p>
    <w:p>
      <w:pPr>
        <w:pStyle w:val="Heading4"/>
        <w:spacing w:before="1"/>
        <w:ind w:left="240"/>
      </w:pPr>
      <w:r>
        <w:rPr/>
        <w:pict>
          <v:line style="position:absolute;mso-position-horizontal-relative:page;mso-position-vertical-relative:paragraph;z-index:-1120864" from="123.199997pt,-31.89414pt" to="487.999997pt,-31.89414pt" stroked="true" strokeweight=".479981pt" strokecolor="#000000">
            <w10:wrap type="none"/>
          </v:line>
        </w:pict>
      </w:r>
      <w:r>
        <w:rPr/>
        <w:t>Productos de la investigación</w:t>
      </w:r>
    </w:p>
    <w:p>
      <w:pPr>
        <w:pStyle w:val="BodyText"/>
        <w:rPr>
          <w:b/>
        </w:rPr>
      </w:pPr>
    </w:p>
    <w:p>
      <w:pPr>
        <w:pStyle w:val="BodyText"/>
        <w:spacing w:line="360" w:lineRule="auto"/>
        <w:ind w:left="240" w:right="539"/>
        <w:jc w:val="both"/>
      </w:pPr>
      <w:r>
        <w:rPr/>
        <w:t>En éste apartado se anexan las evidencias de los productos publicados o en proceso de publicación derivados del trabajo de inestigación realizado en la tesis de doctorado que aquí se presenta.</w:t>
      </w:r>
    </w:p>
    <w:p>
      <w:pPr>
        <w:pStyle w:val="BodyText"/>
      </w:pPr>
    </w:p>
    <w:p>
      <w:pPr>
        <w:pStyle w:val="ListParagraph"/>
        <w:numPr>
          <w:ilvl w:val="0"/>
          <w:numId w:val="28"/>
        </w:numPr>
        <w:tabs>
          <w:tab w:pos="961" w:val="left" w:leader="none"/>
        </w:tabs>
        <w:spacing w:line="240" w:lineRule="auto" w:before="139" w:after="0"/>
        <w:ind w:left="960" w:right="0" w:hanging="360"/>
        <w:jc w:val="left"/>
        <w:rPr>
          <w:sz w:val="24"/>
        </w:rPr>
      </w:pPr>
      <w:r>
        <w:rPr>
          <w:sz w:val="24"/>
        </w:rPr>
        <w:t>Capítulo de libro.</w:t>
      </w:r>
    </w:p>
    <w:p>
      <w:pPr>
        <w:spacing w:line="360" w:lineRule="auto" w:before="137"/>
        <w:ind w:left="960" w:right="538" w:firstLine="0"/>
        <w:jc w:val="both"/>
        <w:rPr>
          <w:sz w:val="24"/>
        </w:rPr>
      </w:pPr>
      <w:r>
        <w:rPr>
          <w:sz w:val="24"/>
        </w:rPr>
        <w:t>Carrillo, Alan y Jiménez, Pedro. (2014). </w:t>
      </w:r>
      <w:r>
        <w:rPr>
          <w:i/>
          <w:sz w:val="24"/>
        </w:rPr>
        <w:t>Sustentabilidad: el enfoque de la </w:t>
      </w:r>
      <w:r>
        <w:rPr>
          <w:i/>
          <w:sz w:val="24"/>
        </w:rPr>
        <w:t>administración urbana. </w:t>
      </w:r>
      <w:r>
        <w:rPr>
          <w:sz w:val="24"/>
        </w:rPr>
        <w:t>En Carreño, F. e Iglesias, D. Sustentabilidad  Urbana: visiones y contradicciones. México: Universidad Autónoma del Estado de México.</w:t>
      </w:r>
    </w:p>
    <w:p>
      <w:pPr>
        <w:pStyle w:val="BodyText"/>
        <w:rPr>
          <w:sz w:val="20"/>
        </w:rPr>
      </w:pPr>
    </w:p>
    <w:p>
      <w:pPr>
        <w:pStyle w:val="BodyText"/>
        <w:spacing w:before="1"/>
        <w:rPr>
          <w:sz w:val="18"/>
        </w:rPr>
      </w:pPr>
      <w:r>
        <w:rPr/>
        <w:pict>
          <v:group style="position:absolute;margin-left:78.559998pt;margin-top:12.374891pt;width:469.7pt;height:307.7pt;mso-position-horizontal-relative:page;mso-position-vertical-relative:paragraph;z-index:37144;mso-wrap-distance-left:0;mso-wrap-distance-right:0" coordorigin="1571,247" coordsize="9394,6154">
            <v:shape style="position:absolute;left:1571;top:247;width:5045;height:6106" type="#_x0000_t75" stroked="false">
              <v:imagedata r:id="rId424" o:title=""/>
            </v:shape>
            <v:shape style="position:absolute;left:1883;top:559;width:4114;height:5173" type="#_x0000_t75" stroked="false">
              <v:imagedata r:id="rId425" o:title=""/>
            </v:shape>
            <v:shape style="position:absolute;left:5891;top:247;width:5074;height:6154" type="#_x0000_t75" stroked="false">
              <v:imagedata r:id="rId426" o:title=""/>
            </v:shape>
            <v:shape style="position:absolute;left:6203;top:559;width:4139;height:5219" type="#_x0000_t75" stroked="false">
              <v:imagedata r:id="rId427" o:title=""/>
            </v:shape>
            <w10:wrap type="topAndBottom"/>
          </v:group>
        </w:pict>
      </w:r>
    </w:p>
    <w:p>
      <w:pPr>
        <w:spacing w:after="0"/>
        <w:rPr>
          <w:sz w:val="18"/>
        </w:rPr>
        <w:sectPr>
          <w:headerReference w:type="default" r:id="rId422"/>
          <w:footerReference w:type="default" r:id="rId423"/>
          <w:pgSz w:w="12240" w:h="15840"/>
          <w:pgMar w:header="730" w:footer="1066" w:top="1320" w:bottom="1260" w:left="1460" w:right="1160"/>
          <w:pgNumType w:start="300"/>
        </w:sectPr>
      </w:pPr>
    </w:p>
    <w:p>
      <w:pPr>
        <w:pStyle w:val="BodyText"/>
        <w:rPr>
          <w:rFonts w:ascii="Times New Roman"/>
          <w:sz w:val="20"/>
        </w:rPr>
      </w:pPr>
      <w:r>
        <w:rPr/>
        <w:pict>
          <v:line style="position:absolute;mso-position-horizontal-relative:page;mso-position-vertical-relative:page;z-index:37240" from="78.800003pt,57.080009pt" to="532.400003pt,57.080009pt" stroked="true" strokeweight=".479981pt" strokecolor="#000000">
            <w10:wrap type="none"/>
          </v:line>
        </w:pict>
      </w:r>
    </w:p>
    <w:p>
      <w:pPr>
        <w:pStyle w:val="BodyText"/>
        <w:rPr>
          <w:rFonts w:ascii="Times New Roman"/>
          <w:sz w:val="20"/>
        </w:rPr>
      </w:pPr>
    </w:p>
    <w:p>
      <w:pPr>
        <w:pStyle w:val="BodyText"/>
        <w:rPr>
          <w:rFonts w:ascii="Times New Roman"/>
          <w:sz w:val="20"/>
        </w:rPr>
      </w:pPr>
    </w:p>
    <w:p>
      <w:pPr>
        <w:pStyle w:val="BodyText"/>
        <w:spacing w:before="2"/>
        <w:rPr>
          <w:rFonts w:ascii="Times New Roman"/>
        </w:rPr>
      </w:pPr>
    </w:p>
    <w:p>
      <w:pPr>
        <w:pStyle w:val="BodyText"/>
        <w:ind w:left="471"/>
        <w:rPr>
          <w:rFonts w:ascii="Times New Roman"/>
          <w:sz w:val="20"/>
        </w:rPr>
      </w:pPr>
      <w:r>
        <w:rPr>
          <w:rFonts w:ascii="Times New Roman"/>
          <w:sz w:val="20"/>
        </w:rPr>
        <w:pict>
          <v:group style="width:455.05pt;height:289.7pt;mso-position-horizontal-relative:char;mso-position-vertical-relative:line" coordorigin="0,0" coordsize="9101,5794">
            <v:shape style="position:absolute;left:0;top:0;width:4776;height:5794" type="#_x0000_t75" stroked="false">
              <v:imagedata r:id="rId428" o:title=""/>
            </v:shape>
            <v:shape style="position:absolute;left:311;top:312;width:3843;height:4860" type="#_x0000_t75" stroked="false">
              <v:imagedata r:id="rId429" o:title=""/>
            </v:shape>
            <v:shape style="position:absolute;left:4320;top:0;width:4781;height:5794" type="#_x0000_t75" stroked="false">
              <v:imagedata r:id="rId430" o:title=""/>
            </v:shape>
            <v:shape style="position:absolute;left:4631;top:312;width:3847;height:4860" type="#_x0000_t75" stroked="false">
              <v:imagedata r:id="rId431" o:title=""/>
            </v:shape>
          </v:group>
        </w:pict>
      </w:r>
      <w:r>
        <w:rPr>
          <w:rFonts w:ascii="Times New Roman"/>
          <w:sz w:val="20"/>
        </w:rPr>
      </w:r>
    </w:p>
    <w:p>
      <w:pPr>
        <w:pStyle w:val="BodyText"/>
        <w:spacing w:before="7"/>
        <w:rPr>
          <w:rFonts w:ascii="Times New Roman"/>
          <w:sz w:val="8"/>
        </w:rPr>
      </w:pPr>
      <w:r>
        <w:rPr/>
        <w:pict>
          <v:group style="position:absolute;margin-left:96.559998pt;margin-top:6.92pt;width:454.6pt;height:289.45pt;mso-position-horizontal-relative:page;mso-position-vertical-relative:paragraph;z-index:37216;mso-wrap-distance-left:0;mso-wrap-distance-right:0" coordorigin="1931,138" coordsize="9092,5789">
            <v:shape style="position:absolute;left:1931;top:138;width:4786;height:5789" type="#_x0000_t75" stroked="false">
              <v:imagedata r:id="rId432" o:title=""/>
            </v:shape>
            <v:shape style="position:absolute;left:2243;top:447;width:3854;height:4860" type="#_x0000_t75" stroked="false">
              <v:imagedata r:id="rId433" o:title=""/>
            </v:shape>
            <v:shape style="position:absolute;left:6251;top:138;width:4771;height:5789" type="#_x0000_t75" stroked="false">
              <v:imagedata r:id="rId434" o:title=""/>
            </v:shape>
            <v:shape style="position:absolute;left:6563;top:447;width:3841;height:4860" type="#_x0000_t75" stroked="false">
              <v:imagedata r:id="rId435" o:title=""/>
            </v:shape>
            <w10:wrap type="topAndBottom"/>
          </v:group>
        </w:pict>
      </w:r>
    </w:p>
    <w:p>
      <w:pPr>
        <w:spacing w:after="0"/>
        <w:rPr>
          <w:rFonts w:ascii="Times New Roman"/>
          <w:sz w:val="8"/>
        </w:rPr>
        <w:sectPr>
          <w:pgSz w:w="12240" w:h="15840"/>
          <w:pgMar w:header="730" w:footer="1066" w:top="1320" w:bottom="1260" w:left="1460" w:right="1100"/>
        </w:sectPr>
      </w:pPr>
    </w:p>
    <w:p>
      <w:pPr>
        <w:pStyle w:val="BodyText"/>
        <w:rPr>
          <w:rFonts w:ascii="Times New Roman"/>
          <w:sz w:val="20"/>
        </w:rPr>
      </w:pPr>
      <w:r>
        <w:rPr/>
        <w:pict>
          <v:line style="position:absolute;mso-position-horizontal-relative:page;mso-position-vertical-relative:page;z-index:37288" from="78.800003pt,57.080009pt" to="532.400003pt,57.080009pt" stroked="true" strokeweight=".479981pt" strokecolor="#000000">
            <w10:wrap type="none"/>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0"/>
        </w:rPr>
      </w:pPr>
    </w:p>
    <w:p>
      <w:pPr>
        <w:pStyle w:val="BodyText"/>
        <w:ind w:left="111"/>
        <w:rPr>
          <w:rFonts w:ascii="Times New Roman"/>
          <w:sz w:val="20"/>
        </w:rPr>
      </w:pPr>
      <w:r>
        <w:rPr>
          <w:rFonts w:ascii="Times New Roman"/>
          <w:sz w:val="20"/>
        </w:rPr>
        <w:pict>
          <v:group style="width:454.6pt;height:577.7pt;mso-position-horizontal-relative:char;mso-position-vertical-relative:line" coordorigin="0,0" coordsize="9092,11554">
            <v:shape style="position:absolute;left:0;top:0;width:4776;height:5794" type="#_x0000_t75" stroked="false">
              <v:imagedata r:id="rId428" o:title=""/>
            </v:shape>
            <v:shape style="position:absolute;left:311;top:312;width:3843;height:4860" type="#_x0000_t75" stroked="false">
              <v:imagedata r:id="rId436" o:title=""/>
            </v:shape>
            <v:shape style="position:absolute;left:4320;top:0;width:4766;height:5794" type="#_x0000_t75" stroked="false">
              <v:imagedata r:id="rId437" o:title=""/>
            </v:shape>
            <v:shape style="position:absolute;left:4631;top:312;width:3835;height:4860" type="#_x0000_t75" stroked="false">
              <v:imagedata r:id="rId438" o:title=""/>
            </v:shape>
            <v:shape style="position:absolute;left:0;top:5760;width:4786;height:5794" type="#_x0000_t75" stroked="false">
              <v:imagedata r:id="rId439" o:title=""/>
            </v:shape>
            <v:shape style="position:absolute;left:311;top:6072;width:3854;height:4860" type="#_x0000_t75" stroked="false">
              <v:imagedata r:id="rId440" o:title=""/>
            </v:shape>
            <v:shape style="position:absolute;left:4320;top:5760;width:4771;height:5794" type="#_x0000_t75" stroked="false">
              <v:imagedata r:id="rId441" o:title=""/>
            </v:shape>
            <v:shape style="position:absolute;left:4631;top:6072;width:3840;height:4860" type="#_x0000_t75" stroked="false">
              <v:imagedata r:id="rId442" o:title=""/>
            </v:shape>
          </v:group>
        </w:pict>
      </w:r>
      <w:r>
        <w:rPr>
          <w:rFonts w:ascii="Times New Roman"/>
          <w:sz w:val="20"/>
        </w:rPr>
      </w:r>
    </w:p>
    <w:p>
      <w:pPr>
        <w:spacing w:after="0"/>
        <w:rPr>
          <w:rFonts w:ascii="Times New Roman"/>
          <w:sz w:val="20"/>
        </w:rPr>
        <w:sectPr>
          <w:pgSz w:w="12240" w:h="15840"/>
          <w:pgMar w:header="730" w:footer="1066" w:top="1320" w:bottom="1260" w:left="1460" w:right="1460"/>
        </w:sectPr>
      </w:pPr>
    </w:p>
    <w:p>
      <w:pPr>
        <w:pStyle w:val="BodyText"/>
        <w:rPr>
          <w:rFonts w:ascii="Times New Roman"/>
          <w:sz w:val="20"/>
        </w:rPr>
      </w:pPr>
      <w:r>
        <w:rPr/>
        <w:pict>
          <v:line style="position:absolute;mso-position-horizontal-relative:page;mso-position-vertical-relative:page;z-index:37360" from="78.800003pt,57.080009pt" to="532.400003pt,57.080009pt" stroked="true" strokeweight=".479981pt" strokecolor="#000000">
            <w10:wrap type="none"/>
          </v:line>
        </w:pict>
      </w:r>
    </w:p>
    <w:p>
      <w:pPr>
        <w:pStyle w:val="BodyText"/>
        <w:rPr>
          <w:rFonts w:ascii="Times New Roman"/>
          <w:sz w:val="20"/>
        </w:rPr>
      </w:pPr>
    </w:p>
    <w:p>
      <w:pPr>
        <w:pStyle w:val="BodyText"/>
        <w:rPr>
          <w:rFonts w:ascii="Times New Roman"/>
          <w:sz w:val="20"/>
        </w:rPr>
      </w:pPr>
    </w:p>
    <w:p>
      <w:pPr>
        <w:pStyle w:val="BodyText"/>
        <w:rPr>
          <w:rFonts w:ascii="Times New Roman"/>
          <w:sz w:val="15"/>
        </w:rPr>
      </w:pPr>
    </w:p>
    <w:p>
      <w:pPr>
        <w:pStyle w:val="BodyText"/>
        <w:ind w:left="111"/>
        <w:rPr>
          <w:rFonts w:ascii="Times New Roman"/>
          <w:sz w:val="20"/>
        </w:rPr>
      </w:pPr>
      <w:r>
        <w:rPr>
          <w:rFonts w:ascii="Times New Roman"/>
          <w:sz w:val="20"/>
        </w:rPr>
        <w:pict>
          <v:group style="width:464.4pt;height:289.45pt;mso-position-horizontal-relative:char;mso-position-vertical-relative:line" coordorigin="0,0" coordsize="9288,5789">
            <v:shape style="position:absolute;left:0;top:0;width:4762;height:5789" type="#_x0000_t75" stroked="false">
              <v:imagedata r:id="rId443" o:title=""/>
            </v:shape>
            <v:shape style="position:absolute;left:311;top:309;width:3827;height:4860" type="#_x0000_t75" stroked="false">
              <v:imagedata r:id="rId444" o:title=""/>
            </v:shape>
            <v:shape style="position:absolute;left:4502;top:0;width:4786;height:5789" type="#_x0000_t75" stroked="false">
              <v:imagedata r:id="rId445" o:title=""/>
            </v:shape>
            <v:shape style="position:absolute;left:4811;top:309;width:3854;height:4860" type="#_x0000_t75" stroked="false">
              <v:imagedata r:id="rId446" o:title=""/>
            </v:shape>
          </v:group>
        </w:pict>
      </w:r>
      <w:r>
        <w:rPr>
          <w:rFonts w:ascii="Times New Roman"/>
          <w:sz w:val="20"/>
        </w:rPr>
      </w:r>
    </w:p>
    <w:p>
      <w:pPr>
        <w:pStyle w:val="BodyText"/>
        <w:spacing w:before="7"/>
        <w:rPr>
          <w:rFonts w:ascii="Times New Roman"/>
          <w:sz w:val="8"/>
        </w:rPr>
      </w:pPr>
      <w:r>
        <w:rPr/>
        <w:pict>
          <v:group style="position:absolute;margin-left:78.559998pt;margin-top:6.93pt;width:464.4pt;height:289.7pt;mso-position-horizontal-relative:page;mso-position-vertical-relative:paragraph;z-index:37336;mso-wrap-distance-left:0;mso-wrap-distance-right:0" coordorigin="1571,139" coordsize="9288,5794">
            <v:shape style="position:absolute;left:1571;top:139;width:4790;height:5794" type="#_x0000_t75" stroked="false">
              <v:imagedata r:id="rId447" o:title=""/>
            </v:shape>
            <v:shape style="position:absolute;left:1883;top:450;width:3856;height:4860" type="#_x0000_t75" stroked="false">
              <v:imagedata r:id="rId448" o:title=""/>
            </v:shape>
            <v:shape style="position:absolute;left:6074;top:139;width:4786;height:5794" type="#_x0000_t75" stroked="false">
              <v:imagedata r:id="rId449" o:title=""/>
            </v:shape>
            <v:shape style="position:absolute;left:6383;top:450;width:3856;height:4859" type="#_x0000_t75" stroked="false">
              <v:imagedata r:id="rId450" o:title=""/>
            </v:shape>
            <w10:wrap type="topAndBottom"/>
          </v:group>
        </w:pict>
      </w:r>
    </w:p>
    <w:p>
      <w:pPr>
        <w:spacing w:after="0"/>
        <w:rPr>
          <w:rFonts w:ascii="Times New Roman"/>
          <w:sz w:val="8"/>
        </w:rPr>
        <w:sectPr>
          <w:pgSz w:w="12240" w:h="15840"/>
          <w:pgMar w:header="730" w:footer="1066" w:top="1320" w:bottom="1260" w:left="1460" w:right="1280"/>
        </w:sectPr>
      </w:pPr>
    </w:p>
    <w:p>
      <w:pPr>
        <w:pStyle w:val="BodyText"/>
        <w:rPr>
          <w:rFonts w:ascii="Times New Roman"/>
          <w:sz w:val="20"/>
        </w:rPr>
      </w:pPr>
      <w:r>
        <w:rPr/>
        <w:pict>
          <v:line style="position:absolute;mso-position-horizontal-relative:page;mso-position-vertical-relative:page;z-index:37432" from="78.800003pt,57.080009pt" to="532.400003pt,57.080009pt" stroked="true" strokeweight=".479981pt" strokecolor="#000000">
            <w10:wrap type="none"/>
          </v:line>
        </w:pict>
      </w:r>
    </w:p>
    <w:p>
      <w:pPr>
        <w:pStyle w:val="BodyText"/>
        <w:rPr>
          <w:rFonts w:ascii="Times New Roman"/>
          <w:sz w:val="20"/>
        </w:rPr>
      </w:pPr>
    </w:p>
    <w:p>
      <w:pPr>
        <w:pStyle w:val="BodyText"/>
        <w:rPr>
          <w:rFonts w:ascii="Times New Roman"/>
          <w:sz w:val="20"/>
        </w:rPr>
      </w:pPr>
    </w:p>
    <w:p>
      <w:pPr>
        <w:pStyle w:val="BodyText"/>
        <w:rPr>
          <w:rFonts w:ascii="Times New Roman"/>
          <w:sz w:val="15"/>
        </w:rPr>
      </w:pPr>
    </w:p>
    <w:p>
      <w:pPr>
        <w:pStyle w:val="BodyText"/>
        <w:ind w:left="293"/>
        <w:rPr>
          <w:rFonts w:ascii="Times New Roman"/>
          <w:sz w:val="20"/>
        </w:rPr>
      </w:pPr>
      <w:r>
        <w:rPr>
          <w:rFonts w:ascii="Times New Roman"/>
          <w:sz w:val="20"/>
        </w:rPr>
        <w:pict>
          <v:group style="width:463.2pt;height:289.45pt;mso-position-horizontal-relative:char;mso-position-vertical-relative:line" coordorigin="0,0" coordsize="9264,5789">
            <v:shape style="position:absolute;left:0;top:0;width:4771;height:5789" type="#_x0000_t75" stroked="false">
              <v:imagedata r:id="rId451" o:title=""/>
            </v:shape>
            <v:shape style="position:absolute;left:309;top:309;width:3840;height:4860" type="#_x0000_t75" stroked="false">
              <v:imagedata r:id="rId452" o:title=""/>
            </v:shape>
            <v:shape style="position:absolute;left:4498;top:0;width:4766;height:5789" type="#_x0000_t75" stroked="false">
              <v:imagedata r:id="rId453" o:title=""/>
            </v:shape>
            <v:shape style="position:absolute;left:4809;top:309;width:3836;height:4860" type="#_x0000_t75" stroked="false">
              <v:imagedata r:id="rId454" o:title=""/>
            </v:shape>
          </v:group>
        </w:pict>
      </w:r>
      <w:r>
        <w:rPr>
          <w:rFonts w:ascii="Times New Roman"/>
          <w:sz w:val="20"/>
        </w:rPr>
      </w:r>
    </w:p>
    <w:p>
      <w:pPr>
        <w:pStyle w:val="BodyText"/>
        <w:spacing w:before="7"/>
        <w:rPr>
          <w:rFonts w:ascii="Times New Roman"/>
          <w:sz w:val="8"/>
        </w:rPr>
      </w:pPr>
      <w:r>
        <w:rPr/>
        <w:pict>
          <v:group style="position:absolute;margin-left:87.68pt;margin-top:6.93pt;width:462.25pt;height:289.7pt;mso-position-horizontal-relative:page;mso-position-vertical-relative:paragraph;z-index:37408;mso-wrap-distance-left:0;mso-wrap-distance-right:0" coordorigin="1754,139" coordsize="9245,5794">
            <v:shape style="position:absolute;left:1754;top:139;width:4790;height:5794" type="#_x0000_t75" stroked="false">
              <v:imagedata r:id="rId455" o:title=""/>
            </v:shape>
            <v:shape style="position:absolute;left:2063;top:450;width:3862;height:4860" type="#_x0000_t75" stroked="false">
              <v:imagedata r:id="rId456" o:title=""/>
            </v:shape>
            <v:shape style="position:absolute;left:6251;top:139;width:4747;height:5794" type="#_x0000_t75" stroked="false">
              <v:imagedata r:id="rId457" o:title=""/>
            </v:shape>
            <v:shape style="position:absolute;left:6563;top:450;width:3817;height:4860" type="#_x0000_t75" stroked="false">
              <v:imagedata r:id="rId458" o:title=""/>
            </v:shape>
            <w10:wrap type="topAndBottom"/>
          </v:group>
        </w:pict>
      </w:r>
    </w:p>
    <w:p>
      <w:pPr>
        <w:spacing w:after="0"/>
        <w:rPr>
          <w:rFonts w:ascii="Times New Roman"/>
          <w:sz w:val="8"/>
        </w:rPr>
        <w:sectPr>
          <w:pgSz w:w="12240" w:h="15840"/>
          <w:pgMar w:header="730" w:footer="1066" w:top="1320" w:bottom="1260" w:left="1460" w:right="1120"/>
        </w:sectPr>
      </w:pPr>
    </w:p>
    <w:p>
      <w:pPr>
        <w:pStyle w:val="BodyText"/>
        <w:spacing w:before="1"/>
        <w:rPr>
          <w:rFonts w:ascii="Times New Roman"/>
          <w:sz w:val="18"/>
        </w:rPr>
      </w:pPr>
    </w:p>
    <w:p>
      <w:pPr>
        <w:pStyle w:val="ListParagraph"/>
        <w:numPr>
          <w:ilvl w:val="0"/>
          <w:numId w:val="28"/>
        </w:numPr>
        <w:tabs>
          <w:tab w:pos="961" w:val="left" w:leader="none"/>
        </w:tabs>
        <w:spacing w:line="360" w:lineRule="auto" w:before="69" w:after="0"/>
        <w:ind w:left="960" w:right="358" w:hanging="360"/>
        <w:jc w:val="both"/>
        <w:rPr>
          <w:sz w:val="24"/>
        </w:rPr>
      </w:pPr>
      <w:r>
        <w:rPr/>
        <w:pict>
          <v:line style="position:absolute;mso-position-horizontal-relative:page;mso-position-vertical-relative:paragraph;z-index:-1120576" from="78.800003pt,-19.614155pt" to="532.400003pt,-19.614155pt" stroked="true" strokeweight=".479981pt" strokecolor="#000000">
            <w10:wrap type="none"/>
          </v:line>
        </w:pict>
      </w:r>
      <w:r>
        <w:rPr>
          <w:sz w:val="24"/>
        </w:rPr>
        <w:t>Artículo enviado y en proceso de revisión en la Revista INVI en Chile en el Instituto de la Vivienda / Facultad de Arquitectura y Urbanismo de la Universidad de Chile.</w:t>
      </w:r>
    </w:p>
    <w:p>
      <w:pPr>
        <w:spacing w:line="362" w:lineRule="auto" w:before="2"/>
        <w:ind w:left="960" w:right="0" w:firstLine="0"/>
        <w:jc w:val="left"/>
        <w:rPr>
          <w:i/>
          <w:sz w:val="24"/>
        </w:rPr>
      </w:pPr>
      <w:r>
        <w:rPr>
          <w:sz w:val="24"/>
        </w:rPr>
        <w:t>Título del artículo: </w:t>
      </w:r>
      <w:r>
        <w:rPr>
          <w:i/>
          <w:sz w:val="24"/>
        </w:rPr>
        <w:t>“Conjuntos Urbanos en México: una forma antagónica de </w:t>
      </w:r>
      <w:r>
        <w:rPr>
          <w:i/>
          <w:sz w:val="24"/>
        </w:rPr>
        <w:t>producir vivienda sustentable.”</w:t>
      </w:r>
    </w:p>
    <w:p>
      <w:pPr>
        <w:pStyle w:val="BodyText"/>
        <w:spacing w:before="10"/>
        <w:rPr>
          <w:i/>
        </w:rPr>
      </w:pPr>
    </w:p>
    <w:p>
      <w:pPr>
        <w:tabs>
          <w:tab w:pos="5056" w:val="left" w:leader="none"/>
        </w:tabs>
        <w:spacing w:before="75"/>
        <w:ind w:left="1015" w:right="0" w:firstLine="0"/>
        <w:jc w:val="left"/>
        <w:rPr>
          <w:rFonts w:ascii="Times New Roman" w:hAnsi="Times New Roman"/>
          <w:sz w:val="13"/>
        </w:rPr>
      </w:pPr>
      <w:r>
        <w:rPr/>
        <w:pict>
          <v:group style="position:absolute;margin-left:96.559998pt;margin-top:-20.10564pt;width:442.6pt;height:558pt;mso-position-horizontal-relative:page;mso-position-vertical-relative:paragraph;z-index:-1120552" coordorigin="1931,-402" coordsize="8852,11160">
            <v:shape style="position:absolute;left:1931;top:-402;width:8851;height:11160" type="#_x0000_t75" stroked="false">
              <v:imagedata r:id="rId461" o:title=""/>
            </v:shape>
            <v:shape style="position:absolute;left:2941;top:558;width:6522;height:8927" coordorigin="2941,558" coordsize="6522,8927" path="m9463,1656l9439,1656,9439,558,2966,558,2966,1656,2941,1656,2941,9484,9463,9484,9463,1656e" filled="true" fillcolor="#ffffff" stroked="false">
              <v:path arrowok="t"/>
              <v:fill type="solid"/>
            </v:shape>
            <v:line style="position:absolute" from="3035,1495" to="3035,1656" stroked="true" strokeweight=".432pt" strokecolor="#ffffff"/>
            <v:line style="position:absolute" from="3820,1495" to="3820,1656" stroked="true" strokeweight=".432pt" strokecolor="#ffffff"/>
            <v:shape style="position:absolute;left:4606;top:1495;width:786;height:162" coordorigin="4606,1495" coordsize="786,162" path="m4606,1495l4606,1656m5391,1495l5391,1656e" filled="false" stroked="true" strokeweight=".433pt" strokecolor="#ffffff">
              <v:path arrowok="t"/>
            </v:shape>
            <v:line style="position:absolute" from="6176,1495" to="6176,1656" stroked="true" strokeweight=".432pt" strokecolor="#ffffff"/>
            <v:line style="position:absolute" from="7013,1495" to="7013,1656" stroked="true" strokeweight=".432pt" strokecolor="#ffffff"/>
            <v:line style="position:absolute" from="7784,1656" to="7784,8761" stroked="true" strokeweight=".432pt" strokecolor="#005599"/>
            <v:shape style="position:absolute;left:7885;top:5129;width:1554;height:3533" coordorigin="7885,5129" coordsize="1554,3533" path="m8034,5129l7905,5129,7905,5278,8034,5278,8034,5129m8190,5129l8060,5129,8060,5278,8190,5278,8190,5129m8345,5129l8215,5129,8215,5278,8345,5278,8345,5129m9439,8533l7885,8533,7885,8662,9439,8662,9439,8533m9439,8371l7885,8371,7885,8500,9439,8500,9439,8371m9439,8210l7885,8210,7885,8339,9439,8339,9439,8210m9439,8048l7885,8048,7885,8177,9439,8177,9439,8048e" filled="true" fillcolor="#ffffff" stroked="false">
              <v:path arrowok="t"/>
              <v:fill type="solid"/>
            </v:shape>
            <v:shape style="position:absolute;left:7955;top:5757;width:33;height:89" coordorigin="7955,5757" coordsize="33,89" path="m7955,5757l7988,5757m7955,5845l7988,5845e" filled="false" stroked="true" strokeweight="1.614pt" strokecolor="#dec200">
              <v:path arrowok="t"/>
            </v:shape>
            <v:shape style="position:absolute;left:7955;top:5933;width:33;height:89" coordorigin="7955,5933" coordsize="33,89" path="m7955,5933l7988,5933m7955,6022l7988,6022e" filled="false" stroked="true" strokeweight="1.614pt" strokecolor="#dec200">
              <v:path arrowok="t"/>
            </v:shape>
            <v:line style="position:absolute" from="7955,6110" to="7988,6110" stroked="true" strokeweight="1.614pt" strokecolor="#dec200"/>
            <v:shape style="position:absolute;left:7955;top:6198;width:33;height:177" coordorigin="7955,6198" coordsize="33,177" path="m7955,6198l7988,6198m7955,6287l7988,6287m7955,6375l7988,6375e" filled="false" stroked="true" strokeweight="1.614pt" strokecolor="#dec200">
              <v:path arrowok="t"/>
            </v:shape>
            <v:shape style="position:absolute;left:7955;top:6463;width:33;height:89" coordorigin="7955,6463" coordsize="33,89" path="m7955,6463l7988,6463m7955,6551l7988,6551e" filled="false" stroked="true" strokeweight="1.614pt" strokecolor="#dec200">
              <v:path arrowok="t"/>
            </v:shape>
            <v:line style="position:absolute" from="7955,6640" to="7988,6640" stroked="true" strokeweight="1.614pt" strokecolor="#dec200"/>
            <v:shape style="position:absolute;left:7999;top:6978;width:1295;height:969" type="#_x0000_t75" stroked="false">
              <v:imagedata r:id="rId462" o:title=""/>
            </v:shape>
            <v:rect style="position:absolute;left:7853;top:2836;width:1295;height:118" filled="true" fillcolor="#ffffff" stroked="false">
              <v:fill type="solid"/>
            </v:rect>
            <v:line style="position:absolute" from="7955,3367" to="7988,3367" stroked="true" strokeweight="1.614pt" strokecolor="#dec200"/>
            <v:shape style="position:absolute;left:7955;top:3456;width:33;height:89" coordorigin="7955,3456" coordsize="33,89" path="m7955,3456l7988,3456m7955,3544l7988,3544e" filled="false" stroked="true" strokeweight="1.614pt" strokecolor="#dec200">
              <v:path arrowok="t"/>
            </v:shape>
            <v:rect style="position:absolute;left:7859;top:3977;width:1325;height:118" filled="true" fillcolor="#ffffff" stroked="false">
              <v:fill type="solid"/>
            </v:rect>
            <v:line style="position:absolute" from="7859,3981" to="9176,3981" stroked="true" strokeweight=".431pt" strokecolor="#005599"/>
            <v:line style="position:absolute" from="9180,3977" to="9180,4087" stroked="true" strokeweight=".432pt" strokecolor="#005599"/>
            <v:line style="position:absolute" from="7868,4091" to="9184,4091" stroked="true" strokeweight=".431pt" strokecolor="#005599"/>
            <v:line style="position:absolute" from="7864,3986" to="7864,4096" stroked="true" strokeweight=".432pt" strokecolor="#005599"/>
            <v:rect style="position:absolute;left:7859;top:4109;width:1295;height:118" filled="true" fillcolor="#ffffff" stroked="false">
              <v:fill type="solid"/>
            </v:rect>
            <v:line style="position:absolute" from="7859,4113" to="9145,4113" stroked="true" strokeweight=".431pt" strokecolor="#005599"/>
            <v:line style="position:absolute" from="9150,4109" to="9150,4218" stroked="true" strokeweight=".432pt" strokecolor="#005599"/>
            <v:line style="position:absolute" from="7868,4223" to="9154,4223" stroked="true" strokeweight=".431pt" strokecolor="#005599"/>
            <v:line style="position:absolute" from="7864,4117" to="7864,4227" stroked="true" strokeweight=".432pt" strokecolor="#005599"/>
            <v:rect style="position:absolute;left:7859;top:4240;width:1295;height:121" filled="true" fillcolor="#ffffff" stroked="false">
              <v:fill type="solid"/>
            </v:rect>
            <v:line style="position:absolute" from="7859,4244" to="9145,4244" stroked="true" strokeweight=".431pt" strokecolor="#005599"/>
            <v:shape style="position:absolute;left:7868;top:4240;width:1286;height:117" coordorigin="7868,4240" coordsize="1286,117" path="m9150,4240l9150,4352m7868,4356l9154,4356e" filled="false" stroked="true" strokeweight=".432pt" strokecolor="#005599">
              <v:path arrowok="t"/>
            </v:shape>
            <v:line style="position:absolute" from="7864,4249" to="7864,4361" stroked="true" strokeweight=".432pt" strokecolor="#005599"/>
            <v:line style="position:absolute" from="7955,4614" to="7988,4614" stroked="true" strokeweight="1.615pt" strokecolor="#dec200"/>
            <v:line style="position:absolute" from="7955,4702" to="7988,4702" stroked="true" strokeweight="1.614pt" strokecolor="#dec200"/>
            <v:line style="position:absolute" from="7955,4791" to="7988,4791" stroked="true" strokeweight="1.614pt" strokecolor="#dec200"/>
            <v:line style="position:absolute" from="3063,2133" to="7626,2133" stroked="true" strokeweight=".432pt" strokecolor="#005599"/>
            <v:line style="position:absolute" from="3063,2963" to="7626,2963" stroked="true" strokeweight=".431pt" strokecolor="#dddddd"/>
            <v:line style="position:absolute" from="3063,3101" to="7626,3101" stroked="true" strokeweight=".431pt" strokecolor="#005599"/>
            <v:line style="position:absolute" from="3067,3163" to="3067,3261" stroked="true" strokeweight=".432pt" strokecolor="#000000"/>
            <v:line style="position:absolute" from="3063,3773" to="7626,3773" stroked="true" strokeweight=".431pt" strokecolor="#dddddd"/>
            <v:line style="position:absolute" from="3063,3911" to="7626,3911" stroked="true" strokeweight=".431pt" strokecolor="#005599"/>
            <v:rect style="position:absolute;left:3063;top:4853;width:1618;height:752" filled="true" fillcolor="#ffffff" stroked="false">
              <v:fill type="solid"/>
            </v:rect>
            <v:shape style="position:absolute;left:3067;top:2032;width:786;height:162" coordorigin="3067,2032" coordsize="786,162" path="m3067,2032l3067,2193m3852,2032l3852,2193e" filled="false" stroked="true" strokeweight=".432pt" strokecolor="#ffffff">
              <v:path arrowok="t"/>
            </v:shape>
            <v:line style="position:absolute" from="4638,2032" to="4638,2193" stroked="true" strokeweight=".432pt" strokecolor="#ffffff"/>
            <v:shape style="position:absolute;left:6998;top:2200;width:104;height:103" type="#_x0000_t75" stroked="false">
              <v:imagedata r:id="rId463" o:title=""/>
            </v:shape>
            <v:shape style="position:absolute;left:4466;top:2661;width:104;height:103" type="#_x0000_t75" stroked="false">
              <v:imagedata r:id="rId463" o:title=""/>
            </v:shape>
            <v:shape style="position:absolute;left:4425;top:2782;width:104;height:103" type="#_x0000_t75" stroked="false">
              <v:imagedata r:id="rId463" o:title=""/>
            </v:shape>
            <v:shape style="position:absolute;left:3982;top:4035;width:104;height:103" type="#_x0000_t75" stroked="false">
              <v:imagedata r:id="rId463" o:title=""/>
            </v:shape>
            <v:shape style="position:absolute;left:5041;top:4035;width:104;height:103" type="#_x0000_t75" stroked="false">
              <v:imagedata r:id="rId464" o:title=""/>
            </v:shape>
            <v:rect style="position:absolute;left:3982;top:4407;width:1609;height:162" filled="true" fillcolor="#ffffff" stroked="false">
              <v:fill type="solid"/>
            </v:rect>
            <v:line style="position:absolute" from="3982,4412" to="5582,4412" stroked="true" strokeweight=".432pt" strokecolor="#005599"/>
            <v:line style="position:absolute" from="5587,4407" to="5587,4561" stroked="true" strokeweight=".433pt" strokecolor="#005599"/>
            <v:line style="position:absolute" from="3991,4565" to="5591,4565" stroked="true" strokeweight=".431pt" strokecolor="#005599"/>
            <v:shape style="position:absolute;left:3982;top:4412;width:758;height:162" type="#_x0000_t75" stroked="false">
              <v:imagedata r:id="rId465" o:title=""/>
            </v:shape>
            <v:rect style="position:absolute;left:5611;top:4416;width:311;height:129" filled="true" fillcolor="#ffffff" stroked="false">
              <v:fill type="solid"/>
            </v:rect>
            <v:line style="position:absolute" from="5611,4420" to="5914,4420" stroked="true" strokeweight=".431pt" strokecolor="#005599"/>
            <v:line style="position:absolute" from="5918,4416" to="5918,4537" stroked="true" strokeweight=".432pt" strokecolor="#005599"/>
            <v:shape style="position:absolute;left:5615;top:4425;width:308;height:121" coordorigin="5615,4425" coordsize="308,121" path="m5620,4541l5923,4541m5615,4425l5615,4545e" filled="false" stroked="true" strokeweight=".432pt" strokecolor="#005599">
              <v:path arrowok="t"/>
            </v:shape>
            <v:shape style="position:absolute;left:3095;top:623;width:3237;height:646" type="#_x0000_t75" stroked="false">
              <v:imagedata r:id="rId466" o:title=""/>
            </v:shape>
            <v:shape style="position:absolute;left:7788;top:558;width:1619;height:840" coordorigin="7788,558" coordsize="1619,840" path="m9407,558l7788,558,7788,915,7788,1077,7788,1398,9407,1398,9407,1077,9407,915,9407,558e" filled="true" fillcolor="#ffffff" stroked="false">
              <v:path arrowok="t"/>
              <v:fill type="solid"/>
            </v:shape>
            <w10:wrap type="none"/>
          </v:group>
        </w:pict>
      </w:r>
      <w:r>
        <w:rPr>
          <w:rFonts w:ascii="Times New Roman" w:hAnsi="Times New Roman"/>
          <w:sz w:val="13"/>
        </w:rPr>
        <w:t>#1115</w:t>
      </w:r>
      <w:r>
        <w:rPr>
          <w:rFonts w:ascii="Times New Roman" w:hAnsi="Times New Roman"/>
          <w:spacing w:val="-7"/>
          <w:sz w:val="13"/>
        </w:rPr>
        <w:t> </w:t>
      </w:r>
      <w:r>
        <w:rPr>
          <w:rFonts w:ascii="Times New Roman" w:hAnsi="Times New Roman"/>
          <w:sz w:val="13"/>
        </w:rPr>
        <w:t>Revisión</w:t>
        <w:tab/>
      </w:r>
      <w:hyperlink r:id="rId467">
        <w:r>
          <w:rPr>
            <w:rFonts w:ascii="Times New Roman" w:hAnsi="Times New Roman"/>
            <w:sz w:val="13"/>
          </w:rPr>
          <w:t>http://revistainvi.uchile.cl/index.php/INVI/author/submissionRe...</w:t>
        </w:r>
      </w:hyperlink>
    </w:p>
    <w:p>
      <w:pPr>
        <w:pStyle w:val="BodyText"/>
        <w:rPr>
          <w:rFonts w:ascii="Times New Roman"/>
          <w:sz w:val="20"/>
        </w:rPr>
      </w:pPr>
    </w:p>
    <w:p>
      <w:pPr>
        <w:pStyle w:val="BodyText"/>
        <w:rPr>
          <w:rFonts w:ascii="Times New Roman"/>
          <w:sz w:val="6"/>
        </w:rPr>
      </w:pPr>
    </w:p>
    <w:p>
      <w:pPr>
        <w:pStyle w:val="BodyText"/>
        <w:rPr>
          <w:rFonts w:ascii="Times New Roman"/>
          <w:sz w:val="6"/>
        </w:rPr>
      </w:pPr>
    </w:p>
    <w:p>
      <w:pPr>
        <w:pStyle w:val="BodyText"/>
        <w:spacing w:before="1"/>
        <w:rPr>
          <w:rFonts w:ascii="Times New Roman"/>
          <w:sz w:val="8"/>
        </w:rPr>
      </w:pPr>
    </w:p>
    <w:p>
      <w:pPr>
        <w:spacing w:before="0"/>
        <w:ind w:left="0" w:right="2841" w:firstLine="0"/>
        <w:jc w:val="right"/>
        <w:rPr>
          <w:sz w:val="6"/>
        </w:rPr>
      </w:pPr>
      <w:r>
        <w:rPr>
          <w:w w:val="95"/>
          <w:sz w:val="6"/>
        </w:rPr>
        <w:t>INGRESO</w:t>
      </w:r>
    </w:p>
    <w:p>
      <w:pPr>
        <w:pStyle w:val="BodyText"/>
        <w:rPr>
          <w:sz w:val="6"/>
        </w:rPr>
      </w:pPr>
    </w:p>
    <w:p>
      <w:pPr>
        <w:pStyle w:val="BodyText"/>
        <w:rPr>
          <w:sz w:val="6"/>
        </w:rPr>
      </w:pPr>
    </w:p>
    <w:p>
      <w:pPr>
        <w:spacing w:before="37"/>
        <w:ind w:left="0" w:right="1637" w:firstLine="0"/>
        <w:jc w:val="right"/>
        <w:rPr>
          <w:rFonts w:ascii="Verdana" w:hAnsi="Verdana"/>
          <w:sz w:val="6"/>
        </w:rPr>
      </w:pPr>
      <w:r>
        <w:rPr>
          <w:rFonts w:ascii="Verdana" w:hAnsi="Verdana"/>
          <w:sz w:val="6"/>
        </w:rPr>
        <w:t>Área Personal    </w:t>
      </w:r>
      <w:r>
        <w:rPr>
          <w:rFonts w:ascii="Verdana" w:hAnsi="Verdana"/>
          <w:color w:val="005599"/>
          <w:sz w:val="6"/>
        </w:rPr>
        <w:t>Salir    Enviar manuscrito</w:t>
      </w:r>
    </w:p>
    <w:p>
      <w:pPr>
        <w:pStyle w:val="BodyText"/>
        <w:spacing w:before="9"/>
        <w:rPr>
          <w:rFonts w:ascii="Verdana"/>
          <w:sz w:val="14"/>
        </w:rPr>
      </w:pPr>
    </w:p>
    <w:p>
      <w:pPr>
        <w:pStyle w:val="BodyText"/>
        <w:spacing w:before="6"/>
        <w:rPr>
          <w:rFonts w:ascii="Verdana"/>
          <w:sz w:val="7"/>
        </w:rPr>
      </w:pPr>
    </w:p>
    <w:p>
      <w:pPr>
        <w:spacing w:before="0"/>
        <w:ind w:left="1635" w:right="0" w:firstLine="0"/>
        <w:jc w:val="left"/>
        <w:rPr>
          <w:sz w:val="6"/>
        </w:rPr>
      </w:pPr>
      <w:r>
        <w:rPr>
          <w:sz w:val="6"/>
        </w:rPr>
        <w:t>ISSN 0718-8358 INSTITUTO DE LA VIVIENDA / FACULTAD DE ARQUITECTURA Y URBANISMO / UNIVERSIDAD DE CHILE</w:t>
      </w:r>
    </w:p>
    <w:p>
      <w:pPr>
        <w:pStyle w:val="BodyText"/>
        <w:spacing w:before="10"/>
        <w:rPr>
          <w:sz w:val="8"/>
        </w:rPr>
      </w:pPr>
    </w:p>
    <w:p>
      <w:pPr>
        <w:pStyle w:val="BodyText"/>
        <w:spacing w:before="4"/>
        <w:rPr>
          <w:sz w:val="8"/>
        </w:rPr>
      </w:pPr>
    </w:p>
    <w:p>
      <w:pPr>
        <w:tabs>
          <w:tab w:pos="2517" w:val="left" w:leader="none"/>
          <w:tab w:pos="3207" w:val="left" w:leader="none"/>
          <w:tab w:pos="4179" w:val="left" w:leader="none"/>
          <w:tab w:pos="4720" w:val="left" w:leader="none"/>
        </w:tabs>
        <w:spacing w:before="0"/>
        <w:ind w:left="1858" w:right="0" w:firstLine="0"/>
        <w:jc w:val="left"/>
        <w:rPr>
          <w:sz w:val="6"/>
        </w:rPr>
      </w:pPr>
      <w:r>
        <w:rPr>
          <w:spacing w:val="2"/>
          <w:w w:val="110"/>
          <w:sz w:val="6"/>
        </w:rPr>
        <w:t>INICIO</w:t>
        <w:tab/>
        <w:t>ACERCA</w:t>
      </w:r>
      <w:r>
        <w:rPr>
          <w:spacing w:val="4"/>
          <w:w w:val="110"/>
          <w:sz w:val="6"/>
        </w:rPr>
        <w:t> </w:t>
      </w:r>
      <w:r>
        <w:rPr>
          <w:spacing w:val="2"/>
          <w:w w:val="110"/>
          <w:sz w:val="6"/>
        </w:rPr>
        <w:t>DE...</w:t>
        <w:tab/>
        <w:t>COMITÉ</w:t>
      </w:r>
      <w:r>
        <w:rPr>
          <w:spacing w:val="3"/>
          <w:w w:val="110"/>
          <w:sz w:val="6"/>
        </w:rPr>
        <w:t> </w:t>
      </w:r>
      <w:r>
        <w:rPr>
          <w:spacing w:val="2"/>
          <w:w w:val="110"/>
          <w:sz w:val="6"/>
        </w:rPr>
        <w:t>EDITORIAL</w:t>
        <w:tab/>
        <w:t>BUSCAR</w:t>
        <w:tab/>
        <w:t>NÚMEROS ANTERIORES    </w:t>
      </w:r>
      <w:r>
        <w:rPr>
          <w:spacing w:val="3"/>
          <w:w w:val="110"/>
          <w:sz w:val="6"/>
        </w:rPr>
        <w:t> </w:t>
      </w:r>
      <w:r>
        <w:rPr>
          <w:spacing w:val="2"/>
          <w:w w:val="110"/>
          <w:sz w:val="6"/>
        </w:rPr>
        <w:t>INFORMACIONES</w:t>
      </w:r>
    </w:p>
    <w:p>
      <w:pPr>
        <w:spacing w:after="0"/>
        <w:jc w:val="left"/>
        <w:rPr>
          <w:sz w:val="6"/>
        </w:rPr>
        <w:sectPr>
          <w:headerReference w:type="default" r:id="rId459"/>
          <w:footerReference w:type="default" r:id="rId460"/>
          <w:pgSz w:w="12240" w:h="15840"/>
          <w:pgMar w:header="730" w:footer="0" w:top="1320" w:bottom="280" w:left="1460" w:right="1340"/>
        </w:sectPr>
      </w:pPr>
    </w:p>
    <w:p>
      <w:pPr>
        <w:pStyle w:val="BodyText"/>
        <w:rPr>
          <w:sz w:val="6"/>
        </w:rPr>
      </w:pPr>
    </w:p>
    <w:p>
      <w:pPr>
        <w:pStyle w:val="BodyText"/>
        <w:spacing w:before="9"/>
        <w:rPr>
          <w:sz w:val="5"/>
        </w:rPr>
      </w:pPr>
    </w:p>
    <w:p>
      <w:pPr>
        <w:spacing w:before="0"/>
        <w:ind w:left="1602" w:right="0" w:firstLine="0"/>
        <w:jc w:val="left"/>
        <w:rPr>
          <w:b/>
          <w:sz w:val="6"/>
        </w:rPr>
      </w:pPr>
      <w:r>
        <w:rPr>
          <w:color w:val="005599"/>
          <w:w w:val="110"/>
          <w:sz w:val="6"/>
        </w:rPr>
        <w:t>Inicio </w:t>
      </w:r>
      <w:r>
        <w:rPr>
          <w:w w:val="110"/>
          <w:sz w:val="6"/>
        </w:rPr>
        <w:t>&gt; </w:t>
      </w:r>
      <w:r>
        <w:rPr>
          <w:color w:val="005599"/>
          <w:w w:val="110"/>
          <w:sz w:val="6"/>
        </w:rPr>
        <w:t>Usuario </w:t>
      </w:r>
      <w:r>
        <w:rPr>
          <w:w w:val="110"/>
          <w:sz w:val="6"/>
        </w:rPr>
        <w:t>&gt; </w:t>
      </w:r>
      <w:r>
        <w:rPr>
          <w:color w:val="005599"/>
          <w:w w:val="110"/>
          <w:sz w:val="6"/>
        </w:rPr>
        <w:t>Autor </w:t>
      </w:r>
      <w:r>
        <w:rPr>
          <w:w w:val="110"/>
          <w:sz w:val="6"/>
        </w:rPr>
        <w:t>&gt; </w:t>
      </w:r>
      <w:r>
        <w:rPr>
          <w:color w:val="005599"/>
          <w:w w:val="110"/>
          <w:sz w:val="6"/>
        </w:rPr>
        <w:t>Envíos </w:t>
      </w:r>
      <w:r>
        <w:rPr>
          <w:w w:val="110"/>
          <w:sz w:val="6"/>
        </w:rPr>
        <w:t>&gt; </w:t>
      </w:r>
      <w:r>
        <w:rPr>
          <w:color w:val="005599"/>
          <w:w w:val="110"/>
          <w:sz w:val="6"/>
        </w:rPr>
        <w:t>#1115 </w:t>
      </w:r>
      <w:r>
        <w:rPr>
          <w:w w:val="110"/>
          <w:sz w:val="6"/>
        </w:rPr>
        <w:t>&gt; </w:t>
      </w:r>
      <w:r>
        <w:rPr>
          <w:b/>
          <w:color w:val="005599"/>
          <w:w w:val="110"/>
          <w:sz w:val="6"/>
        </w:rPr>
        <w:t>Revisión</w:t>
      </w:r>
    </w:p>
    <w:p>
      <w:pPr>
        <w:pStyle w:val="BodyText"/>
        <w:spacing w:before="4"/>
        <w:rPr>
          <w:b/>
          <w:sz w:val="6"/>
        </w:rPr>
      </w:pPr>
    </w:p>
    <w:p>
      <w:pPr>
        <w:spacing w:before="0"/>
        <w:ind w:left="1602" w:right="0" w:firstLine="0"/>
        <w:jc w:val="left"/>
        <w:rPr>
          <w:b/>
          <w:sz w:val="9"/>
        </w:rPr>
      </w:pPr>
      <w:r>
        <w:rPr>
          <w:b/>
          <w:color w:val="005599"/>
          <w:sz w:val="9"/>
        </w:rPr>
        <w:t>#1 1 15 R EVI SI Ó N</w:t>
      </w:r>
    </w:p>
    <w:p>
      <w:pPr>
        <w:pStyle w:val="BodyText"/>
        <w:spacing w:before="6"/>
        <w:rPr>
          <w:b/>
          <w:sz w:val="7"/>
        </w:rPr>
      </w:pPr>
    </w:p>
    <w:p>
      <w:pPr>
        <w:tabs>
          <w:tab w:pos="2656" w:val="left" w:leader="none"/>
          <w:tab w:pos="3489" w:val="left" w:leader="none"/>
        </w:tabs>
        <w:spacing w:before="0"/>
        <w:ind w:left="1867" w:right="0" w:firstLine="0"/>
        <w:jc w:val="left"/>
        <w:rPr>
          <w:sz w:val="6"/>
        </w:rPr>
      </w:pPr>
      <w:r>
        <w:rPr>
          <w:color w:val="003966"/>
          <w:w w:val="105"/>
          <w:sz w:val="6"/>
        </w:rPr>
        <w:t>Resumen</w:t>
        <w:tab/>
      </w:r>
      <w:r>
        <w:rPr>
          <w:b/>
          <w:color w:val="003966"/>
          <w:w w:val="105"/>
          <w:sz w:val="6"/>
        </w:rPr>
        <w:t>Revisión</w:t>
        <w:tab/>
      </w:r>
      <w:r>
        <w:rPr>
          <w:color w:val="003966"/>
          <w:w w:val="105"/>
          <w:sz w:val="6"/>
        </w:rPr>
        <w:t>Editar</w:t>
      </w:r>
    </w:p>
    <w:p>
      <w:pPr>
        <w:pStyle w:val="BodyText"/>
        <w:spacing w:before="3"/>
        <w:rPr>
          <w:sz w:val="5"/>
        </w:rPr>
      </w:pPr>
    </w:p>
    <w:p>
      <w:pPr>
        <w:tabs>
          <w:tab w:pos="2521" w:val="left" w:leader="none"/>
        </w:tabs>
        <w:spacing w:line="110" w:lineRule="atLeast" w:before="0"/>
        <w:ind w:left="2521" w:right="0" w:hanging="913"/>
        <w:jc w:val="left"/>
        <w:rPr>
          <w:sz w:val="7"/>
        </w:rPr>
      </w:pPr>
      <w:r>
        <w:rPr>
          <w:w w:val="105"/>
          <w:position w:val="2"/>
          <w:sz w:val="7"/>
        </w:rPr>
        <w:t>Autores</w:t>
        <w:tab/>
      </w:r>
      <w:r>
        <w:rPr>
          <w:w w:val="105"/>
          <w:sz w:val="7"/>
        </w:rPr>
        <w:t>Alan</w:t>
      </w:r>
      <w:r>
        <w:rPr>
          <w:spacing w:val="-6"/>
          <w:w w:val="105"/>
          <w:sz w:val="7"/>
        </w:rPr>
        <w:t> </w:t>
      </w:r>
      <w:r>
        <w:rPr>
          <w:w w:val="105"/>
          <w:sz w:val="7"/>
        </w:rPr>
        <w:t>Noe</w:t>
      </w:r>
      <w:r>
        <w:rPr>
          <w:spacing w:val="-6"/>
          <w:w w:val="105"/>
          <w:sz w:val="7"/>
        </w:rPr>
        <w:t> </w:t>
      </w:r>
      <w:r>
        <w:rPr>
          <w:w w:val="105"/>
          <w:sz w:val="7"/>
        </w:rPr>
        <w:t>Jim</w:t>
      </w:r>
      <w:r>
        <w:rPr>
          <w:spacing w:val="-6"/>
          <w:w w:val="105"/>
          <w:sz w:val="7"/>
        </w:rPr>
        <w:t> </w:t>
      </w:r>
      <w:r>
        <w:rPr>
          <w:w w:val="105"/>
          <w:sz w:val="7"/>
        </w:rPr>
        <w:t>Carrillo</w:t>
      </w:r>
      <w:r>
        <w:rPr>
          <w:spacing w:val="-6"/>
          <w:w w:val="105"/>
          <w:sz w:val="7"/>
        </w:rPr>
        <w:t> </w:t>
      </w:r>
      <w:r>
        <w:rPr>
          <w:w w:val="105"/>
          <w:sz w:val="7"/>
        </w:rPr>
        <w:t>Arteaga,</w:t>
      </w:r>
      <w:r>
        <w:rPr>
          <w:spacing w:val="-6"/>
          <w:w w:val="105"/>
          <w:sz w:val="7"/>
        </w:rPr>
        <w:t> </w:t>
      </w:r>
      <w:r>
        <w:rPr>
          <w:w w:val="105"/>
          <w:sz w:val="7"/>
        </w:rPr>
        <w:t>Pedro</w:t>
      </w:r>
      <w:r>
        <w:rPr>
          <w:spacing w:val="-6"/>
          <w:w w:val="105"/>
          <w:sz w:val="7"/>
        </w:rPr>
        <w:t> </w:t>
      </w:r>
      <w:r>
        <w:rPr>
          <w:w w:val="105"/>
          <w:sz w:val="7"/>
        </w:rPr>
        <w:t>Leobardo</w:t>
      </w:r>
      <w:r>
        <w:rPr>
          <w:spacing w:val="-6"/>
          <w:w w:val="105"/>
          <w:sz w:val="7"/>
        </w:rPr>
        <w:t> </w:t>
      </w:r>
      <w:r>
        <w:rPr>
          <w:w w:val="105"/>
          <w:sz w:val="7"/>
        </w:rPr>
        <w:t>Jiménez</w:t>
      </w:r>
      <w:r>
        <w:rPr>
          <w:spacing w:val="-6"/>
          <w:w w:val="105"/>
          <w:sz w:val="7"/>
        </w:rPr>
        <w:t> </w:t>
      </w:r>
      <w:r>
        <w:rPr>
          <w:w w:val="105"/>
          <w:sz w:val="7"/>
        </w:rPr>
        <w:t>Sánchez,</w:t>
      </w:r>
      <w:r>
        <w:rPr>
          <w:spacing w:val="-6"/>
          <w:w w:val="105"/>
          <w:sz w:val="7"/>
        </w:rPr>
        <w:t> </w:t>
      </w:r>
      <w:r>
        <w:rPr>
          <w:w w:val="105"/>
          <w:sz w:val="7"/>
        </w:rPr>
        <w:t>Fermín</w:t>
      </w:r>
      <w:r>
        <w:rPr>
          <w:spacing w:val="-6"/>
          <w:w w:val="105"/>
          <w:sz w:val="7"/>
        </w:rPr>
        <w:t> </w:t>
      </w:r>
      <w:r>
        <w:rPr>
          <w:w w:val="105"/>
          <w:sz w:val="7"/>
        </w:rPr>
        <w:t>Carreño</w:t>
      </w:r>
      <w:r>
        <w:rPr>
          <w:spacing w:val="-6"/>
          <w:w w:val="105"/>
          <w:sz w:val="7"/>
        </w:rPr>
        <w:t> </w:t>
      </w:r>
      <w:r>
        <w:rPr>
          <w:w w:val="105"/>
          <w:sz w:val="7"/>
        </w:rPr>
        <w:t>Meléndez</w:t>
      </w:r>
      <w:r>
        <w:rPr>
          <w:w w:val="103"/>
          <w:sz w:val="7"/>
        </w:rPr>
        <w:t> </w:t>
      </w:r>
      <w:r>
        <w:rPr>
          <w:w w:val="105"/>
          <w:sz w:val="7"/>
        </w:rPr>
        <w:t>CONJUNTOS</w:t>
      </w:r>
      <w:r>
        <w:rPr>
          <w:spacing w:val="-10"/>
          <w:w w:val="105"/>
          <w:sz w:val="7"/>
        </w:rPr>
        <w:t> </w:t>
      </w:r>
      <w:r>
        <w:rPr>
          <w:w w:val="105"/>
          <w:sz w:val="7"/>
        </w:rPr>
        <w:t>URBANOS</w:t>
      </w:r>
      <w:r>
        <w:rPr>
          <w:spacing w:val="-10"/>
          <w:w w:val="105"/>
          <w:sz w:val="7"/>
        </w:rPr>
        <w:t> </w:t>
      </w:r>
      <w:r>
        <w:rPr>
          <w:w w:val="105"/>
          <w:sz w:val="7"/>
        </w:rPr>
        <w:t>EN</w:t>
      </w:r>
      <w:r>
        <w:rPr>
          <w:spacing w:val="-10"/>
          <w:w w:val="105"/>
          <w:sz w:val="7"/>
        </w:rPr>
        <w:t> </w:t>
      </w:r>
      <w:r>
        <w:rPr>
          <w:w w:val="105"/>
          <w:sz w:val="7"/>
        </w:rPr>
        <w:t>MÉXICO:</w:t>
      </w:r>
      <w:r>
        <w:rPr>
          <w:spacing w:val="-10"/>
          <w:w w:val="105"/>
          <w:sz w:val="7"/>
        </w:rPr>
        <w:t> </w:t>
      </w:r>
      <w:r>
        <w:rPr>
          <w:w w:val="105"/>
          <w:sz w:val="7"/>
        </w:rPr>
        <w:t>UNA</w:t>
      </w:r>
      <w:r>
        <w:rPr>
          <w:spacing w:val="-10"/>
          <w:w w:val="105"/>
          <w:sz w:val="7"/>
        </w:rPr>
        <w:t> </w:t>
      </w:r>
      <w:r>
        <w:rPr>
          <w:w w:val="105"/>
          <w:sz w:val="7"/>
        </w:rPr>
        <w:t>FORMA</w:t>
      </w:r>
      <w:r>
        <w:rPr>
          <w:spacing w:val="-10"/>
          <w:w w:val="105"/>
          <w:sz w:val="7"/>
        </w:rPr>
        <w:t> </w:t>
      </w:r>
      <w:r>
        <w:rPr>
          <w:w w:val="105"/>
          <w:sz w:val="7"/>
        </w:rPr>
        <w:t>ANTAGÓNICA</w:t>
      </w:r>
      <w:r>
        <w:rPr>
          <w:spacing w:val="-10"/>
          <w:w w:val="105"/>
          <w:sz w:val="7"/>
        </w:rPr>
        <w:t> </w:t>
      </w:r>
      <w:r>
        <w:rPr>
          <w:w w:val="105"/>
          <w:sz w:val="7"/>
        </w:rPr>
        <w:t>DE</w:t>
      </w:r>
      <w:r>
        <w:rPr>
          <w:spacing w:val="-10"/>
          <w:w w:val="105"/>
          <w:sz w:val="7"/>
        </w:rPr>
        <w:t> </w:t>
      </w:r>
      <w:r>
        <w:rPr>
          <w:w w:val="105"/>
          <w:sz w:val="7"/>
        </w:rPr>
        <w:t>PRODUCIR</w:t>
      </w:r>
      <w:r>
        <w:rPr>
          <w:spacing w:val="-10"/>
          <w:w w:val="105"/>
          <w:sz w:val="7"/>
        </w:rPr>
        <w:t> </w:t>
      </w:r>
      <w:r>
        <w:rPr>
          <w:w w:val="105"/>
          <w:sz w:val="7"/>
        </w:rPr>
        <w:t>VIVIENDA</w:t>
      </w:r>
    </w:p>
    <w:p>
      <w:pPr>
        <w:pStyle w:val="BodyText"/>
        <w:rPr>
          <w:sz w:val="8"/>
        </w:rPr>
      </w:pPr>
      <w:r>
        <w:rPr/>
        <w:br w:type="column"/>
      </w:r>
      <w:r>
        <w:rPr>
          <w:sz w:val="8"/>
        </w:rPr>
      </w:r>
    </w:p>
    <w:p>
      <w:pPr>
        <w:pStyle w:val="BodyText"/>
        <w:rPr>
          <w:sz w:val="8"/>
        </w:rPr>
      </w:pPr>
    </w:p>
    <w:p>
      <w:pPr>
        <w:pStyle w:val="BodyText"/>
        <w:rPr>
          <w:sz w:val="8"/>
        </w:rPr>
      </w:pPr>
    </w:p>
    <w:p>
      <w:pPr>
        <w:pStyle w:val="BodyText"/>
        <w:rPr>
          <w:sz w:val="8"/>
        </w:rPr>
      </w:pPr>
    </w:p>
    <w:p>
      <w:pPr>
        <w:spacing w:before="67"/>
        <w:ind w:left="174" w:right="0" w:firstLine="0"/>
        <w:jc w:val="left"/>
        <w:rPr>
          <w:b/>
          <w:sz w:val="7"/>
        </w:rPr>
      </w:pPr>
      <w:r>
        <w:rPr>
          <w:b/>
          <w:color w:val="005599"/>
          <w:w w:val="110"/>
          <w:sz w:val="7"/>
        </w:rPr>
        <w:t>EN VÍO</w:t>
      </w:r>
      <w:r>
        <w:rPr>
          <w:b/>
          <w:color w:val="005599"/>
          <w:sz w:val="7"/>
        </w:rPr>
        <w:t> </w:t>
      </w:r>
    </w:p>
    <w:p>
      <w:pPr>
        <w:pStyle w:val="BodyText"/>
        <w:rPr>
          <w:b/>
          <w:sz w:val="6"/>
        </w:rPr>
      </w:pPr>
      <w:r>
        <w:rPr/>
        <w:br w:type="column"/>
      </w:r>
      <w:r>
        <w:rPr>
          <w:b/>
          <w:sz w:val="6"/>
        </w:rPr>
      </w:r>
    </w:p>
    <w:p>
      <w:pPr>
        <w:pStyle w:val="BodyText"/>
        <w:rPr>
          <w:b/>
          <w:sz w:val="5"/>
        </w:rPr>
      </w:pPr>
    </w:p>
    <w:p>
      <w:pPr>
        <w:spacing w:before="1"/>
        <w:ind w:left="186" w:right="0" w:firstLine="0"/>
        <w:jc w:val="left"/>
        <w:rPr>
          <w:b/>
          <w:sz w:val="6"/>
        </w:rPr>
      </w:pPr>
      <w:r>
        <w:rPr>
          <w:b/>
          <w:color w:val="005599"/>
          <w:w w:val="110"/>
          <w:sz w:val="6"/>
        </w:rPr>
        <w:t>ART Í CUL O S  E N  P RE NS A</w:t>
      </w:r>
    </w:p>
    <w:p>
      <w:pPr>
        <w:pStyle w:val="BodyText"/>
        <w:spacing w:before="3"/>
        <w:rPr>
          <w:b/>
          <w:sz w:val="7"/>
        </w:rPr>
      </w:pPr>
    </w:p>
    <w:p>
      <w:pPr>
        <w:spacing w:before="0"/>
        <w:ind w:left="186" w:right="0" w:firstLine="0"/>
        <w:jc w:val="left"/>
        <w:rPr>
          <w:sz w:val="6"/>
        </w:rPr>
      </w:pPr>
      <w:r>
        <w:rPr>
          <w:w w:val="110"/>
          <w:sz w:val="6"/>
        </w:rPr>
        <w:t>» </w:t>
      </w:r>
      <w:r>
        <w:rPr>
          <w:color w:val="005599"/>
          <w:w w:val="110"/>
          <w:sz w:val="6"/>
        </w:rPr>
        <w:t>Configuración del riesgo socio natural  ...</w:t>
      </w:r>
    </w:p>
    <w:p>
      <w:pPr>
        <w:spacing w:before="19"/>
        <w:ind w:left="186" w:right="0" w:firstLine="0"/>
        <w:jc w:val="left"/>
        <w:rPr>
          <w:sz w:val="6"/>
        </w:rPr>
      </w:pPr>
      <w:r>
        <w:rPr>
          <w:w w:val="110"/>
          <w:sz w:val="6"/>
        </w:rPr>
        <w:t>» </w:t>
      </w:r>
      <w:r>
        <w:rPr>
          <w:color w:val="005599"/>
          <w:w w:val="110"/>
          <w:sz w:val="6"/>
        </w:rPr>
        <w:t>Oportunidad para el desarrollo de  terren...</w:t>
      </w:r>
    </w:p>
    <w:p>
      <w:pPr>
        <w:spacing w:before="19"/>
        <w:ind w:left="186" w:right="0" w:firstLine="0"/>
        <w:jc w:val="left"/>
        <w:rPr>
          <w:sz w:val="6"/>
        </w:rPr>
      </w:pPr>
      <w:r>
        <w:rPr>
          <w:w w:val="110"/>
          <w:sz w:val="6"/>
        </w:rPr>
        <w:t>» </w:t>
      </w:r>
      <w:r>
        <w:rPr>
          <w:color w:val="005599"/>
          <w:w w:val="110"/>
          <w:sz w:val="6"/>
        </w:rPr>
        <w:t>El turismo gentrificador en ciudades  pat...</w:t>
      </w:r>
    </w:p>
    <w:p>
      <w:pPr>
        <w:spacing w:before="19"/>
        <w:ind w:left="186" w:right="0" w:firstLine="0"/>
        <w:jc w:val="left"/>
        <w:rPr>
          <w:sz w:val="6"/>
        </w:rPr>
      </w:pPr>
      <w:r>
        <w:rPr>
          <w:w w:val="110"/>
          <w:sz w:val="6"/>
        </w:rPr>
        <w:t>» </w:t>
      </w:r>
      <w:r>
        <w:rPr>
          <w:color w:val="005599"/>
          <w:w w:val="110"/>
          <w:sz w:val="6"/>
        </w:rPr>
        <w:t>Acceso a la vivienda en tiempos  neoliber...</w:t>
      </w:r>
    </w:p>
    <w:p>
      <w:pPr>
        <w:spacing w:before="19"/>
        <w:ind w:left="186" w:right="0" w:firstLine="0"/>
        <w:jc w:val="left"/>
        <w:rPr>
          <w:sz w:val="6"/>
        </w:rPr>
      </w:pPr>
      <w:r>
        <w:rPr>
          <w:w w:val="110"/>
          <w:sz w:val="6"/>
        </w:rPr>
        <w:t>» </w:t>
      </w:r>
      <w:r>
        <w:rPr>
          <w:color w:val="005599"/>
          <w:w w:val="110"/>
          <w:sz w:val="6"/>
        </w:rPr>
        <w:t>Políticas y geografías del  desplazamie...</w:t>
      </w:r>
    </w:p>
    <w:p>
      <w:pPr>
        <w:spacing w:before="19"/>
        <w:ind w:left="186" w:right="0" w:firstLine="0"/>
        <w:jc w:val="left"/>
        <w:rPr>
          <w:sz w:val="6"/>
        </w:rPr>
      </w:pPr>
      <w:r>
        <w:rPr>
          <w:w w:val="110"/>
          <w:sz w:val="6"/>
        </w:rPr>
        <w:t>» </w:t>
      </w:r>
      <w:r>
        <w:rPr>
          <w:color w:val="005599"/>
          <w:w w:val="110"/>
          <w:sz w:val="6"/>
        </w:rPr>
        <w:t>Entre la movilidad social y el  desplazam...</w:t>
      </w:r>
    </w:p>
    <w:p>
      <w:pPr>
        <w:spacing w:after="0"/>
        <w:jc w:val="left"/>
        <w:rPr>
          <w:sz w:val="6"/>
        </w:rPr>
        <w:sectPr>
          <w:type w:val="continuous"/>
          <w:pgSz w:w="12240" w:h="15840"/>
          <w:pgMar w:top="1500" w:bottom="280" w:left="1460" w:right="1340"/>
          <w:cols w:num="3" w:equalWidth="0">
            <w:col w:w="5633" w:space="40"/>
            <w:col w:w="494" w:space="40"/>
            <w:col w:w="3233"/>
          </w:cols>
        </w:sectPr>
      </w:pPr>
    </w:p>
    <w:p>
      <w:pPr>
        <w:spacing w:line="44" w:lineRule="exact" w:before="0"/>
        <w:ind w:left="0" w:right="0" w:firstLine="0"/>
        <w:jc w:val="right"/>
        <w:rPr>
          <w:sz w:val="7"/>
        </w:rPr>
      </w:pPr>
      <w:r>
        <w:rPr>
          <w:w w:val="105"/>
          <w:sz w:val="7"/>
        </w:rPr>
        <w:t>Título</w:t>
      </w:r>
    </w:p>
    <w:p>
      <w:pPr>
        <w:spacing w:before="8"/>
        <w:ind w:left="691" w:right="-7" w:firstLine="0"/>
        <w:jc w:val="left"/>
        <w:rPr>
          <w:sz w:val="7"/>
        </w:rPr>
      </w:pPr>
      <w:r>
        <w:rPr/>
        <w:br w:type="column"/>
      </w:r>
      <w:r>
        <w:rPr>
          <w:sz w:val="7"/>
        </w:rPr>
        <w:t>SUSTENTABLE.</w:t>
      </w:r>
    </w:p>
    <w:p>
      <w:pPr>
        <w:spacing w:line="58" w:lineRule="exact" w:before="0"/>
        <w:ind w:left="1446" w:right="1699" w:firstLine="0"/>
        <w:jc w:val="center"/>
        <w:rPr>
          <w:sz w:val="6"/>
        </w:rPr>
      </w:pPr>
      <w:r>
        <w:rPr/>
        <w:br w:type="column"/>
      </w:r>
      <w:r>
        <w:rPr>
          <w:w w:val="110"/>
          <w:sz w:val="6"/>
        </w:rPr>
        <w:t>» </w:t>
      </w:r>
      <w:r>
        <w:rPr>
          <w:color w:val="005599"/>
          <w:w w:val="110"/>
          <w:sz w:val="6"/>
        </w:rPr>
        <w:t>Gentrificación – desplazamiento – d...</w:t>
      </w:r>
    </w:p>
    <w:p>
      <w:pPr>
        <w:spacing w:line="51" w:lineRule="exact" w:before="19"/>
        <w:ind w:left="1592" w:right="1699" w:firstLine="0"/>
        <w:jc w:val="center"/>
        <w:rPr>
          <w:sz w:val="6"/>
        </w:rPr>
      </w:pPr>
      <w:r>
        <w:rPr>
          <w:w w:val="110"/>
          <w:sz w:val="6"/>
        </w:rPr>
        <w:t>» </w:t>
      </w:r>
      <w:r>
        <w:rPr>
          <w:color w:val="005599"/>
          <w:w w:val="110"/>
          <w:sz w:val="6"/>
        </w:rPr>
        <w:t>Ciudad de México, quince años de  desar...</w:t>
      </w:r>
    </w:p>
    <w:p>
      <w:pPr>
        <w:spacing w:after="0" w:line="51" w:lineRule="exact"/>
        <w:jc w:val="center"/>
        <w:rPr>
          <w:sz w:val="6"/>
        </w:rPr>
        <w:sectPr>
          <w:type w:val="continuous"/>
          <w:pgSz w:w="12240" w:h="15840"/>
          <w:pgMar w:top="1500" w:bottom="280" w:left="1460" w:right="1340"/>
          <w:cols w:num="3" w:equalWidth="0">
            <w:col w:w="1791" w:space="40"/>
            <w:col w:w="1230" w:space="1723"/>
            <w:col w:w="4656"/>
          </w:cols>
        </w:sectPr>
      </w:pPr>
    </w:p>
    <w:p>
      <w:pPr>
        <w:tabs>
          <w:tab w:pos="2521" w:val="left" w:leader="none"/>
        </w:tabs>
        <w:spacing w:line="73" w:lineRule="exact" w:before="0"/>
        <w:ind w:left="1609" w:right="0" w:firstLine="0"/>
        <w:jc w:val="left"/>
        <w:rPr>
          <w:sz w:val="7"/>
        </w:rPr>
      </w:pPr>
      <w:r>
        <w:rPr>
          <w:w w:val="105"/>
          <w:sz w:val="7"/>
        </w:rPr>
        <w:t>Sección</w:t>
        <w:tab/>
        <w:t>Artículos</w:t>
      </w:r>
    </w:p>
    <w:p>
      <w:pPr>
        <w:spacing w:after="0" w:line="73" w:lineRule="exact"/>
        <w:jc w:val="left"/>
        <w:rPr>
          <w:sz w:val="7"/>
        </w:rPr>
        <w:sectPr>
          <w:type w:val="continuous"/>
          <w:pgSz w:w="12240" w:h="15840"/>
          <w:pgMar w:top="1500" w:bottom="280" w:left="1460" w:right="1340"/>
        </w:sectPr>
      </w:pPr>
    </w:p>
    <w:p>
      <w:pPr>
        <w:tabs>
          <w:tab w:pos="912" w:val="left" w:leader="none"/>
        </w:tabs>
        <w:spacing w:before="66"/>
        <w:ind w:left="0" w:right="0" w:firstLine="0"/>
        <w:jc w:val="right"/>
        <w:rPr>
          <w:sz w:val="7"/>
        </w:rPr>
      </w:pPr>
      <w:r>
        <w:rPr>
          <w:w w:val="105"/>
          <w:position w:val="-3"/>
          <w:sz w:val="7"/>
        </w:rPr>
        <w:t>Editor</w:t>
        <w:tab/>
      </w:r>
      <w:r>
        <w:rPr>
          <w:w w:val="105"/>
          <w:sz w:val="7"/>
        </w:rPr>
        <w:t>Sandra</w:t>
      </w:r>
      <w:r>
        <w:rPr>
          <w:spacing w:val="-11"/>
          <w:w w:val="105"/>
          <w:sz w:val="7"/>
        </w:rPr>
        <w:t> </w:t>
      </w:r>
      <w:r>
        <w:rPr>
          <w:w w:val="105"/>
          <w:sz w:val="7"/>
        </w:rPr>
        <w:t>Rivera</w:t>
      </w:r>
    </w:p>
    <w:p>
      <w:pPr>
        <w:spacing w:before="1"/>
        <w:ind w:left="0" w:right="38" w:firstLine="0"/>
        <w:jc w:val="right"/>
        <w:rPr>
          <w:sz w:val="7"/>
        </w:rPr>
      </w:pPr>
      <w:r>
        <w:rPr>
          <w:w w:val="105"/>
          <w:sz w:val="7"/>
        </w:rPr>
        <w:t>Luis Campos</w:t>
      </w:r>
    </w:p>
    <w:p>
      <w:pPr>
        <w:pStyle w:val="BodyText"/>
        <w:spacing w:before="7"/>
        <w:rPr>
          <w:sz w:val="5"/>
        </w:rPr>
      </w:pPr>
      <w:r>
        <w:rPr/>
        <w:br w:type="column"/>
      </w:r>
      <w:r>
        <w:rPr>
          <w:sz w:val="5"/>
        </w:rPr>
      </w:r>
    </w:p>
    <w:p>
      <w:pPr>
        <w:spacing w:before="0"/>
        <w:ind w:left="574" w:right="1699" w:firstLine="0"/>
        <w:jc w:val="center"/>
        <w:rPr>
          <w:b/>
          <w:sz w:val="6"/>
        </w:rPr>
      </w:pPr>
      <w:r>
        <w:rPr/>
        <w:pict>
          <v:shape style="position:absolute;margin-left:392.86499pt;margin-top:7.174453pt;width:64.3pt;height:5.5pt;mso-position-horizontal-relative:page;mso-position-vertical-relative:paragraph;z-index:37504" type="#_x0000_t202" filled="false" stroked="true" strokeweight=".432pt" strokecolor="#005599">
            <v:textbox inset="0,0,0,0">
              <w:txbxContent>
                <w:p>
                  <w:pPr>
                    <w:spacing w:before="20"/>
                    <w:ind w:left="25" w:right="0" w:firstLine="0"/>
                    <w:jc w:val="left"/>
                    <w:rPr>
                      <w:sz w:val="6"/>
                    </w:rPr>
                  </w:pPr>
                  <w:r>
                    <w:rPr>
                      <w:color w:val="005599"/>
                      <w:w w:val="110"/>
                      <w:sz w:val="6"/>
                    </w:rPr>
                    <w:t>Español</w:t>
                  </w:r>
                </w:p>
              </w:txbxContent>
            </v:textbox>
            <w10:wrap type="none"/>
          </v:shape>
        </w:pict>
      </w:r>
      <w:r>
        <w:rPr>
          <w:b/>
          <w:color w:val="005599"/>
          <w:w w:val="110"/>
          <w:sz w:val="6"/>
        </w:rPr>
        <w:t>ID IOM A</w:t>
      </w:r>
    </w:p>
    <w:p>
      <w:pPr>
        <w:spacing w:after="0"/>
        <w:jc w:val="center"/>
        <w:rPr>
          <w:sz w:val="6"/>
        </w:rPr>
        <w:sectPr>
          <w:type w:val="continuous"/>
          <w:pgSz w:w="12240" w:h="15840"/>
          <w:pgMar w:top="1500" w:bottom="280" w:left="1460" w:right="1340"/>
          <w:cols w:num="2" w:equalWidth="0">
            <w:col w:w="2986" w:space="1798"/>
            <w:col w:w="4656"/>
          </w:cols>
        </w:sectPr>
      </w:pPr>
    </w:p>
    <w:p>
      <w:pPr>
        <w:pStyle w:val="BodyText"/>
        <w:rPr>
          <w:b/>
          <w:sz w:val="8"/>
        </w:rPr>
      </w:pPr>
    </w:p>
    <w:p>
      <w:pPr>
        <w:pStyle w:val="BodyText"/>
        <w:rPr>
          <w:b/>
          <w:sz w:val="8"/>
        </w:rPr>
      </w:pPr>
    </w:p>
    <w:p>
      <w:pPr>
        <w:pStyle w:val="BodyText"/>
        <w:rPr>
          <w:b/>
          <w:sz w:val="8"/>
        </w:rPr>
      </w:pPr>
    </w:p>
    <w:p>
      <w:pPr>
        <w:spacing w:before="0"/>
        <w:ind w:left="106" w:right="906" w:firstLine="0"/>
        <w:jc w:val="center"/>
        <w:rPr>
          <w:b/>
          <w:sz w:val="7"/>
        </w:rPr>
      </w:pPr>
      <w:r>
        <w:rPr>
          <w:b/>
          <w:w w:val="110"/>
          <w:sz w:val="7"/>
        </w:rPr>
        <w:t>Ronda 1</w:t>
      </w:r>
    </w:p>
    <w:p>
      <w:pPr>
        <w:tabs>
          <w:tab w:pos="2521" w:val="left" w:leader="none"/>
        </w:tabs>
        <w:spacing w:before="34"/>
        <w:ind w:left="1609" w:right="189" w:firstLine="0"/>
        <w:jc w:val="left"/>
        <w:rPr>
          <w:sz w:val="7"/>
        </w:rPr>
      </w:pPr>
      <w:r>
        <w:rPr>
          <w:w w:val="105"/>
          <w:sz w:val="7"/>
        </w:rPr>
        <w:t>Versión</w:t>
      </w:r>
      <w:r>
        <w:rPr>
          <w:spacing w:val="-5"/>
          <w:w w:val="105"/>
          <w:sz w:val="7"/>
        </w:rPr>
        <w:t> </w:t>
      </w:r>
      <w:r>
        <w:rPr>
          <w:w w:val="105"/>
          <w:sz w:val="7"/>
        </w:rPr>
        <w:t>de</w:t>
      </w:r>
      <w:r>
        <w:rPr>
          <w:spacing w:val="-5"/>
          <w:w w:val="105"/>
          <w:sz w:val="7"/>
        </w:rPr>
        <w:t> </w:t>
      </w:r>
      <w:r>
        <w:rPr>
          <w:w w:val="105"/>
          <w:sz w:val="7"/>
        </w:rPr>
        <w:t>revisión</w:t>
        <w:tab/>
      </w:r>
      <w:r>
        <w:rPr>
          <w:color w:val="005599"/>
          <w:sz w:val="6"/>
        </w:rPr>
        <w:t>1115-9844-2-RV.pdf </w:t>
      </w:r>
      <w:r>
        <w:rPr>
          <w:color w:val="005599"/>
          <w:spacing w:val="13"/>
          <w:sz w:val="6"/>
        </w:rPr>
        <w:t> </w:t>
      </w:r>
      <w:r>
        <w:rPr>
          <w:sz w:val="7"/>
        </w:rPr>
        <w:t>2016-08-26</w:t>
      </w:r>
    </w:p>
    <w:p>
      <w:pPr>
        <w:tabs>
          <w:tab w:pos="1389" w:val="right" w:leader="none"/>
        </w:tabs>
        <w:spacing w:before="32"/>
        <w:ind w:left="106" w:right="0" w:firstLine="0"/>
        <w:jc w:val="center"/>
        <w:rPr>
          <w:sz w:val="7"/>
        </w:rPr>
      </w:pPr>
      <w:r>
        <w:rPr>
          <w:w w:val="105"/>
          <w:sz w:val="7"/>
        </w:rPr>
        <w:t>Iniciado</w:t>
        <w:tab/>
        <w:t>2016-08-26</w:t>
      </w:r>
    </w:p>
    <w:p>
      <w:pPr>
        <w:tabs>
          <w:tab w:pos="1389" w:val="right" w:leader="none"/>
        </w:tabs>
        <w:spacing w:before="32"/>
        <w:ind w:left="106" w:right="0" w:firstLine="0"/>
        <w:jc w:val="center"/>
        <w:rPr>
          <w:sz w:val="7"/>
        </w:rPr>
      </w:pPr>
      <w:r>
        <w:rPr>
          <w:w w:val="105"/>
          <w:sz w:val="7"/>
        </w:rPr>
        <w:t>Última</w:t>
      </w:r>
      <w:r>
        <w:rPr>
          <w:spacing w:val="-3"/>
          <w:w w:val="105"/>
          <w:sz w:val="7"/>
        </w:rPr>
        <w:t> </w:t>
      </w:r>
      <w:r>
        <w:rPr>
          <w:w w:val="105"/>
          <w:sz w:val="7"/>
        </w:rPr>
        <w:t>modificación</w:t>
        <w:tab/>
        <w:t>2016-08-26</w:t>
      </w:r>
    </w:p>
    <w:p>
      <w:pPr>
        <w:tabs>
          <w:tab w:pos="917" w:val="left" w:leader="none"/>
        </w:tabs>
        <w:spacing w:before="32"/>
        <w:ind w:left="5" w:right="0" w:firstLine="0"/>
        <w:jc w:val="center"/>
        <w:rPr>
          <w:sz w:val="7"/>
        </w:rPr>
      </w:pPr>
      <w:r>
        <w:rPr>
          <w:w w:val="105"/>
          <w:sz w:val="7"/>
        </w:rPr>
        <w:t>Archivo</w:t>
      </w:r>
      <w:r>
        <w:rPr>
          <w:spacing w:val="-4"/>
          <w:w w:val="105"/>
          <w:sz w:val="7"/>
        </w:rPr>
        <w:t> </w:t>
      </w:r>
      <w:r>
        <w:rPr>
          <w:w w:val="105"/>
          <w:sz w:val="7"/>
        </w:rPr>
        <w:t>subido</w:t>
        <w:tab/>
        <w:t>Ninguno</w:t>
      </w:r>
    </w:p>
    <w:p>
      <w:pPr>
        <w:pStyle w:val="BodyText"/>
        <w:rPr>
          <w:sz w:val="6"/>
        </w:rPr>
      </w:pPr>
    </w:p>
    <w:p>
      <w:pPr>
        <w:pStyle w:val="BodyText"/>
        <w:rPr>
          <w:sz w:val="6"/>
        </w:rPr>
      </w:pPr>
    </w:p>
    <w:p>
      <w:pPr>
        <w:pStyle w:val="BodyText"/>
        <w:spacing w:before="8"/>
        <w:rPr>
          <w:sz w:val="6"/>
        </w:rPr>
      </w:pPr>
    </w:p>
    <w:p>
      <w:pPr>
        <w:tabs>
          <w:tab w:pos="912" w:val="left" w:leader="none"/>
        </w:tabs>
        <w:spacing w:before="0"/>
        <w:ind w:left="0" w:right="190" w:firstLine="0"/>
        <w:jc w:val="center"/>
        <w:rPr>
          <w:sz w:val="7"/>
        </w:rPr>
      </w:pPr>
      <w:r>
        <w:rPr>
          <w:w w:val="105"/>
          <w:sz w:val="7"/>
        </w:rPr>
        <w:t>Decisión</w:t>
        <w:tab/>
        <w:t>—</w:t>
      </w:r>
    </w:p>
    <w:p>
      <w:pPr>
        <w:tabs>
          <w:tab w:pos="2521" w:val="left" w:leader="none"/>
          <w:tab w:pos="2746" w:val="left" w:leader="none"/>
        </w:tabs>
        <w:spacing w:line="336" w:lineRule="auto" w:before="36"/>
        <w:ind w:left="1609" w:right="189" w:firstLine="0"/>
        <w:jc w:val="left"/>
        <w:rPr>
          <w:sz w:val="7"/>
        </w:rPr>
      </w:pPr>
      <w:r>
        <w:rPr>
          <w:w w:val="105"/>
          <w:position w:val="3"/>
          <w:sz w:val="7"/>
        </w:rPr>
        <w:t>Notificar</w:t>
      </w:r>
      <w:r>
        <w:rPr>
          <w:spacing w:val="-4"/>
          <w:w w:val="105"/>
          <w:position w:val="3"/>
          <w:sz w:val="7"/>
        </w:rPr>
        <w:t> </w:t>
      </w:r>
      <w:r>
        <w:rPr>
          <w:w w:val="105"/>
          <w:position w:val="3"/>
          <w:sz w:val="7"/>
        </w:rPr>
        <w:t>a</w:t>
      </w:r>
      <w:r>
        <w:rPr>
          <w:spacing w:val="-4"/>
          <w:w w:val="105"/>
          <w:position w:val="3"/>
          <w:sz w:val="7"/>
        </w:rPr>
        <w:t> </w:t>
      </w:r>
      <w:r>
        <w:rPr>
          <w:w w:val="105"/>
          <w:position w:val="3"/>
          <w:sz w:val="7"/>
        </w:rPr>
        <w:t>editor</w:t>
        <w:tab/>
        <w:tab/>
      </w:r>
      <w:r>
        <w:rPr>
          <w:w w:val="105"/>
          <w:sz w:val="7"/>
        </w:rPr>
        <w:t>Editar el registro de autor   </w:t>
      </w:r>
      <w:r>
        <w:rPr>
          <w:spacing w:val="17"/>
          <w:w w:val="105"/>
          <w:sz w:val="7"/>
        </w:rPr>
        <w:t> </w:t>
      </w:r>
      <w:r>
        <w:rPr>
          <w:w w:val="105"/>
          <w:sz w:val="7"/>
        </w:rPr>
        <w:t>Sin</w:t>
      </w:r>
      <w:r>
        <w:rPr>
          <w:spacing w:val="-3"/>
          <w:w w:val="105"/>
          <w:sz w:val="7"/>
        </w:rPr>
        <w:t> </w:t>
      </w:r>
      <w:r>
        <w:rPr>
          <w:w w:val="105"/>
          <w:sz w:val="7"/>
        </w:rPr>
        <w:t>comentarios</w:t>
      </w:r>
      <w:r>
        <w:rPr>
          <w:w w:val="103"/>
          <w:sz w:val="7"/>
        </w:rPr>
        <w:t> </w:t>
      </w:r>
      <w:r>
        <w:rPr>
          <w:w w:val="105"/>
          <w:sz w:val="7"/>
        </w:rPr>
        <w:t>Versión</w:t>
      </w:r>
      <w:r>
        <w:rPr>
          <w:spacing w:val="-5"/>
          <w:w w:val="105"/>
          <w:sz w:val="7"/>
        </w:rPr>
        <w:t> </w:t>
      </w:r>
      <w:r>
        <w:rPr>
          <w:w w:val="105"/>
          <w:sz w:val="7"/>
        </w:rPr>
        <w:t>del</w:t>
      </w:r>
      <w:r>
        <w:rPr>
          <w:spacing w:val="-5"/>
          <w:w w:val="105"/>
          <w:sz w:val="7"/>
        </w:rPr>
        <w:t> </w:t>
      </w:r>
      <w:r>
        <w:rPr>
          <w:w w:val="105"/>
          <w:sz w:val="7"/>
        </w:rPr>
        <w:t>editor</w:t>
        <w:tab/>
      </w:r>
      <w:r>
        <w:rPr>
          <w:color w:val="005599"/>
          <w:sz w:val="6"/>
        </w:rPr>
        <w:t>1115-10369-1-ED.pdf  </w:t>
      </w:r>
      <w:r>
        <w:rPr>
          <w:color w:val="005599"/>
          <w:spacing w:val="4"/>
          <w:sz w:val="6"/>
        </w:rPr>
        <w:t> </w:t>
      </w:r>
      <w:r>
        <w:rPr>
          <w:sz w:val="7"/>
        </w:rPr>
        <w:t>2016-08-26</w:t>
      </w:r>
    </w:p>
    <w:p>
      <w:pPr>
        <w:tabs>
          <w:tab w:pos="917" w:val="left" w:leader="none"/>
        </w:tabs>
        <w:spacing w:before="1"/>
        <w:ind w:left="5" w:right="0" w:firstLine="0"/>
        <w:jc w:val="center"/>
        <w:rPr>
          <w:sz w:val="7"/>
        </w:rPr>
      </w:pPr>
      <w:r>
        <w:rPr>
          <w:w w:val="105"/>
          <w:sz w:val="7"/>
        </w:rPr>
        <w:t>Versión</w:t>
      </w:r>
      <w:r>
        <w:rPr>
          <w:spacing w:val="-4"/>
          <w:w w:val="105"/>
          <w:sz w:val="7"/>
        </w:rPr>
        <w:t> </w:t>
      </w:r>
      <w:r>
        <w:rPr>
          <w:w w:val="105"/>
          <w:sz w:val="7"/>
        </w:rPr>
        <w:t>del</w:t>
      </w:r>
      <w:r>
        <w:rPr>
          <w:spacing w:val="-4"/>
          <w:w w:val="105"/>
          <w:sz w:val="7"/>
        </w:rPr>
        <w:t> </w:t>
      </w:r>
      <w:r>
        <w:rPr>
          <w:w w:val="105"/>
          <w:sz w:val="7"/>
        </w:rPr>
        <w:t>autor</w:t>
        <w:tab/>
        <w:t>Ninguno</w:t>
      </w:r>
    </w:p>
    <w:p>
      <w:pPr>
        <w:tabs>
          <w:tab w:pos="2651" w:val="left" w:leader="none"/>
        </w:tabs>
        <w:spacing w:before="36"/>
        <w:ind w:left="1609" w:right="0" w:firstLine="0"/>
        <w:jc w:val="left"/>
        <w:rPr>
          <w:sz w:val="7"/>
        </w:rPr>
      </w:pPr>
      <w:r>
        <w:rPr>
          <w:w w:val="105"/>
          <w:position w:val="3"/>
          <w:sz w:val="7"/>
        </w:rPr>
        <w:t>Subir versión</w:t>
      </w:r>
      <w:r>
        <w:rPr>
          <w:spacing w:val="-7"/>
          <w:w w:val="105"/>
          <w:position w:val="3"/>
          <w:sz w:val="7"/>
        </w:rPr>
        <w:t> </w:t>
      </w:r>
      <w:r>
        <w:rPr>
          <w:w w:val="105"/>
          <w:position w:val="3"/>
          <w:sz w:val="7"/>
        </w:rPr>
        <w:t>del</w:t>
      </w:r>
      <w:r>
        <w:rPr>
          <w:spacing w:val="-4"/>
          <w:w w:val="105"/>
          <w:position w:val="3"/>
          <w:sz w:val="7"/>
        </w:rPr>
        <w:t> </w:t>
      </w:r>
      <w:r>
        <w:rPr>
          <w:w w:val="105"/>
          <w:position w:val="3"/>
          <w:sz w:val="7"/>
        </w:rPr>
        <w:t>autor</w:t>
        <w:tab/>
      </w:r>
      <w:r>
        <w:rPr>
          <w:w w:val="105"/>
          <w:sz w:val="7"/>
        </w:rPr>
        <w:t>Examinar…       </w:t>
      </w:r>
      <w:r>
        <w:rPr>
          <w:color w:val="005599"/>
          <w:w w:val="105"/>
          <w:sz w:val="7"/>
        </w:rPr>
        <w:t>Ningún archivo seleccionado.  </w:t>
      </w:r>
      <w:r>
        <w:rPr>
          <w:color w:val="005599"/>
          <w:spacing w:val="13"/>
          <w:w w:val="105"/>
          <w:sz w:val="7"/>
        </w:rPr>
        <w:t> </w:t>
      </w:r>
      <w:r>
        <w:rPr>
          <w:w w:val="105"/>
          <w:sz w:val="7"/>
        </w:rPr>
        <w:t>Subir</w:t>
      </w:r>
    </w:p>
    <w:p>
      <w:pPr>
        <w:pStyle w:val="BodyText"/>
        <w:rPr>
          <w:sz w:val="10"/>
        </w:rPr>
      </w:pPr>
    </w:p>
    <w:p>
      <w:pPr>
        <w:pStyle w:val="BodyText"/>
        <w:spacing w:before="1"/>
        <w:rPr>
          <w:sz w:val="11"/>
        </w:rPr>
      </w:pPr>
    </w:p>
    <w:p>
      <w:pPr>
        <w:spacing w:before="1"/>
        <w:ind w:left="106" w:right="738" w:firstLine="0"/>
        <w:jc w:val="center"/>
        <w:rPr>
          <w:sz w:val="7"/>
        </w:rPr>
      </w:pPr>
      <w:r>
        <w:rPr>
          <w:w w:val="105"/>
          <w:sz w:val="7"/>
        </w:rPr>
        <w:t>ISSN: 0718-8358</w:t>
      </w:r>
    </w:p>
    <w:p>
      <w:pPr>
        <w:pStyle w:val="BodyText"/>
        <w:rPr>
          <w:sz w:val="6"/>
        </w:rPr>
      </w:pPr>
    </w:p>
    <w:p>
      <w:pPr>
        <w:spacing w:before="36"/>
        <w:ind w:left="106" w:right="166" w:firstLine="0"/>
        <w:jc w:val="center"/>
        <w:rPr>
          <w:sz w:val="6"/>
        </w:rPr>
      </w:pPr>
      <w:r>
        <w:rPr>
          <w:w w:val="110"/>
          <w:sz w:val="6"/>
        </w:rPr>
        <w:t>INSTITUTO DE LA VIVIENDA – INVI</w:t>
      </w:r>
    </w:p>
    <w:p>
      <w:pPr>
        <w:spacing w:line="276" w:lineRule="auto" w:before="10"/>
        <w:ind w:left="1635" w:right="853" w:firstLine="0"/>
        <w:jc w:val="left"/>
        <w:rPr>
          <w:sz w:val="6"/>
        </w:rPr>
      </w:pPr>
      <w:r>
        <w:rPr>
          <w:w w:val="110"/>
          <w:sz w:val="6"/>
        </w:rPr>
        <w:t>FACULTAD DE ARQUITECTURA Y URBANISMO UNIVERSIDAD DE CHILE</w:t>
      </w:r>
    </w:p>
    <w:p>
      <w:pPr>
        <w:pStyle w:val="BodyText"/>
        <w:spacing w:before="11"/>
        <w:rPr>
          <w:sz w:val="6"/>
        </w:rPr>
      </w:pPr>
    </w:p>
    <w:p>
      <w:pPr>
        <w:spacing w:line="276" w:lineRule="auto" w:before="0"/>
        <w:ind w:left="1635" w:right="1622" w:firstLine="0"/>
        <w:jc w:val="left"/>
        <w:rPr>
          <w:sz w:val="6"/>
        </w:rPr>
      </w:pPr>
      <w:r>
        <w:rPr>
          <w:w w:val="110"/>
          <w:sz w:val="6"/>
        </w:rPr>
        <w:t>Portugal 84, Santiago de Chile Copyright© 2011 por Revista INVI </w:t>
      </w:r>
      <w:r>
        <w:rPr>
          <w:w w:val="105"/>
          <w:sz w:val="6"/>
        </w:rPr>
        <w:t>ISSN: </w:t>
      </w:r>
      <w:r>
        <w:rPr>
          <w:i/>
          <w:w w:val="105"/>
          <w:sz w:val="6"/>
        </w:rPr>
        <w:t>e</w:t>
      </w:r>
      <w:r>
        <w:rPr>
          <w:w w:val="105"/>
          <w:sz w:val="6"/>
        </w:rPr>
        <w:t>0718-8358</w:t>
      </w:r>
    </w:p>
    <w:p>
      <w:pPr>
        <w:pStyle w:val="BodyText"/>
        <w:spacing w:before="8"/>
        <w:rPr>
          <w:sz w:val="9"/>
        </w:rPr>
      </w:pPr>
      <w:r>
        <w:rPr/>
        <w:br w:type="column"/>
      </w:r>
      <w:r>
        <w:rPr>
          <w:sz w:val="9"/>
        </w:rPr>
      </w:r>
    </w:p>
    <w:p>
      <w:pPr>
        <w:spacing w:before="0"/>
        <w:ind w:left="636" w:right="0" w:hanging="31"/>
        <w:jc w:val="left"/>
        <w:rPr>
          <w:b/>
          <w:sz w:val="7"/>
        </w:rPr>
      </w:pPr>
      <w:r>
        <w:rPr>
          <w:b/>
          <w:color w:val="005599"/>
          <w:w w:val="110"/>
          <w:sz w:val="7"/>
        </w:rPr>
        <w:t>RE V IS IÓN P OR P ARE S</w:t>
      </w:r>
    </w:p>
    <w:p>
      <w:pPr>
        <w:pStyle w:val="BodyText"/>
        <w:rPr>
          <w:b/>
          <w:sz w:val="8"/>
        </w:rPr>
      </w:pPr>
    </w:p>
    <w:p>
      <w:pPr>
        <w:pStyle w:val="BodyText"/>
        <w:rPr>
          <w:b/>
          <w:sz w:val="8"/>
        </w:rPr>
      </w:pPr>
    </w:p>
    <w:p>
      <w:pPr>
        <w:pStyle w:val="BodyText"/>
        <w:rPr>
          <w:b/>
          <w:sz w:val="8"/>
        </w:rPr>
      </w:pPr>
    </w:p>
    <w:p>
      <w:pPr>
        <w:pStyle w:val="BodyText"/>
        <w:rPr>
          <w:b/>
          <w:sz w:val="8"/>
        </w:rPr>
      </w:pPr>
    </w:p>
    <w:p>
      <w:pPr>
        <w:pStyle w:val="BodyText"/>
        <w:rPr>
          <w:b/>
          <w:sz w:val="8"/>
        </w:rPr>
      </w:pPr>
    </w:p>
    <w:p>
      <w:pPr>
        <w:pStyle w:val="BodyText"/>
        <w:rPr>
          <w:b/>
          <w:sz w:val="8"/>
        </w:rPr>
      </w:pPr>
    </w:p>
    <w:p>
      <w:pPr>
        <w:pStyle w:val="BodyText"/>
        <w:rPr>
          <w:b/>
          <w:sz w:val="8"/>
        </w:rPr>
      </w:pPr>
    </w:p>
    <w:p>
      <w:pPr>
        <w:pStyle w:val="BodyText"/>
        <w:spacing w:before="5"/>
        <w:rPr>
          <w:b/>
          <w:sz w:val="7"/>
        </w:rPr>
      </w:pPr>
    </w:p>
    <w:p>
      <w:pPr>
        <w:spacing w:before="0"/>
        <w:ind w:left="636" w:right="0" w:firstLine="0"/>
        <w:jc w:val="left"/>
        <w:rPr>
          <w:b/>
          <w:sz w:val="7"/>
        </w:rPr>
      </w:pPr>
      <w:r>
        <w:rPr>
          <w:b/>
          <w:color w:val="005599"/>
          <w:w w:val="110"/>
          <w:sz w:val="7"/>
        </w:rPr>
        <w:t>DE CIS IÓN E DIT ORIAL</w:t>
      </w:r>
      <w:r>
        <w:rPr>
          <w:b/>
          <w:color w:val="005599"/>
          <w:sz w:val="7"/>
        </w:rPr>
        <w:t> </w:t>
      </w:r>
    </w:p>
    <w:p>
      <w:pPr>
        <w:pStyle w:val="BodyText"/>
        <w:rPr>
          <w:b/>
          <w:sz w:val="6"/>
        </w:rPr>
      </w:pPr>
      <w:r>
        <w:rPr/>
        <w:br w:type="column"/>
      </w:r>
      <w:r>
        <w:rPr>
          <w:b/>
          <w:sz w:val="6"/>
        </w:rPr>
      </w:r>
    </w:p>
    <w:p>
      <w:pPr>
        <w:pStyle w:val="BodyText"/>
        <w:spacing w:before="7"/>
        <w:rPr>
          <w:b/>
          <w:sz w:val="8"/>
        </w:rPr>
      </w:pPr>
    </w:p>
    <w:p>
      <w:pPr>
        <w:spacing w:before="0"/>
        <w:ind w:left="186" w:right="0" w:firstLine="0"/>
        <w:jc w:val="left"/>
        <w:rPr>
          <w:b/>
          <w:sz w:val="6"/>
        </w:rPr>
      </w:pPr>
      <w:r>
        <w:rPr>
          <w:b/>
          <w:color w:val="005599"/>
          <w:w w:val="110"/>
          <w:sz w:val="6"/>
        </w:rPr>
        <w:t>AUT O R</w:t>
      </w:r>
    </w:p>
    <w:p>
      <w:pPr>
        <w:pStyle w:val="BodyText"/>
        <w:spacing w:before="3"/>
        <w:rPr>
          <w:b/>
          <w:sz w:val="7"/>
        </w:rPr>
      </w:pPr>
    </w:p>
    <w:p>
      <w:pPr>
        <w:spacing w:before="0"/>
        <w:ind w:left="186" w:right="0" w:firstLine="0"/>
        <w:jc w:val="left"/>
        <w:rPr>
          <w:sz w:val="6"/>
        </w:rPr>
      </w:pPr>
      <w:r>
        <w:rPr>
          <w:w w:val="110"/>
          <w:sz w:val="6"/>
        </w:rPr>
        <w:t>Envíos</w:t>
      </w:r>
    </w:p>
    <w:p>
      <w:pPr>
        <w:spacing w:before="36"/>
        <w:ind w:left="354" w:right="0" w:firstLine="0"/>
        <w:jc w:val="left"/>
        <w:rPr>
          <w:sz w:val="6"/>
        </w:rPr>
      </w:pPr>
      <w:r>
        <w:rPr>
          <w:color w:val="005599"/>
          <w:w w:val="110"/>
          <w:sz w:val="6"/>
        </w:rPr>
        <w:t>Activo </w:t>
      </w:r>
      <w:r>
        <w:rPr>
          <w:w w:val="110"/>
          <w:sz w:val="6"/>
        </w:rPr>
        <w:t>(1)</w:t>
      </w:r>
    </w:p>
    <w:p>
      <w:pPr>
        <w:spacing w:before="19"/>
        <w:ind w:left="354" w:right="0" w:firstLine="0"/>
        <w:jc w:val="left"/>
        <w:rPr>
          <w:sz w:val="6"/>
        </w:rPr>
      </w:pPr>
      <w:r>
        <w:rPr>
          <w:color w:val="005599"/>
          <w:w w:val="110"/>
          <w:sz w:val="6"/>
        </w:rPr>
        <w:t>Archivo </w:t>
      </w:r>
      <w:r>
        <w:rPr>
          <w:w w:val="110"/>
          <w:sz w:val="6"/>
        </w:rPr>
        <w:t>(0)</w:t>
      </w:r>
    </w:p>
    <w:p>
      <w:pPr>
        <w:spacing w:before="19"/>
        <w:ind w:left="354" w:right="0" w:firstLine="0"/>
        <w:jc w:val="left"/>
        <w:rPr>
          <w:sz w:val="6"/>
        </w:rPr>
      </w:pPr>
      <w:r>
        <w:rPr>
          <w:color w:val="005599"/>
          <w:w w:val="110"/>
          <w:sz w:val="6"/>
        </w:rPr>
        <w:t>Nuevo envío de manuscrito</w:t>
      </w:r>
    </w:p>
    <w:p>
      <w:pPr>
        <w:pStyle w:val="BodyText"/>
        <w:rPr>
          <w:sz w:val="6"/>
        </w:rPr>
      </w:pPr>
    </w:p>
    <w:p>
      <w:pPr>
        <w:pStyle w:val="BodyText"/>
        <w:spacing w:before="9"/>
        <w:rPr>
          <w:sz w:val="8"/>
        </w:rPr>
      </w:pPr>
    </w:p>
    <w:p>
      <w:pPr>
        <w:spacing w:before="0"/>
        <w:ind w:left="186" w:right="0" w:firstLine="0"/>
        <w:jc w:val="left"/>
        <w:rPr>
          <w:b/>
          <w:sz w:val="6"/>
        </w:rPr>
      </w:pPr>
      <w:r>
        <w:rPr>
          <w:b/>
          <w:color w:val="005599"/>
          <w:w w:val="110"/>
          <w:sz w:val="6"/>
        </w:rPr>
        <w:t>CO NT E NI DO  DE  L A  RE V I S T A</w:t>
      </w:r>
    </w:p>
    <w:p>
      <w:pPr>
        <w:pStyle w:val="BodyText"/>
        <w:spacing w:before="3"/>
        <w:rPr>
          <w:b/>
          <w:sz w:val="7"/>
        </w:rPr>
      </w:pPr>
    </w:p>
    <w:p>
      <w:pPr>
        <w:spacing w:before="0"/>
        <w:ind w:left="227" w:right="0" w:hanging="41"/>
        <w:jc w:val="left"/>
        <w:rPr>
          <w:sz w:val="6"/>
        </w:rPr>
      </w:pPr>
      <w:r>
        <w:rPr>
          <w:w w:val="110"/>
          <w:sz w:val="6"/>
        </w:rPr>
        <w:t>Buscar</w:t>
      </w:r>
    </w:p>
    <w:p>
      <w:pPr>
        <w:pStyle w:val="BodyText"/>
        <w:rPr>
          <w:sz w:val="6"/>
        </w:rPr>
      </w:pPr>
    </w:p>
    <w:p>
      <w:pPr>
        <w:pStyle w:val="BodyText"/>
        <w:spacing w:before="11"/>
        <w:rPr>
          <w:sz w:val="8"/>
        </w:rPr>
      </w:pPr>
    </w:p>
    <w:p>
      <w:pPr>
        <w:spacing w:before="0"/>
        <w:ind w:left="227" w:right="0" w:firstLine="0"/>
        <w:jc w:val="left"/>
        <w:rPr>
          <w:sz w:val="6"/>
        </w:rPr>
      </w:pPr>
      <w:r>
        <w:rPr>
          <w:color w:val="005599"/>
          <w:w w:val="110"/>
          <w:sz w:val="6"/>
        </w:rPr>
        <w:t>Todos</w:t>
      </w:r>
    </w:p>
    <w:p>
      <w:pPr>
        <w:pStyle w:val="BodyText"/>
        <w:spacing w:before="5"/>
        <w:rPr>
          <w:sz w:val="5"/>
        </w:rPr>
      </w:pPr>
    </w:p>
    <w:p>
      <w:pPr>
        <w:spacing w:before="1"/>
        <w:ind w:left="730" w:right="0" w:firstLine="0"/>
        <w:jc w:val="left"/>
        <w:rPr>
          <w:sz w:val="6"/>
        </w:rPr>
      </w:pPr>
      <w:r>
        <w:rPr>
          <w:w w:val="120"/>
          <w:sz w:val="6"/>
        </w:rPr>
        <w:t>Buscar</w:t>
      </w:r>
    </w:p>
    <w:p>
      <w:pPr>
        <w:pStyle w:val="BodyText"/>
        <w:rPr>
          <w:sz w:val="6"/>
        </w:rPr>
      </w:pPr>
    </w:p>
    <w:p>
      <w:pPr>
        <w:pStyle w:val="BodyText"/>
        <w:spacing w:before="3"/>
        <w:rPr>
          <w:sz w:val="5"/>
        </w:rPr>
      </w:pPr>
    </w:p>
    <w:p>
      <w:pPr>
        <w:spacing w:before="0"/>
        <w:ind w:left="186" w:right="0" w:firstLine="0"/>
        <w:jc w:val="left"/>
        <w:rPr>
          <w:sz w:val="6"/>
        </w:rPr>
      </w:pPr>
      <w:r>
        <w:rPr>
          <w:w w:val="110"/>
          <w:sz w:val="6"/>
        </w:rPr>
        <w:t>Navegar</w:t>
      </w:r>
    </w:p>
    <w:p>
      <w:pPr>
        <w:spacing w:line="307" w:lineRule="auto" w:before="36"/>
        <w:ind w:left="354" w:right="2513" w:firstLine="0"/>
        <w:jc w:val="left"/>
        <w:rPr>
          <w:sz w:val="6"/>
        </w:rPr>
      </w:pPr>
      <w:r>
        <w:rPr>
          <w:color w:val="005599"/>
          <w:w w:val="110"/>
          <w:sz w:val="6"/>
        </w:rPr>
        <w:t>Por número Por autor Por título</w:t>
      </w:r>
    </w:p>
    <w:p>
      <w:pPr>
        <w:pStyle w:val="BodyText"/>
        <w:rPr>
          <w:sz w:val="6"/>
        </w:rPr>
      </w:pPr>
    </w:p>
    <w:p>
      <w:pPr>
        <w:pStyle w:val="BodyText"/>
        <w:spacing w:before="2"/>
        <w:rPr>
          <w:sz w:val="7"/>
        </w:rPr>
      </w:pPr>
    </w:p>
    <w:p>
      <w:pPr>
        <w:spacing w:before="0"/>
        <w:ind w:left="186" w:right="0" w:firstLine="0"/>
        <w:jc w:val="left"/>
        <w:rPr>
          <w:b/>
          <w:sz w:val="6"/>
        </w:rPr>
      </w:pPr>
      <w:r>
        <w:rPr>
          <w:b/>
          <w:color w:val="005599"/>
          <w:w w:val="110"/>
          <w:sz w:val="6"/>
        </w:rPr>
        <w:t>TA M A Ñ O  D E  F U E N T E</w:t>
      </w:r>
    </w:p>
    <w:p>
      <w:pPr>
        <w:pStyle w:val="BodyText"/>
        <w:rPr>
          <w:b/>
          <w:sz w:val="6"/>
        </w:rPr>
      </w:pPr>
    </w:p>
    <w:p>
      <w:pPr>
        <w:pStyle w:val="BodyText"/>
        <w:rPr>
          <w:b/>
          <w:sz w:val="6"/>
        </w:rPr>
      </w:pPr>
    </w:p>
    <w:p>
      <w:pPr>
        <w:pStyle w:val="BodyText"/>
        <w:rPr>
          <w:b/>
          <w:sz w:val="6"/>
        </w:rPr>
      </w:pPr>
    </w:p>
    <w:p>
      <w:pPr>
        <w:pStyle w:val="BodyText"/>
        <w:spacing w:before="11"/>
        <w:rPr>
          <w:b/>
          <w:sz w:val="7"/>
        </w:rPr>
      </w:pPr>
    </w:p>
    <w:p>
      <w:pPr>
        <w:spacing w:before="0"/>
        <w:ind w:left="186" w:right="0" w:firstLine="0"/>
        <w:jc w:val="left"/>
        <w:rPr>
          <w:sz w:val="6"/>
        </w:rPr>
      </w:pPr>
      <w:r>
        <w:rPr>
          <w:color w:val="005599"/>
          <w:w w:val="110"/>
          <w:sz w:val="6"/>
        </w:rPr>
        <w:t>Ayuda de la revista</w:t>
      </w:r>
    </w:p>
    <w:p>
      <w:pPr>
        <w:pStyle w:val="BodyText"/>
        <w:rPr>
          <w:sz w:val="6"/>
        </w:rPr>
      </w:pPr>
    </w:p>
    <w:p>
      <w:pPr>
        <w:spacing w:before="51"/>
        <w:ind w:left="186" w:right="0" w:firstLine="0"/>
        <w:jc w:val="left"/>
        <w:rPr>
          <w:b/>
          <w:sz w:val="6"/>
        </w:rPr>
      </w:pPr>
      <w:r>
        <w:rPr>
          <w:b/>
          <w:color w:val="005599"/>
          <w:w w:val="110"/>
          <w:sz w:val="6"/>
        </w:rPr>
        <w:t>IN D IC ES</w:t>
      </w:r>
      <w:r>
        <w:rPr>
          <w:b/>
          <w:color w:val="005599"/>
          <w:sz w:val="6"/>
        </w:rPr>
        <w:t> </w:t>
      </w:r>
    </w:p>
    <w:p>
      <w:pPr>
        <w:pStyle w:val="BodyText"/>
        <w:spacing w:before="8"/>
        <w:rPr>
          <w:b/>
          <w:sz w:val="8"/>
        </w:rPr>
      </w:pPr>
    </w:p>
    <w:p>
      <w:pPr>
        <w:spacing w:line="307" w:lineRule="auto" w:before="0"/>
        <w:ind w:left="354" w:right="2637" w:firstLine="0"/>
        <w:jc w:val="left"/>
        <w:rPr>
          <w:sz w:val="6"/>
        </w:rPr>
      </w:pPr>
      <w:r>
        <w:rPr>
          <w:color w:val="005599"/>
          <w:w w:val="110"/>
          <w:sz w:val="6"/>
        </w:rPr>
        <w:t>Scopus SciElo</w:t>
      </w:r>
    </w:p>
    <w:p>
      <w:pPr>
        <w:spacing w:line="307" w:lineRule="auto" w:before="0"/>
        <w:ind w:left="354" w:right="2212" w:firstLine="0"/>
        <w:jc w:val="left"/>
        <w:rPr>
          <w:sz w:val="6"/>
        </w:rPr>
      </w:pPr>
      <w:r>
        <w:rPr>
          <w:color w:val="005599"/>
          <w:w w:val="110"/>
          <w:sz w:val="6"/>
        </w:rPr>
        <w:t>SciELO Citation Index DOAJ</w:t>
      </w:r>
    </w:p>
    <w:p>
      <w:pPr>
        <w:spacing w:before="0"/>
        <w:ind w:left="354" w:right="0" w:firstLine="0"/>
        <w:jc w:val="left"/>
        <w:rPr>
          <w:sz w:val="6"/>
        </w:rPr>
      </w:pPr>
      <w:r>
        <w:rPr>
          <w:color w:val="005599"/>
          <w:w w:val="110"/>
          <w:sz w:val="6"/>
        </w:rPr>
        <w:t>Redib</w:t>
      </w:r>
    </w:p>
    <w:p>
      <w:pPr>
        <w:spacing w:line="307" w:lineRule="auto" w:before="19"/>
        <w:ind w:left="354" w:right="2494" w:firstLine="0"/>
        <w:jc w:val="left"/>
        <w:rPr>
          <w:sz w:val="6"/>
        </w:rPr>
      </w:pPr>
      <w:r>
        <w:rPr>
          <w:color w:val="005599"/>
          <w:w w:val="110"/>
          <w:sz w:val="6"/>
        </w:rPr>
        <w:t>Hapi Online Latindex PERIODICA</w:t>
      </w:r>
    </w:p>
    <w:p>
      <w:pPr>
        <w:spacing w:line="307" w:lineRule="auto" w:before="0"/>
        <w:ind w:left="354" w:right="2388" w:firstLine="0"/>
        <w:jc w:val="left"/>
        <w:rPr>
          <w:sz w:val="6"/>
        </w:rPr>
      </w:pPr>
      <w:r>
        <w:rPr>
          <w:color w:val="005599"/>
          <w:w w:val="110"/>
          <w:sz w:val="6"/>
        </w:rPr>
        <w:t>Publindex Redalyc Revistas UChile</w:t>
      </w:r>
    </w:p>
    <w:p>
      <w:pPr>
        <w:spacing w:after="0" w:line="307" w:lineRule="auto"/>
        <w:jc w:val="left"/>
        <w:rPr>
          <w:sz w:val="6"/>
        </w:rPr>
        <w:sectPr>
          <w:type w:val="continuous"/>
          <w:pgSz w:w="12240" w:h="15840"/>
          <w:pgMar w:top="1500" w:bottom="280" w:left="1460" w:right="1340"/>
          <w:cols w:num="3" w:equalWidth="0">
            <w:col w:w="4397" w:space="40"/>
            <w:col w:w="1731" w:space="40"/>
            <w:col w:w="3232"/>
          </w:cols>
        </w:sectPr>
      </w:pPr>
    </w:p>
    <w:p>
      <w:pPr>
        <w:pStyle w:val="BodyText"/>
        <w:rPr>
          <w:sz w:val="6"/>
        </w:rPr>
      </w:pPr>
    </w:p>
    <w:p>
      <w:pPr>
        <w:pStyle w:val="BodyText"/>
        <w:spacing w:before="2"/>
        <w:rPr>
          <w:sz w:val="7"/>
        </w:rPr>
      </w:pPr>
    </w:p>
    <w:p>
      <w:pPr>
        <w:spacing w:before="0"/>
        <w:ind w:left="0" w:right="2425" w:firstLine="0"/>
        <w:jc w:val="right"/>
        <w:rPr>
          <w:b/>
          <w:sz w:val="6"/>
        </w:rPr>
      </w:pPr>
      <w:r>
        <w:rPr>
          <w:b/>
          <w:color w:val="005599"/>
          <w:w w:val="110"/>
          <w:sz w:val="6"/>
        </w:rPr>
        <w:t>IN D IC A D OR ES</w:t>
      </w:r>
      <w:r>
        <w:rPr>
          <w:b/>
          <w:color w:val="005599"/>
          <w:sz w:val="6"/>
        </w:rPr>
        <w:t> </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8"/>
        </w:rPr>
      </w:pPr>
    </w:p>
    <w:p>
      <w:pPr>
        <w:pStyle w:val="BodyText"/>
        <w:rPr>
          <w:b/>
          <w:sz w:val="8"/>
        </w:rPr>
      </w:pPr>
    </w:p>
    <w:p>
      <w:pPr>
        <w:spacing w:line="482" w:lineRule="auto" w:before="65"/>
        <w:ind w:left="6457" w:right="2325" w:firstLine="0"/>
        <w:jc w:val="left"/>
        <w:rPr>
          <w:b/>
          <w:sz w:val="7"/>
        </w:rPr>
      </w:pPr>
      <w:r>
        <w:rPr>
          <w:b/>
          <w:w w:val="110"/>
          <w:sz w:val="7"/>
        </w:rPr>
        <w:t>RSS SUSCRIPCIONES AYUDA</w:t>
      </w:r>
    </w:p>
    <w:p>
      <w:pPr>
        <w:spacing w:before="2"/>
        <w:ind w:left="0" w:right="2179" w:firstLine="0"/>
        <w:jc w:val="right"/>
        <w:rPr>
          <w:b/>
          <w:sz w:val="7"/>
        </w:rPr>
      </w:pPr>
      <w:r>
        <w:rPr>
          <w:b/>
          <w:w w:val="110"/>
          <w:sz w:val="7"/>
        </w:rPr>
        <w:t>REVISTAS DEL AREA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12"/>
        </w:rPr>
      </w:pPr>
    </w:p>
    <w:p>
      <w:pPr>
        <w:tabs>
          <w:tab w:pos="7681" w:val="left" w:leader="none"/>
        </w:tabs>
        <w:spacing w:before="89"/>
        <w:ind w:left="1015" w:right="0" w:firstLine="0"/>
        <w:jc w:val="left"/>
        <w:rPr>
          <w:rFonts w:ascii="Times New Roman"/>
          <w:sz w:val="13"/>
        </w:rPr>
      </w:pPr>
      <w:r>
        <w:rPr>
          <w:rFonts w:ascii="Times New Roman"/>
          <w:sz w:val="13"/>
        </w:rPr>
        <w:t>1</w:t>
      </w:r>
      <w:r>
        <w:rPr>
          <w:rFonts w:ascii="Times New Roman"/>
          <w:spacing w:val="-2"/>
          <w:sz w:val="13"/>
        </w:rPr>
        <w:t> </w:t>
      </w:r>
      <w:r>
        <w:rPr>
          <w:rFonts w:ascii="Times New Roman"/>
          <w:sz w:val="13"/>
        </w:rPr>
        <w:t>de</w:t>
      </w:r>
      <w:r>
        <w:rPr>
          <w:rFonts w:ascii="Times New Roman"/>
          <w:spacing w:val="-2"/>
          <w:sz w:val="13"/>
        </w:rPr>
        <w:t> </w:t>
      </w:r>
      <w:r>
        <w:rPr>
          <w:rFonts w:ascii="Times New Roman"/>
          <w:sz w:val="13"/>
        </w:rPr>
        <w:t>1</w:t>
        <w:tab/>
        <w:t>24/10/16</w:t>
      </w:r>
      <w:r>
        <w:rPr>
          <w:rFonts w:ascii="Times New Roman"/>
          <w:spacing w:val="-8"/>
          <w:sz w:val="13"/>
        </w:rPr>
        <w:t> </w:t>
      </w:r>
      <w:r>
        <w:rPr>
          <w:rFonts w:ascii="Times New Roman"/>
          <w:sz w:val="13"/>
        </w:rPr>
        <w:t>23:34</w:t>
      </w:r>
    </w:p>
    <w:p>
      <w:pPr>
        <w:pStyle w:val="BodyText"/>
        <w:rPr>
          <w:rFonts w:ascii="Times New Roman"/>
          <w:sz w:val="20"/>
        </w:rPr>
      </w:pPr>
    </w:p>
    <w:p>
      <w:pPr>
        <w:pStyle w:val="BodyText"/>
        <w:rPr>
          <w:rFonts w:ascii="Times New Roman"/>
          <w:sz w:val="20"/>
        </w:rPr>
      </w:pPr>
    </w:p>
    <w:p>
      <w:pPr>
        <w:pStyle w:val="BodyText"/>
        <w:spacing w:before="187"/>
        <w:ind w:right="359"/>
        <w:jc w:val="right"/>
      </w:pPr>
      <w:r>
        <w:rPr/>
        <w:t>305</w:t>
      </w:r>
    </w:p>
    <w:p>
      <w:pPr>
        <w:spacing w:after="0"/>
        <w:jc w:val="right"/>
        <w:sectPr>
          <w:type w:val="continuous"/>
          <w:pgSz w:w="12240" w:h="15840"/>
          <w:pgMar w:top="1500" w:bottom="280" w:left="1460" w:right="1340"/>
        </w:sectPr>
      </w:pPr>
    </w:p>
    <w:p>
      <w:pPr>
        <w:pStyle w:val="BodyText"/>
        <w:spacing w:before="1"/>
        <w:rPr>
          <w:sz w:val="18"/>
        </w:rPr>
      </w:pPr>
    </w:p>
    <w:p>
      <w:pPr>
        <w:pStyle w:val="BodyText"/>
        <w:spacing w:line="360" w:lineRule="auto" w:before="69"/>
        <w:ind w:left="960" w:right="218" w:hanging="360"/>
        <w:jc w:val="both"/>
      </w:pPr>
      <w:r>
        <w:rPr/>
        <w:pict>
          <v:line style="position:absolute;mso-position-horizontal-relative:page;mso-position-vertical-relative:paragraph;z-index:-1120264" from="78.800003pt,-19.614155pt" to="532.400003pt,-19.614155pt" stroked="true" strokeweight=".479981pt" strokecolor="#000000">
            <w10:wrap type="none"/>
          </v:line>
        </w:pict>
      </w:r>
      <w:r>
        <w:rPr/>
        <w:t>3. Artículo enviado y aceptado para públicación en libro electrónico del 21º Encuentro nacional sobre desarrollo regional en México. “El desarrollo regional frente al cambio ambiental global y la transición hacia la sustentabilidad”.</w:t>
      </w:r>
    </w:p>
    <w:p>
      <w:pPr>
        <w:spacing w:line="360" w:lineRule="auto" w:before="7"/>
        <w:ind w:left="960" w:right="218" w:firstLine="0"/>
        <w:jc w:val="both"/>
        <w:rPr>
          <w:i/>
          <w:sz w:val="24"/>
        </w:rPr>
      </w:pPr>
      <w:r>
        <w:rPr/>
        <w:pict>
          <v:group style="position:absolute;margin-left:123.68pt;margin-top:63.685848pt;width:399.15pt;height:502.6pt;mso-position-horizontal-relative:page;mso-position-vertical-relative:paragraph;z-index:37744;mso-wrap-distance-left:0;mso-wrap-distance-right:0" coordorigin="2474,1274" coordsize="7983,10052">
            <v:shape style="position:absolute;left:2474;top:1274;width:7982;height:10051" type="#_x0000_t75" stroked="false">
              <v:imagedata r:id="rId470" o:title=""/>
            </v:shape>
            <v:shape style="position:absolute;left:7094;top:8680;width:1301;height:718" type="#_x0000_t75" stroked="false">
              <v:imagedata r:id="rId471" o:title=""/>
            </v:shape>
            <v:shape style="position:absolute;left:3600;top:4892;width:5417;height:1121" type="#_x0000_t75" stroked="false">
              <v:imagedata r:id="rId472" o:title=""/>
            </v:shape>
            <v:shape style="position:absolute;left:8109;top:1962;width:905;height:1108" type="#_x0000_t75" stroked="false">
              <v:imagedata r:id="rId473" o:title=""/>
            </v:shape>
            <v:shape style="position:absolute;left:3600;top:2007;width:980;height:1077" type="#_x0000_t75" stroked="false">
              <v:imagedata r:id="rId474" o:title=""/>
            </v:shape>
            <v:shape style="position:absolute;left:3623;top:8789;width:2526;height:507" type="#_x0000_t75" stroked="false">
              <v:imagedata r:id="rId475" o:title=""/>
            </v:shape>
            <v:line style="position:absolute" from="2852,1620" to="9768,1620" stroked="true" strokeweight="3.45414pt" strokecolor="#a31d1d"/>
            <v:line style="position:absolute" from="2817,1585" to="2817,10706" stroked="true" strokeweight="3.45735pt" strokecolor="#a31d1d"/>
            <v:line style="position:absolute" from="9802,1585" to="9802,10706" stroked="true" strokeweight="3.45735pt" strokecolor="#a31d1d"/>
            <v:line style="position:absolute" from="2852,10671" to="9768,10671" stroked="true" strokeweight="3.45414pt" strokecolor="#a31d1d"/>
            <v:shape style="position:absolute;left:3600;top:3230;width:5421;height:693" type="#_x0000_t202" filled="false" stroked="false">
              <v:textbox inset="0,0,0,0">
                <w:txbxContent>
                  <w:p>
                    <w:pPr>
                      <w:spacing w:line="124" w:lineRule="exact" w:before="0"/>
                      <w:ind w:left="4458" w:right="-11" w:firstLine="0"/>
                      <w:jc w:val="left"/>
                      <w:rPr>
                        <w:rFonts w:ascii="Georgia"/>
                        <w:sz w:val="12"/>
                      </w:rPr>
                    </w:pPr>
                    <w:r>
                      <w:rPr>
                        <w:rFonts w:ascii="Georgia"/>
                        <w:sz w:val="12"/>
                      </w:rPr>
                      <w:t>Agosto 15 de 2016</w:t>
                    </w:r>
                  </w:p>
                  <w:p>
                    <w:pPr>
                      <w:spacing w:line="240" w:lineRule="auto" w:before="9"/>
                      <w:rPr>
                        <w:i/>
                        <w:sz w:val="13"/>
                      </w:rPr>
                    </w:pPr>
                  </w:p>
                  <w:p>
                    <w:pPr>
                      <w:spacing w:before="1"/>
                      <w:ind w:left="0" w:right="520" w:firstLine="0"/>
                      <w:jc w:val="left"/>
                      <w:rPr>
                        <w:rFonts w:ascii="Georgia" w:hAnsi="Georgia"/>
                        <w:b/>
                        <w:sz w:val="12"/>
                      </w:rPr>
                    </w:pPr>
                    <w:r>
                      <w:rPr>
                        <w:rFonts w:ascii="Georgia" w:hAnsi="Georgia"/>
                        <w:b/>
                        <w:sz w:val="12"/>
                      </w:rPr>
                      <w:t>Mtro. Alan Noe Jim Carrillo Arteaga, Dr. Pedro Leobardo Jiménez Sánchez y Dr. Fermín Carreño Meléndez</w:t>
                    </w:r>
                  </w:p>
                  <w:p>
                    <w:pPr>
                      <w:spacing w:line="133" w:lineRule="exact" w:before="2"/>
                      <w:ind w:left="0" w:right="-11" w:firstLine="0"/>
                      <w:jc w:val="left"/>
                      <w:rPr>
                        <w:rFonts w:ascii="Georgia"/>
                        <w:b/>
                        <w:sz w:val="12"/>
                      </w:rPr>
                    </w:pPr>
                    <w:r>
                      <w:rPr>
                        <w:rFonts w:ascii="Georgia"/>
                        <w:b/>
                        <w:sz w:val="12"/>
                      </w:rPr>
                      <w:t>Presentes</w:t>
                    </w:r>
                  </w:p>
                </w:txbxContent>
              </v:textbox>
              <w10:wrap type="none"/>
            </v:shape>
            <v:shape style="position:absolute;left:3600;top:4117;width:5421;height:596" type="#_x0000_t202" filled="false" stroked="false">
              <v:textbox inset="0,0,0,0">
                <w:txbxContent>
                  <w:p>
                    <w:pPr>
                      <w:spacing w:line="124" w:lineRule="exact" w:before="0"/>
                      <w:ind w:left="0" w:right="0" w:firstLine="0"/>
                      <w:jc w:val="both"/>
                      <w:rPr>
                        <w:rFonts w:ascii="Georgia" w:hAnsi="Georgia"/>
                        <w:b/>
                        <w:i/>
                        <w:sz w:val="12"/>
                      </w:rPr>
                    </w:pPr>
                    <w:r>
                      <w:rPr>
                        <w:rFonts w:ascii="Georgia" w:hAnsi="Georgia"/>
                        <w:sz w:val="12"/>
                      </w:rPr>
                      <w:t>Por  este  medio,  nos  es  grato  comunicarles  que  su  ponencia  </w:t>
                    </w:r>
                    <w:r>
                      <w:rPr>
                        <w:rFonts w:ascii="Georgia" w:hAnsi="Georgia"/>
                        <w:i/>
                        <w:sz w:val="12"/>
                      </w:rPr>
                      <w:t>in  extenso  </w:t>
                    </w:r>
                    <w:r>
                      <w:rPr>
                        <w:rFonts w:ascii="Georgia" w:hAnsi="Georgia"/>
                        <w:sz w:val="12"/>
                      </w:rPr>
                      <w:t>titulada:  “</w:t>
                    </w:r>
                    <w:r>
                      <w:rPr>
                        <w:rFonts w:ascii="Georgia" w:hAnsi="Georgia"/>
                        <w:b/>
                        <w:i/>
                        <w:sz w:val="12"/>
                      </w:rPr>
                      <w:t>Sistema    de</w:t>
                    </w:r>
                  </w:p>
                  <w:p>
                    <w:pPr>
                      <w:spacing w:line="278" w:lineRule="auto" w:before="21"/>
                      <w:ind w:left="0" w:right="1" w:firstLine="0"/>
                      <w:jc w:val="both"/>
                      <w:rPr>
                        <w:rFonts w:ascii="Georgia" w:hAnsi="Georgia"/>
                        <w:sz w:val="12"/>
                      </w:rPr>
                    </w:pPr>
                    <w:r>
                      <w:rPr>
                        <w:rFonts w:ascii="Georgia" w:hAnsi="Georgia"/>
                        <w:b/>
                        <w:i/>
                        <w:sz w:val="12"/>
                      </w:rPr>
                      <w:t>indicadores territoriales para evaluar la sustentabilidad de conjuntos urbanos en el </w:t>
                    </w:r>
                    <w:r>
                      <w:rPr>
                        <w:rFonts w:ascii="Georgia" w:hAnsi="Georgia"/>
                        <w:b/>
                        <w:i/>
                        <w:sz w:val="12"/>
                      </w:rPr>
                      <w:t>Estado de México: caso de estudio Calimaya</w:t>
                    </w:r>
                    <w:r>
                      <w:rPr>
                        <w:rFonts w:ascii="Georgia" w:hAnsi="Georgia"/>
                        <w:sz w:val="12"/>
                      </w:rPr>
                      <w:t>”, ha sido aceptada por la Comisión Académica para ser presentada dentro del programa académico del:</w:t>
                    </w:r>
                  </w:p>
                </w:txbxContent>
              </v:textbox>
              <w10:wrap type="none"/>
            </v:shape>
            <v:shape style="position:absolute;left:3600;top:6205;width:5421;height:280" type="#_x0000_t202" filled="false" stroked="false">
              <v:textbox inset="0,0,0,0">
                <w:txbxContent>
                  <w:p>
                    <w:pPr>
                      <w:spacing w:line="124" w:lineRule="exact" w:before="0"/>
                      <w:ind w:left="0" w:right="-11" w:firstLine="0"/>
                      <w:jc w:val="left"/>
                      <w:rPr>
                        <w:rFonts w:ascii="Georgia" w:hAnsi="Georgia"/>
                        <w:sz w:val="12"/>
                      </w:rPr>
                    </w:pPr>
                    <w:r>
                      <w:rPr>
                        <w:rFonts w:ascii="Georgia" w:hAnsi="Georgia"/>
                        <w:sz w:val="12"/>
                      </w:rPr>
                      <w:t>El Encuentro tendrá lugar del 15 al 18 de noviembre de este año, en las instalaciones del Instituto</w:t>
                    </w:r>
                  </w:p>
                  <w:p>
                    <w:pPr>
                      <w:spacing w:line="133" w:lineRule="exact" w:before="21"/>
                      <w:ind w:left="0" w:right="-11" w:firstLine="0"/>
                      <w:jc w:val="left"/>
                      <w:rPr>
                        <w:rFonts w:ascii="Georgia" w:hAnsi="Georgia"/>
                        <w:sz w:val="12"/>
                      </w:rPr>
                    </w:pPr>
                    <w:r>
                      <w:rPr>
                        <w:rFonts w:ascii="Georgia" w:hAnsi="Georgia"/>
                        <w:sz w:val="12"/>
                      </w:rPr>
                      <w:t>Tecnológico de Mérida (</w:t>
                    </w:r>
                    <w:r>
                      <w:rPr>
                        <w:rFonts w:ascii="Georgia" w:hAnsi="Georgia"/>
                        <w:sz w:val="10"/>
                      </w:rPr>
                      <w:t>ITM</w:t>
                    </w:r>
                    <w:r>
                      <w:rPr>
                        <w:rFonts w:ascii="Georgia" w:hAnsi="Georgia"/>
                        <w:sz w:val="12"/>
                      </w:rPr>
                      <w:t>), en la ciudad capital del estado de Yucatán.</w:t>
                    </w:r>
                  </w:p>
                </w:txbxContent>
              </v:textbox>
              <w10:wrap type="none"/>
            </v:shape>
            <v:shape style="position:absolute;left:3600;top:6679;width:5422;height:438" type="#_x0000_t202" filled="false" stroked="false">
              <v:textbox inset="0,0,0,0">
                <w:txbxContent>
                  <w:p>
                    <w:pPr>
                      <w:spacing w:line="124" w:lineRule="exact" w:before="0"/>
                      <w:ind w:left="0" w:right="0" w:firstLine="0"/>
                      <w:jc w:val="left"/>
                      <w:rPr>
                        <w:rFonts w:ascii="Georgia" w:hAnsi="Georgia"/>
                        <w:sz w:val="12"/>
                      </w:rPr>
                    </w:pPr>
                    <w:r>
                      <w:rPr>
                        <w:rFonts w:ascii="Georgia" w:hAnsi="Georgia"/>
                        <w:sz w:val="12"/>
                      </w:rPr>
                      <w:t>Es  necesario  comentarles  que  deberán  cumplir  con  puntualidad  los  requerimientos  de  registro y</w:t>
                    </w:r>
                  </w:p>
                  <w:p>
                    <w:pPr>
                      <w:spacing w:line="280" w:lineRule="auto" w:before="21"/>
                      <w:ind w:left="0" w:right="0" w:firstLine="0"/>
                      <w:jc w:val="left"/>
                      <w:rPr>
                        <w:rFonts w:ascii="Georgia" w:hAnsi="Georgia"/>
                        <w:sz w:val="12"/>
                      </w:rPr>
                    </w:pPr>
                    <w:r>
                      <w:rPr>
                        <w:rFonts w:ascii="Georgia" w:hAnsi="Georgia"/>
                        <w:sz w:val="12"/>
                      </w:rPr>
                      <w:t>documentación para inscribirse formalmente en el Encuentro, tal como se describe en los archivos anexos; en especial lo referente a los comprobantes para avalar la publicación formal de la ponencia.</w:t>
                    </w:r>
                  </w:p>
                </w:txbxContent>
              </v:textbox>
              <w10:wrap type="none"/>
            </v:shape>
            <v:shape style="position:absolute;left:3600;top:7310;width:5421;height:281" type="#_x0000_t202" filled="false" stroked="false">
              <v:textbox inset="0,0,0,0">
                <w:txbxContent>
                  <w:p>
                    <w:pPr>
                      <w:spacing w:line="124" w:lineRule="exact" w:before="0"/>
                      <w:ind w:left="0" w:right="-11" w:firstLine="0"/>
                      <w:jc w:val="left"/>
                      <w:rPr>
                        <w:rFonts w:ascii="Georgia" w:hAnsi="Georgia"/>
                        <w:sz w:val="12"/>
                      </w:rPr>
                    </w:pPr>
                    <w:r>
                      <w:rPr>
                        <w:rFonts w:ascii="Georgia" w:hAnsi="Georgia"/>
                        <w:sz w:val="12"/>
                      </w:rPr>
                      <w:t>Asimismo,  para  detalles  sobre  el  programa  del  evento  e  información  general  sobre  hotel  sede  y</w:t>
                    </w:r>
                  </w:p>
                  <w:p>
                    <w:pPr>
                      <w:spacing w:line="133" w:lineRule="exact" w:before="22"/>
                      <w:ind w:left="0" w:right="-11" w:firstLine="0"/>
                      <w:jc w:val="left"/>
                      <w:rPr>
                        <w:rFonts w:ascii="Georgia" w:hAnsi="Georgia"/>
                        <w:sz w:val="12"/>
                      </w:rPr>
                    </w:pPr>
                    <w:r>
                      <w:rPr>
                        <w:rFonts w:ascii="Georgia" w:hAnsi="Georgia"/>
                        <w:sz w:val="12"/>
                      </w:rPr>
                      <w:t>facilidades se puede consultar la página web de la Asociación: </w:t>
                    </w:r>
                    <w:hyperlink r:id="rId476">
                      <w:r>
                        <w:rPr>
                          <w:rFonts w:ascii="Georgia" w:hAnsi="Georgia"/>
                          <w:color w:val="0000FF"/>
                          <w:sz w:val="12"/>
                          <w:u w:val="single" w:color="0000FF"/>
                        </w:rPr>
                        <w:t>http://www.amecider.org.mx</w:t>
                      </w:r>
                      <w:r>
                        <w:rPr>
                          <w:rFonts w:ascii="Georgia" w:hAnsi="Georgia"/>
                          <w:sz w:val="12"/>
                        </w:rPr>
                        <w:t>.</w:t>
                      </w:r>
                    </w:hyperlink>
                  </w:p>
                </w:txbxContent>
              </v:textbox>
              <w10:wrap type="none"/>
            </v:shape>
            <v:shape style="position:absolute;left:3600;top:7784;width:5421;height:438" type="#_x0000_t202" filled="false" stroked="false">
              <v:textbox inset="0,0,0,0">
                <w:txbxContent>
                  <w:p>
                    <w:pPr>
                      <w:spacing w:line="124" w:lineRule="exact" w:before="0"/>
                      <w:ind w:left="0" w:right="-11" w:firstLine="0"/>
                      <w:jc w:val="left"/>
                      <w:rPr>
                        <w:rFonts w:ascii="Georgia" w:hAnsi="Georgia"/>
                        <w:sz w:val="12"/>
                      </w:rPr>
                    </w:pPr>
                    <w:r>
                      <w:rPr>
                        <w:rFonts w:ascii="Georgia" w:hAnsi="Georgia"/>
                        <w:sz w:val="12"/>
                      </w:rPr>
                      <w:t>Sin más sobre el particular, sólo nos resta agradecerles su participación en las actividades de esta</w:t>
                    </w:r>
                  </w:p>
                  <w:p>
                    <w:pPr>
                      <w:spacing w:line="278" w:lineRule="auto" w:before="22"/>
                      <w:ind w:left="0" w:right="-11" w:firstLine="0"/>
                      <w:jc w:val="left"/>
                      <w:rPr>
                        <w:rFonts w:ascii="Georgia" w:hAnsi="Georgia"/>
                        <w:sz w:val="12"/>
                      </w:rPr>
                    </w:pPr>
                    <w:r>
                      <w:rPr>
                        <w:rFonts w:ascii="Georgia" w:hAnsi="Georgia"/>
                        <w:sz w:val="12"/>
                      </w:rPr>
                      <w:t>vigesimoprimera edición de la reunión nacional de trabajo de la AMECIDER y esperamos saludarles personalmente durante el evento.</w:t>
                    </w:r>
                  </w:p>
                </w:txbxContent>
              </v:textbox>
              <w10:wrap type="none"/>
            </v:shape>
            <v:shape style="position:absolute;left:5791;top:8417;width:1037;height:280" type="#_x0000_t202" filled="false" stroked="false">
              <v:textbox inset="0,0,0,0">
                <w:txbxContent>
                  <w:p>
                    <w:pPr>
                      <w:spacing w:line="124" w:lineRule="exact" w:before="0"/>
                      <w:ind w:left="98" w:right="99" w:firstLine="0"/>
                      <w:jc w:val="center"/>
                      <w:rPr>
                        <w:rFonts w:ascii="Georgia"/>
                        <w:b/>
                        <w:sz w:val="12"/>
                      </w:rPr>
                    </w:pPr>
                    <w:r>
                      <w:rPr>
                        <w:rFonts w:ascii="Georgia"/>
                        <w:b/>
                        <w:sz w:val="12"/>
                      </w:rPr>
                      <w:t>Atentamente</w:t>
                    </w:r>
                  </w:p>
                  <w:p>
                    <w:pPr>
                      <w:spacing w:line="133" w:lineRule="exact" w:before="21"/>
                      <w:ind w:left="-1" w:right="0" w:firstLine="0"/>
                      <w:jc w:val="center"/>
                      <w:rPr>
                        <w:rFonts w:ascii="Georgia" w:hAnsi="Georgia"/>
                        <w:b/>
                        <w:sz w:val="12"/>
                      </w:rPr>
                    </w:pPr>
                    <w:r>
                      <w:rPr>
                        <w:rFonts w:ascii="Georgia" w:hAnsi="Georgia"/>
                        <w:b/>
                        <w:sz w:val="12"/>
                      </w:rPr>
                      <w:t>“La Región</w:t>
                    </w:r>
                    <w:r>
                      <w:rPr>
                        <w:rFonts w:ascii="Georgia" w:hAnsi="Georgia"/>
                        <w:b/>
                        <w:spacing w:val="5"/>
                        <w:sz w:val="12"/>
                      </w:rPr>
                      <w:t> </w:t>
                    </w:r>
                    <w:r>
                      <w:rPr>
                        <w:rFonts w:ascii="Georgia" w:hAnsi="Georgia"/>
                        <w:b/>
                        <w:sz w:val="12"/>
                      </w:rPr>
                      <w:t>Hoy”</w:t>
                    </w:r>
                  </w:p>
                </w:txbxContent>
              </v:textbox>
              <w10:wrap type="none"/>
            </v:shape>
            <v:shape style="position:absolute;left:3672;top:9365;width:2361;height:280" type="#_x0000_t202" filled="false" stroked="false">
              <v:textbox inset="0,0,0,0">
                <w:txbxContent>
                  <w:p>
                    <w:pPr>
                      <w:spacing w:line="124" w:lineRule="exact" w:before="0"/>
                      <w:ind w:left="0" w:right="0" w:firstLine="0"/>
                      <w:jc w:val="center"/>
                      <w:rPr>
                        <w:rFonts w:ascii="Georgia" w:hAnsi="Georgia"/>
                        <w:b/>
                        <w:sz w:val="12"/>
                      </w:rPr>
                    </w:pPr>
                    <w:r>
                      <w:rPr>
                        <w:rFonts w:ascii="Georgia" w:hAnsi="Georgia"/>
                        <w:b/>
                        <w:sz w:val="12"/>
                      </w:rPr>
                      <w:t>Dra. Serena Eréndira Serrano Oswald</w:t>
                    </w:r>
                  </w:p>
                  <w:p>
                    <w:pPr>
                      <w:spacing w:line="133" w:lineRule="exact" w:before="21"/>
                      <w:ind w:left="1" w:right="0" w:firstLine="0"/>
                      <w:jc w:val="center"/>
                      <w:rPr>
                        <w:rFonts w:ascii="Georgia"/>
                        <w:b/>
                        <w:sz w:val="12"/>
                      </w:rPr>
                    </w:pPr>
                    <w:r>
                      <w:rPr>
                        <w:rFonts w:ascii="Georgia"/>
                        <w:b/>
                        <w:sz w:val="12"/>
                      </w:rPr>
                      <w:t>Presidenta de la AMECIDER</w:t>
                    </w:r>
                  </w:p>
                </w:txbxContent>
              </v:textbox>
              <w10:wrap type="none"/>
            </v:shape>
            <v:shape style="position:absolute;left:6880;top:9365;width:1774;height:280" type="#_x0000_t202" filled="false" stroked="false">
              <v:textbox inset="0,0,0,0">
                <w:txbxContent>
                  <w:p>
                    <w:pPr>
                      <w:spacing w:line="124" w:lineRule="exact" w:before="0"/>
                      <w:ind w:left="0" w:right="0" w:firstLine="0"/>
                      <w:jc w:val="center"/>
                      <w:rPr>
                        <w:rFonts w:ascii="Georgia" w:hAnsi="Georgia"/>
                        <w:b/>
                        <w:sz w:val="12"/>
                      </w:rPr>
                    </w:pPr>
                    <w:r>
                      <w:rPr>
                        <w:rFonts w:ascii="Georgia" w:hAnsi="Georgia"/>
                        <w:b/>
                        <w:sz w:val="12"/>
                      </w:rPr>
                      <w:t>Dr. Adolfo Sánchez Almanza</w:t>
                    </w:r>
                  </w:p>
                  <w:p>
                    <w:pPr>
                      <w:spacing w:line="133" w:lineRule="exact" w:before="21"/>
                      <w:ind w:left="0" w:right="0" w:firstLine="0"/>
                      <w:jc w:val="center"/>
                      <w:rPr>
                        <w:rFonts w:ascii="Georgia" w:hAnsi="Georgia"/>
                        <w:b/>
                        <w:sz w:val="12"/>
                      </w:rPr>
                    </w:pPr>
                    <w:r>
                      <w:rPr>
                        <w:rFonts w:ascii="Georgia" w:hAnsi="Georgia"/>
                        <w:b/>
                        <w:sz w:val="12"/>
                      </w:rPr>
                      <w:t>Coordinador Académico</w:t>
                    </w:r>
                  </w:p>
                </w:txbxContent>
              </v:textbox>
              <w10:wrap type="none"/>
            </v:shape>
            <w10:wrap type="topAndBottom"/>
          </v:group>
        </w:pict>
      </w:r>
      <w:r>
        <w:rPr>
          <w:sz w:val="24"/>
        </w:rPr>
        <w:t>Título del artículo: </w:t>
      </w:r>
      <w:r>
        <w:rPr>
          <w:i/>
          <w:sz w:val="24"/>
        </w:rPr>
        <w:t>“Sistema de indicadores territoriales para evaluar la </w:t>
      </w:r>
      <w:r>
        <w:rPr>
          <w:i/>
          <w:sz w:val="24"/>
        </w:rPr>
        <w:t>sustentabilidad de conjuntos urbanos en el Estado de México: caso de estudio Calimaya”.</w:t>
      </w:r>
    </w:p>
    <w:p>
      <w:pPr>
        <w:pStyle w:val="BodyText"/>
        <w:spacing w:line="214" w:lineRule="exact"/>
        <w:ind w:right="219"/>
        <w:jc w:val="right"/>
      </w:pPr>
      <w:r>
        <w:rPr/>
        <w:t>306</w:t>
      </w:r>
    </w:p>
    <w:sectPr>
      <w:headerReference w:type="default" r:id="rId468"/>
      <w:footerReference w:type="default" r:id="rId469"/>
      <w:pgSz w:w="12240" w:h="15840"/>
      <w:pgMar w:header="730" w:footer="0" w:top="1320" w:bottom="280" w:left="1460" w:right="14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ambria">
    <w:altName w:val="Cambria"/>
    <w:charset w:val="0"/>
    <w:family w:val="roman"/>
    <w:pitch w:val="variable"/>
  </w:font>
  <w:font w:name="Calibri">
    <w:altName w:val="Calibri"/>
    <w:charset w:val="0"/>
    <w:family w:val="swiss"/>
    <w:pitch w:val="variable"/>
  </w:font>
  <w:font w:name="Georgia">
    <w:altName w:val="Georgia"/>
    <w:charset w:val="0"/>
    <w:family w:val="roman"/>
    <w:pitch w:val="variable"/>
  </w:font>
  <w:font w:name="Verdana">
    <w:altName w:val="Verdan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2.616028pt;margin-top:727.716248pt;width:10.7pt;height:14pt;mso-position-horizontal-relative:page;mso-position-vertical-relative:page;z-index:-11569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942017pt;margin-top:727.716248pt;width:17.350pt;height:14pt;mso-position-horizontal-relative:page;mso-position-vertical-relative:page;z-index:-11567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942017pt;margin-top:727.716248pt;width:17.350pt;height:14pt;mso-position-horizontal-relative:page;mso-position-vertical-relative:page;z-index:-11566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40</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942017pt;margin-top:727.716248pt;width:17.350pt;height:14pt;mso-position-horizontal-relative:page;mso-position-vertical-relative:page;z-index:-11565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48</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42017pt;margin-top:727.716248pt;width:15.35pt;height:14pt;mso-position-horizontal-relative:page;mso-position-vertical-relative:page;z-index:-1156504" type="#_x0000_t202" filled="false" stroked="false">
          <v:textbox inset="0,0,0,0">
            <w:txbxContent>
              <w:p>
                <w:pPr>
                  <w:pStyle w:val="BodyText"/>
                  <w:spacing w:line="265" w:lineRule="exact"/>
                  <w:ind w:left="20"/>
                </w:pPr>
                <w:r>
                  <w:rPr/>
                  <w:t>50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2.616028pt;margin-top:727.716248pt;width:10.7pt;height:14pt;mso-position-horizontal-relative:page;mso-position-vertical-relative:page;z-index:-11569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942017pt;margin-top:727.716248pt;width:17.350pt;height:14pt;mso-position-horizontal-relative:page;mso-position-vertical-relative:page;z-index:-11564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42017pt;margin-top:727.716248pt;width:15.35pt;height:14pt;mso-position-horizontal-relative:page;mso-position-vertical-relative:page;z-index:-1156456" type="#_x0000_t202" filled="false" stroked="false">
          <v:textbox inset="0,0,0,0">
            <w:txbxContent>
              <w:p>
                <w:pPr>
                  <w:pStyle w:val="BodyText"/>
                  <w:spacing w:line="265" w:lineRule="exact"/>
                  <w:ind w:left="20"/>
                </w:pPr>
                <w:r>
                  <w:rPr/>
                  <w:t>60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42017pt;margin-top:727.716248pt;width:15.35pt;height:14pt;mso-position-horizontal-relative:page;mso-position-vertical-relative:page;z-index:-1156432" type="#_x0000_t202" filled="false" stroked="false">
          <v:textbox inset="0,0,0,0">
            <w:txbxContent>
              <w:p>
                <w:pPr>
                  <w:pStyle w:val="BodyText"/>
                  <w:spacing w:line="265" w:lineRule="exact"/>
                  <w:ind w:left="20"/>
                </w:pPr>
                <w:r>
                  <w:rPr/>
                  <w:t>61</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942017pt;margin-top:727.716248pt;width:17.350pt;height:14pt;mso-position-horizontal-relative:page;mso-position-vertical-relative:page;z-index:-11563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65</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42017pt;margin-top:727.716248pt;width:15.35pt;height:14pt;mso-position-horizontal-relative:page;mso-position-vertical-relative:page;z-index:-1156336" type="#_x0000_t202" filled="false" stroked="false">
          <v:textbox inset="0,0,0,0">
            <w:txbxContent>
              <w:p>
                <w:pPr>
                  <w:pStyle w:val="BodyText"/>
                  <w:spacing w:line="265" w:lineRule="exact"/>
                  <w:ind w:left="20"/>
                </w:pPr>
                <w:r>
                  <w:rPr/>
                  <w:t>70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942017pt;margin-top:727.716248pt;width:17.350pt;height:14pt;mso-position-horizontal-relative:page;mso-position-vertical-relative:page;z-index:-11563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71</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42017pt;margin-top:727.716248pt;width:15.35pt;height:14pt;mso-position-horizontal-relative:page;mso-position-vertical-relative:page;z-index:-1156288" type="#_x0000_t202" filled="false" stroked="false">
          <v:textbox inset="0,0,0,0">
            <w:txbxContent>
              <w:p>
                <w:pPr>
                  <w:pStyle w:val="BodyText"/>
                  <w:spacing w:line="265" w:lineRule="exact"/>
                  <w:ind w:left="20"/>
                </w:pPr>
                <w:r>
                  <w:rPr/>
                  <w:t>80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42017pt;margin-top:727.716248pt;width:15.35pt;height:14pt;mso-position-horizontal-relative:page;mso-position-vertical-relative:page;z-index:-1156888" type="#_x0000_t202" filled="false" stroked="false">
          <v:textbox inset="0,0,0,0">
            <w:txbxContent>
              <w:p>
                <w:pPr>
                  <w:pStyle w:val="BodyText"/>
                  <w:spacing w:line="265" w:lineRule="exact"/>
                  <w:ind w:left="20"/>
                </w:pPr>
                <w:r>
                  <w:rPr/>
                  <w:t>10</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942017pt;margin-top:727.716248pt;width:17.350pt;height:14pt;mso-position-horizontal-relative:page;mso-position-vertical-relative:page;z-index:-115626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81</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42017pt;margin-top:727.716248pt;width:15.35pt;height:14pt;mso-position-horizontal-relative:page;mso-position-vertical-relative:page;z-index:-1156240" type="#_x0000_t202" filled="false" stroked="false">
          <v:textbox inset="0,0,0,0">
            <w:txbxContent>
              <w:p>
                <w:pPr>
                  <w:pStyle w:val="BodyText"/>
                  <w:spacing w:line="265" w:lineRule="exact"/>
                  <w:ind w:left="20"/>
                </w:pPr>
                <w:r>
                  <w:rPr/>
                  <w:t>90</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942017pt;margin-top:727.716248pt;width:17.350pt;height:14pt;mso-position-horizontal-relative:page;mso-position-vertical-relative:page;z-index:-115621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91</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268982pt;margin-top:727.716248pt;width:22.05pt;height:14pt;mso-position-horizontal-relative:page;mso-position-vertical-relative:page;z-index:-1156192" type="#_x0000_t202" filled="false" stroked="false">
          <v:textbox inset="0,0,0,0">
            <w:txbxContent>
              <w:p>
                <w:pPr>
                  <w:pStyle w:val="BodyText"/>
                  <w:spacing w:line="265" w:lineRule="exact"/>
                  <w:ind w:left="20"/>
                </w:pPr>
                <w:r>
                  <w:rPr/>
                  <w:t>100</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68982pt;margin-top:727.716248pt;width:24.05pt;height:14pt;mso-position-horizontal-relative:page;mso-position-vertical-relative:page;z-index:-115616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101</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268982pt;margin-top:727.716248pt;width:22.05pt;height:14pt;mso-position-horizontal-relative:page;mso-position-vertical-relative:page;z-index:-1156144" type="#_x0000_t202" filled="false" stroked="false">
          <v:textbox inset="0,0,0,0">
            <w:txbxContent>
              <w:p>
                <w:pPr>
                  <w:pStyle w:val="BodyText"/>
                  <w:spacing w:line="265" w:lineRule="exact"/>
                  <w:ind w:left="20"/>
                </w:pPr>
                <w:r>
                  <w:rPr/>
                  <w:t>110</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68982pt;margin-top:727.716248pt;width:24.05pt;height:14pt;mso-position-horizontal-relative:page;mso-position-vertical-relative:page;z-index:-11561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111</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68982pt;margin-top:727.716248pt;width:24.05pt;height:14pt;mso-position-horizontal-relative:page;mso-position-vertical-relative:page;z-index:-115609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114</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68982pt;margin-top:727.716248pt;width:24.05pt;height:14pt;mso-position-horizontal-relative:page;mso-position-vertical-relative:page;z-index:-115607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118</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268982pt;margin-top:727.716248pt;width:22.05pt;height:14pt;mso-position-horizontal-relative:page;mso-position-vertical-relative:page;z-index:-1156048" type="#_x0000_t202" filled="false" stroked="false">
          <v:textbox inset="0,0,0,0">
            <w:txbxContent>
              <w:p>
                <w:pPr>
                  <w:pStyle w:val="BodyText"/>
                  <w:spacing w:line="265" w:lineRule="exact"/>
                  <w:ind w:left="20"/>
                </w:pPr>
                <w:r>
                  <w:rPr/>
                  <w:t>120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942017pt;margin-top:727.716248pt;width:17.350pt;height:14pt;mso-position-horizontal-relative:page;mso-position-vertical-relative:page;z-index:-115686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68982pt;margin-top:727.716248pt;width:24.05pt;height:14pt;mso-position-horizontal-relative:page;mso-position-vertical-relative:page;z-index:-115602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121</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268982pt;margin-top:727.716248pt;width:22.05pt;height:14pt;mso-position-horizontal-relative:page;mso-position-vertical-relative:page;z-index:-1156000" type="#_x0000_t202" filled="false" stroked="false">
          <v:textbox inset="0,0,0,0">
            <w:txbxContent>
              <w:p>
                <w:pPr>
                  <w:pStyle w:val="BodyText"/>
                  <w:spacing w:line="265" w:lineRule="exact"/>
                  <w:ind w:left="20"/>
                </w:pPr>
                <w:r>
                  <w:rPr/>
                  <w:t>130</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68982pt;margin-top:727.716248pt;width:24.05pt;height:14pt;mso-position-horizontal-relative:page;mso-position-vertical-relative:page;z-index:-11559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131</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268982pt;margin-top:727.716248pt;width:22.05pt;height:14pt;mso-position-horizontal-relative:page;mso-position-vertical-relative:page;z-index:-1155952" type="#_x0000_t202" filled="false" stroked="false">
          <v:textbox inset="0,0,0,0">
            <w:txbxContent>
              <w:p>
                <w:pPr>
                  <w:pStyle w:val="BodyText"/>
                  <w:spacing w:line="265" w:lineRule="exact"/>
                  <w:ind w:left="20"/>
                </w:pPr>
                <w:r>
                  <w:rPr/>
                  <w:t>140</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68982pt;margin-top:727.716248pt;width:24.05pt;height:14pt;mso-position-horizontal-relative:page;mso-position-vertical-relative:page;z-index:-11559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141</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68982pt;margin-top:727.716248pt;width:24.05pt;height:14pt;mso-position-horizontal-relative:page;mso-position-vertical-relative:page;z-index:-115590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150</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268982pt;margin-top:727.716248pt;width:22.05pt;height:14pt;mso-position-horizontal-relative:page;mso-position-vertical-relative:page;z-index:-1155880" type="#_x0000_t202" filled="false" stroked="false">
          <v:textbox inset="0,0,0,0">
            <w:txbxContent>
              <w:p>
                <w:pPr>
                  <w:pStyle w:val="BodyText"/>
                  <w:spacing w:line="265" w:lineRule="exact"/>
                  <w:ind w:left="20"/>
                </w:pPr>
                <w:r>
                  <w:rPr/>
                  <w:t>160</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68982pt;margin-top:727.716248pt;width:24.05pt;height:14pt;mso-position-horizontal-relative:page;mso-position-vertical-relative:page;z-index:-115585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161</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268982pt;margin-top:727.716248pt;width:22.05pt;height:14pt;mso-position-horizontal-relative:page;mso-position-vertical-relative:page;z-index:-1155832" type="#_x0000_t202" filled="false" stroked="false">
          <v:textbox inset="0,0,0,0">
            <w:txbxContent>
              <w:p>
                <w:pPr>
                  <w:pStyle w:val="BodyText"/>
                  <w:spacing w:line="265" w:lineRule="exact"/>
                  <w:ind w:left="20"/>
                </w:pPr>
                <w:r>
                  <w:rPr/>
                  <w:t>170</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68982pt;margin-top:727.716248pt;width:24.05pt;height:14pt;mso-position-horizontal-relative:page;mso-position-vertical-relative:page;z-index:-11558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171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42017pt;margin-top:727.716248pt;width:15.35pt;height:14pt;mso-position-horizontal-relative:page;mso-position-vertical-relative:page;z-index:-1156840" type="#_x0000_t202" filled="false" stroked="false">
          <v:textbox inset="0,0,0,0">
            <w:txbxContent>
              <w:p>
                <w:pPr>
                  <w:pStyle w:val="BodyText"/>
                  <w:spacing w:line="265" w:lineRule="exact"/>
                  <w:ind w:left="20"/>
                </w:pPr>
                <w:r>
                  <w:rPr/>
                  <w:t>20</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268982pt;margin-top:727.716248pt;width:22.05pt;height:14pt;mso-position-horizontal-relative:page;mso-position-vertical-relative:page;z-index:-1155784" type="#_x0000_t202" filled="false" stroked="false">
          <v:textbox inset="0,0,0,0">
            <w:txbxContent>
              <w:p>
                <w:pPr>
                  <w:pStyle w:val="BodyText"/>
                  <w:spacing w:line="265" w:lineRule="exact"/>
                  <w:ind w:left="20"/>
                </w:pPr>
                <w:r>
                  <w:rPr/>
                  <w:t>180</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68982pt;margin-top:727.716248pt;width:24.05pt;height:14pt;mso-position-horizontal-relative:page;mso-position-vertical-relative:page;z-index:-11557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181</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268982pt;margin-top:727.716248pt;width:22.05pt;height:14pt;mso-position-horizontal-relative:page;mso-position-vertical-relative:page;z-index:-1155736" type="#_x0000_t202" filled="false" stroked="false">
          <v:textbox inset="0,0,0,0">
            <w:txbxContent>
              <w:p>
                <w:pPr>
                  <w:pStyle w:val="BodyText"/>
                  <w:spacing w:line="265" w:lineRule="exact"/>
                  <w:ind w:left="20"/>
                </w:pPr>
                <w:r>
                  <w:rPr/>
                  <w:t>190</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68982pt;margin-top:727.716248pt;width:24.05pt;height:14pt;mso-position-horizontal-relative:page;mso-position-vertical-relative:page;z-index:-11557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191</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268982pt;margin-top:727.716248pt;width:22.05pt;height:14pt;mso-position-horizontal-relative:page;mso-position-vertical-relative:page;z-index:-1155544" type="#_x0000_t202" filled="false" stroked="false">
          <v:textbox inset="0,0,0,0">
            <w:txbxContent>
              <w:p>
                <w:pPr>
                  <w:pStyle w:val="BodyText"/>
                  <w:spacing w:line="265" w:lineRule="exact"/>
                  <w:ind w:left="20"/>
                </w:pPr>
                <w:r>
                  <w:rPr/>
                  <w:t>200</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68982pt;margin-top:727.716248pt;width:24.05pt;height:14pt;mso-position-horizontal-relative:page;mso-position-vertical-relative:page;z-index:-11555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201</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268982pt;margin-top:727.716248pt;width:22.05pt;height:14pt;mso-position-horizontal-relative:page;mso-position-vertical-relative:page;z-index:-1155496" type="#_x0000_t202" filled="false" stroked="false">
          <v:textbox inset="0,0,0,0">
            <w:txbxContent>
              <w:p>
                <w:pPr>
                  <w:pStyle w:val="BodyText"/>
                  <w:spacing w:line="265" w:lineRule="exact"/>
                  <w:ind w:left="20"/>
                </w:pPr>
                <w:r>
                  <w:rPr/>
                  <w:t>210</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68982pt;margin-top:727.716248pt;width:24.05pt;height:14pt;mso-position-horizontal-relative:page;mso-position-vertical-relative:page;z-index:-115547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214</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268982pt;margin-top:727.716248pt;width:22.05pt;height:14pt;mso-position-horizontal-relative:page;mso-position-vertical-relative:page;z-index:-1155448" type="#_x0000_t202" filled="false" stroked="false">
          <v:textbox inset="0,0,0,0">
            <w:txbxContent>
              <w:p>
                <w:pPr>
                  <w:pStyle w:val="BodyText"/>
                  <w:spacing w:line="265" w:lineRule="exact"/>
                  <w:ind w:left="20"/>
                </w:pPr>
                <w:r>
                  <w:rPr/>
                  <w:t>220</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68982pt;margin-top:727.716248pt;width:24.05pt;height:14pt;mso-position-horizontal-relative:page;mso-position-vertical-relative:page;z-index:-115542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942017pt;margin-top:727.716248pt;width:17.350pt;height:14pt;mso-position-horizontal-relative:page;mso-position-vertical-relative:page;z-index:-115681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21</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268982pt;margin-top:727.716248pt;width:22.05pt;height:14pt;mso-position-horizontal-relative:page;mso-position-vertical-relative:page;z-index:-1155400" type="#_x0000_t202" filled="false" stroked="false">
          <v:textbox inset="0,0,0,0">
            <w:txbxContent>
              <w:p>
                <w:pPr>
                  <w:pStyle w:val="BodyText"/>
                  <w:spacing w:line="265" w:lineRule="exact"/>
                  <w:ind w:left="20"/>
                </w:pPr>
                <w:r>
                  <w:rPr/>
                  <w:t>230</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68982pt;margin-top:727.716248pt;width:24.05pt;height:14pt;mso-position-horizontal-relative:page;mso-position-vertical-relative:page;z-index:-11553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231</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68982pt;margin-top:727.716248pt;width:23.05pt;height:14pt;mso-position-horizontal-relative:page;mso-position-vertical-relative:page;z-index:-1155304" type="#_x0000_t202" filled="false" stroked="false">
          <v:textbox inset="0,0,0,0">
            <w:txbxContent>
              <w:p>
                <w:pPr>
                  <w:pStyle w:val="BodyText"/>
                  <w:spacing w:line="265" w:lineRule="exact"/>
                  <w:ind w:left="40" w:right="-10"/>
                </w:pPr>
                <w:r>
                  <w:rPr/>
                  <w:fldChar w:fldCharType="begin"/>
                </w:r>
                <w:r>
                  <w:rPr/>
                  <w:instrText> PAGE </w:instrText>
                </w:r>
                <w:r>
                  <w:rPr/>
                  <w:fldChar w:fldCharType="separate"/>
                </w:r>
                <w:r>
                  <w:rPr/>
                  <w:t>23</w:t>
                </w:r>
                <w:r>
                  <w:rPr/>
                  <w:fldChar w:fldCharType="end"/>
                </w:r>
                <w:r>
                  <w:rPr/>
                  <w:t>9</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268982pt;margin-top:727.716248pt;width:22.05pt;height:14pt;mso-position-horizontal-relative:page;mso-position-vertical-relative:page;z-index:-1155280" type="#_x0000_t202" filled="false" stroked="false">
          <v:textbox inset="0,0,0,0">
            <w:txbxContent>
              <w:p>
                <w:pPr>
                  <w:pStyle w:val="BodyText"/>
                  <w:spacing w:line="265" w:lineRule="exact"/>
                  <w:ind w:left="20"/>
                </w:pPr>
                <w:r>
                  <w:rPr/>
                  <w:t>241</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68982pt;margin-top:727.716248pt;width:24.05pt;height:14pt;mso-position-horizontal-relative:page;mso-position-vertical-relative:page;z-index:-11552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244</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268982pt;margin-top:727.716248pt;width:22.05pt;height:14pt;mso-position-horizontal-relative:page;mso-position-vertical-relative:page;z-index:-1155208" type="#_x0000_t202" filled="false" stroked="false">
          <v:textbox inset="0,0,0,0">
            <w:txbxContent>
              <w:p>
                <w:pPr>
                  <w:pStyle w:val="BodyText"/>
                  <w:spacing w:line="265" w:lineRule="exact"/>
                  <w:ind w:left="20"/>
                </w:pPr>
                <w:r>
                  <w:rPr/>
                  <w:t>250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68982pt;margin-top:727.716248pt;width:24.05pt;height:14pt;mso-position-horizontal-relative:page;mso-position-vertical-relative:page;z-index:-115518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251</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268982pt;margin-top:727.716248pt;width:22.05pt;height:14pt;mso-position-horizontal-relative:page;mso-position-vertical-relative:page;z-index:-1155160" type="#_x0000_t202" filled="false" stroked="false">
          <v:textbox inset="0,0,0,0">
            <w:txbxContent>
              <w:p>
                <w:pPr>
                  <w:pStyle w:val="BodyText"/>
                  <w:spacing w:line="265" w:lineRule="exact"/>
                  <w:ind w:left="20"/>
                </w:pPr>
                <w:r>
                  <w:rPr/>
                  <w:t>260</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68982pt;margin-top:727.716248pt;width:24.05pt;height:14pt;mso-position-horizontal-relative:page;mso-position-vertical-relative:page;z-index:-11551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261</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268982pt;margin-top:727.716248pt;width:22.05pt;height:14pt;mso-position-horizontal-relative:page;mso-position-vertical-relative:page;z-index:-1155112" type="#_x0000_t202" filled="false" stroked="false">
          <v:textbox inset="0,0,0,0">
            <w:txbxContent>
              <w:p>
                <w:pPr>
                  <w:pStyle w:val="BodyText"/>
                  <w:spacing w:line="265" w:lineRule="exact"/>
                  <w:ind w:left="20"/>
                </w:pPr>
                <w:r>
                  <w:rPr/>
                  <w:t>270</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68982pt;margin-top:727.716248pt;width:24.05pt;height:14pt;mso-position-horizontal-relative:page;mso-position-vertical-relative:page;z-index:-115508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271</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268982pt;margin-top:727.716248pt;width:22.05pt;height:14pt;mso-position-horizontal-relative:page;mso-position-vertical-relative:page;z-index:-1155064" type="#_x0000_t202" filled="false" stroked="false">
          <v:textbox inset="0,0,0,0">
            <w:txbxContent>
              <w:p>
                <w:pPr>
                  <w:pStyle w:val="BodyText"/>
                  <w:spacing w:line="265" w:lineRule="exact"/>
                  <w:ind w:left="20"/>
                </w:pPr>
                <w:r>
                  <w:rPr/>
                  <w:t>280</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68982pt;margin-top:727.716248pt;width:24.05pt;height:14pt;mso-position-horizontal-relative:page;mso-position-vertical-relative:page;z-index:-11550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281</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268982pt;margin-top:727.716248pt;width:22.05pt;height:14pt;mso-position-horizontal-relative:page;mso-position-vertical-relative:page;z-index:-1155016" type="#_x0000_t202" filled="false" stroked="false">
          <v:textbox inset="0,0,0,0">
            <w:txbxContent>
              <w:p>
                <w:pPr>
                  <w:pStyle w:val="BodyText"/>
                  <w:spacing w:line="265" w:lineRule="exact"/>
                  <w:ind w:left="20"/>
                </w:pPr>
                <w:r>
                  <w:rPr/>
                  <w:t>290</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268982pt;margin-top:727.716248pt;width:24.05pt;height:14pt;mso-position-horizontal-relative:page;mso-position-vertical-relative:page;z-index:-115499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291</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937988pt;margin-top:547.836243pt;width:24.05pt;height:14pt;mso-position-horizontal-relative:page;mso-position-vertical-relative:page;z-index:-115494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296</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942017pt;margin-top:727.716248pt;width:17.350pt;height:14pt;mso-position-horizontal-relative:page;mso-position-vertical-relative:page;z-index:-115676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25</w:t>
                </w:r>
                <w:r>
                  <w:rPr/>
                  <w:fldChar w:fldCharType="end"/>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4.917999pt;margin-top:727.716248pt;width:24.05pt;height:14pt;mso-position-horizontal-relative:page;mso-position-vertical-relative:page;z-index:-11548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300</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42017pt;margin-top:727.716248pt;width:15.35pt;height:14pt;mso-position-horizontal-relative:page;mso-position-vertical-relative:page;z-index:-1156744" type="#_x0000_t202" filled="false" stroked="false">
          <v:textbox inset="0,0,0,0">
            <w:txbxContent>
              <w:p>
                <w:pPr>
                  <w:pStyle w:val="BodyText"/>
                  <w:spacing w:line="265" w:lineRule="exact"/>
                  <w:ind w:left="20"/>
                </w:pPr>
                <w:r>
                  <w:rPr/>
                  <w:t>30</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69.240005pt;margin-top:71.076225pt;width:74.05pt;height:14pt;mso-position-horizontal-relative:page;mso-position-vertical-relative:page;z-index:-1157008" type="#_x0000_t202" filled="false" stroked="false">
          <v:textbox inset="0,0,0,0">
            <w:txbxContent>
              <w:p>
                <w:pPr>
                  <w:spacing w:line="265" w:lineRule="exact" w:before="0"/>
                  <w:ind w:left="20" w:right="0" w:firstLine="0"/>
                  <w:jc w:val="left"/>
                  <w:rPr>
                    <w:b/>
                    <w:sz w:val="24"/>
                  </w:rPr>
                </w:pPr>
                <w:r>
                  <w:rPr>
                    <w:b/>
                    <w:sz w:val="24"/>
                  </w:rPr>
                  <w:t>Dedicatorias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7.102997pt;margin-top:35.502308pt;width:286.45pt;height:31.8pt;mso-position-horizontal-relative:page;mso-position-vertical-relative:page;z-index:-1156552" type="#_x0000_t202" filled="false" stroked="false">
          <v:textbox inset="0,0,0,0">
            <w:txbxContent>
              <w:p>
                <w:pPr>
                  <w:spacing w:before="0"/>
                  <w:ind w:left="19" w:right="17" w:firstLine="0"/>
                  <w:jc w:val="center"/>
                  <w:rPr>
                    <w:b/>
                    <w:sz w:val="16"/>
                  </w:rPr>
                </w:pPr>
                <w:r>
                  <w:rPr>
                    <w:b/>
                    <w:sz w:val="16"/>
                  </w:rPr>
                  <w:t>Sustentabilidad del territorio: la participación del Estado, iniciativa privada y sociedad en la producción de vivienda formal</w:t>
                </w:r>
              </w:p>
              <w:p>
                <w:pPr>
                  <w:spacing w:before="70"/>
                  <w:ind w:left="19" w:right="17" w:firstLine="0"/>
                  <w:jc w:val="center"/>
                  <w:rPr>
                    <w:sz w:val="16"/>
                  </w:rPr>
                </w:pPr>
                <w:r>
                  <w:rPr>
                    <w:sz w:val="16"/>
                  </w:rPr>
                  <w:t>Tesis de Doctorado</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7.102997pt;margin-top:35.502308pt;width:286.45pt;height:31.8pt;mso-position-horizontal-relative:page;mso-position-vertical-relative:page;z-index:-1156408" type="#_x0000_t202" filled="false" stroked="false">
          <v:textbox inset="0,0,0,0">
            <w:txbxContent>
              <w:p>
                <w:pPr>
                  <w:spacing w:before="0"/>
                  <w:ind w:left="19" w:right="17" w:firstLine="0"/>
                  <w:jc w:val="center"/>
                  <w:rPr>
                    <w:b/>
                    <w:sz w:val="16"/>
                  </w:rPr>
                </w:pPr>
                <w:r>
                  <w:rPr>
                    <w:b/>
                    <w:sz w:val="16"/>
                  </w:rPr>
                  <w:t>Sustentabilidad del territorio: la participación del Estado, iniciativa privada y sociedad en la producción de vivienda formal</w:t>
                </w:r>
              </w:p>
              <w:p>
                <w:pPr>
                  <w:spacing w:before="70"/>
                  <w:ind w:left="19" w:right="17" w:firstLine="0"/>
                  <w:jc w:val="center"/>
                  <w:rPr>
                    <w:sz w:val="16"/>
                  </w:rPr>
                </w:pPr>
                <w:r>
                  <w:rPr>
                    <w:sz w:val="16"/>
                  </w:rPr>
                  <w:t>Tesis de Doctorado</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7.102997pt;margin-top:35.502308pt;width:286.45pt;height:31.8pt;mso-position-horizontal-relative:page;mso-position-vertical-relative:page;z-index:-1156384" type="#_x0000_t202" filled="false" stroked="false">
          <v:textbox inset="0,0,0,0">
            <w:txbxContent>
              <w:p>
                <w:pPr>
                  <w:spacing w:before="0"/>
                  <w:ind w:left="19" w:right="17" w:firstLine="0"/>
                  <w:jc w:val="center"/>
                  <w:rPr>
                    <w:b/>
                    <w:sz w:val="16"/>
                  </w:rPr>
                </w:pPr>
                <w:r>
                  <w:rPr>
                    <w:b/>
                    <w:sz w:val="16"/>
                  </w:rPr>
                  <w:t>Sustentabilidad del territorio: la participación del Estado, iniciativa privada y sociedad en la producción de vivienda formal</w:t>
                </w:r>
              </w:p>
              <w:p>
                <w:pPr>
                  <w:spacing w:before="70"/>
                  <w:ind w:left="19" w:right="17" w:firstLine="0"/>
                  <w:jc w:val="center"/>
                  <w:rPr>
                    <w:sz w:val="16"/>
                  </w:rPr>
                </w:pPr>
                <w:r>
                  <w:rPr>
                    <w:sz w:val="16"/>
                  </w:rPr>
                  <w:t>Tesis de Doctorado</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7.102997pt;margin-top:35.502308pt;width:286.45pt;height:31.8pt;mso-position-horizontal-relative:page;mso-position-vertical-relative:page;z-index:-1155688" type="#_x0000_t202" filled="false" stroked="false">
          <v:textbox inset="0,0,0,0">
            <w:txbxContent>
              <w:p>
                <w:pPr>
                  <w:spacing w:before="0"/>
                  <w:ind w:left="19" w:right="17" w:firstLine="0"/>
                  <w:jc w:val="center"/>
                  <w:rPr>
                    <w:b/>
                    <w:sz w:val="16"/>
                  </w:rPr>
                </w:pPr>
                <w:r>
                  <w:rPr>
                    <w:b/>
                    <w:sz w:val="16"/>
                  </w:rPr>
                  <w:t>Sustentabilidad del territorio: la participación del Estado, iniciativa privada y sociedad en la producción de vivienda formal</w:t>
                </w:r>
              </w:p>
              <w:p>
                <w:pPr>
                  <w:spacing w:before="70"/>
                  <w:ind w:left="19" w:right="17" w:firstLine="0"/>
                  <w:jc w:val="center"/>
                  <w:rPr>
                    <w:sz w:val="16"/>
                  </w:rPr>
                </w:pPr>
                <w:r>
                  <w:rPr>
                    <w:sz w:val="16"/>
                  </w:rPr>
                  <w:t>Tesis de Doctorado</w:t>
                </w:r>
              </w:p>
            </w:txbxContent>
          </v:textbox>
          <w10:wrap type="none"/>
        </v:shape>
      </w:pict>
    </w:r>
    <w:r>
      <w:rPr/>
      <w:pict>
        <v:shape style="position:absolute;margin-left:98.439903pt;margin-top:80.688599pt;width:230.6pt;height:12.8pt;mso-position-horizontal-relative:page;mso-position-vertical-relative:page;z-index:-1155664" type="#_x0000_t202" filled="false" stroked="false">
          <v:textbox inset="0,0,0,0">
            <w:txbxContent>
              <w:p>
                <w:pPr>
                  <w:spacing w:line="240" w:lineRule="exact" w:before="0"/>
                  <w:ind w:left="20" w:right="-12" w:firstLine="0"/>
                  <w:jc w:val="left"/>
                  <w:rPr>
                    <w:sz w:val="21"/>
                  </w:rPr>
                </w:pPr>
                <w:r>
                  <w:rPr>
                    <w:w w:val="105"/>
                    <w:sz w:val="21"/>
                  </w:rPr>
                  <w:t>Gráfica 6. Escenario de resultados por índices.</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7.102997pt;margin-top:35.502308pt;width:286.45pt;height:31.8pt;mso-position-horizontal-relative:page;mso-position-vertical-relative:page;z-index:-1155640" type="#_x0000_t202" filled="false" stroked="false">
          <v:textbox inset="0,0,0,0">
            <w:txbxContent>
              <w:p>
                <w:pPr>
                  <w:spacing w:before="0"/>
                  <w:ind w:left="19" w:right="17" w:firstLine="0"/>
                  <w:jc w:val="center"/>
                  <w:rPr>
                    <w:b/>
                    <w:sz w:val="16"/>
                  </w:rPr>
                </w:pPr>
                <w:r>
                  <w:rPr>
                    <w:b/>
                    <w:sz w:val="16"/>
                  </w:rPr>
                  <w:t>Sustentabilidad del territorio: la participación del Estado, iniciativa privada y sociedad en la producción de vivienda formal</w:t>
                </w:r>
              </w:p>
              <w:p>
                <w:pPr>
                  <w:spacing w:before="70"/>
                  <w:ind w:left="19" w:right="17" w:firstLine="0"/>
                  <w:jc w:val="center"/>
                  <w:rPr>
                    <w:sz w:val="16"/>
                  </w:rPr>
                </w:pPr>
                <w:r>
                  <w:rPr>
                    <w:sz w:val="16"/>
                  </w:rPr>
                  <w:t>Tesis de Doctorado</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7.102997pt;margin-top:35.502308pt;width:286.45pt;height:31.8pt;mso-position-horizontal-relative:page;mso-position-vertical-relative:page;z-index:-1155616" type="#_x0000_t202" filled="false" stroked="false">
          <v:textbox inset="0,0,0,0">
            <w:txbxContent>
              <w:p>
                <w:pPr>
                  <w:spacing w:before="0"/>
                  <w:ind w:left="19" w:right="17" w:firstLine="0"/>
                  <w:jc w:val="center"/>
                  <w:rPr>
                    <w:b/>
                    <w:sz w:val="16"/>
                  </w:rPr>
                </w:pPr>
                <w:r>
                  <w:rPr>
                    <w:b/>
                    <w:sz w:val="16"/>
                  </w:rPr>
                  <w:t>Sustentabilidad del territorio: la participación del Estado, iniciativa privada y sociedad en la producción de vivienda formal</w:t>
                </w:r>
              </w:p>
              <w:p>
                <w:pPr>
                  <w:spacing w:before="70"/>
                  <w:ind w:left="19" w:right="17" w:firstLine="0"/>
                  <w:jc w:val="center"/>
                  <w:rPr>
                    <w:sz w:val="16"/>
                  </w:rPr>
                </w:pPr>
                <w:r>
                  <w:rPr>
                    <w:sz w:val="16"/>
                  </w:rPr>
                  <w:t>Tesis de Doctorado</w:t>
                </w:r>
              </w:p>
            </w:txbxContent>
          </v:textbox>
          <w10:wrap type="none"/>
        </v:shape>
      </w:pict>
    </w:r>
    <w:r>
      <w:rPr/>
      <w:pict>
        <v:shape style="position:absolute;margin-left:98.439903pt;margin-top:80.688599pt;width:230.6pt;height:12.8pt;mso-position-horizontal-relative:page;mso-position-vertical-relative:page;z-index:-1155592" type="#_x0000_t202" filled="false" stroked="false">
          <v:textbox inset="0,0,0,0">
            <w:txbxContent>
              <w:p>
                <w:pPr>
                  <w:spacing w:line="240" w:lineRule="exact" w:before="0"/>
                  <w:ind w:left="20" w:right="-12" w:firstLine="0"/>
                  <w:jc w:val="left"/>
                  <w:rPr>
                    <w:sz w:val="21"/>
                  </w:rPr>
                </w:pPr>
                <w:r>
                  <w:rPr>
                    <w:w w:val="105"/>
                    <w:sz w:val="21"/>
                  </w:rPr>
                  <w:t>Gráfica 8. Escenario de resultados por índices.</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7.102997pt;margin-top:35.502308pt;width:286.45pt;height:31.8pt;mso-position-horizontal-relative:page;mso-position-vertical-relative:page;z-index:-1155568" type="#_x0000_t202" filled="false" stroked="false">
          <v:textbox inset="0,0,0,0">
            <w:txbxContent>
              <w:p>
                <w:pPr>
                  <w:spacing w:before="0"/>
                  <w:ind w:left="19" w:right="17" w:firstLine="0"/>
                  <w:jc w:val="center"/>
                  <w:rPr>
                    <w:b/>
                    <w:sz w:val="16"/>
                  </w:rPr>
                </w:pPr>
                <w:r>
                  <w:rPr>
                    <w:b/>
                    <w:sz w:val="16"/>
                  </w:rPr>
                  <w:t>Sustentabilidad del territorio: la participación del Estado, iniciativa privada y sociedad en la producción de vivienda formal</w:t>
                </w:r>
              </w:p>
              <w:p>
                <w:pPr>
                  <w:spacing w:before="70"/>
                  <w:ind w:left="19" w:right="17" w:firstLine="0"/>
                  <w:jc w:val="center"/>
                  <w:rPr>
                    <w:sz w:val="16"/>
                  </w:rPr>
                </w:pPr>
                <w:r>
                  <w:rPr>
                    <w:sz w:val="16"/>
                  </w:rPr>
                  <w:t>Tesis de Doctorado</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7.102997pt;margin-top:35.502308pt;width:286.45pt;height:31.8pt;mso-position-horizontal-relative:page;mso-position-vertical-relative:page;z-index:-1155352" type="#_x0000_t202" filled="false" stroked="false">
          <v:textbox inset="0,0,0,0">
            <w:txbxContent>
              <w:p>
                <w:pPr>
                  <w:spacing w:before="0"/>
                  <w:ind w:left="19" w:right="17" w:firstLine="0"/>
                  <w:jc w:val="center"/>
                  <w:rPr>
                    <w:b/>
                    <w:sz w:val="16"/>
                  </w:rPr>
                </w:pPr>
                <w:r>
                  <w:rPr>
                    <w:b/>
                    <w:sz w:val="16"/>
                  </w:rPr>
                  <w:t>Sustentabilidad del territorio: la participación del Estado, iniciativa privada y sociedad en la producción de vivienda formal</w:t>
                </w:r>
              </w:p>
              <w:p>
                <w:pPr>
                  <w:spacing w:before="70"/>
                  <w:ind w:left="19" w:right="17" w:firstLine="0"/>
                  <w:jc w:val="center"/>
                  <w:rPr>
                    <w:sz w:val="16"/>
                  </w:rPr>
                </w:pPr>
                <w:r>
                  <w:rPr>
                    <w:sz w:val="16"/>
                  </w:rPr>
                  <w:t>Tesis de Doctorado</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7.102997pt;margin-top:35.502308pt;width:286.45pt;height:31.8pt;mso-position-horizontal-relative:page;mso-position-vertical-relative:page;z-index:-1155328" type="#_x0000_t202" filled="false" stroked="false">
          <v:textbox inset="0,0,0,0">
            <w:txbxContent>
              <w:p>
                <w:pPr>
                  <w:spacing w:before="0"/>
                  <w:ind w:left="19" w:right="17" w:firstLine="0"/>
                  <w:jc w:val="center"/>
                  <w:rPr>
                    <w:b/>
                    <w:sz w:val="16"/>
                  </w:rPr>
                </w:pPr>
                <w:r>
                  <w:rPr>
                    <w:b/>
                    <w:sz w:val="16"/>
                  </w:rPr>
                  <w:t>Sustentabilidad del territorio: la participación del Estado, iniciativa privada y sociedad en la producción de vivienda formal</w:t>
                </w:r>
              </w:p>
              <w:p>
                <w:pPr>
                  <w:spacing w:before="70"/>
                  <w:ind w:left="19" w:right="17" w:firstLine="0"/>
                  <w:jc w:val="center"/>
                  <w:rPr>
                    <w:sz w:val="16"/>
                  </w:rPr>
                </w:pPr>
                <w:r>
                  <w:rPr>
                    <w:sz w:val="16"/>
                  </w:rPr>
                  <w:t>Tesis de Doctorado</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7.102997pt;margin-top:35.502308pt;width:286.45pt;height:31.8pt;mso-position-horizontal-relative:page;mso-position-vertical-relative:page;z-index:-1155256" type="#_x0000_t202" filled="false" stroked="false">
          <v:textbox inset="0,0,0,0">
            <w:txbxContent>
              <w:p>
                <w:pPr>
                  <w:spacing w:before="0"/>
                  <w:ind w:left="19" w:right="17" w:firstLine="0"/>
                  <w:jc w:val="center"/>
                  <w:rPr>
                    <w:b/>
                    <w:sz w:val="16"/>
                  </w:rPr>
                </w:pPr>
                <w:r>
                  <w:rPr>
                    <w:b/>
                    <w:sz w:val="16"/>
                  </w:rPr>
                  <w:t>Sustentabilidad del territorio: la participación del Estado, iniciativa privada y sociedad en la producción de vivienda formal</w:t>
                </w:r>
              </w:p>
              <w:p>
                <w:pPr>
                  <w:spacing w:before="70"/>
                  <w:ind w:left="19" w:right="17" w:firstLine="0"/>
                  <w:jc w:val="center"/>
                  <w:rPr>
                    <w:sz w:val="16"/>
                  </w:rPr>
                </w:pPr>
                <w:r>
                  <w:rPr>
                    <w:sz w:val="16"/>
                  </w:rPr>
                  <w:t>Tesis de Doctorado</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9.240005pt;margin-top:71.076225pt;width:99.4pt;height:14pt;mso-position-horizontal-relative:page;mso-position-vertical-relative:page;z-index:-1156984" type="#_x0000_t202" filled="false" stroked="false">
          <v:textbox inset="0,0,0,0">
            <w:txbxContent>
              <w:p>
                <w:pPr>
                  <w:spacing w:line="265" w:lineRule="exact" w:before="0"/>
                  <w:ind w:left="20" w:right="0" w:firstLine="0"/>
                  <w:jc w:val="left"/>
                  <w:rPr>
                    <w:b/>
                    <w:sz w:val="24"/>
                  </w:rPr>
                </w:pPr>
                <w:r>
                  <w:rPr>
                    <w:b/>
                    <w:sz w:val="24"/>
                  </w:rPr>
                  <w:t>Agradecimientos</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2.658005pt;margin-top:35.622307pt;width:286.45pt;height:32.25pt;mso-position-horizontal-relative:page;mso-position-vertical-relative:page;z-index:-1154968" type="#_x0000_t202" filled="false" stroked="false">
          <v:textbox inset="0,0,0,0">
            <w:txbxContent>
              <w:p>
                <w:pPr>
                  <w:spacing w:before="0"/>
                  <w:ind w:left="19" w:right="17" w:firstLine="0"/>
                  <w:jc w:val="center"/>
                  <w:rPr>
                    <w:b/>
                    <w:sz w:val="16"/>
                  </w:rPr>
                </w:pPr>
                <w:r>
                  <w:rPr>
                    <w:b/>
                    <w:sz w:val="16"/>
                  </w:rPr>
                  <w:t>Sustentabilidad del territorio: la participación del Estado, iniciativa privada y sociedad en la producción de vivienda formal</w:t>
                </w:r>
              </w:p>
              <w:p>
                <w:pPr>
                  <w:spacing w:before="80"/>
                  <w:ind w:left="18" w:right="18" w:firstLine="0"/>
                  <w:jc w:val="center"/>
                  <w:rPr>
                    <w:sz w:val="16"/>
                  </w:rPr>
                </w:pPr>
                <w:r>
                  <w:rPr>
                    <w:sz w:val="16"/>
                  </w:rPr>
                  <w:t>Tesis de Doctorado</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54920" from="168.679993pt,57.200008pt" to="622.279993pt,57.200008pt" stroked="true" strokeweight=".479981pt" strokecolor="#000000">
          <w10:wrap type="none"/>
        </v:line>
      </w:pict>
    </w:r>
    <w:r>
      <w:rPr/>
      <w:pict>
        <v:shape style="position:absolute;margin-left:252.582993pt;margin-top:35.622307pt;width:286.45pt;height:31.8pt;mso-position-horizontal-relative:page;mso-position-vertical-relative:page;z-index:-1154896" type="#_x0000_t202" filled="false" stroked="false">
          <v:textbox inset="0,0,0,0">
            <w:txbxContent>
              <w:p>
                <w:pPr>
                  <w:spacing w:before="0"/>
                  <w:ind w:left="19" w:right="18" w:firstLine="0"/>
                  <w:jc w:val="center"/>
                  <w:rPr>
                    <w:b/>
                    <w:sz w:val="16"/>
                  </w:rPr>
                </w:pPr>
                <w:r>
                  <w:rPr>
                    <w:b/>
                    <w:sz w:val="16"/>
                  </w:rPr>
                  <w:t>Sustentabilidad del territorio: la participación del Estado, iniciativa privada y sociedad en la producción de vivienda formal</w:t>
                </w:r>
              </w:p>
              <w:p>
                <w:pPr>
                  <w:spacing w:before="70"/>
                  <w:ind w:left="19" w:right="17" w:firstLine="0"/>
                  <w:jc w:val="center"/>
                  <w:rPr>
                    <w:sz w:val="16"/>
                  </w:rPr>
                </w:pPr>
                <w:r>
                  <w:rPr>
                    <w:sz w:val="16"/>
                  </w:rPr>
                  <w:t>Tesis de Doctorado</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2.703003pt;margin-top:35.502308pt;width:286.45pt;height:31.8pt;mso-position-horizontal-relative:page;mso-position-vertical-relative:page;z-index:-1154872" type="#_x0000_t202" filled="false" stroked="false">
          <v:textbox inset="0,0,0,0">
            <w:txbxContent>
              <w:p>
                <w:pPr>
                  <w:spacing w:before="0"/>
                  <w:ind w:left="19" w:right="18" w:firstLine="0"/>
                  <w:jc w:val="center"/>
                  <w:rPr>
                    <w:b/>
                    <w:sz w:val="16"/>
                  </w:rPr>
                </w:pPr>
                <w:r>
                  <w:rPr>
                    <w:b/>
                    <w:sz w:val="16"/>
                  </w:rPr>
                  <w:t>Sustentabilidad del territorio: la participación del Estado, iniciativa privada y sociedad en la producción de vivienda formal</w:t>
                </w:r>
              </w:p>
              <w:p>
                <w:pPr>
                  <w:spacing w:before="70"/>
                  <w:ind w:left="19" w:right="16" w:firstLine="0"/>
                  <w:jc w:val="center"/>
                  <w:rPr>
                    <w:sz w:val="16"/>
                  </w:rPr>
                </w:pPr>
                <w:r>
                  <w:rPr>
                    <w:sz w:val="16"/>
                  </w:rPr>
                  <w:t>Tesis de Doctorado</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2.703003pt;margin-top:35.502308pt;width:286.45pt;height:31.8pt;mso-position-horizontal-relative:page;mso-position-vertical-relative:page;z-index:-1154824" type="#_x0000_t202" filled="false" stroked="false">
          <v:textbox inset="0,0,0,0">
            <w:txbxContent>
              <w:p>
                <w:pPr>
                  <w:spacing w:before="0"/>
                  <w:ind w:left="19" w:right="18" w:firstLine="0"/>
                  <w:jc w:val="center"/>
                  <w:rPr>
                    <w:b/>
                    <w:sz w:val="16"/>
                  </w:rPr>
                </w:pPr>
                <w:r>
                  <w:rPr>
                    <w:b/>
                    <w:sz w:val="16"/>
                  </w:rPr>
                  <w:t>Sustentabilidad del territorio: la participación del Estado, iniciativa privada y sociedad en la producción de vivienda formal</w:t>
                </w:r>
              </w:p>
              <w:p>
                <w:pPr>
                  <w:spacing w:before="70"/>
                  <w:ind w:left="19" w:right="16" w:firstLine="0"/>
                  <w:jc w:val="center"/>
                  <w:rPr>
                    <w:sz w:val="16"/>
                  </w:rPr>
                </w:pPr>
                <w:r>
                  <w:rPr>
                    <w:sz w:val="16"/>
                  </w:rPr>
                  <w:t>Tesis de Doctorado</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2.703003pt;margin-top:35.502308pt;width:286.45pt;height:31.8pt;mso-position-horizontal-relative:page;mso-position-vertical-relative:page;z-index:-1154800" type="#_x0000_t202" filled="false" stroked="false">
          <v:textbox inset="0,0,0,0">
            <w:txbxContent>
              <w:p>
                <w:pPr>
                  <w:spacing w:before="0"/>
                  <w:ind w:left="19" w:right="18" w:firstLine="0"/>
                  <w:jc w:val="center"/>
                  <w:rPr>
                    <w:b/>
                    <w:sz w:val="16"/>
                  </w:rPr>
                </w:pPr>
                <w:r>
                  <w:rPr>
                    <w:b/>
                    <w:sz w:val="16"/>
                  </w:rPr>
                  <w:t>Sustentabilidad del territorio: la participación del Estado, iniciativa privada y sociedad en la producción de vivienda formal</w:t>
                </w:r>
              </w:p>
              <w:p>
                <w:pPr>
                  <w:spacing w:before="70"/>
                  <w:ind w:left="19" w:right="16" w:firstLine="0"/>
                  <w:jc w:val="center"/>
                  <w:rPr>
                    <w:sz w:val="16"/>
                  </w:rPr>
                </w:pPr>
                <w:r>
                  <w:rPr>
                    <w:sz w:val="16"/>
                  </w:rPr>
                  <w:t>Tesis de Doctorado</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7.102997pt;margin-top:35.502308pt;width:286.45pt;height:31.8pt;mso-position-horizontal-relative:page;mso-position-vertical-relative:page;z-index:-1156960" type="#_x0000_t202" filled="false" stroked="false">
          <v:textbox inset="0,0,0,0">
            <w:txbxContent>
              <w:p>
                <w:pPr>
                  <w:spacing w:before="0"/>
                  <w:ind w:left="19" w:right="17" w:firstLine="0"/>
                  <w:jc w:val="center"/>
                  <w:rPr>
                    <w:b/>
                    <w:sz w:val="16"/>
                  </w:rPr>
                </w:pPr>
                <w:r>
                  <w:rPr>
                    <w:b/>
                    <w:sz w:val="16"/>
                  </w:rPr>
                  <w:t>Sustentabilidad del territorio: la participación del Estado, iniciativa privada y sociedad en la producción de vivienda formal</w:t>
                </w:r>
              </w:p>
              <w:p>
                <w:pPr>
                  <w:spacing w:before="70"/>
                  <w:ind w:left="19" w:right="17" w:firstLine="0"/>
                  <w:jc w:val="center"/>
                  <w:rPr>
                    <w:sz w:val="16"/>
                  </w:rPr>
                </w:pPr>
                <w:r>
                  <w:rPr>
                    <w:sz w:val="16"/>
                  </w:rPr>
                  <w:t>Tesis de Doctorado</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7.102997pt;margin-top:35.502308pt;width:286.45pt;height:31.8pt;mso-position-horizontal-relative:page;mso-position-vertical-relative:page;z-index:-1156792" type="#_x0000_t202" filled="false" stroked="false">
          <v:textbox inset="0,0,0,0">
            <w:txbxContent>
              <w:p>
                <w:pPr>
                  <w:spacing w:before="0"/>
                  <w:ind w:left="19" w:right="17" w:firstLine="0"/>
                  <w:jc w:val="center"/>
                  <w:rPr>
                    <w:b/>
                    <w:sz w:val="16"/>
                  </w:rPr>
                </w:pPr>
                <w:r>
                  <w:rPr>
                    <w:b/>
                    <w:sz w:val="16"/>
                  </w:rPr>
                  <w:t>Sustentabilidad del territorio: la participación del Estado, iniciativa privada y sociedad en la producción de vivienda formal</w:t>
                </w:r>
              </w:p>
              <w:p>
                <w:pPr>
                  <w:spacing w:before="70"/>
                  <w:ind w:left="19" w:right="17" w:firstLine="0"/>
                  <w:jc w:val="center"/>
                  <w:rPr>
                    <w:sz w:val="16"/>
                  </w:rPr>
                </w:pPr>
                <w:r>
                  <w:rPr>
                    <w:sz w:val="16"/>
                  </w:rPr>
                  <w:t>Tesis de Doctorado</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7.102997pt;margin-top:35.502308pt;width:286.45pt;height:31.8pt;mso-position-horizontal-relative:page;mso-position-vertical-relative:page;z-index:-1156696" type="#_x0000_t202" filled="false" stroked="false">
          <v:textbox inset="0,0,0,0">
            <w:txbxContent>
              <w:p>
                <w:pPr>
                  <w:spacing w:before="0"/>
                  <w:ind w:left="19" w:right="17" w:firstLine="0"/>
                  <w:jc w:val="center"/>
                  <w:rPr>
                    <w:b/>
                    <w:sz w:val="16"/>
                  </w:rPr>
                </w:pPr>
                <w:r>
                  <w:rPr>
                    <w:b/>
                    <w:sz w:val="16"/>
                  </w:rPr>
                  <w:t>Sustentabilidad del territorio: la participación del Estado, iniciativa privada y sociedad en la producción de vivienda formal</w:t>
                </w:r>
              </w:p>
              <w:p>
                <w:pPr>
                  <w:spacing w:before="70"/>
                  <w:ind w:left="19" w:right="17" w:firstLine="0"/>
                  <w:jc w:val="center"/>
                  <w:rPr>
                    <w:sz w:val="16"/>
                  </w:rPr>
                </w:pPr>
                <w:r>
                  <w:rPr>
                    <w:sz w:val="16"/>
                  </w:rPr>
                  <w:t>Tesis de Doctorado</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7.102997pt;margin-top:35.502308pt;width:286.45pt;height:31.8pt;mso-position-horizontal-relative:page;mso-position-vertical-relative:page;z-index:-1156672" type="#_x0000_t202" filled="false" stroked="false">
          <v:textbox inset="0,0,0,0">
            <w:txbxContent>
              <w:p>
                <w:pPr>
                  <w:spacing w:before="0"/>
                  <w:ind w:left="19" w:right="17" w:firstLine="0"/>
                  <w:jc w:val="center"/>
                  <w:rPr>
                    <w:b/>
                    <w:sz w:val="16"/>
                  </w:rPr>
                </w:pPr>
                <w:r>
                  <w:rPr>
                    <w:b/>
                    <w:sz w:val="16"/>
                  </w:rPr>
                  <w:t>Sustentabilidad del territorio: la participación del Estado, iniciativa privada y sociedad en la producción de vivienda formal</w:t>
                </w:r>
              </w:p>
              <w:p>
                <w:pPr>
                  <w:spacing w:before="70"/>
                  <w:ind w:left="19" w:right="17" w:firstLine="0"/>
                  <w:jc w:val="center"/>
                  <w:rPr>
                    <w:sz w:val="16"/>
                  </w:rPr>
                </w:pPr>
                <w:r>
                  <w:rPr>
                    <w:sz w:val="16"/>
                  </w:rPr>
                  <w:t>Tesis de Doctorado</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7.102997pt;margin-top:35.502308pt;width:286.45pt;height:31.8pt;mso-position-horizontal-relative:page;mso-position-vertical-relative:page;z-index:-1156624" type="#_x0000_t202" filled="false" stroked="false">
          <v:textbox inset="0,0,0,0">
            <w:txbxContent>
              <w:p>
                <w:pPr>
                  <w:spacing w:before="0"/>
                  <w:ind w:left="19" w:right="17" w:firstLine="0"/>
                  <w:jc w:val="center"/>
                  <w:rPr>
                    <w:b/>
                    <w:sz w:val="16"/>
                  </w:rPr>
                </w:pPr>
                <w:r>
                  <w:rPr>
                    <w:b/>
                    <w:sz w:val="16"/>
                  </w:rPr>
                  <w:t>Sustentabilidad del territorio: la participación del Estado, iniciativa privada y sociedad en la producción de vivienda formal</w:t>
                </w:r>
              </w:p>
              <w:p>
                <w:pPr>
                  <w:spacing w:before="70"/>
                  <w:ind w:left="19" w:right="17" w:firstLine="0"/>
                  <w:jc w:val="center"/>
                  <w:rPr>
                    <w:sz w:val="16"/>
                  </w:rPr>
                </w:pPr>
                <w:r>
                  <w:rPr>
                    <w:sz w:val="16"/>
                  </w:rPr>
                  <w:t>Tesis de Doctorado</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7.102997pt;margin-top:35.502308pt;width:286.45pt;height:31.8pt;mso-position-horizontal-relative:page;mso-position-vertical-relative:page;z-index:-1156600" type="#_x0000_t202" filled="false" stroked="false">
          <v:textbox inset="0,0,0,0">
            <w:txbxContent>
              <w:p>
                <w:pPr>
                  <w:spacing w:before="0"/>
                  <w:ind w:left="19" w:right="17" w:firstLine="0"/>
                  <w:jc w:val="center"/>
                  <w:rPr>
                    <w:b/>
                    <w:sz w:val="16"/>
                  </w:rPr>
                </w:pPr>
                <w:r>
                  <w:rPr>
                    <w:b/>
                    <w:sz w:val="16"/>
                  </w:rPr>
                  <w:t>Sustentabilidad del territorio: la participación del Estado, iniciativa privada y sociedad en la producción de vivienda formal</w:t>
                </w:r>
              </w:p>
              <w:p>
                <w:pPr>
                  <w:spacing w:before="70"/>
                  <w:ind w:left="19" w:right="17" w:firstLine="0"/>
                  <w:jc w:val="center"/>
                  <w:rPr>
                    <w:sz w:val="16"/>
                  </w:rPr>
                </w:pPr>
                <w:r>
                  <w:rPr>
                    <w:sz w:val="16"/>
                  </w:rPr>
                  <w:t>Tesis de Doctorado</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7.102997pt;margin-top:35.502308pt;width:286.45pt;height:31.8pt;mso-position-horizontal-relative:page;mso-position-vertical-relative:page;z-index:-1156576" type="#_x0000_t202" filled="false" stroked="false">
          <v:textbox inset="0,0,0,0">
            <w:txbxContent>
              <w:p>
                <w:pPr>
                  <w:spacing w:before="0"/>
                  <w:ind w:left="19" w:right="17" w:firstLine="0"/>
                  <w:jc w:val="center"/>
                  <w:rPr>
                    <w:b/>
                    <w:sz w:val="16"/>
                  </w:rPr>
                </w:pPr>
                <w:r>
                  <w:rPr>
                    <w:b/>
                    <w:sz w:val="16"/>
                  </w:rPr>
                  <w:t>Sustentabilidad del territorio: la participación del Estado, iniciativa privada y sociedad en la producción de vivienda formal</w:t>
                </w:r>
              </w:p>
              <w:p>
                <w:pPr>
                  <w:spacing w:before="70"/>
                  <w:ind w:left="19" w:right="17" w:firstLine="0"/>
                  <w:jc w:val="center"/>
                  <w:rPr>
                    <w:sz w:val="16"/>
                  </w:rPr>
                </w:pPr>
                <w:r>
                  <w:rPr>
                    <w:sz w:val="16"/>
                  </w:rPr>
                  <w:t>Tesis de Doctorado</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1"/>
      <w:numFmt w:val="bullet"/>
      <w:lvlText w:val=""/>
      <w:lvlJc w:val="left"/>
      <w:pPr>
        <w:ind w:left="988" w:hanging="360"/>
      </w:pPr>
      <w:rPr>
        <w:rFonts w:hint="default" w:ascii="Symbol" w:hAnsi="Symbol" w:eastAsia="Symbol" w:cs="Symbol"/>
        <w:w w:val="100"/>
        <w:sz w:val="24"/>
        <w:szCs w:val="24"/>
      </w:rPr>
    </w:lvl>
    <w:lvl w:ilvl="1">
      <w:start w:val="1"/>
      <w:numFmt w:val="bullet"/>
      <w:lvlText w:val="•"/>
      <w:lvlJc w:val="left"/>
      <w:pPr>
        <w:ind w:left="1816" w:hanging="360"/>
      </w:pPr>
      <w:rPr>
        <w:rFonts w:hint="default"/>
      </w:rPr>
    </w:lvl>
    <w:lvl w:ilvl="2">
      <w:start w:val="1"/>
      <w:numFmt w:val="bullet"/>
      <w:lvlText w:val="•"/>
      <w:lvlJc w:val="left"/>
      <w:pPr>
        <w:ind w:left="2652" w:hanging="360"/>
      </w:pPr>
      <w:rPr>
        <w:rFonts w:hint="default"/>
      </w:rPr>
    </w:lvl>
    <w:lvl w:ilvl="3">
      <w:start w:val="1"/>
      <w:numFmt w:val="bullet"/>
      <w:lvlText w:val="•"/>
      <w:lvlJc w:val="left"/>
      <w:pPr>
        <w:ind w:left="3488" w:hanging="360"/>
      </w:pPr>
      <w:rPr>
        <w:rFonts w:hint="default"/>
      </w:rPr>
    </w:lvl>
    <w:lvl w:ilvl="4">
      <w:start w:val="1"/>
      <w:numFmt w:val="bullet"/>
      <w:lvlText w:val="•"/>
      <w:lvlJc w:val="left"/>
      <w:pPr>
        <w:ind w:left="4324" w:hanging="360"/>
      </w:pPr>
      <w:rPr>
        <w:rFonts w:hint="default"/>
      </w:rPr>
    </w:lvl>
    <w:lvl w:ilvl="5">
      <w:start w:val="1"/>
      <w:numFmt w:val="bullet"/>
      <w:lvlText w:val="•"/>
      <w:lvlJc w:val="left"/>
      <w:pPr>
        <w:ind w:left="5160" w:hanging="360"/>
      </w:pPr>
      <w:rPr>
        <w:rFonts w:hint="default"/>
      </w:rPr>
    </w:lvl>
    <w:lvl w:ilvl="6">
      <w:start w:val="1"/>
      <w:numFmt w:val="bullet"/>
      <w:lvlText w:val="•"/>
      <w:lvlJc w:val="left"/>
      <w:pPr>
        <w:ind w:left="5996" w:hanging="360"/>
      </w:pPr>
      <w:rPr>
        <w:rFonts w:hint="default"/>
      </w:rPr>
    </w:lvl>
    <w:lvl w:ilvl="7">
      <w:start w:val="1"/>
      <w:numFmt w:val="bullet"/>
      <w:lvlText w:val="•"/>
      <w:lvlJc w:val="left"/>
      <w:pPr>
        <w:ind w:left="6832" w:hanging="360"/>
      </w:pPr>
      <w:rPr>
        <w:rFonts w:hint="default"/>
      </w:rPr>
    </w:lvl>
    <w:lvl w:ilvl="8">
      <w:start w:val="1"/>
      <w:numFmt w:val="bullet"/>
      <w:lvlText w:val="•"/>
      <w:lvlJc w:val="left"/>
      <w:pPr>
        <w:ind w:left="7668" w:hanging="360"/>
      </w:pPr>
      <w:rPr>
        <w:rFonts w:hint="default"/>
      </w:rPr>
    </w:lvl>
  </w:abstractNum>
  <w:abstractNum w:abstractNumId="27">
    <w:multiLevelType w:val="hybridMultilevel"/>
    <w:lvl w:ilvl="0">
      <w:start w:val="1"/>
      <w:numFmt w:val="decimal"/>
      <w:lvlText w:val="%1."/>
      <w:lvlJc w:val="left"/>
      <w:pPr>
        <w:ind w:left="960" w:hanging="360"/>
        <w:jc w:val="left"/>
      </w:pPr>
      <w:rPr>
        <w:rFonts w:hint="default" w:ascii="Arial" w:hAnsi="Arial" w:eastAsia="Arial" w:cs="Arial"/>
        <w:w w:val="100"/>
        <w:sz w:val="24"/>
        <w:szCs w:val="24"/>
      </w:rPr>
    </w:lvl>
    <w:lvl w:ilvl="1">
      <w:start w:val="1"/>
      <w:numFmt w:val="bullet"/>
      <w:lvlText w:val="•"/>
      <w:lvlJc w:val="left"/>
      <w:pPr>
        <w:ind w:left="1826" w:hanging="360"/>
      </w:pPr>
      <w:rPr>
        <w:rFonts w:hint="default"/>
      </w:rPr>
    </w:lvl>
    <w:lvl w:ilvl="2">
      <w:start w:val="1"/>
      <w:numFmt w:val="bullet"/>
      <w:lvlText w:val="•"/>
      <w:lvlJc w:val="left"/>
      <w:pPr>
        <w:ind w:left="2692" w:hanging="360"/>
      </w:pPr>
      <w:rPr>
        <w:rFonts w:hint="default"/>
      </w:rPr>
    </w:lvl>
    <w:lvl w:ilvl="3">
      <w:start w:val="1"/>
      <w:numFmt w:val="bullet"/>
      <w:lvlText w:val="•"/>
      <w:lvlJc w:val="left"/>
      <w:pPr>
        <w:ind w:left="3558" w:hanging="360"/>
      </w:pPr>
      <w:rPr>
        <w:rFonts w:hint="default"/>
      </w:rPr>
    </w:lvl>
    <w:lvl w:ilvl="4">
      <w:start w:val="1"/>
      <w:numFmt w:val="bullet"/>
      <w:lvlText w:val="•"/>
      <w:lvlJc w:val="left"/>
      <w:pPr>
        <w:ind w:left="4424" w:hanging="360"/>
      </w:pPr>
      <w:rPr>
        <w:rFonts w:hint="default"/>
      </w:rPr>
    </w:lvl>
    <w:lvl w:ilvl="5">
      <w:start w:val="1"/>
      <w:numFmt w:val="bullet"/>
      <w:lvlText w:val="•"/>
      <w:lvlJc w:val="left"/>
      <w:pPr>
        <w:ind w:left="5290" w:hanging="360"/>
      </w:pPr>
      <w:rPr>
        <w:rFonts w:hint="default"/>
      </w:rPr>
    </w:lvl>
    <w:lvl w:ilvl="6">
      <w:start w:val="1"/>
      <w:numFmt w:val="bullet"/>
      <w:lvlText w:val="•"/>
      <w:lvlJc w:val="left"/>
      <w:pPr>
        <w:ind w:left="6156" w:hanging="360"/>
      </w:pPr>
      <w:rPr>
        <w:rFonts w:hint="default"/>
      </w:rPr>
    </w:lvl>
    <w:lvl w:ilvl="7">
      <w:start w:val="1"/>
      <w:numFmt w:val="bullet"/>
      <w:lvlText w:val="•"/>
      <w:lvlJc w:val="left"/>
      <w:pPr>
        <w:ind w:left="7022" w:hanging="360"/>
      </w:pPr>
      <w:rPr>
        <w:rFonts w:hint="default"/>
      </w:rPr>
    </w:lvl>
    <w:lvl w:ilvl="8">
      <w:start w:val="1"/>
      <w:numFmt w:val="bullet"/>
      <w:lvlText w:val="•"/>
      <w:lvlJc w:val="left"/>
      <w:pPr>
        <w:ind w:left="7888" w:hanging="360"/>
      </w:pPr>
      <w:rPr>
        <w:rFonts w:hint="default"/>
      </w:rPr>
    </w:lvl>
  </w:abstractNum>
  <w:abstractNum w:abstractNumId="26">
    <w:multiLevelType w:val="hybridMultilevel"/>
    <w:lvl w:ilvl="0">
      <w:start w:val="1"/>
      <w:numFmt w:val="decimal"/>
      <w:lvlText w:val="%1."/>
      <w:lvlJc w:val="left"/>
      <w:pPr>
        <w:ind w:left="0" w:hanging="228"/>
        <w:jc w:val="left"/>
      </w:pPr>
      <w:rPr>
        <w:rFonts w:hint="default" w:ascii="Arial" w:hAnsi="Arial" w:eastAsia="Arial" w:cs="Arial"/>
        <w:spacing w:val="0"/>
        <w:w w:val="104"/>
        <w:sz w:val="17"/>
        <w:szCs w:val="17"/>
      </w:rPr>
    </w:lvl>
    <w:lvl w:ilvl="1">
      <w:start w:val="1"/>
      <w:numFmt w:val="bullet"/>
      <w:lvlText w:val="•"/>
      <w:lvlJc w:val="left"/>
      <w:pPr>
        <w:ind w:left="857" w:hanging="228"/>
      </w:pPr>
      <w:rPr>
        <w:rFonts w:hint="default"/>
      </w:rPr>
    </w:lvl>
    <w:lvl w:ilvl="2">
      <w:start w:val="1"/>
      <w:numFmt w:val="bullet"/>
      <w:lvlText w:val="•"/>
      <w:lvlJc w:val="left"/>
      <w:pPr>
        <w:ind w:left="1714" w:hanging="228"/>
      </w:pPr>
      <w:rPr>
        <w:rFonts w:hint="default"/>
      </w:rPr>
    </w:lvl>
    <w:lvl w:ilvl="3">
      <w:start w:val="1"/>
      <w:numFmt w:val="bullet"/>
      <w:lvlText w:val="•"/>
      <w:lvlJc w:val="left"/>
      <w:pPr>
        <w:ind w:left="2572" w:hanging="228"/>
      </w:pPr>
      <w:rPr>
        <w:rFonts w:hint="default"/>
      </w:rPr>
    </w:lvl>
    <w:lvl w:ilvl="4">
      <w:start w:val="1"/>
      <w:numFmt w:val="bullet"/>
      <w:lvlText w:val="•"/>
      <w:lvlJc w:val="left"/>
      <w:pPr>
        <w:ind w:left="3429" w:hanging="228"/>
      </w:pPr>
      <w:rPr>
        <w:rFonts w:hint="default"/>
      </w:rPr>
    </w:lvl>
    <w:lvl w:ilvl="5">
      <w:start w:val="1"/>
      <w:numFmt w:val="bullet"/>
      <w:lvlText w:val="•"/>
      <w:lvlJc w:val="left"/>
      <w:pPr>
        <w:ind w:left="4287" w:hanging="228"/>
      </w:pPr>
      <w:rPr>
        <w:rFonts w:hint="default"/>
      </w:rPr>
    </w:lvl>
    <w:lvl w:ilvl="6">
      <w:start w:val="1"/>
      <w:numFmt w:val="bullet"/>
      <w:lvlText w:val="•"/>
      <w:lvlJc w:val="left"/>
      <w:pPr>
        <w:ind w:left="5144" w:hanging="228"/>
      </w:pPr>
      <w:rPr>
        <w:rFonts w:hint="default"/>
      </w:rPr>
    </w:lvl>
    <w:lvl w:ilvl="7">
      <w:start w:val="1"/>
      <w:numFmt w:val="bullet"/>
      <w:lvlText w:val="•"/>
      <w:lvlJc w:val="left"/>
      <w:pPr>
        <w:ind w:left="6002" w:hanging="228"/>
      </w:pPr>
      <w:rPr>
        <w:rFonts w:hint="default"/>
      </w:rPr>
    </w:lvl>
    <w:lvl w:ilvl="8">
      <w:start w:val="1"/>
      <w:numFmt w:val="bullet"/>
      <w:lvlText w:val="•"/>
      <w:lvlJc w:val="left"/>
      <w:pPr>
        <w:ind w:left="6859" w:hanging="228"/>
      </w:pPr>
      <w:rPr>
        <w:rFonts w:hint="default"/>
      </w:rPr>
    </w:lvl>
  </w:abstractNum>
  <w:abstractNum w:abstractNumId="25">
    <w:multiLevelType w:val="hybridMultilevel"/>
    <w:lvl w:ilvl="0">
      <w:start w:val="1"/>
      <w:numFmt w:val="decimal"/>
      <w:lvlText w:val="%1."/>
      <w:lvlJc w:val="left"/>
      <w:pPr>
        <w:ind w:left="0" w:hanging="201"/>
        <w:jc w:val="left"/>
      </w:pPr>
      <w:rPr>
        <w:rFonts w:hint="default" w:ascii="Arial" w:hAnsi="Arial" w:eastAsia="Arial" w:cs="Arial"/>
        <w:spacing w:val="0"/>
        <w:w w:val="104"/>
        <w:sz w:val="17"/>
        <w:szCs w:val="17"/>
      </w:rPr>
    </w:lvl>
    <w:lvl w:ilvl="1">
      <w:start w:val="1"/>
      <w:numFmt w:val="bullet"/>
      <w:lvlText w:val="•"/>
      <w:lvlJc w:val="left"/>
      <w:pPr>
        <w:ind w:left="857" w:hanging="201"/>
      </w:pPr>
      <w:rPr>
        <w:rFonts w:hint="default"/>
      </w:rPr>
    </w:lvl>
    <w:lvl w:ilvl="2">
      <w:start w:val="1"/>
      <w:numFmt w:val="bullet"/>
      <w:lvlText w:val="•"/>
      <w:lvlJc w:val="left"/>
      <w:pPr>
        <w:ind w:left="1714" w:hanging="201"/>
      </w:pPr>
      <w:rPr>
        <w:rFonts w:hint="default"/>
      </w:rPr>
    </w:lvl>
    <w:lvl w:ilvl="3">
      <w:start w:val="1"/>
      <w:numFmt w:val="bullet"/>
      <w:lvlText w:val="•"/>
      <w:lvlJc w:val="left"/>
      <w:pPr>
        <w:ind w:left="2571" w:hanging="201"/>
      </w:pPr>
      <w:rPr>
        <w:rFonts w:hint="default"/>
      </w:rPr>
    </w:lvl>
    <w:lvl w:ilvl="4">
      <w:start w:val="1"/>
      <w:numFmt w:val="bullet"/>
      <w:lvlText w:val="•"/>
      <w:lvlJc w:val="left"/>
      <w:pPr>
        <w:ind w:left="3429" w:hanging="201"/>
      </w:pPr>
      <w:rPr>
        <w:rFonts w:hint="default"/>
      </w:rPr>
    </w:lvl>
    <w:lvl w:ilvl="5">
      <w:start w:val="1"/>
      <w:numFmt w:val="bullet"/>
      <w:lvlText w:val="•"/>
      <w:lvlJc w:val="left"/>
      <w:pPr>
        <w:ind w:left="4286" w:hanging="201"/>
      </w:pPr>
      <w:rPr>
        <w:rFonts w:hint="default"/>
      </w:rPr>
    </w:lvl>
    <w:lvl w:ilvl="6">
      <w:start w:val="1"/>
      <w:numFmt w:val="bullet"/>
      <w:lvlText w:val="•"/>
      <w:lvlJc w:val="left"/>
      <w:pPr>
        <w:ind w:left="5143" w:hanging="201"/>
      </w:pPr>
      <w:rPr>
        <w:rFonts w:hint="default"/>
      </w:rPr>
    </w:lvl>
    <w:lvl w:ilvl="7">
      <w:start w:val="1"/>
      <w:numFmt w:val="bullet"/>
      <w:lvlText w:val="•"/>
      <w:lvlJc w:val="left"/>
      <w:pPr>
        <w:ind w:left="6001" w:hanging="201"/>
      </w:pPr>
      <w:rPr>
        <w:rFonts w:hint="default"/>
      </w:rPr>
    </w:lvl>
    <w:lvl w:ilvl="8">
      <w:start w:val="1"/>
      <w:numFmt w:val="bullet"/>
      <w:lvlText w:val="•"/>
      <w:lvlJc w:val="left"/>
      <w:pPr>
        <w:ind w:left="6858" w:hanging="201"/>
      </w:pPr>
      <w:rPr>
        <w:rFonts w:hint="default"/>
      </w:rPr>
    </w:lvl>
  </w:abstractNum>
  <w:abstractNum w:abstractNumId="24">
    <w:multiLevelType w:val="hybridMultilevel"/>
    <w:lvl w:ilvl="0">
      <w:start w:val="3"/>
      <w:numFmt w:val="decimal"/>
      <w:lvlText w:val="%1."/>
      <w:lvlJc w:val="left"/>
      <w:pPr>
        <w:ind w:left="1238" w:hanging="360"/>
        <w:jc w:val="left"/>
      </w:pPr>
      <w:rPr>
        <w:rFonts w:hint="default" w:ascii="Arial" w:hAnsi="Arial" w:eastAsia="Arial" w:cs="Arial"/>
        <w:spacing w:val="0"/>
        <w:w w:val="104"/>
        <w:sz w:val="17"/>
        <w:szCs w:val="17"/>
      </w:rPr>
    </w:lvl>
    <w:lvl w:ilvl="1">
      <w:start w:val="1"/>
      <w:numFmt w:val="bullet"/>
      <w:lvlText w:val="•"/>
      <w:lvlJc w:val="left"/>
      <w:pPr>
        <w:ind w:left="2050" w:hanging="360"/>
      </w:pPr>
      <w:rPr>
        <w:rFonts w:hint="default"/>
      </w:rPr>
    </w:lvl>
    <w:lvl w:ilvl="2">
      <w:start w:val="1"/>
      <w:numFmt w:val="bullet"/>
      <w:lvlText w:val="•"/>
      <w:lvlJc w:val="left"/>
      <w:pPr>
        <w:ind w:left="2860" w:hanging="360"/>
      </w:pPr>
      <w:rPr>
        <w:rFonts w:hint="default"/>
      </w:rPr>
    </w:lvl>
    <w:lvl w:ilvl="3">
      <w:start w:val="1"/>
      <w:numFmt w:val="bullet"/>
      <w:lvlText w:val="•"/>
      <w:lvlJc w:val="left"/>
      <w:pPr>
        <w:ind w:left="3670" w:hanging="360"/>
      </w:pPr>
      <w:rPr>
        <w:rFonts w:hint="default"/>
      </w:rPr>
    </w:lvl>
    <w:lvl w:ilvl="4">
      <w:start w:val="1"/>
      <w:numFmt w:val="bullet"/>
      <w:lvlText w:val="•"/>
      <w:lvlJc w:val="left"/>
      <w:pPr>
        <w:ind w:left="4480" w:hanging="360"/>
      </w:pPr>
      <w:rPr>
        <w:rFonts w:hint="default"/>
      </w:rPr>
    </w:lvl>
    <w:lvl w:ilvl="5">
      <w:start w:val="1"/>
      <w:numFmt w:val="bullet"/>
      <w:lvlText w:val="•"/>
      <w:lvlJc w:val="left"/>
      <w:pPr>
        <w:ind w:left="5290" w:hanging="360"/>
      </w:pPr>
      <w:rPr>
        <w:rFonts w:hint="default"/>
      </w:rPr>
    </w:lvl>
    <w:lvl w:ilvl="6">
      <w:start w:val="1"/>
      <w:numFmt w:val="bullet"/>
      <w:lvlText w:val="•"/>
      <w:lvlJc w:val="left"/>
      <w:pPr>
        <w:ind w:left="6100" w:hanging="360"/>
      </w:pPr>
      <w:rPr>
        <w:rFonts w:hint="default"/>
      </w:rPr>
    </w:lvl>
    <w:lvl w:ilvl="7">
      <w:start w:val="1"/>
      <w:numFmt w:val="bullet"/>
      <w:lvlText w:val="•"/>
      <w:lvlJc w:val="left"/>
      <w:pPr>
        <w:ind w:left="6910" w:hanging="360"/>
      </w:pPr>
      <w:rPr>
        <w:rFonts w:hint="default"/>
      </w:rPr>
    </w:lvl>
    <w:lvl w:ilvl="8">
      <w:start w:val="1"/>
      <w:numFmt w:val="bullet"/>
      <w:lvlText w:val="•"/>
      <w:lvlJc w:val="left"/>
      <w:pPr>
        <w:ind w:left="7720" w:hanging="360"/>
      </w:pPr>
      <w:rPr>
        <w:rFonts w:hint="default"/>
      </w:rPr>
    </w:lvl>
  </w:abstractNum>
  <w:abstractNum w:abstractNumId="23">
    <w:multiLevelType w:val="hybridMultilevel"/>
    <w:lvl w:ilvl="0">
      <w:start w:val="2"/>
      <w:numFmt w:val="decimal"/>
      <w:lvlText w:val="%1."/>
      <w:lvlJc w:val="left"/>
      <w:pPr>
        <w:ind w:left="918" w:hanging="400"/>
        <w:jc w:val="left"/>
      </w:pPr>
      <w:rPr>
        <w:rFonts w:hint="default" w:ascii="Arial" w:hAnsi="Arial" w:eastAsia="Arial" w:cs="Arial"/>
        <w:spacing w:val="0"/>
        <w:w w:val="104"/>
        <w:sz w:val="17"/>
        <w:szCs w:val="17"/>
      </w:rPr>
    </w:lvl>
    <w:lvl w:ilvl="1">
      <w:start w:val="1"/>
      <w:numFmt w:val="lowerLetter"/>
      <w:lvlText w:val="%2)"/>
      <w:lvlJc w:val="left"/>
      <w:pPr>
        <w:ind w:left="1628" w:hanging="211"/>
        <w:jc w:val="left"/>
      </w:pPr>
      <w:rPr>
        <w:rFonts w:hint="default" w:ascii="Arial" w:hAnsi="Arial" w:eastAsia="Arial" w:cs="Arial"/>
        <w:spacing w:val="0"/>
        <w:w w:val="104"/>
        <w:sz w:val="17"/>
        <w:szCs w:val="17"/>
      </w:rPr>
    </w:lvl>
    <w:lvl w:ilvl="2">
      <w:start w:val="1"/>
      <w:numFmt w:val="bullet"/>
      <w:lvlText w:val="•"/>
      <w:lvlJc w:val="left"/>
      <w:pPr>
        <w:ind w:left="2477" w:hanging="211"/>
      </w:pPr>
      <w:rPr>
        <w:rFonts w:hint="default"/>
      </w:rPr>
    </w:lvl>
    <w:lvl w:ilvl="3">
      <w:start w:val="1"/>
      <w:numFmt w:val="bullet"/>
      <w:lvlText w:val="•"/>
      <w:lvlJc w:val="left"/>
      <w:pPr>
        <w:ind w:left="3335" w:hanging="211"/>
      </w:pPr>
      <w:rPr>
        <w:rFonts w:hint="default"/>
      </w:rPr>
    </w:lvl>
    <w:lvl w:ilvl="4">
      <w:start w:val="1"/>
      <w:numFmt w:val="bullet"/>
      <w:lvlText w:val="•"/>
      <w:lvlJc w:val="left"/>
      <w:pPr>
        <w:ind w:left="4193" w:hanging="211"/>
      </w:pPr>
      <w:rPr>
        <w:rFonts w:hint="default"/>
      </w:rPr>
    </w:lvl>
    <w:lvl w:ilvl="5">
      <w:start w:val="1"/>
      <w:numFmt w:val="bullet"/>
      <w:lvlText w:val="•"/>
      <w:lvlJc w:val="left"/>
      <w:pPr>
        <w:ind w:left="5051" w:hanging="211"/>
      </w:pPr>
      <w:rPr>
        <w:rFonts w:hint="default"/>
      </w:rPr>
    </w:lvl>
    <w:lvl w:ilvl="6">
      <w:start w:val="1"/>
      <w:numFmt w:val="bullet"/>
      <w:lvlText w:val="•"/>
      <w:lvlJc w:val="left"/>
      <w:pPr>
        <w:ind w:left="5908" w:hanging="211"/>
      </w:pPr>
      <w:rPr>
        <w:rFonts w:hint="default"/>
      </w:rPr>
    </w:lvl>
    <w:lvl w:ilvl="7">
      <w:start w:val="1"/>
      <w:numFmt w:val="bullet"/>
      <w:lvlText w:val="•"/>
      <w:lvlJc w:val="left"/>
      <w:pPr>
        <w:ind w:left="6766" w:hanging="211"/>
      </w:pPr>
      <w:rPr>
        <w:rFonts w:hint="default"/>
      </w:rPr>
    </w:lvl>
    <w:lvl w:ilvl="8">
      <w:start w:val="1"/>
      <w:numFmt w:val="bullet"/>
      <w:lvlText w:val="•"/>
      <w:lvlJc w:val="left"/>
      <w:pPr>
        <w:ind w:left="7624" w:hanging="211"/>
      </w:pPr>
      <w:rPr>
        <w:rFonts w:hint="default"/>
      </w:rPr>
    </w:lvl>
  </w:abstractNum>
  <w:abstractNum w:abstractNumId="22">
    <w:multiLevelType w:val="hybridMultilevel"/>
    <w:lvl w:ilvl="0">
      <w:start w:val="4"/>
      <w:numFmt w:val="decimal"/>
      <w:lvlText w:val="%1"/>
      <w:lvlJc w:val="left"/>
      <w:pPr>
        <w:ind w:left="735" w:hanging="467"/>
        <w:jc w:val="left"/>
      </w:pPr>
      <w:rPr>
        <w:rFonts w:hint="default"/>
      </w:rPr>
    </w:lvl>
    <w:lvl w:ilvl="1">
      <w:start w:val="4"/>
      <w:numFmt w:val="decimal"/>
      <w:lvlText w:val="%1.%2."/>
      <w:lvlJc w:val="left"/>
      <w:pPr>
        <w:ind w:left="735" w:hanging="467"/>
        <w:jc w:val="left"/>
      </w:pPr>
      <w:rPr>
        <w:rFonts w:hint="default" w:ascii="Arial" w:hAnsi="Arial" w:eastAsia="Arial" w:cs="Arial"/>
        <w:b/>
        <w:bCs/>
        <w:w w:val="100"/>
        <w:sz w:val="24"/>
        <w:szCs w:val="24"/>
      </w:rPr>
    </w:lvl>
    <w:lvl w:ilvl="2">
      <w:start w:val="1"/>
      <w:numFmt w:val="bullet"/>
      <w:lvlText w:val=""/>
      <w:lvlJc w:val="left"/>
      <w:pPr>
        <w:ind w:left="982" w:hanging="357"/>
      </w:pPr>
      <w:rPr>
        <w:rFonts w:hint="default" w:ascii="Symbol" w:hAnsi="Symbol" w:eastAsia="Symbol" w:cs="Symbol"/>
        <w:w w:val="100"/>
        <w:sz w:val="24"/>
        <w:szCs w:val="24"/>
      </w:rPr>
    </w:lvl>
    <w:lvl w:ilvl="3">
      <w:start w:val="1"/>
      <w:numFmt w:val="bullet"/>
      <w:lvlText w:val="•"/>
      <w:lvlJc w:val="left"/>
      <w:pPr>
        <w:ind w:left="2837" w:hanging="357"/>
      </w:pPr>
      <w:rPr>
        <w:rFonts w:hint="default"/>
      </w:rPr>
    </w:lvl>
    <w:lvl w:ilvl="4">
      <w:start w:val="1"/>
      <w:numFmt w:val="bullet"/>
      <w:lvlText w:val="•"/>
      <w:lvlJc w:val="left"/>
      <w:pPr>
        <w:ind w:left="3766" w:hanging="357"/>
      </w:pPr>
      <w:rPr>
        <w:rFonts w:hint="default"/>
      </w:rPr>
    </w:lvl>
    <w:lvl w:ilvl="5">
      <w:start w:val="1"/>
      <w:numFmt w:val="bullet"/>
      <w:lvlText w:val="•"/>
      <w:lvlJc w:val="left"/>
      <w:pPr>
        <w:ind w:left="4695" w:hanging="357"/>
      </w:pPr>
      <w:rPr>
        <w:rFonts w:hint="default"/>
      </w:rPr>
    </w:lvl>
    <w:lvl w:ilvl="6">
      <w:start w:val="1"/>
      <w:numFmt w:val="bullet"/>
      <w:lvlText w:val="•"/>
      <w:lvlJc w:val="left"/>
      <w:pPr>
        <w:ind w:left="5624" w:hanging="357"/>
      </w:pPr>
      <w:rPr>
        <w:rFonts w:hint="default"/>
      </w:rPr>
    </w:lvl>
    <w:lvl w:ilvl="7">
      <w:start w:val="1"/>
      <w:numFmt w:val="bullet"/>
      <w:lvlText w:val="•"/>
      <w:lvlJc w:val="left"/>
      <w:pPr>
        <w:ind w:left="6553" w:hanging="357"/>
      </w:pPr>
      <w:rPr>
        <w:rFonts w:hint="default"/>
      </w:rPr>
    </w:lvl>
    <w:lvl w:ilvl="8">
      <w:start w:val="1"/>
      <w:numFmt w:val="bullet"/>
      <w:lvlText w:val="•"/>
      <w:lvlJc w:val="left"/>
      <w:pPr>
        <w:ind w:left="7482" w:hanging="357"/>
      </w:pPr>
      <w:rPr>
        <w:rFonts w:hint="default"/>
      </w:rPr>
    </w:lvl>
  </w:abstractNum>
  <w:abstractNum w:abstractNumId="21">
    <w:multiLevelType w:val="hybridMultilevel"/>
    <w:lvl w:ilvl="0">
      <w:start w:val="4"/>
      <w:numFmt w:val="decimal"/>
      <w:lvlText w:val="%1"/>
      <w:lvlJc w:val="left"/>
      <w:pPr>
        <w:ind w:left="735" w:hanging="467"/>
        <w:jc w:val="left"/>
      </w:pPr>
      <w:rPr>
        <w:rFonts w:hint="default"/>
      </w:rPr>
    </w:lvl>
    <w:lvl w:ilvl="1">
      <w:start w:val="1"/>
      <w:numFmt w:val="decimal"/>
      <w:lvlText w:val="%1.%2."/>
      <w:lvlJc w:val="left"/>
      <w:pPr>
        <w:ind w:left="735" w:hanging="467"/>
        <w:jc w:val="left"/>
      </w:pPr>
      <w:rPr>
        <w:rFonts w:hint="default" w:ascii="Arial" w:hAnsi="Arial" w:eastAsia="Arial" w:cs="Arial"/>
        <w:b/>
        <w:bCs/>
        <w:w w:val="100"/>
        <w:sz w:val="24"/>
        <w:szCs w:val="24"/>
      </w:rPr>
    </w:lvl>
    <w:lvl w:ilvl="2">
      <w:start w:val="1"/>
      <w:numFmt w:val="decimal"/>
      <w:lvlText w:val="%1.%2.%3."/>
      <w:lvlJc w:val="left"/>
      <w:pPr>
        <w:ind w:left="936" w:hanging="668"/>
        <w:jc w:val="left"/>
      </w:pPr>
      <w:rPr>
        <w:rFonts w:hint="default" w:ascii="Arial" w:hAnsi="Arial" w:eastAsia="Arial" w:cs="Arial"/>
        <w:b/>
        <w:bCs/>
        <w:i/>
        <w:spacing w:val="-1"/>
        <w:w w:val="100"/>
        <w:sz w:val="24"/>
        <w:szCs w:val="24"/>
      </w:rPr>
    </w:lvl>
    <w:lvl w:ilvl="3">
      <w:start w:val="1"/>
      <w:numFmt w:val="bullet"/>
      <w:lvlText w:val="•"/>
      <w:lvlJc w:val="left"/>
      <w:pPr>
        <w:ind w:left="2806" w:hanging="668"/>
      </w:pPr>
      <w:rPr>
        <w:rFonts w:hint="default"/>
      </w:rPr>
    </w:lvl>
    <w:lvl w:ilvl="4">
      <w:start w:val="1"/>
      <w:numFmt w:val="bullet"/>
      <w:lvlText w:val="•"/>
      <w:lvlJc w:val="left"/>
      <w:pPr>
        <w:ind w:left="3740" w:hanging="668"/>
      </w:pPr>
      <w:rPr>
        <w:rFonts w:hint="default"/>
      </w:rPr>
    </w:lvl>
    <w:lvl w:ilvl="5">
      <w:start w:val="1"/>
      <w:numFmt w:val="bullet"/>
      <w:lvlText w:val="•"/>
      <w:lvlJc w:val="left"/>
      <w:pPr>
        <w:ind w:left="4673" w:hanging="668"/>
      </w:pPr>
      <w:rPr>
        <w:rFonts w:hint="default"/>
      </w:rPr>
    </w:lvl>
    <w:lvl w:ilvl="6">
      <w:start w:val="1"/>
      <w:numFmt w:val="bullet"/>
      <w:lvlText w:val="•"/>
      <w:lvlJc w:val="left"/>
      <w:pPr>
        <w:ind w:left="5606" w:hanging="668"/>
      </w:pPr>
      <w:rPr>
        <w:rFonts w:hint="default"/>
      </w:rPr>
    </w:lvl>
    <w:lvl w:ilvl="7">
      <w:start w:val="1"/>
      <w:numFmt w:val="bullet"/>
      <w:lvlText w:val="•"/>
      <w:lvlJc w:val="left"/>
      <w:pPr>
        <w:ind w:left="6540" w:hanging="668"/>
      </w:pPr>
      <w:rPr>
        <w:rFonts w:hint="default"/>
      </w:rPr>
    </w:lvl>
    <w:lvl w:ilvl="8">
      <w:start w:val="1"/>
      <w:numFmt w:val="bullet"/>
      <w:lvlText w:val="•"/>
      <w:lvlJc w:val="left"/>
      <w:pPr>
        <w:ind w:left="7473" w:hanging="668"/>
      </w:pPr>
      <w:rPr>
        <w:rFonts w:hint="default"/>
      </w:rPr>
    </w:lvl>
  </w:abstractNum>
  <w:abstractNum w:abstractNumId="20">
    <w:multiLevelType w:val="hybridMultilevel"/>
    <w:lvl w:ilvl="0">
      <w:start w:val="1"/>
      <w:numFmt w:val="lowerLetter"/>
      <w:lvlText w:val="%1)"/>
      <w:lvlJc w:val="left"/>
      <w:pPr>
        <w:ind w:left="548" w:hanging="281"/>
        <w:jc w:val="left"/>
      </w:pPr>
      <w:rPr>
        <w:rFonts w:hint="default" w:ascii="Arial" w:hAnsi="Arial" w:eastAsia="Arial" w:cs="Arial"/>
        <w:w w:val="100"/>
        <w:sz w:val="24"/>
        <w:szCs w:val="24"/>
      </w:rPr>
    </w:lvl>
    <w:lvl w:ilvl="1">
      <w:start w:val="1"/>
      <w:numFmt w:val="bullet"/>
      <w:lvlText w:val="•"/>
      <w:lvlJc w:val="left"/>
      <w:pPr>
        <w:ind w:left="1420" w:hanging="281"/>
      </w:pPr>
      <w:rPr>
        <w:rFonts w:hint="default"/>
      </w:rPr>
    </w:lvl>
    <w:lvl w:ilvl="2">
      <w:start w:val="1"/>
      <w:numFmt w:val="bullet"/>
      <w:lvlText w:val="•"/>
      <w:lvlJc w:val="left"/>
      <w:pPr>
        <w:ind w:left="2300" w:hanging="281"/>
      </w:pPr>
      <w:rPr>
        <w:rFonts w:hint="default"/>
      </w:rPr>
    </w:lvl>
    <w:lvl w:ilvl="3">
      <w:start w:val="1"/>
      <w:numFmt w:val="bullet"/>
      <w:lvlText w:val="•"/>
      <w:lvlJc w:val="left"/>
      <w:pPr>
        <w:ind w:left="3180" w:hanging="281"/>
      </w:pPr>
      <w:rPr>
        <w:rFonts w:hint="default"/>
      </w:rPr>
    </w:lvl>
    <w:lvl w:ilvl="4">
      <w:start w:val="1"/>
      <w:numFmt w:val="bullet"/>
      <w:lvlText w:val="•"/>
      <w:lvlJc w:val="left"/>
      <w:pPr>
        <w:ind w:left="4060" w:hanging="281"/>
      </w:pPr>
      <w:rPr>
        <w:rFonts w:hint="default"/>
      </w:rPr>
    </w:lvl>
    <w:lvl w:ilvl="5">
      <w:start w:val="1"/>
      <w:numFmt w:val="bullet"/>
      <w:lvlText w:val="•"/>
      <w:lvlJc w:val="left"/>
      <w:pPr>
        <w:ind w:left="4940" w:hanging="281"/>
      </w:pPr>
      <w:rPr>
        <w:rFonts w:hint="default"/>
      </w:rPr>
    </w:lvl>
    <w:lvl w:ilvl="6">
      <w:start w:val="1"/>
      <w:numFmt w:val="bullet"/>
      <w:lvlText w:val="•"/>
      <w:lvlJc w:val="left"/>
      <w:pPr>
        <w:ind w:left="5820" w:hanging="281"/>
      </w:pPr>
      <w:rPr>
        <w:rFonts w:hint="default"/>
      </w:rPr>
    </w:lvl>
    <w:lvl w:ilvl="7">
      <w:start w:val="1"/>
      <w:numFmt w:val="bullet"/>
      <w:lvlText w:val="•"/>
      <w:lvlJc w:val="left"/>
      <w:pPr>
        <w:ind w:left="6700" w:hanging="281"/>
      </w:pPr>
      <w:rPr>
        <w:rFonts w:hint="default"/>
      </w:rPr>
    </w:lvl>
    <w:lvl w:ilvl="8">
      <w:start w:val="1"/>
      <w:numFmt w:val="bullet"/>
      <w:lvlText w:val="•"/>
      <w:lvlJc w:val="left"/>
      <w:pPr>
        <w:ind w:left="7580" w:hanging="281"/>
      </w:pPr>
      <w:rPr>
        <w:rFonts w:hint="default"/>
      </w:rPr>
    </w:lvl>
  </w:abstractNum>
  <w:abstractNum w:abstractNumId="19">
    <w:multiLevelType w:val="hybridMultilevel"/>
    <w:lvl w:ilvl="0">
      <w:start w:val="1"/>
      <w:numFmt w:val="lowerLetter"/>
      <w:lvlText w:val="%1)"/>
      <w:lvlJc w:val="left"/>
      <w:pPr>
        <w:ind w:left="548" w:hanging="281"/>
        <w:jc w:val="left"/>
      </w:pPr>
      <w:rPr>
        <w:rFonts w:hint="default" w:ascii="Arial" w:hAnsi="Arial" w:eastAsia="Arial" w:cs="Arial"/>
        <w:w w:val="100"/>
        <w:sz w:val="24"/>
        <w:szCs w:val="24"/>
      </w:rPr>
    </w:lvl>
    <w:lvl w:ilvl="1">
      <w:start w:val="1"/>
      <w:numFmt w:val="bullet"/>
      <w:lvlText w:val="•"/>
      <w:lvlJc w:val="left"/>
      <w:pPr>
        <w:ind w:left="1420" w:hanging="281"/>
      </w:pPr>
      <w:rPr>
        <w:rFonts w:hint="default"/>
      </w:rPr>
    </w:lvl>
    <w:lvl w:ilvl="2">
      <w:start w:val="1"/>
      <w:numFmt w:val="bullet"/>
      <w:lvlText w:val="•"/>
      <w:lvlJc w:val="left"/>
      <w:pPr>
        <w:ind w:left="2300" w:hanging="281"/>
      </w:pPr>
      <w:rPr>
        <w:rFonts w:hint="default"/>
      </w:rPr>
    </w:lvl>
    <w:lvl w:ilvl="3">
      <w:start w:val="1"/>
      <w:numFmt w:val="bullet"/>
      <w:lvlText w:val="•"/>
      <w:lvlJc w:val="left"/>
      <w:pPr>
        <w:ind w:left="3180" w:hanging="281"/>
      </w:pPr>
      <w:rPr>
        <w:rFonts w:hint="default"/>
      </w:rPr>
    </w:lvl>
    <w:lvl w:ilvl="4">
      <w:start w:val="1"/>
      <w:numFmt w:val="bullet"/>
      <w:lvlText w:val="•"/>
      <w:lvlJc w:val="left"/>
      <w:pPr>
        <w:ind w:left="4060" w:hanging="281"/>
      </w:pPr>
      <w:rPr>
        <w:rFonts w:hint="default"/>
      </w:rPr>
    </w:lvl>
    <w:lvl w:ilvl="5">
      <w:start w:val="1"/>
      <w:numFmt w:val="bullet"/>
      <w:lvlText w:val="•"/>
      <w:lvlJc w:val="left"/>
      <w:pPr>
        <w:ind w:left="4940" w:hanging="281"/>
      </w:pPr>
      <w:rPr>
        <w:rFonts w:hint="default"/>
      </w:rPr>
    </w:lvl>
    <w:lvl w:ilvl="6">
      <w:start w:val="1"/>
      <w:numFmt w:val="bullet"/>
      <w:lvlText w:val="•"/>
      <w:lvlJc w:val="left"/>
      <w:pPr>
        <w:ind w:left="5820" w:hanging="281"/>
      </w:pPr>
      <w:rPr>
        <w:rFonts w:hint="default"/>
      </w:rPr>
    </w:lvl>
    <w:lvl w:ilvl="7">
      <w:start w:val="1"/>
      <w:numFmt w:val="bullet"/>
      <w:lvlText w:val="•"/>
      <w:lvlJc w:val="left"/>
      <w:pPr>
        <w:ind w:left="6700" w:hanging="281"/>
      </w:pPr>
      <w:rPr>
        <w:rFonts w:hint="default"/>
      </w:rPr>
    </w:lvl>
    <w:lvl w:ilvl="8">
      <w:start w:val="1"/>
      <w:numFmt w:val="bullet"/>
      <w:lvlText w:val="•"/>
      <w:lvlJc w:val="left"/>
      <w:pPr>
        <w:ind w:left="7580" w:hanging="281"/>
      </w:pPr>
      <w:rPr>
        <w:rFonts w:hint="default"/>
      </w:rPr>
    </w:lvl>
  </w:abstractNum>
  <w:abstractNum w:abstractNumId="18">
    <w:multiLevelType w:val="hybridMultilevel"/>
    <w:lvl w:ilvl="0">
      <w:start w:val="1"/>
      <w:numFmt w:val="decimal"/>
      <w:lvlText w:val="%1)"/>
      <w:lvlJc w:val="left"/>
      <w:pPr>
        <w:ind w:left="548" w:hanging="281"/>
        <w:jc w:val="left"/>
      </w:pPr>
      <w:rPr>
        <w:rFonts w:hint="default" w:ascii="Arial" w:hAnsi="Arial" w:eastAsia="Arial" w:cs="Arial"/>
        <w:spacing w:val="-1"/>
        <w:w w:val="100"/>
        <w:sz w:val="24"/>
        <w:szCs w:val="24"/>
      </w:rPr>
    </w:lvl>
    <w:lvl w:ilvl="1">
      <w:start w:val="1"/>
      <w:numFmt w:val="bullet"/>
      <w:lvlText w:val=""/>
      <w:lvlJc w:val="left"/>
      <w:pPr>
        <w:ind w:left="988" w:hanging="360"/>
      </w:pPr>
      <w:rPr>
        <w:rFonts w:hint="default" w:ascii="Symbol" w:hAnsi="Symbol" w:eastAsia="Symbol" w:cs="Symbol"/>
        <w:w w:val="100"/>
        <w:sz w:val="24"/>
        <w:szCs w:val="24"/>
      </w:rPr>
    </w:lvl>
    <w:lvl w:ilvl="2">
      <w:start w:val="1"/>
      <w:numFmt w:val="bullet"/>
      <w:lvlText w:val="•"/>
      <w:lvlJc w:val="left"/>
      <w:pPr>
        <w:ind w:left="1908" w:hanging="360"/>
      </w:pPr>
      <w:rPr>
        <w:rFonts w:hint="default"/>
      </w:rPr>
    </w:lvl>
    <w:lvl w:ilvl="3">
      <w:start w:val="1"/>
      <w:numFmt w:val="bullet"/>
      <w:lvlText w:val="•"/>
      <w:lvlJc w:val="left"/>
      <w:pPr>
        <w:ind w:left="2837" w:hanging="360"/>
      </w:pPr>
      <w:rPr>
        <w:rFonts w:hint="default"/>
      </w:rPr>
    </w:lvl>
    <w:lvl w:ilvl="4">
      <w:start w:val="1"/>
      <w:numFmt w:val="bullet"/>
      <w:lvlText w:val="•"/>
      <w:lvlJc w:val="left"/>
      <w:pPr>
        <w:ind w:left="3766" w:hanging="360"/>
      </w:pPr>
      <w:rPr>
        <w:rFonts w:hint="default"/>
      </w:rPr>
    </w:lvl>
    <w:lvl w:ilvl="5">
      <w:start w:val="1"/>
      <w:numFmt w:val="bullet"/>
      <w:lvlText w:val="•"/>
      <w:lvlJc w:val="left"/>
      <w:pPr>
        <w:ind w:left="4695" w:hanging="360"/>
      </w:pPr>
      <w:rPr>
        <w:rFonts w:hint="default"/>
      </w:rPr>
    </w:lvl>
    <w:lvl w:ilvl="6">
      <w:start w:val="1"/>
      <w:numFmt w:val="bullet"/>
      <w:lvlText w:val="•"/>
      <w:lvlJc w:val="left"/>
      <w:pPr>
        <w:ind w:left="5624"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482" w:hanging="360"/>
      </w:pPr>
      <w:rPr>
        <w:rFonts w:hint="default"/>
      </w:rPr>
    </w:lvl>
  </w:abstractNum>
  <w:abstractNum w:abstractNumId="17">
    <w:multiLevelType w:val="hybridMultilevel"/>
    <w:lvl w:ilvl="0">
      <w:start w:val="1"/>
      <w:numFmt w:val="bullet"/>
      <w:lvlText w:val=""/>
      <w:lvlJc w:val="left"/>
      <w:pPr>
        <w:ind w:left="988" w:hanging="360"/>
      </w:pPr>
      <w:rPr>
        <w:rFonts w:hint="default" w:ascii="Symbol" w:hAnsi="Symbol" w:eastAsia="Symbol" w:cs="Symbol"/>
        <w:w w:val="100"/>
        <w:sz w:val="24"/>
        <w:szCs w:val="24"/>
      </w:rPr>
    </w:lvl>
    <w:lvl w:ilvl="1">
      <w:start w:val="1"/>
      <w:numFmt w:val="bullet"/>
      <w:lvlText w:val="•"/>
      <w:lvlJc w:val="left"/>
      <w:pPr>
        <w:ind w:left="1816" w:hanging="360"/>
      </w:pPr>
      <w:rPr>
        <w:rFonts w:hint="default"/>
      </w:rPr>
    </w:lvl>
    <w:lvl w:ilvl="2">
      <w:start w:val="1"/>
      <w:numFmt w:val="bullet"/>
      <w:lvlText w:val="•"/>
      <w:lvlJc w:val="left"/>
      <w:pPr>
        <w:ind w:left="2652" w:hanging="360"/>
      </w:pPr>
      <w:rPr>
        <w:rFonts w:hint="default"/>
      </w:rPr>
    </w:lvl>
    <w:lvl w:ilvl="3">
      <w:start w:val="1"/>
      <w:numFmt w:val="bullet"/>
      <w:lvlText w:val="•"/>
      <w:lvlJc w:val="left"/>
      <w:pPr>
        <w:ind w:left="3488" w:hanging="360"/>
      </w:pPr>
      <w:rPr>
        <w:rFonts w:hint="default"/>
      </w:rPr>
    </w:lvl>
    <w:lvl w:ilvl="4">
      <w:start w:val="1"/>
      <w:numFmt w:val="bullet"/>
      <w:lvlText w:val="•"/>
      <w:lvlJc w:val="left"/>
      <w:pPr>
        <w:ind w:left="4324" w:hanging="360"/>
      </w:pPr>
      <w:rPr>
        <w:rFonts w:hint="default"/>
      </w:rPr>
    </w:lvl>
    <w:lvl w:ilvl="5">
      <w:start w:val="1"/>
      <w:numFmt w:val="bullet"/>
      <w:lvlText w:val="•"/>
      <w:lvlJc w:val="left"/>
      <w:pPr>
        <w:ind w:left="5160" w:hanging="360"/>
      </w:pPr>
      <w:rPr>
        <w:rFonts w:hint="default"/>
      </w:rPr>
    </w:lvl>
    <w:lvl w:ilvl="6">
      <w:start w:val="1"/>
      <w:numFmt w:val="bullet"/>
      <w:lvlText w:val="•"/>
      <w:lvlJc w:val="left"/>
      <w:pPr>
        <w:ind w:left="5996" w:hanging="360"/>
      </w:pPr>
      <w:rPr>
        <w:rFonts w:hint="default"/>
      </w:rPr>
    </w:lvl>
    <w:lvl w:ilvl="7">
      <w:start w:val="1"/>
      <w:numFmt w:val="bullet"/>
      <w:lvlText w:val="•"/>
      <w:lvlJc w:val="left"/>
      <w:pPr>
        <w:ind w:left="6832" w:hanging="360"/>
      </w:pPr>
      <w:rPr>
        <w:rFonts w:hint="default"/>
      </w:rPr>
    </w:lvl>
    <w:lvl w:ilvl="8">
      <w:start w:val="1"/>
      <w:numFmt w:val="bullet"/>
      <w:lvlText w:val="•"/>
      <w:lvlJc w:val="left"/>
      <w:pPr>
        <w:ind w:left="7668" w:hanging="360"/>
      </w:pPr>
      <w:rPr>
        <w:rFonts w:hint="default"/>
      </w:rPr>
    </w:lvl>
  </w:abstractNum>
  <w:abstractNum w:abstractNumId="16">
    <w:multiLevelType w:val="hybridMultilevel"/>
    <w:lvl w:ilvl="0">
      <w:start w:val="3"/>
      <w:numFmt w:val="decimal"/>
      <w:lvlText w:val="%1"/>
      <w:lvlJc w:val="left"/>
      <w:pPr>
        <w:ind w:left="735" w:hanging="467"/>
        <w:jc w:val="left"/>
      </w:pPr>
      <w:rPr>
        <w:rFonts w:hint="default"/>
      </w:rPr>
    </w:lvl>
    <w:lvl w:ilvl="1">
      <w:start w:val="1"/>
      <w:numFmt w:val="decimal"/>
      <w:lvlText w:val="%1.%2."/>
      <w:lvlJc w:val="left"/>
      <w:pPr>
        <w:ind w:left="735" w:hanging="467"/>
        <w:jc w:val="left"/>
      </w:pPr>
      <w:rPr>
        <w:rFonts w:hint="default" w:ascii="Arial" w:hAnsi="Arial" w:eastAsia="Arial" w:cs="Arial"/>
        <w:b/>
        <w:bCs/>
        <w:w w:val="100"/>
        <w:sz w:val="24"/>
        <w:szCs w:val="24"/>
      </w:rPr>
    </w:lvl>
    <w:lvl w:ilvl="2">
      <w:start w:val="1"/>
      <w:numFmt w:val="decimal"/>
      <w:lvlText w:val="%1.%2.%3."/>
      <w:lvlJc w:val="left"/>
      <w:pPr>
        <w:ind w:left="935" w:hanging="668"/>
        <w:jc w:val="left"/>
      </w:pPr>
      <w:rPr>
        <w:rFonts w:hint="default" w:ascii="Arial" w:hAnsi="Arial" w:eastAsia="Arial" w:cs="Arial"/>
        <w:b/>
        <w:bCs/>
        <w:i/>
        <w:w w:val="100"/>
        <w:sz w:val="24"/>
        <w:szCs w:val="24"/>
      </w:rPr>
    </w:lvl>
    <w:lvl w:ilvl="3">
      <w:start w:val="1"/>
      <w:numFmt w:val="upperRoman"/>
      <w:lvlText w:val="%4."/>
      <w:lvlJc w:val="left"/>
      <w:pPr>
        <w:ind w:left="976" w:hanging="200"/>
        <w:jc w:val="left"/>
      </w:pPr>
      <w:rPr>
        <w:rFonts w:hint="default" w:ascii="Arial" w:hAnsi="Arial" w:eastAsia="Arial" w:cs="Arial"/>
        <w:i/>
        <w:spacing w:val="-1"/>
        <w:w w:val="100"/>
        <w:sz w:val="24"/>
        <w:szCs w:val="24"/>
      </w:rPr>
    </w:lvl>
    <w:lvl w:ilvl="4">
      <w:start w:val="1"/>
      <w:numFmt w:val="bullet"/>
      <w:lvlText w:val="•"/>
      <w:lvlJc w:val="left"/>
      <w:pPr>
        <w:ind w:left="3070" w:hanging="200"/>
      </w:pPr>
      <w:rPr>
        <w:rFonts w:hint="default"/>
      </w:rPr>
    </w:lvl>
    <w:lvl w:ilvl="5">
      <w:start w:val="1"/>
      <w:numFmt w:val="bullet"/>
      <w:lvlText w:val="•"/>
      <w:lvlJc w:val="left"/>
      <w:pPr>
        <w:ind w:left="4115" w:hanging="200"/>
      </w:pPr>
      <w:rPr>
        <w:rFonts w:hint="default"/>
      </w:rPr>
    </w:lvl>
    <w:lvl w:ilvl="6">
      <w:start w:val="1"/>
      <w:numFmt w:val="bullet"/>
      <w:lvlText w:val="•"/>
      <w:lvlJc w:val="left"/>
      <w:pPr>
        <w:ind w:left="5160" w:hanging="200"/>
      </w:pPr>
      <w:rPr>
        <w:rFonts w:hint="default"/>
      </w:rPr>
    </w:lvl>
    <w:lvl w:ilvl="7">
      <w:start w:val="1"/>
      <w:numFmt w:val="bullet"/>
      <w:lvlText w:val="•"/>
      <w:lvlJc w:val="left"/>
      <w:pPr>
        <w:ind w:left="6205" w:hanging="200"/>
      </w:pPr>
      <w:rPr>
        <w:rFonts w:hint="default"/>
      </w:rPr>
    </w:lvl>
    <w:lvl w:ilvl="8">
      <w:start w:val="1"/>
      <w:numFmt w:val="bullet"/>
      <w:lvlText w:val="•"/>
      <w:lvlJc w:val="left"/>
      <w:pPr>
        <w:ind w:left="7250" w:hanging="200"/>
      </w:pPr>
      <w:rPr>
        <w:rFonts w:hint="default"/>
      </w:rPr>
    </w:lvl>
  </w:abstractNum>
  <w:abstractNum w:abstractNumId="15">
    <w:multiLevelType w:val="hybridMultilevel"/>
    <w:lvl w:ilvl="0">
      <w:start w:val="6"/>
      <w:numFmt w:val="decimal"/>
      <w:lvlText w:val="%1"/>
      <w:lvlJc w:val="left"/>
      <w:pPr>
        <w:ind w:left="268" w:hanging="165"/>
        <w:jc w:val="left"/>
      </w:pPr>
      <w:rPr>
        <w:rFonts w:hint="default" w:ascii="Arial" w:hAnsi="Arial" w:eastAsia="Arial" w:cs="Arial"/>
        <w:w w:val="99"/>
        <w:sz w:val="16"/>
        <w:szCs w:val="16"/>
      </w:rPr>
    </w:lvl>
    <w:lvl w:ilvl="1">
      <w:start w:val="1"/>
      <w:numFmt w:val="bullet"/>
      <w:lvlText w:val="•"/>
      <w:lvlJc w:val="left"/>
      <w:pPr>
        <w:ind w:left="1168" w:hanging="165"/>
      </w:pPr>
      <w:rPr>
        <w:rFonts w:hint="default"/>
      </w:rPr>
    </w:lvl>
    <w:lvl w:ilvl="2">
      <w:start w:val="1"/>
      <w:numFmt w:val="bullet"/>
      <w:lvlText w:val="•"/>
      <w:lvlJc w:val="left"/>
      <w:pPr>
        <w:ind w:left="2076" w:hanging="165"/>
      </w:pPr>
      <w:rPr>
        <w:rFonts w:hint="default"/>
      </w:rPr>
    </w:lvl>
    <w:lvl w:ilvl="3">
      <w:start w:val="1"/>
      <w:numFmt w:val="bullet"/>
      <w:lvlText w:val="•"/>
      <w:lvlJc w:val="left"/>
      <w:pPr>
        <w:ind w:left="2984" w:hanging="165"/>
      </w:pPr>
      <w:rPr>
        <w:rFonts w:hint="default"/>
      </w:rPr>
    </w:lvl>
    <w:lvl w:ilvl="4">
      <w:start w:val="1"/>
      <w:numFmt w:val="bullet"/>
      <w:lvlText w:val="•"/>
      <w:lvlJc w:val="left"/>
      <w:pPr>
        <w:ind w:left="3892" w:hanging="165"/>
      </w:pPr>
      <w:rPr>
        <w:rFonts w:hint="default"/>
      </w:rPr>
    </w:lvl>
    <w:lvl w:ilvl="5">
      <w:start w:val="1"/>
      <w:numFmt w:val="bullet"/>
      <w:lvlText w:val="•"/>
      <w:lvlJc w:val="left"/>
      <w:pPr>
        <w:ind w:left="4800" w:hanging="165"/>
      </w:pPr>
      <w:rPr>
        <w:rFonts w:hint="default"/>
      </w:rPr>
    </w:lvl>
    <w:lvl w:ilvl="6">
      <w:start w:val="1"/>
      <w:numFmt w:val="bullet"/>
      <w:lvlText w:val="•"/>
      <w:lvlJc w:val="left"/>
      <w:pPr>
        <w:ind w:left="5708" w:hanging="165"/>
      </w:pPr>
      <w:rPr>
        <w:rFonts w:hint="default"/>
      </w:rPr>
    </w:lvl>
    <w:lvl w:ilvl="7">
      <w:start w:val="1"/>
      <w:numFmt w:val="bullet"/>
      <w:lvlText w:val="•"/>
      <w:lvlJc w:val="left"/>
      <w:pPr>
        <w:ind w:left="6616" w:hanging="165"/>
      </w:pPr>
      <w:rPr>
        <w:rFonts w:hint="default"/>
      </w:rPr>
    </w:lvl>
    <w:lvl w:ilvl="8">
      <w:start w:val="1"/>
      <w:numFmt w:val="bullet"/>
      <w:lvlText w:val="•"/>
      <w:lvlJc w:val="left"/>
      <w:pPr>
        <w:ind w:left="7524" w:hanging="165"/>
      </w:pPr>
      <w:rPr>
        <w:rFonts w:hint="default"/>
      </w:rPr>
    </w:lvl>
  </w:abstractNum>
  <w:abstractNum w:abstractNumId="14">
    <w:multiLevelType w:val="hybridMultilevel"/>
    <w:lvl w:ilvl="0">
      <w:start w:val="1"/>
      <w:numFmt w:val="lowerLetter"/>
      <w:lvlText w:val="%1)"/>
      <w:lvlJc w:val="left"/>
      <w:pPr>
        <w:ind w:left="976" w:hanging="301"/>
        <w:jc w:val="left"/>
      </w:pPr>
      <w:rPr>
        <w:rFonts w:hint="default" w:ascii="Arial" w:hAnsi="Arial" w:eastAsia="Arial" w:cs="Arial"/>
        <w:i/>
        <w:w w:val="100"/>
        <w:sz w:val="24"/>
        <w:szCs w:val="24"/>
      </w:rPr>
    </w:lvl>
    <w:lvl w:ilvl="1">
      <w:start w:val="1"/>
      <w:numFmt w:val="bullet"/>
      <w:lvlText w:val="•"/>
      <w:lvlJc w:val="left"/>
      <w:pPr>
        <w:ind w:left="1816" w:hanging="301"/>
      </w:pPr>
      <w:rPr>
        <w:rFonts w:hint="default"/>
      </w:rPr>
    </w:lvl>
    <w:lvl w:ilvl="2">
      <w:start w:val="1"/>
      <w:numFmt w:val="bullet"/>
      <w:lvlText w:val="•"/>
      <w:lvlJc w:val="left"/>
      <w:pPr>
        <w:ind w:left="2652" w:hanging="301"/>
      </w:pPr>
      <w:rPr>
        <w:rFonts w:hint="default"/>
      </w:rPr>
    </w:lvl>
    <w:lvl w:ilvl="3">
      <w:start w:val="1"/>
      <w:numFmt w:val="bullet"/>
      <w:lvlText w:val="•"/>
      <w:lvlJc w:val="left"/>
      <w:pPr>
        <w:ind w:left="3488" w:hanging="301"/>
      </w:pPr>
      <w:rPr>
        <w:rFonts w:hint="default"/>
      </w:rPr>
    </w:lvl>
    <w:lvl w:ilvl="4">
      <w:start w:val="1"/>
      <w:numFmt w:val="bullet"/>
      <w:lvlText w:val="•"/>
      <w:lvlJc w:val="left"/>
      <w:pPr>
        <w:ind w:left="4324" w:hanging="301"/>
      </w:pPr>
      <w:rPr>
        <w:rFonts w:hint="default"/>
      </w:rPr>
    </w:lvl>
    <w:lvl w:ilvl="5">
      <w:start w:val="1"/>
      <w:numFmt w:val="bullet"/>
      <w:lvlText w:val="•"/>
      <w:lvlJc w:val="left"/>
      <w:pPr>
        <w:ind w:left="5160" w:hanging="301"/>
      </w:pPr>
      <w:rPr>
        <w:rFonts w:hint="default"/>
      </w:rPr>
    </w:lvl>
    <w:lvl w:ilvl="6">
      <w:start w:val="1"/>
      <w:numFmt w:val="bullet"/>
      <w:lvlText w:val="•"/>
      <w:lvlJc w:val="left"/>
      <w:pPr>
        <w:ind w:left="5996" w:hanging="301"/>
      </w:pPr>
      <w:rPr>
        <w:rFonts w:hint="default"/>
      </w:rPr>
    </w:lvl>
    <w:lvl w:ilvl="7">
      <w:start w:val="1"/>
      <w:numFmt w:val="bullet"/>
      <w:lvlText w:val="•"/>
      <w:lvlJc w:val="left"/>
      <w:pPr>
        <w:ind w:left="6832" w:hanging="301"/>
      </w:pPr>
      <w:rPr>
        <w:rFonts w:hint="default"/>
      </w:rPr>
    </w:lvl>
    <w:lvl w:ilvl="8">
      <w:start w:val="1"/>
      <w:numFmt w:val="bullet"/>
      <w:lvlText w:val="•"/>
      <w:lvlJc w:val="left"/>
      <w:pPr>
        <w:ind w:left="7668" w:hanging="301"/>
      </w:pPr>
      <w:rPr>
        <w:rFonts w:hint="default"/>
      </w:rPr>
    </w:lvl>
  </w:abstractNum>
  <w:abstractNum w:abstractNumId="13">
    <w:multiLevelType w:val="hybridMultilevel"/>
    <w:lvl w:ilvl="0">
      <w:start w:val="1"/>
      <w:numFmt w:val="decimal"/>
      <w:lvlText w:val="%1."/>
      <w:lvlJc w:val="left"/>
      <w:pPr>
        <w:ind w:left="988" w:hanging="360"/>
        <w:jc w:val="left"/>
      </w:pPr>
      <w:rPr>
        <w:rFonts w:hint="default" w:ascii="Arial" w:hAnsi="Arial" w:eastAsia="Arial" w:cs="Arial"/>
        <w:w w:val="100"/>
        <w:sz w:val="24"/>
        <w:szCs w:val="24"/>
      </w:rPr>
    </w:lvl>
    <w:lvl w:ilvl="1">
      <w:start w:val="1"/>
      <w:numFmt w:val="bullet"/>
      <w:lvlText w:val="•"/>
      <w:lvlJc w:val="left"/>
      <w:pPr>
        <w:ind w:left="1816" w:hanging="360"/>
      </w:pPr>
      <w:rPr>
        <w:rFonts w:hint="default"/>
      </w:rPr>
    </w:lvl>
    <w:lvl w:ilvl="2">
      <w:start w:val="1"/>
      <w:numFmt w:val="bullet"/>
      <w:lvlText w:val="•"/>
      <w:lvlJc w:val="left"/>
      <w:pPr>
        <w:ind w:left="2652" w:hanging="360"/>
      </w:pPr>
      <w:rPr>
        <w:rFonts w:hint="default"/>
      </w:rPr>
    </w:lvl>
    <w:lvl w:ilvl="3">
      <w:start w:val="1"/>
      <w:numFmt w:val="bullet"/>
      <w:lvlText w:val="•"/>
      <w:lvlJc w:val="left"/>
      <w:pPr>
        <w:ind w:left="3488" w:hanging="360"/>
      </w:pPr>
      <w:rPr>
        <w:rFonts w:hint="default"/>
      </w:rPr>
    </w:lvl>
    <w:lvl w:ilvl="4">
      <w:start w:val="1"/>
      <w:numFmt w:val="bullet"/>
      <w:lvlText w:val="•"/>
      <w:lvlJc w:val="left"/>
      <w:pPr>
        <w:ind w:left="4324" w:hanging="360"/>
      </w:pPr>
      <w:rPr>
        <w:rFonts w:hint="default"/>
      </w:rPr>
    </w:lvl>
    <w:lvl w:ilvl="5">
      <w:start w:val="1"/>
      <w:numFmt w:val="bullet"/>
      <w:lvlText w:val="•"/>
      <w:lvlJc w:val="left"/>
      <w:pPr>
        <w:ind w:left="5160" w:hanging="360"/>
      </w:pPr>
      <w:rPr>
        <w:rFonts w:hint="default"/>
      </w:rPr>
    </w:lvl>
    <w:lvl w:ilvl="6">
      <w:start w:val="1"/>
      <w:numFmt w:val="bullet"/>
      <w:lvlText w:val="•"/>
      <w:lvlJc w:val="left"/>
      <w:pPr>
        <w:ind w:left="5996" w:hanging="360"/>
      </w:pPr>
      <w:rPr>
        <w:rFonts w:hint="default"/>
      </w:rPr>
    </w:lvl>
    <w:lvl w:ilvl="7">
      <w:start w:val="1"/>
      <w:numFmt w:val="bullet"/>
      <w:lvlText w:val="•"/>
      <w:lvlJc w:val="left"/>
      <w:pPr>
        <w:ind w:left="6832" w:hanging="360"/>
      </w:pPr>
      <w:rPr>
        <w:rFonts w:hint="default"/>
      </w:rPr>
    </w:lvl>
    <w:lvl w:ilvl="8">
      <w:start w:val="1"/>
      <w:numFmt w:val="bullet"/>
      <w:lvlText w:val="•"/>
      <w:lvlJc w:val="left"/>
      <w:pPr>
        <w:ind w:left="7668" w:hanging="360"/>
      </w:pPr>
      <w:rPr>
        <w:rFonts w:hint="default"/>
      </w:rPr>
    </w:lvl>
  </w:abstractNum>
  <w:abstractNum w:abstractNumId="12">
    <w:multiLevelType w:val="hybridMultilevel"/>
    <w:lvl w:ilvl="0">
      <w:start w:val="1"/>
      <w:numFmt w:val="lowerLetter"/>
      <w:lvlText w:val="%1)"/>
      <w:lvlJc w:val="left"/>
      <w:pPr>
        <w:ind w:left="988" w:hanging="427"/>
        <w:jc w:val="left"/>
      </w:pPr>
      <w:rPr>
        <w:rFonts w:hint="default" w:ascii="Arial" w:hAnsi="Arial" w:eastAsia="Arial" w:cs="Arial"/>
        <w:spacing w:val="-22"/>
        <w:w w:val="100"/>
        <w:sz w:val="24"/>
        <w:szCs w:val="24"/>
      </w:rPr>
    </w:lvl>
    <w:lvl w:ilvl="1">
      <w:start w:val="1"/>
      <w:numFmt w:val="bullet"/>
      <w:lvlText w:val="•"/>
      <w:lvlJc w:val="left"/>
      <w:pPr>
        <w:ind w:left="1816" w:hanging="427"/>
      </w:pPr>
      <w:rPr>
        <w:rFonts w:hint="default"/>
      </w:rPr>
    </w:lvl>
    <w:lvl w:ilvl="2">
      <w:start w:val="1"/>
      <w:numFmt w:val="bullet"/>
      <w:lvlText w:val="•"/>
      <w:lvlJc w:val="left"/>
      <w:pPr>
        <w:ind w:left="2652" w:hanging="427"/>
      </w:pPr>
      <w:rPr>
        <w:rFonts w:hint="default"/>
      </w:rPr>
    </w:lvl>
    <w:lvl w:ilvl="3">
      <w:start w:val="1"/>
      <w:numFmt w:val="bullet"/>
      <w:lvlText w:val="•"/>
      <w:lvlJc w:val="left"/>
      <w:pPr>
        <w:ind w:left="3488" w:hanging="427"/>
      </w:pPr>
      <w:rPr>
        <w:rFonts w:hint="default"/>
      </w:rPr>
    </w:lvl>
    <w:lvl w:ilvl="4">
      <w:start w:val="1"/>
      <w:numFmt w:val="bullet"/>
      <w:lvlText w:val="•"/>
      <w:lvlJc w:val="left"/>
      <w:pPr>
        <w:ind w:left="4324" w:hanging="427"/>
      </w:pPr>
      <w:rPr>
        <w:rFonts w:hint="default"/>
      </w:rPr>
    </w:lvl>
    <w:lvl w:ilvl="5">
      <w:start w:val="1"/>
      <w:numFmt w:val="bullet"/>
      <w:lvlText w:val="•"/>
      <w:lvlJc w:val="left"/>
      <w:pPr>
        <w:ind w:left="5160" w:hanging="427"/>
      </w:pPr>
      <w:rPr>
        <w:rFonts w:hint="default"/>
      </w:rPr>
    </w:lvl>
    <w:lvl w:ilvl="6">
      <w:start w:val="1"/>
      <w:numFmt w:val="bullet"/>
      <w:lvlText w:val="•"/>
      <w:lvlJc w:val="left"/>
      <w:pPr>
        <w:ind w:left="5996" w:hanging="427"/>
      </w:pPr>
      <w:rPr>
        <w:rFonts w:hint="default"/>
      </w:rPr>
    </w:lvl>
    <w:lvl w:ilvl="7">
      <w:start w:val="1"/>
      <w:numFmt w:val="bullet"/>
      <w:lvlText w:val="•"/>
      <w:lvlJc w:val="left"/>
      <w:pPr>
        <w:ind w:left="6832" w:hanging="427"/>
      </w:pPr>
      <w:rPr>
        <w:rFonts w:hint="default"/>
      </w:rPr>
    </w:lvl>
    <w:lvl w:ilvl="8">
      <w:start w:val="1"/>
      <w:numFmt w:val="bullet"/>
      <w:lvlText w:val="•"/>
      <w:lvlJc w:val="left"/>
      <w:pPr>
        <w:ind w:left="7668" w:hanging="427"/>
      </w:pPr>
      <w:rPr>
        <w:rFonts w:hint="default"/>
      </w:rPr>
    </w:lvl>
  </w:abstractNum>
  <w:abstractNum w:abstractNumId="11">
    <w:multiLevelType w:val="hybridMultilevel"/>
    <w:lvl w:ilvl="0">
      <w:start w:val="1"/>
      <w:numFmt w:val="bullet"/>
      <w:lvlText w:val=""/>
      <w:lvlJc w:val="left"/>
      <w:pPr>
        <w:ind w:left="276" w:hanging="142"/>
      </w:pPr>
      <w:rPr>
        <w:rFonts w:hint="default" w:ascii="Symbol" w:hAnsi="Symbol" w:eastAsia="Symbol" w:cs="Symbol"/>
        <w:w w:val="104"/>
        <w:sz w:val="17"/>
        <w:szCs w:val="17"/>
      </w:rPr>
    </w:lvl>
    <w:lvl w:ilvl="1">
      <w:start w:val="1"/>
      <w:numFmt w:val="bullet"/>
      <w:lvlText w:val="•"/>
      <w:lvlJc w:val="left"/>
      <w:pPr>
        <w:ind w:left="846" w:hanging="142"/>
      </w:pPr>
      <w:rPr>
        <w:rFonts w:hint="default"/>
      </w:rPr>
    </w:lvl>
    <w:lvl w:ilvl="2">
      <w:start w:val="1"/>
      <w:numFmt w:val="bullet"/>
      <w:lvlText w:val="•"/>
      <w:lvlJc w:val="left"/>
      <w:pPr>
        <w:ind w:left="1412" w:hanging="142"/>
      </w:pPr>
      <w:rPr>
        <w:rFonts w:hint="default"/>
      </w:rPr>
    </w:lvl>
    <w:lvl w:ilvl="3">
      <w:start w:val="1"/>
      <w:numFmt w:val="bullet"/>
      <w:lvlText w:val="•"/>
      <w:lvlJc w:val="left"/>
      <w:pPr>
        <w:ind w:left="1978" w:hanging="142"/>
      </w:pPr>
      <w:rPr>
        <w:rFonts w:hint="default"/>
      </w:rPr>
    </w:lvl>
    <w:lvl w:ilvl="4">
      <w:start w:val="1"/>
      <w:numFmt w:val="bullet"/>
      <w:lvlText w:val="•"/>
      <w:lvlJc w:val="left"/>
      <w:pPr>
        <w:ind w:left="2544" w:hanging="142"/>
      </w:pPr>
      <w:rPr>
        <w:rFonts w:hint="default"/>
      </w:rPr>
    </w:lvl>
    <w:lvl w:ilvl="5">
      <w:start w:val="1"/>
      <w:numFmt w:val="bullet"/>
      <w:lvlText w:val="•"/>
      <w:lvlJc w:val="left"/>
      <w:pPr>
        <w:ind w:left="3111" w:hanging="142"/>
      </w:pPr>
      <w:rPr>
        <w:rFonts w:hint="default"/>
      </w:rPr>
    </w:lvl>
    <w:lvl w:ilvl="6">
      <w:start w:val="1"/>
      <w:numFmt w:val="bullet"/>
      <w:lvlText w:val="•"/>
      <w:lvlJc w:val="left"/>
      <w:pPr>
        <w:ind w:left="3677" w:hanging="142"/>
      </w:pPr>
      <w:rPr>
        <w:rFonts w:hint="default"/>
      </w:rPr>
    </w:lvl>
    <w:lvl w:ilvl="7">
      <w:start w:val="1"/>
      <w:numFmt w:val="bullet"/>
      <w:lvlText w:val="•"/>
      <w:lvlJc w:val="left"/>
      <w:pPr>
        <w:ind w:left="4243" w:hanging="142"/>
      </w:pPr>
      <w:rPr>
        <w:rFonts w:hint="default"/>
      </w:rPr>
    </w:lvl>
    <w:lvl w:ilvl="8">
      <w:start w:val="1"/>
      <w:numFmt w:val="bullet"/>
      <w:lvlText w:val="•"/>
      <w:lvlJc w:val="left"/>
      <w:pPr>
        <w:ind w:left="4809" w:hanging="142"/>
      </w:pPr>
      <w:rPr>
        <w:rFonts w:hint="default"/>
      </w:rPr>
    </w:lvl>
  </w:abstractNum>
  <w:abstractNum w:abstractNumId="10">
    <w:multiLevelType w:val="hybridMultilevel"/>
    <w:lvl w:ilvl="0">
      <w:start w:val="1"/>
      <w:numFmt w:val="bullet"/>
      <w:lvlText w:val=""/>
      <w:lvlJc w:val="left"/>
      <w:pPr>
        <w:ind w:left="276" w:hanging="142"/>
      </w:pPr>
      <w:rPr>
        <w:rFonts w:hint="default" w:ascii="Symbol" w:hAnsi="Symbol" w:eastAsia="Symbol" w:cs="Symbol"/>
        <w:w w:val="104"/>
        <w:sz w:val="17"/>
        <w:szCs w:val="17"/>
      </w:rPr>
    </w:lvl>
    <w:lvl w:ilvl="1">
      <w:start w:val="1"/>
      <w:numFmt w:val="bullet"/>
      <w:lvlText w:val="•"/>
      <w:lvlJc w:val="left"/>
      <w:pPr>
        <w:ind w:left="846" w:hanging="142"/>
      </w:pPr>
      <w:rPr>
        <w:rFonts w:hint="default"/>
      </w:rPr>
    </w:lvl>
    <w:lvl w:ilvl="2">
      <w:start w:val="1"/>
      <w:numFmt w:val="bullet"/>
      <w:lvlText w:val="•"/>
      <w:lvlJc w:val="left"/>
      <w:pPr>
        <w:ind w:left="1412" w:hanging="142"/>
      </w:pPr>
      <w:rPr>
        <w:rFonts w:hint="default"/>
      </w:rPr>
    </w:lvl>
    <w:lvl w:ilvl="3">
      <w:start w:val="1"/>
      <w:numFmt w:val="bullet"/>
      <w:lvlText w:val="•"/>
      <w:lvlJc w:val="left"/>
      <w:pPr>
        <w:ind w:left="1978" w:hanging="142"/>
      </w:pPr>
      <w:rPr>
        <w:rFonts w:hint="default"/>
      </w:rPr>
    </w:lvl>
    <w:lvl w:ilvl="4">
      <w:start w:val="1"/>
      <w:numFmt w:val="bullet"/>
      <w:lvlText w:val="•"/>
      <w:lvlJc w:val="left"/>
      <w:pPr>
        <w:ind w:left="2544" w:hanging="142"/>
      </w:pPr>
      <w:rPr>
        <w:rFonts w:hint="default"/>
      </w:rPr>
    </w:lvl>
    <w:lvl w:ilvl="5">
      <w:start w:val="1"/>
      <w:numFmt w:val="bullet"/>
      <w:lvlText w:val="•"/>
      <w:lvlJc w:val="left"/>
      <w:pPr>
        <w:ind w:left="3111" w:hanging="142"/>
      </w:pPr>
      <w:rPr>
        <w:rFonts w:hint="default"/>
      </w:rPr>
    </w:lvl>
    <w:lvl w:ilvl="6">
      <w:start w:val="1"/>
      <w:numFmt w:val="bullet"/>
      <w:lvlText w:val="•"/>
      <w:lvlJc w:val="left"/>
      <w:pPr>
        <w:ind w:left="3677" w:hanging="142"/>
      </w:pPr>
      <w:rPr>
        <w:rFonts w:hint="default"/>
      </w:rPr>
    </w:lvl>
    <w:lvl w:ilvl="7">
      <w:start w:val="1"/>
      <w:numFmt w:val="bullet"/>
      <w:lvlText w:val="•"/>
      <w:lvlJc w:val="left"/>
      <w:pPr>
        <w:ind w:left="4243" w:hanging="142"/>
      </w:pPr>
      <w:rPr>
        <w:rFonts w:hint="default"/>
      </w:rPr>
    </w:lvl>
    <w:lvl w:ilvl="8">
      <w:start w:val="1"/>
      <w:numFmt w:val="bullet"/>
      <w:lvlText w:val="•"/>
      <w:lvlJc w:val="left"/>
      <w:pPr>
        <w:ind w:left="4809" w:hanging="142"/>
      </w:pPr>
      <w:rPr>
        <w:rFonts w:hint="default"/>
      </w:rPr>
    </w:lvl>
  </w:abstractNum>
  <w:abstractNum w:abstractNumId="9">
    <w:multiLevelType w:val="hybridMultilevel"/>
    <w:lvl w:ilvl="0">
      <w:start w:val="1"/>
      <w:numFmt w:val="bullet"/>
      <w:lvlText w:val=""/>
      <w:lvlJc w:val="left"/>
      <w:pPr>
        <w:ind w:left="276" w:hanging="142"/>
      </w:pPr>
      <w:rPr>
        <w:rFonts w:hint="default" w:ascii="Symbol" w:hAnsi="Symbol" w:eastAsia="Symbol" w:cs="Symbol"/>
        <w:w w:val="104"/>
        <w:sz w:val="17"/>
        <w:szCs w:val="17"/>
      </w:rPr>
    </w:lvl>
    <w:lvl w:ilvl="1">
      <w:start w:val="1"/>
      <w:numFmt w:val="bullet"/>
      <w:lvlText w:val="•"/>
      <w:lvlJc w:val="left"/>
      <w:pPr>
        <w:ind w:left="846" w:hanging="142"/>
      </w:pPr>
      <w:rPr>
        <w:rFonts w:hint="default"/>
      </w:rPr>
    </w:lvl>
    <w:lvl w:ilvl="2">
      <w:start w:val="1"/>
      <w:numFmt w:val="bullet"/>
      <w:lvlText w:val="•"/>
      <w:lvlJc w:val="left"/>
      <w:pPr>
        <w:ind w:left="1412" w:hanging="142"/>
      </w:pPr>
      <w:rPr>
        <w:rFonts w:hint="default"/>
      </w:rPr>
    </w:lvl>
    <w:lvl w:ilvl="3">
      <w:start w:val="1"/>
      <w:numFmt w:val="bullet"/>
      <w:lvlText w:val="•"/>
      <w:lvlJc w:val="left"/>
      <w:pPr>
        <w:ind w:left="1978" w:hanging="142"/>
      </w:pPr>
      <w:rPr>
        <w:rFonts w:hint="default"/>
      </w:rPr>
    </w:lvl>
    <w:lvl w:ilvl="4">
      <w:start w:val="1"/>
      <w:numFmt w:val="bullet"/>
      <w:lvlText w:val="•"/>
      <w:lvlJc w:val="left"/>
      <w:pPr>
        <w:ind w:left="2544" w:hanging="142"/>
      </w:pPr>
      <w:rPr>
        <w:rFonts w:hint="default"/>
      </w:rPr>
    </w:lvl>
    <w:lvl w:ilvl="5">
      <w:start w:val="1"/>
      <w:numFmt w:val="bullet"/>
      <w:lvlText w:val="•"/>
      <w:lvlJc w:val="left"/>
      <w:pPr>
        <w:ind w:left="3111" w:hanging="142"/>
      </w:pPr>
      <w:rPr>
        <w:rFonts w:hint="default"/>
      </w:rPr>
    </w:lvl>
    <w:lvl w:ilvl="6">
      <w:start w:val="1"/>
      <w:numFmt w:val="bullet"/>
      <w:lvlText w:val="•"/>
      <w:lvlJc w:val="left"/>
      <w:pPr>
        <w:ind w:left="3677" w:hanging="142"/>
      </w:pPr>
      <w:rPr>
        <w:rFonts w:hint="default"/>
      </w:rPr>
    </w:lvl>
    <w:lvl w:ilvl="7">
      <w:start w:val="1"/>
      <w:numFmt w:val="bullet"/>
      <w:lvlText w:val="•"/>
      <w:lvlJc w:val="left"/>
      <w:pPr>
        <w:ind w:left="4243" w:hanging="142"/>
      </w:pPr>
      <w:rPr>
        <w:rFonts w:hint="default"/>
      </w:rPr>
    </w:lvl>
    <w:lvl w:ilvl="8">
      <w:start w:val="1"/>
      <w:numFmt w:val="bullet"/>
      <w:lvlText w:val="•"/>
      <w:lvlJc w:val="left"/>
      <w:pPr>
        <w:ind w:left="4809" w:hanging="142"/>
      </w:pPr>
      <w:rPr>
        <w:rFonts w:hint="default"/>
      </w:rPr>
    </w:lvl>
  </w:abstractNum>
  <w:abstractNum w:abstractNumId="8">
    <w:multiLevelType w:val="hybridMultilevel"/>
    <w:lvl w:ilvl="0">
      <w:start w:val="1"/>
      <w:numFmt w:val="bullet"/>
      <w:lvlText w:val=""/>
      <w:lvlJc w:val="left"/>
      <w:pPr>
        <w:ind w:left="276" w:hanging="142"/>
      </w:pPr>
      <w:rPr>
        <w:rFonts w:hint="default" w:ascii="Symbol" w:hAnsi="Symbol" w:eastAsia="Symbol" w:cs="Symbol"/>
        <w:w w:val="104"/>
        <w:sz w:val="17"/>
        <w:szCs w:val="17"/>
      </w:rPr>
    </w:lvl>
    <w:lvl w:ilvl="1">
      <w:start w:val="1"/>
      <w:numFmt w:val="bullet"/>
      <w:lvlText w:val="•"/>
      <w:lvlJc w:val="left"/>
      <w:pPr>
        <w:ind w:left="846" w:hanging="142"/>
      </w:pPr>
      <w:rPr>
        <w:rFonts w:hint="default"/>
      </w:rPr>
    </w:lvl>
    <w:lvl w:ilvl="2">
      <w:start w:val="1"/>
      <w:numFmt w:val="bullet"/>
      <w:lvlText w:val="•"/>
      <w:lvlJc w:val="left"/>
      <w:pPr>
        <w:ind w:left="1412" w:hanging="142"/>
      </w:pPr>
      <w:rPr>
        <w:rFonts w:hint="default"/>
      </w:rPr>
    </w:lvl>
    <w:lvl w:ilvl="3">
      <w:start w:val="1"/>
      <w:numFmt w:val="bullet"/>
      <w:lvlText w:val="•"/>
      <w:lvlJc w:val="left"/>
      <w:pPr>
        <w:ind w:left="1978" w:hanging="142"/>
      </w:pPr>
      <w:rPr>
        <w:rFonts w:hint="default"/>
      </w:rPr>
    </w:lvl>
    <w:lvl w:ilvl="4">
      <w:start w:val="1"/>
      <w:numFmt w:val="bullet"/>
      <w:lvlText w:val="•"/>
      <w:lvlJc w:val="left"/>
      <w:pPr>
        <w:ind w:left="2544" w:hanging="142"/>
      </w:pPr>
      <w:rPr>
        <w:rFonts w:hint="default"/>
      </w:rPr>
    </w:lvl>
    <w:lvl w:ilvl="5">
      <w:start w:val="1"/>
      <w:numFmt w:val="bullet"/>
      <w:lvlText w:val="•"/>
      <w:lvlJc w:val="left"/>
      <w:pPr>
        <w:ind w:left="3111" w:hanging="142"/>
      </w:pPr>
      <w:rPr>
        <w:rFonts w:hint="default"/>
      </w:rPr>
    </w:lvl>
    <w:lvl w:ilvl="6">
      <w:start w:val="1"/>
      <w:numFmt w:val="bullet"/>
      <w:lvlText w:val="•"/>
      <w:lvlJc w:val="left"/>
      <w:pPr>
        <w:ind w:left="3677" w:hanging="142"/>
      </w:pPr>
      <w:rPr>
        <w:rFonts w:hint="default"/>
      </w:rPr>
    </w:lvl>
    <w:lvl w:ilvl="7">
      <w:start w:val="1"/>
      <w:numFmt w:val="bullet"/>
      <w:lvlText w:val="•"/>
      <w:lvlJc w:val="left"/>
      <w:pPr>
        <w:ind w:left="4243" w:hanging="142"/>
      </w:pPr>
      <w:rPr>
        <w:rFonts w:hint="default"/>
      </w:rPr>
    </w:lvl>
    <w:lvl w:ilvl="8">
      <w:start w:val="1"/>
      <w:numFmt w:val="bullet"/>
      <w:lvlText w:val="•"/>
      <w:lvlJc w:val="left"/>
      <w:pPr>
        <w:ind w:left="4809" w:hanging="142"/>
      </w:pPr>
      <w:rPr>
        <w:rFonts w:hint="default"/>
      </w:rPr>
    </w:lvl>
  </w:abstractNum>
  <w:abstractNum w:abstractNumId="7">
    <w:multiLevelType w:val="hybridMultilevel"/>
    <w:lvl w:ilvl="0">
      <w:start w:val="2"/>
      <w:numFmt w:val="decimal"/>
      <w:lvlText w:val="%1"/>
      <w:lvlJc w:val="left"/>
      <w:pPr>
        <w:ind w:left="735" w:hanging="467"/>
        <w:jc w:val="left"/>
      </w:pPr>
      <w:rPr>
        <w:rFonts w:hint="default"/>
      </w:rPr>
    </w:lvl>
    <w:lvl w:ilvl="1">
      <w:start w:val="1"/>
      <w:numFmt w:val="decimal"/>
      <w:lvlText w:val="%1.%2."/>
      <w:lvlJc w:val="left"/>
      <w:pPr>
        <w:ind w:left="268" w:hanging="467"/>
        <w:jc w:val="left"/>
      </w:pPr>
      <w:rPr>
        <w:rFonts w:hint="default" w:ascii="Arial" w:hAnsi="Arial" w:eastAsia="Arial" w:cs="Arial"/>
        <w:b/>
        <w:bCs/>
        <w:w w:val="100"/>
        <w:sz w:val="24"/>
        <w:szCs w:val="24"/>
      </w:rPr>
    </w:lvl>
    <w:lvl w:ilvl="2">
      <w:start w:val="1"/>
      <w:numFmt w:val="lowerLetter"/>
      <w:lvlText w:val="%3)"/>
      <w:lvlJc w:val="left"/>
      <w:pPr>
        <w:ind w:left="988" w:hanging="281"/>
        <w:jc w:val="left"/>
      </w:pPr>
      <w:rPr>
        <w:rFonts w:hint="default" w:ascii="Arial" w:hAnsi="Arial" w:eastAsia="Arial" w:cs="Arial"/>
        <w:i/>
        <w:w w:val="100"/>
        <w:sz w:val="24"/>
        <w:szCs w:val="24"/>
      </w:rPr>
    </w:lvl>
    <w:lvl w:ilvl="3">
      <w:start w:val="1"/>
      <w:numFmt w:val="bullet"/>
      <w:lvlText w:val="•"/>
      <w:lvlJc w:val="left"/>
      <w:pPr>
        <w:ind w:left="2025" w:hanging="281"/>
      </w:pPr>
      <w:rPr>
        <w:rFonts w:hint="default"/>
      </w:rPr>
    </w:lvl>
    <w:lvl w:ilvl="4">
      <w:start w:val="1"/>
      <w:numFmt w:val="bullet"/>
      <w:lvlText w:val="•"/>
      <w:lvlJc w:val="left"/>
      <w:pPr>
        <w:ind w:left="3070" w:hanging="281"/>
      </w:pPr>
      <w:rPr>
        <w:rFonts w:hint="default"/>
      </w:rPr>
    </w:lvl>
    <w:lvl w:ilvl="5">
      <w:start w:val="1"/>
      <w:numFmt w:val="bullet"/>
      <w:lvlText w:val="•"/>
      <w:lvlJc w:val="left"/>
      <w:pPr>
        <w:ind w:left="4115" w:hanging="281"/>
      </w:pPr>
      <w:rPr>
        <w:rFonts w:hint="default"/>
      </w:rPr>
    </w:lvl>
    <w:lvl w:ilvl="6">
      <w:start w:val="1"/>
      <w:numFmt w:val="bullet"/>
      <w:lvlText w:val="•"/>
      <w:lvlJc w:val="left"/>
      <w:pPr>
        <w:ind w:left="5160" w:hanging="281"/>
      </w:pPr>
      <w:rPr>
        <w:rFonts w:hint="default"/>
      </w:rPr>
    </w:lvl>
    <w:lvl w:ilvl="7">
      <w:start w:val="1"/>
      <w:numFmt w:val="bullet"/>
      <w:lvlText w:val="•"/>
      <w:lvlJc w:val="left"/>
      <w:pPr>
        <w:ind w:left="6205" w:hanging="281"/>
      </w:pPr>
      <w:rPr>
        <w:rFonts w:hint="default"/>
      </w:rPr>
    </w:lvl>
    <w:lvl w:ilvl="8">
      <w:start w:val="1"/>
      <w:numFmt w:val="bullet"/>
      <w:lvlText w:val="•"/>
      <w:lvlJc w:val="left"/>
      <w:pPr>
        <w:ind w:left="7250" w:hanging="281"/>
      </w:pPr>
      <w:rPr>
        <w:rFonts w:hint="default"/>
      </w:rPr>
    </w:lvl>
  </w:abstractNum>
  <w:abstractNum w:abstractNumId="6">
    <w:multiLevelType w:val="hybridMultilevel"/>
    <w:lvl w:ilvl="0">
      <w:start w:val="1"/>
      <w:numFmt w:val="decimal"/>
      <w:lvlText w:val="%1"/>
      <w:lvlJc w:val="left"/>
      <w:pPr>
        <w:ind w:left="735" w:hanging="467"/>
        <w:jc w:val="left"/>
      </w:pPr>
      <w:rPr>
        <w:rFonts w:hint="default"/>
      </w:rPr>
    </w:lvl>
    <w:lvl w:ilvl="1">
      <w:start w:val="2"/>
      <w:numFmt w:val="decimal"/>
      <w:lvlText w:val="%1.%2."/>
      <w:lvlJc w:val="left"/>
      <w:pPr>
        <w:ind w:left="735" w:hanging="467"/>
        <w:jc w:val="left"/>
      </w:pPr>
      <w:rPr>
        <w:rFonts w:hint="default" w:ascii="Arial" w:hAnsi="Arial" w:eastAsia="Arial" w:cs="Arial"/>
        <w:b/>
        <w:bCs/>
        <w:spacing w:val="-1"/>
        <w:w w:val="100"/>
        <w:sz w:val="24"/>
        <w:szCs w:val="24"/>
      </w:rPr>
    </w:lvl>
    <w:lvl w:ilvl="2">
      <w:start w:val="1"/>
      <w:numFmt w:val="decimal"/>
      <w:lvlText w:val="%1.%2.%3."/>
      <w:lvlJc w:val="left"/>
      <w:pPr>
        <w:ind w:left="935" w:hanging="668"/>
        <w:jc w:val="left"/>
      </w:pPr>
      <w:rPr>
        <w:rFonts w:hint="default" w:ascii="Arial" w:hAnsi="Arial" w:eastAsia="Arial" w:cs="Arial"/>
        <w:b/>
        <w:bCs/>
        <w:i/>
        <w:spacing w:val="-1"/>
        <w:w w:val="100"/>
        <w:sz w:val="24"/>
        <w:szCs w:val="24"/>
      </w:rPr>
    </w:lvl>
    <w:lvl w:ilvl="3">
      <w:start w:val="1"/>
      <w:numFmt w:val="bullet"/>
      <w:lvlText w:val="•"/>
      <w:lvlJc w:val="left"/>
      <w:pPr>
        <w:ind w:left="2806" w:hanging="668"/>
      </w:pPr>
      <w:rPr>
        <w:rFonts w:hint="default"/>
      </w:rPr>
    </w:lvl>
    <w:lvl w:ilvl="4">
      <w:start w:val="1"/>
      <w:numFmt w:val="bullet"/>
      <w:lvlText w:val="•"/>
      <w:lvlJc w:val="left"/>
      <w:pPr>
        <w:ind w:left="3740" w:hanging="668"/>
      </w:pPr>
      <w:rPr>
        <w:rFonts w:hint="default"/>
      </w:rPr>
    </w:lvl>
    <w:lvl w:ilvl="5">
      <w:start w:val="1"/>
      <w:numFmt w:val="bullet"/>
      <w:lvlText w:val="•"/>
      <w:lvlJc w:val="left"/>
      <w:pPr>
        <w:ind w:left="4673" w:hanging="668"/>
      </w:pPr>
      <w:rPr>
        <w:rFonts w:hint="default"/>
      </w:rPr>
    </w:lvl>
    <w:lvl w:ilvl="6">
      <w:start w:val="1"/>
      <w:numFmt w:val="bullet"/>
      <w:lvlText w:val="•"/>
      <w:lvlJc w:val="left"/>
      <w:pPr>
        <w:ind w:left="5606" w:hanging="668"/>
      </w:pPr>
      <w:rPr>
        <w:rFonts w:hint="default"/>
      </w:rPr>
    </w:lvl>
    <w:lvl w:ilvl="7">
      <w:start w:val="1"/>
      <w:numFmt w:val="bullet"/>
      <w:lvlText w:val="•"/>
      <w:lvlJc w:val="left"/>
      <w:pPr>
        <w:ind w:left="6540" w:hanging="668"/>
      </w:pPr>
      <w:rPr>
        <w:rFonts w:hint="default"/>
      </w:rPr>
    </w:lvl>
    <w:lvl w:ilvl="8">
      <w:start w:val="1"/>
      <w:numFmt w:val="bullet"/>
      <w:lvlText w:val="•"/>
      <w:lvlJc w:val="left"/>
      <w:pPr>
        <w:ind w:left="7473" w:hanging="668"/>
      </w:pPr>
      <w:rPr>
        <w:rFonts w:hint="default"/>
      </w:rPr>
    </w:lvl>
  </w:abstractNum>
  <w:abstractNum w:abstractNumId="5">
    <w:multiLevelType w:val="hybridMultilevel"/>
    <w:lvl w:ilvl="0">
      <w:start w:val="1"/>
      <w:numFmt w:val="decimal"/>
      <w:lvlText w:val="%1"/>
      <w:lvlJc w:val="left"/>
      <w:pPr>
        <w:ind w:left="802" w:hanging="467"/>
        <w:jc w:val="left"/>
      </w:pPr>
      <w:rPr>
        <w:rFonts w:hint="default"/>
      </w:rPr>
    </w:lvl>
    <w:lvl w:ilvl="1">
      <w:start w:val="1"/>
      <w:numFmt w:val="decimal"/>
      <w:lvlText w:val="%1.%2."/>
      <w:lvlJc w:val="left"/>
      <w:pPr>
        <w:ind w:left="802" w:hanging="467"/>
        <w:jc w:val="left"/>
      </w:pPr>
      <w:rPr>
        <w:rFonts w:hint="default" w:ascii="Arial" w:hAnsi="Arial" w:eastAsia="Arial" w:cs="Arial"/>
        <w:b/>
        <w:bCs/>
        <w:spacing w:val="-1"/>
        <w:w w:val="100"/>
        <w:sz w:val="24"/>
        <w:szCs w:val="24"/>
      </w:rPr>
    </w:lvl>
    <w:lvl w:ilvl="2">
      <w:start w:val="1"/>
      <w:numFmt w:val="decimal"/>
      <w:lvlText w:val="%1.%2.%3."/>
      <w:lvlJc w:val="left"/>
      <w:pPr>
        <w:ind w:left="935" w:hanging="668"/>
        <w:jc w:val="left"/>
      </w:pPr>
      <w:rPr>
        <w:rFonts w:hint="default" w:ascii="Arial" w:hAnsi="Arial" w:eastAsia="Arial" w:cs="Arial"/>
        <w:b/>
        <w:bCs/>
        <w:i/>
        <w:spacing w:val="-1"/>
        <w:w w:val="100"/>
        <w:sz w:val="24"/>
        <w:szCs w:val="24"/>
      </w:rPr>
    </w:lvl>
    <w:lvl w:ilvl="3">
      <w:start w:val="1"/>
      <w:numFmt w:val="bullet"/>
      <w:lvlText w:val="•"/>
      <w:lvlJc w:val="left"/>
      <w:pPr>
        <w:ind w:left="2806" w:hanging="668"/>
      </w:pPr>
      <w:rPr>
        <w:rFonts w:hint="default"/>
      </w:rPr>
    </w:lvl>
    <w:lvl w:ilvl="4">
      <w:start w:val="1"/>
      <w:numFmt w:val="bullet"/>
      <w:lvlText w:val="•"/>
      <w:lvlJc w:val="left"/>
      <w:pPr>
        <w:ind w:left="3740" w:hanging="668"/>
      </w:pPr>
      <w:rPr>
        <w:rFonts w:hint="default"/>
      </w:rPr>
    </w:lvl>
    <w:lvl w:ilvl="5">
      <w:start w:val="1"/>
      <w:numFmt w:val="bullet"/>
      <w:lvlText w:val="•"/>
      <w:lvlJc w:val="left"/>
      <w:pPr>
        <w:ind w:left="4673" w:hanging="668"/>
      </w:pPr>
      <w:rPr>
        <w:rFonts w:hint="default"/>
      </w:rPr>
    </w:lvl>
    <w:lvl w:ilvl="6">
      <w:start w:val="1"/>
      <w:numFmt w:val="bullet"/>
      <w:lvlText w:val="•"/>
      <w:lvlJc w:val="left"/>
      <w:pPr>
        <w:ind w:left="5606" w:hanging="668"/>
      </w:pPr>
      <w:rPr>
        <w:rFonts w:hint="default"/>
      </w:rPr>
    </w:lvl>
    <w:lvl w:ilvl="7">
      <w:start w:val="1"/>
      <w:numFmt w:val="bullet"/>
      <w:lvlText w:val="•"/>
      <w:lvlJc w:val="left"/>
      <w:pPr>
        <w:ind w:left="6540" w:hanging="668"/>
      </w:pPr>
      <w:rPr>
        <w:rFonts w:hint="default"/>
      </w:rPr>
    </w:lvl>
    <w:lvl w:ilvl="8">
      <w:start w:val="1"/>
      <w:numFmt w:val="bullet"/>
      <w:lvlText w:val="•"/>
      <w:lvlJc w:val="left"/>
      <w:pPr>
        <w:ind w:left="7473" w:hanging="668"/>
      </w:pPr>
      <w:rPr>
        <w:rFonts w:hint="default"/>
      </w:rPr>
    </w:lvl>
  </w:abstractNum>
  <w:abstractNum w:abstractNumId="3">
    <w:multiLevelType w:val="hybridMultilevel"/>
    <w:lvl w:ilvl="0">
      <w:start w:val="4"/>
      <w:numFmt w:val="decimal"/>
      <w:lvlText w:val="%1"/>
      <w:lvlJc w:val="left"/>
      <w:pPr>
        <w:ind w:left="975" w:hanging="467"/>
        <w:jc w:val="left"/>
      </w:pPr>
      <w:rPr>
        <w:rFonts w:hint="default"/>
      </w:rPr>
    </w:lvl>
    <w:lvl w:ilvl="1">
      <w:start w:val="1"/>
      <w:numFmt w:val="decimal"/>
      <w:lvlText w:val="%1.%2."/>
      <w:lvlJc w:val="left"/>
      <w:pPr>
        <w:ind w:left="975" w:hanging="467"/>
        <w:jc w:val="left"/>
      </w:pPr>
      <w:rPr>
        <w:rFonts w:hint="default" w:ascii="Arial" w:hAnsi="Arial" w:eastAsia="Arial" w:cs="Arial"/>
        <w:w w:val="100"/>
        <w:sz w:val="24"/>
        <w:szCs w:val="24"/>
      </w:rPr>
    </w:lvl>
    <w:lvl w:ilvl="2">
      <w:start w:val="1"/>
      <w:numFmt w:val="decimal"/>
      <w:lvlText w:val="%1.%2.%3."/>
      <w:lvlJc w:val="left"/>
      <w:pPr>
        <w:ind w:left="1415" w:hanging="668"/>
        <w:jc w:val="left"/>
      </w:pPr>
      <w:rPr>
        <w:rFonts w:hint="default" w:ascii="Arial" w:hAnsi="Arial" w:eastAsia="Arial" w:cs="Arial"/>
        <w:spacing w:val="-1"/>
        <w:w w:val="100"/>
        <w:sz w:val="24"/>
        <w:szCs w:val="24"/>
      </w:rPr>
    </w:lvl>
    <w:lvl w:ilvl="3">
      <w:start w:val="1"/>
      <w:numFmt w:val="bullet"/>
      <w:lvlText w:val="•"/>
      <w:lvlJc w:val="left"/>
      <w:pPr>
        <w:ind w:left="3180" w:hanging="668"/>
      </w:pPr>
      <w:rPr>
        <w:rFonts w:hint="default"/>
      </w:rPr>
    </w:lvl>
    <w:lvl w:ilvl="4">
      <w:start w:val="1"/>
      <w:numFmt w:val="bullet"/>
      <w:lvlText w:val="•"/>
      <w:lvlJc w:val="left"/>
      <w:pPr>
        <w:ind w:left="4060" w:hanging="668"/>
      </w:pPr>
      <w:rPr>
        <w:rFonts w:hint="default"/>
      </w:rPr>
    </w:lvl>
    <w:lvl w:ilvl="5">
      <w:start w:val="1"/>
      <w:numFmt w:val="bullet"/>
      <w:lvlText w:val="•"/>
      <w:lvlJc w:val="left"/>
      <w:pPr>
        <w:ind w:left="4940" w:hanging="668"/>
      </w:pPr>
      <w:rPr>
        <w:rFonts w:hint="default"/>
      </w:rPr>
    </w:lvl>
    <w:lvl w:ilvl="6">
      <w:start w:val="1"/>
      <w:numFmt w:val="bullet"/>
      <w:lvlText w:val="•"/>
      <w:lvlJc w:val="left"/>
      <w:pPr>
        <w:ind w:left="5820" w:hanging="668"/>
      </w:pPr>
      <w:rPr>
        <w:rFonts w:hint="default"/>
      </w:rPr>
    </w:lvl>
    <w:lvl w:ilvl="7">
      <w:start w:val="1"/>
      <w:numFmt w:val="bullet"/>
      <w:lvlText w:val="•"/>
      <w:lvlJc w:val="left"/>
      <w:pPr>
        <w:ind w:left="6700" w:hanging="668"/>
      </w:pPr>
      <w:rPr>
        <w:rFonts w:hint="default"/>
      </w:rPr>
    </w:lvl>
    <w:lvl w:ilvl="8">
      <w:start w:val="1"/>
      <w:numFmt w:val="bullet"/>
      <w:lvlText w:val="•"/>
      <w:lvlJc w:val="left"/>
      <w:pPr>
        <w:ind w:left="7580" w:hanging="668"/>
      </w:pPr>
      <w:rPr>
        <w:rFonts w:hint="default"/>
      </w:rPr>
    </w:lvl>
  </w:abstractNum>
  <w:abstractNum w:abstractNumId="2">
    <w:multiLevelType w:val="hybridMultilevel"/>
    <w:lvl w:ilvl="0">
      <w:start w:val="3"/>
      <w:numFmt w:val="decimal"/>
      <w:lvlText w:val="%1"/>
      <w:lvlJc w:val="left"/>
      <w:pPr>
        <w:ind w:left="975" w:hanging="467"/>
        <w:jc w:val="left"/>
      </w:pPr>
      <w:rPr>
        <w:rFonts w:hint="default"/>
      </w:rPr>
    </w:lvl>
    <w:lvl w:ilvl="1">
      <w:start w:val="1"/>
      <w:numFmt w:val="decimal"/>
      <w:lvlText w:val="%1.%2."/>
      <w:lvlJc w:val="left"/>
      <w:pPr>
        <w:ind w:left="975" w:hanging="467"/>
        <w:jc w:val="left"/>
      </w:pPr>
      <w:rPr>
        <w:rFonts w:hint="default" w:ascii="Arial" w:hAnsi="Arial" w:eastAsia="Arial" w:cs="Arial"/>
        <w:spacing w:val="-1"/>
        <w:w w:val="100"/>
        <w:sz w:val="24"/>
        <w:szCs w:val="24"/>
      </w:rPr>
    </w:lvl>
    <w:lvl w:ilvl="2">
      <w:start w:val="1"/>
      <w:numFmt w:val="decimal"/>
      <w:lvlText w:val="%1.%2.%3."/>
      <w:lvlJc w:val="left"/>
      <w:pPr>
        <w:ind w:left="1415" w:hanging="668"/>
        <w:jc w:val="left"/>
      </w:pPr>
      <w:rPr>
        <w:rFonts w:hint="default" w:ascii="Arial" w:hAnsi="Arial" w:eastAsia="Arial" w:cs="Arial"/>
        <w:w w:val="100"/>
        <w:sz w:val="24"/>
        <w:szCs w:val="24"/>
      </w:rPr>
    </w:lvl>
    <w:lvl w:ilvl="3">
      <w:start w:val="1"/>
      <w:numFmt w:val="bullet"/>
      <w:lvlText w:val="•"/>
      <w:lvlJc w:val="left"/>
      <w:pPr>
        <w:ind w:left="3180" w:hanging="668"/>
      </w:pPr>
      <w:rPr>
        <w:rFonts w:hint="default"/>
      </w:rPr>
    </w:lvl>
    <w:lvl w:ilvl="4">
      <w:start w:val="1"/>
      <w:numFmt w:val="bullet"/>
      <w:lvlText w:val="•"/>
      <w:lvlJc w:val="left"/>
      <w:pPr>
        <w:ind w:left="4060" w:hanging="668"/>
      </w:pPr>
      <w:rPr>
        <w:rFonts w:hint="default"/>
      </w:rPr>
    </w:lvl>
    <w:lvl w:ilvl="5">
      <w:start w:val="1"/>
      <w:numFmt w:val="bullet"/>
      <w:lvlText w:val="•"/>
      <w:lvlJc w:val="left"/>
      <w:pPr>
        <w:ind w:left="4940" w:hanging="668"/>
      </w:pPr>
      <w:rPr>
        <w:rFonts w:hint="default"/>
      </w:rPr>
    </w:lvl>
    <w:lvl w:ilvl="6">
      <w:start w:val="1"/>
      <w:numFmt w:val="bullet"/>
      <w:lvlText w:val="•"/>
      <w:lvlJc w:val="left"/>
      <w:pPr>
        <w:ind w:left="5820" w:hanging="668"/>
      </w:pPr>
      <w:rPr>
        <w:rFonts w:hint="default"/>
      </w:rPr>
    </w:lvl>
    <w:lvl w:ilvl="7">
      <w:start w:val="1"/>
      <w:numFmt w:val="bullet"/>
      <w:lvlText w:val="•"/>
      <w:lvlJc w:val="left"/>
      <w:pPr>
        <w:ind w:left="6700" w:hanging="668"/>
      </w:pPr>
      <w:rPr>
        <w:rFonts w:hint="default"/>
      </w:rPr>
    </w:lvl>
    <w:lvl w:ilvl="8">
      <w:start w:val="1"/>
      <w:numFmt w:val="bullet"/>
      <w:lvlText w:val="•"/>
      <w:lvlJc w:val="left"/>
      <w:pPr>
        <w:ind w:left="7580" w:hanging="668"/>
      </w:pPr>
      <w:rPr>
        <w:rFonts w:hint="default"/>
      </w:rPr>
    </w:lvl>
  </w:abstractNum>
  <w:abstractNum w:abstractNumId="1">
    <w:multiLevelType w:val="hybridMultilevel"/>
    <w:lvl w:ilvl="0">
      <w:start w:val="2"/>
      <w:numFmt w:val="decimal"/>
      <w:lvlText w:val="%1"/>
      <w:lvlJc w:val="left"/>
      <w:pPr>
        <w:ind w:left="975" w:hanging="467"/>
        <w:jc w:val="left"/>
      </w:pPr>
      <w:rPr>
        <w:rFonts w:hint="default"/>
      </w:rPr>
    </w:lvl>
    <w:lvl w:ilvl="1">
      <w:start w:val="1"/>
      <w:numFmt w:val="decimal"/>
      <w:lvlText w:val="%1.%2."/>
      <w:lvlJc w:val="left"/>
      <w:pPr>
        <w:ind w:left="975" w:hanging="467"/>
        <w:jc w:val="left"/>
      </w:pPr>
      <w:rPr>
        <w:rFonts w:hint="default" w:ascii="Arial" w:hAnsi="Arial" w:eastAsia="Arial" w:cs="Arial"/>
        <w:w w:val="100"/>
        <w:sz w:val="24"/>
        <w:szCs w:val="24"/>
      </w:rPr>
    </w:lvl>
    <w:lvl w:ilvl="2">
      <w:start w:val="1"/>
      <w:numFmt w:val="bullet"/>
      <w:lvlText w:val="•"/>
      <w:lvlJc w:val="left"/>
      <w:pPr>
        <w:ind w:left="2652" w:hanging="467"/>
      </w:pPr>
      <w:rPr>
        <w:rFonts w:hint="default"/>
      </w:rPr>
    </w:lvl>
    <w:lvl w:ilvl="3">
      <w:start w:val="1"/>
      <w:numFmt w:val="bullet"/>
      <w:lvlText w:val="•"/>
      <w:lvlJc w:val="left"/>
      <w:pPr>
        <w:ind w:left="3488" w:hanging="467"/>
      </w:pPr>
      <w:rPr>
        <w:rFonts w:hint="default"/>
      </w:rPr>
    </w:lvl>
    <w:lvl w:ilvl="4">
      <w:start w:val="1"/>
      <w:numFmt w:val="bullet"/>
      <w:lvlText w:val="•"/>
      <w:lvlJc w:val="left"/>
      <w:pPr>
        <w:ind w:left="4324" w:hanging="467"/>
      </w:pPr>
      <w:rPr>
        <w:rFonts w:hint="default"/>
      </w:rPr>
    </w:lvl>
    <w:lvl w:ilvl="5">
      <w:start w:val="1"/>
      <w:numFmt w:val="bullet"/>
      <w:lvlText w:val="•"/>
      <w:lvlJc w:val="left"/>
      <w:pPr>
        <w:ind w:left="5160" w:hanging="467"/>
      </w:pPr>
      <w:rPr>
        <w:rFonts w:hint="default"/>
      </w:rPr>
    </w:lvl>
    <w:lvl w:ilvl="6">
      <w:start w:val="1"/>
      <w:numFmt w:val="bullet"/>
      <w:lvlText w:val="•"/>
      <w:lvlJc w:val="left"/>
      <w:pPr>
        <w:ind w:left="5996" w:hanging="467"/>
      </w:pPr>
      <w:rPr>
        <w:rFonts w:hint="default"/>
      </w:rPr>
    </w:lvl>
    <w:lvl w:ilvl="7">
      <w:start w:val="1"/>
      <w:numFmt w:val="bullet"/>
      <w:lvlText w:val="•"/>
      <w:lvlJc w:val="left"/>
      <w:pPr>
        <w:ind w:left="6832" w:hanging="467"/>
      </w:pPr>
      <w:rPr>
        <w:rFonts w:hint="default"/>
      </w:rPr>
    </w:lvl>
    <w:lvl w:ilvl="8">
      <w:start w:val="1"/>
      <w:numFmt w:val="bullet"/>
      <w:lvlText w:val="•"/>
      <w:lvlJc w:val="left"/>
      <w:pPr>
        <w:ind w:left="7668" w:hanging="467"/>
      </w:pPr>
      <w:rPr>
        <w:rFonts w:hint="default"/>
      </w:rPr>
    </w:lvl>
  </w:abstractNum>
  <w:abstractNum w:abstractNumId="0">
    <w:multiLevelType w:val="hybridMultilevel"/>
    <w:lvl w:ilvl="0">
      <w:start w:val="1"/>
      <w:numFmt w:val="decimal"/>
      <w:lvlText w:val="%1"/>
      <w:lvlJc w:val="left"/>
      <w:pPr>
        <w:ind w:left="975" w:hanging="467"/>
        <w:jc w:val="left"/>
      </w:pPr>
      <w:rPr>
        <w:rFonts w:hint="default"/>
      </w:rPr>
    </w:lvl>
    <w:lvl w:ilvl="1">
      <w:start w:val="1"/>
      <w:numFmt w:val="decimal"/>
      <w:lvlText w:val="%1.%2."/>
      <w:lvlJc w:val="left"/>
      <w:pPr>
        <w:ind w:left="975" w:hanging="467"/>
        <w:jc w:val="left"/>
      </w:pPr>
      <w:rPr>
        <w:rFonts w:hint="default" w:ascii="Arial" w:hAnsi="Arial" w:eastAsia="Arial" w:cs="Arial"/>
        <w:w w:val="100"/>
        <w:sz w:val="24"/>
        <w:szCs w:val="24"/>
      </w:rPr>
    </w:lvl>
    <w:lvl w:ilvl="2">
      <w:start w:val="1"/>
      <w:numFmt w:val="decimal"/>
      <w:lvlText w:val="%1.%2.%3."/>
      <w:lvlJc w:val="left"/>
      <w:pPr>
        <w:ind w:left="1415" w:hanging="668"/>
        <w:jc w:val="left"/>
      </w:pPr>
      <w:rPr>
        <w:rFonts w:hint="default" w:ascii="Arial" w:hAnsi="Arial" w:eastAsia="Arial" w:cs="Arial"/>
        <w:w w:val="100"/>
        <w:sz w:val="24"/>
        <w:szCs w:val="24"/>
      </w:rPr>
    </w:lvl>
    <w:lvl w:ilvl="3">
      <w:start w:val="1"/>
      <w:numFmt w:val="bullet"/>
      <w:lvlText w:val="•"/>
      <w:lvlJc w:val="left"/>
      <w:pPr>
        <w:ind w:left="3180" w:hanging="668"/>
      </w:pPr>
      <w:rPr>
        <w:rFonts w:hint="default"/>
      </w:rPr>
    </w:lvl>
    <w:lvl w:ilvl="4">
      <w:start w:val="1"/>
      <w:numFmt w:val="bullet"/>
      <w:lvlText w:val="•"/>
      <w:lvlJc w:val="left"/>
      <w:pPr>
        <w:ind w:left="4060" w:hanging="668"/>
      </w:pPr>
      <w:rPr>
        <w:rFonts w:hint="default"/>
      </w:rPr>
    </w:lvl>
    <w:lvl w:ilvl="5">
      <w:start w:val="1"/>
      <w:numFmt w:val="bullet"/>
      <w:lvlText w:val="•"/>
      <w:lvlJc w:val="left"/>
      <w:pPr>
        <w:ind w:left="4940" w:hanging="668"/>
      </w:pPr>
      <w:rPr>
        <w:rFonts w:hint="default"/>
      </w:rPr>
    </w:lvl>
    <w:lvl w:ilvl="6">
      <w:start w:val="1"/>
      <w:numFmt w:val="bullet"/>
      <w:lvlText w:val="•"/>
      <w:lvlJc w:val="left"/>
      <w:pPr>
        <w:ind w:left="5820" w:hanging="668"/>
      </w:pPr>
      <w:rPr>
        <w:rFonts w:hint="default"/>
      </w:rPr>
    </w:lvl>
    <w:lvl w:ilvl="7">
      <w:start w:val="1"/>
      <w:numFmt w:val="bullet"/>
      <w:lvlText w:val="•"/>
      <w:lvlJc w:val="left"/>
      <w:pPr>
        <w:ind w:left="6700" w:hanging="668"/>
      </w:pPr>
      <w:rPr>
        <w:rFonts w:hint="default"/>
      </w:rPr>
    </w:lvl>
    <w:lvl w:ilvl="8">
      <w:start w:val="1"/>
      <w:numFmt w:val="bullet"/>
      <w:lvlText w:val="•"/>
      <w:lvlJc w:val="left"/>
      <w:pPr>
        <w:ind w:left="7580" w:hanging="668"/>
      </w:pPr>
      <w:rPr>
        <w:rFonts w:hint="default"/>
      </w:rPr>
    </w:lvl>
  </w:abstractNum>
  <w:num w:numId="5">
    <w:abstractNumId w:val="4"/>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171"/>
      <w:ind w:left="1861"/>
      <w:outlineLvl w:val="1"/>
    </w:pPr>
    <w:rPr>
      <w:rFonts w:ascii="Calibri" w:hAnsi="Calibri" w:eastAsia="Calibri" w:cs="Calibri"/>
      <w:b/>
      <w:bCs/>
      <w:sz w:val="28"/>
      <w:szCs w:val="28"/>
    </w:rPr>
  </w:style>
  <w:style w:styleId="Heading2" w:type="paragraph">
    <w:name w:val="Heading 2"/>
    <w:basedOn w:val="Normal"/>
    <w:uiPriority w:val="1"/>
    <w:qFormat/>
    <w:pPr>
      <w:spacing w:before="52"/>
      <w:ind w:left="1851"/>
      <w:outlineLvl w:val="2"/>
    </w:pPr>
    <w:rPr>
      <w:rFonts w:ascii="Calibri" w:hAnsi="Calibri" w:eastAsia="Calibri" w:cs="Calibri"/>
      <w:b/>
      <w:bCs/>
      <w:sz w:val="27"/>
      <w:szCs w:val="27"/>
    </w:rPr>
  </w:style>
  <w:style w:styleId="Heading3" w:type="paragraph">
    <w:name w:val="Heading 3"/>
    <w:basedOn w:val="Normal"/>
    <w:uiPriority w:val="1"/>
    <w:qFormat/>
    <w:pPr>
      <w:spacing w:before="55"/>
      <w:ind w:left="26"/>
      <w:outlineLvl w:val="3"/>
    </w:pPr>
    <w:rPr>
      <w:rFonts w:ascii="Calibri" w:hAnsi="Calibri" w:eastAsia="Calibri" w:cs="Calibri"/>
      <w:b/>
      <w:bCs/>
      <w:sz w:val="25"/>
      <w:szCs w:val="25"/>
    </w:rPr>
  </w:style>
  <w:style w:styleId="Heading4" w:type="paragraph">
    <w:name w:val="Heading 4"/>
    <w:basedOn w:val="Normal"/>
    <w:uiPriority w:val="1"/>
    <w:qFormat/>
    <w:pPr>
      <w:spacing w:before="69"/>
      <w:ind w:left="268"/>
      <w:jc w:val="both"/>
      <w:outlineLvl w:val="4"/>
    </w:pPr>
    <w:rPr>
      <w:rFonts w:ascii="Arial" w:hAnsi="Arial" w:eastAsia="Arial" w:cs="Arial"/>
      <w:b/>
      <w:bCs/>
      <w:sz w:val="24"/>
      <w:szCs w:val="24"/>
    </w:rPr>
  </w:style>
  <w:style w:styleId="Heading5" w:type="paragraph">
    <w:name w:val="Heading 5"/>
    <w:basedOn w:val="Normal"/>
    <w:uiPriority w:val="1"/>
    <w:qFormat/>
    <w:pPr>
      <w:spacing w:before="211"/>
      <w:ind w:left="935" w:hanging="667"/>
      <w:jc w:val="both"/>
      <w:outlineLvl w:val="5"/>
    </w:pPr>
    <w:rPr>
      <w:rFonts w:ascii="Arial" w:hAnsi="Arial" w:eastAsia="Arial" w:cs="Arial"/>
      <w:b/>
      <w:bCs/>
      <w:i/>
      <w:sz w:val="24"/>
      <w:szCs w:val="24"/>
    </w:rPr>
  </w:style>
  <w:style w:styleId="ListParagraph" w:type="paragraph">
    <w:name w:val="List Paragraph"/>
    <w:basedOn w:val="Normal"/>
    <w:uiPriority w:val="1"/>
    <w:qFormat/>
    <w:pPr>
      <w:spacing w:before="123"/>
      <w:ind w:left="988" w:hanging="360"/>
      <w:jc w:val="both"/>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header" Target="header1.xml"/><Relationship Id="rId11" Type="http://schemas.openxmlformats.org/officeDocument/2006/relationships/header" Target="header2.xml"/><Relationship Id="rId12" Type="http://schemas.openxmlformats.org/officeDocument/2006/relationships/header" Target="header3.xml"/><Relationship Id="rId13" Type="http://schemas.openxmlformats.org/officeDocument/2006/relationships/footer" Target="footer1.xml"/><Relationship Id="rId14" Type="http://schemas.openxmlformats.org/officeDocument/2006/relationships/footer" Target="footer2.xml"/><Relationship Id="rId15" Type="http://schemas.openxmlformats.org/officeDocument/2006/relationships/footer" Target="footer3.xml"/><Relationship Id="rId16" Type="http://schemas.openxmlformats.org/officeDocument/2006/relationships/footer" Target="footer4.xml"/><Relationship Id="rId17" Type="http://schemas.openxmlformats.org/officeDocument/2006/relationships/footer" Target="footer5.xml"/><Relationship Id="rId18" Type="http://schemas.openxmlformats.org/officeDocument/2006/relationships/footer" Target="footer6.xml"/><Relationship Id="rId19" Type="http://schemas.openxmlformats.org/officeDocument/2006/relationships/image" Target="media/image6.png"/><Relationship Id="rId20" Type="http://schemas.openxmlformats.org/officeDocument/2006/relationships/image" Target="media/image7.png"/><Relationship Id="rId21" Type="http://schemas.openxmlformats.org/officeDocument/2006/relationships/header" Target="header4.xml"/><Relationship Id="rId22" Type="http://schemas.openxmlformats.org/officeDocument/2006/relationships/footer" Target="footer7.xml"/><Relationship Id="rId23" Type="http://schemas.openxmlformats.org/officeDocument/2006/relationships/footer" Target="footer8.xml"/><Relationship Id="rId24" Type="http://schemas.openxmlformats.org/officeDocument/2006/relationships/footer" Target="footer9.xml"/><Relationship Id="rId25" Type="http://schemas.openxmlformats.org/officeDocument/2006/relationships/footer" Target="footer10.xml"/><Relationship Id="rId26" Type="http://schemas.openxmlformats.org/officeDocument/2006/relationships/image" Target="media/image8.png"/><Relationship Id="rId27" Type="http://schemas.openxmlformats.org/officeDocument/2006/relationships/image" Target="media/image9.png"/><Relationship Id="rId28" Type="http://schemas.openxmlformats.org/officeDocument/2006/relationships/header" Target="header5.xml"/><Relationship Id="rId29" Type="http://schemas.openxmlformats.org/officeDocument/2006/relationships/footer" Target="footer11.xml"/><Relationship Id="rId30" Type="http://schemas.openxmlformats.org/officeDocument/2006/relationships/header" Target="header6.xml"/><Relationship Id="rId31" Type="http://schemas.openxmlformats.org/officeDocument/2006/relationships/footer" Target="footer12.xml"/><Relationship Id="rId32" Type="http://schemas.openxmlformats.org/officeDocument/2006/relationships/footer" Target="footer13.xml"/><Relationship Id="rId33" Type="http://schemas.openxmlformats.org/officeDocument/2006/relationships/header" Target="header7.xml"/><Relationship Id="rId34" Type="http://schemas.openxmlformats.org/officeDocument/2006/relationships/footer" Target="footer14.xml"/><Relationship Id="rId35" Type="http://schemas.openxmlformats.org/officeDocument/2006/relationships/header" Target="header8.xml"/><Relationship Id="rId36" Type="http://schemas.openxmlformats.org/officeDocument/2006/relationships/footer" Target="footer15.xml"/><Relationship Id="rId37" Type="http://schemas.openxmlformats.org/officeDocument/2006/relationships/header" Target="header9.xml"/><Relationship Id="rId38" Type="http://schemas.openxmlformats.org/officeDocument/2006/relationships/footer" Target="footer16.xml"/><Relationship Id="rId39" Type="http://schemas.openxmlformats.org/officeDocument/2006/relationships/header" Target="header10.xml"/><Relationship Id="rId40" Type="http://schemas.openxmlformats.org/officeDocument/2006/relationships/footer" Target="footer17.xml"/><Relationship Id="rId41" Type="http://schemas.openxmlformats.org/officeDocument/2006/relationships/footer" Target="footer18.xml"/><Relationship Id="rId42" Type="http://schemas.openxmlformats.org/officeDocument/2006/relationships/footer" Target="footer19.xml"/><Relationship Id="rId43" Type="http://schemas.openxmlformats.org/officeDocument/2006/relationships/footer" Target="footer20.xml"/><Relationship Id="rId44" Type="http://schemas.openxmlformats.org/officeDocument/2006/relationships/footer" Target="footer21.xml"/><Relationship Id="rId45" Type="http://schemas.openxmlformats.org/officeDocument/2006/relationships/footer" Target="footer22.xml"/><Relationship Id="rId46" Type="http://schemas.openxmlformats.org/officeDocument/2006/relationships/footer" Target="footer23.xml"/><Relationship Id="rId47" Type="http://schemas.openxmlformats.org/officeDocument/2006/relationships/header" Target="header11.xml"/><Relationship Id="rId48" Type="http://schemas.openxmlformats.org/officeDocument/2006/relationships/footer" Target="footer24.xml"/><Relationship Id="rId49" Type="http://schemas.openxmlformats.org/officeDocument/2006/relationships/header" Target="header12.xml"/><Relationship Id="rId50" Type="http://schemas.openxmlformats.org/officeDocument/2006/relationships/footer" Target="footer25.xml"/><Relationship Id="rId51" Type="http://schemas.openxmlformats.org/officeDocument/2006/relationships/footer" Target="footer26.xml"/><Relationship Id="rId52" Type="http://schemas.openxmlformats.org/officeDocument/2006/relationships/image" Target="media/image10.png"/><Relationship Id="rId53" Type="http://schemas.openxmlformats.org/officeDocument/2006/relationships/footer" Target="footer27.xml"/><Relationship Id="rId54" Type="http://schemas.openxmlformats.org/officeDocument/2006/relationships/footer" Target="footer28.xml"/><Relationship Id="rId55" Type="http://schemas.openxmlformats.org/officeDocument/2006/relationships/footer" Target="footer29.xml"/><Relationship Id="rId56" Type="http://schemas.openxmlformats.org/officeDocument/2006/relationships/footer" Target="footer30.xml"/><Relationship Id="rId57" Type="http://schemas.openxmlformats.org/officeDocument/2006/relationships/footer" Target="footer31.xml"/><Relationship Id="rId58" Type="http://schemas.openxmlformats.org/officeDocument/2006/relationships/footer" Target="footer32.xml"/><Relationship Id="rId59" Type="http://schemas.openxmlformats.org/officeDocument/2006/relationships/footer" Target="footer33.xml"/><Relationship Id="rId60" Type="http://schemas.openxmlformats.org/officeDocument/2006/relationships/footer" Target="footer34.xml"/><Relationship Id="rId61" Type="http://schemas.openxmlformats.org/officeDocument/2006/relationships/image" Target="media/image11.png"/><Relationship Id="rId62" Type="http://schemas.openxmlformats.org/officeDocument/2006/relationships/image" Target="media/image12.png"/><Relationship Id="rId63" Type="http://schemas.openxmlformats.org/officeDocument/2006/relationships/image" Target="media/image13.png"/><Relationship Id="rId64" Type="http://schemas.openxmlformats.org/officeDocument/2006/relationships/image" Target="media/image14.png"/><Relationship Id="rId65" Type="http://schemas.openxmlformats.org/officeDocument/2006/relationships/image" Target="media/image15.png"/><Relationship Id="rId66" Type="http://schemas.openxmlformats.org/officeDocument/2006/relationships/image" Target="media/image16.png"/><Relationship Id="rId67" Type="http://schemas.openxmlformats.org/officeDocument/2006/relationships/image" Target="media/image17.png"/><Relationship Id="rId68" Type="http://schemas.openxmlformats.org/officeDocument/2006/relationships/image" Target="media/image18.png"/><Relationship Id="rId69" Type="http://schemas.openxmlformats.org/officeDocument/2006/relationships/image" Target="media/image19.png"/><Relationship Id="rId70" Type="http://schemas.openxmlformats.org/officeDocument/2006/relationships/image" Target="media/image20.png"/><Relationship Id="rId71" Type="http://schemas.openxmlformats.org/officeDocument/2006/relationships/image" Target="media/image21.png"/><Relationship Id="rId72" Type="http://schemas.openxmlformats.org/officeDocument/2006/relationships/image" Target="media/image22.png"/><Relationship Id="rId73" Type="http://schemas.openxmlformats.org/officeDocument/2006/relationships/image" Target="media/image23.jpeg"/><Relationship Id="rId74" Type="http://schemas.openxmlformats.org/officeDocument/2006/relationships/image" Target="media/image24.jpeg"/><Relationship Id="rId75" Type="http://schemas.openxmlformats.org/officeDocument/2006/relationships/image" Target="media/image25.jpeg"/><Relationship Id="rId76" Type="http://schemas.openxmlformats.org/officeDocument/2006/relationships/footer" Target="footer35.xml"/><Relationship Id="rId77" Type="http://schemas.openxmlformats.org/officeDocument/2006/relationships/footer" Target="footer36.xml"/><Relationship Id="rId78" Type="http://schemas.openxmlformats.org/officeDocument/2006/relationships/footer" Target="footer37.xml"/><Relationship Id="rId79" Type="http://schemas.openxmlformats.org/officeDocument/2006/relationships/footer" Target="footer38.xml"/><Relationship Id="rId80" Type="http://schemas.openxmlformats.org/officeDocument/2006/relationships/image" Target="media/image26.png"/><Relationship Id="rId81" Type="http://schemas.openxmlformats.org/officeDocument/2006/relationships/image" Target="media/image27.png"/><Relationship Id="rId82" Type="http://schemas.openxmlformats.org/officeDocument/2006/relationships/image" Target="media/image28.png"/><Relationship Id="rId83" Type="http://schemas.openxmlformats.org/officeDocument/2006/relationships/image" Target="media/image29.png"/><Relationship Id="rId84" Type="http://schemas.openxmlformats.org/officeDocument/2006/relationships/image" Target="media/image30.png"/><Relationship Id="rId85" Type="http://schemas.openxmlformats.org/officeDocument/2006/relationships/image" Target="media/image31.png"/><Relationship Id="rId86" Type="http://schemas.openxmlformats.org/officeDocument/2006/relationships/image" Target="media/image32.png"/><Relationship Id="rId87" Type="http://schemas.openxmlformats.org/officeDocument/2006/relationships/image" Target="media/image33.png"/><Relationship Id="rId88" Type="http://schemas.openxmlformats.org/officeDocument/2006/relationships/image" Target="media/image34.png"/><Relationship Id="rId89" Type="http://schemas.openxmlformats.org/officeDocument/2006/relationships/footer" Target="footer39.xml"/><Relationship Id="rId90" Type="http://schemas.openxmlformats.org/officeDocument/2006/relationships/image" Target="media/image35.png"/><Relationship Id="rId91" Type="http://schemas.openxmlformats.org/officeDocument/2006/relationships/footer" Target="footer40.xml"/><Relationship Id="rId92" Type="http://schemas.openxmlformats.org/officeDocument/2006/relationships/footer" Target="footer41.xml"/><Relationship Id="rId93" Type="http://schemas.openxmlformats.org/officeDocument/2006/relationships/footer" Target="footer42.xml"/><Relationship Id="rId94" Type="http://schemas.openxmlformats.org/officeDocument/2006/relationships/footer" Target="footer43.xml"/><Relationship Id="rId95" Type="http://schemas.openxmlformats.org/officeDocument/2006/relationships/footer" Target="footer44.xml"/><Relationship Id="rId96" Type="http://schemas.openxmlformats.org/officeDocument/2006/relationships/footer" Target="footer45.xml"/><Relationship Id="rId97" Type="http://schemas.openxmlformats.org/officeDocument/2006/relationships/footer" Target="footer46.xml"/><Relationship Id="rId98" Type="http://schemas.openxmlformats.org/officeDocument/2006/relationships/footer" Target="footer47.xml"/><Relationship Id="rId99" Type="http://schemas.openxmlformats.org/officeDocument/2006/relationships/image" Target="media/image36.png"/><Relationship Id="rId100" Type="http://schemas.openxmlformats.org/officeDocument/2006/relationships/image" Target="media/image37.jpeg"/><Relationship Id="rId101" Type="http://schemas.openxmlformats.org/officeDocument/2006/relationships/image" Target="media/image38.jpeg"/><Relationship Id="rId102" Type="http://schemas.openxmlformats.org/officeDocument/2006/relationships/image" Target="media/image39.jpeg"/><Relationship Id="rId103" Type="http://schemas.openxmlformats.org/officeDocument/2006/relationships/image" Target="media/image40.jpeg"/><Relationship Id="rId104" Type="http://schemas.openxmlformats.org/officeDocument/2006/relationships/image" Target="media/image41.png"/><Relationship Id="rId105" Type="http://schemas.openxmlformats.org/officeDocument/2006/relationships/image" Target="media/image42.jpeg"/><Relationship Id="rId106" Type="http://schemas.openxmlformats.org/officeDocument/2006/relationships/footer" Target="footer48.xml"/><Relationship Id="rId107" Type="http://schemas.openxmlformats.org/officeDocument/2006/relationships/image" Target="media/image43.jpeg"/><Relationship Id="rId108" Type="http://schemas.openxmlformats.org/officeDocument/2006/relationships/footer" Target="footer49.xml"/><Relationship Id="rId109" Type="http://schemas.openxmlformats.org/officeDocument/2006/relationships/image" Target="media/image44.jpeg"/><Relationship Id="rId110" Type="http://schemas.openxmlformats.org/officeDocument/2006/relationships/image" Target="media/image45.jpeg"/><Relationship Id="rId111" Type="http://schemas.openxmlformats.org/officeDocument/2006/relationships/footer" Target="footer50.xml"/><Relationship Id="rId112" Type="http://schemas.openxmlformats.org/officeDocument/2006/relationships/footer" Target="footer51.xml"/><Relationship Id="rId113" Type="http://schemas.openxmlformats.org/officeDocument/2006/relationships/image" Target="media/image46.png"/><Relationship Id="rId114" Type="http://schemas.openxmlformats.org/officeDocument/2006/relationships/image" Target="media/image47.png"/><Relationship Id="rId115" Type="http://schemas.openxmlformats.org/officeDocument/2006/relationships/image" Target="media/image48.png"/><Relationship Id="rId116" Type="http://schemas.openxmlformats.org/officeDocument/2006/relationships/image" Target="media/image49.png"/><Relationship Id="rId117" Type="http://schemas.openxmlformats.org/officeDocument/2006/relationships/image" Target="media/image50.png"/><Relationship Id="rId118" Type="http://schemas.openxmlformats.org/officeDocument/2006/relationships/image" Target="media/image51.png"/><Relationship Id="rId119" Type="http://schemas.openxmlformats.org/officeDocument/2006/relationships/image" Target="media/image52.png"/><Relationship Id="rId120" Type="http://schemas.openxmlformats.org/officeDocument/2006/relationships/image" Target="media/image53.png"/><Relationship Id="rId121" Type="http://schemas.openxmlformats.org/officeDocument/2006/relationships/image" Target="media/image54.png"/><Relationship Id="rId122" Type="http://schemas.openxmlformats.org/officeDocument/2006/relationships/image" Target="media/image55.png"/><Relationship Id="rId123" Type="http://schemas.openxmlformats.org/officeDocument/2006/relationships/image" Target="media/image56.png"/><Relationship Id="rId124" Type="http://schemas.openxmlformats.org/officeDocument/2006/relationships/image" Target="media/image57.png"/><Relationship Id="rId125" Type="http://schemas.openxmlformats.org/officeDocument/2006/relationships/image" Target="media/image58.png"/><Relationship Id="rId126" Type="http://schemas.openxmlformats.org/officeDocument/2006/relationships/image" Target="media/image59.png"/><Relationship Id="rId127" Type="http://schemas.openxmlformats.org/officeDocument/2006/relationships/image" Target="media/image60.png"/><Relationship Id="rId128" Type="http://schemas.openxmlformats.org/officeDocument/2006/relationships/image" Target="media/image61.png"/><Relationship Id="rId129" Type="http://schemas.openxmlformats.org/officeDocument/2006/relationships/image" Target="media/image62.png"/><Relationship Id="rId130" Type="http://schemas.openxmlformats.org/officeDocument/2006/relationships/image" Target="media/image63.png"/><Relationship Id="rId131" Type="http://schemas.openxmlformats.org/officeDocument/2006/relationships/image" Target="media/image64.png"/><Relationship Id="rId132" Type="http://schemas.openxmlformats.org/officeDocument/2006/relationships/image" Target="media/image65.png"/><Relationship Id="rId133" Type="http://schemas.openxmlformats.org/officeDocument/2006/relationships/image" Target="media/image66.png"/><Relationship Id="rId134" Type="http://schemas.openxmlformats.org/officeDocument/2006/relationships/image" Target="media/image67.png"/><Relationship Id="rId135" Type="http://schemas.openxmlformats.org/officeDocument/2006/relationships/image" Target="media/image68.jpeg"/><Relationship Id="rId136" Type="http://schemas.openxmlformats.org/officeDocument/2006/relationships/image" Target="media/image69.png"/><Relationship Id="rId137" Type="http://schemas.openxmlformats.org/officeDocument/2006/relationships/image" Target="media/image70.png"/><Relationship Id="rId138" Type="http://schemas.openxmlformats.org/officeDocument/2006/relationships/image" Target="media/image71.png"/><Relationship Id="rId139" Type="http://schemas.openxmlformats.org/officeDocument/2006/relationships/image" Target="media/image72.png"/><Relationship Id="rId140" Type="http://schemas.openxmlformats.org/officeDocument/2006/relationships/image" Target="media/image73.png"/><Relationship Id="rId141" Type="http://schemas.openxmlformats.org/officeDocument/2006/relationships/image" Target="media/image74.png"/><Relationship Id="rId142" Type="http://schemas.openxmlformats.org/officeDocument/2006/relationships/image" Target="media/image75.png"/><Relationship Id="rId143" Type="http://schemas.openxmlformats.org/officeDocument/2006/relationships/image" Target="media/image76.png"/><Relationship Id="rId144" Type="http://schemas.openxmlformats.org/officeDocument/2006/relationships/image" Target="media/image77.png"/><Relationship Id="rId145" Type="http://schemas.openxmlformats.org/officeDocument/2006/relationships/footer" Target="footer52.xml"/><Relationship Id="rId146" Type="http://schemas.openxmlformats.org/officeDocument/2006/relationships/image" Target="media/image78.png"/><Relationship Id="rId147" Type="http://schemas.openxmlformats.org/officeDocument/2006/relationships/image" Target="media/image79.png"/><Relationship Id="rId148" Type="http://schemas.openxmlformats.org/officeDocument/2006/relationships/image" Target="media/image80.png"/><Relationship Id="rId149" Type="http://schemas.openxmlformats.org/officeDocument/2006/relationships/image" Target="media/image81.png"/><Relationship Id="rId150" Type="http://schemas.openxmlformats.org/officeDocument/2006/relationships/image" Target="media/image82.png"/><Relationship Id="rId151" Type="http://schemas.openxmlformats.org/officeDocument/2006/relationships/image" Target="media/image83.png"/><Relationship Id="rId152" Type="http://schemas.openxmlformats.org/officeDocument/2006/relationships/image" Target="media/image84.png"/><Relationship Id="rId153" Type="http://schemas.openxmlformats.org/officeDocument/2006/relationships/image" Target="media/image85.png"/><Relationship Id="rId154" Type="http://schemas.openxmlformats.org/officeDocument/2006/relationships/image" Target="media/image86.png"/><Relationship Id="rId155" Type="http://schemas.openxmlformats.org/officeDocument/2006/relationships/image" Target="media/image87.png"/><Relationship Id="rId156" Type="http://schemas.openxmlformats.org/officeDocument/2006/relationships/image" Target="media/image88.png"/><Relationship Id="rId157" Type="http://schemas.openxmlformats.org/officeDocument/2006/relationships/footer" Target="footer53.xml"/><Relationship Id="rId158" Type="http://schemas.openxmlformats.org/officeDocument/2006/relationships/image" Target="media/image89.jpeg"/><Relationship Id="rId159" Type="http://schemas.openxmlformats.org/officeDocument/2006/relationships/header" Target="header13.xml"/><Relationship Id="rId160" Type="http://schemas.openxmlformats.org/officeDocument/2006/relationships/image" Target="media/image90.png"/><Relationship Id="rId161" Type="http://schemas.openxmlformats.org/officeDocument/2006/relationships/image" Target="media/image91.png"/><Relationship Id="rId162" Type="http://schemas.openxmlformats.org/officeDocument/2006/relationships/image" Target="media/image92.png"/><Relationship Id="rId163" Type="http://schemas.openxmlformats.org/officeDocument/2006/relationships/header" Target="header14.xml"/><Relationship Id="rId164" Type="http://schemas.openxmlformats.org/officeDocument/2006/relationships/image" Target="media/image93.png"/><Relationship Id="rId165" Type="http://schemas.openxmlformats.org/officeDocument/2006/relationships/image" Target="media/image94.png"/><Relationship Id="rId166" Type="http://schemas.openxmlformats.org/officeDocument/2006/relationships/image" Target="media/image95.png"/><Relationship Id="rId167" Type="http://schemas.openxmlformats.org/officeDocument/2006/relationships/image" Target="media/image96.png"/><Relationship Id="rId168" Type="http://schemas.openxmlformats.org/officeDocument/2006/relationships/image" Target="media/image97.png"/><Relationship Id="rId169" Type="http://schemas.openxmlformats.org/officeDocument/2006/relationships/image" Target="media/image98.png"/><Relationship Id="rId170" Type="http://schemas.openxmlformats.org/officeDocument/2006/relationships/image" Target="media/image99.png"/><Relationship Id="rId171" Type="http://schemas.openxmlformats.org/officeDocument/2006/relationships/image" Target="media/image100.png"/><Relationship Id="rId172" Type="http://schemas.openxmlformats.org/officeDocument/2006/relationships/image" Target="media/image101.png"/><Relationship Id="rId173" Type="http://schemas.openxmlformats.org/officeDocument/2006/relationships/image" Target="media/image102.png"/><Relationship Id="rId174" Type="http://schemas.openxmlformats.org/officeDocument/2006/relationships/image" Target="media/image103.jpeg"/><Relationship Id="rId175" Type="http://schemas.openxmlformats.org/officeDocument/2006/relationships/header" Target="header15.xml"/><Relationship Id="rId176" Type="http://schemas.openxmlformats.org/officeDocument/2006/relationships/image" Target="media/image104.png"/><Relationship Id="rId177" Type="http://schemas.openxmlformats.org/officeDocument/2006/relationships/image" Target="media/image105.png"/><Relationship Id="rId178" Type="http://schemas.openxmlformats.org/officeDocument/2006/relationships/image" Target="media/image106.png"/><Relationship Id="rId179" Type="http://schemas.openxmlformats.org/officeDocument/2006/relationships/image" Target="media/image107.png"/><Relationship Id="rId180" Type="http://schemas.openxmlformats.org/officeDocument/2006/relationships/image" Target="media/image108.png"/><Relationship Id="rId181" Type="http://schemas.openxmlformats.org/officeDocument/2006/relationships/image" Target="media/image109.png"/><Relationship Id="rId182" Type="http://schemas.openxmlformats.org/officeDocument/2006/relationships/header" Target="header16.xml"/><Relationship Id="rId183" Type="http://schemas.openxmlformats.org/officeDocument/2006/relationships/image" Target="media/image110.png"/><Relationship Id="rId184" Type="http://schemas.openxmlformats.org/officeDocument/2006/relationships/image" Target="media/image111.png"/><Relationship Id="rId185" Type="http://schemas.openxmlformats.org/officeDocument/2006/relationships/image" Target="media/image112.png"/><Relationship Id="rId186" Type="http://schemas.openxmlformats.org/officeDocument/2006/relationships/image" Target="media/image113.png"/><Relationship Id="rId187" Type="http://schemas.openxmlformats.org/officeDocument/2006/relationships/image" Target="media/image114.png"/><Relationship Id="rId188" Type="http://schemas.openxmlformats.org/officeDocument/2006/relationships/image" Target="media/image115.png"/><Relationship Id="rId189" Type="http://schemas.openxmlformats.org/officeDocument/2006/relationships/image" Target="media/image116.png"/><Relationship Id="rId190" Type="http://schemas.openxmlformats.org/officeDocument/2006/relationships/image" Target="media/image117.png"/><Relationship Id="rId191" Type="http://schemas.openxmlformats.org/officeDocument/2006/relationships/image" Target="media/image118.png"/><Relationship Id="rId192" Type="http://schemas.openxmlformats.org/officeDocument/2006/relationships/image" Target="media/image119.png"/><Relationship Id="rId193" Type="http://schemas.openxmlformats.org/officeDocument/2006/relationships/image" Target="media/image120.jpeg"/><Relationship Id="rId194" Type="http://schemas.openxmlformats.org/officeDocument/2006/relationships/footer" Target="footer54.xml"/><Relationship Id="rId195" Type="http://schemas.openxmlformats.org/officeDocument/2006/relationships/image" Target="media/image121.png"/><Relationship Id="rId196" Type="http://schemas.openxmlformats.org/officeDocument/2006/relationships/image" Target="media/image122.png"/><Relationship Id="rId197" Type="http://schemas.openxmlformats.org/officeDocument/2006/relationships/image" Target="media/image123.png"/><Relationship Id="rId198" Type="http://schemas.openxmlformats.org/officeDocument/2006/relationships/image" Target="media/image124.png"/><Relationship Id="rId199" Type="http://schemas.openxmlformats.org/officeDocument/2006/relationships/footer" Target="footer55.xml"/><Relationship Id="rId200" Type="http://schemas.openxmlformats.org/officeDocument/2006/relationships/image" Target="media/image125.png"/><Relationship Id="rId201" Type="http://schemas.openxmlformats.org/officeDocument/2006/relationships/image" Target="media/image126.png"/><Relationship Id="rId202" Type="http://schemas.openxmlformats.org/officeDocument/2006/relationships/image" Target="media/image127.png"/><Relationship Id="rId203" Type="http://schemas.openxmlformats.org/officeDocument/2006/relationships/image" Target="media/image128.png"/><Relationship Id="rId204" Type="http://schemas.openxmlformats.org/officeDocument/2006/relationships/image" Target="media/image129.png"/><Relationship Id="rId205" Type="http://schemas.openxmlformats.org/officeDocument/2006/relationships/image" Target="media/image130.png"/><Relationship Id="rId206" Type="http://schemas.openxmlformats.org/officeDocument/2006/relationships/image" Target="media/image131.jpeg"/><Relationship Id="rId207" Type="http://schemas.openxmlformats.org/officeDocument/2006/relationships/image" Target="media/image132.png"/><Relationship Id="rId208" Type="http://schemas.openxmlformats.org/officeDocument/2006/relationships/image" Target="media/image133.png"/><Relationship Id="rId209" Type="http://schemas.openxmlformats.org/officeDocument/2006/relationships/image" Target="media/image134.png"/><Relationship Id="rId210" Type="http://schemas.openxmlformats.org/officeDocument/2006/relationships/image" Target="media/image135.png"/><Relationship Id="rId211" Type="http://schemas.openxmlformats.org/officeDocument/2006/relationships/image" Target="media/image136.png"/><Relationship Id="rId212" Type="http://schemas.openxmlformats.org/officeDocument/2006/relationships/image" Target="media/image137.png"/><Relationship Id="rId213" Type="http://schemas.openxmlformats.org/officeDocument/2006/relationships/image" Target="media/image138.png"/><Relationship Id="rId214" Type="http://schemas.openxmlformats.org/officeDocument/2006/relationships/image" Target="media/image139.png"/><Relationship Id="rId215" Type="http://schemas.openxmlformats.org/officeDocument/2006/relationships/image" Target="media/image140.png"/><Relationship Id="rId216" Type="http://schemas.openxmlformats.org/officeDocument/2006/relationships/image" Target="media/image141.png"/><Relationship Id="rId217" Type="http://schemas.openxmlformats.org/officeDocument/2006/relationships/image" Target="media/image142.png"/><Relationship Id="rId218" Type="http://schemas.openxmlformats.org/officeDocument/2006/relationships/image" Target="media/image143.png"/><Relationship Id="rId219" Type="http://schemas.openxmlformats.org/officeDocument/2006/relationships/image" Target="media/image144.png"/><Relationship Id="rId220" Type="http://schemas.openxmlformats.org/officeDocument/2006/relationships/image" Target="media/image145.png"/><Relationship Id="rId221" Type="http://schemas.openxmlformats.org/officeDocument/2006/relationships/image" Target="media/image146.png"/><Relationship Id="rId222" Type="http://schemas.openxmlformats.org/officeDocument/2006/relationships/image" Target="media/image147.jpeg"/><Relationship Id="rId223" Type="http://schemas.openxmlformats.org/officeDocument/2006/relationships/image" Target="media/image148.png"/><Relationship Id="rId224" Type="http://schemas.openxmlformats.org/officeDocument/2006/relationships/image" Target="media/image149.png"/><Relationship Id="rId225" Type="http://schemas.openxmlformats.org/officeDocument/2006/relationships/image" Target="media/image150.png"/><Relationship Id="rId226" Type="http://schemas.openxmlformats.org/officeDocument/2006/relationships/image" Target="media/image151.png"/><Relationship Id="rId227" Type="http://schemas.openxmlformats.org/officeDocument/2006/relationships/image" Target="media/image152.png"/><Relationship Id="rId228" Type="http://schemas.openxmlformats.org/officeDocument/2006/relationships/image" Target="media/image153.png"/><Relationship Id="rId229" Type="http://schemas.openxmlformats.org/officeDocument/2006/relationships/image" Target="media/image154.png"/><Relationship Id="rId230" Type="http://schemas.openxmlformats.org/officeDocument/2006/relationships/image" Target="media/image155.png"/><Relationship Id="rId231" Type="http://schemas.openxmlformats.org/officeDocument/2006/relationships/image" Target="media/image156.png"/><Relationship Id="rId232" Type="http://schemas.openxmlformats.org/officeDocument/2006/relationships/image" Target="media/image157.png"/><Relationship Id="rId233" Type="http://schemas.openxmlformats.org/officeDocument/2006/relationships/image" Target="media/image158.png"/><Relationship Id="rId234" Type="http://schemas.openxmlformats.org/officeDocument/2006/relationships/image" Target="media/image159.png"/><Relationship Id="rId235" Type="http://schemas.openxmlformats.org/officeDocument/2006/relationships/image" Target="media/image160.jpeg"/><Relationship Id="rId236" Type="http://schemas.openxmlformats.org/officeDocument/2006/relationships/image" Target="media/image161.png"/><Relationship Id="rId237" Type="http://schemas.openxmlformats.org/officeDocument/2006/relationships/image" Target="media/image162.png"/><Relationship Id="rId238" Type="http://schemas.openxmlformats.org/officeDocument/2006/relationships/image" Target="media/image163.png"/><Relationship Id="rId239" Type="http://schemas.openxmlformats.org/officeDocument/2006/relationships/image" Target="media/image164.png"/><Relationship Id="rId240" Type="http://schemas.openxmlformats.org/officeDocument/2006/relationships/image" Target="media/image165.png"/><Relationship Id="rId241" Type="http://schemas.openxmlformats.org/officeDocument/2006/relationships/image" Target="media/image166.png"/><Relationship Id="rId242" Type="http://schemas.openxmlformats.org/officeDocument/2006/relationships/footer" Target="footer56.xml"/><Relationship Id="rId243" Type="http://schemas.openxmlformats.org/officeDocument/2006/relationships/image" Target="media/image167.png"/><Relationship Id="rId244" Type="http://schemas.openxmlformats.org/officeDocument/2006/relationships/image" Target="media/image168.png"/><Relationship Id="rId245" Type="http://schemas.openxmlformats.org/officeDocument/2006/relationships/image" Target="media/image169.png"/><Relationship Id="rId246" Type="http://schemas.openxmlformats.org/officeDocument/2006/relationships/image" Target="media/image170.png"/><Relationship Id="rId247" Type="http://schemas.openxmlformats.org/officeDocument/2006/relationships/image" Target="media/image171.png"/><Relationship Id="rId248" Type="http://schemas.openxmlformats.org/officeDocument/2006/relationships/image" Target="media/image172.png"/><Relationship Id="rId249" Type="http://schemas.openxmlformats.org/officeDocument/2006/relationships/image" Target="media/image173.png"/><Relationship Id="rId250" Type="http://schemas.openxmlformats.org/officeDocument/2006/relationships/footer" Target="footer57.xml"/><Relationship Id="rId251" Type="http://schemas.openxmlformats.org/officeDocument/2006/relationships/image" Target="media/image174.jpeg"/><Relationship Id="rId252" Type="http://schemas.openxmlformats.org/officeDocument/2006/relationships/image" Target="media/image175.png"/><Relationship Id="rId253" Type="http://schemas.openxmlformats.org/officeDocument/2006/relationships/image" Target="media/image176.png"/><Relationship Id="rId254" Type="http://schemas.openxmlformats.org/officeDocument/2006/relationships/image" Target="media/image177.png"/><Relationship Id="rId255" Type="http://schemas.openxmlformats.org/officeDocument/2006/relationships/image" Target="media/image178.png"/><Relationship Id="rId256" Type="http://schemas.openxmlformats.org/officeDocument/2006/relationships/image" Target="media/image179.png"/><Relationship Id="rId257" Type="http://schemas.openxmlformats.org/officeDocument/2006/relationships/image" Target="media/image180.png"/><Relationship Id="rId258" Type="http://schemas.openxmlformats.org/officeDocument/2006/relationships/image" Target="media/image181.png"/><Relationship Id="rId259" Type="http://schemas.openxmlformats.org/officeDocument/2006/relationships/image" Target="media/image182.png"/><Relationship Id="rId260" Type="http://schemas.openxmlformats.org/officeDocument/2006/relationships/image" Target="media/image183.png"/><Relationship Id="rId261" Type="http://schemas.openxmlformats.org/officeDocument/2006/relationships/image" Target="media/image184.png"/><Relationship Id="rId262" Type="http://schemas.openxmlformats.org/officeDocument/2006/relationships/image" Target="media/image185.png"/><Relationship Id="rId263" Type="http://schemas.openxmlformats.org/officeDocument/2006/relationships/image" Target="media/image186.png"/><Relationship Id="rId264" Type="http://schemas.openxmlformats.org/officeDocument/2006/relationships/image" Target="media/image187.png"/><Relationship Id="rId265" Type="http://schemas.openxmlformats.org/officeDocument/2006/relationships/image" Target="media/image188.png"/><Relationship Id="rId266" Type="http://schemas.openxmlformats.org/officeDocument/2006/relationships/image" Target="media/image189.png"/><Relationship Id="rId267" Type="http://schemas.openxmlformats.org/officeDocument/2006/relationships/footer" Target="footer58.xml"/><Relationship Id="rId268" Type="http://schemas.openxmlformats.org/officeDocument/2006/relationships/image" Target="media/image190.png"/><Relationship Id="rId269" Type="http://schemas.openxmlformats.org/officeDocument/2006/relationships/image" Target="media/image191.png"/><Relationship Id="rId270" Type="http://schemas.openxmlformats.org/officeDocument/2006/relationships/image" Target="media/image192.png"/><Relationship Id="rId271" Type="http://schemas.openxmlformats.org/officeDocument/2006/relationships/image" Target="media/image193.png"/><Relationship Id="rId272" Type="http://schemas.openxmlformats.org/officeDocument/2006/relationships/footer" Target="footer59.xml"/><Relationship Id="rId273" Type="http://schemas.openxmlformats.org/officeDocument/2006/relationships/image" Target="media/image194.png"/><Relationship Id="rId274" Type="http://schemas.openxmlformats.org/officeDocument/2006/relationships/image" Target="media/image195.png"/><Relationship Id="rId275" Type="http://schemas.openxmlformats.org/officeDocument/2006/relationships/image" Target="media/image196.png"/><Relationship Id="rId276" Type="http://schemas.openxmlformats.org/officeDocument/2006/relationships/image" Target="media/image197.png"/><Relationship Id="rId277" Type="http://schemas.openxmlformats.org/officeDocument/2006/relationships/image" Target="media/image198.jpeg"/><Relationship Id="rId278" Type="http://schemas.openxmlformats.org/officeDocument/2006/relationships/image" Target="media/image199.jpeg"/><Relationship Id="rId279" Type="http://schemas.openxmlformats.org/officeDocument/2006/relationships/image" Target="media/image200.png"/><Relationship Id="rId280" Type="http://schemas.openxmlformats.org/officeDocument/2006/relationships/image" Target="media/image201.png"/><Relationship Id="rId281" Type="http://schemas.openxmlformats.org/officeDocument/2006/relationships/image" Target="media/image202.png"/><Relationship Id="rId282" Type="http://schemas.openxmlformats.org/officeDocument/2006/relationships/image" Target="media/image203.png"/><Relationship Id="rId283" Type="http://schemas.openxmlformats.org/officeDocument/2006/relationships/image" Target="media/image204.png"/><Relationship Id="rId284" Type="http://schemas.openxmlformats.org/officeDocument/2006/relationships/image" Target="media/image205.png"/><Relationship Id="rId285" Type="http://schemas.openxmlformats.org/officeDocument/2006/relationships/image" Target="media/image206.png"/><Relationship Id="rId286" Type="http://schemas.openxmlformats.org/officeDocument/2006/relationships/image" Target="media/image207.png"/><Relationship Id="rId287" Type="http://schemas.openxmlformats.org/officeDocument/2006/relationships/image" Target="media/image208.png"/><Relationship Id="rId288" Type="http://schemas.openxmlformats.org/officeDocument/2006/relationships/image" Target="media/image209.png"/><Relationship Id="rId289" Type="http://schemas.openxmlformats.org/officeDocument/2006/relationships/image" Target="media/image210.png"/><Relationship Id="rId290" Type="http://schemas.openxmlformats.org/officeDocument/2006/relationships/image" Target="media/image211.png"/><Relationship Id="rId291" Type="http://schemas.openxmlformats.org/officeDocument/2006/relationships/image" Target="media/image212.png"/><Relationship Id="rId292" Type="http://schemas.openxmlformats.org/officeDocument/2006/relationships/image" Target="media/image213.png"/><Relationship Id="rId293" Type="http://schemas.openxmlformats.org/officeDocument/2006/relationships/image" Target="media/image214.png"/><Relationship Id="rId294" Type="http://schemas.openxmlformats.org/officeDocument/2006/relationships/image" Target="media/image215.png"/><Relationship Id="rId295" Type="http://schemas.openxmlformats.org/officeDocument/2006/relationships/image" Target="media/image216.png"/><Relationship Id="rId296" Type="http://schemas.openxmlformats.org/officeDocument/2006/relationships/image" Target="media/image217.png"/><Relationship Id="rId297" Type="http://schemas.openxmlformats.org/officeDocument/2006/relationships/image" Target="media/image218.png"/><Relationship Id="rId298" Type="http://schemas.openxmlformats.org/officeDocument/2006/relationships/image" Target="media/image219.png"/><Relationship Id="rId299" Type="http://schemas.openxmlformats.org/officeDocument/2006/relationships/image" Target="media/image220.png"/><Relationship Id="rId300" Type="http://schemas.openxmlformats.org/officeDocument/2006/relationships/image" Target="media/image221.png"/><Relationship Id="rId301" Type="http://schemas.openxmlformats.org/officeDocument/2006/relationships/image" Target="media/image222.png"/><Relationship Id="rId302" Type="http://schemas.openxmlformats.org/officeDocument/2006/relationships/image" Target="media/image223.png"/><Relationship Id="rId303" Type="http://schemas.openxmlformats.org/officeDocument/2006/relationships/image" Target="media/image224.png"/><Relationship Id="rId304" Type="http://schemas.openxmlformats.org/officeDocument/2006/relationships/image" Target="media/image225.png"/><Relationship Id="rId305" Type="http://schemas.openxmlformats.org/officeDocument/2006/relationships/image" Target="media/image226.png"/><Relationship Id="rId306" Type="http://schemas.openxmlformats.org/officeDocument/2006/relationships/image" Target="media/image227.png"/><Relationship Id="rId307" Type="http://schemas.openxmlformats.org/officeDocument/2006/relationships/image" Target="media/image228.png"/><Relationship Id="rId308" Type="http://schemas.openxmlformats.org/officeDocument/2006/relationships/image" Target="media/image229.png"/><Relationship Id="rId309" Type="http://schemas.openxmlformats.org/officeDocument/2006/relationships/image" Target="media/image230.png"/><Relationship Id="rId310" Type="http://schemas.openxmlformats.org/officeDocument/2006/relationships/image" Target="media/image231.png"/><Relationship Id="rId311" Type="http://schemas.openxmlformats.org/officeDocument/2006/relationships/footer" Target="footer60.xml"/><Relationship Id="rId312" Type="http://schemas.openxmlformats.org/officeDocument/2006/relationships/footer" Target="footer61.xml"/><Relationship Id="rId313" Type="http://schemas.openxmlformats.org/officeDocument/2006/relationships/image" Target="media/image232.png"/><Relationship Id="rId314" Type="http://schemas.openxmlformats.org/officeDocument/2006/relationships/header" Target="header17.xml"/><Relationship Id="rId315" Type="http://schemas.openxmlformats.org/officeDocument/2006/relationships/footer" Target="footer62.xml"/><Relationship Id="rId316" Type="http://schemas.openxmlformats.org/officeDocument/2006/relationships/header" Target="header18.xml"/><Relationship Id="rId317" Type="http://schemas.openxmlformats.org/officeDocument/2006/relationships/footer" Target="footer63.xml"/><Relationship Id="rId318" Type="http://schemas.openxmlformats.org/officeDocument/2006/relationships/footer" Target="footer64.xml"/><Relationship Id="rId319" Type="http://schemas.openxmlformats.org/officeDocument/2006/relationships/footer" Target="footer65.xml"/><Relationship Id="rId320" Type="http://schemas.openxmlformats.org/officeDocument/2006/relationships/footer" Target="footer66.xml"/><Relationship Id="rId321" Type="http://schemas.openxmlformats.org/officeDocument/2006/relationships/header" Target="header19.xml"/><Relationship Id="rId322" Type="http://schemas.openxmlformats.org/officeDocument/2006/relationships/footer" Target="footer67.xml"/><Relationship Id="rId323" Type="http://schemas.openxmlformats.org/officeDocument/2006/relationships/footer" Target="footer68.xml"/><Relationship Id="rId324" Type="http://schemas.openxmlformats.org/officeDocument/2006/relationships/hyperlink" Target="http://www.milenio.com/perimetros-" TargetMode="External"/><Relationship Id="rId325" Type="http://schemas.openxmlformats.org/officeDocument/2006/relationships/footer" Target="footer69.xml"/><Relationship Id="rId326" Type="http://schemas.openxmlformats.org/officeDocument/2006/relationships/footer" Target="footer70.xml"/><Relationship Id="rId327" Type="http://schemas.openxmlformats.org/officeDocument/2006/relationships/hyperlink" Target="http://www.inegi.org.mx/" TargetMode="External"/><Relationship Id="rId328" Type="http://schemas.openxmlformats.org/officeDocument/2006/relationships/hyperlink" Target="http://www.inegi.org.mx/est/contenidos/espanol/proyectos/censos/ce2009/p" TargetMode="External"/><Relationship Id="rId329" Type="http://schemas.openxmlformats.org/officeDocument/2006/relationships/hyperlink" Target="http://www.canadevi.com.mx/" TargetMode="External"/><Relationship Id="rId330" Type="http://schemas.openxmlformats.org/officeDocument/2006/relationships/hyperlink" Target="http://www.cidoc.com.mx/" TargetMode="External"/><Relationship Id="rId331" Type="http://schemas.openxmlformats.org/officeDocument/2006/relationships/hyperlink" Target="http://www.conagua.gob.mx/" TargetMode="External"/><Relationship Id="rId332" Type="http://schemas.openxmlformats.org/officeDocument/2006/relationships/hyperlink" Target="http://www.cfe.gob.mx/" TargetMode="External"/><Relationship Id="rId333" Type="http://schemas.openxmlformats.org/officeDocument/2006/relationships/hyperlink" Target="http://www.diputados.gob.mx/" TargetMode="External"/><Relationship Id="rId334" Type="http://schemas.openxmlformats.org/officeDocument/2006/relationships/hyperlink" Target="http://www.eumed.net/" TargetMode="External"/><Relationship Id="rId335" Type="http://schemas.openxmlformats.org/officeDocument/2006/relationships/hyperlink" Target="http://www.infonavit.org.mx/" TargetMode="External"/><Relationship Id="rId336" Type="http://schemas.openxmlformats.org/officeDocument/2006/relationships/hyperlink" Target="http://www.gob.mx/" TargetMode="External"/><Relationship Id="rId337" Type="http://schemas.openxmlformats.org/officeDocument/2006/relationships/hyperlink" Target="http://www.gob.mx/conavi" TargetMode="External"/><Relationship Id="rId338" Type="http://schemas.openxmlformats.org/officeDocument/2006/relationships/hyperlink" Target="http://www.gob.mx/fovissste" TargetMode="External"/><Relationship Id="rId339" Type="http://schemas.openxmlformats.org/officeDocument/2006/relationships/hyperlink" Target="http://www.gob.mx/presidencia" TargetMode="External"/><Relationship Id="rId340" Type="http://schemas.openxmlformats.org/officeDocument/2006/relationships/hyperlink" Target="http://www.gob.mx/sedatu" TargetMode="External"/><Relationship Id="rId341" Type="http://schemas.openxmlformats.org/officeDocument/2006/relationships/hyperlink" Target="http://www.landsat.usgs.gov/" TargetMode="External"/><Relationship Id="rId342" Type="http://schemas.openxmlformats.org/officeDocument/2006/relationships/hyperlink" Target="http://www.legislaci&#243;n.edomex.gob.mx/" TargetMode="External"/><Relationship Id="rId343" Type="http://schemas.openxmlformats.org/officeDocument/2006/relationships/hyperlink" Target="http://www.oecd.org/" TargetMode="External"/><Relationship Id="rId344" Type="http://schemas.openxmlformats.org/officeDocument/2006/relationships/hyperlink" Target="http://www.onuhabitat.org/" TargetMode="External"/><Relationship Id="rId345" Type="http://schemas.openxmlformats.org/officeDocument/2006/relationships/hyperlink" Target="http://www.onu.org.mx/" TargetMode="External"/><Relationship Id="rId346" Type="http://schemas.openxmlformats.org/officeDocument/2006/relationships/hyperlink" Target="http://www.redalyc.org/" TargetMode="External"/><Relationship Id="rId347" Type="http://schemas.openxmlformats.org/officeDocument/2006/relationships/hyperlink" Target="http://www.sedur.edomex.gob.mx/" TargetMode="External"/><Relationship Id="rId348" Type="http://schemas.openxmlformats.org/officeDocument/2006/relationships/hyperlink" Target="http://www.semarnat.gob.mx/" TargetMode="External"/><Relationship Id="rId349" Type="http://schemas.openxmlformats.org/officeDocument/2006/relationships/hyperlink" Target="http://www.senado.gob.mx/" TargetMode="External"/><Relationship Id="rId350" Type="http://schemas.openxmlformats.org/officeDocument/2006/relationships/hyperlink" Target="http://www.scielo.org.mx/" TargetMode="External"/><Relationship Id="rId351" Type="http://schemas.openxmlformats.org/officeDocument/2006/relationships/hyperlink" Target="http://www.shf.gob.mx/" TargetMode="External"/><Relationship Id="rId352" Type="http://schemas.openxmlformats.org/officeDocument/2006/relationships/footer" Target="footer71.xml"/><Relationship Id="rId353" Type="http://schemas.openxmlformats.org/officeDocument/2006/relationships/footer" Target="footer72.xml"/><Relationship Id="rId354" Type="http://schemas.openxmlformats.org/officeDocument/2006/relationships/footer" Target="footer73.xml"/><Relationship Id="rId355" Type="http://schemas.openxmlformats.org/officeDocument/2006/relationships/footer" Target="footer74.xml"/><Relationship Id="rId356" Type="http://schemas.openxmlformats.org/officeDocument/2006/relationships/footer" Target="footer75.xml"/><Relationship Id="rId357" Type="http://schemas.openxmlformats.org/officeDocument/2006/relationships/footer" Target="footer76.xml"/><Relationship Id="rId358" Type="http://schemas.openxmlformats.org/officeDocument/2006/relationships/image" Target="media/image233.jpeg"/><Relationship Id="rId359" Type="http://schemas.openxmlformats.org/officeDocument/2006/relationships/image" Target="media/image234.png"/><Relationship Id="rId360" Type="http://schemas.openxmlformats.org/officeDocument/2006/relationships/image" Target="media/image235.jpeg"/><Relationship Id="rId361" Type="http://schemas.openxmlformats.org/officeDocument/2006/relationships/image" Target="media/image236.png"/><Relationship Id="rId362" Type="http://schemas.openxmlformats.org/officeDocument/2006/relationships/image" Target="media/image237.jpeg"/><Relationship Id="rId363" Type="http://schemas.openxmlformats.org/officeDocument/2006/relationships/image" Target="media/image238.jpeg"/><Relationship Id="rId364" Type="http://schemas.openxmlformats.org/officeDocument/2006/relationships/image" Target="media/image239.jpeg"/><Relationship Id="rId365" Type="http://schemas.openxmlformats.org/officeDocument/2006/relationships/image" Target="media/image240.png"/><Relationship Id="rId366" Type="http://schemas.openxmlformats.org/officeDocument/2006/relationships/image" Target="media/image241.jpeg"/><Relationship Id="rId367" Type="http://schemas.openxmlformats.org/officeDocument/2006/relationships/image" Target="media/image242.jpeg"/><Relationship Id="rId368" Type="http://schemas.openxmlformats.org/officeDocument/2006/relationships/image" Target="media/image243.jpeg"/><Relationship Id="rId369" Type="http://schemas.openxmlformats.org/officeDocument/2006/relationships/image" Target="media/image244.jpeg"/><Relationship Id="rId370" Type="http://schemas.openxmlformats.org/officeDocument/2006/relationships/image" Target="media/image245.jpeg"/><Relationship Id="rId371" Type="http://schemas.openxmlformats.org/officeDocument/2006/relationships/image" Target="media/image246.jpeg"/><Relationship Id="rId372" Type="http://schemas.openxmlformats.org/officeDocument/2006/relationships/image" Target="media/image247.jpeg"/><Relationship Id="rId373" Type="http://schemas.openxmlformats.org/officeDocument/2006/relationships/footer" Target="footer77.xml"/><Relationship Id="rId374" Type="http://schemas.openxmlformats.org/officeDocument/2006/relationships/image" Target="media/image248.jpeg"/><Relationship Id="rId375" Type="http://schemas.openxmlformats.org/officeDocument/2006/relationships/image" Target="media/image249.jpeg"/><Relationship Id="rId376" Type="http://schemas.openxmlformats.org/officeDocument/2006/relationships/image" Target="media/image250.jpeg"/><Relationship Id="rId377" Type="http://schemas.openxmlformats.org/officeDocument/2006/relationships/image" Target="media/image251.jpeg"/><Relationship Id="rId378" Type="http://schemas.openxmlformats.org/officeDocument/2006/relationships/image" Target="media/image252.jpeg"/><Relationship Id="rId379" Type="http://schemas.openxmlformats.org/officeDocument/2006/relationships/image" Target="media/image253.jpeg"/><Relationship Id="rId380" Type="http://schemas.openxmlformats.org/officeDocument/2006/relationships/image" Target="media/image254.png"/><Relationship Id="rId381" Type="http://schemas.openxmlformats.org/officeDocument/2006/relationships/footer" Target="footer78.xml"/><Relationship Id="rId382" Type="http://schemas.openxmlformats.org/officeDocument/2006/relationships/image" Target="media/image255.jpeg"/><Relationship Id="rId383" Type="http://schemas.openxmlformats.org/officeDocument/2006/relationships/image" Target="media/image256.png"/><Relationship Id="rId384" Type="http://schemas.openxmlformats.org/officeDocument/2006/relationships/image" Target="media/image257.jpeg"/><Relationship Id="rId385" Type="http://schemas.openxmlformats.org/officeDocument/2006/relationships/image" Target="media/image258.jpeg"/><Relationship Id="rId386" Type="http://schemas.openxmlformats.org/officeDocument/2006/relationships/image" Target="media/image259.jpeg"/><Relationship Id="rId387" Type="http://schemas.openxmlformats.org/officeDocument/2006/relationships/image" Target="media/image260.jpeg"/><Relationship Id="rId388" Type="http://schemas.openxmlformats.org/officeDocument/2006/relationships/image" Target="media/image261.jpeg"/><Relationship Id="rId389" Type="http://schemas.openxmlformats.org/officeDocument/2006/relationships/image" Target="media/image262.jpeg"/><Relationship Id="rId390" Type="http://schemas.openxmlformats.org/officeDocument/2006/relationships/image" Target="media/image263.png"/><Relationship Id="rId391" Type="http://schemas.openxmlformats.org/officeDocument/2006/relationships/image" Target="media/image264.jpeg"/><Relationship Id="rId392" Type="http://schemas.openxmlformats.org/officeDocument/2006/relationships/image" Target="media/image265.jpeg"/><Relationship Id="rId393" Type="http://schemas.openxmlformats.org/officeDocument/2006/relationships/image" Target="media/image266.jpeg"/><Relationship Id="rId394" Type="http://schemas.openxmlformats.org/officeDocument/2006/relationships/image" Target="media/image267.png"/><Relationship Id="rId395" Type="http://schemas.openxmlformats.org/officeDocument/2006/relationships/image" Target="media/image268.jpeg"/><Relationship Id="rId396" Type="http://schemas.openxmlformats.org/officeDocument/2006/relationships/image" Target="media/image269.jpeg"/><Relationship Id="rId397" Type="http://schemas.openxmlformats.org/officeDocument/2006/relationships/image" Target="media/image270.jpeg"/><Relationship Id="rId398" Type="http://schemas.openxmlformats.org/officeDocument/2006/relationships/image" Target="media/image271.jpeg"/><Relationship Id="rId399" Type="http://schemas.openxmlformats.org/officeDocument/2006/relationships/image" Target="media/image272.jpeg"/><Relationship Id="rId400" Type="http://schemas.openxmlformats.org/officeDocument/2006/relationships/image" Target="media/image273.jpeg"/><Relationship Id="rId401" Type="http://schemas.openxmlformats.org/officeDocument/2006/relationships/image" Target="media/image274.jpeg"/><Relationship Id="rId402" Type="http://schemas.openxmlformats.org/officeDocument/2006/relationships/image" Target="media/image275.jpeg"/><Relationship Id="rId403" Type="http://schemas.openxmlformats.org/officeDocument/2006/relationships/image" Target="media/image276.jpeg"/><Relationship Id="rId404" Type="http://schemas.openxmlformats.org/officeDocument/2006/relationships/image" Target="media/image277.png"/><Relationship Id="rId405" Type="http://schemas.openxmlformats.org/officeDocument/2006/relationships/image" Target="media/image278.jpeg"/><Relationship Id="rId406" Type="http://schemas.openxmlformats.org/officeDocument/2006/relationships/image" Target="media/image279.png"/><Relationship Id="rId407" Type="http://schemas.openxmlformats.org/officeDocument/2006/relationships/image" Target="media/image280.jpeg"/><Relationship Id="rId408" Type="http://schemas.openxmlformats.org/officeDocument/2006/relationships/image" Target="media/image281.png"/><Relationship Id="rId409" Type="http://schemas.openxmlformats.org/officeDocument/2006/relationships/image" Target="media/image282.jpeg"/><Relationship Id="rId410" Type="http://schemas.openxmlformats.org/officeDocument/2006/relationships/image" Target="media/image283.jpeg"/><Relationship Id="rId411" Type="http://schemas.openxmlformats.org/officeDocument/2006/relationships/image" Target="media/image284.jpeg"/><Relationship Id="rId412" Type="http://schemas.openxmlformats.org/officeDocument/2006/relationships/image" Target="media/image285.png"/><Relationship Id="rId413" Type="http://schemas.openxmlformats.org/officeDocument/2006/relationships/image" Target="media/image286.jpeg"/><Relationship Id="rId414" Type="http://schemas.openxmlformats.org/officeDocument/2006/relationships/image" Target="media/image287.jpeg"/><Relationship Id="rId415" Type="http://schemas.openxmlformats.org/officeDocument/2006/relationships/image" Target="media/image288.jpeg"/><Relationship Id="rId416" Type="http://schemas.openxmlformats.org/officeDocument/2006/relationships/image" Target="media/image289.png"/><Relationship Id="rId417" Type="http://schemas.openxmlformats.org/officeDocument/2006/relationships/image" Target="media/image290.jpeg"/><Relationship Id="rId418" Type="http://schemas.openxmlformats.org/officeDocument/2006/relationships/image" Target="media/image291.jpeg"/><Relationship Id="rId419" Type="http://schemas.openxmlformats.org/officeDocument/2006/relationships/header" Target="header20.xml"/><Relationship Id="rId420" Type="http://schemas.openxmlformats.org/officeDocument/2006/relationships/footer" Target="footer79.xml"/><Relationship Id="rId421" Type="http://schemas.openxmlformats.org/officeDocument/2006/relationships/header" Target="header21.xml"/><Relationship Id="rId422" Type="http://schemas.openxmlformats.org/officeDocument/2006/relationships/header" Target="header22.xml"/><Relationship Id="rId423" Type="http://schemas.openxmlformats.org/officeDocument/2006/relationships/footer" Target="footer80.xml"/><Relationship Id="rId424" Type="http://schemas.openxmlformats.org/officeDocument/2006/relationships/image" Target="media/image292.png"/><Relationship Id="rId425" Type="http://schemas.openxmlformats.org/officeDocument/2006/relationships/image" Target="media/image293.jpeg"/><Relationship Id="rId426" Type="http://schemas.openxmlformats.org/officeDocument/2006/relationships/image" Target="media/image294.png"/><Relationship Id="rId427" Type="http://schemas.openxmlformats.org/officeDocument/2006/relationships/image" Target="media/image295.jpeg"/><Relationship Id="rId428" Type="http://schemas.openxmlformats.org/officeDocument/2006/relationships/image" Target="media/image296.png"/><Relationship Id="rId429" Type="http://schemas.openxmlformats.org/officeDocument/2006/relationships/image" Target="media/image297.jpeg"/><Relationship Id="rId430" Type="http://schemas.openxmlformats.org/officeDocument/2006/relationships/image" Target="media/image298.png"/><Relationship Id="rId431" Type="http://schemas.openxmlformats.org/officeDocument/2006/relationships/image" Target="media/image299.jpeg"/><Relationship Id="rId432" Type="http://schemas.openxmlformats.org/officeDocument/2006/relationships/image" Target="media/image300.png"/><Relationship Id="rId433" Type="http://schemas.openxmlformats.org/officeDocument/2006/relationships/image" Target="media/image301.jpeg"/><Relationship Id="rId434" Type="http://schemas.openxmlformats.org/officeDocument/2006/relationships/image" Target="media/image302.png"/><Relationship Id="rId435" Type="http://schemas.openxmlformats.org/officeDocument/2006/relationships/image" Target="media/image303.jpeg"/><Relationship Id="rId436" Type="http://schemas.openxmlformats.org/officeDocument/2006/relationships/image" Target="media/image304.jpeg"/><Relationship Id="rId437" Type="http://schemas.openxmlformats.org/officeDocument/2006/relationships/image" Target="media/image305.png"/><Relationship Id="rId438" Type="http://schemas.openxmlformats.org/officeDocument/2006/relationships/image" Target="media/image306.jpeg"/><Relationship Id="rId439" Type="http://schemas.openxmlformats.org/officeDocument/2006/relationships/image" Target="media/image307.png"/><Relationship Id="rId440" Type="http://schemas.openxmlformats.org/officeDocument/2006/relationships/image" Target="media/image308.jpeg"/><Relationship Id="rId441" Type="http://schemas.openxmlformats.org/officeDocument/2006/relationships/image" Target="media/image309.png"/><Relationship Id="rId442" Type="http://schemas.openxmlformats.org/officeDocument/2006/relationships/image" Target="media/image310.jpeg"/><Relationship Id="rId443" Type="http://schemas.openxmlformats.org/officeDocument/2006/relationships/image" Target="media/image311.png"/><Relationship Id="rId444" Type="http://schemas.openxmlformats.org/officeDocument/2006/relationships/image" Target="media/image312.jpeg"/><Relationship Id="rId445" Type="http://schemas.openxmlformats.org/officeDocument/2006/relationships/image" Target="media/image313.png"/><Relationship Id="rId446" Type="http://schemas.openxmlformats.org/officeDocument/2006/relationships/image" Target="media/image314.jpeg"/><Relationship Id="rId447" Type="http://schemas.openxmlformats.org/officeDocument/2006/relationships/image" Target="media/image315.png"/><Relationship Id="rId448" Type="http://schemas.openxmlformats.org/officeDocument/2006/relationships/image" Target="media/image316.jpeg"/><Relationship Id="rId449" Type="http://schemas.openxmlformats.org/officeDocument/2006/relationships/image" Target="media/image317.png"/><Relationship Id="rId450" Type="http://schemas.openxmlformats.org/officeDocument/2006/relationships/image" Target="media/image318.jpeg"/><Relationship Id="rId451" Type="http://schemas.openxmlformats.org/officeDocument/2006/relationships/image" Target="media/image319.png"/><Relationship Id="rId452" Type="http://schemas.openxmlformats.org/officeDocument/2006/relationships/image" Target="media/image320.jpeg"/><Relationship Id="rId453" Type="http://schemas.openxmlformats.org/officeDocument/2006/relationships/image" Target="media/image321.png"/><Relationship Id="rId454" Type="http://schemas.openxmlformats.org/officeDocument/2006/relationships/image" Target="media/image322.jpeg"/><Relationship Id="rId455" Type="http://schemas.openxmlformats.org/officeDocument/2006/relationships/image" Target="media/image323.png"/><Relationship Id="rId456" Type="http://schemas.openxmlformats.org/officeDocument/2006/relationships/image" Target="media/image324.jpeg"/><Relationship Id="rId457" Type="http://schemas.openxmlformats.org/officeDocument/2006/relationships/image" Target="media/image325.png"/><Relationship Id="rId458" Type="http://schemas.openxmlformats.org/officeDocument/2006/relationships/image" Target="media/image326.jpeg"/><Relationship Id="rId459" Type="http://schemas.openxmlformats.org/officeDocument/2006/relationships/header" Target="header23.xml"/><Relationship Id="rId460" Type="http://schemas.openxmlformats.org/officeDocument/2006/relationships/footer" Target="footer81.xml"/><Relationship Id="rId461" Type="http://schemas.openxmlformats.org/officeDocument/2006/relationships/image" Target="media/image327.png"/><Relationship Id="rId462" Type="http://schemas.openxmlformats.org/officeDocument/2006/relationships/image" Target="media/image328.png"/><Relationship Id="rId463" Type="http://schemas.openxmlformats.org/officeDocument/2006/relationships/image" Target="media/image329.png"/><Relationship Id="rId464" Type="http://schemas.openxmlformats.org/officeDocument/2006/relationships/image" Target="media/image330.png"/><Relationship Id="rId465" Type="http://schemas.openxmlformats.org/officeDocument/2006/relationships/image" Target="media/image331.png"/><Relationship Id="rId466" Type="http://schemas.openxmlformats.org/officeDocument/2006/relationships/image" Target="media/image332.jpeg"/><Relationship Id="rId467" Type="http://schemas.openxmlformats.org/officeDocument/2006/relationships/hyperlink" Target="http://revistainvi.uchile.cl/index.php/INVI/author/submissionRe" TargetMode="External"/><Relationship Id="rId468" Type="http://schemas.openxmlformats.org/officeDocument/2006/relationships/header" Target="header24.xml"/><Relationship Id="rId469" Type="http://schemas.openxmlformats.org/officeDocument/2006/relationships/footer" Target="footer82.xml"/><Relationship Id="rId470" Type="http://schemas.openxmlformats.org/officeDocument/2006/relationships/image" Target="media/image333.png"/><Relationship Id="rId471" Type="http://schemas.openxmlformats.org/officeDocument/2006/relationships/image" Target="media/image334.jpeg"/><Relationship Id="rId472" Type="http://schemas.openxmlformats.org/officeDocument/2006/relationships/image" Target="media/image335.jpeg"/><Relationship Id="rId473" Type="http://schemas.openxmlformats.org/officeDocument/2006/relationships/image" Target="media/image336.jpeg"/><Relationship Id="rId474" Type="http://schemas.openxmlformats.org/officeDocument/2006/relationships/image" Target="media/image337.jpeg"/><Relationship Id="rId475" Type="http://schemas.openxmlformats.org/officeDocument/2006/relationships/image" Target="media/image338.jpeg"/><Relationship Id="rId476" Type="http://schemas.openxmlformats.org/officeDocument/2006/relationships/hyperlink" Target="http://www.amecider.org.mx/" TargetMode="External"/><Relationship Id="rId47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2017-05-24T21:32:32Z</dcterms:created>
  <dcterms:modified xsi:type="dcterms:W3CDTF">2017-05-24T21:32:32Z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2017-05-24T00:00:00Z</vt:filetime>
  </property>
</Properties>
</file>